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29" w:rsidRPr="00211F88" w:rsidRDefault="008B5D29" w:rsidP="008B5D29">
      <w:pPr>
        <w:snapToGrid w:val="0"/>
        <w:jc w:val="center"/>
        <w:rPr>
          <w:rFonts w:eastAsiaTheme="minorEastAsia"/>
          <w:b/>
          <w:bCs/>
          <w:bdr w:val="none" w:sz="0" w:space="0" w:color="auto" w:frame="1"/>
          <w:lang w:val="en-US" w:eastAsia="zh-CN"/>
        </w:rPr>
      </w:pPr>
    </w:p>
    <w:p w:rsidR="00D31158" w:rsidRPr="00211F88" w:rsidRDefault="00F60268" w:rsidP="008B5D29">
      <w:pPr>
        <w:snapToGrid w:val="0"/>
        <w:jc w:val="center"/>
        <w:rPr>
          <w:rFonts w:eastAsia="Calibri"/>
          <w:b/>
          <w:bCs/>
          <w:bdr w:val="none" w:sz="0" w:space="0" w:color="auto" w:frame="1"/>
          <w:lang w:val="en-US"/>
        </w:rPr>
      </w:pPr>
      <w:r w:rsidRPr="00211F88">
        <w:rPr>
          <w:rFonts w:eastAsia="Calibri"/>
          <w:b/>
          <w:bCs/>
          <w:bdr w:val="none" w:sz="0" w:space="0" w:color="auto" w:frame="1"/>
          <w:lang w:val="en-US"/>
        </w:rPr>
        <w:t>Admission Hyperglycemia as a Predictor of Adverse Outcome in Non-Diabetic STEMI Patients Treated by Primary Percutaneous Coronary Intervention</w:t>
      </w:r>
    </w:p>
    <w:p w:rsidR="00D31158" w:rsidRPr="00211F88" w:rsidRDefault="00D31158" w:rsidP="008B5D29">
      <w:pPr>
        <w:snapToGrid w:val="0"/>
        <w:jc w:val="center"/>
        <w:rPr>
          <w:rFonts w:eastAsia="Calibri"/>
          <w:b/>
          <w:bCs/>
          <w:bdr w:val="none" w:sz="0" w:space="0" w:color="auto" w:frame="1"/>
          <w:lang w:val="en-US"/>
        </w:rPr>
      </w:pPr>
    </w:p>
    <w:p w:rsidR="00D31158" w:rsidRPr="00211F88" w:rsidRDefault="00F60268" w:rsidP="008B5D29">
      <w:pPr>
        <w:snapToGrid w:val="0"/>
        <w:jc w:val="center"/>
        <w:rPr>
          <w:rFonts w:eastAsia="宋体"/>
          <w:lang w:eastAsia="zh-CN"/>
        </w:rPr>
      </w:pPr>
      <w:r w:rsidRPr="00211F88">
        <w:t>Marwa</w:t>
      </w:r>
      <w:r w:rsidR="00D31158" w:rsidRPr="00211F88">
        <w:t xml:space="preserve"> </w:t>
      </w:r>
      <w:r w:rsidRPr="00211F88">
        <w:t>R. salama</w:t>
      </w:r>
      <w:r w:rsidR="00D31158" w:rsidRPr="00211F88">
        <w:t xml:space="preserve"> </w:t>
      </w:r>
      <w:r w:rsidRPr="00211F88">
        <w:t>MSc, Ayman M. El saeed</w:t>
      </w:r>
      <w:r w:rsidR="00D31158" w:rsidRPr="00211F88">
        <w:t xml:space="preserve"> </w:t>
      </w:r>
      <w:r w:rsidR="00574FC8" w:rsidRPr="00211F88">
        <w:t xml:space="preserve">MD, </w:t>
      </w:r>
      <w:r w:rsidRPr="00211F88">
        <w:rPr>
          <w:lang w:val="en-US"/>
        </w:rPr>
        <w:t>Taymoor</w:t>
      </w:r>
      <w:r w:rsidR="00D31158" w:rsidRPr="00211F88">
        <w:rPr>
          <w:lang w:val="en-US"/>
        </w:rPr>
        <w:t xml:space="preserve"> </w:t>
      </w:r>
      <w:r w:rsidRPr="00211F88">
        <w:rPr>
          <w:lang w:val="en-US"/>
        </w:rPr>
        <w:t>M. Abd Allah</w:t>
      </w:r>
      <w:r w:rsidR="00D31158" w:rsidRPr="00211F88">
        <w:t xml:space="preserve"> </w:t>
      </w:r>
      <w:r w:rsidR="00574FC8" w:rsidRPr="00211F88">
        <w:t>MD</w:t>
      </w:r>
      <w:r w:rsidR="00203180" w:rsidRPr="00211F88">
        <w:t xml:space="preserve"> and</w:t>
      </w:r>
      <w:r w:rsidR="00574FC8" w:rsidRPr="00211F88">
        <w:t xml:space="preserve"> </w:t>
      </w:r>
      <w:r w:rsidRPr="00211F88">
        <w:rPr>
          <w:lang w:val="en-US"/>
        </w:rPr>
        <w:t>Ahmed F. Abd El Gawad Elaarag</w:t>
      </w:r>
      <w:r w:rsidRPr="00211F88">
        <w:t xml:space="preserve"> </w:t>
      </w:r>
      <w:r w:rsidR="00574FC8" w:rsidRPr="00211F88">
        <w:t>MD.</w:t>
      </w:r>
    </w:p>
    <w:p w:rsidR="00D31158" w:rsidRPr="00211F88" w:rsidRDefault="00837273" w:rsidP="008B5D29">
      <w:pPr>
        <w:snapToGrid w:val="0"/>
        <w:jc w:val="center"/>
        <w:rPr>
          <w:rFonts w:eastAsia="宋体"/>
          <w:lang w:eastAsia="zh-CN"/>
        </w:rPr>
      </w:pPr>
      <w:r w:rsidRPr="00211F88">
        <w:rPr>
          <w:rFonts w:eastAsia="宋体" w:hint="eastAsia"/>
          <w:lang w:eastAsia="zh-CN"/>
        </w:rPr>
        <w:t xml:space="preserve"> </w:t>
      </w:r>
    </w:p>
    <w:p w:rsidR="00D31158" w:rsidRPr="00211F88" w:rsidRDefault="00574FC8" w:rsidP="008B5D29">
      <w:pPr>
        <w:snapToGrid w:val="0"/>
        <w:jc w:val="center"/>
      </w:pPr>
      <w:r w:rsidRPr="00211F88">
        <w:t>Cardiology Department, Faculty of Medicine, Tanta University</w:t>
      </w:r>
      <w:r w:rsidR="00203180" w:rsidRPr="00211F88">
        <w:t>, Egypt.</w:t>
      </w:r>
    </w:p>
    <w:p w:rsidR="00D31158" w:rsidRPr="00211F88" w:rsidRDefault="00D31158" w:rsidP="008B5D29">
      <w:pPr>
        <w:snapToGrid w:val="0"/>
        <w:jc w:val="center"/>
      </w:pPr>
    </w:p>
    <w:p w:rsidR="00F97A70" w:rsidRPr="00211F88" w:rsidRDefault="00203180" w:rsidP="008B5D29">
      <w:pPr>
        <w:snapToGrid w:val="0"/>
        <w:jc w:val="both"/>
      </w:pPr>
      <w:r w:rsidRPr="00211F88">
        <w:rPr>
          <w:rStyle w:val="Heading1Char"/>
          <w:caps w:val="0"/>
          <w:sz w:val="20"/>
          <w:szCs w:val="20"/>
        </w:rPr>
        <w:t>Abstract</w:t>
      </w:r>
      <w:r w:rsidRPr="00211F88">
        <w:t xml:space="preserve">: </w:t>
      </w:r>
      <w:r w:rsidR="00574FC8" w:rsidRPr="00211F88">
        <w:rPr>
          <w:b/>
          <w:bCs/>
        </w:rPr>
        <w:t>Background</w:t>
      </w:r>
      <w:r w:rsidR="00574FC8" w:rsidRPr="00211F88">
        <w:t xml:space="preserve">: </w:t>
      </w:r>
      <w:r w:rsidR="005C647D" w:rsidRPr="00211F88">
        <w:t>Admission</w:t>
      </w:r>
      <w:r w:rsidR="00D31158" w:rsidRPr="00211F88">
        <w:t xml:space="preserve"> </w:t>
      </w:r>
      <w:r w:rsidR="001B3CFA" w:rsidRPr="00211F88">
        <w:t>hyper</w:t>
      </w:r>
      <w:r w:rsidR="005C647D" w:rsidRPr="00211F88">
        <w:t>glycemia is associated with high inhospital and long-term adverse events in patients that undergo primary percutaneous coronary intervention (PCI).</w:t>
      </w:r>
      <w:r w:rsidR="00D31158" w:rsidRPr="00211F88">
        <w:t xml:space="preserve"> </w:t>
      </w:r>
      <w:r w:rsidR="00574FC8" w:rsidRPr="00211F88">
        <w:rPr>
          <w:b/>
          <w:bCs/>
        </w:rPr>
        <w:t>Objectives:</w:t>
      </w:r>
      <w:r w:rsidR="00574FC8" w:rsidRPr="00211F88">
        <w:t xml:space="preserve"> </w:t>
      </w:r>
      <w:r w:rsidR="005C647D" w:rsidRPr="00211F88">
        <w:t>measure admission blood glucose level</w:t>
      </w:r>
      <w:r w:rsidR="0029178F" w:rsidRPr="00211F88">
        <w:t xml:space="preserve"> in </w:t>
      </w:r>
      <w:r w:rsidR="001B3CFA" w:rsidRPr="00211F88">
        <w:t xml:space="preserve">non </w:t>
      </w:r>
      <w:r w:rsidR="005C647D" w:rsidRPr="00211F88">
        <w:t xml:space="preserve">diabetic </w:t>
      </w:r>
      <w:r w:rsidR="0029178F" w:rsidRPr="00211F88">
        <w:t xml:space="preserve">patients with acute ST-elevation myocardial infarction who </w:t>
      </w:r>
      <w:r w:rsidR="001E1FF0" w:rsidRPr="00211F88">
        <w:t>were</w:t>
      </w:r>
      <w:r w:rsidR="0029178F" w:rsidRPr="00211F88">
        <w:t xml:space="preserve"> treated by primary PCI as a predictor of</w:t>
      </w:r>
      <w:r w:rsidR="005C647D" w:rsidRPr="00211F88">
        <w:rPr>
          <w:lang w:bidi="ar-EG"/>
        </w:rPr>
        <w:t xml:space="preserve"> </w:t>
      </w:r>
      <w:r w:rsidR="005C647D" w:rsidRPr="00211F88">
        <w:t>inhospital mortality</w:t>
      </w:r>
      <w:r w:rsidRPr="00211F88">
        <w:t xml:space="preserve">. </w:t>
      </w:r>
      <w:r w:rsidR="00574FC8" w:rsidRPr="00211F88">
        <w:rPr>
          <w:b/>
          <w:bCs/>
        </w:rPr>
        <w:t>Methods</w:t>
      </w:r>
      <w:r w:rsidR="00574FC8" w:rsidRPr="00211F88">
        <w:t xml:space="preserve">: </w:t>
      </w:r>
      <w:r w:rsidR="00F97A70" w:rsidRPr="00211F88">
        <w:rPr>
          <w:lang w:val="en-US" w:bidi="ar-EG"/>
        </w:rPr>
        <w:t>The patients were analyzed in subgroups categorized according to the groups of admission glucose measurements. Group</w:t>
      </w:r>
      <w:r w:rsidR="00D31158" w:rsidRPr="00211F88">
        <w:rPr>
          <w:lang w:val="en-US" w:bidi="ar-EG"/>
        </w:rPr>
        <w:t xml:space="preserve"> </w:t>
      </w:r>
      <w:r w:rsidR="00F97A70" w:rsidRPr="00211F88">
        <w:rPr>
          <w:lang w:val="en-US" w:bidi="ar-EG"/>
        </w:rPr>
        <w:t xml:space="preserve">I </w:t>
      </w:r>
      <w:r w:rsidR="00211F88">
        <w:rPr>
          <w:lang w:val="en-US" w:bidi="ar-EG"/>
        </w:rPr>
        <w:t>(</w:t>
      </w:r>
      <w:r w:rsidR="00F97A70" w:rsidRPr="00211F88">
        <w:rPr>
          <w:lang w:val="en-US" w:bidi="ar-EG"/>
        </w:rPr>
        <w:t>glucose equal or less than 110 mg/dl)</w:t>
      </w:r>
      <w:r w:rsidR="00D31158" w:rsidRPr="00211F88">
        <w:rPr>
          <w:lang w:val="en-US" w:bidi="ar-EG"/>
        </w:rPr>
        <w:t xml:space="preserve"> </w:t>
      </w:r>
      <w:r w:rsidR="00F97A70" w:rsidRPr="00211F88">
        <w:rPr>
          <w:lang w:val="en-US" w:bidi="ar-EG"/>
        </w:rPr>
        <w:t>- Group</w:t>
      </w:r>
      <w:r w:rsidR="00D31158" w:rsidRPr="00211F88">
        <w:rPr>
          <w:lang w:val="en-US" w:bidi="ar-EG"/>
        </w:rPr>
        <w:t xml:space="preserve"> </w:t>
      </w:r>
      <w:r w:rsidR="00F97A70" w:rsidRPr="00211F88">
        <w:rPr>
          <w:lang w:val="en-US" w:bidi="ar-EG"/>
        </w:rPr>
        <w:t>II</w:t>
      </w:r>
      <w:r w:rsidR="00D31158" w:rsidRPr="00211F88">
        <w:rPr>
          <w:lang w:val="en-US" w:bidi="ar-EG"/>
        </w:rPr>
        <w:t xml:space="preserve"> </w:t>
      </w:r>
      <w:r w:rsidR="00211F88">
        <w:rPr>
          <w:lang w:val="en-US" w:bidi="ar-EG"/>
        </w:rPr>
        <w:t>(</w:t>
      </w:r>
      <w:r w:rsidR="00F97A70" w:rsidRPr="00211F88">
        <w:rPr>
          <w:lang w:val="en-US" w:bidi="ar-EG"/>
        </w:rPr>
        <w:t>glucose from 111</w:t>
      </w:r>
      <w:r w:rsidR="00D31158" w:rsidRPr="00211F88">
        <w:rPr>
          <w:lang w:val="en-US" w:bidi="ar-EG"/>
        </w:rPr>
        <w:t xml:space="preserve"> </w:t>
      </w:r>
      <w:r w:rsidR="00F97A70" w:rsidRPr="00211F88">
        <w:rPr>
          <w:lang w:val="en-US" w:bidi="ar-EG"/>
        </w:rPr>
        <w:t>to 130 mg/dl)</w:t>
      </w:r>
      <w:r w:rsidR="00D31158" w:rsidRPr="00211F88">
        <w:rPr>
          <w:lang w:val="en-US" w:bidi="ar-EG"/>
        </w:rPr>
        <w:t xml:space="preserve"> </w:t>
      </w:r>
      <w:r w:rsidR="00F97A70" w:rsidRPr="00211F88">
        <w:rPr>
          <w:lang w:val="en-US" w:bidi="ar-EG"/>
        </w:rPr>
        <w:t>- Group</w:t>
      </w:r>
      <w:r w:rsidR="00D31158" w:rsidRPr="00211F88">
        <w:rPr>
          <w:lang w:val="en-US" w:bidi="ar-EG"/>
        </w:rPr>
        <w:t xml:space="preserve"> </w:t>
      </w:r>
      <w:r w:rsidR="00F97A70" w:rsidRPr="00211F88">
        <w:rPr>
          <w:lang w:val="en-US" w:bidi="ar-EG"/>
        </w:rPr>
        <w:t>III</w:t>
      </w:r>
      <w:r w:rsidR="00D31158" w:rsidRPr="00211F88">
        <w:rPr>
          <w:lang w:val="en-US" w:bidi="ar-EG"/>
        </w:rPr>
        <w:t xml:space="preserve"> </w:t>
      </w:r>
      <w:r w:rsidR="00F97A70" w:rsidRPr="00211F88">
        <w:rPr>
          <w:lang w:val="en-US" w:bidi="ar-EG"/>
        </w:rPr>
        <w:t xml:space="preserve">(glucose level above 131 mg/dl.). The study compared between those three groups in the acute stage during hospitalization of the patients according to TIMI Flow and Major Adverse cardiac event </w:t>
      </w:r>
      <w:r w:rsidR="00211F88">
        <w:rPr>
          <w:lang w:val="en-US" w:bidi="ar-EG"/>
        </w:rPr>
        <w:t>(</w:t>
      </w:r>
      <w:r w:rsidR="00F97A70" w:rsidRPr="00211F88">
        <w:rPr>
          <w:lang w:val="en-US" w:bidi="ar-EG"/>
        </w:rPr>
        <w:t>MACE)</w:t>
      </w:r>
      <w:r w:rsidR="00D31158" w:rsidRPr="00211F88">
        <w:rPr>
          <w:lang w:val="en-US" w:bidi="ar-EG"/>
        </w:rPr>
        <w:t xml:space="preserve"> </w:t>
      </w:r>
      <w:r w:rsidR="00F97A70" w:rsidRPr="00211F88">
        <w:rPr>
          <w:lang w:val="en-US" w:bidi="ar-EG"/>
        </w:rPr>
        <w:t xml:space="preserve">(Cardiogenic shock - Periprocedural Death Ventricular arrhythmia – Re infarction- Contrast induced nephropathy </w:t>
      </w:r>
      <w:r w:rsidRPr="00211F88">
        <w:rPr>
          <w:lang w:val="en-US" w:bidi="ar-EG"/>
        </w:rPr>
        <w:t>Acute heart failure</w:t>
      </w:r>
      <w:r w:rsidR="00F97A70" w:rsidRPr="00211F88">
        <w:rPr>
          <w:lang w:val="en-US" w:bidi="ar-EG"/>
        </w:rPr>
        <w:t>)</w:t>
      </w:r>
      <w:r w:rsidRPr="00211F88">
        <w:rPr>
          <w:lang w:val="en-US" w:bidi="ar-EG"/>
        </w:rPr>
        <w:t>.</w:t>
      </w:r>
      <w:r w:rsidR="00D31158" w:rsidRPr="00211F88">
        <w:rPr>
          <w:lang w:val="en-US" w:bidi="ar-EG"/>
        </w:rPr>
        <w:t xml:space="preserve"> </w:t>
      </w:r>
      <w:r w:rsidR="00574FC8" w:rsidRPr="00211F88">
        <w:rPr>
          <w:b/>
          <w:bCs/>
        </w:rPr>
        <w:t>Results</w:t>
      </w:r>
      <w:r w:rsidR="00574FC8" w:rsidRPr="00211F88">
        <w:t xml:space="preserve">: </w:t>
      </w:r>
      <w:r w:rsidR="001B3CFA" w:rsidRPr="00211F88">
        <w:t>H</w:t>
      </w:r>
      <w:r w:rsidR="00F97A70" w:rsidRPr="00211F88">
        <w:t>igh admission blood glucose associated with more LV systolic dysfunction</w:t>
      </w:r>
      <w:r w:rsidR="00D31158" w:rsidRPr="00211F88">
        <w:t>.</w:t>
      </w:r>
      <w:r w:rsidR="00F97A70" w:rsidRPr="00211F88">
        <w:t xml:space="preserve"> In addition recurrent anginal attacks, arrhythmias and cardiogenic shock were also more frequent among those patients. Hyperglycemia can cause QT-interval prolongation</w:t>
      </w:r>
      <w:r w:rsidR="00D31158" w:rsidRPr="00211F88">
        <w:t>,</w:t>
      </w:r>
      <w:r w:rsidR="00F97A70" w:rsidRPr="00211F88">
        <w:t xml:space="preserve"> which can trigger ventricular arrhythmias in those with underlying coronary artery disease</w:t>
      </w:r>
      <w:r w:rsidR="00D31158" w:rsidRPr="00211F88">
        <w:t>.</w:t>
      </w:r>
      <w:r w:rsidR="00F97A70" w:rsidRPr="00211F88">
        <w:t xml:space="preserve"> also associated with increase risk for developing contrast induced nephropathy</w:t>
      </w:r>
      <w:r w:rsidR="00D31158" w:rsidRPr="00211F88">
        <w:t xml:space="preserve"> </w:t>
      </w:r>
      <w:r w:rsidR="00F97A70" w:rsidRPr="00211F88">
        <w:t>In Our study we found that Patients with elevated blood glucose level</w:t>
      </w:r>
      <w:r w:rsidR="00D31158" w:rsidRPr="00211F88">
        <w:t xml:space="preserve"> </w:t>
      </w:r>
      <w:r w:rsidR="00F97A70" w:rsidRPr="00211F88">
        <w:t>had</w:t>
      </w:r>
      <w:r w:rsidR="00D31158" w:rsidRPr="00211F88">
        <w:t xml:space="preserve"> </w:t>
      </w:r>
      <w:r w:rsidR="00F97A70" w:rsidRPr="00211F88">
        <w:t>high level of CKMB due to more necrosis of myocardium.</w:t>
      </w:r>
      <w:r w:rsidRPr="00211F88">
        <w:t xml:space="preserve"> </w:t>
      </w:r>
      <w:r w:rsidR="00F97A70" w:rsidRPr="00211F88">
        <w:t>Also had high risk for developing TIMI 0 or “no-reflow” and peri-procedural death - cardiogenic shock – ventricular arrhythmia- acute heart failure –re infarction – contrast induced nephropathy.</w:t>
      </w:r>
    </w:p>
    <w:p w:rsidR="008B5D29" w:rsidRPr="00211F88" w:rsidRDefault="00203180" w:rsidP="008B5D29">
      <w:pPr>
        <w:snapToGrid w:val="0"/>
        <w:jc w:val="both"/>
        <w:rPr>
          <w:rFonts w:eastAsia="Calibri"/>
          <w:b/>
          <w:bCs/>
          <w:bdr w:val="none" w:sz="0" w:space="0" w:color="auto" w:frame="1"/>
          <w:lang w:val="en-US"/>
        </w:rPr>
      </w:pPr>
      <w:r w:rsidRPr="00211F88">
        <w:rPr>
          <w:b/>
          <w:bCs/>
        </w:rPr>
        <w:t>[</w:t>
      </w:r>
      <w:r w:rsidRPr="00211F88">
        <w:t>Marwa</w:t>
      </w:r>
      <w:r w:rsidR="00D31158" w:rsidRPr="00211F88">
        <w:t xml:space="preserve"> </w:t>
      </w:r>
      <w:r w:rsidRPr="00211F88">
        <w:t xml:space="preserve">R. salama, Ayman M. El saeed, </w:t>
      </w:r>
      <w:r w:rsidRPr="00211F88">
        <w:rPr>
          <w:lang w:val="en-US"/>
        </w:rPr>
        <w:t>Taymoor</w:t>
      </w:r>
      <w:r w:rsidR="00D31158" w:rsidRPr="00211F88">
        <w:rPr>
          <w:lang w:val="en-US"/>
        </w:rPr>
        <w:t xml:space="preserve"> </w:t>
      </w:r>
      <w:r w:rsidRPr="00211F88">
        <w:rPr>
          <w:lang w:val="en-US"/>
        </w:rPr>
        <w:t>M. Abd Allah</w:t>
      </w:r>
      <w:r w:rsidRPr="00211F88">
        <w:t xml:space="preserve"> and </w:t>
      </w:r>
      <w:r w:rsidRPr="00211F88">
        <w:rPr>
          <w:lang w:val="en-US"/>
        </w:rPr>
        <w:t>Ahmed F. Abd El Gawad Elaarag</w:t>
      </w:r>
      <w:r w:rsidRPr="00211F88">
        <w:t xml:space="preserve">. </w:t>
      </w:r>
      <w:r w:rsidRPr="00211F88">
        <w:rPr>
          <w:rFonts w:eastAsia="Calibri"/>
          <w:b/>
          <w:bCs/>
          <w:bdr w:val="none" w:sz="0" w:space="0" w:color="auto" w:frame="1"/>
          <w:lang w:val="en-US"/>
        </w:rPr>
        <w:t>Admission Hyperglycemia as a Predictor of Adverse Outcome in Non-Diabetic STEMI Patients Treated by Primary Percutaneous Coronary Intervention</w:t>
      </w:r>
      <w:r w:rsidR="008B5D29" w:rsidRPr="00211F88">
        <w:rPr>
          <w:b/>
          <w:bCs/>
          <w:lang w:bidi="fa-IR"/>
        </w:rPr>
        <w:t>.</w:t>
      </w:r>
      <w:r w:rsidR="008B5D29" w:rsidRPr="00211F88">
        <w:rPr>
          <w:bCs/>
          <w:i/>
        </w:rPr>
        <w:t xml:space="preserve"> N Y Sci J</w:t>
      </w:r>
      <w:r w:rsidR="008B5D29" w:rsidRPr="00211F88">
        <w:rPr>
          <w:bCs/>
        </w:rPr>
        <w:t xml:space="preserve"> </w:t>
      </w:r>
      <w:r w:rsidR="008B5D29" w:rsidRPr="00211F88">
        <w:t>201</w:t>
      </w:r>
      <w:r w:rsidR="008B5D29" w:rsidRPr="00211F88">
        <w:rPr>
          <w:rFonts w:hint="eastAsia"/>
        </w:rPr>
        <w:t>9</w:t>
      </w:r>
      <w:r w:rsidR="008B5D29" w:rsidRPr="00211F88">
        <w:t>;</w:t>
      </w:r>
      <w:r w:rsidR="008B5D29" w:rsidRPr="00211F88">
        <w:rPr>
          <w:rFonts w:hint="eastAsia"/>
        </w:rPr>
        <w:t>12</w:t>
      </w:r>
      <w:r w:rsidR="008B5D29" w:rsidRPr="00211F88">
        <w:t>(</w:t>
      </w:r>
      <w:r w:rsidR="008B5D29" w:rsidRPr="00211F88">
        <w:rPr>
          <w:rFonts w:hint="eastAsia"/>
        </w:rPr>
        <w:t>12</w:t>
      </w:r>
      <w:r w:rsidR="008B5D29" w:rsidRPr="00211F88">
        <w:t>):</w:t>
      </w:r>
      <w:r w:rsidR="001B0F29" w:rsidRPr="00211F88">
        <w:rPr>
          <w:noProof/>
          <w:color w:val="000000"/>
        </w:rPr>
        <w:t>7</w:t>
      </w:r>
      <w:r w:rsidR="002001D5" w:rsidRPr="00211F88">
        <w:rPr>
          <w:rFonts w:eastAsiaTheme="minorEastAsia" w:hint="eastAsia"/>
          <w:noProof/>
          <w:color w:val="000000"/>
          <w:lang w:eastAsia="zh-CN"/>
        </w:rPr>
        <w:t>2</w:t>
      </w:r>
      <w:r w:rsidR="001B0F29" w:rsidRPr="00211F88">
        <w:rPr>
          <w:noProof/>
          <w:color w:val="000000"/>
        </w:rPr>
        <w:t>-7</w:t>
      </w:r>
      <w:r w:rsidR="002001D5" w:rsidRPr="00211F88">
        <w:rPr>
          <w:rFonts w:eastAsiaTheme="minorEastAsia" w:hint="eastAsia"/>
          <w:noProof/>
          <w:color w:val="000000"/>
          <w:lang w:eastAsia="zh-CN"/>
        </w:rPr>
        <w:t>9</w:t>
      </w:r>
      <w:r w:rsidR="008B5D29" w:rsidRPr="00211F88">
        <w:t xml:space="preserve">]. </w:t>
      </w:r>
      <w:r w:rsidR="008B5D29" w:rsidRPr="00211F88">
        <w:rPr>
          <w:iCs/>
          <w:color w:val="000000"/>
        </w:rPr>
        <w:t>ISSN 1554-0200 (print); ISSN 2375-723X (online)</w:t>
      </w:r>
      <w:r w:rsidR="008B5D29" w:rsidRPr="00211F88">
        <w:t xml:space="preserve">. </w:t>
      </w:r>
      <w:hyperlink r:id="rId8" w:history="1">
        <w:r w:rsidR="008B5D29" w:rsidRPr="00211F88">
          <w:rPr>
            <w:rStyle w:val="Hyperlink"/>
          </w:rPr>
          <w:t>http://www.sciencepub.net/newyork</w:t>
        </w:r>
      </w:hyperlink>
      <w:r w:rsidR="008B5D29" w:rsidRPr="00211F88">
        <w:t xml:space="preserve">. </w:t>
      </w:r>
      <w:r w:rsidR="008B5D29" w:rsidRPr="00211F88">
        <w:rPr>
          <w:rFonts w:eastAsiaTheme="minorEastAsia" w:hint="eastAsia"/>
          <w:lang w:eastAsia="zh-CN"/>
        </w:rPr>
        <w:t>10</w:t>
      </w:r>
      <w:r w:rsidR="008B5D29" w:rsidRPr="00211F88">
        <w:rPr>
          <w:rFonts w:hint="eastAsia"/>
        </w:rPr>
        <w:t xml:space="preserve">. </w:t>
      </w:r>
      <w:r w:rsidR="008B5D29" w:rsidRPr="00211F88">
        <w:rPr>
          <w:color w:val="000000"/>
          <w:shd w:val="clear" w:color="auto" w:fill="FFFFFF"/>
        </w:rPr>
        <w:t>doi:</w:t>
      </w:r>
      <w:hyperlink r:id="rId9" w:history="1">
        <w:r w:rsidR="008B5D29" w:rsidRPr="00211F88">
          <w:rPr>
            <w:rStyle w:val="Hyperlink"/>
            <w:shd w:val="clear" w:color="auto" w:fill="FFFFFF"/>
          </w:rPr>
          <w:t>10.7537/mars</w:t>
        </w:r>
        <w:r w:rsidR="008B5D29" w:rsidRPr="00211F88">
          <w:rPr>
            <w:rStyle w:val="Hyperlink"/>
            <w:rFonts w:hint="eastAsia"/>
            <w:shd w:val="clear" w:color="auto" w:fill="FFFFFF"/>
          </w:rPr>
          <w:t>nys121219.</w:t>
        </w:r>
        <w:r w:rsidR="008B5D29" w:rsidRPr="00211F88">
          <w:rPr>
            <w:rStyle w:val="Hyperlink"/>
            <w:rFonts w:eastAsiaTheme="minorEastAsia" w:hint="eastAsia"/>
            <w:shd w:val="clear" w:color="auto" w:fill="FFFFFF"/>
            <w:lang w:eastAsia="zh-CN"/>
          </w:rPr>
          <w:t>10</w:t>
        </w:r>
      </w:hyperlink>
      <w:r w:rsidR="008B5D29" w:rsidRPr="00211F88">
        <w:rPr>
          <w:color w:val="000000"/>
          <w:shd w:val="clear" w:color="auto" w:fill="FFFFFF"/>
        </w:rPr>
        <w:t>.</w:t>
      </w:r>
    </w:p>
    <w:p w:rsidR="00203180" w:rsidRPr="00211F88" w:rsidRDefault="00203180" w:rsidP="008B5D29">
      <w:pPr>
        <w:snapToGrid w:val="0"/>
        <w:jc w:val="both"/>
        <w:rPr>
          <w:b/>
          <w:bCs/>
        </w:rPr>
      </w:pPr>
    </w:p>
    <w:p w:rsidR="0068032F" w:rsidRPr="00211F88" w:rsidRDefault="00574FC8" w:rsidP="008B5D29">
      <w:pPr>
        <w:snapToGrid w:val="0"/>
        <w:jc w:val="both"/>
        <w:rPr>
          <w:b/>
          <w:caps/>
        </w:rPr>
      </w:pPr>
      <w:r w:rsidRPr="00211F88">
        <w:rPr>
          <w:b/>
          <w:bCs/>
        </w:rPr>
        <w:t>Keywords</w:t>
      </w:r>
      <w:r w:rsidRPr="00211F88">
        <w:t xml:space="preserve">: </w:t>
      </w:r>
      <w:r w:rsidR="002F6C1C" w:rsidRPr="00211F88">
        <w:t>hyperglycemia, ST-segment elevation myocardial</w:t>
      </w:r>
      <w:r w:rsidR="00D31158" w:rsidRPr="00211F88">
        <w:t xml:space="preserve"> </w:t>
      </w:r>
      <w:r w:rsidR="002F6C1C" w:rsidRPr="00211F88">
        <w:t>infarction, mortality, major adverse cardiac events</w:t>
      </w:r>
    </w:p>
    <w:p w:rsidR="00E05CF6" w:rsidRPr="00211F88" w:rsidRDefault="00E05CF6" w:rsidP="008B5D29">
      <w:pPr>
        <w:autoSpaceDE w:val="0"/>
        <w:autoSpaceDN w:val="0"/>
        <w:adjustRightInd w:val="0"/>
        <w:snapToGrid w:val="0"/>
        <w:jc w:val="both"/>
        <w:rPr>
          <w:rStyle w:val="Heading1Char"/>
          <w:sz w:val="20"/>
          <w:szCs w:val="20"/>
        </w:rPr>
      </w:pPr>
    </w:p>
    <w:p w:rsidR="008B5D29" w:rsidRPr="00211F88" w:rsidRDefault="008B5D29" w:rsidP="008B5D29">
      <w:pPr>
        <w:autoSpaceDE w:val="0"/>
        <w:autoSpaceDN w:val="0"/>
        <w:adjustRightInd w:val="0"/>
        <w:snapToGrid w:val="0"/>
        <w:jc w:val="both"/>
        <w:rPr>
          <w:rStyle w:val="Heading1Char"/>
          <w:caps w:val="0"/>
          <w:sz w:val="20"/>
          <w:szCs w:val="20"/>
        </w:rPr>
        <w:sectPr w:rsidR="008B5D29" w:rsidRPr="00211F88" w:rsidSect="002001D5">
          <w:headerReference w:type="default" r:id="rId10"/>
          <w:footerReference w:type="default" r:id="rId11"/>
          <w:type w:val="continuous"/>
          <w:pgSz w:w="12240" w:h="15840" w:code="1"/>
          <w:pgMar w:top="1440" w:right="1440" w:bottom="1440" w:left="1440" w:header="720" w:footer="720" w:gutter="0"/>
          <w:pgNumType w:start="72"/>
          <w:cols w:space="720"/>
          <w:docGrid w:linePitch="360"/>
        </w:sectPr>
      </w:pPr>
    </w:p>
    <w:p w:rsidR="00F53A31" w:rsidRPr="00211F88" w:rsidRDefault="00203180" w:rsidP="008B5D29">
      <w:pPr>
        <w:autoSpaceDE w:val="0"/>
        <w:autoSpaceDN w:val="0"/>
        <w:adjustRightInd w:val="0"/>
        <w:snapToGrid w:val="0"/>
        <w:jc w:val="both"/>
        <w:rPr>
          <w:b/>
          <w:bCs/>
        </w:rPr>
      </w:pPr>
      <w:r w:rsidRPr="00211F88">
        <w:rPr>
          <w:rStyle w:val="Heading1Char"/>
          <w:caps w:val="0"/>
          <w:sz w:val="20"/>
          <w:szCs w:val="20"/>
        </w:rPr>
        <w:lastRenderedPageBreak/>
        <w:t>1. Introduction</w:t>
      </w:r>
    </w:p>
    <w:p w:rsidR="00F60268" w:rsidRPr="00211F88" w:rsidRDefault="00F60268" w:rsidP="008B5D29">
      <w:pPr>
        <w:snapToGrid w:val="0"/>
        <w:ind w:firstLine="425"/>
        <w:jc w:val="both"/>
        <w:rPr>
          <w:vertAlign w:val="superscript"/>
        </w:rPr>
      </w:pPr>
      <w:r w:rsidRPr="00211F88">
        <w:t>Diabetes and cardiovascular diseases (CVD) sometimes appear as twin pathologies. On one side, diabetes mellitus (DM) has always been accompanied with coronary artery disease (CAD), and on the other hand, many patients with established coronary artery disease (CAD) are found to be diabetics or suffering from one of its pre-states.</w:t>
      </w:r>
      <w:r w:rsidR="000F147F" w:rsidRPr="00211F88">
        <w:t xml:space="preserve"> </w:t>
      </w:r>
      <w:r w:rsidR="00F5779D" w:rsidRPr="00211F88">
        <w:rPr>
          <w:vertAlign w:val="superscript"/>
        </w:rPr>
        <w:t>1</w:t>
      </w:r>
    </w:p>
    <w:p w:rsidR="00D31158" w:rsidRPr="00211F88" w:rsidRDefault="00F60268" w:rsidP="008B5D29">
      <w:pPr>
        <w:snapToGrid w:val="0"/>
        <w:ind w:firstLine="425"/>
        <w:jc w:val="both"/>
        <w:rPr>
          <w:vertAlign w:val="superscript"/>
        </w:rPr>
      </w:pPr>
      <w:r w:rsidRPr="00211F88">
        <w:t xml:space="preserve">Although DM is a prominent risk factor for CAD, new information is now available suggesting the need for a careful consideration not only for DM, but also of other disturbances of glucose metabolism, such as impaired glucose tolerance (IGT), to the degree that some reviews consider it as an independent risk factor for cardiovascular disease morbidity and mortality. </w:t>
      </w:r>
      <w:r w:rsidR="00F5779D" w:rsidRPr="00211F88">
        <w:rPr>
          <w:vertAlign w:val="superscript"/>
        </w:rPr>
        <w:t>2</w:t>
      </w:r>
    </w:p>
    <w:p w:rsidR="00F60268" w:rsidRPr="00211F88" w:rsidRDefault="00D31158" w:rsidP="008B5D29">
      <w:pPr>
        <w:snapToGrid w:val="0"/>
        <w:ind w:firstLine="425"/>
        <w:jc w:val="both"/>
      </w:pPr>
      <w:r w:rsidRPr="00211F88">
        <w:tab/>
      </w:r>
      <w:r w:rsidR="00F60268" w:rsidRPr="00211F88">
        <w:t>Previous studies have indicated that there is an increased prevalence of glucose abnormalities in patients admitted with acute coronary syndromes (ACSs), both during and after stay in the coronary care unit (CCU), in those with and without known diabetes mellitus (DM).</w:t>
      </w:r>
      <w:r w:rsidR="00F5779D" w:rsidRPr="00211F88">
        <w:rPr>
          <w:vertAlign w:val="superscript"/>
        </w:rPr>
        <w:t>3</w:t>
      </w:r>
      <w:r w:rsidR="000F147F" w:rsidRPr="00211F88">
        <w:t xml:space="preserve"> </w:t>
      </w:r>
    </w:p>
    <w:p w:rsidR="00F60268" w:rsidRPr="00211F88" w:rsidRDefault="00F60268" w:rsidP="008B5D29">
      <w:pPr>
        <w:snapToGrid w:val="0"/>
        <w:ind w:firstLine="425"/>
        <w:jc w:val="both"/>
        <w:rPr>
          <w:lang w:val="en-US"/>
        </w:rPr>
      </w:pPr>
      <w:r w:rsidRPr="00211F88">
        <w:t xml:space="preserve">Patients with DM and even impaired glucose tolerance have increased severity of coronary artery </w:t>
      </w:r>
      <w:r w:rsidRPr="00211F88">
        <w:lastRenderedPageBreak/>
        <w:t>disease (CAD). Impaired glucose metabolism duri</w:t>
      </w:r>
      <w:r w:rsidR="001F470F" w:rsidRPr="00211F88">
        <w:t xml:space="preserve">ng acute coronary events in non </w:t>
      </w:r>
      <w:r w:rsidRPr="00211F88">
        <w:t>diabetic patients could be due to stress-induced activation of cortisol and noradrenaline, growth hormone, and glucagon release. In patients with and without known DM, increased glucose concentrations on admission are known to be predictive of long-term morbidity and mortality and could be used as a marker for risk score assessment.</w:t>
      </w:r>
      <w:r w:rsidR="00F5779D" w:rsidRPr="00211F88">
        <w:rPr>
          <w:vertAlign w:val="superscript"/>
        </w:rPr>
        <w:t>4</w:t>
      </w:r>
      <w:r w:rsidR="000F147F" w:rsidRPr="00211F88">
        <w:rPr>
          <w:lang w:val="en-US"/>
        </w:rPr>
        <w:t xml:space="preserve"> </w:t>
      </w:r>
    </w:p>
    <w:p w:rsidR="00D31158" w:rsidRPr="00211F88" w:rsidRDefault="00203180" w:rsidP="008B5D29">
      <w:pPr>
        <w:pStyle w:val="Els-Abstract-text"/>
        <w:snapToGrid w:val="0"/>
        <w:spacing w:after="0" w:line="240" w:lineRule="auto"/>
        <w:rPr>
          <w:b/>
          <w:bCs/>
          <w:sz w:val="20"/>
        </w:rPr>
      </w:pPr>
      <w:r w:rsidRPr="00211F88">
        <w:rPr>
          <w:rStyle w:val="Heading1Char"/>
          <w:caps w:val="0"/>
          <w:sz w:val="20"/>
          <w:szCs w:val="20"/>
        </w:rPr>
        <w:t>Aim of the Work</w:t>
      </w:r>
    </w:p>
    <w:p w:rsidR="00F60268" w:rsidRPr="00211F88" w:rsidRDefault="00F60268" w:rsidP="008B5D29">
      <w:pPr>
        <w:snapToGrid w:val="0"/>
        <w:ind w:firstLine="425"/>
        <w:jc w:val="both"/>
      </w:pPr>
      <w:r w:rsidRPr="00211F88">
        <w:t>This work aims to determine the potential association between serum blood glucose at admission and mortality, major adverse cardiac events and angiographic findings in patients pre</w:t>
      </w:r>
      <w:r w:rsidR="00207AEF" w:rsidRPr="00211F88">
        <w:t>senting by STEMI and treated by</w:t>
      </w:r>
      <w:r w:rsidRPr="00211F88">
        <w:t xml:space="preserve"> primary PCI.</w:t>
      </w:r>
    </w:p>
    <w:p w:rsidR="00203180" w:rsidRPr="00211F88" w:rsidRDefault="00203180" w:rsidP="008B5D29">
      <w:pPr>
        <w:pStyle w:val="Els-Abstract-text"/>
        <w:snapToGrid w:val="0"/>
        <w:spacing w:after="0" w:line="240" w:lineRule="auto"/>
        <w:rPr>
          <w:rStyle w:val="Heading1Char"/>
          <w:caps w:val="0"/>
          <w:sz w:val="20"/>
          <w:szCs w:val="20"/>
        </w:rPr>
      </w:pPr>
    </w:p>
    <w:p w:rsidR="00DA6A6B" w:rsidRPr="00211F88" w:rsidRDefault="00203180" w:rsidP="008B5D29">
      <w:pPr>
        <w:pStyle w:val="Els-Abstract-text"/>
        <w:snapToGrid w:val="0"/>
        <w:spacing w:after="0" w:line="240" w:lineRule="auto"/>
        <w:rPr>
          <w:b/>
          <w:bCs/>
          <w:sz w:val="20"/>
        </w:rPr>
      </w:pPr>
      <w:r w:rsidRPr="00211F88">
        <w:rPr>
          <w:rStyle w:val="Heading1Char"/>
          <w:caps w:val="0"/>
          <w:sz w:val="20"/>
          <w:szCs w:val="20"/>
        </w:rPr>
        <w:t>2. Patients and methods</w:t>
      </w:r>
      <w:r w:rsidRPr="00211F88">
        <w:rPr>
          <w:b/>
          <w:bCs/>
          <w:sz w:val="20"/>
        </w:rPr>
        <w:t>:</w:t>
      </w:r>
    </w:p>
    <w:p w:rsidR="001B0F29" w:rsidRPr="00211F88" w:rsidRDefault="00A579DA" w:rsidP="008B5D29">
      <w:pPr>
        <w:snapToGrid w:val="0"/>
        <w:ind w:firstLine="425"/>
        <w:jc w:val="both"/>
        <w:rPr>
          <w:lang w:val="en-US" w:bidi="ar-EG"/>
        </w:rPr>
        <w:sectPr w:rsidR="001B0F29" w:rsidRPr="00211F88" w:rsidSect="008B5D29">
          <w:type w:val="continuous"/>
          <w:pgSz w:w="12240" w:h="15840" w:code="1"/>
          <w:pgMar w:top="1440" w:right="1440" w:bottom="1440" w:left="1440" w:header="720" w:footer="720" w:gutter="0"/>
          <w:cols w:num="2" w:space="500"/>
          <w:docGrid w:linePitch="360"/>
        </w:sectPr>
      </w:pPr>
      <w:r w:rsidRPr="00211F88">
        <w:rPr>
          <w:lang w:val="en-US" w:bidi="ar-EG"/>
        </w:rPr>
        <w:t>This study was conducted on non-diabetic patients admitted with STEMI and treated with primary PCI at cardiovascular medicine department Tanta university hospitals within 6 months starting from June 2018. The patients were analyzed in subgroups categorized according to the groups of admission glucose measurements. Group</w:t>
      </w:r>
      <w:r w:rsidR="00D31158" w:rsidRPr="00211F88">
        <w:rPr>
          <w:lang w:val="en-US" w:bidi="ar-EG"/>
        </w:rPr>
        <w:t xml:space="preserve"> </w:t>
      </w:r>
      <w:r w:rsidRPr="00211F88">
        <w:rPr>
          <w:lang w:val="en-US" w:bidi="ar-EG"/>
        </w:rPr>
        <w:t xml:space="preserve">I </w:t>
      </w:r>
      <w:r w:rsidR="00211F88">
        <w:rPr>
          <w:lang w:val="en-US" w:bidi="ar-EG"/>
        </w:rPr>
        <w:t>(</w:t>
      </w:r>
      <w:r w:rsidRPr="00211F88">
        <w:rPr>
          <w:lang w:val="en-US" w:bidi="ar-EG"/>
        </w:rPr>
        <w:t xml:space="preserve">glucose </w:t>
      </w:r>
    </w:p>
    <w:p w:rsidR="00A579DA" w:rsidRPr="00211F88" w:rsidRDefault="00A579DA" w:rsidP="001B0F29">
      <w:pPr>
        <w:snapToGrid w:val="0"/>
        <w:jc w:val="both"/>
        <w:rPr>
          <w:lang w:val="en-US" w:bidi="ar-EG"/>
        </w:rPr>
      </w:pPr>
      <w:r w:rsidRPr="00211F88">
        <w:rPr>
          <w:lang w:val="en-US" w:bidi="ar-EG"/>
        </w:rPr>
        <w:lastRenderedPageBreak/>
        <w:t>equal or less than 110 mg/dl)</w:t>
      </w:r>
      <w:r w:rsidR="00D31158" w:rsidRPr="00211F88">
        <w:rPr>
          <w:lang w:val="en-US" w:bidi="ar-EG"/>
        </w:rPr>
        <w:t xml:space="preserve"> </w:t>
      </w:r>
      <w:r w:rsidRPr="00211F88">
        <w:rPr>
          <w:lang w:val="en-US" w:bidi="ar-EG"/>
        </w:rPr>
        <w:t>- Group</w:t>
      </w:r>
      <w:r w:rsidR="00D31158" w:rsidRPr="00211F88">
        <w:rPr>
          <w:lang w:val="en-US" w:bidi="ar-EG"/>
        </w:rPr>
        <w:t xml:space="preserve"> </w:t>
      </w:r>
      <w:r w:rsidRPr="00211F88">
        <w:rPr>
          <w:lang w:val="en-US" w:bidi="ar-EG"/>
        </w:rPr>
        <w:t>II</w:t>
      </w:r>
      <w:r w:rsidR="00D31158" w:rsidRPr="00211F88">
        <w:rPr>
          <w:lang w:val="en-US" w:bidi="ar-EG"/>
        </w:rPr>
        <w:t xml:space="preserve"> </w:t>
      </w:r>
      <w:r w:rsidR="00211F88">
        <w:rPr>
          <w:lang w:val="en-US" w:bidi="ar-EG"/>
        </w:rPr>
        <w:t>(</w:t>
      </w:r>
      <w:r w:rsidRPr="00211F88">
        <w:rPr>
          <w:lang w:val="en-US" w:bidi="ar-EG"/>
        </w:rPr>
        <w:t>glucose from 111</w:t>
      </w:r>
      <w:r w:rsidR="00D31158" w:rsidRPr="00211F88">
        <w:rPr>
          <w:lang w:val="en-US" w:bidi="ar-EG"/>
        </w:rPr>
        <w:t xml:space="preserve"> </w:t>
      </w:r>
      <w:r w:rsidRPr="00211F88">
        <w:rPr>
          <w:lang w:val="en-US" w:bidi="ar-EG"/>
        </w:rPr>
        <w:t>to 130 mg/dl)</w:t>
      </w:r>
      <w:r w:rsidR="00D31158" w:rsidRPr="00211F88">
        <w:rPr>
          <w:lang w:val="en-US" w:bidi="ar-EG"/>
        </w:rPr>
        <w:t xml:space="preserve"> </w:t>
      </w:r>
      <w:r w:rsidRPr="00211F88">
        <w:rPr>
          <w:lang w:val="en-US" w:bidi="ar-EG"/>
        </w:rPr>
        <w:t>- Group</w:t>
      </w:r>
      <w:r w:rsidR="00D31158" w:rsidRPr="00211F88">
        <w:rPr>
          <w:lang w:val="en-US" w:bidi="ar-EG"/>
        </w:rPr>
        <w:t xml:space="preserve"> </w:t>
      </w:r>
      <w:r w:rsidRPr="00211F88">
        <w:rPr>
          <w:lang w:val="en-US" w:bidi="ar-EG"/>
        </w:rPr>
        <w:t>III</w:t>
      </w:r>
      <w:r w:rsidR="00D31158" w:rsidRPr="00211F88">
        <w:rPr>
          <w:lang w:val="en-US" w:bidi="ar-EG"/>
        </w:rPr>
        <w:t xml:space="preserve"> </w:t>
      </w:r>
      <w:r w:rsidRPr="00211F88">
        <w:rPr>
          <w:lang w:val="en-US" w:bidi="ar-EG"/>
        </w:rPr>
        <w:t>(glucose level above 131 mg/dl.).</w:t>
      </w:r>
      <w:r w:rsidR="00721416" w:rsidRPr="00211F88">
        <w:rPr>
          <w:lang w:val="en-US" w:bidi="ar-EG"/>
        </w:rPr>
        <w:t xml:space="preserve"> The study compared between those three groups in the acute stage during hospitalization of the patients according to TIMI Flow and Major Adverse cardiac event </w:t>
      </w:r>
      <w:r w:rsidR="00211F88">
        <w:rPr>
          <w:lang w:val="en-US" w:bidi="ar-EG"/>
        </w:rPr>
        <w:t>(</w:t>
      </w:r>
      <w:r w:rsidR="00721416" w:rsidRPr="00211F88">
        <w:rPr>
          <w:lang w:val="en-US" w:bidi="ar-EG"/>
        </w:rPr>
        <w:t>MACE)</w:t>
      </w:r>
      <w:r w:rsidR="00D31158" w:rsidRPr="00211F88">
        <w:rPr>
          <w:lang w:val="en-US" w:bidi="ar-EG"/>
        </w:rPr>
        <w:t xml:space="preserve"> </w:t>
      </w:r>
      <w:r w:rsidR="00DD1335" w:rsidRPr="00211F88">
        <w:rPr>
          <w:lang w:val="en-US" w:bidi="ar-EG"/>
        </w:rPr>
        <w:t>(</w:t>
      </w:r>
      <w:r w:rsidR="00721416" w:rsidRPr="00211F88">
        <w:rPr>
          <w:lang w:val="en-US" w:bidi="ar-EG"/>
        </w:rPr>
        <w:t>Cardiogenic shock - Periprocedural Death</w:t>
      </w:r>
      <w:r w:rsidR="00203180" w:rsidRPr="00211F88">
        <w:rPr>
          <w:lang w:val="en-US" w:bidi="ar-EG"/>
        </w:rPr>
        <w:t xml:space="preserve"> </w:t>
      </w:r>
      <w:r w:rsidR="00721416" w:rsidRPr="00211F88">
        <w:rPr>
          <w:lang w:val="en-US" w:bidi="ar-EG"/>
        </w:rPr>
        <w:t>Ventric</w:t>
      </w:r>
      <w:r w:rsidR="001B3CFA" w:rsidRPr="00211F88">
        <w:rPr>
          <w:lang w:val="en-US" w:bidi="ar-EG"/>
        </w:rPr>
        <w:t xml:space="preserve">ular </w:t>
      </w:r>
      <w:r w:rsidR="00721416" w:rsidRPr="00211F88">
        <w:rPr>
          <w:lang w:val="en-US" w:bidi="ar-EG"/>
        </w:rPr>
        <w:t>arrhythmia</w:t>
      </w:r>
      <w:r w:rsidR="00DD1335" w:rsidRPr="00211F88">
        <w:rPr>
          <w:lang w:val="en-US" w:bidi="ar-EG"/>
        </w:rPr>
        <w:t>–</w:t>
      </w:r>
      <w:r w:rsidR="00721416" w:rsidRPr="00211F88">
        <w:rPr>
          <w:lang w:val="en-US" w:bidi="ar-EG"/>
        </w:rPr>
        <w:t>Re</w:t>
      </w:r>
      <w:r w:rsidR="00DD1335" w:rsidRPr="00211F88">
        <w:rPr>
          <w:lang w:val="en-US" w:bidi="ar-EG"/>
        </w:rPr>
        <w:t>infarction- Contrast induced nephropathy</w:t>
      </w:r>
      <w:r w:rsidR="00203180" w:rsidRPr="00211F88">
        <w:rPr>
          <w:lang w:val="en-US" w:bidi="ar-EG"/>
        </w:rPr>
        <w:t xml:space="preserve"> </w:t>
      </w:r>
      <w:r w:rsidR="00721416" w:rsidRPr="00211F88">
        <w:rPr>
          <w:lang w:val="en-US" w:bidi="ar-EG"/>
        </w:rPr>
        <w:t>Acute heart failure</w:t>
      </w:r>
      <w:r w:rsidR="00211F88">
        <w:rPr>
          <w:lang w:val="en-US" w:bidi="ar-EG"/>
        </w:rPr>
        <w:t>)</w:t>
      </w:r>
      <w:r w:rsidR="002001D5" w:rsidRPr="00211F88">
        <w:t>.</w:t>
      </w:r>
      <w:r w:rsidR="00D31158" w:rsidRPr="00211F88">
        <w:rPr>
          <w:lang w:val="en-US" w:bidi="ar-EG"/>
        </w:rPr>
        <w:t xml:space="preserve"> </w:t>
      </w:r>
    </w:p>
    <w:p w:rsidR="00A579DA" w:rsidRPr="00211F88" w:rsidRDefault="00574FC8" w:rsidP="008B5D29">
      <w:pPr>
        <w:snapToGrid w:val="0"/>
        <w:ind w:firstLine="425"/>
        <w:jc w:val="both"/>
        <w:rPr>
          <w:lang w:val="en-US" w:bidi="ar-EG"/>
        </w:rPr>
      </w:pPr>
      <w:r w:rsidRPr="00211F88">
        <w:rPr>
          <w:b/>
          <w:bCs/>
          <w:lang w:val="en-US" w:bidi="ar-EG"/>
        </w:rPr>
        <w:t>Exclusion criteria</w:t>
      </w:r>
      <w:r w:rsidR="00DD7883" w:rsidRPr="00211F88">
        <w:rPr>
          <w:lang w:val="en-US" w:bidi="ar-EG"/>
        </w:rPr>
        <w:t xml:space="preserve"> </w:t>
      </w:r>
      <w:r w:rsidR="0099240A" w:rsidRPr="00211F88">
        <w:rPr>
          <w:lang w:val="en-US" w:bidi="ar-EG"/>
        </w:rPr>
        <w:t>included</w:t>
      </w:r>
      <w:r w:rsidR="00A579DA" w:rsidRPr="00211F88">
        <w:rPr>
          <w:lang w:val="en-US" w:bidi="ar-EG"/>
        </w:rPr>
        <w:t xml:space="preserve"> </w:t>
      </w:r>
      <w:r w:rsidR="00DD7883" w:rsidRPr="00211F88">
        <w:rPr>
          <w:lang w:val="en-US" w:bidi="ar-EG"/>
        </w:rPr>
        <w:t xml:space="preserve">patients </w:t>
      </w:r>
      <w:r w:rsidR="00A579DA" w:rsidRPr="00211F88">
        <w:rPr>
          <w:lang w:val="en-US" w:bidi="ar-EG"/>
        </w:rPr>
        <w:t>with prior diabetes mellitus- Patients known to have prior myocardial inf</w:t>
      </w:r>
      <w:r w:rsidR="00207AEF" w:rsidRPr="00211F88">
        <w:rPr>
          <w:lang w:val="en-US" w:bidi="ar-EG"/>
        </w:rPr>
        <w:t xml:space="preserve">arction </w:t>
      </w:r>
      <w:r w:rsidR="00A579DA" w:rsidRPr="00211F88">
        <w:rPr>
          <w:lang w:val="en-US" w:bidi="ar-EG"/>
        </w:rPr>
        <w:t xml:space="preserve">- Patients with history of prior </w:t>
      </w:r>
      <w:r w:rsidR="00207AEF" w:rsidRPr="00211F88">
        <w:rPr>
          <w:lang w:val="en-US" w:bidi="ar-EG"/>
        </w:rPr>
        <w:t>CABG - Patients with history of</w:t>
      </w:r>
      <w:r w:rsidR="00A579DA" w:rsidRPr="00211F88">
        <w:rPr>
          <w:lang w:val="en-US" w:bidi="ar-EG"/>
        </w:rPr>
        <w:t xml:space="preserve"> bleeding</w:t>
      </w:r>
      <w:r w:rsidR="00D31158" w:rsidRPr="00211F88">
        <w:rPr>
          <w:lang w:val="en-US" w:bidi="ar-EG"/>
        </w:rPr>
        <w:t xml:space="preserve"> </w:t>
      </w:r>
      <w:r w:rsidR="00A579DA" w:rsidRPr="00211F88">
        <w:rPr>
          <w:lang w:val="en-US" w:bidi="ar-EG"/>
        </w:rPr>
        <w:t>diathesis - patient with history of malignant disease.</w:t>
      </w:r>
    </w:p>
    <w:p w:rsidR="00DD1335" w:rsidRPr="00211F88" w:rsidRDefault="00574FC8" w:rsidP="008B5D29">
      <w:pPr>
        <w:snapToGrid w:val="0"/>
        <w:ind w:firstLine="425"/>
        <w:jc w:val="both"/>
        <w:rPr>
          <w:rStyle w:val="Heading1Char"/>
          <w:b w:val="0"/>
          <w:caps w:val="0"/>
          <w:sz w:val="20"/>
          <w:szCs w:val="20"/>
          <w:lang w:val="en-US"/>
        </w:rPr>
      </w:pPr>
      <w:r w:rsidRPr="00211F88">
        <w:rPr>
          <w:b/>
          <w:bCs/>
          <w:lang w:val="en-US"/>
        </w:rPr>
        <w:t>Duration of the study</w:t>
      </w:r>
      <w:r w:rsidRPr="00211F88">
        <w:rPr>
          <w:lang w:val="en-US"/>
        </w:rPr>
        <w:t xml:space="preserve">: This study was done in </w:t>
      </w:r>
      <w:r w:rsidR="00A579DA" w:rsidRPr="00211F88">
        <w:rPr>
          <w:lang w:val="en-US"/>
        </w:rPr>
        <w:t xml:space="preserve">six months starting from June </w:t>
      </w:r>
      <w:r w:rsidR="00B23605" w:rsidRPr="00211F88">
        <w:rPr>
          <w:lang w:val="en-US"/>
        </w:rPr>
        <w:t>2018</w:t>
      </w:r>
      <w:r w:rsidRPr="00211F88">
        <w:rPr>
          <w:lang w:val="en-US"/>
        </w:rPr>
        <w:t>.</w:t>
      </w:r>
    </w:p>
    <w:p w:rsidR="008A5502" w:rsidRPr="00211F88" w:rsidRDefault="00203180" w:rsidP="008B5D29">
      <w:pPr>
        <w:snapToGrid w:val="0"/>
        <w:jc w:val="both"/>
        <w:rPr>
          <w:rStyle w:val="Heading1Char"/>
          <w:b w:val="0"/>
          <w:caps w:val="0"/>
          <w:sz w:val="20"/>
          <w:szCs w:val="20"/>
          <w:lang w:val="en-US"/>
        </w:rPr>
      </w:pPr>
      <w:r w:rsidRPr="00211F88">
        <w:rPr>
          <w:rStyle w:val="Heading1Char"/>
          <w:caps w:val="0"/>
          <w:sz w:val="20"/>
          <w:szCs w:val="20"/>
        </w:rPr>
        <w:t>Statistical Methods</w:t>
      </w:r>
    </w:p>
    <w:p w:rsidR="00DD7883" w:rsidRPr="00211F88" w:rsidRDefault="00DD7883" w:rsidP="008B5D29">
      <w:pPr>
        <w:snapToGrid w:val="0"/>
        <w:ind w:firstLine="425"/>
        <w:jc w:val="both"/>
        <w:rPr>
          <w:lang w:val="en-US" w:bidi="ar-EG"/>
        </w:rPr>
      </w:pPr>
      <w:r w:rsidRPr="00211F88">
        <w:rPr>
          <w:lang w:val="en-US" w:bidi="ar-EG"/>
        </w:rPr>
        <w:t>The analysis was calculated by SPSS version 25. Furthermore, the qualitative parameters were described by number of frequency and percentage while the quantitative variables were described by mean, standard deviation and range. In addition, comparison of quantitative variables between the three</w:t>
      </w:r>
      <w:r w:rsidR="00D31158" w:rsidRPr="00211F88">
        <w:rPr>
          <w:lang w:val="en-US" w:bidi="ar-EG"/>
        </w:rPr>
        <w:t xml:space="preserve"> </w:t>
      </w:r>
      <w:r w:rsidRPr="00211F88">
        <w:rPr>
          <w:lang w:val="en-US" w:bidi="ar-EG"/>
        </w:rPr>
        <w:t>groups was calculated by Anova test while the comparison of qualitative variables between the three</w:t>
      </w:r>
      <w:r w:rsidR="00D31158" w:rsidRPr="00211F88">
        <w:rPr>
          <w:lang w:val="en-US" w:bidi="ar-EG"/>
        </w:rPr>
        <w:t xml:space="preserve"> </w:t>
      </w:r>
      <w:r w:rsidRPr="00211F88">
        <w:rPr>
          <w:lang w:val="en-US" w:bidi="ar-EG"/>
        </w:rPr>
        <w:t xml:space="preserve">groups were calculated by Chi Square test or Monte Carlo test according to the expected count in the table cells. (P value less than 0.04 consider statistical </w:t>
      </w:r>
      <w:r w:rsidR="00203180" w:rsidRPr="00211F88">
        <w:rPr>
          <w:lang w:val="en-US" w:bidi="ar-EG"/>
        </w:rPr>
        <w:t>significant).</w:t>
      </w:r>
    </w:p>
    <w:p w:rsidR="00203180" w:rsidRPr="00211F88" w:rsidRDefault="00203180" w:rsidP="008B5D29">
      <w:pPr>
        <w:snapToGrid w:val="0"/>
        <w:ind w:firstLine="425"/>
        <w:jc w:val="both"/>
        <w:rPr>
          <w:rStyle w:val="apple-style-span"/>
        </w:rPr>
      </w:pPr>
    </w:p>
    <w:p w:rsidR="00C2704D" w:rsidRPr="00211F88" w:rsidRDefault="00203180" w:rsidP="008B5D29">
      <w:pPr>
        <w:snapToGrid w:val="0"/>
        <w:jc w:val="both"/>
        <w:rPr>
          <w:rStyle w:val="Heading1Char"/>
          <w:b w:val="0"/>
          <w:bCs/>
          <w:sz w:val="20"/>
          <w:szCs w:val="20"/>
        </w:rPr>
      </w:pPr>
      <w:r w:rsidRPr="00211F88">
        <w:rPr>
          <w:rStyle w:val="apple-style-span"/>
          <w:b/>
          <w:bCs/>
        </w:rPr>
        <w:t xml:space="preserve">3. </w:t>
      </w:r>
      <w:r w:rsidRPr="00211F88">
        <w:rPr>
          <w:rStyle w:val="Heading1Char"/>
          <w:caps w:val="0"/>
          <w:sz w:val="20"/>
          <w:szCs w:val="20"/>
        </w:rPr>
        <w:t>Results</w:t>
      </w:r>
    </w:p>
    <w:p w:rsidR="00207AEF" w:rsidRPr="00211F88" w:rsidRDefault="00574FC8" w:rsidP="008B5D29">
      <w:pPr>
        <w:snapToGrid w:val="0"/>
        <w:ind w:firstLine="425"/>
        <w:jc w:val="both"/>
        <w:rPr>
          <w:lang w:bidi="ar-EG"/>
        </w:rPr>
      </w:pPr>
      <w:r w:rsidRPr="00211F88">
        <w:rPr>
          <w:rStyle w:val="apple-style-span"/>
          <w:b/>
          <w:bCs/>
        </w:rPr>
        <w:t>Patient demographics</w:t>
      </w:r>
      <w:r w:rsidRPr="00211F88">
        <w:rPr>
          <w:rStyle w:val="apple-style-span"/>
        </w:rPr>
        <w:t xml:space="preserve">: </w:t>
      </w:r>
      <w:r w:rsidR="00207AEF" w:rsidRPr="00211F88">
        <w:rPr>
          <w:lang w:val="en-US" w:bidi="ar-EG"/>
        </w:rPr>
        <w:t xml:space="preserve">The age of the study population ranged from 39 to 80 years. In group </w:t>
      </w:r>
      <w:r w:rsidR="00203180" w:rsidRPr="00211F88">
        <w:rPr>
          <w:lang w:val="en-US" w:bidi="ar-EG"/>
        </w:rPr>
        <w:t>I,</w:t>
      </w:r>
      <w:r w:rsidR="00207AEF" w:rsidRPr="00211F88">
        <w:rPr>
          <w:lang w:val="en-US" w:bidi="ar-EG"/>
        </w:rPr>
        <w:t xml:space="preserve"> the age of the patients ranged from (42 -80) years with a mean age of 59.83 ± 10.118 years. In group II the age </w:t>
      </w:r>
      <w:r w:rsidR="00207AEF" w:rsidRPr="00211F88">
        <w:rPr>
          <w:lang w:val="en-US" w:bidi="ar-EG"/>
        </w:rPr>
        <w:lastRenderedPageBreak/>
        <w:t>ranged from (40-78) years with a mean age of 60 ± 10.195 years. In group III the age ranged from (39-76) years with a mean age of 58.72 ± 9.896</w:t>
      </w:r>
      <w:r w:rsidR="00837273" w:rsidRPr="00211F88">
        <w:rPr>
          <w:lang w:val="en-US" w:bidi="ar-EG"/>
        </w:rPr>
        <w:t>. T</w:t>
      </w:r>
      <w:r w:rsidR="00207AEF" w:rsidRPr="00211F88">
        <w:rPr>
          <w:lang w:val="en-US" w:bidi="ar-EG"/>
        </w:rPr>
        <w:t>here was no statistically significant difference between the three groups (P value =0.771)</w:t>
      </w:r>
      <w:r w:rsidR="002001D5" w:rsidRPr="00211F88">
        <w:rPr>
          <w:rFonts w:eastAsiaTheme="minorEastAsia" w:hint="eastAsia"/>
          <w:lang w:val="en-US" w:eastAsia="zh-CN" w:bidi="ar-EG"/>
        </w:rPr>
        <w:t>.</w:t>
      </w:r>
      <w:r w:rsidR="00207AEF" w:rsidRPr="00211F88">
        <w:rPr>
          <w:lang w:val="en-US" w:bidi="ar-EG"/>
        </w:rPr>
        <w:t xml:space="preserve"> </w:t>
      </w:r>
    </w:p>
    <w:p w:rsidR="00E93F99" w:rsidRPr="00211F88" w:rsidRDefault="00574FC8" w:rsidP="008B5D29">
      <w:pPr>
        <w:snapToGrid w:val="0"/>
        <w:ind w:firstLine="425"/>
        <w:jc w:val="both"/>
        <w:rPr>
          <w:lang w:val="en-US" w:bidi="ar-EG"/>
        </w:rPr>
      </w:pPr>
      <w:r w:rsidRPr="00211F88">
        <w:rPr>
          <w:rStyle w:val="apple-style-span"/>
          <w:b/>
          <w:bCs/>
        </w:rPr>
        <w:t xml:space="preserve">Prevalence of </w:t>
      </w:r>
      <w:r w:rsidR="00203180" w:rsidRPr="00211F88">
        <w:rPr>
          <w:rStyle w:val="apple-style-span"/>
          <w:b/>
          <w:bCs/>
        </w:rPr>
        <w:t>risk factors;</w:t>
      </w:r>
      <w:r w:rsidR="00E93F99" w:rsidRPr="00211F88">
        <w:rPr>
          <w:rStyle w:val="apple-style-span"/>
          <w:b/>
          <w:bCs/>
        </w:rPr>
        <w:t xml:space="preserve"> </w:t>
      </w:r>
      <w:r w:rsidR="00E93F99" w:rsidRPr="00211F88">
        <w:rPr>
          <w:lang w:val="en-US" w:bidi="ar-EG"/>
        </w:rPr>
        <w:t>100 of the study population appeared to have dyslipidemia. In group I, 25 patients (54.3%). In group II, 18 patients (56.2%)</w:t>
      </w:r>
      <w:r w:rsidR="00837273" w:rsidRPr="00211F88">
        <w:rPr>
          <w:lang w:val="en-US" w:bidi="ar-EG"/>
        </w:rPr>
        <w:t>. w</w:t>
      </w:r>
      <w:r w:rsidR="00E93F99" w:rsidRPr="00211F88">
        <w:rPr>
          <w:lang w:val="en-US" w:bidi="ar-EG"/>
        </w:rPr>
        <w:t>hile in group III 57 patients (79.16%)</w:t>
      </w:r>
      <w:r w:rsidR="00837273" w:rsidRPr="00211F88">
        <w:rPr>
          <w:lang w:val="en-US" w:bidi="ar-EG"/>
        </w:rPr>
        <w:t>. T</w:t>
      </w:r>
      <w:r w:rsidR="00E93F99" w:rsidRPr="00211F88">
        <w:rPr>
          <w:lang w:val="en-US" w:bidi="ar-EG"/>
        </w:rPr>
        <w:t>here was statistically significant difference between the three groups (P value =0.007).</w:t>
      </w:r>
    </w:p>
    <w:p w:rsidR="00837273" w:rsidRPr="00211F88" w:rsidRDefault="00837273" w:rsidP="00837273">
      <w:pPr>
        <w:snapToGrid w:val="0"/>
        <w:jc w:val="center"/>
        <w:rPr>
          <w:rFonts w:eastAsiaTheme="minorEastAsia"/>
          <w:lang w:val="en-US" w:eastAsia="zh-CN" w:bidi="ar-EG"/>
        </w:rPr>
      </w:pPr>
    </w:p>
    <w:p w:rsidR="00837273" w:rsidRPr="00211F88" w:rsidRDefault="00211F88" w:rsidP="00837273">
      <w:pPr>
        <w:snapToGrid w:val="0"/>
        <w:jc w:val="center"/>
        <w:rPr>
          <w:rFonts w:eastAsiaTheme="minorEastAsia"/>
          <w:lang w:val="en-US" w:eastAsia="zh-CN" w:bidi="ar-EG"/>
        </w:rPr>
      </w:pPr>
      <w:r w:rsidRPr="00211F88">
        <w:rPr>
          <w:rFonts w:eastAsiaTheme="minorEastAsia"/>
          <w:lang w:val="en-US" w:eastAsia="zh-CN"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6pt;height:206pt">
            <v:imagedata r:id="rId12" o:title=""/>
          </v:shape>
        </w:pict>
      </w:r>
    </w:p>
    <w:p w:rsidR="00837273" w:rsidRPr="00211F88" w:rsidRDefault="00837273" w:rsidP="00837273">
      <w:pPr>
        <w:snapToGrid w:val="0"/>
        <w:jc w:val="both"/>
        <w:rPr>
          <w:rFonts w:eastAsiaTheme="minorEastAsia"/>
          <w:lang w:eastAsia="zh-CN"/>
        </w:rPr>
      </w:pPr>
      <w:r w:rsidRPr="00211F88">
        <w:rPr>
          <w:b/>
          <w:bCs/>
          <w:color w:val="000000"/>
          <w:lang w:val="en-US" w:eastAsia="en-US"/>
        </w:rPr>
        <w:t xml:space="preserve">Figure 1: A pie chart showing a </w:t>
      </w:r>
      <w:r w:rsidR="00211F88" w:rsidRPr="00211F88">
        <w:rPr>
          <w:b/>
          <w:bCs/>
          <w:color w:val="000000"/>
          <w:lang w:val="en-US" w:eastAsia="en-US"/>
        </w:rPr>
        <w:t>comparison</w:t>
      </w:r>
      <w:r w:rsidRPr="00211F88">
        <w:rPr>
          <w:b/>
          <w:bCs/>
          <w:color w:val="000000"/>
          <w:lang w:val="en-US" w:eastAsia="en-US"/>
        </w:rPr>
        <w:t xml:space="preserve"> of the incidence of dyslipdemia among the three </w:t>
      </w:r>
      <w:r w:rsidR="00211F88" w:rsidRPr="00211F88">
        <w:rPr>
          <w:b/>
          <w:bCs/>
          <w:color w:val="000000"/>
          <w:lang w:val="en-US" w:eastAsia="en-US"/>
        </w:rPr>
        <w:t>studied</w:t>
      </w:r>
      <w:r w:rsidRPr="00211F88">
        <w:rPr>
          <w:b/>
          <w:bCs/>
          <w:color w:val="000000"/>
          <w:lang w:val="en-US" w:eastAsia="en-US"/>
        </w:rPr>
        <w:t xml:space="preserve"> groups</w:t>
      </w:r>
    </w:p>
    <w:p w:rsidR="00837273" w:rsidRPr="00211F88" w:rsidRDefault="00837273" w:rsidP="008B5D29">
      <w:pPr>
        <w:snapToGrid w:val="0"/>
        <w:jc w:val="center"/>
        <w:rPr>
          <w:rFonts w:eastAsiaTheme="minorEastAsia"/>
          <w:lang w:eastAsia="zh-CN"/>
        </w:rPr>
        <w:sectPr w:rsidR="00837273" w:rsidRPr="00211F88" w:rsidSect="001B0F29">
          <w:headerReference w:type="default" r:id="rId13"/>
          <w:pgSz w:w="12240" w:h="15840" w:code="1"/>
          <w:pgMar w:top="1440" w:right="1440" w:bottom="1440" w:left="1440" w:header="720" w:footer="720" w:gutter="0"/>
          <w:cols w:num="2" w:space="500"/>
          <w:docGrid w:linePitch="360"/>
        </w:sectPr>
      </w:pPr>
    </w:p>
    <w:p w:rsidR="00E93F99" w:rsidRPr="00211F88" w:rsidRDefault="00E93F99" w:rsidP="008B5D29">
      <w:pPr>
        <w:snapToGrid w:val="0"/>
        <w:ind w:firstLine="425"/>
        <w:jc w:val="both"/>
        <w:rPr>
          <w:rFonts w:eastAsiaTheme="minorEastAsia"/>
          <w:lang w:val="en-US" w:eastAsia="zh-CN" w:bidi="ar-EG"/>
        </w:rPr>
      </w:pPr>
    </w:p>
    <w:p w:rsidR="00211F88" w:rsidRDefault="00211F88" w:rsidP="00837273">
      <w:pPr>
        <w:snapToGrid w:val="0"/>
        <w:jc w:val="center"/>
        <w:rPr>
          <w:rFonts w:eastAsiaTheme="minorEastAsia" w:hint="eastAsia"/>
          <w:b/>
          <w:bCs/>
          <w:lang w:eastAsia="zh-CN" w:bidi="ar-EG"/>
        </w:rPr>
      </w:pPr>
    </w:p>
    <w:p w:rsidR="00837273" w:rsidRPr="00211F88" w:rsidRDefault="00837273" w:rsidP="00837273">
      <w:pPr>
        <w:snapToGrid w:val="0"/>
        <w:jc w:val="center"/>
        <w:rPr>
          <w:rStyle w:val="apple-style-span"/>
          <w:rFonts w:eastAsiaTheme="minorEastAsia"/>
          <w:b/>
          <w:bCs/>
          <w:lang w:eastAsia="zh-CN"/>
        </w:rPr>
      </w:pPr>
      <w:r w:rsidRPr="00211F88">
        <w:rPr>
          <w:rFonts w:eastAsia="Calibri"/>
          <w:b/>
          <w:bCs/>
          <w:lang w:bidi="ar-EG"/>
        </w:rPr>
        <w:t>Table 1</w:t>
      </w:r>
      <w:r w:rsidRPr="00211F88">
        <w:rPr>
          <w:b/>
          <w:bCs/>
          <w:color w:val="000000"/>
        </w:rPr>
        <w:t>: difference between three groups according to demographic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98"/>
        <w:gridCol w:w="2035"/>
        <w:gridCol w:w="2007"/>
        <w:gridCol w:w="2007"/>
        <w:gridCol w:w="1002"/>
        <w:gridCol w:w="925"/>
      </w:tblGrid>
      <w:tr w:rsidR="00E93F99" w:rsidRPr="00211F88" w:rsidTr="00837273">
        <w:trPr>
          <w:jc w:val="center"/>
        </w:trPr>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E93F99" w:rsidRPr="00211F88" w:rsidRDefault="00E93F99" w:rsidP="008B5D29">
            <w:pPr>
              <w:snapToGrid w:val="0"/>
              <w:jc w:val="both"/>
              <w:rPr>
                <w:rFonts w:eastAsia="Calibri"/>
                <w:lang w:bidi="ar-EG"/>
              </w:rPr>
            </w:pP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F99" w:rsidRPr="00211F88" w:rsidRDefault="00E93F99" w:rsidP="008B5D29">
            <w:pPr>
              <w:snapToGrid w:val="0"/>
              <w:jc w:val="both"/>
              <w:rPr>
                <w:rFonts w:eastAsia="Calibri"/>
                <w:lang w:bidi="ar-EG"/>
              </w:rPr>
            </w:pPr>
            <w:r w:rsidRPr="00211F88">
              <w:rPr>
                <w:rFonts w:eastAsia="Calibri"/>
                <w:lang w:bidi="ar-EG"/>
              </w:rPr>
              <w:t>RBS ≤</w:t>
            </w:r>
            <w:r w:rsidR="00D31158" w:rsidRPr="00211F88">
              <w:rPr>
                <w:rFonts w:eastAsia="Calibri"/>
                <w:lang w:bidi="ar-EG"/>
              </w:rPr>
              <w:t xml:space="preserve"> </w:t>
            </w:r>
            <w:r w:rsidRPr="00211F88">
              <w:rPr>
                <w:rFonts w:eastAsia="Calibri"/>
                <w:lang w:bidi="ar-EG"/>
              </w:rPr>
              <w:t>110</w:t>
            </w:r>
          </w:p>
          <w:p w:rsidR="00E93F99" w:rsidRPr="00211F88" w:rsidRDefault="00E93F99" w:rsidP="008B5D29">
            <w:pPr>
              <w:snapToGrid w:val="0"/>
              <w:jc w:val="both"/>
              <w:rPr>
                <w:rFonts w:eastAsia="Calibri"/>
                <w:lang w:bidi="ar-EG"/>
              </w:rPr>
            </w:pPr>
            <w:r w:rsidRPr="00211F88">
              <w:rPr>
                <w:rFonts w:eastAsia="Calibri"/>
                <w:lang w:bidi="ar-EG"/>
              </w:rPr>
              <w:t>Mean ± SD (range)</w:t>
            </w:r>
          </w:p>
          <w:p w:rsidR="00E93F99" w:rsidRPr="00211F88" w:rsidRDefault="00E93F99" w:rsidP="008B5D29">
            <w:pPr>
              <w:snapToGrid w:val="0"/>
              <w:jc w:val="both"/>
              <w:rPr>
                <w:rFonts w:eastAsia="Calibri"/>
                <w:lang w:bidi="ar-EG"/>
              </w:rPr>
            </w:pPr>
            <w:r w:rsidRPr="00211F88">
              <w:rPr>
                <w:rFonts w:eastAsia="Calibri"/>
                <w:lang w:bidi="ar-EG"/>
              </w:rPr>
              <w:t>N=46</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F99" w:rsidRPr="00211F88" w:rsidRDefault="00E93F99" w:rsidP="008B5D29">
            <w:pPr>
              <w:snapToGrid w:val="0"/>
              <w:jc w:val="both"/>
              <w:rPr>
                <w:rFonts w:eastAsia="Calibri"/>
                <w:lang w:bidi="ar-EG"/>
              </w:rPr>
            </w:pPr>
            <w:r w:rsidRPr="00211F88">
              <w:rPr>
                <w:rFonts w:eastAsia="Calibri"/>
                <w:lang w:bidi="ar-EG"/>
              </w:rPr>
              <w:t>RBS 111-130</w:t>
            </w:r>
          </w:p>
          <w:p w:rsidR="00E93F99" w:rsidRPr="00211F88" w:rsidRDefault="00E93F99" w:rsidP="008B5D29">
            <w:pPr>
              <w:snapToGrid w:val="0"/>
              <w:jc w:val="both"/>
              <w:rPr>
                <w:rFonts w:eastAsia="Calibri"/>
                <w:lang w:bidi="ar-EG"/>
              </w:rPr>
            </w:pPr>
            <w:r w:rsidRPr="00211F88">
              <w:rPr>
                <w:rFonts w:eastAsia="Calibri"/>
                <w:lang w:bidi="ar-EG"/>
              </w:rPr>
              <w:t>mean ± SD (range)</w:t>
            </w:r>
          </w:p>
          <w:p w:rsidR="00E93F99" w:rsidRPr="00211F88" w:rsidRDefault="00E93F99" w:rsidP="008B5D29">
            <w:pPr>
              <w:snapToGrid w:val="0"/>
              <w:jc w:val="both"/>
              <w:rPr>
                <w:rFonts w:eastAsia="Calibri"/>
                <w:lang w:bidi="ar-EG"/>
              </w:rPr>
            </w:pPr>
            <w:r w:rsidRPr="00211F88">
              <w:rPr>
                <w:rFonts w:eastAsia="Calibri"/>
                <w:lang w:bidi="ar-EG"/>
              </w:rPr>
              <w:t>N=32</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F99" w:rsidRPr="00211F88" w:rsidRDefault="00E93F99" w:rsidP="008B5D29">
            <w:pPr>
              <w:snapToGrid w:val="0"/>
              <w:jc w:val="both"/>
              <w:rPr>
                <w:rFonts w:eastAsia="Calibri"/>
                <w:lang w:bidi="ar-EG"/>
              </w:rPr>
            </w:pPr>
            <w:r w:rsidRPr="00211F88">
              <w:rPr>
                <w:rFonts w:eastAsia="Calibri"/>
                <w:lang w:bidi="ar-EG"/>
              </w:rPr>
              <w:t>RBS ≥ 131</w:t>
            </w:r>
          </w:p>
          <w:p w:rsidR="00E93F99" w:rsidRPr="00211F88" w:rsidRDefault="00E93F99" w:rsidP="008B5D29">
            <w:pPr>
              <w:snapToGrid w:val="0"/>
              <w:jc w:val="both"/>
              <w:rPr>
                <w:rFonts w:eastAsia="Calibri"/>
                <w:lang w:bidi="ar-EG"/>
              </w:rPr>
            </w:pPr>
            <w:r w:rsidRPr="00211F88">
              <w:rPr>
                <w:rFonts w:eastAsia="Calibri"/>
                <w:lang w:bidi="ar-EG"/>
              </w:rPr>
              <w:t>mean ± SD (range)</w:t>
            </w:r>
          </w:p>
          <w:p w:rsidR="00E93F99" w:rsidRPr="00211F88" w:rsidRDefault="00E93F99" w:rsidP="008B5D29">
            <w:pPr>
              <w:snapToGrid w:val="0"/>
              <w:jc w:val="both"/>
              <w:rPr>
                <w:rFonts w:eastAsia="Calibri"/>
                <w:lang w:bidi="ar-EG"/>
              </w:rPr>
            </w:pPr>
            <w:r w:rsidRPr="00211F88">
              <w:rPr>
                <w:rFonts w:eastAsia="Calibri"/>
                <w:lang w:bidi="ar-EG"/>
              </w:rPr>
              <w:t>N=72</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F99" w:rsidRPr="00211F88" w:rsidRDefault="00E93F99" w:rsidP="008B5D29">
            <w:pPr>
              <w:snapToGrid w:val="0"/>
              <w:jc w:val="both"/>
              <w:rPr>
                <w:rFonts w:eastAsia="Calibri"/>
                <w:lang w:bidi="ar-EG"/>
              </w:rPr>
            </w:pPr>
            <w:r w:rsidRPr="00211F88">
              <w:rPr>
                <w:rFonts w:eastAsia="Calibri"/>
                <w:lang w:bidi="ar-EG"/>
              </w:rPr>
              <w:t>F</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F99" w:rsidRPr="00211F88" w:rsidRDefault="00E93F99" w:rsidP="008B5D29">
            <w:pPr>
              <w:snapToGrid w:val="0"/>
              <w:jc w:val="both"/>
              <w:rPr>
                <w:rFonts w:eastAsia="Calibri"/>
                <w:lang w:bidi="ar-EG"/>
              </w:rPr>
            </w:pPr>
            <w:r w:rsidRPr="00211F88">
              <w:rPr>
                <w:rFonts w:eastAsia="Calibri"/>
                <w:lang w:bidi="ar-EG"/>
              </w:rPr>
              <w:t>P Value</w:t>
            </w:r>
          </w:p>
        </w:tc>
      </w:tr>
      <w:tr w:rsidR="00E93F99" w:rsidRPr="00211F88" w:rsidTr="00837273">
        <w:trPr>
          <w:jc w:val="center"/>
        </w:trPr>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F99" w:rsidRPr="00211F88" w:rsidRDefault="00E93F99" w:rsidP="008B5D29">
            <w:pPr>
              <w:snapToGrid w:val="0"/>
              <w:jc w:val="both"/>
              <w:rPr>
                <w:rFonts w:eastAsia="Calibri"/>
                <w:lang w:bidi="ar-EG"/>
              </w:rPr>
            </w:pPr>
            <w:r w:rsidRPr="00211F88">
              <w:rPr>
                <w:rFonts w:eastAsia="Calibri"/>
                <w:b/>
                <w:bCs/>
                <w:lang w:bidi="ar-EG"/>
              </w:rPr>
              <w:t xml:space="preserve">Age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F99" w:rsidRPr="00211F88" w:rsidRDefault="00E93F99" w:rsidP="008B5D29">
            <w:pPr>
              <w:snapToGrid w:val="0"/>
              <w:jc w:val="both"/>
              <w:rPr>
                <w:rFonts w:eastAsia="Calibri"/>
                <w:lang w:bidi="ar-EG"/>
              </w:rPr>
            </w:pPr>
            <w:r w:rsidRPr="00211F88">
              <w:rPr>
                <w:rFonts w:eastAsia="Calibri"/>
                <w:lang w:bidi="ar-EG"/>
              </w:rPr>
              <w:t>59.83 ± 10.118</w:t>
            </w:r>
          </w:p>
          <w:p w:rsidR="00E93F99" w:rsidRPr="00211F88" w:rsidRDefault="00E93F99" w:rsidP="008B5D29">
            <w:pPr>
              <w:snapToGrid w:val="0"/>
              <w:jc w:val="both"/>
              <w:rPr>
                <w:rFonts w:eastAsia="Calibri"/>
                <w:lang w:bidi="ar-EG"/>
              </w:rPr>
            </w:pPr>
            <w:r w:rsidRPr="00211F88">
              <w:rPr>
                <w:rFonts w:eastAsia="Calibri"/>
                <w:lang w:bidi="ar-EG"/>
              </w:rPr>
              <w:t>(42 - 80)</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F99" w:rsidRPr="00211F88" w:rsidRDefault="00E93F99" w:rsidP="008B5D29">
            <w:pPr>
              <w:snapToGrid w:val="0"/>
              <w:jc w:val="both"/>
              <w:rPr>
                <w:rFonts w:eastAsia="Calibri"/>
                <w:lang w:bidi="ar-EG"/>
              </w:rPr>
            </w:pPr>
            <w:r w:rsidRPr="00211F88">
              <w:rPr>
                <w:rFonts w:eastAsia="Calibri"/>
                <w:lang w:bidi="ar-EG"/>
              </w:rPr>
              <w:t>60 ± 10.195</w:t>
            </w:r>
          </w:p>
          <w:p w:rsidR="00E93F99" w:rsidRPr="00211F88" w:rsidRDefault="00E93F99" w:rsidP="008B5D29">
            <w:pPr>
              <w:snapToGrid w:val="0"/>
              <w:jc w:val="both"/>
              <w:rPr>
                <w:rFonts w:eastAsia="Calibri"/>
                <w:lang w:bidi="ar-EG"/>
              </w:rPr>
            </w:pPr>
            <w:r w:rsidRPr="00211F88">
              <w:rPr>
                <w:rFonts w:eastAsia="Calibri"/>
                <w:lang w:bidi="ar-EG"/>
              </w:rPr>
              <w:t>(40 -78)</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F99" w:rsidRPr="00211F88" w:rsidRDefault="00E93F99" w:rsidP="008B5D29">
            <w:pPr>
              <w:snapToGrid w:val="0"/>
              <w:jc w:val="both"/>
              <w:rPr>
                <w:rFonts w:eastAsia="Calibri"/>
                <w:lang w:bidi="ar-EG"/>
              </w:rPr>
            </w:pPr>
            <w:r w:rsidRPr="00211F88">
              <w:rPr>
                <w:rFonts w:eastAsia="Calibri"/>
                <w:lang w:bidi="ar-EG"/>
              </w:rPr>
              <w:t>58.72 ± 9.896</w:t>
            </w:r>
          </w:p>
          <w:p w:rsidR="00E93F99" w:rsidRPr="00211F88" w:rsidRDefault="00E93F99" w:rsidP="008B5D29">
            <w:pPr>
              <w:snapToGrid w:val="0"/>
              <w:jc w:val="both"/>
              <w:rPr>
                <w:rFonts w:eastAsia="Calibri"/>
                <w:lang w:bidi="ar-EG"/>
              </w:rPr>
            </w:pPr>
            <w:r w:rsidRPr="00211F88">
              <w:rPr>
                <w:rFonts w:eastAsia="Calibri"/>
                <w:lang w:bidi="ar-EG"/>
              </w:rPr>
              <w:t>(39 -76)</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F99" w:rsidRPr="00211F88" w:rsidRDefault="00E93F99" w:rsidP="008B5D29">
            <w:pPr>
              <w:snapToGrid w:val="0"/>
              <w:jc w:val="both"/>
              <w:rPr>
                <w:rFonts w:eastAsia="Calibri"/>
                <w:lang w:bidi="ar-EG"/>
              </w:rPr>
            </w:pPr>
            <w:r w:rsidRPr="00211F88">
              <w:rPr>
                <w:rFonts w:eastAsia="Calibri"/>
                <w:lang w:bidi="ar-EG"/>
              </w:rPr>
              <w:t>F = 0.26</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F99" w:rsidRPr="00211F88" w:rsidRDefault="00E93F99" w:rsidP="008B5D29">
            <w:pPr>
              <w:snapToGrid w:val="0"/>
              <w:jc w:val="both"/>
              <w:rPr>
                <w:rFonts w:eastAsia="Calibri"/>
                <w:lang w:bidi="ar-EG"/>
              </w:rPr>
            </w:pPr>
            <w:r w:rsidRPr="00211F88">
              <w:rPr>
                <w:rFonts w:eastAsia="Calibri"/>
                <w:lang w:bidi="ar-EG"/>
              </w:rPr>
              <w:t>0.771</w:t>
            </w:r>
          </w:p>
        </w:tc>
      </w:tr>
      <w:tr w:rsidR="00E93F99" w:rsidRPr="00211F88" w:rsidTr="00837273">
        <w:trPr>
          <w:jc w:val="center"/>
        </w:trPr>
        <w:tc>
          <w:tcPr>
            <w:tcW w:w="791" w:type="pct"/>
            <w:tcBorders>
              <w:left w:val="single" w:sz="4" w:space="0" w:color="auto"/>
              <w:bottom w:val="single" w:sz="4" w:space="0" w:color="auto"/>
              <w:right w:val="single" w:sz="4" w:space="0" w:color="auto"/>
            </w:tcBorders>
            <w:shd w:val="clear" w:color="auto" w:fill="auto"/>
            <w:vAlign w:val="center"/>
          </w:tcPr>
          <w:p w:rsidR="00E93F99" w:rsidRPr="00211F88" w:rsidRDefault="00F525EB" w:rsidP="008B5D29">
            <w:pPr>
              <w:snapToGrid w:val="0"/>
              <w:jc w:val="both"/>
              <w:rPr>
                <w:rFonts w:eastAsia="Calibri"/>
                <w:lang w:bidi="ar-EG"/>
              </w:rPr>
            </w:pPr>
            <w:r w:rsidRPr="00211F88">
              <w:rPr>
                <w:rFonts w:eastAsia="Calibri"/>
                <w:color w:val="000000"/>
                <w:lang w:bidi="ar-EG"/>
              </w:rPr>
              <w:t>Dyslipe</w:t>
            </w:r>
            <w:r w:rsidR="00E93F99" w:rsidRPr="00211F88">
              <w:rPr>
                <w:rFonts w:eastAsia="Calibri"/>
                <w:color w:val="000000"/>
                <w:lang w:bidi="ar-EG"/>
              </w:rPr>
              <w:t xml:space="preserve">demia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rsidR="00E93F99" w:rsidRPr="00211F88" w:rsidRDefault="00E93F99" w:rsidP="008B5D29">
            <w:pPr>
              <w:snapToGrid w:val="0"/>
              <w:jc w:val="both"/>
              <w:rPr>
                <w:rFonts w:eastAsia="Calibri"/>
                <w:lang w:bidi="ar-EG"/>
              </w:rPr>
            </w:pPr>
            <w:r w:rsidRPr="00211F88">
              <w:rPr>
                <w:rFonts w:eastAsia="Calibri"/>
                <w:color w:val="000000"/>
                <w:lang w:bidi="ar-EG"/>
              </w:rPr>
              <w:t xml:space="preserve"> 25 (54.3 %)</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E93F99" w:rsidRPr="00211F88" w:rsidRDefault="00E93F99" w:rsidP="008B5D29">
            <w:pPr>
              <w:snapToGrid w:val="0"/>
              <w:jc w:val="both"/>
              <w:rPr>
                <w:rFonts w:eastAsia="Calibri"/>
                <w:lang w:bidi="ar-EG"/>
              </w:rPr>
            </w:pPr>
            <w:r w:rsidRPr="00211F88">
              <w:rPr>
                <w:rFonts w:eastAsia="Calibri"/>
                <w:color w:val="000000"/>
                <w:lang w:bidi="ar-EG"/>
              </w:rPr>
              <w:t>18 (56.25%)</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E93F99" w:rsidRPr="00211F88" w:rsidRDefault="00E93F99" w:rsidP="008B5D29">
            <w:pPr>
              <w:snapToGrid w:val="0"/>
              <w:jc w:val="both"/>
              <w:rPr>
                <w:rFonts w:eastAsia="Calibri"/>
                <w:lang w:bidi="ar-EG"/>
              </w:rPr>
            </w:pPr>
            <w:r w:rsidRPr="00211F88">
              <w:rPr>
                <w:rFonts w:eastAsia="Calibri"/>
                <w:color w:val="000000"/>
                <w:lang w:bidi="ar-EG"/>
              </w:rPr>
              <w:t>57 (79.16%)</w:t>
            </w:r>
          </w:p>
        </w:tc>
        <w:tc>
          <w:tcPr>
            <w:tcW w:w="529" w:type="pct"/>
            <w:tcBorders>
              <w:left w:val="single" w:sz="4" w:space="0" w:color="auto"/>
              <w:bottom w:val="single" w:sz="4" w:space="0" w:color="auto"/>
              <w:right w:val="single" w:sz="4" w:space="0" w:color="auto"/>
            </w:tcBorders>
            <w:shd w:val="clear" w:color="auto" w:fill="auto"/>
            <w:vAlign w:val="center"/>
          </w:tcPr>
          <w:p w:rsidR="00E93F99" w:rsidRPr="00211F88" w:rsidRDefault="00E93F99" w:rsidP="008B5D29">
            <w:pPr>
              <w:snapToGrid w:val="0"/>
              <w:jc w:val="both"/>
              <w:rPr>
                <w:rFonts w:eastAsia="Calibri"/>
                <w:lang w:bidi="ar-EG"/>
              </w:rPr>
            </w:pPr>
            <w:r w:rsidRPr="00211F88">
              <w:rPr>
                <w:rFonts w:eastAsia="Calibri"/>
                <w:lang w:bidi="ar-EG"/>
              </w:rPr>
              <w:t>X</w:t>
            </w:r>
            <w:r w:rsidRPr="00211F88">
              <w:rPr>
                <w:rFonts w:eastAsia="Calibri"/>
                <w:vertAlign w:val="superscript"/>
                <w:lang w:bidi="ar-EG"/>
              </w:rPr>
              <w:t>2</w:t>
            </w:r>
            <w:r w:rsidRPr="00211F88">
              <w:rPr>
                <w:rFonts w:eastAsia="Calibri"/>
                <w:lang w:bidi="ar-EG"/>
              </w:rPr>
              <w:t>=</w:t>
            </w:r>
            <w:r w:rsidRPr="00211F88">
              <w:rPr>
                <w:rFonts w:eastAsia="Calibri"/>
                <w:vertAlign w:val="superscript"/>
                <w:lang w:bidi="ar-EG"/>
              </w:rPr>
              <w:t xml:space="preserve"> </w:t>
            </w:r>
            <w:r w:rsidRPr="00211F88">
              <w:rPr>
                <w:rFonts w:eastAsia="Calibri"/>
                <w:color w:val="000000"/>
                <w:lang w:bidi="ar-EG"/>
              </w:rPr>
              <w:t>9.77</w:t>
            </w:r>
          </w:p>
        </w:tc>
        <w:tc>
          <w:tcPr>
            <w:tcW w:w="488" w:type="pct"/>
            <w:tcBorders>
              <w:left w:val="single" w:sz="4" w:space="0" w:color="auto"/>
              <w:bottom w:val="single" w:sz="4" w:space="0" w:color="auto"/>
              <w:right w:val="single" w:sz="4" w:space="0" w:color="auto"/>
            </w:tcBorders>
            <w:shd w:val="clear" w:color="auto" w:fill="auto"/>
            <w:vAlign w:val="center"/>
          </w:tcPr>
          <w:p w:rsidR="00E93F99" w:rsidRPr="00211F88" w:rsidRDefault="00E93F99" w:rsidP="008B5D29">
            <w:pPr>
              <w:snapToGrid w:val="0"/>
              <w:jc w:val="both"/>
              <w:rPr>
                <w:rFonts w:eastAsia="Calibri"/>
                <w:lang w:bidi="ar-EG"/>
              </w:rPr>
            </w:pPr>
            <w:r w:rsidRPr="00211F88">
              <w:rPr>
                <w:rFonts w:eastAsia="Calibri"/>
                <w:color w:val="000000"/>
                <w:lang w:bidi="ar-EG"/>
              </w:rPr>
              <w:t>0.007</w:t>
            </w:r>
          </w:p>
        </w:tc>
      </w:tr>
    </w:tbl>
    <w:p w:rsidR="002F3DAE" w:rsidRDefault="002F3DAE" w:rsidP="008B5D29">
      <w:pPr>
        <w:snapToGrid w:val="0"/>
        <w:jc w:val="both"/>
        <w:rPr>
          <w:rStyle w:val="apple-style-span"/>
          <w:rFonts w:eastAsiaTheme="minorEastAsia" w:hint="eastAsia"/>
          <w:b/>
          <w:bCs/>
          <w:lang w:eastAsia="zh-CN"/>
        </w:rPr>
      </w:pPr>
    </w:p>
    <w:p w:rsidR="00211F88" w:rsidRPr="00211F88" w:rsidRDefault="00211F88" w:rsidP="008B5D29">
      <w:pPr>
        <w:snapToGrid w:val="0"/>
        <w:jc w:val="both"/>
        <w:rPr>
          <w:rStyle w:val="apple-style-span"/>
          <w:rFonts w:eastAsiaTheme="minorEastAsia" w:hint="eastAsia"/>
          <w:b/>
          <w:bCs/>
          <w:lang w:eastAsia="zh-CN"/>
        </w:rPr>
      </w:pPr>
    </w:p>
    <w:p w:rsidR="008B5D29" w:rsidRPr="00211F88" w:rsidRDefault="008B5D29" w:rsidP="008B5D29">
      <w:pPr>
        <w:snapToGrid w:val="0"/>
        <w:ind w:firstLine="425"/>
        <w:contextualSpacing/>
        <w:jc w:val="both"/>
        <w:rPr>
          <w:rStyle w:val="apple-style-span"/>
          <w:b/>
          <w:bCs/>
          <w:lang w:val="en-US"/>
        </w:rPr>
        <w:sectPr w:rsidR="008B5D29" w:rsidRPr="00211F88" w:rsidSect="00D31158">
          <w:type w:val="continuous"/>
          <w:pgSz w:w="12240" w:h="15840" w:code="1"/>
          <w:pgMar w:top="1440" w:right="1440" w:bottom="1440" w:left="1440" w:header="720" w:footer="720" w:gutter="0"/>
          <w:cols w:space="720"/>
          <w:docGrid w:linePitch="360"/>
        </w:sectPr>
      </w:pPr>
    </w:p>
    <w:p w:rsidR="00B82C53" w:rsidRPr="00211F88" w:rsidRDefault="00574FC8" w:rsidP="00837273">
      <w:pPr>
        <w:snapToGrid w:val="0"/>
        <w:contextualSpacing/>
        <w:jc w:val="both"/>
        <w:rPr>
          <w:rFonts w:eastAsia="Calibri"/>
          <w:b/>
          <w:bCs/>
          <w:i/>
          <w:iCs/>
          <w:u w:val="single"/>
          <w:lang w:val="en-US" w:eastAsia="en-US"/>
        </w:rPr>
      </w:pPr>
      <w:r w:rsidRPr="00211F88">
        <w:rPr>
          <w:rStyle w:val="apple-style-span"/>
          <w:b/>
          <w:bCs/>
          <w:lang w:val="en-US"/>
        </w:rPr>
        <w:lastRenderedPageBreak/>
        <w:t>Angiographic finding</w:t>
      </w:r>
      <w:r w:rsidRPr="00211F88">
        <w:rPr>
          <w:rStyle w:val="apple-style-span"/>
          <w:lang w:val="en-US"/>
        </w:rPr>
        <w:t xml:space="preserve">: </w:t>
      </w:r>
    </w:p>
    <w:p w:rsidR="00B82C53" w:rsidRPr="00211F88" w:rsidRDefault="00443F26" w:rsidP="008B5D29">
      <w:pPr>
        <w:snapToGrid w:val="0"/>
        <w:ind w:firstLine="425"/>
        <w:contextualSpacing/>
        <w:jc w:val="both"/>
        <w:rPr>
          <w:lang w:val="en-US" w:bidi="ar-EG"/>
        </w:rPr>
      </w:pPr>
      <w:r w:rsidRPr="00211F88">
        <w:rPr>
          <w:lang w:bidi="ar-EG"/>
        </w:rPr>
        <w:t xml:space="preserve">There was no statistical significant difference between three groups according to number of diseased vessel </w:t>
      </w:r>
      <w:r w:rsidR="007E49ED" w:rsidRPr="00211F88">
        <w:rPr>
          <w:lang w:bidi="ar-EG"/>
        </w:rPr>
        <w:t xml:space="preserve">and </w:t>
      </w:r>
      <w:r w:rsidRPr="00211F88">
        <w:rPr>
          <w:lang w:bidi="ar-EG"/>
        </w:rPr>
        <w:t>culprit vessel</w:t>
      </w:r>
      <w:r w:rsidR="00D31158" w:rsidRPr="00211F88">
        <w:rPr>
          <w:lang w:bidi="ar-EG"/>
        </w:rPr>
        <w:t>.</w:t>
      </w:r>
      <w:r w:rsidR="007E49ED" w:rsidRPr="00211F88">
        <w:rPr>
          <w:lang w:bidi="ar-EG"/>
        </w:rPr>
        <w:t xml:space="preserve"> </w:t>
      </w:r>
      <w:r w:rsidR="007E49ED" w:rsidRPr="00211F88">
        <w:rPr>
          <w:lang w:val="en-US" w:bidi="ar-EG"/>
        </w:rPr>
        <w:t>According to TIMI flow</w:t>
      </w:r>
      <w:r w:rsidR="00D31158" w:rsidRPr="00211F88">
        <w:rPr>
          <w:lang w:val="en-US" w:bidi="ar-EG"/>
        </w:rPr>
        <w:t xml:space="preserve"> </w:t>
      </w:r>
      <w:r w:rsidR="00B82C53" w:rsidRPr="00211F88">
        <w:rPr>
          <w:lang w:val="en-US" w:bidi="ar-EG"/>
        </w:rPr>
        <w:t>Group I Final TIMI flow</w:t>
      </w:r>
      <w:r w:rsidR="00D31158" w:rsidRPr="00211F88">
        <w:rPr>
          <w:lang w:val="en-US" w:bidi="ar-EG"/>
        </w:rPr>
        <w:t xml:space="preserve"> </w:t>
      </w:r>
      <w:r w:rsidR="00B82C53" w:rsidRPr="00211F88">
        <w:rPr>
          <w:lang w:val="en-US" w:bidi="ar-EG"/>
        </w:rPr>
        <w:t>two patients had TIMI flow 0 (4 %),</w:t>
      </w:r>
      <w:r w:rsidR="00D31158" w:rsidRPr="00211F88">
        <w:rPr>
          <w:lang w:val="en-US" w:bidi="ar-EG"/>
        </w:rPr>
        <w:t xml:space="preserve"> </w:t>
      </w:r>
      <w:r w:rsidR="00B82C53" w:rsidRPr="00211F88">
        <w:rPr>
          <w:lang w:val="en-US" w:bidi="ar-EG"/>
        </w:rPr>
        <w:t>5 patients had TIMI I flow (11%)- 11 patients had TIMI II flow (24%) and 28 pa</w:t>
      </w:r>
      <w:r w:rsidRPr="00211F88">
        <w:rPr>
          <w:lang w:val="en-US" w:bidi="ar-EG"/>
        </w:rPr>
        <w:t>tients had TIMI III flow (61%).</w:t>
      </w:r>
      <w:r w:rsidR="00D31158" w:rsidRPr="00211F88">
        <w:rPr>
          <w:lang w:val="en-US" w:bidi="ar-EG"/>
        </w:rPr>
        <w:t xml:space="preserve"> </w:t>
      </w:r>
      <w:r w:rsidR="00B82C53" w:rsidRPr="00211F88">
        <w:rPr>
          <w:lang w:val="en-US" w:bidi="ar-EG"/>
        </w:rPr>
        <w:t>Group II</w:t>
      </w:r>
      <w:r w:rsidR="00D31158" w:rsidRPr="00211F88">
        <w:rPr>
          <w:lang w:val="en-US" w:bidi="ar-EG"/>
        </w:rPr>
        <w:t xml:space="preserve"> </w:t>
      </w:r>
      <w:r w:rsidR="00B82C53" w:rsidRPr="00211F88">
        <w:rPr>
          <w:lang w:val="en-US" w:bidi="ar-EG"/>
        </w:rPr>
        <w:t>Final TIMI flow five</w:t>
      </w:r>
      <w:r w:rsidR="00D31158" w:rsidRPr="00211F88">
        <w:rPr>
          <w:lang w:val="en-US" w:bidi="ar-EG"/>
        </w:rPr>
        <w:t xml:space="preserve"> </w:t>
      </w:r>
      <w:r w:rsidR="00B82C53" w:rsidRPr="00211F88">
        <w:rPr>
          <w:lang w:val="en-US" w:bidi="ar-EG"/>
        </w:rPr>
        <w:t xml:space="preserve">patients </w:t>
      </w:r>
      <w:r w:rsidR="00B82C53" w:rsidRPr="00211F88">
        <w:rPr>
          <w:lang w:val="en-US" w:bidi="ar-EG"/>
        </w:rPr>
        <w:lastRenderedPageBreak/>
        <w:t>had TIMI flow I (15 %),</w:t>
      </w:r>
      <w:r w:rsidR="00D31158" w:rsidRPr="00211F88">
        <w:rPr>
          <w:lang w:val="en-US" w:bidi="ar-EG"/>
        </w:rPr>
        <w:t xml:space="preserve"> </w:t>
      </w:r>
      <w:r w:rsidR="00B82C53" w:rsidRPr="00211F88">
        <w:rPr>
          <w:lang w:val="en-US" w:bidi="ar-EG"/>
        </w:rPr>
        <w:t>5 patients had TIMI II flow (16%)- 22 patients had TIMI III flow (69 %)</w:t>
      </w:r>
      <w:r w:rsidR="00D31158" w:rsidRPr="00211F88">
        <w:rPr>
          <w:lang w:val="en-US" w:bidi="ar-EG"/>
        </w:rPr>
        <w:t>.</w:t>
      </w:r>
      <w:r w:rsidR="00B82C53" w:rsidRPr="00211F88">
        <w:rPr>
          <w:lang w:val="en-US" w:bidi="ar-EG"/>
        </w:rPr>
        <w:t xml:space="preserve"> </w:t>
      </w:r>
      <w:r w:rsidR="007E49ED" w:rsidRPr="00211F88">
        <w:rPr>
          <w:lang w:val="en-US" w:bidi="ar-EG"/>
        </w:rPr>
        <w:t xml:space="preserve">Group </w:t>
      </w:r>
      <w:r w:rsidR="00B82C53" w:rsidRPr="00211F88">
        <w:rPr>
          <w:lang w:val="en-US" w:bidi="ar-EG"/>
        </w:rPr>
        <w:t>III: Final TIMI flow:</w:t>
      </w:r>
      <w:r w:rsidR="007E49ED" w:rsidRPr="00211F88">
        <w:rPr>
          <w:lang w:val="en-US" w:bidi="ar-EG"/>
        </w:rPr>
        <w:t xml:space="preserve"> three patients had TIMI flow 0 (4 %),</w:t>
      </w:r>
      <w:r w:rsidR="00B82C53" w:rsidRPr="00211F88">
        <w:rPr>
          <w:lang w:val="en-US" w:bidi="ar-EG"/>
        </w:rPr>
        <w:t xml:space="preserve"> 12 patients had TIMI I flow (17%)- 37 patients had TIMI II flow (51%) and 20 patients had TIMI III flow (28%).</w:t>
      </w:r>
      <w:r w:rsidR="00D31158" w:rsidRPr="00211F88">
        <w:rPr>
          <w:lang w:val="en-US" w:bidi="ar-EG"/>
        </w:rPr>
        <w:t xml:space="preserve"> </w:t>
      </w:r>
      <w:r w:rsidR="00B82C53" w:rsidRPr="00211F88">
        <w:rPr>
          <w:lang w:val="en-US" w:bidi="ar-EG"/>
        </w:rPr>
        <w:t>There was statistically significant difference between three groups P value = 0.0004 regarding final TIMI flow</w:t>
      </w:r>
      <w:r w:rsidR="00D31158" w:rsidRPr="00211F88">
        <w:rPr>
          <w:lang w:val="en-US" w:bidi="ar-EG"/>
        </w:rPr>
        <w:t>.</w:t>
      </w:r>
      <w:r w:rsidR="00B82C53" w:rsidRPr="00211F88">
        <w:rPr>
          <w:lang w:val="en-US" w:bidi="ar-EG"/>
        </w:rPr>
        <w:t xml:space="preserve"> </w:t>
      </w:r>
    </w:p>
    <w:p w:rsidR="008B5D29" w:rsidRPr="00211F88" w:rsidRDefault="008B5D29" w:rsidP="008B5D29">
      <w:pPr>
        <w:snapToGrid w:val="0"/>
        <w:ind w:firstLine="425"/>
        <w:jc w:val="both"/>
        <w:rPr>
          <w:rFonts w:eastAsia="Calibri"/>
          <w:noProof/>
          <w:lang w:val="en-US" w:eastAsia="en-US"/>
        </w:rPr>
        <w:sectPr w:rsidR="008B5D29" w:rsidRPr="00211F88" w:rsidSect="008B5D29">
          <w:type w:val="continuous"/>
          <w:pgSz w:w="12240" w:h="15840" w:code="1"/>
          <w:pgMar w:top="1440" w:right="1440" w:bottom="1440" w:left="1440" w:header="720" w:footer="720" w:gutter="0"/>
          <w:cols w:num="2" w:space="500"/>
          <w:docGrid w:linePitch="360"/>
        </w:sectPr>
      </w:pPr>
    </w:p>
    <w:p w:rsidR="00357E05" w:rsidRDefault="00357E05" w:rsidP="008B5D29">
      <w:pPr>
        <w:snapToGrid w:val="0"/>
        <w:ind w:firstLine="425"/>
        <w:jc w:val="both"/>
        <w:rPr>
          <w:rFonts w:eastAsiaTheme="minorEastAsia" w:hint="eastAsia"/>
          <w:noProof/>
          <w:lang w:val="en-US" w:eastAsia="zh-CN"/>
        </w:rPr>
      </w:pPr>
    </w:p>
    <w:p w:rsidR="00211F88" w:rsidRDefault="00211F88" w:rsidP="008B5D29">
      <w:pPr>
        <w:snapToGrid w:val="0"/>
        <w:ind w:firstLine="425"/>
        <w:jc w:val="both"/>
        <w:rPr>
          <w:rFonts w:eastAsiaTheme="minorEastAsia" w:hint="eastAsia"/>
          <w:noProof/>
          <w:lang w:val="en-US" w:eastAsia="zh-CN"/>
        </w:rPr>
      </w:pPr>
    </w:p>
    <w:p w:rsidR="00211F88" w:rsidRPr="00211F88" w:rsidRDefault="00211F88" w:rsidP="008B5D29">
      <w:pPr>
        <w:snapToGrid w:val="0"/>
        <w:ind w:firstLine="425"/>
        <w:jc w:val="both"/>
        <w:rPr>
          <w:rFonts w:eastAsiaTheme="minorEastAsia" w:hint="eastAsia"/>
          <w:noProof/>
          <w:lang w:val="en-US" w:eastAsia="zh-CN"/>
        </w:rPr>
      </w:pPr>
    </w:p>
    <w:p w:rsidR="00203180" w:rsidRPr="00211F88" w:rsidRDefault="002001D5" w:rsidP="00837273">
      <w:pPr>
        <w:snapToGrid w:val="0"/>
        <w:jc w:val="center"/>
        <w:rPr>
          <w:b/>
          <w:iCs/>
        </w:rPr>
      </w:pPr>
      <w:r w:rsidRPr="00211F88">
        <w:rPr>
          <w:rFonts w:eastAsia="Calibri"/>
          <w:noProof/>
          <w:lang w:val="en-US" w:eastAsia="en-US"/>
        </w:rPr>
        <w:lastRenderedPageBreak/>
        <w:pict>
          <v:shape id="صورة 3" o:spid="_x0000_i1026" type="#_x0000_t75" style="width:388.8pt;height:217.9pt;visibility:visible">
            <v:imagedata r:id="rId14" o:title="صورة1"/>
          </v:shape>
        </w:pict>
      </w:r>
    </w:p>
    <w:p w:rsidR="00F525EB" w:rsidRPr="00211F88" w:rsidRDefault="00F525EB" w:rsidP="00837273">
      <w:pPr>
        <w:snapToGrid w:val="0"/>
        <w:contextualSpacing/>
        <w:jc w:val="center"/>
        <w:rPr>
          <w:rFonts w:eastAsia="Calibri"/>
          <w:b/>
          <w:bCs/>
        </w:rPr>
      </w:pPr>
      <w:r w:rsidRPr="00211F88">
        <w:rPr>
          <w:b/>
          <w:bCs/>
          <w:color w:val="000000"/>
          <w:lang w:val="en-US" w:eastAsia="en-US"/>
        </w:rPr>
        <w:t>Figure 2</w:t>
      </w:r>
      <w:r w:rsidR="00D31158" w:rsidRPr="00211F88">
        <w:rPr>
          <w:b/>
          <w:bCs/>
          <w:color w:val="000000"/>
          <w:lang w:val="en-US" w:eastAsia="en-US"/>
        </w:rPr>
        <w:t>:</w:t>
      </w:r>
      <w:r w:rsidRPr="00211F88">
        <w:rPr>
          <w:b/>
          <w:bCs/>
          <w:color w:val="000000"/>
          <w:lang w:val="en-US" w:eastAsia="en-US"/>
        </w:rPr>
        <w:t xml:space="preserve"> show TIMI flow in three groups</w:t>
      </w:r>
      <w:r w:rsidRPr="00211F88">
        <w:rPr>
          <w:rFonts w:eastAsia="Calibri"/>
          <w:b/>
          <w:bCs/>
        </w:rPr>
        <w:t>.</w:t>
      </w:r>
    </w:p>
    <w:p w:rsidR="00357E05" w:rsidRPr="00211F88" w:rsidRDefault="00357E05" w:rsidP="008B5D29">
      <w:pPr>
        <w:snapToGrid w:val="0"/>
        <w:jc w:val="both"/>
        <w:rPr>
          <w:rFonts w:eastAsiaTheme="minorEastAsia"/>
          <w:b/>
          <w:bCs/>
          <w:lang w:eastAsia="zh-CN"/>
        </w:rPr>
      </w:pPr>
    </w:p>
    <w:p w:rsidR="00837273" w:rsidRPr="00211F88" w:rsidRDefault="00837273" w:rsidP="00837273">
      <w:pPr>
        <w:snapToGrid w:val="0"/>
        <w:jc w:val="center"/>
        <w:rPr>
          <w:rFonts w:eastAsiaTheme="minorEastAsia"/>
          <w:b/>
          <w:bCs/>
          <w:lang w:eastAsia="zh-CN"/>
        </w:rPr>
      </w:pPr>
      <w:r w:rsidRPr="00211F88">
        <w:rPr>
          <w:rFonts w:eastAsia="Calibri"/>
          <w:b/>
          <w:bCs/>
          <w:lang w:val="en-US" w:eastAsia="en-US" w:bidi="ar-EG"/>
        </w:rPr>
        <w:t>Table 2: difference between three groups according to angiographic result</w:t>
      </w:r>
      <w:r w:rsidRPr="00211F88">
        <w:rPr>
          <w:rFonts w:eastAsia="Calibri"/>
          <w:lang w:val="en-US" w:eastAsia="en-US" w:bidi="ar-E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617"/>
        <w:gridCol w:w="993"/>
        <w:gridCol w:w="1559"/>
        <w:gridCol w:w="1419"/>
        <w:gridCol w:w="1559"/>
        <w:gridCol w:w="851"/>
        <w:gridCol w:w="1476"/>
      </w:tblGrid>
      <w:tr w:rsidR="007E49ED" w:rsidRPr="00211F88" w:rsidTr="00211F88">
        <w:trPr>
          <w:jc w:val="center"/>
        </w:trPr>
        <w:tc>
          <w:tcPr>
            <w:tcW w:w="1377" w:type="pct"/>
            <w:gridSpan w:val="2"/>
            <w:shd w:val="clear" w:color="auto" w:fill="auto"/>
            <w:vAlign w:val="center"/>
          </w:tcPr>
          <w:p w:rsidR="007E49ED" w:rsidRPr="00211F88" w:rsidRDefault="007E49ED" w:rsidP="00211F88">
            <w:pPr>
              <w:snapToGrid w:val="0"/>
              <w:rPr>
                <w:rFonts w:eastAsiaTheme="minorEastAsia" w:hint="eastAsia"/>
                <w:lang w:val="en-US" w:eastAsia="zh-CN" w:bidi="ar-EG"/>
              </w:rPr>
            </w:pPr>
            <w:bookmarkStart w:id="0" w:name="_Toc18449400"/>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RBS ≤</w:t>
            </w:r>
            <w:r w:rsidR="00D31158" w:rsidRPr="00211F88">
              <w:rPr>
                <w:rFonts w:eastAsia="Calibri"/>
                <w:lang w:val="en-US" w:eastAsia="en-US" w:bidi="ar-EG"/>
              </w:rPr>
              <w:t xml:space="preserve"> </w:t>
            </w:r>
            <w:r w:rsidRPr="00211F88">
              <w:rPr>
                <w:rFonts w:eastAsia="Calibri"/>
                <w:lang w:val="en-US" w:eastAsia="en-US" w:bidi="ar-EG"/>
              </w:rPr>
              <w:t>110</w:t>
            </w:r>
          </w:p>
          <w:p w:rsidR="007E49ED" w:rsidRPr="00211F88" w:rsidRDefault="007E49ED" w:rsidP="00211F88">
            <w:pPr>
              <w:snapToGrid w:val="0"/>
              <w:rPr>
                <w:rFonts w:eastAsia="Calibri"/>
                <w:lang w:val="en-US" w:eastAsia="en-US" w:bidi="ar-EG"/>
              </w:rPr>
            </w:pPr>
            <w:r w:rsidRPr="00211F88">
              <w:rPr>
                <w:rFonts w:eastAsia="Calibri"/>
                <w:lang w:val="en-US" w:eastAsia="en-US" w:bidi="ar-EG"/>
              </w:rPr>
              <w:t>Percentage (%)</w:t>
            </w:r>
          </w:p>
          <w:p w:rsidR="007E49ED" w:rsidRPr="00211F88" w:rsidRDefault="007E49ED" w:rsidP="00211F88">
            <w:pPr>
              <w:snapToGrid w:val="0"/>
              <w:rPr>
                <w:rFonts w:eastAsia="Calibri"/>
                <w:lang w:val="en-US" w:eastAsia="en-US" w:bidi="ar-EG"/>
              </w:rPr>
            </w:pPr>
            <w:r w:rsidRPr="00211F88">
              <w:rPr>
                <w:rFonts w:eastAsia="Calibri"/>
                <w:lang w:val="en-US" w:eastAsia="en-US" w:bidi="ar-EG"/>
              </w:rPr>
              <w:t>N=46</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RBS 111-130</w:t>
            </w:r>
          </w:p>
          <w:p w:rsidR="007E49ED" w:rsidRPr="00211F88" w:rsidRDefault="007E49ED" w:rsidP="00211F88">
            <w:pPr>
              <w:snapToGrid w:val="0"/>
              <w:rPr>
                <w:rFonts w:eastAsia="Calibri"/>
                <w:lang w:val="en-US" w:eastAsia="en-US" w:bidi="ar-EG"/>
              </w:rPr>
            </w:pPr>
            <w:r w:rsidRPr="00211F88">
              <w:rPr>
                <w:rFonts w:eastAsia="Calibri"/>
                <w:lang w:val="en-US" w:eastAsia="en-US" w:bidi="ar-EG"/>
              </w:rPr>
              <w:t>Percentage (%)</w:t>
            </w:r>
          </w:p>
          <w:p w:rsidR="007E49ED" w:rsidRPr="00211F88" w:rsidRDefault="007E49ED" w:rsidP="00211F88">
            <w:pPr>
              <w:snapToGrid w:val="0"/>
              <w:rPr>
                <w:rFonts w:eastAsia="Calibri"/>
                <w:lang w:val="en-US" w:eastAsia="en-US" w:bidi="ar-EG"/>
              </w:rPr>
            </w:pPr>
            <w:r w:rsidRPr="00211F88">
              <w:rPr>
                <w:rFonts w:eastAsia="Calibri"/>
                <w:lang w:val="en-US" w:eastAsia="en-US" w:bidi="ar-EG"/>
              </w:rPr>
              <w:t>N=32</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RBS ≥ 131</w:t>
            </w:r>
          </w:p>
          <w:p w:rsidR="007E49ED" w:rsidRPr="00211F88" w:rsidRDefault="007E49ED" w:rsidP="00211F88">
            <w:pPr>
              <w:snapToGrid w:val="0"/>
              <w:rPr>
                <w:rFonts w:eastAsia="Calibri"/>
                <w:lang w:val="en-US" w:eastAsia="en-US" w:bidi="ar-EG"/>
              </w:rPr>
            </w:pPr>
            <w:r w:rsidRPr="00211F88">
              <w:rPr>
                <w:rFonts w:eastAsia="Calibri"/>
                <w:lang w:val="en-US" w:eastAsia="en-US" w:bidi="ar-EG"/>
              </w:rPr>
              <w:t>Percentage (%)</w:t>
            </w:r>
          </w:p>
          <w:p w:rsidR="007E49ED" w:rsidRPr="00211F88" w:rsidRDefault="007E49ED" w:rsidP="00211F88">
            <w:pPr>
              <w:snapToGrid w:val="0"/>
              <w:rPr>
                <w:rFonts w:eastAsia="Calibri"/>
                <w:lang w:val="en-US" w:eastAsia="en-US" w:bidi="ar-EG"/>
              </w:rPr>
            </w:pPr>
            <w:r w:rsidRPr="00211F88">
              <w:rPr>
                <w:rFonts w:eastAsia="Calibri"/>
                <w:lang w:val="en-US" w:eastAsia="en-US" w:bidi="ar-EG"/>
              </w:rPr>
              <w:t>N=72</w:t>
            </w:r>
          </w:p>
        </w:tc>
        <w:tc>
          <w:tcPr>
            <w:tcW w:w="449" w:type="pct"/>
            <w:shd w:val="clear" w:color="auto" w:fill="auto"/>
            <w:vAlign w:val="center"/>
          </w:tcPr>
          <w:p w:rsidR="007E49ED" w:rsidRPr="00211F88" w:rsidRDefault="007E49ED" w:rsidP="008B5D29">
            <w:pPr>
              <w:snapToGrid w:val="0"/>
              <w:jc w:val="both"/>
              <w:rPr>
                <w:rFonts w:eastAsia="Calibri"/>
                <w:vertAlign w:val="superscript"/>
                <w:lang w:val="en-US" w:eastAsia="en-US" w:bidi="ar-EG"/>
              </w:rPr>
            </w:pPr>
            <w:r w:rsidRPr="00211F88">
              <w:rPr>
                <w:rFonts w:eastAsia="Calibri"/>
                <w:lang w:val="en-US" w:eastAsia="en-US" w:bidi="ar-EG"/>
              </w:rPr>
              <w:t>X</w:t>
            </w:r>
            <w:r w:rsidRPr="00211F88">
              <w:rPr>
                <w:rFonts w:eastAsia="Calibri"/>
                <w:vertAlign w:val="superscript"/>
                <w:lang w:val="en-US" w:eastAsia="en-US" w:bidi="ar-EG"/>
              </w:rPr>
              <w:t>2</w:t>
            </w:r>
          </w:p>
        </w:tc>
        <w:tc>
          <w:tcPr>
            <w:tcW w:w="779" w:type="pct"/>
            <w:shd w:val="clear" w:color="auto" w:fill="auto"/>
            <w:vAlign w:val="center"/>
          </w:tcPr>
          <w:p w:rsidR="007E49ED" w:rsidRPr="00211F88" w:rsidRDefault="007E49ED" w:rsidP="008B5D29">
            <w:pPr>
              <w:snapToGrid w:val="0"/>
              <w:jc w:val="both"/>
              <w:rPr>
                <w:rFonts w:eastAsia="Calibri"/>
                <w:lang w:val="en-US" w:eastAsia="en-US" w:bidi="ar-EG"/>
              </w:rPr>
            </w:pPr>
            <w:r w:rsidRPr="00211F88">
              <w:rPr>
                <w:rFonts w:eastAsia="Calibri"/>
                <w:lang w:val="en-US" w:eastAsia="en-US" w:bidi="ar-EG"/>
              </w:rPr>
              <w:t>P Value</w:t>
            </w:r>
          </w:p>
        </w:tc>
      </w:tr>
      <w:tr w:rsidR="007E49ED" w:rsidRPr="00211F88" w:rsidTr="00211F88">
        <w:trPr>
          <w:jc w:val="center"/>
        </w:trPr>
        <w:tc>
          <w:tcPr>
            <w:tcW w:w="853" w:type="pct"/>
            <w:vMerge w:val="restar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Culprit</w:t>
            </w:r>
          </w:p>
        </w:tc>
        <w:tc>
          <w:tcPr>
            <w:tcW w:w="524"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LAD</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25 (54.3%)</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20 (61.5%)</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44 (61.1%)</w:t>
            </w:r>
          </w:p>
        </w:tc>
        <w:tc>
          <w:tcPr>
            <w:tcW w:w="449" w:type="pct"/>
            <w:vMerge w:val="restart"/>
            <w:shd w:val="clear" w:color="auto" w:fill="auto"/>
            <w:vAlign w:val="center"/>
          </w:tcPr>
          <w:p w:rsidR="007E49ED" w:rsidRPr="00211F88" w:rsidRDefault="007E49ED" w:rsidP="008B5D29">
            <w:pPr>
              <w:snapToGrid w:val="0"/>
              <w:jc w:val="both"/>
              <w:rPr>
                <w:rFonts w:eastAsia="Calibri"/>
                <w:lang w:val="en-US" w:eastAsia="en-US" w:bidi="ar-EG"/>
              </w:rPr>
            </w:pPr>
            <w:r w:rsidRPr="00211F88">
              <w:rPr>
                <w:rFonts w:eastAsia="Calibri"/>
                <w:lang w:val="en-US" w:eastAsia="en-US" w:bidi="ar-EG"/>
              </w:rPr>
              <w:t>3.489</w:t>
            </w:r>
          </w:p>
        </w:tc>
        <w:tc>
          <w:tcPr>
            <w:tcW w:w="779" w:type="pct"/>
            <w:vMerge w:val="restart"/>
            <w:shd w:val="clear" w:color="auto" w:fill="auto"/>
            <w:vAlign w:val="center"/>
          </w:tcPr>
          <w:p w:rsidR="007E49ED" w:rsidRPr="00211F88" w:rsidRDefault="007E49ED" w:rsidP="008B5D29">
            <w:pPr>
              <w:snapToGrid w:val="0"/>
              <w:jc w:val="both"/>
              <w:rPr>
                <w:rFonts w:eastAsia="Calibri"/>
                <w:lang w:val="en-US" w:eastAsia="en-US" w:bidi="ar-EG"/>
              </w:rPr>
            </w:pPr>
            <w:r w:rsidRPr="00211F88">
              <w:rPr>
                <w:rFonts w:eastAsia="Calibri"/>
                <w:lang w:val="en-US" w:eastAsia="en-US" w:bidi="ar-EG"/>
              </w:rPr>
              <w:t>0.951</w:t>
            </w:r>
          </w:p>
          <w:p w:rsidR="007E49ED" w:rsidRPr="00211F88" w:rsidRDefault="007E49ED" w:rsidP="00211F88">
            <w:pPr>
              <w:snapToGrid w:val="0"/>
              <w:rPr>
                <w:rFonts w:eastAsia="Calibri"/>
                <w:lang w:val="en-US" w:eastAsia="en-US" w:bidi="ar-EG"/>
              </w:rPr>
            </w:pPr>
            <w:r w:rsidRPr="00211F88">
              <w:rPr>
                <w:rFonts w:eastAsia="Calibri"/>
                <w:lang w:val="en-US" w:eastAsia="en-US" w:bidi="ar-EG"/>
              </w:rPr>
              <w:t>Calculated by Monte Carlo</w:t>
            </w:r>
          </w:p>
        </w:tc>
      </w:tr>
      <w:tr w:rsidR="007E49ED" w:rsidRPr="00211F88" w:rsidTr="00211F88">
        <w:trPr>
          <w:jc w:val="center"/>
        </w:trPr>
        <w:tc>
          <w:tcPr>
            <w:tcW w:w="853" w:type="pct"/>
            <w:vMerge/>
            <w:shd w:val="clear" w:color="auto" w:fill="auto"/>
            <w:vAlign w:val="center"/>
          </w:tcPr>
          <w:p w:rsidR="007E49ED" w:rsidRPr="00211F88" w:rsidRDefault="007E49ED" w:rsidP="00211F88">
            <w:pPr>
              <w:snapToGrid w:val="0"/>
              <w:rPr>
                <w:rFonts w:eastAsia="Calibri"/>
                <w:lang w:val="en-US" w:eastAsia="en-US" w:bidi="ar-EG"/>
              </w:rPr>
            </w:pPr>
          </w:p>
        </w:tc>
        <w:tc>
          <w:tcPr>
            <w:tcW w:w="524"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LCX</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3 (6.5%)</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3 (9.4%)</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5 (6.9%)</w:t>
            </w:r>
          </w:p>
        </w:tc>
        <w:tc>
          <w:tcPr>
            <w:tcW w:w="449" w:type="pct"/>
            <w:vMerge/>
            <w:shd w:val="clear" w:color="auto" w:fill="auto"/>
            <w:vAlign w:val="center"/>
          </w:tcPr>
          <w:p w:rsidR="007E49ED" w:rsidRPr="00211F88" w:rsidRDefault="007E49ED" w:rsidP="008B5D29">
            <w:pPr>
              <w:snapToGrid w:val="0"/>
              <w:jc w:val="both"/>
              <w:rPr>
                <w:rFonts w:eastAsia="Calibri"/>
                <w:lang w:val="en-US" w:eastAsia="en-US" w:bidi="ar-EG"/>
              </w:rPr>
            </w:pPr>
          </w:p>
        </w:tc>
        <w:tc>
          <w:tcPr>
            <w:tcW w:w="779" w:type="pct"/>
            <w:vMerge/>
            <w:shd w:val="clear" w:color="auto" w:fill="auto"/>
            <w:vAlign w:val="center"/>
          </w:tcPr>
          <w:p w:rsidR="007E49ED" w:rsidRPr="00211F88" w:rsidRDefault="007E49ED" w:rsidP="008B5D29">
            <w:pPr>
              <w:snapToGrid w:val="0"/>
              <w:jc w:val="both"/>
              <w:rPr>
                <w:rFonts w:eastAsia="Calibri"/>
                <w:lang w:val="en-US" w:eastAsia="en-US" w:bidi="ar-EG"/>
              </w:rPr>
            </w:pPr>
          </w:p>
        </w:tc>
      </w:tr>
      <w:tr w:rsidR="007E49ED" w:rsidRPr="00211F88" w:rsidTr="00211F88">
        <w:trPr>
          <w:jc w:val="center"/>
        </w:trPr>
        <w:tc>
          <w:tcPr>
            <w:tcW w:w="853" w:type="pct"/>
            <w:vMerge/>
            <w:shd w:val="clear" w:color="auto" w:fill="auto"/>
            <w:vAlign w:val="center"/>
          </w:tcPr>
          <w:p w:rsidR="007E49ED" w:rsidRPr="00211F88" w:rsidRDefault="007E49ED" w:rsidP="00211F88">
            <w:pPr>
              <w:snapToGrid w:val="0"/>
              <w:rPr>
                <w:rFonts w:eastAsia="Calibri"/>
                <w:lang w:val="en-US" w:eastAsia="en-US" w:bidi="ar-EG"/>
              </w:rPr>
            </w:pPr>
          </w:p>
        </w:tc>
        <w:tc>
          <w:tcPr>
            <w:tcW w:w="524"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RCA</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16 (34.8%)</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8 (25%)</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21 (29.2%)</w:t>
            </w:r>
          </w:p>
        </w:tc>
        <w:tc>
          <w:tcPr>
            <w:tcW w:w="449" w:type="pct"/>
            <w:vMerge/>
            <w:shd w:val="clear" w:color="auto" w:fill="auto"/>
            <w:vAlign w:val="center"/>
          </w:tcPr>
          <w:p w:rsidR="007E49ED" w:rsidRPr="00211F88" w:rsidRDefault="007E49ED" w:rsidP="008B5D29">
            <w:pPr>
              <w:snapToGrid w:val="0"/>
              <w:jc w:val="both"/>
              <w:rPr>
                <w:rFonts w:eastAsia="Calibri"/>
                <w:lang w:val="en-US" w:eastAsia="en-US" w:bidi="ar-EG"/>
              </w:rPr>
            </w:pPr>
          </w:p>
        </w:tc>
        <w:tc>
          <w:tcPr>
            <w:tcW w:w="779" w:type="pct"/>
            <w:vMerge/>
            <w:shd w:val="clear" w:color="auto" w:fill="auto"/>
            <w:vAlign w:val="center"/>
          </w:tcPr>
          <w:p w:rsidR="007E49ED" w:rsidRPr="00211F88" w:rsidRDefault="007E49ED" w:rsidP="008B5D29">
            <w:pPr>
              <w:snapToGrid w:val="0"/>
              <w:jc w:val="both"/>
              <w:rPr>
                <w:rFonts w:eastAsia="Calibri"/>
                <w:lang w:val="en-US" w:eastAsia="en-US" w:bidi="ar-EG"/>
              </w:rPr>
            </w:pPr>
          </w:p>
        </w:tc>
      </w:tr>
      <w:tr w:rsidR="007E49ED" w:rsidRPr="00211F88" w:rsidTr="00211F88">
        <w:trPr>
          <w:jc w:val="center"/>
        </w:trPr>
        <w:tc>
          <w:tcPr>
            <w:tcW w:w="853" w:type="pct"/>
            <w:vMerge/>
            <w:shd w:val="clear" w:color="auto" w:fill="auto"/>
            <w:vAlign w:val="center"/>
          </w:tcPr>
          <w:p w:rsidR="007E49ED" w:rsidRPr="00211F88" w:rsidRDefault="007E49ED" w:rsidP="00211F88">
            <w:pPr>
              <w:snapToGrid w:val="0"/>
              <w:rPr>
                <w:rFonts w:eastAsia="Calibri"/>
                <w:lang w:val="en-US" w:eastAsia="en-US" w:bidi="ar-EG"/>
              </w:rPr>
            </w:pPr>
          </w:p>
        </w:tc>
        <w:tc>
          <w:tcPr>
            <w:tcW w:w="524"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ramus</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1 (2.2%)</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0 (0%)</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0 (0%)</w:t>
            </w:r>
          </w:p>
        </w:tc>
        <w:tc>
          <w:tcPr>
            <w:tcW w:w="449" w:type="pct"/>
            <w:vMerge/>
            <w:shd w:val="clear" w:color="auto" w:fill="auto"/>
            <w:vAlign w:val="center"/>
          </w:tcPr>
          <w:p w:rsidR="007E49ED" w:rsidRPr="00211F88" w:rsidRDefault="007E49ED" w:rsidP="008B5D29">
            <w:pPr>
              <w:snapToGrid w:val="0"/>
              <w:jc w:val="both"/>
              <w:rPr>
                <w:rFonts w:eastAsia="Calibri"/>
                <w:lang w:val="en-US" w:eastAsia="en-US" w:bidi="ar-EG"/>
              </w:rPr>
            </w:pPr>
          </w:p>
        </w:tc>
        <w:tc>
          <w:tcPr>
            <w:tcW w:w="779" w:type="pct"/>
            <w:vMerge/>
            <w:shd w:val="clear" w:color="auto" w:fill="auto"/>
            <w:vAlign w:val="center"/>
          </w:tcPr>
          <w:p w:rsidR="007E49ED" w:rsidRPr="00211F88" w:rsidRDefault="007E49ED" w:rsidP="008B5D29">
            <w:pPr>
              <w:snapToGrid w:val="0"/>
              <w:jc w:val="both"/>
              <w:rPr>
                <w:rFonts w:eastAsia="Calibri"/>
                <w:lang w:val="en-US" w:eastAsia="en-US" w:bidi="ar-EG"/>
              </w:rPr>
            </w:pPr>
          </w:p>
        </w:tc>
      </w:tr>
      <w:tr w:rsidR="007E49ED" w:rsidRPr="00211F88" w:rsidTr="00211F88">
        <w:trPr>
          <w:jc w:val="center"/>
        </w:trPr>
        <w:tc>
          <w:tcPr>
            <w:tcW w:w="853" w:type="pct"/>
            <w:vMerge/>
            <w:shd w:val="clear" w:color="auto" w:fill="auto"/>
            <w:vAlign w:val="center"/>
          </w:tcPr>
          <w:p w:rsidR="007E49ED" w:rsidRPr="00211F88" w:rsidRDefault="007E49ED" w:rsidP="00211F88">
            <w:pPr>
              <w:snapToGrid w:val="0"/>
              <w:rPr>
                <w:rFonts w:eastAsia="Calibri"/>
                <w:lang w:val="en-US" w:eastAsia="en-US" w:bidi="ar-EG"/>
              </w:rPr>
            </w:pPr>
          </w:p>
        </w:tc>
        <w:tc>
          <w:tcPr>
            <w:tcW w:w="524"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diagonal</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1 (2.2%)</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1 (3.1%)</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2 (2.8%)</w:t>
            </w:r>
          </w:p>
        </w:tc>
        <w:tc>
          <w:tcPr>
            <w:tcW w:w="449" w:type="pct"/>
            <w:vMerge/>
            <w:shd w:val="clear" w:color="auto" w:fill="auto"/>
            <w:vAlign w:val="center"/>
          </w:tcPr>
          <w:p w:rsidR="007E49ED" w:rsidRPr="00211F88" w:rsidRDefault="007E49ED" w:rsidP="008B5D29">
            <w:pPr>
              <w:snapToGrid w:val="0"/>
              <w:jc w:val="both"/>
              <w:rPr>
                <w:rFonts w:eastAsia="Calibri"/>
                <w:lang w:val="en-US" w:eastAsia="en-US" w:bidi="ar-EG"/>
              </w:rPr>
            </w:pPr>
          </w:p>
        </w:tc>
        <w:tc>
          <w:tcPr>
            <w:tcW w:w="779" w:type="pct"/>
            <w:vMerge/>
            <w:shd w:val="clear" w:color="auto" w:fill="auto"/>
            <w:vAlign w:val="center"/>
          </w:tcPr>
          <w:p w:rsidR="007E49ED" w:rsidRPr="00211F88" w:rsidRDefault="007E49ED" w:rsidP="008B5D29">
            <w:pPr>
              <w:snapToGrid w:val="0"/>
              <w:jc w:val="both"/>
              <w:rPr>
                <w:rFonts w:eastAsia="Calibri"/>
                <w:lang w:val="en-US" w:eastAsia="en-US" w:bidi="ar-EG"/>
              </w:rPr>
            </w:pPr>
          </w:p>
        </w:tc>
      </w:tr>
      <w:tr w:rsidR="007E49ED" w:rsidRPr="00211F88" w:rsidTr="00211F88">
        <w:trPr>
          <w:jc w:val="center"/>
        </w:trPr>
        <w:tc>
          <w:tcPr>
            <w:tcW w:w="853" w:type="pct"/>
            <w:vMerge w:val="restar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Number diseased vessel</w:t>
            </w:r>
          </w:p>
        </w:tc>
        <w:tc>
          <w:tcPr>
            <w:tcW w:w="524"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1</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13 (28.3%)</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13 (40.6%)</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28 (38.9%)</w:t>
            </w:r>
          </w:p>
        </w:tc>
        <w:tc>
          <w:tcPr>
            <w:tcW w:w="449" w:type="pct"/>
            <w:vMerge w:val="restart"/>
            <w:shd w:val="clear" w:color="auto" w:fill="auto"/>
            <w:vAlign w:val="center"/>
          </w:tcPr>
          <w:p w:rsidR="007E49ED" w:rsidRPr="00211F88" w:rsidRDefault="007E49ED" w:rsidP="008B5D29">
            <w:pPr>
              <w:snapToGrid w:val="0"/>
              <w:jc w:val="both"/>
              <w:rPr>
                <w:rFonts w:eastAsia="Calibri"/>
                <w:lang w:val="en-US" w:eastAsia="en-US" w:bidi="ar-EG"/>
              </w:rPr>
            </w:pPr>
            <w:r w:rsidRPr="00211F88">
              <w:rPr>
                <w:rFonts w:eastAsia="Calibri"/>
                <w:lang w:val="en-US" w:eastAsia="en-US" w:bidi="ar-EG"/>
              </w:rPr>
              <w:t>3.201</w:t>
            </w:r>
          </w:p>
        </w:tc>
        <w:tc>
          <w:tcPr>
            <w:tcW w:w="779" w:type="pct"/>
            <w:vMerge w:val="restart"/>
            <w:shd w:val="clear" w:color="auto" w:fill="auto"/>
            <w:vAlign w:val="center"/>
          </w:tcPr>
          <w:p w:rsidR="007E49ED" w:rsidRPr="00211F88" w:rsidRDefault="007E49ED" w:rsidP="008B5D29">
            <w:pPr>
              <w:snapToGrid w:val="0"/>
              <w:jc w:val="both"/>
              <w:rPr>
                <w:rFonts w:eastAsia="Calibri"/>
                <w:lang w:val="en-US" w:eastAsia="en-US" w:bidi="ar-EG"/>
              </w:rPr>
            </w:pPr>
            <w:r w:rsidRPr="00211F88">
              <w:rPr>
                <w:rFonts w:eastAsia="Calibri"/>
                <w:lang w:val="en-US" w:eastAsia="en-US" w:bidi="ar-EG"/>
              </w:rPr>
              <w:t>0.525</w:t>
            </w:r>
          </w:p>
        </w:tc>
      </w:tr>
      <w:tr w:rsidR="007E49ED" w:rsidRPr="00211F88" w:rsidTr="00211F88">
        <w:trPr>
          <w:jc w:val="center"/>
        </w:trPr>
        <w:tc>
          <w:tcPr>
            <w:tcW w:w="853" w:type="pct"/>
            <w:vMerge/>
            <w:shd w:val="clear" w:color="auto" w:fill="auto"/>
            <w:vAlign w:val="center"/>
          </w:tcPr>
          <w:p w:rsidR="007E49ED" w:rsidRPr="00211F88" w:rsidRDefault="007E49ED" w:rsidP="00211F88">
            <w:pPr>
              <w:snapToGrid w:val="0"/>
              <w:rPr>
                <w:rFonts w:eastAsia="Calibri"/>
                <w:lang w:val="en-US" w:eastAsia="en-US" w:bidi="ar-EG"/>
              </w:rPr>
            </w:pPr>
          </w:p>
        </w:tc>
        <w:tc>
          <w:tcPr>
            <w:tcW w:w="524"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2</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16 (34.8%)</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6 (18.8%)</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20 (27.8%)</w:t>
            </w:r>
          </w:p>
        </w:tc>
        <w:tc>
          <w:tcPr>
            <w:tcW w:w="449" w:type="pct"/>
            <w:vMerge/>
            <w:shd w:val="clear" w:color="auto" w:fill="auto"/>
            <w:vAlign w:val="center"/>
          </w:tcPr>
          <w:p w:rsidR="007E49ED" w:rsidRPr="00211F88" w:rsidRDefault="007E49ED" w:rsidP="008B5D29">
            <w:pPr>
              <w:snapToGrid w:val="0"/>
              <w:jc w:val="both"/>
              <w:rPr>
                <w:rFonts w:eastAsia="Calibri"/>
                <w:lang w:val="en-US" w:eastAsia="en-US" w:bidi="ar-EG"/>
              </w:rPr>
            </w:pPr>
          </w:p>
        </w:tc>
        <w:tc>
          <w:tcPr>
            <w:tcW w:w="779" w:type="pct"/>
            <w:vMerge/>
            <w:shd w:val="clear" w:color="auto" w:fill="auto"/>
            <w:vAlign w:val="center"/>
          </w:tcPr>
          <w:p w:rsidR="007E49ED" w:rsidRPr="00211F88" w:rsidRDefault="007E49ED" w:rsidP="008B5D29">
            <w:pPr>
              <w:snapToGrid w:val="0"/>
              <w:jc w:val="both"/>
              <w:rPr>
                <w:rFonts w:eastAsia="Calibri"/>
                <w:lang w:val="en-US" w:eastAsia="en-US" w:bidi="ar-EG"/>
              </w:rPr>
            </w:pPr>
          </w:p>
        </w:tc>
      </w:tr>
      <w:tr w:rsidR="007E49ED" w:rsidRPr="00211F88" w:rsidTr="00211F88">
        <w:trPr>
          <w:jc w:val="center"/>
        </w:trPr>
        <w:tc>
          <w:tcPr>
            <w:tcW w:w="853" w:type="pct"/>
            <w:vMerge/>
            <w:shd w:val="clear" w:color="auto" w:fill="auto"/>
            <w:vAlign w:val="center"/>
          </w:tcPr>
          <w:p w:rsidR="007E49ED" w:rsidRPr="00211F88" w:rsidRDefault="007E49ED" w:rsidP="00211F88">
            <w:pPr>
              <w:snapToGrid w:val="0"/>
              <w:rPr>
                <w:rFonts w:eastAsia="Calibri"/>
                <w:lang w:val="en-US" w:eastAsia="en-US" w:bidi="ar-EG"/>
              </w:rPr>
            </w:pPr>
          </w:p>
        </w:tc>
        <w:tc>
          <w:tcPr>
            <w:tcW w:w="524"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3</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17 (37%)</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13 (40.6%)</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24 (33.3%)</w:t>
            </w:r>
          </w:p>
        </w:tc>
        <w:tc>
          <w:tcPr>
            <w:tcW w:w="449" w:type="pct"/>
            <w:vMerge/>
            <w:shd w:val="clear" w:color="auto" w:fill="auto"/>
            <w:vAlign w:val="center"/>
          </w:tcPr>
          <w:p w:rsidR="007E49ED" w:rsidRPr="00211F88" w:rsidRDefault="007E49ED" w:rsidP="008B5D29">
            <w:pPr>
              <w:snapToGrid w:val="0"/>
              <w:jc w:val="both"/>
              <w:rPr>
                <w:rFonts w:eastAsia="Calibri"/>
                <w:lang w:val="en-US" w:eastAsia="en-US" w:bidi="ar-EG"/>
              </w:rPr>
            </w:pPr>
          </w:p>
        </w:tc>
        <w:tc>
          <w:tcPr>
            <w:tcW w:w="779" w:type="pct"/>
            <w:vMerge/>
            <w:shd w:val="clear" w:color="auto" w:fill="auto"/>
            <w:vAlign w:val="center"/>
          </w:tcPr>
          <w:p w:rsidR="007E49ED" w:rsidRPr="00211F88" w:rsidRDefault="007E49ED" w:rsidP="008B5D29">
            <w:pPr>
              <w:snapToGrid w:val="0"/>
              <w:jc w:val="both"/>
              <w:rPr>
                <w:rFonts w:eastAsia="Calibri"/>
                <w:lang w:val="en-US" w:eastAsia="en-US" w:bidi="ar-EG"/>
              </w:rPr>
            </w:pPr>
          </w:p>
        </w:tc>
      </w:tr>
      <w:tr w:rsidR="007E49ED" w:rsidRPr="00211F88" w:rsidTr="00211F88">
        <w:trPr>
          <w:jc w:val="center"/>
        </w:trPr>
        <w:tc>
          <w:tcPr>
            <w:tcW w:w="853" w:type="pct"/>
            <w:vMerge w:val="restar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TIMI after</w:t>
            </w:r>
          </w:p>
        </w:tc>
        <w:tc>
          <w:tcPr>
            <w:tcW w:w="524"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TIMI 0</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1 (2.2%)</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0 (0%)</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3 (4%)</w:t>
            </w:r>
          </w:p>
        </w:tc>
        <w:tc>
          <w:tcPr>
            <w:tcW w:w="449" w:type="pct"/>
            <w:vMerge w:val="restart"/>
            <w:shd w:val="clear" w:color="auto" w:fill="auto"/>
            <w:vAlign w:val="center"/>
          </w:tcPr>
          <w:p w:rsidR="007E49ED" w:rsidRPr="00211F88" w:rsidRDefault="007E49ED" w:rsidP="008B5D29">
            <w:pPr>
              <w:snapToGrid w:val="0"/>
              <w:jc w:val="both"/>
              <w:rPr>
                <w:rFonts w:eastAsia="Calibri"/>
                <w:lang w:val="en-US" w:eastAsia="en-US" w:bidi="ar-EG"/>
              </w:rPr>
            </w:pPr>
            <w:r w:rsidRPr="00211F88">
              <w:rPr>
                <w:rFonts w:eastAsia="Calibri"/>
                <w:lang w:val="en-US" w:eastAsia="en-US" w:bidi="ar-EG"/>
              </w:rPr>
              <w:t>38.5</w:t>
            </w:r>
          </w:p>
        </w:tc>
        <w:tc>
          <w:tcPr>
            <w:tcW w:w="779" w:type="pct"/>
            <w:vMerge w:val="restart"/>
            <w:shd w:val="clear" w:color="auto" w:fill="auto"/>
            <w:vAlign w:val="center"/>
          </w:tcPr>
          <w:p w:rsidR="007E49ED" w:rsidRPr="00211F88" w:rsidRDefault="007E49ED" w:rsidP="008B5D29">
            <w:pPr>
              <w:snapToGrid w:val="0"/>
              <w:jc w:val="both"/>
              <w:rPr>
                <w:rFonts w:eastAsia="Calibri"/>
                <w:lang w:val="en-US" w:eastAsia="en-US" w:bidi="ar-EG"/>
              </w:rPr>
            </w:pPr>
            <w:r w:rsidRPr="00211F88">
              <w:rPr>
                <w:rFonts w:eastAsia="Calibri"/>
                <w:lang w:val="en-US" w:eastAsia="en-US" w:bidi="ar-EG"/>
              </w:rPr>
              <w:t>&lt;0.001*</w:t>
            </w:r>
          </w:p>
        </w:tc>
      </w:tr>
      <w:tr w:rsidR="007E49ED" w:rsidRPr="00211F88" w:rsidTr="00211F88">
        <w:trPr>
          <w:jc w:val="center"/>
        </w:trPr>
        <w:tc>
          <w:tcPr>
            <w:tcW w:w="853" w:type="pct"/>
            <w:vMerge/>
            <w:shd w:val="clear" w:color="auto" w:fill="auto"/>
            <w:vAlign w:val="center"/>
          </w:tcPr>
          <w:p w:rsidR="007E49ED" w:rsidRPr="00211F88" w:rsidRDefault="007E49ED" w:rsidP="00211F88">
            <w:pPr>
              <w:snapToGrid w:val="0"/>
              <w:rPr>
                <w:rFonts w:eastAsia="Calibri"/>
                <w:lang w:val="en-US" w:eastAsia="en-US" w:bidi="ar-EG"/>
              </w:rPr>
            </w:pPr>
          </w:p>
        </w:tc>
        <w:tc>
          <w:tcPr>
            <w:tcW w:w="524"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TIMI 1</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3 (6.5%)</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5 (15%)</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12 (17%)</w:t>
            </w:r>
          </w:p>
        </w:tc>
        <w:tc>
          <w:tcPr>
            <w:tcW w:w="449" w:type="pct"/>
            <w:vMerge/>
            <w:shd w:val="clear" w:color="auto" w:fill="auto"/>
            <w:vAlign w:val="center"/>
          </w:tcPr>
          <w:p w:rsidR="007E49ED" w:rsidRPr="00211F88" w:rsidRDefault="007E49ED" w:rsidP="008B5D29">
            <w:pPr>
              <w:snapToGrid w:val="0"/>
              <w:jc w:val="both"/>
              <w:rPr>
                <w:rFonts w:eastAsia="Calibri"/>
                <w:lang w:val="en-US" w:eastAsia="en-US" w:bidi="ar-EG"/>
              </w:rPr>
            </w:pPr>
          </w:p>
        </w:tc>
        <w:tc>
          <w:tcPr>
            <w:tcW w:w="779" w:type="pct"/>
            <w:vMerge/>
            <w:shd w:val="clear" w:color="auto" w:fill="auto"/>
            <w:vAlign w:val="center"/>
          </w:tcPr>
          <w:p w:rsidR="007E49ED" w:rsidRPr="00211F88" w:rsidRDefault="007E49ED" w:rsidP="008B5D29">
            <w:pPr>
              <w:snapToGrid w:val="0"/>
              <w:jc w:val="both"/>
              <w:rPr>
                <w:rFonts w:eastAsia="Calibri"/>
                <w:lang w:val="en-US" w:eastAsia="en-US" w:bidi="ar-EG"/>
              </w:rPr>
            </w:pPr>
          </w:p>
        </w:tc>
      </w:tr>
      <w:tr w:rsidR="007E49ED" w:rsidRPr="00211F88" w:rsidTr="00211F88">
        <w:trPr>
          <w:jc w:val="center"/>
        </w:trPr>
        <w:tc>
          <w:tcPr>
            <w:tcW w:w="853" w:type="pct"/>
            <w:vMerge/>
            <w:shd w:val="clear" w:color="auto" w:fill="auto"/>
            <w:vAlign w:val="center"/>
          </w:tcPr>
          <w:p w:rsidR="007E49ED" w:rsidRPr="00211F88" w:rsidRDefault="007E49ED" w:rsidP="00211F88">
            <w:pPr>
              <w:snapToGrid w:val="0"/>
              <w:rPr>
                <w:rFonts w:eastAsia="Calibri"/>
                <w:lang w:val="en-US" w:eastAsia="en-US" w:bidi="ar-EG"/>
              </w:rPr>
            </w:pPr>
          </w:p>
        </w:tc>
        <w:tc>
          <w:tcPr>
            <w:tcW w:w="524"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TIMI 2</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5 (10.9%)</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5 (16%)</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37 (51%)</w:t>
            </w:r>
          </w:p>
        </w:tc>
        <w:tc>
          <w:tcPr>
            <w:tcW w:w="449" w:type="pct"/>
            <w:vMerge/>
            <w:shd w:val="clear" w:color="auto" w:fill="auto"/>
            <w:vAlign w:val="center"/>
          </w:tcPr>
          <w:p w:rsidR="007E49ED" w:rsidRPr="00211F88" w:rsidRDefault="007E49ED" w:rsidP="008B5D29">
            <w:pPr>
              <w:snapToGrid w:val="0"/>
              <w:jc w:val="both"/>
              <w:rPr>
                <w:rFonts w:eastAsia="Calibri"/>
                <w:lang w:val="en-US" w:eastAsia="en-US" w:bidi="ar-EG"/>
              </w:rPr>
            </w:pPr>
          </w:p>
        </w:tc>
        <w:tc>
          <w:tcPr>
            <w:tcW w:w="779" w:type="pct"/>
            <w:vMerge/>
            <w:shd w:val="clear" w:color="auto" w:fill="auto"/>
            <w:vAlign w:val="center"/>
          </w:tcPr>
          <w:p w:rsidR="007E49ED" w:rsidRPr="00211F88" w:rsidRDefault="007E49ED" w:rsidP="008B5D29">
            <w:pPr>
              <w:snapToGrid w:val="0"/>
              <w:jc w:val="both"/>
              <w:rPr>
                <w:rFonts w:eastAsia="Calibri"/>
                <w:lang w:val="en-US" w:eastAsia="en-US" w:bidi="ar-EG"/>
              </w:rPr>
            </w:pPr>
          </w:p>
        </w:tc>
      </w:tr>
      <w:tr w:rsidR="007E49ED" w:rsidRPr="00211F88" w:rsidTr="00211F88">
        <w:trPr>
          <w:jc w:val="center"/>
        </w:trPr>
        <w:tc>
          <w:tcPr>
            <w:tcW w:w="853" w:type="pct"/>
            <w:vMerge/>
            <w:shd w:val="clear" w:color="auto" w:fill="auto"/>
            <w:vAlign w:val="center"/>
          </w:tcPr>
          <w:p w:rsidR="007E49ED" w:rsidRPr="00211F88" w:rsidRDefault="007E49ED" w:rsidP="00211F88">
            <w:pPr>
              <w:snapToGrid w:val="0"/>
              <w:rPr>
                <w:rFonts w:eastAsia="Calibri"/>
                <w:lang w:val="en-US" w:eastAsia="en-US" w:bidi="ar-EG"/>
              </w:rPr>
            </w:pPr>
          </w:p>
        </w:tc>
        <w:tc>
          <w:tcPr>
            <w:tcW w:w="524"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TIMI 3</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37 (80.4%)</w:t>
            </w:r>
          </w:p>
        </w:tc>
        <w:tc>
          <w:tcPr>
            <w:tcW w:w="749"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22 (69%)</w:t>
            </w:r>
          </w:p>
        </w:tc>
        <w:tc>
          <w:tcPr>
            <w:tcW w:w="823" w:type="pct"/>
            <w:shd w:val="clear" w:color="auto" w:fill="auto"/>
            <w:vAlign w:val="center"/>
          </w:tcPr>
          <w:p w:rsidR="007E49ED" w:rsidRPr="00211F88" w:rsidRDefault="007E49ED" w:rsidP="00211F88">
            <w:pPr>
              <w:snapToGrid w:val="0"/>
              <w:rPr>
                <w:rFonts w:eastAsia="Calibri"/>
                <w:lang w:val="en-US" w:eastAsia="en-US" w:bidi="ar-EG"/>
              </w:rPr>
            </w:pPr>
            <w:r w:rsidRPr="00211F88">
              <w:rPr>
                <w:rFonts w:eastAsia="Calibri"/>
                <w:lang w:val="en-US" w:eastAsia="en-US" w:bidi="ar-EG"/>
              </w:rPr>
              <w:t>20 (28%)</w:t>
            </w:r>
          </w:p>
        </w:tc>
        <w:tc>
          <w:tcPr>
            <w:tcW w:w="449" w:type="pct"/>
            <w:vMerge/>
            <w:shd w:val="clear" w:color="auto" w:fill="auto"/>
            <w:vAlign w:val="center"/>
          </w:tcPr>
          <w:p w:rsidR="007E49ED" w:rsidRPr="00211F88" w:rsidRDefault="007E49ED" w:rsidP="008B5D29">
            <w:pPr>
              <w:snapToGrid w:val="0"/>
              <w:jc w:val="both"/>
              <w:rPr>
                <w:rFonts w:eastAsia="Calibri"/>
                <w:lang w:val="en-US" w:eastAsia="en-US" w:bidi="ar-EG"/>
              </w:rPr>
            </w:pPr>
          </w:p>
        </w:tc>
        <w:tc>
          <w:tcPr>
            <w:tcW w:w="779" w:type="pct"/>
            <w:vMerge/>
            <w:shd w:val="clear" w:color="auto" w:fill="auto"/>
            <w:vAlign w:val="center"/>
          </w:tcPr>
          <w:p w:rsidR="007E49ED" w:rsidRPr="00211F88" w:rsidRDefault="007E49ED" w:rsidP="008B5D29">
            <w:pPr>
              <w:snapToGrid w:val="0"/>
              <w:jc w:val="both"/>
              <w:rPr>
                <w:rFonts w:eastAsia="Calibri"/>
                <w:lang w:val="en-US" w:eastAsia="en-US" w:bidi="ar-EG"/>
              </w:rPr>
            </w:pPr>
          </w:p>
        </w:tc>
      </w:tr>
    </w:tbl>
    <w:p w:rsidR="00203180" w:rsidRPr="00211F88" w:rsidRDefault="00203180" w:rsidP="008B5D29">
      <w:pPr>
        <w:snapToGrid w:val="0"/>
        <w:jc w:val="both"/>
        <w:rPr>
          <w:b/>
          <w:bCs/>
        </w:rPr>
      </w:pPr>
    </w:p>
    <w:p w:rsidR="008B5D29" w:rsidRPr="00211F88" w:rsidRDefault="008B5D29" w:rsidP="008B5D29">
      <w:pPr>
        <w:snapToGrid w:val="0"/>
        <w:jc w:val="both"/>
        <w:rPr>
          <w:b/>
          <w:bCs/>
        </w:rPr>
        <w:sectPr w:rsidR="008B5D29" w:rsidRPr="00211F88" w:rsidSect="00D31158">
          <w:type w:val="continuous"/>
          <w:pgSz w:w="12240" w:h="15840" w:code="1"/>
          <w:pgMar w:top="1440" w:right="1440" w:bottom="1440" w:left="1440" w:header="720" w:footer="720" w:gutter="0"/>
          <w:cols w:space="720"/>
          <w:docGrid w:linePitch="360"/>
        </w:sectPr>
      </w:pPr>
    </w:p>
    <w:p w:rsidR="00211F88" w:rsidRDefault="00211F88" w:rsidP="008B5D29">
      <w:pPr>
        <w:snapToGrid w:val="0"/>
        <w:jc w:val="both"/>
        <w:rPr>
          <w:rFonts w:eastAsiaTheme="minorEastAsia" w:hint="eastAsia"/>
          <w:b/>
          <w:bCs/>
          <w:lang w:eastAsia="zh-CN"/>
        </w:rPr>
      </w:pPr>
    </w:p>
    <w:p w:rsidR="00211F88" w:rsidRDefault="00211F88" w:rsidP="008B5D29">
      <w:pPr>
        <w:snapToGrid w:val="0"/>
        <w:jc w:val="both"/>
        <w:rPr>
          <w:rFonts w:eastAsiaTheme="minorEastAsia" w:hint="eastAsia"/>
          <w:b/>
          <w:bCs/>
          <w:lang w:eastAsia="zh-CN"/>
        </w:rPr>
      </w:pPr>
    </w:p>
    <w:p w:rsidR="00664179" w:rsidRPr="00211F88" w:rsidRDefault="00574FC8" w:rsidP="008B5D29">
      <w:pPr>
        <w:snapToGrid w:val="0"/>
        <w:jc w:val="both"/>
        <w:rPr>
          <w:b/>
          <w:bCs/>
          <w:u w:val="single"/>
        </w:rPr>
      </w:pPr>
      <w:r w:rsidRPr="00211F88">
        <w:rPr>
          <w:b/>
          <w:bCs/>
        </w:rPr>
        <w:t>Laboratory investigations</w:t>
      </w:r>
      <w:r w:rsidR="00D31158" w:rsidRPr="00211F88">
        <w:rPr>
          <w:b/>
          <w:bCs/>
          <w:u w:val="single"/>
        </w:rPr>
        <w:t>:</w:t>
      </w:r>
    </w:p>
    <w:p w:rsidR="00664179" w:rsidRDefault="00574FC8" w:rsidP="008B5D29">
      <w:pPr>
        <w:snapToGrid w:val="0"/>
        <w:ind w:firstLine="425"/>
        <w:contextualSpacing/>
        <w:jc w:val="both"/>
        <w:rPr>
          <w:rFonts w:eastAsiaTheme="minorEastAsia" w:hint="eastAsia"/>
          <w:lang w:eastAsia="zh-CN" w:bidi="ar-EG"/>
        </w:rPr>
      </w:pPr>
      <w:r w:rsidRPr="00211F88">
        <w:rPr>
          <w:lang w:bidi="ar-EG"/>
        </w:rPr>
        <w:t>As regard baseline lab investigations there was no statistically sig</w:t>
      </w:r>
      <w:r w:rsidR="00DD1335" w:rsidRPr="00211F88">
        <w:rPr>
          <w:lang w:bidi="ar-EG"/>
        </w:rPr>
        <w:t>nificant difference between three</w:t>
      </w:r>
      <w:r w:rsidRPr="00211F88">
        <w:rPr>
          <w:lang w:bidi="ar-EG"/>
        </w:rPr>
        <w:t xml:space="preserve"> groups</w:t>
      </w:r>
      <w:r w:rsidR="00DD1335" w:rsidRPr="00211F88">
        <w:rPr>
          <w:lang w:bidi="ar-EG"/>
        </w:rPr>
        <w:t>. According to CKMB</w:t>
      </w:r>
      <w:r w:rsidR="00D31158" w:rsidRPr="00211F88">
        <w:rPr>
          <w:lang w:bidi="ar-EG"/>
        </w:rPr>
        <w:t xml:space="preserve"> </w:t>
      </w:r>
      <w:r w:rsidR="00DD1335" w:rsidRPr="00211F88">
        <w:rPr>
          <w:lang w:bidi="ar-EG"/>
        </w:rPr>
        <w:t>in group I CKMB level ranged from 10 – 80 with mean 29.7 ± 13.3</w:t>
      </w:r>
      <w:r w:rsidR="00D31158" w:rsidRPr="00211F88">
        <w:rPr>
          <w:lang w:bidi="ar-EG"/>
        </w:rPr>
        <w:t xml:space="preserve">, </w:t>
      </w:r>
      <w:r w:rsidR="00DD1335" w:rsidRPr="00211F88">
        <w:rPr>
          <w:lang w:bidi="ar-EG"/>
        </w:rPr>
        <w:t>in group II CKMB level ranged from 10 – 120</w:t>
      </w:r>
      <w:r w:rsidR="00D31158" w:rsidRPr="00211F88">
        <w:rPr>
          <w:lang w:bidi="ar-EG"/>
        </w:rPr>
        <w:t xml:space="preserve"> </w:t>
      </w:r>
      <w:r w:rsidR="00DD1335" w:rsidRPr="00211F88">
        <w:rPr>
          <w:lang w:bidi="ar-EG"/>
        </w:rPr>
        <w:t>with mean 64.3 ± 24.5</w:t>
      </w:r>
      <w:r w:rsidR="00D31158" w:rsidRPr="00211F88">
        <w:rPr>
          <w:lang w:bidi="ar-EG"/>
        </w:rPr>
        <w:t xml:space="preserve"> </w:t>
      </w:r>
      <w:r w:rsidR="00DD1335" w:rsidRPr="00211F88">
        <w:rPr>
          <w:lang w:bidi="ar-EG"/>
        </w:rPr>
        <w:t>while in group III CKMB level ranged from14-247 with mean of 119.5 ±37.2</w:t>
      </w:r>
      <w:r w:rsidR="00D31158" w:rsidRPr="00211F88">
        <w:rPr>
          <w:lang w:bidi="ar-EG"/>
        </w:rPr>
        <w:t>.</w:t>
      </w:r>
      <w:r w:rsidR="00DD1335" w:rsidRPr="00211F88">
        <w:rPr>
          <w:lang w:bidi="ar-EG"/>
        </w:rPr>
        <w:t xml:space="preserve"> There was statistically significant difference between the three groups (P value =0.001).</w:t>
      </w:r>
    </w:p>
    <w:p w:rsidR="00211F88" w:rsidRPr="00211F88" w:rsidRDefault="00211F88" w:rsidP="008B5D29">
      <w:pPr>
        <w:snapToGrid w:val="0"/>
        <w:ind w:firstLine="425"/>
        <w:contextualSpacing/>
        <w:jc w:val="both"/>
        <w:rPr>
          <w:rFonts w:eastAsiaTheme="minorEastAsia" w:hint="eastAsia"/>
          <w:lang w:eastAsia="zh-CN" w:bidi="ar-EG"/>
        </w:rPr>
      </w:pPr>
    </w:p>
    <w:p w:rsidR="00664179" w:rsidRPr="00211F88" w:rsidRDefault="002001D5" w:rsidP="008B5D29">
      <w:pPr>
        <w:pStyle w:val="Caption"/>
        <w:snapToGrid w:val="0"/>
        <w:spacing w:after="0"/>
        <w:rPr>
          <w:bCs/>
          <w:sz w:val="20"/>
          <w:szCs w:val="20"/>
        </w:rPr>
      </w:pPr>
      <w:r w:rsidRPr="00211F88">
        <w:rPr>
          <w:bCs/>
          <w:noProof/>
          <w:sz w:val="20"/>
          <w:szCs w:val="20"/>
          <w:lang w:val="en-US" w:eastAsia="en-US"/>
        </w:rPr>
        <w:lastRenderedPageBreak/>
        <w:pict>
          <v:shape id="Picture 3" o:spid="_x0000_i1027" type="#_x0000_t75" style="width:211pt;height:154pt;visibility:visible">
            <v:imagedata r:id="rId15" o:title=""/>
          </v:shape>
        </w:pict>
      </w:r>
    </w:p>
    <w:bookmarkEnd w:id="0"/>
    <w:p w:rsidR="00DD1335" w:rsidRPr="00211F88" w:rsidRDefault="00DD1335" w:rsidP="008B5D29">
      <w:pPr>
        <w:snapToGrid w:val="0"/>
        <w:jc w:val="both"/>
        <w:rPr>
          <w:b/>
          <w:bCs/>
          <w:color w:val="000000"/>
        </w:rPr>
      </w:pPr>
      <w:r w:rsidRPr="00211F88">
        <w:rPr>
          <w:b/>
          <w:bCs/>
          <w:color w:val="000000"/>
        </w:rPr>
        <w:t>Figure 3</w:t>
      </w:r>
      <w:r w:rsidR="00D31158" w:rsidRPr="00211F88">
        <w:rPr>
          <w:b/>
          <w:bCs/>
          <w:color w:val="000000"/>
        </w:rPr>
        <w:t>:</w:t>
      </w:r>
      <w:r w:rsidRPr="00211F88">
        <w:rPr>
          <w:b/>
          <w:bCs/>
          <w:color w:val="000000"/>
        </w:rPr>
        <w:t xml:space="preserve"> a comparison of the means of CKMB levels among the three studied groups</w:t>
      </w:r>
    </w:p>
    <w:p w:rsidR="00E414B6" w:rsidRPr="00211F88" w:rsidRDefault="00E414B6" w:rsidP="008B5D29">
      <w:pPr>
        <w:snapToGrid w:val="0"/>
        <w:jc w:val="both"/>
        <w:rPr>
          <w:b/>
          <w:bCs/>
        </w:rPr>
      </w:pPr>
    </w:p>
    <w:p w:rsidR="009F587B" w:rsidRPr="00211F88" w:rsidRDefault="00DA6A6B" w:rsidP="008B5D29">
      <w:pPr>
        <w:snapToGrid w:val="0"/>
        <w:ind w:firstLine="425"/>
        <w:jc w:val="both"/>
        <w:rPr>
          <w:lang w:bidi="ar-EG"/>
        </w:rPr>
      </w:pPr>
      <w:r w:rsidRPr="00211F88">
        <w:rPr>
          <w:b/>
          <w:bCs/>
        </w:rPr>
        <w:lastRenderedPageBreak/>
        <w:t>Echocardiographic findings</w:t>
      </w:r>
      <w:r w:rsidRPr="00211F88">
        <w:t xml:space="preserve">: </w:t>
      </w:r>
      <w:r w:rsidR="00DD1335" w:rsidRPr="00211F88">
        <w:rPr>
          <w:lang w:bidi="ar-EG"/>
        </w:rPr>
        <w:t xml:space="preserve">in group I ranged from 32%-77% with median 52.26± 12.02, - in group II it ranged from 30%-60% with median 46.56 ± 7.255 while in group III it ranged from 29%-62% with </w:t>
      </w:r>
      <w:r w:rsidR="00DD1335" w:rsidRPr="00211F88">
        <w:rPr>
          <w:lang w:bidi="ar-EG"/>
        </w:rPr>
        <w:lastRenderedPageBreak/>
        <w:t>median 44.194 ±8.13</w:t>
      </w:r>
      <w:r w:rsidR="00D31158" w:rsidRPr="00211F88">
        <w:rPr>
          <w:lang w:bidi="ar-EG"/>
        </w:rPr>
        <w:t xml:space="preserve">. </w:t>
      </w:r>
      <w:r w:rsidR="00DD1335" w:rsidRPr="00211F88">
        <w:rPr>
          <w:lang w:bidi="ar-EG"/>
        </w:rPr>
        <w:t>There was statistically significant difference between the three groups (P value =0.002).</w:t>
      </w:r>
    </w:p>
    <w:p w:rsidR="008B5D29" w:rsidRPr="00211F88" w:rsidRDefault="008B5D29" w:rsidP="008B5D29">
      <w:pPr>
        <w:snapToGrid w:val="0"/>
        <w:jc w:val="center"/>
        <w:rPr>
          <w:lang w:bidi="ar-EG"/>
        </w:rPr>
        <w:sectPr w:rsidR="008B5D29" w:rsidRPr="00211F88" w:rsidSect="008B5D29">
          <w:type w:val="continuous"/>
          <w:pgSz w:w="12240" w:h="15840" w:code="1"/>
          <w:pgMar w:top="1440" w:right="1440" w:bottom="1440" w:left="1440" w:header="720" w:footer="720" w:gutter="0"/>
          <w:cols w:num="2" w:space="500"/>
          <w:docGrid w:linePitch="360"/>
        </w:sectPr>
      </w:pPr>
    </w:p>
    <w:p w:rsidR="002304D8" w:rsidRPr="00211F88" w:rsidRDefault="002304D8" w:rsidP="008B5D29">
      <w:pPr>
        <w:snapToGrid w:val="0"/>
        <w:jc w:val="center"/>
        <w:rPr>
          <w:lang w:bidi="ar-EG"/>
        </w:rPr>
      </w:pPr>
    </w:p>
    <w:p w:rsidR="00203180" w:rsidRPr="00211F88" w:rsidRDefault="001701EA" w:rsidP="008B5D29">
      <w:pPr>
        <w:snapToGrid w:val="0"/>
        <w:jc w:val="center"/>
        <w:rPr>
          <w:rFonts w:eastAsia="Calibri"/>
          <w:b/>
          <w:bCs/>
        </w:rPr>
      </w:pPr>
      <w:r w:rsidRPr="00211F88">
        <w:rPr>
          <w:rFonts w:eastAsia="Calibri"/>
          <w:b/>
          <w:bCs/>
        </w:rPr>
        <w:t>Table 3</w:t>
      </w:r>
      <w:r w:rsidR="00D31158" w:rsidRPr="00211F88">
        <w:rPr>
          <w:rFonts w:eastAsia="Calibri"/>
          <w:b/>
          <w:bCs/>
        </w:rPr>
        <w:t>:</w:t>
      </w:r>
      <w:r w:rsidRPr="00211F88">
        <w:rPr>
          <w:rFonts w:eastAsia="Calibri"/>
          <w:b/>
          <w:bCs/>
        </w:rPr>
        <w:t xml:space="preserve"> showing difference between three groups according to ejection fraction</w:t>
      </w:r>
      <w:r w:rsidR="00D31158" w:rsidRPr="00211F88">
        <w:rPr>
          <w:rFonts w:eastAsia="Calibri"/>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12"/>
        <w:gridCol w:w="199"/>
        <w:gridCol w:w="2217"/>
        <w:gridCol w:w="2217"/>
        <w:gridCol w:w="2217"/>
        <w:gridCol w:w="767"/>
        <w:gridCol w:w="1245"/>
      </w:tblGrid>
      <w:tr w:rsidR="00203180" w:rsidRPr="00211F88" w:rsidTr="00D31158">
        <w:trPr>
          <w:jc w:val="center"/>
        </w:trPr>
        <w:tc>
          <w:tcPr>
            <w:tcW w:w="427" w:type="pct"/>
            <w:gridSpan w:val="2"/>
            <w:shd w:val="clear" w:color="auto" w:fill="auto"/>
            <w:vAlign w:val="center"/>
          </w:tcPr>
          <w:p w:rsidR="00203180" w:rsidRPr="00211F88" w:rsidRDefault="00203180" w:rsidP="008B5D29">
            <w:pPr>
              <w:snapToGrid w:val="0"/>
              <w:jc w:val="both"/>
              <w:rPr>
                <w:rFonts w:eastAsia="Calibri"/>
                <w:lang w:eastAsia="en-US" w:bidi="ar-EG"/>
              </w:rPr>
            </w:pPr>
          </w:p>
        </w:tc>
        <w:tc>
          <w:tcPr>
            <w:tcW w:w="1170" w:type="pct"/>
            <w:shd w:val="clear" w:color="auto" w:fill="auto"/>
            <w:vAlign w:val="center"/>
          </w:tcPr>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RBS ≤</w:t>
            </w:r>
            <w:r w:rsidR="00D31158" w:rsidRPr="00211F88">
              <w:rPr>
                <w:rFonts w:eastAsia="Calibri"/>
                <w:lang w:val="en-US" w:eastAsia="en-US" w:bidi="ar-EG"/>
              </w:rPr>
              <w:t xml:space="preserve"> </w:t>
            </w:r>
            <w:r w:rsidRPr="00211F88">
              <w:rPr>
                <w:rFonts w:eastAsia="Calibri"/>
                <w:lang w:val="en-US" w:eastAsia="en-US" w:bidi="ar-EG"/>
              </w:rPr>
              <w:t>110</w:t>
            </w:r>
          </w:p>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Percentage (%)</w:t>
            </w:r>
          </w:p>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N=46</w:t>
            </w:r>
          </w:p>
        </w:tc>
        <w:tc>
          <w:tcPr>
            <w:tcW w:w="1170" w:type="pct"/>
            <w:shd w:val="clear" w:color="auto" w:fill="auto"/>
            <w:vAlign w:val="center"/>
          </w:tcPr>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RBS 111-130</w:t>
            </w:r>
          </w:p>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Percentage (%)</w:t>
            </w:r>
          </w:p>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N=32</w:t>
            </w:r>
          </w:p>
        </w:tc>
        <w:tc>
          <w:tcPr>
            <w:tcW w:w="1170" w:type="pct"/>
            <w:shd w:val="clear" w:color="auto" w:fill="auto"/>
            <w:vAlign w:val="center"/>
          </w:tcPr>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RBS ≥ 131</w:t>
            </w:r>
          </w:p>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Percentage (%)</w:t>
            </w:r>
          </w:p>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N=72</w:t>
            </w:r>
          </w:p>
        </w:tc>
        <w:tc>
          <w:tcPr>
            <w:tcW w:w="405" w:type="pct"/>
            <w:shd w:val="clear" w:color="auto" w:fill="auto"/>
            <w:vAlign w:val="center"/>
          </w:tcPr>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X</w:t>
            </w:r>
            <w:r w:rsidRPr="00211F88">
              <w:rPr>
                <w:rFonts w:eastAsia="Calibri"/>
                <w:vertAlign w:val="superscript"/>
                <w:lang w:val="en-US" w:eastAsia="en-US" w:bidi="ar-EG"/>
              </w:rPr>
              <w:t>2</w:t>
            </w:r>
          </w:p>
        </w:tc>
        <w:tc>
          <w:tcPr>
            <w:tcW w:w="657" w:type="pct"/>
            <w:shd w:val="clear" w:color="auto" w:fill="auto"/>
            <w:vAlign w:val="center"/>
          </w:tcPr>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P Value</w:t>
            </w:r>
          </w:p>
        </w:tc>
      </w:tr>
      <w:tr w:rsidR="00203180" w:rsidRPr="00211F88" w:rsidTr="00D31158">
        <w:trPr>
          <w:jc w:val="center"/>
        </w:trPr>
        <w:tc>
          <w:tcPr>
            <w:tcW w:w="323" w:type="pct"/>
            <w:shd w:val="clear" w:color="auto" w:fill="auto"/>
            <w:vAlign w:val="center"/>
          </w:tcPr>
          <w:p w:rsidR="00203180" w:rsidRPr="00211F88" w:rsidRDefault="00203180" w:rsidP="008B5D29">
            <w:pPr>
              <w:snapToGrid w:val="0"/>
              <w:jc w:val="both"/>
              <w:rPr>
                <w:rFonts w:eastAsia="Calibri"/>
                <w:lang w:val="en-US" w:eastAsia="en-US" w:bidi="ar-EG"/>
              </w:rPr>
            </w:pPr>
            <w:r w:rsidRPr="00211F88">
              <w:rPr>
                <w:rFonts w:eastAsia="Calibri"/>
                <w:b/>
                <w:bCs/>
                <w:lang w:val="en-US" w:eastAsia="en-US" w:bidi="ar-EG"/>
              </w:rPr>
              <w:t>EF</w:t>
            </w:r>
          </w:p>
        </w:tc>
        <w:tc>
          <w:tcPr>
            <w:tcW w:w="105" w:type="pct"/>
            <w:shd w:val="clear" w:color="auto" w:fill="auto"/>
            <w:vAlign w:val="center"/>
          </w:tcPr>
          <w:p w:rsidR="00203180" w:rsidRPr="00211F88" w:rsidRDefault="00203180" w:rsidP="008B5D29">
            <w:pPr>
              <w:snapToGrid w:val="0"/>
              <w:jc w:val="both"/>
              <w:rPr>
                <w:rFonts w:eastAsia="Calibri"/>
                <w:lang w:val="en-US" w:eastAsia="en-US" w:bidi="ar-EG"/>
              </w:rPr>
            </w:pPr>
          </w:p>
        </w:tc>
        <w:tc>
          <w:tcPr>
            <w:tcW w:w="1170" w:type="pct"/>
            <w:shd w:val="clear" w:color="auto" w:fill="auto"/>
            <w:vAlign w:val="center"/>
          </w:tcPr>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52.26 ± 12.02</w:t>
            </w:r>
          </w:p>
          <w:p w:rsidR="00203180" w:rsidRPr="00211F88" w:rsidRDefault="00203180" w:rsidP="008B5D29">
            <w:pPr>
              <w:snapToGrid w:val="0"/>
              <w:jc w:val="both"/>
              <w:rPr>
                <w:rFonts w:eastAsia="Calibri"/>
                <w:lang w:val="en-US" w:eastAsia="en-US" w:bidi="ar-EG"/>
              </w:rPr>
            </w:pPr>
            <w:r w:rsidRPr="00211F88">
              <w:rPr>
                <w:lang w:val="en-US" w:eastAsia="en-US" w:bidi="ar-EG"/>
              </w:rPr>
              <w:t>(32 - 77)</w:t>
            </w:r>
          </w:p>
        </w:tc>
        <w:tc>
          <w:tcPr>
            <w:tcW w:w="1170" w:type="pct"/>
            <w:shd w:val="clear" w:color="auto" w:fill="auto"/>
            <w:vAlign w:val="center"/>
          </w:tcPr>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46.56 ± 7.255</w:t>
            </w:r>
          </w:p>
          <w:p w:rsidR="00203180" w:rsidRPr="00211F88" w:rsidRDefault="00203180" w:rsidP="008B5D29">
            <w:pPr>
              <w:snapToGrid w:val="0"/>
              <w:jc w:val="both"/>
              <w:rPr>
                <w:rFonts w:eastAsia="Calibri"/>
                <w:lang w:val="en-US" w:eastAsia="en-US" w:bidi="ar-EG"/>
              </w:rPr>
            </w:pPr>
            <w:r w:rsidRPr="00211F88">
              <w:rPr>
                <w:lang w:val="en-US" w:eastAsia="en-US" w:bidi="ar-EG"/>
              </w:rPr>
              <w:t>(30 - 60)</w:t>
            </w:r>
          </w:p>
        </w:tc>
        <w:tc>
          <w:tcPr>
            <w:tcW w:w="1170" w:type="pct"/>
            <w:shd w:val="clear" w:color="auto" w:fill="auto"/>
            <w:vAlign w:val="center"/>
          </w:tcPr>
          <w:p w:rsidR="00203180" w:rsidRPr="00211F88" w:rsidRDefault="00203180" w:rsidP="008B5D29">
            <w:pPr>
              <w:snapToGrid w:val="0"/>
              <w:jc w:val="both"/>
              <w:rPr>
                <w:rFonts w:eastAsia="Calibri"/>
                <w:lang w:val="en-US" w:eastAsia="en-US" w:bidi="ar-EG"/>
              </w:rPr>
            </w:pPr>
            <w:r w:rsidRPr="00211F88">
              <w:rPr>
                <w:rFonts w:eastAsia="Calibri"/>
                <w:lang w:val="en-US" w:eastAsia="en-US" w:bidi="ar-EG"/>
              </w:rPr>
              <w:t>44.194 ± 8.13</w:t>
            </w:r>
          </w:p>
          <w:p w:rsidR="00203180" w:rsidRPr="00211F88" w:rsidRDefault="00203180" w:rsidP="008B5D29">
            <w:pPr>
              <w:snapToGrid w:val="0"/>
              <w:jc w:val="both"/>
              <w:rPr>
                <w:rFonts w:eastAsia="Calibri"/>
                <w:lang w:val="en-US" w:eastAsia="en-US" w:bidi="ar-EG"/>
              </w:rPr>
            </w:pPr>
            <w:r w:rsidRPr="00211F88">
              <w:rPr>
                <w:lang w:val="en-US" w:eastAsia="en-US" w:bidi="ar-EG"/>
              </w:rPr>
              <w:t>(29 - 62)</w:t>
            </w:r>
          </w:p>
        </w:tc>
        <w:tc>
          <w:tcPr>
            <w:tcW w:w="405" w:type="pct"/>
            <w:shd w:val="clear" w:color="auto" w:fill="auto"/>
            <w:vAlign w:val="center"/>
          </w:tcPr>
          <w:p w:rsidR="00203180" w:rsidRPr="00211F88" w:rsidRDefault="00203180" w:rsidP="008B5D29">
            <w:pPr>
              <w:snapToGrid w:val="0"/>
              <w:jc w:val="both"/>
              <w:rPr>
                <w:rFonts w:eastAsia="Calibri"/>
                <w:lang w:val="en-US" w:eastAsia="en-US" w:bidi="ar-EG"/>
              </w:rPr>
            </w:pPr>
            <w:r w:rsidRPr="00211F88">
              <w:rPr>
                <w:lang w:val="en-US" w:eastAsia="en-US" w:bidi="ar-EG"/>
              </w:rPr>
              <w:t>6.39</w:t>
            </w:r>
          </w:p>
        </w:tc>
        <w:tc>
          <w:tcPr>
            <w:tcW w:w="657" w:type="pct"/>
            <w:shd w:val="clear" w:color="auto" w:fill="auto"/>
            <w:vAlign w:val="center"/>
          </w:tcPr>
          <w:p w:rsidR="00203180" w:rsidRPr="00211F88" w:rsidRDefault="00203180" w:rsidP="008B5D29">
            <w:pPr>
              <w:snapToGrid w:val="0"/>
              <w:jc w:val="both"/>
              <w:rPr>
                <w:rFonts w:eastAsia="Calibri"/>
                <w:lang w:val="en-US" w:eastAsia="en-US" w:bidi="ar-EG"/>
              </w:rPr>
            </w:pPr>
            <w:r w:rsidRPr="00211F88">
              <w:rPr>
                <w:lang w:val="en-US" w:eastAsia="en-US" w:bidi="ar-EG"/>
              </w:rPr>
              <w:t>0.002*</w:t>
            </w:r>
          </w:p>
        </w:tc>
      </w:tr>
    </w:tbl>
    <w:p w:rsidR="00D31158" w:rsidRPr="00211F88" w:rsidRDefault="00D31158" w:rsidP="008B5D29">
      <w:pPr>
        <w:snapToGrid w:val="0"/>
        <w:ind w:firstLine="425"/>
        <w:jc w:val="both"/>
        <w:rPr>
          <w:rFonts w:eastAsia="宋体"/>
          <w:lang w:eastAsia="zh-CN" w:bidi="ar-EG"/>
        </w:rPr>
      </w:pPr>
    </w:p>
    <w:p w:rsidR="008B5D29" w:rsidRPr="00211F88" w:rsidRDefault="008B5D29" w:rsidP="008B5D29">
      <w:pPr>
        <w:snapToGrid w:val="0"/>
        <w:ind w:firstLine="425"/>
        <w:jc w:val="both"/>
        <w:rPr>
          <w:rFonts w:eastAsia="宋体"/>
          <w:lang w:eastAsia="zh-CN" w:bidi="ar-EG"/>
        </w:rPr>
        <w:sectPr w:rsidR="008B5D29" w:rsidRPr="00211F88" w:rsidSect="00D31158">
          <w:type w:val="continuous"/>
          <w:pgSz w:w="12240" w:h="15840" w:code="1"/>
          <w:pgMar w:top="1440" w:right="1440" w:bottom="1440" w:left="1440" w:header="720" w:footer="720" w:gutter="0"/>
          <w:cols w:space="720"/>
          <w:docGrid w:linePitch="360"/>
        </w:sectPr>
      </w:pPr>
    </w:p>
    <w:p w:rsidR="00D31158" w:rsidRPr="00211F88" w:rsidRDefault="00800502" w:rsidP="00837273">
      <w:pPr>
        <w:pStyle w:val="Caption"/>
        <w:snapToGrid w:val="0"/>
        <w:spacing w:after="0"/>
        <w:rPr>
          <w:rFonts w:eastAsia="宋体"/>
          <w:sz w:val="20"/>
          <w:szCs w:val="20"/>
          <w:lang w:eastAsia="zh-CN" w:bidi="ar-EG"/>
        </w:rPr>
      </w:pPr>
      <w:r w:rsidRPr="00211F88">
        <w:rPr>
          <w:rFonts w:eastAsia="宋体"/>
          <w:b w:val="0"/>
          <w:iCs w:val="0"/>
          <w:sz w:val="20"/>
          <w:szCs w:val="20"/>
          <w:lang w:eastAsia="zh-CN" w:bidi="ar-EG"/>
        </w:rPr>
        <w:lastRenderedPageBreak/>
        <w:pict>
          <v:shape id="_x0000_i1028" type="#_x0000_t75" style="width:198.45pt;height:143.35pt">
            <v:imagedata r:id="rId16" o:title=""/>
          </v:shape>
        </w:pict>
      </w:r>
    </w:p>
    <w:p w:rsidR="001701EA" w:rsidRPr="00211F88" w:rsidRDefault="001701EA" w:rsidP="00837273">
      <w:pPr>
        <w:pStyle w:val="Caption"/>
        <w:snapToGrid w:val="0"/>
        <w:spacing w:after="0"/>
        <w:rPr>
          <w:rStyle w:val="Heading1Char"/>
          <w:b/>
          <w:sz w:val="20"/>
          <w:szCs w:val="20"/>
        </w:rPr>
      </w:pPr>
      <w:r w:rsidRPr="00211F88">
        <w:rPr>
          <w:sz w:val="20"/>
          <w:szCs w:val="20"/>
          <w:lang w:bidi="ar-EG"/>
        </w:rPr>
        <w:t>Figure 4</w:t>
      </w:r>
      <w:r w:rsidR="00D31158" w:rsidRPr="00211F88">
        <w:rPr>
          <w:sz w:val="20"/>
          <w:szCs w:val="20"/>
          <w:lang w:bidi="ar-EG"/>
        </w:rPr>
        <w:t>:</w:t>
      </w:r>
      <w:r w:rsidRPr="00211F88">
        <w:rPr>
          <w:sz w:val="20"/>
          <w:szCs w:val="20"/>
          <w:lang w:bidi="ar-EG"/>
        </w:rPr>
        <w:t xml:space="preserve"> show</w:t>
      </w:r>
      <w:r w:rsidR="00D31158" w:rsidRPr="00211F88">
        <w:rPr>
          <w:sz w:val="20"/>
          <w:szCs w:val="20"/>
          <w:lang w:bidi="ar-EG"/>
        </w:rPr>
        <w:t xml:space="preserve"> </w:t>
      </w:r>
      <w:r w:rsidRPr="00211F88">
        <w:rPr>
          <w:sz w:val="20"/>
          <w:szCs w:val="20"/>
          <w:lang w:bidi="ar-EG"/>
        </w:rPr>
        <w:t>ejection fraction in three groups</w:t>
      </w:r>
    </w:p>
    <w:p w:rsidR="00D31158" w:rsidRPr="00211F88" w:rsidRDefault="00D31158" w:rsidP="008B5D29">
      <w:pPr>
        <w:snapToGrid w:val="0"/>
        <w:ind w:firstLine="425"/>
        <w:jc w:val="both"/>
        <w:rPr>
          <w:rFonts w:eastAsia="宋体"/>
          <w:lang w:eastAsia="zh-CN"/>
        </w:rPr>
      </w:pPr>
    </w:p>
    <w:p w:rsidR="00D31158" w:rsidRPr="00211F88" w:rsidRDefault="001701EA" w:rsidP="008B5D29">
      <w:pPr>
        <w:pStyle w:val="Caption"/>
        <w:snapToGrid w:val="0"/>
        <w:spacing w:after="0"/>
        <w:jc w:val="both"/>
        <w:rPr>
          <w:bCs/>
          <w:iCs w:val="0"/>
          <w:sz w:val="20"/>
          <w:szCs w:val="20"/>
        </w:rPr>
      </w:pPr>
      <w:r w:rsidRPr="00211F88">
        <w:rPr>
          <w:bCs/>
          <w:iCs w:val="0"/>
          <w:sz w:val="20"/>
          <w:szCs w:val="20"/>
        </w:rPr>
        <w:t>Major Advers</w:t>
      </w:r>
      <w:r w:rsidR="001B3CFA" w:rsidRPr="00211F88">
        <w:rPr>
          <w:bCs/>
          <w:iCs w:val="0"/>
          <w:sz w:val="20"/>
          <w:szCs w:val="20"/>
        </w:rPr>
        <w:t>e</w:t>
      </w:r>
      <w:r w:rsidRPr="00211F88">
        <w:rPr>
          <w:bCs/>
          <w:iCs w:val="0"/>
          <w:sz w:val="20"/>
          <w:szCs w:val="20"/>
        </w:rPr>
        <w:t xml:space="preserve"> Cardiac Event (MACE):</w:t>
      </w:r>
      <w:r w:rsidR="00D31158" w:rsidRPr="00211F88">
        <w:rPr>
          <w:bCs/>
          <w:iCs w:val="0"/>
          <w:sz w:val="20"/>
          <w:szCs w:val="20"/>
        </w:rPr>
        <w:t xml:space="preserve"> </w:t>
      </w:r>
    </w:p>
    <w:p w:rsidR="00D31158" w:rsidRPr="00211F88" w:rsidRDefault="00D31158" w:rsidP="008B5D29">
      <w:pPr>
        <w:snapToGrid w:val="0"/>
        <w:ind w:firstLine="425"/>
        <w:contextualSpacing/>
        <w:jc w:val="both"/>
        <w:rPr>
          <w:lang w:bidi="ar-EG"/>
        </w:rPr>
      </w:pPr>
      <w:r w:rsidRPr="00211F88">
        <w:rPr>
          <w:lang w:bidi="ar-EG"/>
        </w:rPr>
        <w:t>P</w:t>
      </w:r>
      <w:r w:rsidR="001701EA" w:rsidRPr="00211F88">
        <w:rPr>
          <w:lang w:bidi="ar-EG"/>
        </w:rPr>
        <w:t>eriprocedural Death</w:t>
      </w:r>
      <w:r w:rsidRPr="00211F88">
        <w:rPr>
          <w:lang w:bidi="ar-EG"/>
        </w:rPr>
        <w:t xml:space="preserve">: </w:t>
      </w:r>
      <w:r w:rsidR="001701EA" w:rsidRPr="00211F88">
        <w:rPr>
          <w:lang w:bidi="ar-EG"/>
        </w:rPr>
        <w:t>In group</w:t>
      </w:r>
      <w:r w:rsidRPr="00211F88">
        <w:rPr>
          <w:lang w:bidi="ar-EG"/>
        </w:rPr>
        <w:t xml:space="preserve"> </w:t>
      </w:r>
      <w:r w:rsidR="001701EA" w:rsidRPr="00211F88">
        <w:rPr>
          <w:lang w:bidi="ar-EG"/>
        </w:rPr>
        <w:t>I</w:t>
      </w:r>
      <w:r w:rsidRPr="00211F88">
        <w:rPr>
          <w:lang w:bidi="ar-EG"/>
        </w:rPr>
        <w:t xml:space="preserve"> </w:t>
      </w:r>
      <w:r w:rsidR="001701EA" w:rsidRPr="00211F88">
        <w:rPr>
          <w:lang w:bidi="ar-EG"/>
        </w:rPr>
        <w:t>no pa</w:t>
      </w:r>
      <w:r w:rsidR="00F56418" w:rsidRPr="00211F88">
        <w:rPr>
          <w:lang w:bidi="ar-EG"/>
        </w:rPr>
        <w:t xml:space="preserve">tient had periprocedural death - </w:t>
      </w:r>
      <w:r w:rsidR="001701EA" w:rsidRPr="00211F88">
        <w:rPr>
          <w:lang w:bidi="ar-EG"/>
        </w:rPr>
        <w:t>In group</w:t>
      </w:r>
      <w:r w:rsidRPr="00211F88">
        <w:rPr>
          <w:lang w:bidi="ar-EG"/>
        </w:rPr>
        <w:t xml:space="preserve"> </w:t>
      </w:r>
      <w:r w:rsidR="001701EA" w:rsidRPr="00211F88">
        <w:rPr>
          <w:lang w:bidi="ar-EG"/>
        </w:rPr>
        <w:t xml:space="preserve">II one patients </w:t>
      </w:r>
      <w:r w:rsidR="00F56418" w:rsidRPr="00211F88">
        <w:rPr>
          <w:lang w:bidi="ar-EG"/>
        </w:rPr>
        <w:t xml:space="preserve">had periprocedural death (3.1%) - </w:t>
      </w:r>
      <w:r w:rsidR="001701EA" w:rsidRPr="00211F88">
        <w:rPr>
          <w:lang w:bidi="ar-EG"/>
        </w:rPr>
        <w:t>In group</w:t>
      </w:r>
      <w:r w:rsidRPr="00211F88">
        <w:rPr>
          <w:lang w:bidi="ar-EG"/>
        </w:rPr>
        <w:t xml:space="preserve"> </w:t>
      </w:r>
      <w:r w:rsidR="001701EA" w:rsidRPr="00211F88">
        <w:rPr>
          <w:lang w:bidi="ar-EG"/>
        </w:rPr>
        <w:t>III sex patients had</w:t>
      </w:r>
      <w:r w:rsidRPr="00211F88">
        <w:rPr>
          <w:lang w:bidi="ar-EG"/>
        </w:rPr>
        <w:t xml:space="preserve"> </w:t>
      </w:r>
      <w:r w:rsidR="001701EA" w:rsidRPr="00211F88">
        <w:rPr>
          <w:lang w:bidi="ar-EG"/>
        </w:rPr>
        <w:t>periproceduarl death (9.7 %)</w:t>
      </w:r>
      <w:r w:rsidR="00F56418" w:rsidRPr="00211F88">
        <w:rPr>
          <w:lang w:bidi="ar-EG"/>
        </w:rPr>
        <w:t xml:space="preserve"> - </w:t>
      </w:r>
      <w:r w:rsidR="001701EA" w:rsidRPr="00211F88">
        <w:rPr>
          <w:lang w:bidi="ar-EG"/>
        </w:rPr>
        <w:t>There was</w:t>
      </w:r>
      <w:r w:rsidRPr="00211F88">
        <w:rPr>
          <w:lang w:bidi="ar-EG"/>
        </w:rPr>
        <w:t xml:space="preserve"> </w:t>
      </w:r>
      <w:r w:rsidR="001701EA" w:rsidRPr="00211F88">
        <w:rPr>
          <w:lang w:bidi="ar-EG"/>
        </w:rPr>
        <w:t>statistically significant difference between the three</w:t>
      </w:r>
      <w:r w:rsidRPr="00211F88">
        <w:rPr>
          <w:lang w:bidi="ar-EG"/>
        </w:rPr>
        <w:t xml:space="preserve"> </w:t>
      </w:r>
      <w:r w:rsidR="001701EA" w:rsidRPr="00211F88">
        <w:rPr>
          <w:lang w:bidi="ar-EG"/>
        </w:rPr>
        <w:t>groups (P value =0.04 calc</w:t>
      </w:r>
      <w:r w:rsidR="00F56418" w:rsidRPr="00211F88">
        <w:rPr>
          <w:lang w:bidi="ar-EG"/>
        </w:rPr>
        <w:t>ulated by Monte Carlo)</w:t>
      </w:r>
      <w:r w:rsidRPr="00211F88">
        <w:rPr>
          <w:lang w:bidi="ar-EG"/>
        </w:rPr>
        <w:t>.</w:t>
      </w:r>
    </w:p>
    <w:p w:rsidR="00D31158" w:rsidRPr="00211F88" w:rsidRDefault="00D31158" w:rsidP="008B5D29">
      <w:pPr>
        <w:snapToGrid w:val="0"/>
        <w:ind w:firstLine="425"/>
        <w:contextualSpacing/>
        <w:jc w:val="both"/>
        <w:rPr>
          <w:lang w:bidi="ar-EG"/>
        </w:rPr>
      </w:pPr>
      <w:r w:rsidRPr="00211F88">
        <w:rPr>
          <w:lang w:bidi="ar-EG"/>
        </w:rPr>
        <w:t>C</w:t>
      </w:r>
      <w:r w:rsidR="001701EA" w:rsidRPr="00211F88">
        <w:rPr>
          <w:lang w:bidi="ar-EG"/>
        </w:rPr>
        <w:t>ardiogenic shock</w:t>
      </w:r>
      <w:r w:rsidR="00837273" w:rsidRPr="00211F88">
        <w:rPr>
          <w:lang w:bidi="ar-EG"/>
        </w:rPr>
        <w:t>: I</w:t>
      </w:r>
      <w:r w:rsidR="001701EA" w:rsidRPr="00211F88">
        <w:rPr>
          <w:lang w:bidi="ar-EG"/>
        </w:rPr>
        <w:t>n group</w:t>
      </w:r>
      <w:r w:rsidRPr="00211F88">
        <w:rPr>
          <w:lang w:bidi="ar-EG"/>
        </w:rPr>
        <w:t xml:space="preserve"> </w:t>
      </w:r>
      <w:r w:rsidR="001701EA" w:rsidRPr="00211F88">
        <w:rPr>
          <w:lang w:bidi="ar-EG"/>
        </w:rPr>
        <w:t>I two</w:t>
      </w:r>
      <w:r w:rsidRPr="00211F88">
        <w:rPr>
          <w:lang w:bidi="ar-EG"/>
        </w:rPr>
        <w:t xml:space="preserve"> </w:t>
      </w:r>
      <w:r w:rsidR="001701EA" w:rsidRPr="00211F88">
        <w:rPr>
          <w:lang w:bidi="ar-EG"/>
        </w:rPr>
        <w:t>patien</w:t>
      </w:r>
      <w:r w:rsidR="00F56418" w:rsidRPr="00211F88">
        <w:rPr>
          <w:lang w:bidi="ar-EG"/>
        </w:rPr>
        <w:t xml:space="preserve">ts had cardiogenic shock (4.3%) - </w:t>
      </w:r>
      <w:r w:rsidR="001701EA" w:rsidRPr="00211F88">
        <w:rPr>
          <w:lang w:bidi="ar-EG"/>
        </w:rPr>
        <w:t>In group II five</w:t>
      </w:r>
      <w:r w:rsidRPr="00211F88">
        <w:rPr>
          <w:lang w:bidi="ar-EG"/>
        </w:rPr>
        <w:t xml:space="preserve"> </w:t>
      </w:r>
      <w:r w:rsidR="001701EA" w:rsidRPr="00211F88">
        <w:rPr>
          <w:lang w:bidi="ar-EG"/>
        </w:rPr>
        <w:t>patients had cardiogenic shock (15</w:t>
      </w:r>
      <w:r w:rsidR="00F56418" w:rsidRPr="00211F88">
        <w:rPr>
          <w:lang w:bidi="ar-EG"/>
        </w:rPr>
        <w:t xml:space="preserve">.6 %) - </w:t>
      </w:r>
      <w:r w:rsidR="001701EA" w:rsidRPr="00211F88">
        <w:rPr>
          <w:lang w:bidi="ar-EG"/>
        </w:rPr>
        <w:t>In group</w:t>
      </w:r>
      <w:r w:rsidRPr="00211F88">
        <w:rPr>
          <w:lang w:bidi="ar-EG"/>
        </w:rPr>
        <w:t xml:space="preserve"> </w:t>
      </w:r>
      <w:r w:rsidR="001701EA" w:rsidRPr="00211F88">
        <w:rPr>
          <w:lang w:bidi="ar-EG"/>
        </w:rPr>
        <w:t>III 15</w:t>
      </w:r>
      <w:r w:rsidRPr="00211F88">
        <w:rPr>
          <w:lang w:bidi="ar-EG"/>
        </w:rPr>
        <w:t xml:space="preserve"> </w:t>
      </w:r>
      <w:r w:rsidR="001701EA" w:rsidRPr="00211F88">
        <w:rPr>
          <w:lang w:bidi="ar-EG"/>
        </w:rPr>
        <w:t>patients had cardiogenic shock (20.8 %).</w:t>
      </w:r>
      <w:r w:rsidR="00F56418" w:rsidRPr="00211F88">
        <w:rPr>
          <w:lang w:bidi="ar-EG"/>
        </w:rPr>
        <w:t xml:space="preserve"> </w:t>
      </w:r>
      <w:r w:rsidR="001701EA" w:rsidRPr="00211F88">
        <w:rPr>
          <w:lang w:bidi="ar-EG"/>
        </w:rPr>
        <w:t>There was</w:t>
      </w:r>
      <w:r w:rsidRPr="00211F88">
        <w:rPr>
          <w:lang w:bidi="ar-EG"/>
        </w:rPr>
        <w:t xml:space="preserve"> </w:t>
      </w:r>
      <w:r w:rsidR="001701EA" w:rsidRPr="00211F88">
        <w:rPr>
          <w:lang w:bidi="ar-EG"/>
        </w:rPr>
        <w:lastRenderedPageBreak/>
        <w:t>statistically significant difference between the three</w:t>
      </w:r>
      <w:r w:rsidRPr="00211F88">
        <w:rPr>
          <w:lang w:bidi="ar-EG"/>
        </w:rPr>
        <w:t xml:space="preserve"> </w:t>
      </w:r>
      <w:r w:rsidR="001701EA" w:rsidRPr="00211F88">
        <w:rPr>
          <w:lang w:bidi="ar-EG"/>
        </w:rPr>
        <w:t>groups (P value =0.04</w:t>
      </w:r>
      <w:r w:rsidRPr="00211F88">
        <w:rPr>
          <w:lang w:bidi="ar-EG"/>
        </w:rPr>
        <w:t xml:space="preserve"> </w:t>
      </w:r>
      <w:r w:rsidR="001701EA" w:rsidRPr="00211F88">
        <w:rPr>
          <w:lang w:bidi="ar-EG"/>
        </w:rPr>
        <w:t>calc</w:t>
      </w:r>
      <w:r w:rsidR="00F56418" w:rsidRPr="00211F88">
        <w:rPr>
          <w:lang w:bidi="ar-EG"/>
        </w:rPr>
        <w:t>ulated by Monte Carlo)</w:t>
      </w:r>
      <w:r w:rsidRPr="00211F88">
        <w:rPr>
          <w:lang w:bidi="ar-EG"/>
        </w:rPr>
        <w:t>.</w:t>
      </w:r>
    </w:p>
    <w:p w:rsidR="00D31158" w:rsidRPr="00211F88" w:rsidRDefault="00D31158" w:rsidP="008B5D29">
      <w:pPr>
        <w:snapToGrid w:val="0"/>
        <w:ind w:firstLine="425"/>
        <w:contextualSpacing/>
        <w:jc w:val="both"/>
        <w:rPr>
          <w:lang w:bidi="ar-EG"/>
        </w:rPr>
      </w:pPr>
      <w:r w:rsidRPr="00211F88">
        <w:rPr>
          <w:lang w:bidi="ar-EG"/>
        </w:rPr>
        <w:t>V</w:t>
      </w:r>
      <w:r w:rsidR="001701EA" w:rsidRPr="00211F88">
        <w:rPr>
          <w:lang w:bidi="ar-EG"/>
        </w:rPr>
        <w:t>entricular arrhythmia:</w:t>
      </w:r>
      <w:r w:rsidR="00F56418" w:rsidRPr="00211F88">
        <w:rPr>
          <w:lang w:bidi="ar-EG"/>
        </w:rPr>
        <w:t xml:space="preserve"> </w:t>
      </w:r>
      <w:r w:rsidR="001701EA" w:rsidRPr="00211F88">
        <w:rPr>
          <w:lang w:bidi="ar-EG"/>
        </w:rPr>
        <w:t>In group</w:t>
      </w:r>
      <w:r w:rsidRPr="00211F88">
        <w:rPr>
          <w:lang w:bidi="ar-EG"/>
        </w:rPr>
        <w:t xml:space="preserve"> </w:t>
      </w:r>
      <w:r w:rsidR="001701EA" w:rsidRPr="00211F88">
        <w:rPr>
          <w:lang w:bidi="ar-EG"/>
        </w:rPr>
        <w:t>I three patients had ventr</w:t>
      </w:r>
      <w:r w:rsidR="00F56418" w:rsidRPr="00211F88">
        <w:rPr>
          <w:lang w:bidi="ar-EG"/>
        </w:rPr>
        <w:t xml:space="preserve">icular arrhythmia (6.5%) - </w:t>
      </w:r>
      <w:r w:rsidR="001701EA" w:rsidRPr="00211F88">
        <w:rPr>
          <w:lang w:bidi="ar-EG"/>
        </w:rPr>
        <w:t>In group</w:t>
      </w:r>
      <w:r w:rsidRPr="00211F88">
        <w:rPr>
          <w:lang w:bidi="ar-EG"/>
        </w:rPr>
        <w:t xml:space="preserve"> </w:t>
      </w:r>
      <w:r w:rsidR="001701EA" w:rsidRPr="00211F88">
        <w:rPr>
          <w:lang w:bidi="ar-EG"/>
        </w:rPr>
        <w:t>II eight patients h</w:t>
      </w:r>
      <w:r w:rsidR="00F56418" w:rsidRPr="00211F88">
        <w:rPr>
          <w:lang w:bidi="ar-EG"/>
        </w:rPr>
        <w:t xml:space="preserve">ad ventricular arrhythmia (25%) - </w:t>
      </w:r>
      <w:r w:rsidR="001701EA" w:rsidRPr="00211F88">
        <w:rPr>
          <w:lang w:bidi="ar-EG"/>
        </w:rPr>
        <w:t>In group</w:t>
      </w:r>
      <w:r w:rsidRPr="00211F88">
        <w:rPr>
          <w:lang w:bidi="ar-EG"/>
        </w:rPr>
        <w:t xml:space="preserve"> </w:t>
      </w:r>
      <w:r w:rsidR="001701EA" w:rsidRPr="00211F88">
        <w:rPr>
          <w:lang w:bidi="ar-EG"/>
        </w:rPr>
        <w:t>III 20 patients had ventricular arrhythmia</w:t>
      </w:r>
      <w:r w:rsidRPr="00211F88">
        <w:rPr>
          <w:lang w:bidi="ar-EG"/>
        </w:rPr>
        <w:t xml:space="preserve"> </w:t>
      </w:r>
      <w:r w:rsidR="001701EA" w:rsidRPr="00211F88">
        <w:rPr>
          <w:lang w:bidi="ar-EG"/>
        </w:rPr>
        <w:t>(27.8%)</w:t>
      </w:r>
      <w:r w:rsidR="00F56418" w:rsidRPr="00211F88">
        <w:rPr>
          <w:lang w:bidi="ar-EG"/>
        </w:rPr>
        <w:t xml:space="preserve"> There was </w:t>
      </w:r>
      <w:r w:rsidR="001701EA" w:rsidRPr="00211F88">
        <w:rPr>
          <w:lang w:bidi="ar-EG"/>
        </w:rPr>
        <w:t>statistically significan</w:t>
      </w:r>
      <w:r w:rsidR="00F56418" w:rsidRPr="00211F88">
        <w:rPr>
          <w:lang w:bidi="ar-EG"/>
        </w:rPr>
        <w:t xml:space="preserve">t difference between the three </w:t>
      </w:r>
      <w:r w:rsidR="001701EA" w:rsidRPr="00211F88">
        <w:rPr>
          <w:lang w:bidi="ar-EG"/>
        </w:rPr>
        <w:t>gr</w:t>
      </w:r>
      <w:r w:rsidR="00F56418" w:rsidRPr="00211F88">
        <w:rPr>
          <w:lang w:bidi="ar-EG"/>
        </w:rPr>
        <w:t>oups (P value =0.017</w:t>
      </w:r>
      <w:r w:rsidR="00211F88">
        <w:rPr>
          <w:lang w:bidi="ar-EG"/>
        </w:rPr>
        <w:t>)</w:t>
      </w:r>
      <w:r w:rsidRPr="00211F88">
        <w:rPr>
          <w:lang w:bidi="ar-EG"/>
        </w:rPr>
        <w:t>.</w:t>
      </w:r>
    </w:p>
    <w:p w:rsidR="00D31158" w:rsidRPr="00211F88" w:rsidRDefault="00D31158" w:rsidP="008B5D29">
      <w:pPr>
        <w:snapToGrid w:val="0"/>
        <w:ind w:firstLine="425"/>
        <w:contextualSpacing/>
        <w:jc w:val="both"/>
        <w:rPr>
          <w:lang w:bidi="ar-EG"/>
        </w:rPr>
      </w:pPr>
      <w:r w:rsidRPr="00211F88">
        <w:rPr>
          <w:lang w:bidi="ar-EG"/>
        </w:rPr>
        <w:t>R</w:t>
      </w:r>
      <w:r w:rsidR="001701EA" w:rsidRPr="00211F88">
        <w:rPr>
          <w:lang w:bidi="ar-EG"/>
        </w:rPr>
        <w:t>e-infarction</w:t>
      </w:r>
      <w:r w:rsidRPr="00211F88">
        <w:rPr>
          <w:lang w:bidi="ar-EG"/>
        </w:rPr>
        <w:t>:</w:t>
      </w:r>
      <w:r w:rsidR="00F56418" w:rsidRPr="00211F88">
        <w:rPr>
          <w:lang w:bidi="ar-EG"/>
        </w:rPr>
        <w:t xml:space="preserve"> </w:t>
      </w:r>
      <w:r w:rsidR="001701EA" w:rsidRPr="00211F88">
        <w:rPr>
          <w:lang w:bidi="ar-EG"/>
        </w:rPr>
        <w:t>In group</w:t>
      </w:r>
      <w:r w:rsidRPr="00211F88">
        <w:rPr>
          <w:lang w:bidi="ar-EG"/>
        </w:rPr>
        <w:t xml:space="preserve"> </w:t>
      </w:r>
      <w:r w:rsidR="001701EA" w:rsidRPr="00211F88">
        <w:rPr>
          <w:lang w:bidi="ar-EG"/>
        </w:rPr>
        <w:t>I one pat</w:t>
      </w:r>
      <w:r w:rsidR="00F56418" w:rsidRPr="00211F88">
        <w:rPr>
          <w:lang w:bidi="ar-EG"/>
        </w:rPr>
        <w:t xml:space="preserve">ients had re-infarction (2.17%) - </w:t>
      </w:r>
      <w:r w:rsidR="001701EA" w:rsidRPr="00211F88">
        <w:rPr>
          <w:lang w:bidi="ar-EG"/>
        </w:rPr>
        <w:t>In group</w:t>
      </w:r>
      <w:r w:rsidRPr="00211F88">
        <w:rPr>
          <w:lang w:bidi="ar-EG"/>
        </w:rPr>
        <w:t xml:space="preserve"> </w:t>
      </w:r>
      <w:r w:rsidR="001701EA" w:rsidRPr="00211F88">
        <w:rPr>
          <w:lang w:bidi="ar-EG"/>
        </w:rPr>
        <w:t>II four pa</w:t>
      </w:r>
      <w:r w:rsidR="00F56418" w:rsidRPr="00211F88">
        <w:rPr>
          <w:lang w:bidi="ar-EG"/>
        </w:rPr>
        <w:t xml:space="preserve">tients had re-infarction (12.5%) - </w:t>
      </w:r>
      <w:r w:rsidR="001701EA" w:rsidRPr="00211F88">
        <w:rPr>
          <w:lang w:bidi="ar-EG"/>
        </w:rPr>
        <w:t>In group</w:t>
      </w:r>
      <w:r w:rsidRPr="00211F88">
        <w:rPr>
          <w:lang w:bidi="ar-EG"/>
        </w:rPr>
        <w:t xml:space="preserve"> </w:t>
      </w:r>
      <w:r w:rsidR="001701EA" w:rsidRPr="00211F88">
        <w:rPr>
          <w:lang w:bidi="ar-EG"/>
        </w:rPr>
        <w:t>III 13 patients had re-infarction (18.05%).</w:t>
      </w:r>
      <w:r w:rsidR="00F56418" w:rsidRPr="00211F88">
        <w:rPr>
          <w:lang w:bidi="ar-EG"/>
        </w:rPr>
        <w:t xml:space="preserve"> There was </w:t>
      </w:r>
      <w:r w:rsidR="001701EA" w:rsidRPr="00211F88">
        <w:rPr>
          <w:lang w:bidi="ar-EG"/>
        </w:rPr>
        <w:t>statistically significa</w:t>
      </w:r>
      <w:r w:rsidR="00F56418" w:rsidRPr="00211F88">
        <w:rPr>
          <w:lang w:bidi="ar-EG"/>
        </w:rPr>
        <w:t>nt difference between the three</w:t>
      </w:r>
      <w:r w:rsidR="001701EA" w:rsidRPr="00211F88">
        <w:rPr>
          <w:lang w:bidi="ar-EG"/>
        </w:rPr>
        <w:t xml:space="preserve"> groups (P value =0.034</w:t>
      </w:r>
      <w:r w:rsidRPr="00211F88">
        <w:rPr>
          <w:lang w:bidi="ar-EG"/>
        </w:rPr>
        <w:t xml:space="preserve"> </w:t>
      </w:r>
      <w:r w:rsidR="001701EA" w:rsidRPr="00211F88">
        <w:rPr>
          <w:lang w:bidi="ar-EG"/>
        </w:rPr>
        <w:t>calculated by Monte Carlo</w:t>
      </w:r>
      <w:r w:rsidR="00211F88">
        <w:rPr>
          <w:lang w:bidi="ar-EG"/>
        </w:rPr>
        <w:t>)</w:t>
      </w:r>
      <w:r w:rsidR="002001D5" w:rsidRPr="00211F88">
        <w:t>.</w:t>
      </w:r>
      <w:r w:rsidR="001701EA" w:rsidRPr="00211F88">
        <w:rPr>
          <w:lang w:bidi="ar-EG"/>
        </w:rPr>
        <w:t xml:space="preserve"> </w:t>
      </w:r>
    </w:p>
    <w:p w:rsidR="00D31158" w:rsidRPr="00211F88" w:rsidRDefault="00D31158" w:rsidP="008B5D29">
      <w:pPr>
        <w:snapToGrid w:val="0"/>
        <w:ind w:firstLine="425"/>
        <w:contextualSpacing/>
        <w:jc w:val="both"/>
        <w:rPr>
          <w:lang w:bidi="ar-EG"/>
        </w:rPr>
      </w:pPr>
      <w:r w:rsidRPr="00211F88">
        <w:rPr>
          <w:lang w:bidi="ar-EG"/>
        </w:rPr>
        <w:t>C</w:t>
      </w:r>
      <w:r w:rsidR="001701EA" w:rsidRPr="00211F88">
        <w:rPr>
          <w:lang w:bidi="ar-EG"/>
        </w:rPr>
        <w:t>ontrast induced</w:t>
      </w:r>
      <w:r w:rsidRPr="00211F88">
        <w:rPr>
          <w:lang w:bidi="ar-EG"/>
        </w:rPr>
        <w:t xml:space="preserve"> </w:t>
      </w:r>
      <w:r w:rsidR="001701EA" w:rsidRPr="00211F88">
        <w:rPr>
          <w:lang w:bidi="ar-EG"/>
        </w:rPr>
        <w:t>Nephropathy</w:t>
      </w:r>
      <w:r w:rsidRPr="00211F88">
        <w:rPr>
          <w:lang w:bidi="ar-EG"/>
        </w:rPr>
        <w:t xml:space="preserve"> </w:t>
      </w:r>
      <w:r w:rsidR="001701EA" w:rsidRPr="00211F88">
        <w:rPr>
          <w:lang w:bidi="ar-EG"/>
        </w:rPr>
        <w:t>(CIN)</w:t>
      </w:r>
      <w:r w:rsidRPr="00211F88">
        <w:rPr>
          <w:lang w:bidi="ar-EG"/>
        </w:rPr>
        <w:t xml:space="preserve">: </w:t>
      </w:r>
      <w:r w:rsidR="00F56418" w:rsidRPr="00211F88">
        <w:rPr>
          <w:lang w:bidi="ar-EG"/>
        </w:rPr>
        <w:t>In group</w:t>
      </w:r>
      <w:r w:rsidRPr="00211F88">
        <w:rPr>
          <w:lang w:bidi="ar-EG"/>
        </w:rPr>
        <w:t xml:space="preserve"> </w:t>
      </w:r>
      <w:r w:rsidR="00F56418" w:rsidRPr="00211F88">
        <w:rPr>
          <w:lang w:bidi="ar-EG"/>
        </w:rPr>
        <w:t xml:space="preserve">I no patients had CIN - </w:t>
      </w:r>
      <w:r w:rsidR="001701EA" w:rsidRPr="00211F88">
        <w:rPr>
          <w:lang w:bidi="ar-EG"/>
        </w:rPr>
        <w:t>In group I</w:t>
      </w:r>
      <w:r w:rsidR="00F56418" w:rsidRPr="00211F88">
        <w:rPr>
          <w:lang w:bidi="ar-EG"/>
        </w:rPr>
        <w:t xml:space="preserve">I three patients had CIN (9.3%) - </w:t>
      </w:r>
      <w:r w:rsidR="001701EA" w:rsidRPr="00211F88">
        <w:rPr>
          <w:lang w:bidi="ar-EG"/>
        </w:rPr>
        <w:t>In group III ten patients had CIN (13.9%).</w:t>
      </w:r>
      <w:r w:rsidR="00F56418" w:rsidRPr="00211F88">
        <w:rPr>
          <w:lang w:bidi="ar-EG"/>
        </w:rPr>
        <w:t xml:space="preserve"> There was</w:t>
      </w:r>
      <w:r w:rsidR="001701EA" w:rsidRPr="00211F88">
        <w:rPr>
          <w:lang w:bidi="ar-EG"/>
        </w:rPr>
        <w:t xml:space="preserve"> statistically significant differenc</w:t>
      </w:r>
      <w:r w:rsidR="00F56418" w:rsidRPr="00211F88">
        <w:rPr>
          <w:lang w:bidi="ar-EG"/>
        </w:rPr>
        <w:t xml:space="preserve">e between the three groups (P value =0.03 </w:t>
      </w:r>
      <w:r w:rsidR="001701EA" w:rsidRPr="00211F88">
        <w:rPr>
          <w:lang w:bidi="ar-EG"/>
        </w:rPr>
        <w:t>calculated by Monte Carlo</w:t>
      </w:r>
      <w:r w:rsidR="00211F88">
        <w:rPr>
          <w:lang w:bidi="ar-EG"/>
        </w:rPr>
        <w:t>)</w:t>
      </w:r>
      <w:r w:rsidR="001701EA" w:rsidRPr="00211F88">
        <w:rPr>
          <w:lang w:bidi="ar-EG"/>
        </w:rPr>
        <w:t>.</w:t>
      </w:r>
    </w:p>
    <w:p w:rsidR="001701EA" w:rsidRPr="00211F88" w:rsidRDefault="00D31158" w:rsidP="008B5D29">
      <w:pPr>
        <w:snapToGrid w:val="0"/>
        <w:ind w:firstLine="425"/>
        <w:contextualSpacing/>
        <w:jc w:val="both"/>
        <w:rPr>
          <w:lang w:bidi="ar-EG"/>
        </w:rPr>
      </w:pPr>
      <w:r w:rsidRPr="00211F88">
        <w:rPr>
          <w:lang w:bidi="ar-EG"/>
        </w:rPr>
        <w:t>A</w:t>
      </w:r>
      <w:r w:rsidR="001701EA" w:rsidRPr="00211F88">
        <w:rPr>
          <w:lang w:bidi="ar-EG"/>
        </w:rPr>
        <w:t>cute heart failure (AHF)</w:t>
      </w:r>
      <w:r w:rsidRPr="00211F88">
        <w:rPr>
          <w:lang w:bidi="ar-EG"/>
        </w:rPr>
        <w:t xml:space="preserve">: </w:t>
      </w:r>
      <w:r w:rsidR="001701EA" w:rsidRPr="00211F88">
        <w:rPr>
          <w:lang w:bidi="ar-EG"/>
        </w:rPr>
        <w:t>In group</w:t>
      </w:r>
      <w:r w:rsidRPr="00211F88">
        <w:rPr>
          <w:lang w:bidi="ar-EG"/>
        </w:rPr>
        <w:t xml:space="preserve"> </w:t>
      </w:r>
      <w:r w:rsidR="00F56418" w:rsidRPr="00211F88">
        <w:rPr>
          <w:lang w:bidi="ar-EG"/>
        </w:rPr>
        <w:t>I two patients had AHF (4.3%) -</w:t>
      </w:r>
      <w:r w:rsidRPr="00211F88">
        <w:rPr>
          <w:lang w:bidi="ar-EG"/>
        </w:rPr>
        <w:t xml:space="preserve"> </w:t>
      </w:r>
      <w:r w:rsidR="001701EA" w:rsidRPr="00211F88">
        <w:rPr>
          <w:lang w:bidi="ar-EG"/>
        </w:rPr>
        <w:t xml:space="preserve">In group II </w:t>
      </w:r>
      <w:r w:rsidR="00F56418" w:rsidRPr="00211F88">
        <w:rPr>
          <w:lang w:bidi="ar-EG"/>
        </w:rPr>
        <w:t>five</w:t>
      </w:r>
      <w:r w:rsidRPr="00211F88">
        <w:rPr>
          <w:lang w:bidi="ar-EG"/>
        </w:rPr>
        <w:t xml:space="preserve"> </w:t>
      </w:r>
      <w:r w:rsidR="00F56418" w:rsidRPr="00211F88">
        <w:rPr>
          <w:lang w:bidi="ar-EG"/>
        </w:rPr>
        <w:t>patients had AHF</w:t>
      </w:r>
      <w:r w:rsidRPr="00211F88">
        <w:rPr>
          <w:lang w:bidi="ar-EG"/>
        </w:rPr>
        <w:t xml:space="preserve"> </w:t>
      </w:r>
      <w:r w:rsidR="00F56418" w:rsidRPr="00211F88">
        <w:rPr>
          <w:lang w:bidi="ar-EG"/>
        </w:rPr>
        <w:t>(15.6%) -</w:t>
      </w:r>
      <w:r w:rsidRPr="00211F88">
        <w:rPr>
          <w:lang w:bidi="ar-EG"/>
        </w:rPr>
        <w:t xml:space="preserve"> </w:t>
      </w:r>
      <w:r w:rsidR="001701EA" w:rsidRPr="00211F88">
        <w:rPr>
          <w:lang w:bidi="ar-EG"/>
        </w:rPr>
        <w:t>In group III 16 patients had AHF</w:t>
      </w:r>
      <w:r w:rsidRPr="00211F88">
        <w:rPr>
          <w:lang w:bidi="ar-EG"/>
        </w:rPr>
        <w:t xml:space="preserve"> </w:t>
      </w:r>
      <w:r w:rsidR="001701EA" w:rsidRPr="00211F88">
        <w:rPr>
          <w:lang w:bidi="ar-EG"/>
        </w:rPr>
        <w:t>(22.2%)</w:t>
      </w:r>
      <w:r w:rsidR="00837273" w:rsidRPr="00211F88">
        <w:rPr>
          <w:lang w:bidi="ar-EG"/>
        </w:rPr>
        <w:t>. T</w:t>
      </w:r>
      <w:r w:rsidR="001701EA" w:rsidRPr="00211F88">
        <w:rPr>
          <w:lang w:bidi="ar-EG"/>
        </w:rPr>
        <w:t>here was</w:t>
      </w:r>
      <w:r w:rsidRPr="00211F88">
        <w:rPr>
          <w:lang w:bidi="ar-EG"/>
        </w:rPr>
        <w:t xml:space="preserve"> </w:t>
      </w:r>
      <w:r w:rsidR="001701EA" w:rsidRPr="00211F88">
        <w:rPr>
          <w:lang w:bidi="ar-EG"/>
        </w:rPr>
        <w:t>statistically significant difference between the three</w:t>
      </w:r>
      <w:r w:rsidRPr="00211F88">
        <w:rPr>
          <w:lang w:bidi="ar-EG"/>
        </w:rPr>
        <w:t xml:space="preserve"> </w:t>
      </w:r>
      <w:r w:rsidR="001701EA" w:rsidRPr="00211F88">
        <w:rPr>
          <w:lang w:bidi="ar-EG"/>
        </w:rPr>
        <w:t>groups (P value =0.031</w:t>
      </w:r>
      <w:r w:rsidRPr="00211F88">
        <w:rPr>
          <w:lang w:bidi="ar-EG"/>
        </w:rPr>
        <w:t xml:space="preserve"> </w:t>
      </w:r>
      <w:r w:rsidR="001701EA" w:rsidRPr="00211F88">
        <w:rPr>
          <w:lang w:bidi="ar-EG"/>
        </w:rPr>
        <w:t>calculated by Monte Carlo</w:t>
      </w:r>
      <w:r w:rsidR="00211F88">
        <w:rPr>
          <w:lang w:bidi="ar-EG"/>
        </w:rPr>
        <w:t>)</w:t>
      </w:r>
      <w:r w:rsidR="001701EA" w:rsidRPr="00211F88">
        <w:rPr>
          <w:lang w:bidi="ar-EG"/>
        </w:rPr>
        <w:t>.</w:t>
      </w:r>
    </w:p>
    <w:p w:rsidR="008B5D29" w:rsidRPr="00211F88" w:rsidRDefault="008B5D29" w:rsidP="008B5D29">
      <w:pPr>
        <w:snapToGrid w:val="0"/>
        <w:contextualSpacing/>
        <w:jc w:val="center"/>
        <w:rPr>
          <w:lang w:bidi="ar-EG"/>
        </w:rPr>
        <w:sectPr w:rsidR="008B5D29" w:rsidRPr="00211F88" w:rsidSect="008B5D29">
          <w:type w:val="continuous"/>
          <w:pgSz w:w="12240" w:h="15840" w:code="1"/>
          <w:pgMar w:top="1440" w:right="1440" w:bottom="1440" w:left="1440" w:header="720" w:footer="720" w:gutter="0"/>
          <w:cols w:num="2" w:space="500"/>
          <w:docGrid w:linePitch="360"/>
        </w:sectPr>
      </w:pPr>
    </w:p>
    <w:p w:rsidR="00F56418" w:rsidRPr="00211F88" w:rsidRDefault="00F56418" w:rsidP="008B5D29">
      <w:pPr>
        <w:snapToGrid w:val="0"/>
        <w:contextualSpacing/>
        <w:jc w:val="center"/>
        <w:rPr>
          <w:lang w:bidi="ar-EG"/>
        </w:rPr>
      </w:pPr>
    </w:p>
    <w:p w:rsidR="00F56418" w:rsidRPr="00211F88" w:rsidRDefault="00F56418" w:rsidP="00837273">
      <w:pPr>
        <w:pStyle w:val="Caption"/>
        <w:snapToGrid w:val="0"/>
        <w:spacing w:after="0"/>
        <w:rPr>
          <w:rStyle w:val="Heading1Char"/>
          <w:b/>
          <w:bCs/>
          <w:sz w:val="20"/>
          <w:szCs w:val="20"/>
          <w:lang w:val="en-US"/>
        </w:rPr>
      </w:pPr>
      <w:r w:rsidRPr="00211F88">
        <w:rPr>
          <w:rFonts w:eastAsia="Calibri"/>
          <w:bCs/>
          <w:iCs w:val="0"/>
          <w:sz w:val="20"/>
          <w:szCs w:val="20"/>
        </w:rPr>
        <w:t>Table 4</w:t>
      </w:r>
      <w:r w:rsidR="00D31158" w:rsidRPr="00211F88">
        <w:rPr>
          <w:rFonts w:eastAsia="Calibri"/>
          <w:bCs/>
          <w:iCs w:val="0"/>
          <w:sz w:val="20"/>
          <w:szCs w:val="20"/>
        </w:rPr>
        <w:t>:</w:t>
      </w:r>
      <w:r w:rsidRPr="00211F88">
        <w:rPr>
          <w:rFonts w:eastAsia="Calibri"/>
          <w:bCs/>
          <w:iCs w:val="0"/>
          <w:sz w:val="20"/>
          <w:szCs w:val="20"/>
        </w:rPr>
        <w:t xml:space="preserve"> show difference between three groups according to adverse</w:t>
      </w:r>
      <w:r w:rsidRPr="00211F88">
        <w:rPr>
          <w:rFonts w:eastAsia="Calibri"/>
          <w:bCs/>
          <w:iCs w:val="0"/>
          <w:sz w:val="20"/>
          <w:szCs w:val="20"/>
          <w:lang w:val="en-US" w:eastAsia="en-US" w:bidi="ar-EG"/>
        </w:rPr>
        <w:t xml:space="preserve"> cardiac event</w:t>
      </w:r>
      <w:r w:rsidR="00311838" w:rsidRPr="00211F88">
        <w:rPr>
          <w:rStyle w:val="Heading1Char"/>
          <w:b/>
          <w:bCs/>
          <w:sz w:val="20"/>
          <w:szCs w:val="20"/>
          <w:lang w:val="en-US"/>
        </w:rPr>
        <w:t>.</w:t>
      </w:r>
    </w:p>
    <w:tbl>
      <w:tblPr>
        <w:tblW w:w="0" w:type="auto"/>
        <w:jc w:val="center"/>
        <w:tblCellMar>
          <w:left w:w="57" w:type="dxa"/>
          <w:right w:w="57" w:type="dxa"/>
        </w:tblCellMar>
        <w:tblLook w:val="04A0"/>
      </w:tblPr>
      <w:tblGrid>
        <w:gridCol w:w="2184"/>
        <w:gridCol w:w="1137"/>
        <w:gridCol w:w="1333"/>
        <w:gridCol w:w="1562"/>
        <w:gridCol w:w="929"/>
        <w:gridCol w:w="2329"/>
      </w:tblGrid>
      <w:tr w:rsidR="00061DCC" w:rsidRPr="00211F88" w:rsidTr="00800502">
        <w:trPr>
          <w:jc w:val="center"/>
        </w:trPr>
        <w:tc>
          <w:tcPr>
            <w:tcW w:w="21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 </w:t>
            </w:r>
          </w:p>
        </w:tc>
        <w:tc>
          <w:tcPr>
            <w:tcW w:w="1137" w:type="dxa"/>
            <w:tcBorders>
              <w:top w:val="single" w:sz="4" w:space="0" w:color="auto"/>
              <w:left w:val="nil"/>
              <w:bottom w:val="single" w:sz="4"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RBS ≤</w:t>
            </w:r>
            <w:r w:rsidR="00D31158" w:rsidRPr="00211F88">
              <w:rPr>
                <w:color w:val="000000"/>
                <w:lang w:bidi="ar-EG"/>
              </w:rPr>
              <w:t xml:space="preserve"> </w:t>
            </w:r>
            <w:r w:rsidRPr="00211F88">
              <w:rPr>
                <w:color w:val="000000"/>
                <w:lang w:bidi="ar-EG"/>
              </w:rPr>
              <w:t>110</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RBS 111-130</w:t>
            </w:r>
          </w:p>
        </w:tc>
        <w:tc>
          <w:tcPr>
            <w:tcW w:w="1562" w:type="dxa"/>
            <w:tcBorders>
              <w:top w:val="single" w:sz="4" w:space="0" w:color="auto"/>
              <w:left w:val="nil"/>
              <w:bottom w:val="single" w:sz="4"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RBS ≥ 131</w:t>
            </w:r>
          </w:p>
        </w:tc>
        <w:tc>
          <w:tcPr>
            <w:tcW w:w="92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X</w:t>
            </w:r>
            <w:r w:rsidRPr="00211F88">
              <w:rPr>
                <w:color w:val="000000"/>
                <w:vertAlign w:val="superscript"/>
                <w:lang w:bidi="ar-EG"/>
              </w:rPr>
              <w:t>2</w:t>
            </w:r>
          </w:p>
        </w:tc>
        <w:tc>
          <w:tcPr>
            <w:tcW w:w="23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P Value Calculated by Monte Carlo</w:t>
            </w:r>
          </w:p>
        </w:tc>
      </w:tr>
      <w:tr w:rsidR="00061DCC" w:rsidRPr="00211F88" w:rsidTr="00800502">
        <w:trPr>
          <w:jc w:val="center"/>
        </w:trPr>
        <w:tc>
          <w:tcPr>
            <w:tcW w:w="2184" w:type="dxa"/>
            <w:vMerge/>
            <w:tcBorders>
              <w:top w:val="single" w:sz="8" w:space="0" w:color="auto"/>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1137" w:type="dxa"/>
            <w:tcBorders>
              <w:top w:val="single" w:sz="4" w:space="0" w:color="auto"/>
              <w:left w:val="nil"/>
              <w:bottom w:val="single" w:sz="4"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Percentage (%)</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Percentage (%)</w:t>
            </w:r>
          </w:p>
        </w:tc>
        <w:tc>
          <w:tcPr>
            <w:tcW w:w="1562" w:type="dxa"/>
            <w:tcBorders>
              <w:top w:val="single" w:sz="4" w:space="0" w:color="auto"/>
              <w:left w:val="nil"/>
              <w:bottom w:val="single" w:sz="4"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Percentage (%)</w:t>
            </w:r>
          </w:p>
        </w:tc>
        <w:tc>
          <w:tcPr>
            <w:tcW w:w="929" w:type="dxa"/>
            <w:vMerge/>
            <w:tcBorders>
              <w:top w:val="single" w:sz="8" w:space="0" w:color="auto"/>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2329" w:type="dxa"/>
            <w:vMerge/>
            <w:tcBorders>
              <w:top w:val="single" w:sz="8" w:space="0" w:color="auto"/>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r>
      <w:tr w:rsidR="00061DCC" w:rsidRPr="00211F88" w:rsidTr="00800502">
        <w:trPr>
          <w:jc w:val="center"/>
        </w:trPr>
        <w:tc>
          <w:tcPr>
            <w:tcW w:w="2184" w:type="dxa"/>
            <w:vMerge/>
            <w:tcBorders>
              <w:top w:val="single" w:sz="8" w:space="0" w:color="auto"/>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1137" w:type="dxa"/>
            <w:tcBorders>
              <w:top w:val="single" w:sz="4" w:space="0" w:color="auto"/>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N=46</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N=32</w:t>
            </w:r>
          </w:p>
        </w:tc>
        <w:tc>
          <w:tcPr>
            <w:tcW w:w="1562" w:type="dxa"/>
            <w:tcBorders>
              <w:top w:val="single" w:sz="4" w:space="0" w:color="auto"/>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N=72</w:t>
            </w:r>
          </w:p>
        </w:tc>
        <w:tc>
          <w:tcPr>
            <w:tcW w:w="929" w:type="dxa"/>
            <w:vMerge/>
            <w:tcBorders>
              <w:top w:val="single" w:sz="8" w:space="0" w:color="auto"/>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2329" w:type="dxa"/>
            <w:vMerge/>
            <w:tcBorders>
              <w:top w:val="single" w:sz="8" w:space="0" w:color="auto"/>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r>
      <w:tr w:rsidR="00061DCC" w:rsidRPr="00211F88" w:rsidTr="00800502">
        <w:trPr>
          <w:jc w:val="center"/>
        </w:trPr>
        <w:tc>
          <w:tcPr>
            <w:tcW w:w="2184" w:type="dxa"/>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Periprocedural Death</w:t>
            </w:r>
          </w:p>
        </w:tc>
        <w:tc>
          <w:tcPr>
            <w:tcW w:w="1137" w:type="dxa"/>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1 (3.1%)</w:t>
            </w:r>
          </w:p>
        </w:tc>
        <w:tc>
          <w:tcPr>
            <w:tcW w:w="1562" w:type="dxa"/>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6 (9.7%)</w:t>
            </w:r>
          </w:p>
        </w:tc>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5.647</w:t>
            </w:r>
          </w:p>
        </w:tc>
        <w:tc>
          <w:tcPr>
            <w:tcW w:w="2329" w:type="dxa"/>
            <w:tcBorders>
              <w:top w:val="nil"/>
              <w:left w:val="nil"/>
              <w:bottom w:val="nil"/>
              <w:right w:val="single" w:sz="8" w:space="0" w:color="auto"/>
            </w:tcBorders>
            <w:shd w:val="clear" w:color="auto" w:fill="auto"/>
            <w:vAlign w:val="center"/>
            <w:hideMark/>
          </w:tcPr>
          <w:p w:rsidR="00311838" w:rsidRPr="00211F88" w:rsidRDefault="00311838" w:rsidP="00211F88">
            <w:pPr>
              <w:snapToGrid w:val="0"/>
              <w:rPr>
                <w:color w:val="FF0000"/>
              </w:rPr>
            </w:pPr>
            <w:r w:rsidRPr="00211F88">
              <w:rPr>
                <w:color w:val="FF0000"/>
              </w:rPr>
              <w:t>0.045*</w:t>
            </w:r>
          </w:p>
        </w:tc>
      </w:tr>
      <w:tr w:rsidR="00061DCC" w:rsidRPr="00211F88" w:rsidTr="00800502">
        <w:trPr>
          <w:jc w:val="center"/>
        </w:trPr>
        <w:tc>
          <w:tcPr>
            <w:tcW w:w="2184" w:type="dxa"/>
            <w:vMerge/>
            <w:tcBorders>
              <w:top w:val="nil"/>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1137" w:type="dxa"/>
            <w:vMerge/>
            <w:tcBorders>
              <w:top w:val="nil"/>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1562" w:type="dxa"/>
            <w:vMerge/>
            <w:tcBorders>
              <w:top w:val="nil"/>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929" w:type="dxa"/>
            <w:vMerge/>
            <w:tcBorders>
              <w:top w:val="nil"/>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2329"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FF0000"/>
              </w:rPr>
            </w:pPr>
            <w:r w:rsidRPr="00211F88">
              <w:rPr>
                <w:color w:val="FF0000"/>
              </w:rPr>
              <w:t>Calculated by Monte Carlo</w:t>
            </w:r>
          </w:p>
        </w:tc>
      </w:tr>
      <w:tr w:rsidR="00061DCC" w:rsidRPr="00211F88" w:rsidTr="00800502">
        <w:trPr>
          <w:jc w:val="center"/>
        </w:trPr>
        <w:tc>
          <w:tcPr>
            <w:tcW w:w="2184" w:type="dxa"/>
            <w:tcBorders>
              <w:top w:val="nil"/>
              <w:left w:val="single" w:sz="8" w:space="0" w:color="auto"/>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Cardiogenic Shock</w:t>
            </w:r>
          </w:p>
        </w:tc>
        <w:tc>
          <w:tcPr>
            <w:tcW w:w="1137"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2 (4.3%)</w:t>
            </w:r>
          </w:p>
        </w:tc>
        <w:tc>
          <w:tcPr>
            <w:tcW w:w="0" w:type="auto"/>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5 (15.6%)</w:t>
            </w:r>
          </w:p>
        </w:tc>
        <w:tc>
          <w:tcPr>
            <w:tcW w:w="1562"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15 (20.8%)</w:t>
            </w:r>
          </w:p>
        </w:tc>
        <w:tc>
          <w:tcPr>
            <w:tcW w:w="929"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6.124</w:t>
            </w:r>
          </w:p>
        </w:tc>
        <w:tc>
          <w:tcPr>
            <w:tcW w:w="2329"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FF0000"/>
              </w:rPr>
            </w:pPr>
            <w:r w:rsidRPr="00211F88">
              <w:rPr>
                <w:color w:val="FF0000"/>
              </w:rPr>
              <w:t>0.046*</w:t>
            </w:r>
          </w:p>
        </w:tc>
      </w:tr>
      <w:tr w:rsidR="00061DCC" w:rsidRPr="00211F88" w:rsidTr="00800502">
        <w:trPr>
          <w:jc w:val="center"/>
        </w:trPr>
        <w:tc>
          <w:tcPr>
            <w:tcW w:w="2184" w:type="dxa"/>
            <w:tcBorders>
              <w:top w:val="nil"/>
              <w:left w:val="single" w:sz="8" w:space="0" w:color="auto"/>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Ventricular Arrhythmia</w:t>
            </w:r>
          </w:p>
        </w:tc>
        <w:tc>
          <w:tcPr>
            <w:tcW w:w="1137"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3 (6.5%)</w:t>
            </w:r>
          </w:p>
        </w:tc>
        <w:tc>
          <w:tcPr>
            <w:tcW w:w="0" w:type="auto"/>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8 (25%)</w:t>
            </w:r>
          </w:p>
        </w:tc>
        <w:tc>
          <w:tcPr>
            <w:tcW w:w="1562"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20 (27.8%)</w:t>
            </w:r>
          </w:p>
        </w:tc>
        <w:tc>
          <w:tcPr>
            <w:tcW w:w="929"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8.2</w:t>
            </w:r>
          </w:p>
        </w:tc>
        <w:tc>
          <w:tcPr>
            <w:tcW w:w="2329"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FF0000"/>
              </w:rPr>
            </w:pPr>
            <w:r w:rsidRPr="00211F88">
              <w:rPr>
                <w:color w:val="FF0000"/>
                <w:lang w:bidi="ar-EG"/>
              </w:rPr>
              <w:t>0.017*</w:t>
            </w:r>
          </w:p>
        </w:tc>
      </w:tr>
      <w:tr w:rsidR="00061DCC" w:rsidRPr="00211F88" w:rsidTr="00800502">
        <w:trPr>
          <w:jc w:val="center"/>
        </w:trPr>
        <w:tc>
          <w:tcPr>
            <w:tcW w:w="2184" w:type="dxa"/>
            <w:tcBorders>
              <w:top w:val="nil"/>
              <w:left w:val="single" w:sz="8" w:space="0" w:color="auto"/>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Re-infarction</w:t>
            </w:r>
          </w:p>
        </w:tc>
        <w:tc>
          <w:tcPr>
            <w:tcW w:w="1137"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1(2.17%)</w:t>
            </w:r>
          </w:p>
        </w:tc>
        <w:tc>
          <w:tcPr>
            <w:tcW w:w="0" w:type="auto"/>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4(12.5%)</w:t>
            </w:r>
          </w:p>
        </w:tc>
        <w:tc>
          <w:tcPr>
            <w:tcW w:w="1562"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13(18.05%)</w:t>
            </w:r>
          </w:p>
        </w:tc>
        <w:tc>
          <w:tcPr>
            <w:tcW w:w="929"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6.713</w:t>
            </w:r>
          </w:p>
        </w:tc>
        <w:tc>
          <w:tcPr>
            <w:tcW w:w="2329"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FF0000"/>
                <w:lang w:bidi="ar-EG"/>
              </w:rPr>
            </w:pPr>
            <w:r w:rsidRPr="00211F88">
              <w:rPr>
                <w:color w:val="FF0000"/>
                <w:lang w:bidi="ar-EG"/>
              </w:rPr>
              <w:t>0.034*</w:t>
            </w:r>
          </w:p>
          <w:p w:rsidR="00311838" w:rsidRPr="00211F88" w:rsidRDefault="00311838" w:rsidP="00211F88">
            <w:pPr>
              <w:snapToGrid w:val="0"/>
              <w:rPr>
                <w:color w:val="000000"/>
              </w:rPr>
            </w:pPr>
            <w:r w:rsidRPr="00211F88">
              <w:rPr>
                <w:color w:val="FF0000"/>
                <w:lang w:bidi="ar-EG"/>
              </w:rPr>
              <w:t>Calculated by Monte Carlo</w:t>
            </w:r>
          </w:p>
        </w:tc>
      </w:tr>
      <w:tr w:rsidR="00061DCC" w:rsidRPr="00211F88" w:rsidTr="00800502">
        <w:trPr>
          <w:jc w:val="center"/>
        </w:trPr>
        <w:tc>
          <w:tcPr>
            <w:tcW w:w="2184" w:type="dxa"/>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CIN</w:t>
            </w:r>
          </w:p>
        </w:tc>
        <w:tc>
          <w:tcPr>
            <w:tcW w:w="1137" w:type="dxa"/>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3(9.3%)</w:t>
            </w:r>
          </w:p>
        </w:tc>
        <w:tc>
          <w:tcPr>
            <w:tcW w:w="1562" w:type="dxa"/>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10(13.9%)</w:t>
            </w:r>
          </w:p>
        </w:tc>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6.86</w:t>
            </w:r>
          </w:p>
        </w:tc>
        <w:tc>
          <w:tcPr>
            <w:tcW w:w="2329" w:type="dxa"/>
            <w:tcBorders>
              <w:top w:val="nil"/>
              <w:left w:val="nil"/>
              <w:bottom w:val="nil"/>
              <w:right w:val="single" w:sz="8" w:space="0" w:color="auto"/>
            </w:tcBorders>
            <w:shd w:val="clear" w:color="auto" w:fill="auto"/>
            <w:vAlign w:val="center"/>
            <w:hideMark/>
          </w:tcPr>
          <w:p w:rsidR="00311838" w:rsidRPr="00211F88" w:rsidRDefault="00311838" w:rsidP="00211F88">
            <w:pPr>
              <w:snapToGrid w:val="0"/>
              <w:rPr>
                <w:color w:val="FF0000"/>
              </w:rPr>
            </w:pPr>
            <w:r w:rsidRPr="00211F88">
              <w:rPr>
                <w:color w:val="FF0000"/>
              </w:rPr>
              <w:t>0.03*</w:t>
            </w:r>
          </w:p>
        </w:tc>
      </w:tr>
      <w:tr w:rsidR="00061DCC" w:rsidRPr="00211F88" w:rsidTr="00800502">
        <w:trPr>
          <w:jc w:val="center"/>
        </w:trPr>
        <w:tc>
          <w:tcPr>
            <w:tcW w:w="2184" w:type="dxa"/>
            <w:vMerge/>
            <w:tcBorders>
              <w:top w:val="nil"/>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1137" w:type="dxa"/>
            <w:vMerge/>
            <w:tcBorders>
              <w:top w:val="nil"/>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1562" w:type="dxa"/>
            <w:vMerge/>
            <w:tcBorders>
              <w:top w:val="nil"/>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929" w:type="dxa"/>
            <w:vMerge/>
            <w:tcBorders>
              <w:top w:val="nil"/>
              <w:left w:val="single" w:sz="8" w:space="0" w:color="auto"/>
              <w:bottom w:val="single" w:sz="8" w:space="0" w:color="000000"/>
              <w:right w:val="single" w:sz="8" w:space="0" w:color="auto"/>
            </w:tcBorders>
            <w:vAlign w:val="center"/>
            <w:hideMark/>
          </w:tcPr>
          <w:p w:rsidR="00311838" w:rsidRPr="00211F88" w:rsidRDefault="00311838" w:rsidP="00211F88">
            <w:pPr>
              <w:snapToGrid w:val="0"/>
              <w:rPr>
                <w:color w:val="000000"/>
              </w:rPr>
            </w:pPr>
          </w:p>
        </w:tc>
        <w:tc>
          <w:tcPr>
            <w:tcW w:w="2329"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211F88">
            <w:pPr>
              <w:snapToGrid w:val="0"/>
              <w:rPr>
                <w:color w:val="FF0000"/>
              </w:rPr>
            </w:pPr>
            <w:r w:rsidRPr="00211F88">
              <w:rPr>
                <w:color w:val="FF0000"/>
              </w:rPr>
              <w:t>Calculated by Monte Carlo</w:t>
            </w:r>
          </w:p>
        </w:tc>
      </w:tr>
      <w:tr w:rsidR="00061DCC" w:rsidRPr="00211F88" w:rsidTr="00800502">
        <w:trPr>
          <w:jc w:val="center"/>
        </w:trPr>
        <w:tc>
          <w:tcPr>
            <w:tcW w:w="2184" w:type="dxa"/>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 xml:space="preserve">Acute heart failure </w:t>
            </w:r>
          </w:p>
        </w:tc>
        <w:tc>
          <w:tcPr>
            <w:tcW w:w="1137" w:type="dxa"/>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2 (4.3%)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5 (15.6%)</w:t>
            </w:r>
          </w:p>
        </w:tc>
        <w:tc>
          <w:tcPr>
            <w:tcW w:w="1562" w:type="dxa"/>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16(22.2%)</w:t>
            </w:r>
          </w:p>
        </w:tc>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311838" w:rsidRPr="00211F88" w:rsidRDefault="00311838" w:rsidP="00211F88">
            <w:pPr>
              <w:snapToGrid w:val="0"/>
              <w:rPr>
                <w:color w:val="000000"/>
              </w:rPr>
            </w:pPr>
            <w:r w:rsidRPr="00211F88">
              <w:rPr>
                <w:color w:val="000000"/>
                <w:lang w:bidi="ar-EG"/>
              </w:rPr>
              <w:t>6.91</w:t>
            </w:r>
          </w:p>
        </w:tc>
        <w:tc>
          <w:tcPr>
            <w:tcW w:w="2329" w:type="dxa"/>
            <w:tcBorders>
              <w:top w:val="nil"/>
              <w:left w:val="nil"/>
              <w:bottom w:val="nil"/>
              <w:right w:val="single" w:sz="8" w:space="0" w:color="auto"/>
            </w:tcBorders>
            <w:shd w:val="clear" w:color="auto" w:fill="auto"/>
            <w:vAlign w:val="center"/>
            <w:hideMark/>
          </w:tcPr>
          <w:p w:rsidR="00311838" w:rsidRPr="00211F88" w:rsidRDefault="00311838" w:rsidP="00211F88">
            <w:pPr>
              <w:snapToGrid w:val="0"/>
              <w:rPr>
                <w:color w:val="FF0000"/>
              </w:rPr>
            </w:pPr>
            <w:r w:rsidRPr="00211F88">
              <w:rPr>
                <w:color w:val="FF0000"/>
              </w:rPr>
              <w:t>0.031*</w:t>
            </w:r>
          </w:p>
        </w:tc>
      </w:tr>
      <w:tr w:rsidR="00061DCC" w:rsidRPr="00211F88" w:rsidTr="00800502">
        <w:trPr>
          <w:jc w:val="center"/>
        </w:trPr>
        <w:tc>
          <w:tcPr>
            <w:tcW w:w="2184" w:type="dxa"/>
            <w:vMerge/>
            <w:tcBorders>
              <w:top w:val="nil"/>
              <w:left w:val="single" w:sz="8" w:space="0" w:color="auto"/>
              <w:bottom w:val="single" w:sz="8" w:space="0" w:color="000000"/>
              <w:right w:val="single" w:sz="8" w:space="0" w:color="auto"/>
            </w:tcBorders>
            <w:vAlign w:val="center"/>
            <w:hideMark/>
          </w:tcPr>
          <w:p w:rsidR="00311838" w:rsidRPr="00211F88" w:rsidRDefault="00311838" w:rsidP="00837273">
            <w:pPr>
              <w:snapToGrid w:val="0"/>
              <w:jc w:val="both"/>
              <w:rPr>
                <w:color w:val="000000"/>
              </w:rPr>
            </w:pPr>
          </w:p>
        </w:tc>
        <w:tc>
          <w:tcPr>
            <w:tcW w:w="1137" w:type="dxa"/>
            <w:vMerge/>
            <w:tcBorders>
              <w:top w:val="nil"/>
              <w:left w:val="single" w:sz="8" w:space="0" w:color="auto"/>
              <w:bottom w:val="single" w:sz="8" w:space="0" w:color="000000"/>
              <w:right w:val="single" w:sz="8" w:space="0" w:color="auto"/>
            </w:tcBorders>
            <w:vAlign w:val="center"/>
            <w:hideMark/>
          </w:tcPr>
          <w:p w:rsidR="00311838" w:rsidRPr="00211F88" w:rsidRDefault="00311838" w:rsidP="00837273">
            <w:pPr>
              <w:snapToGrid w:val="0"/>
              <w:jc w:val="both"/>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311838" w:rsidRPr="00211F88" w:rsidRDefault="00311838" w:rsidP="00837273">
            <w:pPr>
              <w:snapToGrid w:val="0"/>
              <w:jc w:val="both"/>
              <w:rPr>
                <w:color w:val="000000"/>
              </w:rPr>
            </w:pPr>
          </w:p>
        </w:tc>
        <w:tc>
          <w:tcPr>
            <w:tcW w:w="1562" w:type="dxa"/>
            <w:vMerge/>
            <w:tcBorders>
              <w:top w:val="nil"/>
              <w:left w:val="single" w:sz="8" w:space="0" w:color="auto"/>
              <w:bottom w:val="single" w:sz="8" w:space="0" w:color="000000"/>
              <w:right w:val="single" w:sz="8" w:space="0" w:color="auto"/>
            </w:tcBorders>
            <w:vAlign w:val="center"/>
            <w:hideMark/>
          </w:tcPr>
          <w:p w:rsidR="00311838" w:rsidRPr="00211F88" w:rsidRDefault="00311838" w:rsidP="00837273">
            <w:pPr>
              <w:snapToGrid w:val="0"/>
              <w:jc w:val="both"/>
              <w:rPr>
                <w:color w:val="000000"/>
              </w:rPr>
            </w:pPr>
          </w:p>
        </w:tc>
        <w:tc>
          <w:tcPr>
            <w:tcW w:w="929" w:type="dxa"/>
            <w:vMerge/>
            <w:tcBorders>
              <w:top w:val="nil"/>
              <w:left w:val="single" w:sz="8" w:space="0" w:color="auto"/>
              <w:bottom w:val="single" w:sz="8" w:space="0" w:color="000000"/>
              <w:right w:val="single" w:sz="8" w:space="0" w:color="auto"/>
            </w:tcBorders>
            <w:vAlign w:val="center"/>
            <w:hideMark/>
          </w:tcPr>
          <w:p w:rsidR="00311838" w:rsidRPr="00211F88" w:rsidRDefault="00311838" w:rsidP="00837273">
            <w:pPr>
              <w:snapToGrid w:val="0"/>
              <w:jc w:val="both"/>
              <w:rPr>
                <w:color w:val="000000"/>
              </w:rPr>
            </w:pPr>
          </w:p>
        </w:tc>
        <w:tc>
          <w:tcPr>
            <w:tcW w:w="2329" w:type="dxa"/>
            <w:tcBorders>
              <w:top w:val="nil"/>
              <w:left w:val="nil"/>
              <w:bottom w:val="single" w:sz="8" w:space="0" w:color="auto"/>
              <w:right w:val="single" w:sz="8" w:space="0" w:color="auto"/>
            </w:tcBorders>
            <w:shd w:val="clear" w:color="auto" w:fill="auto"/>
            <w:vAlign w:val="center"/>
            <w:hideMark/>
          </w:tcPr>
          <w:p w:rsidR="00311838" w:rsidRPr="00211F88" w:rsidRDefault="00311838" w:rsidP="00837273">
            <w:pPr>
              <w:snapToGrid w:val="0"/>
              <w:jc w:val="both"/>
              <w:rPr>
                <w:color w:val="FF0000"/>
              </w:rPr>
            </w:pPr>
            <w:r w:rsidRPr="00211F88">
              <w:rPr>
                <w:color w:val="FF0000"/>
                <w:lang w:bidi="ar-EG"/>
              </w:rPr>
              <w:t>Calculated by Monte Carlo</w:t>
            </w:r>
          </w:p>
        </w:tc>
      </w:tr>
    </w:tbl>
    <w:p w:rsidR="00311838" w:rsidRPr="00211F88" w:rsidRDefault="00311838" w:rsidP="008B5D29">
      <w:pPr>
        <w:snapToGrid w:val="0"/>
        <w:ind w:firstLine="425"/>
        <w:jc w:val="both"/>
        <w:rPr>
          <w:lang w:val="en-US"/>
        </w:rPr>
      </w:pPr>
    </w:p>
    <w:p w:rsidR="008B5D29" w:rsidRPr="00211F88" w:rsidRDefault="008B5D29" w:rsidP="008B5D29">
      <w:pPr>
        <w:pStyle w:val="Caption"/>
        <w:snapToGrid w:val="0"/>
        <w:spacing w:after="0"/>
        <w:jc w:val="both"/>
        <w:rPr>
          <w:rStyle w:val="Heading1Char"/>
          <w:b/>
          <w:bCs/>
          <w:sz w:val="20"/>
          <w:szCs w:val="20"/>
        </w:rPr>
        <w:sectPr w:rsidR="008B5D29" w:rsidRPr="00211F88" w:rsidSect="00D31158">
          <w:type w:val="continuous"/>
          <w:pgSz w:w="12240" w:h="15840" w:code="1"/>
          <w:pgMar w:top="1440" w:right="1440" w:bottom="1440" w:left="1440" w:header="720" w:footer="720" w:gutter="0"/>
          <w:cols w:space="720"/>
          <w:docGrid w:linePitch="360"/>
        </w:sectPr>
      </w:pPr>
    </w:p>
    <w:p w:rsidR="00F56418" w:rsidRPr="00211F88" w:rsidRDefault="002001D5" w:rsidP="008B5D29">
      <w:pPr>
        <w:pStyle w:val="Caption"/>
        <w:snapToGrid w:val="0"/>
        <w:spacing w:after="0"/>
        <w:jc w:val="both"/>
        <w:rPr>
          <w:rStyle w:val="Heading1Char"/>
          <w:b/>
          <w:bCs/>
          <w:sz w:val="20"/>
          <w:szCs w:val="20"/>
        </w:rPr>
      </w:pPr>
      <w:r w:rsidRPr="00211F88">
        <w:rPr>
          <w:sz w:val="20"/>
          <w:szCs w:val="20"/>
        </w:rPr>
        <w:lastRenderedPageBreak/>
        <w:pict>
          <v:shape id="Chart 9" o:spid="_x0000_i1029" type="#_x0000_t75" style="width:203.5pt;height:142.1pt;visibility:visible" wrapcoords="-36 0 -36 21545 21600 21545 21600 0 -36 0"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AOfTGJCgEAADYCAAAOAAAAZHJzL2Uyb0RvYy54bWyckUFLAzEQhe+C/yHM3Wa7C0WX&#10;ZntZBE9e9AeMyaQJ7CZhkrr6741tlXoSenszDz7evNnuPuZJvBNnH4OC9aoBQUFH48NewevL4909&#10;iFwwGJxiIAWflGE33N5sl9RTG12cDLGokJD7JSlwpaReyqwdzZhXMVGopo08Y6kj76VhXCp9nmTb&#10;NBu5RDaJo6ac63Y8mTAc+daSLs/WZipiUrBpHjYgyo/gKtq2A/GmoOuaFuSwxX7PmJzX50h4RaIZ&#10;fagBflEjFhQH9legtEMulaX7ozqH0leTzoB6+f89R2u9pjHqw0yhnMpmmrDUT2fnUwbBvTcK+Mms&#10;v7uTfy6+nKu+fPfwBQAA//8DAFBLAwQUAAYACAAAACEAZnVxreIAAADIAQAAIAAAAGRycy9jaGFy&#10;dHMvX3JlbHMvY2hhcnQxLnhtbC5yZWxzrJHPasMwDMbvg76D0b1W0sMYo04vY9BTYbQP4NhK4i7+&#10;g+WN9e3r7rIFCrvsKD7pp0+ftrsvP4tPyuxiUNDKBgQFE60Lo4LT8XX9BIKLDlbPMZCCCzHsutXD&#10;9o1mXeoQTy6xqJTACqZS0jMim4m8ZhkThaoMMXtdaplHTNq865Fw0zSPmH8zoFswxd4qyHu7AXG8&#10;pLr5b3YcBmfoJZoPT6HcWYFxpkN/JlMqVOeRigIpkXxP9nYx/zS0sncB8L6n9j89lZoVHeoLsrO0&#10;8PWt4EJvZc3zZgsX+XdX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RCh8HOAAAAAJ&#10;AQAADwAAAGRycy9kb3ducmV2LnhtbEyPwU7DMAyG70i8Q2QkbizZ6Abrmk6AhEA7IDHQtGPaeG21&#10;xqmabC08PeYER/u3fn9fth5dK87Yh8aThulEgUAqvW2o0vD58XxzDyJEQ9a0nlDDFwZY55cXmUmt&#10;H+gdz9tYCS6hkBoNdYxdKmUoa3QmTHyHxNnB985EHvtK2t4MXO5aOVNqIZ1piD/UpsOnGsvj9uQ0&#10;vGze9o+d26lXeUyi3Q1F+G7utL6+Gh9WICKO8e8YfvEZHXJmKvyJbBCthiRhlcj76QwE58vbOasU&#10;GhYqmYPMM/nfIP8BAAD//wMAUEsDBBQABgAIAAAAIQAJUj3n5gUAAO0YAAAcAAAAZHJzL3RoZW1l&#10;L3RoZW1lT3ZlcnJpZGUxLnhtbOxZTW8bNxC9F+h/WOy9kWTrIzIiB7Y+4jZ2EkRKihypXWqXEXe5&#10;ICk7uhXJqZcCBdKihwborYeiaIAGaNBLf4wBB236IzrkrlakRMWx4UNQxLlouW+GjzPDN+Tmxs0n&#10;CfWOMReEpR2/dq3qezgNWEjSqOM/GA0+u+57QqI0RJSluOPPsfBv7n76yQ20I2Oc4Ltgy0mIPfCT&#10;ih3U8WMps51KRQTwGolrLMMpvJswniAJjzyqhBydgP+EVraq1WYlQST1d8FhQPlQWWEvRQnMdXcy&#10;IQHWr8JpTSHEXHQp944R7fjgImQnI/xE+h5FQsKLjl/Vf35l90YF7RRGVG6wNewG+q+wKwzC6Zae&#10;k0fjctJ6vVFv7pX+NYDKdVy/1W/2m6U/DUBBgNOCi+mzsd/e7zUKrAHKfzp891q97ZqFN/xvr3He&#10;a6h/Fl6Dcv/1Nfxg0IUoWngNyvGNNXy93trq1i28BuX45hq+Vd3r1VsWXoNiStLpGrraaG53F6st&#10;IRNGD5zwdqM+aG0VzpcoqIayutQUE5bKTbWWoMeMDwCggBRJknpynuEJCqAmu4iSMSfeIYliqaZB&#10;OxgZ7/OhQKwNqRk9EXCSyY7/RYZS34CcvX59+vTV6dM/Tp89O336m+ndsjtAaWTavf35239ffOX9&#10;8/tPb59/l0+9ihcm/s2vX7/58693uYfNtFzs2fcv37x6efbDN3//8tzhfY+jsQkfkQQL7w4+8e6z&#10;BBaoo2PzwWN+MYtRjIhpsZdGAqVIzeLw35exhb4zRxQ5cPvYjuNDDmLiAt6aPbYID2M+k8Th8Xac&#10;WMAjxug+484o3FZzGWEezdLIPTmfmbj7CB275u6i1Mpyf5aBihKXy26MLZr3KEolinCKpafesSnG&#10;jtU9IsSK6xEJOBNsIr1HxNtHxBmSERlb1bQ0OiAJ5GXuIgj5tmJz9NDbZ9S16h4+tpGwNxB1kB9h&#10;aoXxFppJlLhcjlBCzYAfIhm7SA7nPDBxfSEh0xGmzOuHWAiXzV0O6zWSfhuExJ32IzpPbCSXZOry&#10;eYgYM5E9Nu3GKMlc2CFJYxP7uZhCiSLvHpMu+BGzd4h6hjygdGO6HxJspft8NXgAGmpSWhaIejPj&#10;jlzewsyq3+GcThDWUgMSbyl3QtJzZTyf4WoEHGTy7McXDs5XI9pux1bELyjXe5w498vBikhvwq1K&#10;c5fxkHz4ytxDs/Qehs2w3p4+CvNHYfb/98K8aT9fvRwvFRjEWR0E8yO3PoAnG8/fE0LpUM4pPhT6&#10;CC6g74QDGFR2+lqJy/tYFsNPtZNhAgsXcaRtPM7kl0TGwxhlcHyv+cpJJArXkfAyJuDaqIedvhWe&#10;zpIjFubXzlpNXTFz8RBILserjXIcrgwyRzdby6tU6V6zjUTOJCegbC9CwpjMJrHtINFaDKog6Qs2&#10;BM1BQq/sSli0HSyuK/eLVK2xAGplVuBg5MFxquM36mACRnBvQhSHKk95qhfZ1SG8ykxvCqZVAVX4&#10;bFFUwDLTbcV14/LU6t470xYJo9xsEjoyuoeJGMEHGP1RpEhhsSHWorykcdFct5cpteipUBSxMGi0&#10;rr8rGJfNNditagNNTaWgqXfS8ZvbDSiZAGUdfwLXd/iZZFA7Qh1oEY3gM1cgeb7hL6MsGReyh0Sc&#10;B1yLTq4GCZGYe5QkHV8tv6wGmmoN0dxqWyAIHyy5NsjKh0YOkm4nGU8mOJBm2o0RFen8ERQ+3wXO&#10;t9r88mBlyWaQ7mEcnnhjOuP3EZRYo1VTAQyJgG88tTyaIYHPkqWQLetvpTEVsmt+F9Q1lI8jmsWo&#10;6CimmOdwLeUlHf1UxsB4KtYMATVCUjTCcaQarBlUq5uWXSPnsLHrnm+kImeI5rJnWqqiuqZbTK0Z&#10;Fm1gJZaXa/IGq0WIoV2aHT5v0quS215o3co5oewSEPAyfo6u+x6t36C2nMyiphivy7DS7GLU7h2L&#10;BZ5D7X2ahKH6zYXblbiVPcI5HQxeqvOD3WrVwtBkca7Ukbb+i2L3PwAAAP//AwBQSwMEFAAGAAgA&#10;AAAhAIWmqfyRCwAAr0oAABUAAABkcnMvY2hhcnRzL2NoYXJ0MS54bWzsXGtu20gS/r/A3oErZH4t&#10;JPGpFyIPbFnOBGsnRpxkgf3XIlsS1y1SaVKOncEcYO6xe7E5yX79okhZkuVM7NhZGYjS7Berq6qr&#10;q6qr+PLn6xmzrijP4jTp15yGXbNoEqZRnEz6tQ/vT+qdmpXlJIkISxPar93QrPbzwV//8jLshVPC&#10;84s5CamFSZKsF/Zr0zyf95rNLJzSGcka6ZwmaBunfEZyPPJJM+LkMyafsaZr262mnKSmJyBfMcGM&#10;xIkZz3cZn47HcUiP03Axo0muoOCUkRwYyKbxPKsdYHERyanTtX3rirB+za41RSUjyURVEF4fvlKV&#10;PF0kEY0GKU+AxlL/Wdg7ZDnlCaYapEmOt+l1znbC1Izwy8W8HqazOYAbxSzObyS4ABBzD6Yp1mG9&#10;o58WMadZvxY6vkEEirdQMYtDnmbpOG9gxqbCgqGGmLbd7DRdTQ8s1vF7WX7DqFqQY7titc3ivRKE&#10;E8LYiISXAjelzkXXZbsYuIoMMSpk/IzM315xazRx+jWWOzUrv0YpukRpNHFFnSvqUIouUSJhCESi&#10;hy6YGrSrmqKPZ2o80wdIUX2AKFUITE1galqmplWzpixOLoFI8V/NGqfsF1VhSooBJAuLxeRxzqgs&#10;XItfHofTg5ekN0qjm3Nu8TQXjGRl8/Ak5ll+SrL8nHDwPFaKHZi/xc+YpZ/7NcoY+DDOVD0ASPmX&#10;mvWZk3m/ln1aEE4BbRKiGlTPuXkY5Hh2BFCkx7L8QpBPPsxFzfyci/8iOn4HaLIv6OrbgGckAYgl&#10;bIt+LcE2F1uex5fY7kl6IUs16xKMjJ5gFLkE2X1EMgqMoJ8NniS9LGVxdBIzJh+EDKADxhUHgaqy&#10;D1vMztJI1bUCG9MpeBezt+OxqvZMdRNTmlnAfCsvEFs2sfKbOR1DBvVrf58ldZar6ShZaaBENYTZ&#10;SkOYiQbMrRAjixpVEl8cyBL7HlRJ6h8uNL4kzPnBAHuTxaGSHWKSXI5XAwUS1o+2yojTU1liLVOK&#10;f5xSawKpMs+slSlpEgmOEfRbCxIAAKmbhvVQyCUnMnKTLnK8KOylYDI8KkRrsZbp9SapoJ2EhyUC&#10;+qICE6saOh7TMD/NxGSYXo0U7zGsTxZ5+l48HFNGc6oJrV80Z2l+yCkRgJRgGhE+EGeJqEb5ONYs&#10;g7KgTdiT2MChoaAO2SKDWKWRarwi/GaQsrQiewEaBRXCXhxdV9aa8ojq6TVQCkVg+Hd0LEaMDy6m&#10;lObO316cvXBtsUpZjQ4DAmYUXeb5AEI/VxPLDSfqLLxL7YSwd3Xw7ujC+uP3/1iW48hJriTC5oJB&#10;hLA0k6kH+WqBRkkuQ49t20mJr5bm3UrPe9EOGEqE8Hk9fkMn4OMrLfA1cqLTEcvEkkVhHT4VGUXL&#10;jCQLwk4lq4nnKt41x7Ua7QCnqu06LbfTdTutzrDuyUWsTgBsLOcWbz9P9eEKVh4mmvjZNP18SifY&#10;GP+gK0yNlo8Euo04vzWNRO8Byd+QWXWVov6C8rX155SLA6fCRKL/0WI0YvQi/lKdil6L3WEUIqfF&#10;cS6tKEV3HMRO0Cz0IoFHzGgtOOTzrwPP69iDgV8PjlvDum93B/WjoefWh2332O22vcAbDH5bqgA4&#10;ye75Zr90/Ld6iyT+tKCv9Rb+FaJa/HXqJ8dHfn049PH2rm3XhwP7ZHjc8Y5c9+g3TUrAvAL6sBV4&#10;7UOnftw6GdT9cSuod4+7Tr3tuv7A7/pB5wiDC7QF9wbdaC5KLikqyK1mGNf8XwgEyXZlJtuJgZ1G&#10;q9Ntt2w78O226zkBKKH0nT0DC70emuQTZ+DuM2VgcyoUh7I5k4uK7ae0OF2UCvgwCil7ncAI8TqO&#10;0BBz+QADKsADL7eMyi2blVipQc4PoU2cxFLZMHq0aNhFuYVokroafu+l25ZVMwnEPXXatlFeAWZJ&#10;p3VNNYj0PXXaWypkYckWyqNiE3XkP49DV2kBBJrdKayRsg0uj8+HO5Af61TDYeoEvbXLVKoNWhkt&#10;ECDOXiMuWGLBouwGLizcUBiQY9hNKM7mEYzJZALjkU1g2YWwI7+G3wtjrcrvhWm3nd+l80Sc2UaY&#10;bTAwVtcH7VDqGOp/ELg466W2CotM4mCNUn/6wnV6L/Dbulu1l+r1bdUeKmE852lIowWHhnlMST4V&#10;ky1V/OUYYfSKlgHhUZxCUY1D62KahpebBrh6wEconfAgLBjh1iHn05t8OovJplGeHvWO1uNkTHgo&#10;vFmbOvsGptdvNnUJdJfzBZulCSwsaxjBo1ftjiVvMmQ0AaB8i+Uni9k64wp0gIm1pAO6FSaWchkO&#10;0oge2A3b/km8uVSHSStG2AZKrVhet8niN9xu5a8Nda66yuUgQ5pWQwjz0p+7ZZChjNtw2qUhtu1s&#10;GQT/1HKxsCl/0uTYuB5Drx3WA0QuEa0ejPmpyaW050IZ//FsGHtnFRD4KdkS2qew6lrQ1mXJtaBr&#10;NrsW3vxZ14LjOHXHW+EHQLtpQ97XsxB8P8+CRt7S+t9gmNU7Dde3A8+xu67b7vqddndYd9oC8LCn&#10;nQEr5prrwN+wN9dCWnL8P3Fzrb3zXq24Sh5LM/v2/oZd2NpteK2g1YILImjbDmwLf8/W4lbv+bB1&#10;60dha1/J2zultXYoF3LZC5yO3bF9zw3anaC9Z2B5Lf18GDj4URhYajo7+IF3kcuIn3C8TtCyPdf3&#10;Pa/rCSVf+8SrWgxUteWW2V9vPJnrDf+ZsrVx9xTOYONQKSq2u1j23uGdIh/23uG9d3hnPfOxbBDY&#10;u3vvcNn7rbw20iVc8t6IU3bvHX4e3mH4x+Adxu/d3uF7u4arrlXhXNbeVa+xzSdrPPl2A5f+d7mI&#10;7YYbbOqDcMSKc7cEAebePG7VKVwa1111Y8MTttGNjYugLe9fXRv20v+7u9jZWSdUgsdcR21wF0uD&#10;AJF4y0g0XbPZXfz2z7qL//j9v5bjOVWWBLTfyl0svQDiqq98W/44gWi72m+rDoi9pfa8A9G8nXfl&#10;03IM7y01GQ+/j+Mpgta/JjZ9H8fzLQNr95ZabR/Hs4/jEdkNSik0ESF3x/FANYWlht+7LbWvj+Pp&#10;NqqxM7a3xb5ZGmqu3a4E93Sr+u/tyB6Ybe1OJUpnoxVl4npgsuEWq/KaTW8xcVcY4iE8tfS3opgv&#10;ATNxPQDMXQFlb5jZ7s4q4FrDrHAIPZf7F6yigHlC5v+Mo3yqE1w62oYk1yZho2u7ra7T0fezlfo2&#10;UhekOYQJy8lX2O2HMgOp0rs0SxYS5PtNRIBNymNEKMrMNwXCLE7OyLW+7Cp1jGQiWCV/hlwXccVM&#10;XR/DxXAyyyt+iVcU+bSEIdswXSAFB5G9lxQhqzo6aEb+nfL3cXh5hixZNbnMXJTBPwBlc2OOQeV0&#10;ogQuwvepAmOtbv6w8bOOCQyvxs92TPW3iJ9df7lTRxaL/JMJnU8kJ9WE7SMn9lHD9ot45SoZCq1o&#10;OxkePBX1Huq+yPLODnX2HYRAsdmRbS2aTHy8yNT8F+Wa88WTFiVqK7ARO0RguKoTweFyZ6EWaboZ&#10;NbmPKn0XLsL0bMHy+PSKYWuV9joETCFUEF26RrqUwCsJjW8kXUYKaiksXvE4EsnK8grAbPSHjo5/&#10;jN0NHN9eoBSB32XJRnBVN1LXVG/fSLvmA/Rur2/NESIjx7//ASJcHX/qGv5JS+rHTrD6cSV1SdHa&#10;Iqll0xHNP1OqpfNIPQhZB1lQiFkj4wrWu2dICOaqJOzLNGuh+jFZKlQ4LWRVOJM8JR7iIwPrdRgw&#10;39P5nobRXfY7goMTiy+O7Ky7gOEUawkmE6z3Mc7eJsyEjKqzPIqz+RG+fnGZHepEP1hCqknkxx1D&#10;/8jEl1Rgi6zoIeYTE2ZfVO6qipxMNQhfo5Hb6daN1o9nDGDHQjBs/1yMkCz3p6e8dxHfP2LHJCcW&#10;x8c4+jX+OlJ5VELj/DAX31mq0gnmWDFGCrTld6YO/gcAAP//AwBQSwMEFAAGAAgAAAAhACbL8sRv&#10;AAAAAAYAAB0AAABkcnMvZW1iZWRkaW5ncy9vbGVPYmplY3QxLmJpbrpwXvDBwo1SDxnQgB0DM8O/&#10;/5wMbEjijEA2CIOBAANQ/v9/EBtGg9hAoVEwhELgL9CtoPgbBSMzBIIY8oGwhEGBwZUhD0gXMVSC&#10;sjHRQIyBFSXPE6MRubwgRj0hNcgxR0gtLeSHsv0AAAAA//8DAFBLAQItABQABgAIAAAAIQARHM+E&#10;PQEAAEADAAATAAAAAAAAAAAAAAAAAAAAAABbQ29udGVudF9UeXBlc10ueG1sUEsBAi0AFAAGAAgA&#10;AAAhADj9If/WAAAAlAEAAAsAAAAAAAAAAAAAAAAAbgEAAF9yZWxzLy5yZWxzUEsBAi0AFAAGAAgA&#10;AAAhAA59MYkKAQAANgIAAA4AAAAAAAAAAAAAAAAAbQIAAGRycy9lMm9Eb2MueG1sUEsBAi0AFAAG&#10;AAgAAAAhAGZ1ca3iAAAAyAEAACAAAAAAAAAAAAAAAAAAowMAAGRycy9jaGFydHMvX3JlbHMvY2hh&#10;cnQxLnhtbC5yZWxzUEsBAi0AFAAGAAgAAAAhAKsWzUa5AAAAIgEAABkAAAAAAAAAAAAAAAAAwwQA&#10;AGRycy9fcmVscy9lMm9Eb2MueG1sLnJlbHNQSwECLQAUAAYACAAAACEARCh8HOAAAAAJAQAADwAA&#10;AAAAAAAAAAAAAACzBQAAZHJzL2Rvd25yZXYueG1sUEsBAi0AFAAGAAgAAAAhAAlSPefmBQAA7RgA&#10;ABwAAAAAAAAAAAAAAAAAwAYAAGRycy90aGVtZS90aGVtZU92ZXJyaWRlMS54bWxQSwECLQAUAAYA&#10;CAAAACEAhaap/JELAACvSgAAFQAAAAAAAAAAAAAAAADgDAAAZHJzL2NoYXJ0cy9jaGFydDEueG1s&#10;UEsBAi0AFAAGAAgAAAAhACbL8sRvAAAAAAYAAB0AAAAAAAAAAAAAAAAApBgAAGRycy9lbWJlZGRp&#10;bmdzL29sZU9iamVjdDEuYmluUEsFBgAAAAAJAAkAYAIAAE4ZAAAAAA==&#10;">
            <v:imagedata r:id="rId17" o:title=""/>
            <o:lock v:ext="edit" aspectratio="f"/>
          </v:shape>
        </w:pict>
      </w:r>
    </w:p>
    <w:p w:rsidR="00061DCC" w:rsidRPr="00211F88" w:rsidRDefault="00061DCC" w:rsidP="00837273">
      <w:pPr>
        <w:pStyle w:val="Caption"/>
        <w:snapToGrid w:val="0"/>
        <w:spacing w:after="0"/>
        <w:rPr>
          <w:rStyle w:val="Heading1Char"/>
          <w:b/>
          <w:bCs/>
          <w:caps w:val="0"/>
          <w:sz w:val="20"/>
          <w:szCs w:val="20"/>
        </w:rPr>
      </w:pPr>
      <w:r w:rsidRPr="00211F88">
        <w:rPr>
          <w:sz w:val="20"/>
          <w:szCs w:val="20"/>
        </w:rPr>
        <w:t>Figure 5</w:t>
      </w:r>
      <w:r w:rsidR="00D31158" w:rsidRPr="00211F88">
        <w:rPr>
          <w:sz w:val="20"/>
          <w:szCs w:val="20"/>
        </w:rPr>
        <w:t>:</w:t>
      </w:r>
      <w:r w:rsidRPr="00211F88">
        <w:rPr>
          <w:sz w:val="20"/>
          <w:szCs w:val="20"/>
        </w:rPr>
        <w:t xml:space="preserve"> MACE in three groups</w:t>
      </w:r>
    </w:p>
    <w:p w:rsidR="00061DCC" w:rsidRPr="00211F88" w:rsidRDefault="00061DCC" w:rsidP="008B5D29">
      <w:pPr>
        <w:snapToGrid w:val="0"/>
        <w:ind w:firstLine="425"/>
        <w:jc w:val="both"/>
      </w:pPr>
    </w:p>
    <w:p w:rsidR="00D31158" w:rsidRPr="00211F88" w:rsidRDefault="00311838" w:rsidP="008B5D29">
      <w:pPr>
        <w:pStyle w:val="Caption"/>
        <w:snapToGrid w:val="0"/>
        <w:spacing w:after="0"/>
        <w:jc w:val="both"/>
        <w:rPr>
          <w:rStyle w:val="Heading1Char"/>
          <w:b/>
          <w:bCs/>
          <w:sz w:val="20"/>
          <w:szCs w:val="20"/>
        </w:rPr>
      </w:pPr>
      <w:r w:rsidRPr="00211F88">
        <w:rPr>
          <w:rStyle w:val="Heading1Char"/>
          <w:b/>
          <w:bCs/>
          <w:caps w:val="0"/>
          <w:sz w:val="20"/>
          <w:szCs w:val="20"/>
        </w:rPr>
        <w:t>4. Discussion</w:t>
      </w:r>
    </w:p>
    <w:p w:rsidR="00D31158" w:rsidRPr="00211F88" w:rsidRDefault="00D31158" w:rsidP="008B5D29">
      <w:pPr>
        <w:snapToGrid w:val="0"/>
        <w:ind w:firstLine="425"/>
        <w:jc w:val="both"/>
      </w:pPr>
      <w:r w:rsidRPr="00211F88">
        <w:t>I</w:t>
      </w:r>
      <w:r w:rsidR="00BD34BF" w:rsidRPr="00211F88">
        <w:t xml:space="preserve">n patients with acute myocardial infarction (MI), glucose metabolism is </w:t>
      </w:r>
      <w:r w:rsidR="00311838" w:rsidRPr="00211F88">
        <w:t>altered and</w:t>
      </w:r>
      <w:r w:rsidR="00BD34BF" w:rsidRPr="00211F88">
        <w:t xml:space="preserve"> acute hyperglycemia on admission is common regardless of diabetes </w:t>
      </w:r>
      <w:r w:rsidR="00311838" w:rsidRPr="00211F88">
        <w:t xml:space="preserve">status. </w:t>
      </w:r>
      <w:r w:rsidR="00BD34BF" w:rsidRPr="00211F88">
        <w:t xml:space="preserve">Among patients without a history of diabetes, admission hyperglycemia (AH) may be resulting from previously undiagnosed diabetes mellitus or glucose intolerance, stress response mediated by cortisol and noradrenaline, or combination of </w:t>
      </w:r>
      <w:r w:rsidR="00311838" w:rsidRPr="00211F88">
        <w:t xml:space="preserve">these. </w:t>
      </w:r>
      <w:r w:rsidR="00BD34BF" w:rsidRPr="00211F88">
        <w:t>Several studies have demonstrated that AH is independently associated with increased mortality after MI, regardless of treatment modality</w:t>
      </w:r>
      <w:r w:rsidRPr="00211F88">
        <w:t>.</w:t>
      </w:r>
      <w:r w:rsidR="00BD34BF" w:rsidRPr="00211F88">
        <w:t xml:space="preserve"> It has also been reported that non diabetic patients with MI and AH have higher rates of heart failure, cardiogenic shock</w:t>
      </w:r>
      <w:r w:rsidR="00061DCC" w:rsidRPr="00211F88">
        <w:t>, ventricular</w:t>
      </w:r>
      <w:r w:rsidR="00BD34BF" w:rsidRPr="00211F88">
        <w:t xml:space="preserve"> tachycardia and re infarction</w:t>
      </w:r>
      <w:r w:rsidRPr="00211F88">
        <w:t>.</w:t>
      </w:r>
      <w:r w:rsidR="00F5779D" w:rsidRPr="00211F88">
        <w:rPr>
          <w:vertAlign w:val="superscript"/>
        </w:rPr>
        <w:t>5</w:t>
      </w:r>
      <w:r w:rsidR="00BD34BF" w:rsidRPr="00211F88">
        <w:t xml:space="preserve"> </w:t>
      </w:r>
      <w:bookmarkStart w:id="1" w:name="_Toc516332423"/>
    </w:p>
    <w:p w:rsidR="00D31158" w:rsidRPr="00211F88" w:rsidRDefault="00D31158" w:rsidP="008B5D29">
      <w:pPr>
        <w:snapToGrid w:val="0"/>
        <w:ind w:firstLine="425"/>
        <w:jc w:val="both"/>
      </w:pPr>
      <w:r w:rsidRPr="00211F88">
        <w:t>T</w:t>
      </w:r>
      <w:r w:rsidR="00BD34BF" w:rsidRPr="00211F88">
        <w:t>he Comparison between three groups as regard dyslipidemia we found that</w:t>
      </w:r>
      <w:r w:rsidRPr="00211F88">
        <w:t xml:space="preserve"> </w:t>
      </w:r>
      <w:r w:rsidR="00BD34BF" w:rsidRPr="00211F88">
        <w:t>in group</w:t>
      </w:r>
      <w:r w:rsidRPr="00211F88">
        <w:t xml:space="preserve"> </w:t>
      </w:r>
      <w:r w:rsidR="00BD34BF" w:rsidRPr="00211F88">
        <w:t>I</w:t>
      </w:r>
      <w:r w:rsidRPr="00211F88">
        <w:t xml:space="preserve"> </w:t>
      </w:r>
      <w:r w:rsidR="00BD34BF" w:rsidRPr="00211F88">
        <w:t>25 patients were dyslipidemic 54.31% -</w:t>
      </w:r>
      <w:r w:rsidRPr="00211F88">
        <w:t xml:space="preserve"> </w:t>
      </w:r>
      <w:r w:rsidR="00BD34BF" w:rsidRPr="00211F88">
        <w:t>in group</w:t>
      </w:r>
      <w:r w:rsidRPr="00211F88">
        <w:t xml:space="preserve"> </w:t>
      </w:r>
      <w:r w:rsidR="00BD34BF" w:rsidRPr="00211F88">
        <w:t>II 18 patients were dyslipidemic 56.25% while in group</w:t>
      </w:r>
      <w:r w:rsidRPr="00211F88">
        <w:t xml:space="preserve"> </w:t>
      </w:r>
      <w:r w:rsidR="00BD34BF" w:rsidRPr="00211F88">
        <w:t>III</w:t>
      </w:r>
      <w:r w:rsidRPr="00211F88">
        <w:t xml:space="preserve"> </w:t>
      </w:r>
      <w:r w:rsidR="00BD34BF" w:rsidRPr="00211F88">
        <w:t>were dyslipidemic 79.16%</w:t>
      </w:r>
      <w:r w:rsidRPr="00211F88">
        <w:t>.</w:t>
      </w:r>
      <w:r w:rsidR="00BD34BF" w:rsidRPr="00211F88">
        <w:t xml:space="preserve"> There was statistically significant diff</w:t>
      </w:r>
      <w:r w:rsidR="00056441" w:rsidRPr="00211F88">
        <w:t>erence between the three groups</w:t>
      </w:r>
      <w:r w:rsidR="00BD34BF" w:rsidRPr="00211F88">
        <w:t xml:space="preserve"> (p value = 0.007</w:t>
      </w:r>
      <w:r w:rsidR="00211F88">
        <w:t>)</w:t>
      </w:r>
      <w:r w:rsidR="002001D5" w:rsidRPr="00211F88">
        <w:t>.</w:t>
      </w:r>
    </w:p>
    <w:p w:rsidR="00D31158" w:rsidRPr="00211F88" w:rsidRDefault="00D31158" w:rsidP="008B5D29">
      <w:pPr>
        <w:snapToGrid w:val="0"/>
        <w:ind w:firstLine="425"/>
        <w:jc w:val="both"/>
        <w:rPr>
          <w:vertAlign w:val="superscript"/>
        </w:rPr>
      </w:pPr>
      <w:r w:rsidRPr="00211F88">
        <w:t>A</w:t>
      </w:r>
      <w:r w:rsidR="00BD34BF" w:rsidRPr="00211F88">
        <w:t xml:space="preserve">nd this </w:t>
      </w:r>
      <w:r w:rsidR="00061DCC" w:rsidRPr="00211F88">
        <w:t>came in</w:t>
      </w:r>
      <w:r w:rsidR="00BD34BF" w:rsidRPr="00211F88">
        <w:t xml:space="preserve"> agreement with study conducted </w:t>
      </w:r>
      <w:r w:rsidR="00061DCC" w:rsidRPr="00211F88">
        <w:t>by Matthew</w:t>
      </w:r>
      <w:r w:rsidR="00BD34BF" w:rsidRPr="00211F88">
        <w:rPr>
          <w:b/>
          <w:bCs/>
        </w:rPr>
        <w:t xml:space="preserve"> I. Worthley et al </w:t>
      </w:r>
      <w:r w:rsidR="00061DCC" w:rsidRPr="00211F88">
        <w:rPr>
          <w:b/>
          <w:bCs/>
        </w:rPr>
        <w:t>2007</w:t>
      </w:r>
      <w:r w:rsidR="00061DCC" w:rsidRPr="00211F88">
        <w:t xml:space="preserve"> in</w:t>
      </w:r>
      <w:r w:rsidR="00BD34BF" w:rsidRPr="00211F88">
        <w:t xml:space="preserve"> this study 980 patients presenting with an ST-segment elevation myocardial infarction and treated exclusively with primary angioplasty were evaluated. Patients were divided into quartiles based on their admission blood glucose level: group 1 (6.6 mmol/L [119 mg/dL]), group 2 (6.7-7.8 mmol/L [120-140 mg/dL]), group 3 (7.9-10.0 mmol/L [141-180 mg/dL], and group 4 (10.1 mmol/L [181 mg/dL].</w:t>
      </w:r>
      <w:r w:rsidRPr="00211F88">
        <w:t xml:space="preserve"> </w:t>
      </w:r>
      <w:r w:rsidR="00BD34BF" w:rsidRPr="00211F88">
        <w:t>(This study show that there was statistical significant between four group 0.01)</w:t>
      </w:r>
      <w:r w:rsidR="0017465B" w:rsidRPr="00211F88">
        <w:rPr>
          <w:vertAlign w:val="superscript"/>
        </w:rPr>
        <w:t>6</w:t>
      </w:r>
    </w:p>
    <w:p w:rsidR="00D31158" w:rsidRPr="00211F88" w:rsidRDefault="00D31158" w:rsidP="008B5D29">
      <w:pPr>
        <w:snapToGrid w:val="0"/>
        <w:ind w:firstLine="425"/>
        <w:jc w:val="both"/>
        <w:rPr>
          <w:vertAlign w:val="superscript"/>
        </w:rPr>
      </w:pPr>
      <w:r w:rsidRPr="00211F88">
        <w:t>T</w:t>
      </w:r>
      <w:r w:rsidR="00BD34BF" w:rsidRPr="00211F88">
        <w:t xml:space="preserve">his came in disagreement with study conducted by </w:t>
      </w:r>
      <w:r w:rsidR="00BD34BF" w:rsidRPr="00211F88">
        <w:rPr>
          <w:b/>
          <w:bCs/>
        </w:rPr>
        <w:t>Jorik R. Timmer et al 2011</w:t>
      </w:r>
      <w:r w:rsidRPr="00211F88">
        <w:t xml:space="preserve"> </w:t>
      </w:r>
      <w:r w:rsidR="00BD34BF" w:rsidRPr="00211F88">
        <w:t>in this study</w:t>
      </w:r>
      <w:r w:rsidRPr="00211F88">
        <w:t xml:space="preserve"> </w:t>
      </w:r>
      <w:r w:rsidR="00BD34BF" w:rsidRPr="00211F88">
        <w:t>460 consecutive patients with STEMI treated with primary PCI were included in this analysis. Hyperglycemia was defined as a glucose 7.8 mmol/l (140 mg/dl)</w:t>
      </w:r>
      <w:r w:rsidRPr="00211F88">
        <w:t xml:space="preserve"> </w:t>
      </w:r>
      <w:r w:rsidR="00BD34BF" w:rsidRPr="00211F88">
        <w:t>so patients divided into two groups group I serum glucose level less than 140mg/dl and group II serum glucose level more than 140mg/dl.</w:t>
      </w:r>
      <w:r w:rsidRPr="00211F88">
        <w:t xml:space="preserve"> </w:t>
      </w:r>
      <w:r w:rsidR="00BD34BF" w:rsidRPr="00211F88">
        <w:t xml:space="preserve">(This study show that there </w:t>
      </w:r>
      <w:r w:rsidR="00BD34BF" w:rsidRPr="00211F88">
        <w:lastRenderedPageBreak/>
        <w:t>was no statistical significant between two groups P value 0.22</w:t>
      </w:r>
      <w:r w:rsidR="00211F88">
        <w:t>)</w:t>
      </w:r>
      <w:r w:rsidR="00211F88">
        <w:rPr>
          <w:rFonts w:eastAsiaTheme="minorEastAsia" w:hint="eastAsia"/>
          <w:lang w:eastAsia="zh-CN"/>
        </w:rPr>
        <w:t xml:space="preserve">. </w:t>
      </w:r>
      <w:r w:rsidR="0017465B" w:rsidRPr="00211F88">
        <w:rPr>
          <w:vertAlign w:val="superscript"/>
        </w:rPr>
        <w:t>7</w:t>
      </w:r>
    </w:p>
    <w:p w:rsidR="00D31158" w:rsidRPr="00211F88" w:rsidRDefault="00D31158" w:rsidP="008B5D29">
      <w:pPr>
        <w:snapToGrid w:val="0"/>
        <w:ind w:firstLine="425"/>
        <w:jc w:val="both"/>
      </w:pPr>
      <w:r w:rsidRPr="00211F88">
        <w:t>D</w:t>
      </w:r>
      <w:r w:rsidR="00BD34BF" w:rsidRPr="00211F88">
        <w:t xml:space="preserve">uring echocardiography we found that </w:t>
      </w:r>
      <w:r w:rsidR="00056441" w:rsidRPr="00211F88">
        <w:t>in group I ejection fraction (EF</w:t>
      </w:r>
      <w:r w:rsidR="00211F88">
        <w:t>)</w:t>
      </w:r>
      <w:r w:rsidR="00BD34BF" w:rsidRPr="00211F88">
        <w:t xml:space="preserve"> ranged from 32%-77% with median 52.26± 12.02, - in group</w:t>
      </w:r>
      <w:r w:rsidRPr="00211F88">
        <w:t xml:space="preserve"> </w:t>
      </w:r>
      <w:r w:rsidR="00BD34BF" w:rsidRPr="00211F88">
        <w:t>II it ranged from 30%-60% with median 46.56 ± 7.255 while in group III it ranged from 29%</w:t>
      </w:r>
      <w:r w:rsidR="00056441" w:rsidRPr="00211F88">
        <w:t>-62% with median 44.194 ±8.13</w:t>
      </w:r>
      <w:r w:rsidR="00837273" w:rsidRPr="00211F88">
        <w:t>. T</w:t>
      </w:r>
      <w:r w:rsidR="00BD34BF" w:rsidRPr="00211F88">
        <w:t>here was statistically significant difference between the three</w:t>
      </w:r>
      <w:r w:rsidRPr="00211F88">
        <w:t xml:space="preserve"> </w:t>
      </w:r>
      <w:r w:rsidR="00BD34BF" w:rsidRPr="00211F88">
        <w:t>groups (P value =0.002) as patient with high blood glucose level more tha</w:t>
      </w:r>
      <w:r w:rsidR="00056441" w:rsidRPr="00211F88">
        <w:t xml:space="preserve">n 131mg/dl </w:t>
      </w:r>
      <w:r w:rsidR="00BD34BF" w:rsidRPr="00211F88">
        <w:t>have more decrease in ejection fraction</w:t>
      </w:r>
      <w:r w:rsidRPr="00211F88">
        <w:t>.</w:t>
      </w:r>
      <w:r w:rsidR="00BD34BF" w:rsidRPr="00211F88">
        <w:t xml:space="preserve"> </w:t>
      </w:r>
    </w:p>
    <w:p w:rsidR="00D31158" w:rsidRPr="00211F88" w:rsidRDefault="00D31158" w:rsidP="008B5D29">
      <w:pPr>
        <w:snapToGrid w:val="0"/>
        <w:ind w:firstLine="425"/>
        <w:jc w:val="both"/>
        <w:rPr>
          <w:vertAlign w:val="superscript"/>
        </w:rPr>
      </w:pPr>
      <w:r w:rsidRPr="00211F88">
        <w:t>A</w:t>
      </w:r>
      <w:r w:rsidR="00056441" w:rsidRPr="00211F88">
        <w:t xml:space="preserve">nd this came </w:t>
      </w:r>
      <w:r w:rsidR="00BD34BF" w:rsidRPr="00211F88">
        <w:t xml:space="preserve">in agreement with study conducted by </w:t>
      </w:r>
      <w:r w:rsidR="00BD34BF" w:rsidRPr="00211F88">
        <w:rPr>
          <w:b/>
          <w:bCs/>
        </w:rPr>
        <w:t>Artur Dziewierz et al</w:t>
      </w:r>
      <w:r w:rsidRPr="00211F88">
        <w:rPr>
          <w:b/>
          <w:bCs/>
        </w:rPr>
        <w:t xml:space="preserve"> </w:t>
      </w:r>
      <w:r w:rsidR="00BD34BF" w:rsidRPr="00211F88">
        <w:t>in this study 607 AMI patients with complete admission glucose data in the Krakow Registry of Acute Coronary Syndromes were identiﬁed and were stratiﬁed according to glucose admission level. patients were divided into three groups based on non-fasting glucose level on admission group I blood glucose level less than 7.8mmol/L</w:t>
      </w:r>
      <w:r w:rsidRPr="00211F88">
        <w:t xml:space="preserve"> </w:t>
      </w:r>
      <w:r w:rsidR="00BD34BF" w:rsidRPr="00211F88">
        <w:t>-</w:t>
      </w:r>
      <w:r w:rsidRPr="00211F88">
        <w:t xml:space="preserve"> </w:t>
      </w:r>
      <w:r w:rsidR="00BD34BF" w:rsidRPr="00211F88">
        <w:t>group II blood glucose level ranged from</w:t>
      </w:r>
      <w:r w:rsidRPr="00211F88">
        <w:t xml:space="preserve"> </w:t>
      </w:r>
      <w:r w:rsidR="00BD34BF" w:rsidRPr="00211F88">
        <w:t>7.8–11 mmol/L</w:t>
      </w:r>
      <w:r w:rsidRPr="00211F88">
        <w:t xml:space="preserve"> </w:t>
      </w:r>
      <w:r w:rsidR="00BD34BF" w:rsidRPr="00211F88">
        <w:t>and group III blood glucose level more than 11mmol/L</w:t>
      </w:r>
      <w:r w:rsidRPr="00211F88">
        <w:t xml:space="preserve"> </w:t>
      </w:r>
      <w:r w:rsidR="00BD34BF" w:rsidRPr="00211F88">
        <w:t>and there was statistically significant difference between the three</w:t>
      </w:r>
      <w:r w:rsidRPr="00211F88">
        <w:t xml:space="preserve"> </w:t>
      </w:r>
      <w:r w:rsidR="00BD34BF" w:rsidRPr="00211F88">
        <w:t xml:space="preserve">groups (P value =0.016). </w:t>
      </w:r>
      <w:r w:rsidR="0017465B" w:rsidRPr="00211F88">
        <w:rPr>
          <w:vertAlign w:val="superscript"/>
        </w:rPr>
        <w:t>8</w:t>
      </w:r>
    </w:p>
    <w:p w:rsidR="00D31158" w:rsidRPr="00211F88" w:rsidRDefault="00D31158" w:rsidP="008B5D29">
      <w:pPr>
        <w:snapToGrid w:val="0"/>
        <w:ind w:firstLine="425"/>
        <w:jc w:val="both"/>
      </w:pPr>
      <w:r w:rsidRPr="00211F88">
        <w:t>T</w:t>
      </w:r>
      <w:r w:rsidR="00BD34BF" w:rsidRPr="00211F88">
        <w:t>his decrease in ejection fraction in patient with hyperglycemia may be due to increase level of myocardium necrosis</w:t>
      </w:r>
      <w:r w:rsidRPr="00211F88">
        <w:t xml:space="preserve"> </w:t>
      </w:r>
      <w:r w:rsidR="00BD34BF" w:rsidRPr="00211F88">
        <w:t>and the lower rate of spontaneous reperfusion and higher rate of “no-reflow” seen with elevated blood glucose levels in acute myocardia</w:t>
      </w:r>
      <w:r w:rsidR="001B3CFA" w:rsidRPr="00211F88">
        <w:t xml:space="preserve">l infarctions due to excessive </w:t>
      </w:r>
      <w:r w:rsidR="00BD34BF" w:rsidRPr="00211F88">
        <w:t>macrovascular and microvascular dysfunction associated with hyperglycemia.</w:t>
      </w:r>
    </w:p>
    <w:p w:rsidR="00D31158" w:rsidRPr="00211F88" w:rsidRDefault="00D31158" w:rsidP="008B5D29">
      <w:pPr>
        <w:snapToGrid w:val="0"/>
        <w:ind w:firstLine="425"/>
        <w:jc w:val="both"/>
      </w:pPr>
      <w:r w:rsidRPr="00211F88">
        <w:t>D</w:t>
      </w:r>
      <w:r w:rsidR="00BD34BF" w:rsidRPr="00211F88">
        <w:t>uring laboratory investigation we found that</w:t>
      </w:r>
      <w:r w:rsidRPr="00211F88">
        <w:t xml:space="preserve"> </w:t>
      </w:r>
      <w:r w:rsidR="00BD34BF" w:rsidRPr="00211F88">
        <w:t>CKMB: in group I CKMB level ranged from 17 – 220 with mean 71.33 ± 48.15,</w:t>
      </w:r>
      <w:r w:rsidRPr="00211F88">
        <w:t xml:space="preserve"> </w:t>
      </w:r>
      <w:r w:rsidR="00BD34BF" w:rsidRPr="00211F88">
        <w:t>in group II</w:t>
      </w:r>
      <w:r w:rsidRPr="00211F88">
        <w:t xml:space="preserve"> </w:t>
      </w:r>
      <w:r w:rsidR="00BD34BF" w:rsidRPr="00211F88">
        <w:t>CKMB level ranged from 15 – 743 with mean 113.97± 132.68 while in group III CKMB level ranged from1-247 with mean of 73.72±5157</w:t>
      </w:r>
      <w:r w:rsidRPr="00211F88">
        <w:t>.</w:t>
      </w:r>
      <w:r w:rsidR="00BD34BF" w:rsidRPr="00211F88">
        <w:t xml:space="preserve"> </w:t>
      </w:r>
      <w:r w:rsidR="00211F88">
        <w:t>(</w:t>
      </w:r>
      <w:r w:rsidR="00BD34BF" w:rsidRPr="00211F88">
        <w:t>There was statistically significant difference between the three</w:t>
      </w:r>
      <w:r w:rsidRPr="00211F88">
        <w:t xml:space="preserve"> </w:t>
      </w:r>
      <w:r w:rsidR="00BD34BF" w:rsidRPr="00211F88">
        <w:t>groups (P value =0.026).</w:t>
      </w:r>
    </w:p>
    <w:p w:rsidR="00D31158" w:rsidRPr="00211F88" w:rsidRDefault="00D31158" w:rsidP="008B5D29">
      <w:pPr>
        <w:snapToGrid w:val="0"/>
        <w:ind w:firstLine="425"/>
        <w:jc w:val="both"/>
        <w:rPr>
          <w:vertAlign w:val="superscript"/>
        </w:rPr>
      </w:pPr>
      <w:r w:rsidRPr="00211F88">
        <w:t>T</w:t>
      </w:r>
      <w:r w:rsidR="00BD34BF" w:rsidRPr="00211F88">
        <w:t xml:space="preserve">his also came in agreement with the study conducted by </w:t>
      </w:r>
      <w:r w:rsidR="001B3CFA" w:rsidRPr="00211F88">
        <w:rPr>
          <w:b/>
          <w:bCs/>
        </w:rPr>
        <w:t xml:space="preserve">Ahmet Ekmekci. et al </w:t>
      </w:r>
      <w:r w:rsidR="00BD34BF" w:rsidRPr="00211F88">
        <w:rPr>
          <w:b/>
          <w:bCs/>
        </w:rPr>
        <w:t>2013</w:t>
      </w:r>
      <w:r w:rsidRPr="00211F88">
        <w:t xml:space="preserve"> </w:t>
      </w:r>
      <w:r w:rsidR="00BD34BF" w:rsidRPr="00211F88">
        <w:t>This study</w:t>
      </w:r>
      <w:r w:rsidRPr="00211F88">
        <w:t xml:space="preserve"> </w:t>
      </w:r>
      <w:r w:rsidR="00BD34BF" w:rsidRPr="00211F88">
        <w:t>aimed to evaluate whether hyperglycemia predicts inhospital mortality. This study was conducted on</w:t>
      </w:r>
      <w:r w:rsidRPr="00211F88">
        <w:t xml:space="preserve"> </w:t>
      </w:r>
      <w:r w:rsidR="00BD34BF" w:rsidRPr="00211F88">
        <w:t>503 patients. The patients were divided into tertiles according to the admission glucose levels. Tertile I: glucose &lt;118 mg/dL (n ¼ 166), tertile II: glucose 118 to 145 mg/dL (n ¼ 168), and tertile III: glucose &gt;145 mg/dL (n ¼ 169)</w:t>
      </w:r>
      <w:r w:rsidR="00116800" w:rsidRPr="00211F88">
        <w:fldChar w:fldCharType="begin" w:fldLock="1"/>
      </w:r>
      <w:r w:rsidR="00BD34BF" w:rsidRPr="00211F88">
        <w:instrText>ADDIN CSL_CITATION {"citationItems":[{"id":"ITEM-1","itemData":{"DOI":"10.1177/0003319713488930","author":[{"dropping-particle":"","family":"Ekmekçi","given":"Ahmet","non-dropping-particle":"","parse-names":false,"suffix":""},{"dropping-particle":"","family":"Cicek","given":"Gokhan","non-dropping-particle":"","parse-names":false,"suffix":""},{"dropping-particle":"","family":"Uluganyan","given":"Mahmut","non-dropping-particle":"","parse-names":false,"suffix":""},{"dropping-particle":"","family":"Gungor","given":"Baris","non-dropping-particle":"","parse-names":false,"suffix":""},{"dropping-particle":"","family":"Osman","given":"Faizel","non-dropping-particle":"","parse-names":false,"suffix":""},{"dropping-particle":"","family":"Serhan Ozcan","given":"Kazim","non-dropping-particle":"","parse-names":false,"suffix":""},{"dropping-particle":"","family":"Bozbay","given":"Mehmet","non-dropping-particle":"","parse-names":false,"suffix":""},{"dropping-particle":"","family":"Ertas","given":"Gokhan","non-dropping-particle":"","parse-names":false,"suffix":""},{"dropping-particle":"","family":"Zencirci","given":"Aycan","non-dropping-particle":"","parse-names":false,"suffix":""},{"dropping-particle":"","family":"Sayar","given":"Nurten","non-dropping-particle":"","parse-names":false,"suffix":""},{"dropping-particle":"","family":"Eren","given":"Mehmet","non-dropping-particle":"","parse-names":false,"suffix":""}],"container-title":"Angiology","id":"ITEM-1","issued":{"date-parts":[["2013","5","8"]]},"title":"Admission Hyperglycemia Predicts Inhospital Mortality and Major Adverse Cardiac Events After Primary Percutaneous Coronary Intervention in Patients Without Diabetes mellitus","type":"book","volume":"65"},"uris":["http://www.mendeley.com/documents/?uuid=55424757-236f-4d08-9f99-3269beb23341"]}],"mendeley":{"formattedCitation":"&lt;sup&gt;138&lt;/sup&gt;","plainTextFormattedCitation":"138","previouslyFormattedCitation":"&lt;sup&gt;138&lt;/sup&gt;"},"properties":{"noteIndex":0},"schema":"https://github.com/citation-style-language/schema/raw/master/csl-citation.json"}</w:instrText>
      </w:r>
      <w:r w:rsidR="00116800" w:rsidRPr="00211F88">
        <w:fldChar w:fldCharType="end"/>
      </w:r>
      <w:r w:rsidRPr="00211F88">
        <w:t>.</w:t>
      </w:r>
      <w:r w:rsidR="001B3CFA" w:rsidRPr="00211F88">
        <w:t xml:space="preserve"> There were </w:t>
      </w:r>
      <w:r w:rsidR="00BD34BF" w:rsidRPr="00211F88">
        <w:t>statistically</w:t>
      </w:r>
      <w:r w:rsidR="001B3CFA" w:rsidRPr="00211F88">
        <w:t xml:space="preserve"> signiﬁcant differences as CKMB</w:t>
      </w:r>
      <w:r w:rsidR="00BD34BF" w:rsidRPr="00211F88">
        <w:t xml:space="preserve"> level data between three group</w:t>
      </w:r>
      <w:r w:rsidRPr="00211F88">
        <w:t xml:space="preserve">s </w:t>
      </w:r>
      <w:r w:rsidR="00211F88">
        <w:t>(</w:t>
      </w:r>
      <w:r w:rsidR="00BD34BF" w:rsidRPr="00211F88">
        <w:t>P value 0.05)</w:t>
      </w:r>
      <w:r w:rsidRPr="00211F88">
        <w:t>.</w:t>
      </w:r>
      <w:r w:rsidR="0017465B" w:rsidRPr="00211F88">
        <w:rPr>
          <w:vertAlign w:val="superscript"/>
        </w:rPr>
        <w:t>9</w:t>
      </w:r>
    </w:p>
    <w:p w:rsidR="00837273" w:rsidRPr="00211F88" w:rsidRDefault="00D31158" w:rsidP="008B5D29">
      <w:pPr>
        <w:snapToGrid w:val="0"/>
        <w:ind w:firstLine="425"/>
        <w:jc w:val="both"/>
      </w:pPr>
      <w:r w:rsidRPr="00211F88">
        <w:t>C</w:t>
      </w:r>
      <w:r w:rsidR="00BD34BF" w:rsidRPr="00211F88">
        <w:t>KMB level is high in group III</w:t>
      </w:r>
      <w:r w:rsidRPr="00211F88">
        <w:t xml:space="preserve"> </w:t>
      </w:r>
      <w:r w:rsidR="00BD34BF" w:rsidRPr="00211F88">
        <w:t>that has high blood glucose level</w:t>
      </w:r>
      <w:r w:rsidRPr="00211F88">
        <w:t xml:space="preserve"> </w:t>
      </w:r>
      <w:r w:rsidR="00BD34BF" w:rsidRPr="00211F88">
        <w:t>as hyperglycemia is associated with more damage to myocardium so level of CKMB elevate</w:t>
      </w:r>
      <w:r w:rsidR="00837273" w:rsidRPr="00211F88">
        <w:t>d.</w:t>
      </w:r>
    </w:p>
    <w:p w:rsidR="00BD34BF" w:rsidRPr="00211F88" w:rsidRDefault="00D31158" w:rsidP="008B5D29">
      <w:pPr>
        <w:snapToGrid w:val="0"/>
        <w:ind w:firstLine="425"/>
        <w:jc w:val="both"/>
      </w:pPr>
      <w:r w:rsidRPr="00211F88">
        <w:t>A</w:t>
      </w:r>
      <w:r w:rsidR="00BD34BF" w:rsidRPr="00211F88">
        <w:t xml:space="preserve">fter </w:t>
      </w:r>
      <w:r w:rsidR="00211F88" w:rsidRPr="00211F88">
        <w:t>comparison</w:t>
      </w:r>
      <w:r w:rsidR="00BD34BF" w:rsidRPr="00211F88">
        <w:t xml:space="preserve"> angio</w:t>
      </w:r>
      <w:r w:rsidR="001B3CFA" w:rsidRPr="00211F88">
        <w:t>graphic result in our study we found that</w:t>
      </w:r>
      <w:r w:rsidR="00BD34BF" w:rsidRPr="00211F88">
        <w:t xml:space="preserve"> In group I one patient had TIMI flow 0 (2.2%) - three pat</w:t>
      </w:r>
      <w:r w:rsidR="001B3CFA" w:rsidRPr="00211F88">
        <w:t xml:space="preserve">ients had TIMI I (6.5%) – five </w:t>
      </w:r>
      <w:r w:rsidR="00BD34BF" w:rsidRPr="00211F88">
        <w:lastRenderedPageBreak/>
        <w:t>patients had TIMI II (10.9%)-37</w:t>
      </w:r>
      <w:r w:rsidRPr="00211F88">
        <w:t xml:space="preserve"> </w:t>
      </w:r>
      <w:r w:rsidR="00BD34BF" w:rsidRPr="00211F88">
        <w:t>patients had TIMI III (80.4%).</w:t>
      </w:r>
    </w:p>
    <w:p w:rsidR="00D31158" w:rsidRPr="00211F88" w:rsidRDefault="00BD34BF" w:rsidP="008B5D29">
      <w:pPr>
        <w:snapToGrid w:val="0"/>
        <w:ind w:firstLine="425"/>
        <w:jc w:val="both"/>
      </w:pPr>
      <w:r w:rsidRPr="00211F88">
        <w:t>In group</w:t>
      </w:r>
      <w:r w:rsidR="00D31158" w:rsidRPr="00211F88">
        <w:t xml:space="preserve"> </w:t>
      </w:r>
      <w:r w:rsidRPr="00211F88">
        <w:t xml:space="preserve">II: no patient had TIMI 0 flow- five patients had TIMI I flow (15%) – five patients had TIMI II (16%) while 22 patients had TIMI III flow </w:t>
      </w:r>
      <w:r w:rsidR="00211F88">
        <w:t>(</w:t>
      </w:r>
      <w:r w:rsidRPr="00211F88">
        <w:t>69%)</w:t>
      </w:r>
      <w:r w:rsidR="00D31158" w:rsidRPr="00211F88">
        <w:t>.</w:t>
      </w:r>
      <w:r w:rsidRPr="00211F88">
        <w:t xml:space="preserve"> In group</w:t>
      </w:r>
      <w:r w:rsidR="00D31158" w:rsidRPr="00211F88">
        <w:t xml:space="preserve"> </w:t>
      </w:r>
      <w:r w:rsidRPr="00211F88">
        <w:t>III</w:t>
      </w:r>
      <w:r w:rsidR="00D31158" w:rsidRPr="00211F88">
        <w:t>:</w:t>
      </w:r>
      <w:r w:rsidRPr="00211F88">
        <w:t xml:space="preserve"> three patients had TIMI</w:t>
      </w:r>
      <w:r w:rsidR="00D31158" w:rsidRPr="00211F88">
        <w:t xml:space="preserve"> </w:t>
      </w:r>
      <w:r w:rsidRPr="00211F88">
        <w:t>flow (4%) – 12 patients had TIMI I flow (17%) -37 patients had TIMI II (51%) while 20 patients had TIMI III (28%). There was statistically significant difference between the</w:t>
      </w:r>
      <w:r w:rsidR="00061DCC" w:rsidRPr="00211F88">
        <w:t xml:space="preserve"> three groups</w:t>
      </w:r>
      <w:r w:rsidR="00D31158" w:rsidRPr="00211F88">
        <w:t xml:space="preserve"> </w:t>
      </w:r>
      <w:r w:rsidR="00061DCC" w:rsidRPr="00211F88">
        <w:t>(p value = 0.001</w:t>
      </w:r>
      <w:r w:rsidRPr="00211F88">
        <w:t>)</w:t>
      </w:r>
      <w:r w:rsidR="002001D5" w:rsidRPr="00211F88">
        <w:t xml:space="preserve"> .</w:t>
      </w:r>
      <w:r w:rsidRPr="00211F88">
        <w:t xml:space="preserve"> </w:t>
      </w:r>
    </w:p>
    <w:p w:rsidR="00D31158" w:rsidRPr="00211F88" w:rsidRDefault="00D31158" w:rsidP="008B5D29">
      <w:pPr>
        <w:snapToGrid w:val="0"/>
        <w:ind w:firstLine="425"/>
        <w:jc w:val="both"/>
        <w:rPr>
          <w:vertAlign w:val="superscript"/>
        </w:rPr>
      </w:pPr>
      <w:r w:rsidRPr="00211F88">
        <w:t>T</w:t>
      </w:r>
      <w:r w:rsidR="00BD34BF" w:rsidRPr="00211F88">
        <w:t xml:space="preserve">his came in agreement with study conducted by </w:t>
      </w:r>
      <w:r w:rsidR="00BD34BF" w:rsidRPr="00211F88">
        <w:rPr>
          <w:b/>
          <w:bCs/>
        </w:rPr>
        <w:t>Pei-Chi Chen1 et al</w:t>
      </w:r>
      <w:r w:rsidRPr="00211F88">
        <w:rPr>
          <w:b/>
          <w:bCs/>
        </w:rPr>
        <w:t xml:space="preserve"> </w:t>
      </w:r>
      <w:r w:rsidR="00BD34BF" w:rsidRPr="00211F88">
        <w:rPr>
          <w:b/>
          <w:bCs/>
        </w:rPr>
        <w:t>2014</w:t>
      </w:r>
      <w:r w:rsidR="00BD34BF" w:rsidRPr="00211F88">
        <w:t xml:space="preserve"> in this study</w:t>
      </w:r>
      <w:r w:rsidRPr="00211F88">
        <w:t xml:space="preserve"> </w:t>
      </w:r>
      <w:r w:rsidR="00BD34BF" w:rsidRPr="00211F88">
        <w:t>959 consecutive STEMI patients undergoing primary PCI were divided into five groups based on admission glucose levels of &lt;100, 100–139, 140– 189, 190–249 and ≥250 mg/dL. Their short- and long-term outcomes were compared. In this study there was</w:t>
      </w:r>
      <w:r w:rsidRPr="00211F88">
        <w:t xml:space="preserve"> </w:t>
      </w:r>
      <w:r w:rsidR="00BD34BF" w:rsidRPr="00211F88">
        <w:t>statistical significant difference between five groups according to TIMI flow</w:t>
      </w:r>
      <w:r w:rsidRPr="00211F88">
        <w:t xml:space="preserve"> </w:t>
      </w:r>
      <w:r w:rsidR="00BD34BF" w:rsidRPr="00211F88">
        <w:t>after primary PCI</w:t>
      </w:r>
      <w:r w:rsidRPr="00211F88">
        <w:t xml:space="preserve"> </w:t>
      </w:r>
      <w:r w:rsidR="00211F88">
        <w:t>(</w:t>
      </w:r>
      <w:r w:rsidR="00BD34BF" w:rsidRPr="00211F88">
        <w:t>P value 0.001)</w:t>
      </w:r>
      <w:r w:rsidR="0017465B" w:rsidRPr="00211F88">
        <w:rPr>
          <w:vertAlign w:val="superscript"/>
        </w:rPr>
        <w:t>10</w:t>
      </w:r>
    </w:p>
    <w:p w:rsidR="00D31158" w:rsidRPr="00211F88" w:rsidRDefault="00D31158" w:rsidP="008B5D29">
      <w:pPr>
        <w:snapToGrid w:val="0"/>
        <w:ind w:firstLine="425"/>
        <w:jc w:val="both"/>
        <w:rPr>
          <w:vertAlign w:val="superscript"/>
        </w:rPr>
      </w:pPr>
      <w:r w:rsidRPr="00211F88">
        <w:t>T</w:t>
      </w:r>
      <w:r w:rsidR="00BD34BF" w:rsidRPr="00211F88">
        <w:t xml:space="preserve">his also came in agreement with study conducted by </w:t>
      </w:r>
      <w:r w:rsidR="00BD34BF" w:rsidRPr="00211F88">
        <w:rPr>
          <w:b/>
          <w:bCs/>
        </w:rPr>
        <w:t>Ahmet Ekmekci et al 2013</w:t>
      </w:r>
      <w:r w:rsidR="00BD34BF" w:rsidRPr="00211F88">
        <w:t xml:space="preserve"> in this study 503</w:t>
      </w:r>
      <w:r w:rsidRPr="00211F88">
        <w:t xml:space="preserve"> </w:t>
      </w:r>
      <w:r w:rsidR="00BD34BF" w:rsidRPr="00211F88">
        <w:t>were divided into tertiles according to the admission glucose levels. Tertile I: glucose &lt;118 mg/dL (n ¼ 166), tertile II: glucose 118 to 145 mg/dL (n ¼ 168), and tertile III: glucose &gt;145 mg/dL (n ¼ 169). Admission hyperglycemia is associated with high inhospital and long-term adverse events in patients that undergo primary percutaneous coronary intervention (PCI). post-PCI TIMI grade &lt;3, were higher in tertile III compared with tertile I and II</w:t>
      </w:r>
      <w:r w:rsidRPr="00211F88">
        <w:t xml:space="preserve"> </w:t>
      </w:r>
      <w:r w:rsidR="00BD34BF" w:rsidRPr="00211F88">
        <w:t>In this study there was</w:t>
      </w:r>
      <w:r w:rsidRPr="00211F88">
        <w:t xml:space="preserve"> </w:t>
      </w:r>
      <w:r w:rsidR="00BD34BF" w:rsidRPr="00211F88">
        <w:t>statistical significant difference between three groups according to TIMI flow</w:t>
      </w:r>
      <w:r w:rsidRPr="00211F88">
        <w:t xml:space="preserve"> </w:t>
      </w:r>
      <w:r w:rsidR="00BD34BF" w:rsidRPr="00211F88">
        <w:t>after primary PCI</w:t>
      </w:r>
      <w:r w:rsidRPr="00211F88">
        <w:t xml:space="preserve"> </w:t>
      </w:r>
      <w:r w:rsidR="00211F88">
        <w:t>(</w:t>
      </w:r>
      <w:r w:rsidR="00BD34BF" w:rsidRPr="00211F88">
        <w:t>P value 0.01)</w:t>
      </w:r>
      <w:r w:rsidR="0017465B" w:rsidRPr="00211F88">
        <w:rPr>
          <w:vertAlign w:val="superscript"/>
        </w:rPr>
        <w:t xml:space="preserve"> 9</w:t>
      </w:r>
    </w:p>
    <w:p w:rsidR="00BD34BF" w:rsidRPr="00211F88" w:rsidRDefault="00D31158" w:rsidP="008B5D29">
      <w:pPr>
        <w:snapToGrid w:val="0"/>
        <w:ind w:firstLine="425"/>
        <w:jc w:val="both"/>
      </w:pPr>
      <w:r w:rsidRPr="00211F88">
        <w:t>I</w:t>
      </w:r>
      <w:r w:rsidR="00BD34BF" w:rsidRPr="00211F88">
        <w:t>t is due to</w:t>
      </w:r>
      <w:r w:rsidRPr="00211F88">
        <w:t xml:space="preserve">: </w:t>
      </w:r>
      <w:r w:rsidR="00BD34BF" w:rsidRPr="00211F88">
        <w:t>macrovascular and microvascular dysfunction seen in hyperglycemia is possibly mediated by nitric oxide-mediated endothelial</w:t>
      </w:r>
      <w:r w:rsidRPr="00211F88">
        <w:t xml:space="preserve"> </w:t>
      </w:r>
      <w:r w:rsidR="00BD34BF" w:rsidRPr="00211F88">
        <w:t>and platelet effect</w:t>
      </w:r>
      <w:r w:rsidRPr="00211F88">
        <w:t xml:space="preserve"> </w:t>
      </w:r>
      <w:r w:rsidR="00BD34BF" w:rsidRPr="00211F88">
        <w:t>and may account in part for the lower rate of spontaneous reperfusion and higher rate of “no-reflow” seen with elevated blood glucose levels in acute myocardial infarctions.</w:t>
      </w:r>
    </w:p>
    <w:p w:rsidR="00D31158" w:rsidRPr="00211F88" w:rsidRDefault="00BD34BF" w:rsidP="008B5D29">
      <w:pPr>
        <w:snapToGrid w:val="0"/>
        <w:ind w:firstLine="425"/>
        <w:jc w:val="both"/>
      </w:pPr>
      <w:r w:rsidRPr="00211F88">
        <w:t>Patients with higher admission glucose levels tended to have greater incidence of multivessel disease large infarcted area and have signiﬁcantly lower rates of initial success of primary PCI and poorer post-PCI TIMI ﬂow grades</w:t>
      </w:r>
      <w:r w:rsidR="00D31158" w:rsidRPr="00211F88">
        <w:t>.</w:t>
      </w:r>
    </w:p>
    <w:p w:rsidR="00D31158" w:rsidRPr="00211F88" w:rsidRDefault="00D31158" w:rsidP="008B5D29">
      <w:pPr>
        <w:snapToGrid w:val="0"/>
        <w:ind w:firstLine="425"/>
        <w:jc w:val="both"/>
      </w:pPr>
      <w:r w:rsidRPr="00211F88">
        <w:t>D</w:t>
      </w:r>
      <w:r w:rsidR="00BD34BF" w:rsidRPr="00211F88">
        <w:t>uring hospital admission we found that periprocedural death</w:t>
      </w:r>
      <w:r w:rsidRPr="00211F88">
        <w:t xml:space="preserve"> </w:t>
      </w:r>
      <w:r w:rsidR="00BD34BF" w:rsidRPr="00211F88">
        <w:t>in group</w:t>
      </w:r>
      <w:r w:rsidRPr="00211F88">
        <w:t xml:space="preserve"> </w:t>
      </w:r>
      <w:r w:rsidR="00BD34BF" w:rsidRPr="00211F88">
        <w:t>I no patient had periprocedural death - in group</w:t>
      </w:r>
      <w:r w:rsidRPr="00211F88">
        <w:t xml:space="preserve"> </w:t>
      </w:r>
      <w:r w:rsidR="00BD34BF" w:rsidRPr="00211F88">
        <w:t>II one patients had periprocedural death (3.1%). -in group</w:t>
      </w:r>
      <w:r w:rsidRPr="00211F88">
        <w:t xml:space="preserve"> </w:t>
      </w:r>
      <w:r w:rsidR="00BD34BF" w:rsidRPr="00211F88">
        <w:t>III sex patients had</w:t>
      </w:r>
      <w:r w:rsidRPr="00211F88">
        <w:t xml:space="preserve"> </w:t>
      </w:r>
      <w:r w:rsidR="00BD34BF" w:rsidRPr="00211F88">
        <w:t>periproceduarl death (9.7 %). There was statistically significant difference between the three</w:t>
      </w:r>
      <w:r w:rsidRPr="00211F88">
        <w:t xml:space="preserve"> </w:t>
      </w:r>
      <w:r w:rsidR="00BD34BF" w:rsidRPr="00211F88">
        <w:t>groups (P value =0.04</w:t>
      </w:r>
      <w:r w:rsidR="00211F88">
        <w:t>)</w:t>
      </w:r>
      <w:r w:rsidR="00BD34BF" w:rsidRPr="00211F88">
        <w:t>.</w:t>
      </w:r>
    </w:p>
    <w:p w:rsidR="00D31158" w:rsidRPr="00211F88" w:rsidRDefault="00D31158" w:rsidP="008B5D29">
      <w:pPr>
        <w:snapToGrid w:val="0"/>
        <w:ind w:firstLine="425"/>
        <w:jc w:val="both"/>
        <w:rPr>
          <w:vertAlign w:val="superscript"/>
        </w:rPr>
      </w:pPr>
      <w:r w:rsidRPr="00211F88">
        <w:t>T</w:t>
      </w:r>
      <w:r w:rsidR="00BD34BF" w:rsidRPr="00211F88">
        <w:t xml:space="preserve">his came in agreement with study conducted by </w:t>
      </w:r>
      <w:r w:rsidR="00BD34BF" w:rsidRPr="00211F88">
        <w:rPr>
          <w:b/>
          <w:bCs/>
        </w:rPr>
        <w:t>Pei-Chi Chen1 et al 2014</w:t>
      </w:r>
      <w:r w:rsidRPr="00211F88">
        <w:t xml:space="preserve"> </w:t>
      </w:r>
      <w:r w:rsidR="00BD34BF" w:rsidRPr="00211F88">
        <w:t>in this study</w:t>
      </w:r>
      <w:r w:rsidRPr="00211F88">
        <w:t xml:space="preserve"> </w:t>
      </w:r>
      <w:r w:rsidR="00BD34BF" w:rsidRPr="00211F88">
        <w:t xml:space="preserve">959 consecutive STEMI patients undergoing primary PCI were divided into five groups based on admission </w:t>
      </w:r>
      <w:r w:rsidR="00BD34BF" w:rsidRPr="00211F88">
        <w:lastRenderedPageBreak/>
        <w:t>glucose levels of &lt;100, 100–139, 140– 189, 190–249 and ≥250 mg/dL. Their short- and long-term outcomes were compared.</w:t>
      </w:r>
      <w:r w:rsidR="00056441" w:rsidRPr="00211F88">
        <w:t xml:space="preserve"> </w:t>
      </w:r>
      <w:r w:rsidR="00BD34BF" w:rsidRPr="00211F88">
        <w:t>they found that periprocedural death was more in patient with RBS more than 250 mg/dl</w:t>
      </w:r>
      <w:r w:rsidRPr="00211F88">
        <w:t>.</w:t>
      </w:r>
      <w:r w:rsidR="00BD34BF" w:rsidRPr="00211F88">
        <w:t xml:space="preserve"> There was statistically significa</w:t>
      </w:r>
      <w:r w:rsidR="001B3CFA" w:rsidRPr="00211F88">
        <w:t xml:space="preserve">nt difference between the five </w:t>
      </w:r>
      <w:r w:rsidR="00BD34BF" w:rsidRPr="00211F88">
        <w:t>groups (P value =0.001</w:t>
      </w:r>
      <w:r w:rsidR="00211F88">
        <w:t>)</w:t>
      </w:r>
      <w:r w:rsidR="00BD34BF" w:rsidRPr="00211F88">
        <w:t>.</w:t>
      </w:r>
      <w:r w:rsidR="0017465B" w:rsidRPr="00211F88">
        <w:rPr>
          <w:vertAlign w:val="superscript"/>
        </w:rPr>
        <w:t xml:space="preserve"> 10</w:t>
      </w:r>
    </w:p>
    <w:p w:rsidR="00D31158" w:rsidRPr="00211F88" w:rsidRDefault="00D31158" w:rsidP="008B5D29">
      <w:pPr>
        <w:snapToGrid w:val="0"/>
        <w:ind w:firstLine="425"/>
        <w:jc w:val="both"/>
        <w:rPr>
          <w:vertAlign w:val="superscript"/>
        </w:rPr>
      </w:pPr>
      <w:r w:rsidRPr="00211F88">
        <w:t>T</w:t>
      </w:r>
      <w:r w:rsidR="00BD34BF" w:rsidRPr="00211F88">
        <w:t>his</w:t>
      </w:r>
      <w:r w:rsidRPr="00211F88">
        <w:t xml:space="preserve"> </w:t>
      </w:r>
      <w:r w:rsidR="00BD34BF" w:rsidRPr="00211F88">
        <w:t xml:space="preserve">also came in agreement with study conducted by </w:t>
      </w:r>
      <w:r w:rsidR="00BD34BF" w:rsidRPr="00211F88">
        <w:rPr>
          <w:b/>
          <w:bCs/>
        </w:rPr>
        <w:t>Tamer M. Moustafa</w:t>
      </w:r>
      <w:r w:rsidRPr="00211F88">
        <w:rPr>
          <w:b/>
          <w:bCs/>
        </w:rPr>
        <w:t xml:space="preserve"> </w:t>
      </w:r>
      <w:r w:rsidR="00BD34BF" w:rsidRPr="00211F88">
        <w:rPr>
          <w:b/>
          <w:bCs/>
        </w:rPr>
        <w:t>2017</w:t>
      </w:r>
      <w:r w:rsidR="00BD34BF" w:rsidRPr="00211F88">
        <w:t xml:space="preserve"> in this study 250</w:t>
      </w:r>
      <w:r w:rsidRPr="00211F88">
        <w:t xml:space="preserve"> </w:t>
      </w:r>
      <w:r w:rsidR="00BD34BF" w:rsidRPr="00211F88">
        <w:t>patients were included without known diabetes mellitus admitted with STEMI. Both glucose and HbA1c were measured on admission. All included patients had hemoglobin A (1c) less than 6.5%. In-hospital and 3 months' major cardiac events MACE (mortality, heart failure, arrhythmias, cardiogenic shock and recurrent ischemia) were documented. They were classified into two groups according to the admission mean glucose level (group A with glucose level ≥ 160 ± 52 mg/dl and group B included those glucose level b 160 ± 52 mg/dl). There was</w:t>
      </w:r>
      <w:r w:rsidRPr="00211F88">
        <w:t xml:space="preserve"> </w:t>
      </w:r>
      <w:r w:rsidR="00BD34BF" w:rsidRPr="00211F88">
        <w:t>statistically significant difference between two</w:t>
      </w:r>
      <w:r w:rsidRPr="00211F88">
        <w:t xml:space="preserve"> </w:t>
      </w:r>
      <w:r w:rsidR="00BD34BF" w:rsidRPr="00211F88">
        <w:t>groups (P value =0.01</w:t>
      </w:r>
      <w:r w:rsidR="00211F88">
        <w:t>)</w:t>
      </w:r>
      <w:r w:rsidR="00BD34BF" w:rsidRPr="00211F88">
        <w:t>.</w:t>
      </w:r>
      <w:r w:rsidR="0017465B" w:rsidRPr="00211F88">
        <w:t xml:space="preserve"> </w:t>
      </w:r>
      <w:r w:rsidR="0017465B" w:rsidRPr="00211F88">
        <w:rPr>
          <w:vertAlign w:val="superscript"/>
        </w:rPr>
        <w:t>11</w:t>
      </w:r>
    </w:p>
    <w:p w:rsidR="00D31158" w:rsidRPr="00211F88" w:rsidRDefault="00D31158" w:rsidP="008B5D29">
      <w:pPr>
        <w:snapToGrid w:val="0"/>
        <w:ind w:firstLine="425"/>
        <w:jc w:val="both"/>
      </w:pPr>
      <w:r w:rsidRPr="00211F88">
        <w:t>H</w:t>
      </w:r>
      <w:r w:rsidR="00BD34BF" w:rsidRPr="00211F88">
        <w:t>yperglycemia has been associated with a larger infarct size, worse left ventricular function</w:t>
      </w:r>
      <w:r w:rsidRPr="00211F88">
        <w:t>,</w:t>
      </w:r>
      <w:r w:rsidR="00BD34BF" w:rsidRPr="00211F88">
        <w:t xml:space="preserve"> and increases in serum biomarkers of inflammation</w:t>
      </w:r>
      <w:r w:rsidRPr="00211F88">
        <w:t xml:space="preserve"> </w:t>
      </w:r>
      <w:r w:rsidR="00BD34BF" w:rsidRPr="00211F88">
        <w:t>each of which may promote the development of secondary cardiac arrhythmias mostly ventricular tachycardia In addition recurrent anginal attacks, cardiogenic shock</w:t>
      </w:r>
      <w:r w:rsidRPr="00211F88">
        <w:t xml:space="preserve"> </w:t>
      </w:r>
      <w:r w:rsidR="00BD34BF" w:rsidRPr="00211F88">
        <w:t>also contrast induced nephropathy and</w:t>
      </w:r>
      <w:r w:rsidRPr="00211F88">
        <w:t xml:space="preserve"> </w:t>
      </w:r>
      <w:r w:rsidR="00BD34BF" w:rsidRPr="00211F88">
        <w:t>higher rate of “no-reflow”</w:t>
      </w:r>
      <w:r w:rsidRPr="00211F88">
        <w:t xml:space="preserve"> </w:t>
      </w:r>
      <w:r w:rsidR="00BD34BF" w:rsidRPr="00211F88">
        <w:t>seen with elevated blood glucose levels in acute myocardial infarctions.</w:t>
      </w:r>
    </w:p>
    <w:p w:rsidR="00D31158" w:rsidRPr="00211F88" w:rsidRDefault="00D31158" w:rsidP="008B5D29">
      <w:pPr>
        <w:snapToGrid w:val="0"/>
        <w:ind w:firstLine="425"/>
        <w:jc w:val="both"/>
      </w:pPr>
      <w:r w:rsidRPr="00211F88">
        <w:t>A</w:t>
      </w:r>
      <w:r w:rsidR="00BD34BF" w:rsidRPr="00211F88">
        <w:t>lso in our study we found that</w:t>
      </w:r>
      <w:r w:rsidRPr="00211F88">
        <w:t xml:space="preserve"> </w:t>
      </w:r>
      <w:r w:rsidR="00BD34BF" w:rsidRPr="00211F88">
        <w:t>two</w:t>
      </w:r>
      <w:r w:rsidRPr="00211F88">
        <w:t xml:space="preserve"> </w:t>
      </w:r>
      <w:r w:rsidR="00BD34BF" w:rsidRPr="00211F88">
        <w:t>patients in group I</w:t>
      </w:r>
      <w:r w:rsidRPr="00211F88">
        <w:t xml:space="preserve"> </w:t>
      </w:r>
      <w:r w:rsidR="00BD34BF" w:rsidRPr="00211F88">
        <w:t>had cardiogenic shock 4.3% -in group</w:t>
      </w:r>
      <w:r w:rsidRPr="00211F88">
        <w:t xml:space="preserve"> </w:t>
      </w:r>
      <w:r w:rsidR="00BD34BF" w:rsidRPr="00211F88">
        <w:t>II five patients had cardiogenic shock 15.6 % while in group</w:t>
      </w:r>
      <w:r w:rsidRPr="00211F88">
        <w:t xml:space="preserve"> </w:t>
      </w:r>
      <w:r w:rsidR="00BD34BF" w:rsidRPr="00211F88">
        <w:t>III 15</w:t>
      </w:r>
      <w:r w:rsidRPr="00211F88">
        <w:t xml:space="preserve"> </w:t>
      </w:r>
      <w:r w:rsidR="00BD34BF" w:rsidRPr="00211F88">
        <w:t>patients had cardiogenic shock 20.8%</w:t>
      </w:r>
      <w:r w:rsidR="00837273" w:rsidRPr="00211F88">
        <w:t>. T</w:t>
      </w:r>
      <w:r w:rsidR="00BD34BF" w:rsidRPr="00211F88">
        <w:t>here was</w:t>
      </w:r>
      <w:r w:rsidRPr="00211F88">
        <w:t xml:space="preserve"> </w:t>
      </w:r>
      <w:r w:rsidR="00BD34BF" w:rsidRPr="00211F88">
        <w:t>statistically significant difference between the three groups</w:t>
      </w:r>
      <w:r w:rsidRPr="00211F88">
        <w:t xml:space="preserve"> </w:t>
      </w:r>
      <w:r w:rsidR="00BD34BF" w:rsidRPr="00211F88">
        <w:t>(p</w:t>
      </w:r>
      <w:r w:rsidRPr="00211F88">
        <w:t xml:space="preserve"> </w:t>
      </w:r>
      <w:r w:rsidR="00BD34BF" w:rsidRPr="00211F88">
        <w:t>value</w:t>
      </w:r>
      <w:r w:rsidRPr="00211F88">
        <w:t>.</w:t>
      </w:r>
      <w:r w:rsidR="00BD34BF" w:rsidRPr="00211F88">
        <w:t>04</w:t>
      </w:r>
      <w:r w:rsidR="00211F88">
        <w:t>)</w:t>
      </w:r>
      <w:r w:rsidR="002001D5" w:rsidRPr="00211F88">
        <w:t>.</w:t>
      </w:r>
    </w:p>
    <w:p w:rsidR="00D31158" w:rsidRPr="00211F88" w:rsidRDefault="00D31158" w:rsidP="008B5D29">
      <w:pPr>
        <w:snapToGrid w:val="0"/>
        <w:ind w:firstLine="425"/>
        <w:jc w:val="both"/>
        <w:rPr>
          <w:vertAlign w:val="superscript"/>
        </w:rPr>
      </w:pPr>
      <w:r w:rsidRPr="00211F88">
        <w:t>T</w:t>
      </w:r>
      <w:r w:rsidR="00BD34BF" w:rsidRPr="00211F88">
        <w:t>his came in agreement with study conducted by</w:t>
      </w:r>
      <w:r w:rsidRPr="00211F88">
        <w:t xml:space="preserve"> </w:t>
      </w:r>
      <w:r w:rsidR="00BD34BF" w:rsidRPr="00211F88">
        <w:rPr>
          <w:b/>
          <w:bCs/>
        </w:rPr>
        <w:t>Matthew I. Worthley et al 2007</w:t>
      </w:r>
      <w:r w:rsidRPr="00211F88">
        <w:t xml:space="preserve"> </w:t>
      </w:r>
      <w:r w:rsidR="00BD34BF" w:rsidRPr="00211F88">
        <w:t>in this study 980 patients presenting with an ST-segment elevation myocardial infarction and treated exclusively with primary angioplasty were evaluated. Patients were divided into quartiles based on their admission blood glucose level: group 1 (6.6 mmol/L [119 mg/dL]), group 2 (6.7-7.8 mmol/L [120-140 mg/dL]), group 3 (7.9-10.0 mmol/L [141-180 mg/dL], and group 4 (10.1 mmol/L [181 mg/dL]. they found that incidence of cardiogenic shock was high in group four with high RBS</w:t>
      </w:r>
      <w:r w:rsidRPr="00211F88">
        <w:t>.</w:t>
      </w:r>
      <w:r w:rsidR="00056441" w:rsidRPr="00211F88">
        <w:t xml:space="preserve"> </w:t>
      </w:r>
      <w:r w:rsidR="00BD34BF" w:rsidRPr="00211F88">
        <w:t xml:space="preserve">There was statistical significant difference between four group as regard cardiogenic shock </w:t>
      </w:r>
      <w:r w:rsidR="00211F88">
        <w:t>(</w:t>
      </w:r>
      <w:r w:rsidR="00BD34BF" w:rsidRPr="00211F88">
        <w:t>P value</w:t>
      </w:r>
      <w:r w:rsidRPr="00211F88">
        <w:t>.</w:t>
      </w:r>
      <w:r w:rsidR="00211F88">
        <w:rPr>
          <w:rFonts w:eastAsiaTheme="minorEastAsia" w:hint="eastAsia"/>
          <w:lang w:eastAsia="zh-CN"/>
        </w:rPr>
        <w:t xml:space="preserve"> </w:t>
      </w:r>
      <w:r w:rsidR="00BD34BF" w:rsidRPr="00211F88">
        <w:t>01</w:t>
      </w:r>
      <w:r w:rsidR="00211F88">
        <w:t>)</w:t>
      </w:r>
      <w:r w:rsidR="00211F88">
        <w:rPr>
          <w:rFonts w:eastAsiaTheme="minorEastAsia" w:hint="eastAsia"/>
          <w:lang w:eastAsia="zh-CN"/>
        </w:rPr>
        <w:t>.</w:t>
      </w:r>
      <w:r w:rsidR="0017465B" w:rsidRPr="00211F88">
        <w:t xml:space="preserve"> </w:t>
      </w:r>
      <w:r w:rsidR="0017465B" w:rsidRPr="00211F88">
        <w:rPr>
          <w:vertAlign w:val="superscript"/>
        </w:rPr>
        <w:t>6</w:t>
      </w:r>
    </w:p>
    <w:p w:rsidR="00D31158" w:rsidRPr="00211F88" w:rsidRDefault="00D31158" w:rsidP="008B5D29">
      <w:pPr>
        <w:snapToGrid w:val="0"/>
        <w:ind w:firstLine="425"/>
        <w:jc w:val="both"/>
      </w:pPr>
      <w:r w:rsidRPr="00211F88">
        <w:t>A</w:t>
      </w:r>
      <w:r w:rsidR="00BD34BF" w:rsidRPr="00211F88">
        <w:t>s high admission blood glucose associated with more LV systolic dysfunction</w:t>
      </w:r>
      <w:r w:rsidRPr="00211F88">
        <w:t>.</w:t>
      </w:r>
      <w:r w:rsidR="00BD34BF" w:rsidRPr="00211F88">
        <w:t xml:space="preserve"> In addition recurrent anginal attacks, arrhythmias and higher rate of “no-reflow” seen with elevated blood glucose levels in acute myocardial infarctions.</w:t>
      </w:r>
    </w:p>
    <w:p w:rsidR="00D31158" w:rsidRPr="00211F88" w:rsidRDefault="00D31158" w:rsidP="008B5D29">
      <w:pPr>
        <w:snapToGrid w:val="0"/>
        <w:ind w:firstLine="425"/>
        <w:jc w:val="both"/>
        <w:rPr>
          <w:rFonts w:eastAsiaTheme="minorEastAsia"/>
          <w:lang w:eastAsia="zh-CN"/>
        </w:rPr>
      </w:pPr>
      <w:r w:rsidRPr="00211F88">
        <w:lastRenderedPageBreak/>
        <w:t>A</w:t>
      </w:r>
      <w:r w:rsidR="00BD34BF" w:rsidRPr="00211F88">
        <w:t>lso we found that</w:t>
      </w:r>
      <w:r w:rsidRPr="00211F88">
        <w:t>:</w:t>
      </w:r>
      <w:r w:rsidR="00BD34BF" w:rsidRPr="00211F88">
        <w:t xml:space="preserve"> in group I three patient had ventricular arrhythmia 6.5% - in group II eight patients had ventricular arrhythmia 25%</w:t>
      </w:r>
      <w:r w:rsidRPr="00211F88">
        <w:t xml:space="preserve"> </w:t>
      </w:r>
      <w:r w:rsidR="00BD34BF" w:rsidRPr="00211F88">
        <w:t>while in group III 20 patients had ventricular arrhythmia 27.8%</w:t>
      </w:r>
      <w:r w:rsidR="00837273" w:rsidRPr="00211F88">
        <w:t>. T</w:t>
      </w:r>
      <w:r w:rsidR="00BD34BF" w:rsidRPr="00211F88">
        <w:t>here was</w:t>
      </w:r>
      <w:r w:rsidRPr="00211F88">
        <w:t xml:space="preserve"> </w:t>
      </w:r>
      <w:r w:rsidR="00BD34BF" w:rsidRPr="00211F88">
        <w:t>statistically significant difference between the three groups</w:t>
      </w:r>
      <w:r w:rsidRPr="00211F88">
        <w:t xml:space="preserve"> </w:t>
      </w:r>
      <w:r w:rsidR="00BD34BF" w:rsidRPr="00211F88">
        <w:t>(p value = 0.017</w:t>
      </w:r>
      <w:r w:rsidR="00211F88">
        <w:t>)</w:t>
      </w:r>
      <w:r w:rsidR="00211F88">
        <w:rPr>
          <w:rFonts w:eastAsiaTheme="minorEastAsia" w:hint="eastAsia"/>
          <w:lang w:eastAsia="zh-CN"/>
        </w:rPr>
        <w:t>.</w:t>
      </w:r>
    </w:p>
    <w:p w:rsidR="00D31158" w:rsidRPr="00211F88" w:rsidRDefault="00D31158" w:rsidP="008B5D29">
      <w:pPr>
        <w:snapToGrid w:val="0"/>
        <w:ind w:firstLine="425"/>
        <w:jc w:val="both"/>
        <w:rPr>
          <w:vertAlign w:val="superscript"/>
        </w:rPr>
      </w:pPr>
      <w:r w:rsidRPr="00211F88">
        <w:t>T</w:t>
      </w:r>
      <w:r w:rsidR="00BD34BF" w:rsidRPr="00211F88">
        <w:t xml:space="preserve">his came in agreement with study conducted by </w:t>
      </w:r>
      <w:r w:rsidR="00BD34BF" w:rsidRPr="00211F88">
        <w:rPr>
          <w:b/>
          <w:bCs/>
        </w:rPr>
        <w:t>Hoang V. Tran1 et al 2018</w:t>
      </w:r>
      <w:r w:rsidR="00BD34BF" w:rsidRPr="00211F88">
        <w:t xml:space="preserve"> in this the association of hyperglycemia with the development of ventricular tachycardia (VT) in patients hospitalized with acute myocardial infarction (AMI) was explained</w:t>
      </w:r>
      <w:r w:rsidRPr="00211F88">
        <w:t>.</w:t>
      </w:r>
      <w:r w:rsidR="00BD34BF" w:rsidRPr="00211F88">
        <w:t xml:space="preserve"> Hyperglycemia was defined as a serum glucose level ≥ 140 mg/dl at the time of hospital admission. The development of VT was identified from physicians notes and electrocardiographic findings by our trained team of data abstractors.</w:t>
      </w:r>
      <w:r w:rsidR="00056441" w:rsidRPr="00211F88">
        <w:t xml:space="preserve"> </w:t>
      </w:r>
      <w:r w:rsidR="0017465B" w:rsidRPr="00211F88">
        <w:rPr>
          <w:vertAlign w:val="superscript"/>
        </w:rPr>
        <w:t>12</w:t>
      </w:r>
    </w:p>
    <w:p w:rsidR="00BD34BF" w:rsidRPr="00211F88" w:rsidRDefault="00D31158" w:rsidP="008B5D29">
      <w:pPr>
        <w:snapToGrid w:val="0"/>
        <w:ind w:firstLine="425"/>
        <w:jc w:val="both"/>
      </w:pPr>
      <w:r w:rsidRPr="00211F88">
        <w:t>S</w:t>
      </w:r>
      <w:r w:rsidR="00BD34BF" w:rsidRPr="00211F88">
        <w:t>everal mechanisms have been proposed to explain the potentially pro- arrhythmic effects of hyperglycemia in patients hospitalized with an AMI. Hyperglycemia can cause QT-interval prolongation</w:t>
      </w:r>
      <w:r w:rsidRPr="00211F88">
        <w:t>,</w:t>
      </w:r>
      <w:r w:rsidR="00BD34BF" w:rsidRPr="00211F88">
        <w:t xml:space="preserve"> which can trigger ventricular arrhythmias in those with underlying coronary artery disease</w:t>
      </w:r>
      <w:r w:rsidRPr="00211F88">
        <w:t>.</w:t>
      </w:r>
      <w:r w:rsidR="00BD34BF" w:rsidRPr="00211F88">
        <w:t xml:space="preserve"> </w:t>
      </w:r>
    </w:p>
    <w:p w:rsidR="00BD34BF" w:rsidRPr="00211F88" w:rsidRDefault="00BD34BF" w:rsidP="008B5D29">
      <w:pPr>
        <w:snapToGrid w:val="0"/>
        <w:ind w:firstLine="425"/>
        <w:jc w:val="both"/>
      </w:pPr>
      <w:r w:rsidRPr="00211F88">
        <w:t>Hyperglycemia has been associated with a larger infarct size, worse left ventricular function</w:t>
      </w:r>
      <w:r w:rsidR="00D31158" w:rsidRPr="00211F88">
        <w:t>,</w:t>
      </w:r>
      <w:r w:rsidRPr="00211F88">
        <w:t xml:space="preserve"> and increases in serum biomarkers of inflammation</w:t>
      </w:r>
      <w:r w:rsidR="00D31158" w:rsidRPr="00211F88">
        <w:t xml:space="preserve"> </w:t>
      </w:r>
      <w:r w:rsidRPr="00211F88">
        <w:t xml:space="preserve">each of which may promote the development of secondary cardiac arrhythmias. </w:t>
      </w:r>
    </w:p>
    <w:p w:rsidR="00D31158" w:rsidRPr="00211F88" w:rsidRDefault="00BD34BF" w:rsidP="008B5D29">
      <w:pPr>
        <w:snapToGrid w:val="0"/>
        <w:ind w:firstLine="425"/>
        <w:jc w:val="both"/>
      </w:pPr>
      <w:r w:rsidRPr="00211F88">
        <w:t>Hyperglycemia following an ischemic injury may also be a proxy of increased sympathetic activity, which could exert its pro arrhythmic effects through elevated circulatory catecholamines and free fatty acids</w:t>
      </w:r>
      <w:r w:rsidR="00D31158" w:rsidRPr="00211F88">
        <w:t>.</w:t>
      </w:r>
    </w:p>
    <w:p w:rsidR="00BD34BF" w:rsidRPr="00211F88" w:rsidRDefault="00D31158" w:rsidP="008B5D29">
      <w:pPr>
        <w:snapToGrid w:val="0"/>
        <w:ind w:firstLine="425"/>
        <w:jc w:val="both"/>
      </w:pPr>
      <w:r w:rsidRPr="00211F88">
        <w:t>I</w:t>
      </w:r>
      <w:r w:rsidR="00BD34BF" w:rsidRPr="00211F88">
        <w:t>n our study we observed that</w:t>
      </w:r>
      <w:r w:rsidRPr="00211F88">
        <w:t>:</w:t>
      </w:r>
      <w:r w:rsidR="00BD34BF" w:rsidRPr="00211F88">
        <w:t xml:space="preserve"> in group I one patient had re- infarction 2.17% - in group</w:t>
      </w:r>
      <w:r w:rsidRPr="00211F88">
        <w:t xml:space="preserve"> </w:t>
      </w:r>
      <w:r w:rsidR="00BD34BF" w:rsidRPr="00211F88">
        <w:t>II four patients had re- infarction 12.5% while in group</w:t>
      </w:r>
      <w:r w:rsidRPr="00211F88">
        <w:t xml:space="preserve"> </w:t>
      </w:r>
      <w:r w:rsidR="00BD34BF" w:rsidRPr="00211F88">
        <w:t>III 13 patients had re -infarction 18.05%</w:t>
      </w:r>
      <w:r w:rsidRPr="00211F88">
        <w:t xml:space="preserve"> </w:t>
      </w:r>
      <w:r w:rsidR="00BD34BF" w:rsidRPr="00211F88">
        <w:t>There was</w:t>
      </w:r>
      <w:r w:rsidRPr="00211F88">
        <w:t xml:space="preserve"> </w:t>
      </w:r>
      <w:r w:rsidR="00BD34BF" w:rsidRPr="00211F88">
        <w:t>statistically significant difference between the three groups</w:t>
      </w:r>
      <w:r w:rsidRPr="00211F88">
        <w:t xml:space="preserve"> </w:t>
      </w:r>
      <w:r w:rsidR="00BD34BF" w:rsidRPr="00211F88">
        <w:t>(p value = 0.034</w:t>
      </w:r>
      <w:r w:rsidR="00211F88">
        <w:t>)</w:t>
      </w:r>
      <w:r w:rsidR="002001D5" w:rsidRPr="00211F88">
        <w:t>.</w:t>
      </w:r>
    </w:p>
    <w:p w:rsidR="00D31158" w:rsidRPr="00211F88" w:rsidRDefault="00BD34BF" w:rsidP="008B5D29">
      <w:pPr>
        <w:snapToGrid w:val="0"/>
        <w:ind w:firstLine="425"/>
        <w:jc w:val="both"/>
        <w:rPr>
          <w:vertAlign w:val="superscript"/>
        </w:rPr>
      </w:pPr>
      <w:r w:rsidRPr="00211F88">
        <w:t xml:space="preserve">This came in agreement with study conducted by </w:t>
      </w:r>
      <w:r w:rsidRPr="00211F88">
        <w:rPr>
          <w:b/>
          <w:bCs/>
        </w:rPr>
        <w:t>Tamer M. Moustafa</w:t>
      </w:r>
      <w:r w:rsidR="00D31158" w:rsidRPr="00211F88">
        <w:rPr>
          <w:b/>
          <w:bCs/>
        </w:rPr>
        <w:t xml:space="preserve"> </w:t>
      </w:r>
      <w:r w:rsidRPr="00211F88">
        <w:rPr>
          <w:b/>
          <w:bCs/>
        </w:rPr>
        <w:t>2017</w:t>
      </w:r>
      <w:r w:rsidRPr="00211F88">
        <w:t xml:space="preserve"> in this study 250</w:t>
      </w:r>
      <w:r w:rsidR="00D31158" w:rsidRPr="00211F88">
        <w:t xml:space="preserve"> </w:t>
      </w:r>
      <w:r w:rsidRPr="00211F88">
        <w:t>patients were included without known diabetes mellitus admitted with STEMI. Both glucose and HbA1c were measured on admission. All included patients had hemoglobin A (1c) less than 6.5%. In-hospital and 3 months' major cardiac events MACE (mortality, heart failure, arrhythmias, cardiogenic shock and recurrent ischemia) were documented. They were classified into two groups according to the admission mean glucose level (group A with glucose level ≥ 160 ± 52 mg/dl and group B included those glucose level b 160 ± 52 mg/dl). Number of patients developed re infarction in group A 49 (38%) while in group B 16 patients had re infarction</w:t>
      </w:r>
      <w:r w:rsidR="00D31158" w:rsidRPr="00211F88">
        <w:t xml:space="preserve"> </w:t>
      </w:r>
      <w:r w:rsidRPr="00211F88">
        <w:t>(13.3%)</w:t>
      </w:r>
      <w:r w:rsidR="00D31158" w:rsidRPr="00211F88">
        <w:t xml:space="preserve"> </w:t>
      </w:r>
      <w:r w:rsidRPr="00211F88">
        <w:t>(P value</w:t>
      </w:r>
      <w:r w:rsidR="00D31158" w:rsidRPr="00211F88">
        <w:t>.</w:t>
      </w:r>
      <w:r w:rsidRPr="00211F88">
        <w:t>01)</w:t>
      </w:r>
      <w:r w:rsidR="0017465B" w:rsidRPr="00211F88">
        <w:t xml:space="preserve"> </w:t>
      </w:r>
      <w:r w:rsidR="0017465B" w:rsidRPr="00211F88">
        <w:rPr>
          <w:vertAlign w:val="superscript"/>
        </w:rPr>
        <w:t>11</w:t>
      </w:r>
      <w:r w:rsidR="002001D5" w:rsidRPr="00211F88">
        <w:t>.</w:t>
      </w:r>
    </w:p>
    <w:p w:rsidR="00BD34BF" w:rsidRPr="00211F88" w:rsidRDefault="00D31158" w:rsidP="008B5D29">
      <w:pPr>
        <w:snapToGrid w:val="0"/>
        <w:ind w:firstLine="425"/>
        <w:jc w:val="both"/>
      </w:pPr>
      <w:r w:rsidRPr="00211F88">
        <w:t>D</w:t>
      </w:r>
      <w:r w:rsidR="00BD34BF" w:rsidRPr="00211F88">
        <w:t>uring follow up the patient after primary PCI we found that</w:t>
      </w:r>
      <w:r w:rsidR="00837273" w:rsidRPr="00211F88">
        <w:t>: I</w:t>
      </w:r>
      <w:r w:rsidR="00BD34BF" w:rsidRPr="00211F88">
        <w:t xml:space="preserve">n group I no patient had CIN – in group II three patients had CIN 9.3% while in group </w:t>
      </w:r>
      <w:r w:rsidR="00BD34BF" w:rsidRPr="00211F88">
        <w:lastRenderedPageBreak/>
        <w:t>III</w:t>
      </w:r>
      <w:r w:rsidRPr="00211F88">
        <w:t xml:space="preserve"> </w:t>
      </w:r>
      <w:r w:rsidR="00BD34BF" w:rsidRPr="00211F88">
        <w:t>ten patients had CIN 13.9%</w:t>
      </w:r>
      <w:r w:rsidRPr="00211F88">
        <w:t xml:space="preserve"> </w:t>
      </w:r>
      <w:r w:rsidR="00BD34BF" w:rsidRPr="00211F88">
        <w:t>There was</w:t>
      </w:r>
      <w:r w:rsidRPr="00211F88">
        <w:t xml:space="preserve"> </w:t>
      </w:r>
      <w:r w:rsidR="00BD34BF" w:rsidRPr="00211F88">
        <w:t>statistically significant difference between the three groups</w:t>
      </w:r>
      <w:r w:rsidRPr="00211F88">
        <w:t xml:space="preserve"> </w:t>
      </w:r>
      <w:r w:rsidR="00BD34BF" w:rsidRPr="00211F88">
        <w:t>(p value = 0.03</w:t>
      </w:r>
      <w:r w:rsidR="00211F88">
        <w:t>)</w:t>
      </w:r>
      <w:r w:rsidR="002001D5" w:rsidRPr="00211F88">
        <w:t>.</w:t>
      </w:r>
    </w:p>
    <w:p w:rsidR="00D31158" w:rsidRPr="00211F88" w:rsidRDefault="00BD34BF" w:rsidP="008B5D29">
      <w:pPr>
        <w:snapToGrid w:val="0"/>
        <w:ind w:firstLine="425"/>
        <w:jc w:val="both"/>
        <w:rPr>
          <w:vertAlign w:val="superscript"/>
        </w:rPr>
      </w:pPr>
      <w:r w:rsidRPr="00211F88">
        <w:t xml:space="preserve">This came in agreement with study conducted by </w:t>
      </w:r>
      <w:r w:rsidRPr="00211F88">
        <w:rPr>
          <w:b/>
          <w:bCs/>
        </w:rPr>
        <w:t>Yacov Shacham et al 2015</w:t>
      </w:r>
      <w:r w:rsidR="00D31158" w:rsidRPr="00211F88">
        <w:t xml:space="preserve"> </w:t>
      </w:r>
      <w:r w:rsidRPr="00211F88">
        <w:t>in this study 1,065 non diabetic STEMI patients undergoing primary PCI. Patients were stratified according to admission glucose levels into normal (&lt;140 mg/dl), mild (140–200 mg/dl), and severe (&gt;200 mg/dl) hyperglycemia groups. Medical records were reviewed for the occurrence of AKI. Patients having severe admission hyperglycemia had more AKI complicating the course of STEMI [20% vs. patients without (7%) and with mild (8%) hyperglycemia; p = 0.001] and had a significantly higher sCr change throughout hospitalization [0.17 mg/dl vs. patients without (0.09 mg/dl) and with mild (0.07 mg/dl) hyperglycemia; p = 0.04].</w:t>
      </w:r>
      <w:r w:rsidR="0017465B" w:rsidRPr="00211F88">
        <w:t xml:space="preserve"> </w:t>
      </w:r>
      <w:r w:rsidR="0017465B" w:rsidRPr="00211F88">
        <w:rPr>
          <w:vertAlign w:val="superscript"/>
        </w:rPr>
        <w:t>13</w:t>
      </w:r>
    </w:p>
    <w:p w:rsidR="00837273" w:rsidRPr="00211F88" w:rsidRDefault="00D31158" w:rsidP="008B5D29">
      <w:pPr>
        <w:snapToGrid w:val="0"/>
        <w:ind w:firstLine="425"/>
        <w:jc w:val="both"/>
      </w:pPr>
      <w:r w:rsidRPr="00211F88">
        <w:t>N</w:t>
      </w:r>
      <w:r w:rsidR="00BD34BF" w:rsidRPr="00211F88">
        <w:t>o significant difference between the groups as regarde amount of contrast used during primary PC</w:t>
      </w:r>
      <w:r w:rsidR="00837273" w:rsidRPr="00211F88">
        <w:t>I.</w:t>
      </w:r>
    </w:p>
    <w:p w:rsidR="00837273" w:rsidRPr="00211F88" w:rsidRDefault="00D31158" w:rsidP="008B5D29">
      <w:pPr>
        <w:snapToGrid w:val="0"/>
        <w:ind w:firstLine="425"/>
        <w:jc w:val="both"/>
      </w:pPr>
      <w:r w:rsidRPr="00211F88">
        <w:t>I</w:t>
      </w:r>
      <w:r w:rsidR="00BD34BF" w:rsidRPr="00211F88">
        <w:t>t is due to hyperglycemia may lead to an increased production of oxygen free radicals with increased oxidative stress and suppressed flow mediated vasodilatation, inducing medullary hypoxia and ischemia, thus exacerbating the deleterious effect of contras</w:t>
      </w:r>
      <w:r w:rsidR="00837273" w:rsidRPr="00211F88">
        <w:t>t.</w:t>
      </w:r>
    </w:p>
    <w:p w:rsidR="00D31158" w:rsidRPr="00211F88" w:rsidRDefault="00D31158" w:rsidP="008B5D29">
      <w:pPr>
        <w:snapToGrid w:val="0"/>
        <w:ind w:firstLine="425"/>
        <w:jc w:val="both"/>
      </w:pPr>
      <w:r w:rsidRPr="00211F88">
        <w:t>A</w:t>
      </w:r>
      <w:r w:rsidR="00BD34BF" w:rsidRPr="00211F88">
        <w:t>cute hyperglycemia may induce osmotic diuresis, resulting in volume depletion and increasing the risk for pre renal azotemia and contrast toxicity. Furthermore</w:t>
      </w:r>
      <w:r w:rsidRPr="00211F88">
        <w:t xml:space="preserve"> </w:t>
      </w:r>
      <w:r w:rsidR="00BD34BF" w:rsidRPr="00211F88">
        <w:t>hyperglycemia was demonstrated to be associated with worse left ventricular systolic function in patients with STEMI</w:t>
      </w:r>
      <w:r w:rsidRPr="00211F88">
        <w:t xml:space="preserve">. </w:t>
      </w:r>
      <w:r w:rsidR="00BD34BF" w:rsidRPr="00211F88">
        <w:t>Hyperglycemia may thus represent an epiphenomenon of the stress response, mediated by cortisol and catecholamines, whose release is elicited by the hemodynamic compromise or myocardial damage. Hyperglycemia may, however, exert a direct neg</w:t>
      </w:r>
      <w:r w:rsidR="00056441" w:rsidRPr="00211F88">
        <w:t>ative impact on renal function.</w:t>
      </w:r>
    </w:p>
    <w:p w:rsidR="00D31158" w:rsidRPr="00211F88" w:rsidRDefault="00D31158" w:rsidP="008B5D29">
      <w:pPr>
        <w:snapToGrid w:val="0"/>
        <w:ind w:firstLine="425"/>
        <w:jc w:val="both"/>
      </w:pPr>
      <w:r w:rsidRPr="00211F88">
        <w:t>D</w:t>
      </w:r>
      <w:r w:rsidR="00BD34BF" w:rsidRPr="00211F88">
        <w:t>uring admission two patients had</w:t>
      </w:r>
      <w:r w:rsidRPr="00211F88">
        <w:t xml:space="preserve"> </w:t>
      </w:r>
      <w:r w:rsidR="00BD34BF" w:rsidRPr="00211F88">
        <w:t>acute heart failure AHF in group I 4.3% - in group II four patient had AHF 12.4% while in group III seven patients AHF 9.7%</w:t>
      </w:r>
      <w:r w:rsidR="00837273" w:rsidRPr="00211F88">
        <w:t>. T</w:t>
      </w:r>
      <w:r w:rsidR="00BD34BF" w:rsidRPr="00211F88">
        <w:t>here was no statistically significant difference between the three groups</w:t>
      </w:r>
      <w:r w:rsidRPr="00211F88">
        <w:t xml:space="preserve"> </w:t>
      </w:r>
      <w:r w:rsidR="00BD34BF" w:rsidRPr="00211F88">
        <w:t>(p value = 0.031)</w:t>
      </w:r>
      <w:r w:rsidRPr="00211F88">
        <w:t>.</w:t>
      </w:r>
      <w:r w:rsidR="00BD34BF" w:rsidRPr="00211F88">
        <w:t xml:space="preserve"> </w:t>
      </w:r>
    </w:p>
    <w:p w:rsidR="00BD34BF" w:rsidRPr="00211F88" w:rsidRDefault="00D31158" w:rsidP="008B5D29">
      <w:pPr>
        <w:snapToGrid w:val="0"/>
        <w:ind w:firstLine="425"/>
        <w:jc w:val="both"/>
      </w:pPr>
      <w:r w:rsidRPr="00211F88">
        <w:t>T</w:t>
      </w:r>
      <w:r w:rsidR="00BD34BF" w:rsidRPr="00211F88">
        <w:t xml:space="preserve">his came in agreement with study conducted by </w:t>
      </w:r>
      <w:r w:rsidR="00BD34BF" w:rsidRPr="00211F88">
        <w:rPr>
          <w:b/>
          <w:bCs/>
        </w:rPr>
        <w:t>Hoang V. Tran1 et al 2017</w:t>
      </w:r>
      <w:r w:rsidRPr="00211F88">
        <w:t xml:space="preserve"> </w:t>
      </w:r>
      <w:r w:rsidR="00BD34BF" w:rsidRPr="00211F88">
        <w:t>patients hospitalized with AMI at all central Massachusetts medical centers between 2001 and 2011 were involved</w:t>
      </w:r>
      <w:r w:rsidRPr="00211F88">
        <w:t>.</w:t>
      </w:r>
      <w:r w:rsidR="00BD34BF" w:rsidRPr="00211F88">
        <w:t xml:space="preserve"> Hyperglycemia was defined as a serum glucose level ≥ 140 mg/dl at the time of hospital admission so patients divided into two groups group A blood glucose level less than 140mg/dl and group B</w:t>
      </w:r>
      <w:r w:rsidRPr="00211F88">
        <w:t xml:space="preserve"> </w:t>
      </w:r>
      <w:r w:rsidR="00BD34BF" w:rsidRPr="00211F88">
        <w:t>blood glucose level more than 140mg/dl</w:t>
      </w:r>
      <w:r w:rsidRPr="00211F88">
        <w:t>.</w:t>
      </w:r>
      <w:r w:rsidR="00056441" w:rsidRPr="00211F88">
        <w:t xml:space="preserve"> </w:t>
      </w:r>
    </w:p>
    <w:p w:rsidR="00D31158" w:rsidRPr="00211F88" w:rsidRDefault="00BD34BF" w:rsidP="008B5D29">
      <w:pPr>
        <w:snapToGrid w:val="0"/>
        <w:ind w:firstLine="425"/>
        <w:jc w:val="both"/>
        <w:rPr>
          <w:vertAlign w:val="superscript"/>
        </w:rPr>
      </w:pPr>
      <w:r w:rsidRPr="00211F88">
        <w:t xml:space="preserve">There was statistical significant difference between two group as regard acute heart failure </w:t>
      </w:r>
      <w:r w:rsidR="00211F88">
        <w:t>(</w:t>
      </w:r>
      <w:r w:rsidRPr="00211F88">
        <w:t>P value 0.001)</w:t>
      </w:r>
      <w:r w:rsidR="0017465B" w:rsidRPr="00211F88">
        <w:t xml:space="preserve"> </w:t>
      </w:r>
      <w:r w:rsidR="0017465B" w:rsidRPr="00211F88">
        <w:rPr>
          <w:vertAlign w:val="superscript"/>
        </w:rPr>
        <w:t>12</w:t>
      </w:r>
      <w:r w:rsidR="002001D5" w:rsidRPr="00211F88">
        <w:t>.</w:t>
      </w:r>
    </w:p>
    <w:p w:rsidR="00BD34BF" w:rsidRPr="00211F88" w:rsidRDefault="00D31158" w:rsidP="008B5D29">
      <w:pPr>
        <w:snapToGrid w:val="0"/>
        <w:ind w:firstLine="425"/>
        <w:jc w:val="both"/>
      </w:pPr>
      <w:r w:rsidRPr="00211F88">
        <w:t>T</w:t>
      </w:r>
      <w:r w:rsidR="00BD34BF" w:rsidRPr="00211F88">
        <w:t xml:space="preserve">his explained by increase risk of arrhythmia and the subsequent development of hemodynamic </w:t>
      </w:r>
      <w:r w:rsidR="00BD34BF" w:rsidRPr="00211F88">
        <w:lastRenderedPageBreak/>
        <w:t>disturbances also decrease left ventricular ejection fraction and increase risk of NO-reflow phenomena.</w:t>
      </w:r>
    </w:p>
    <w:p w:rsidR="00061DCC" w:rsidRPr="00211F88" w:rsidRDefault="00061DCC" w:rsidP="008B5D29">
      <w:pPr>
        <w:pStyle w:val="Heading1"/>
        <w:keepNext w:val="0"/>
        <w:keepLines w:val="0"/>
        <w:snapToGrid w:val="0"/>
        <w:spacing w:before="0"/>
        <w:jc w:val="both"/>
        <w:rPr>
          <w:caps w:val="0"/>
          <w:sz w:val="20"/>
          <w:szCs w:val="20"/>
        </w:rPr>
      </w:pPr>
    </w:p>
    <w:p w:rsidR="00C33827" w:rsidRPr="00211F88" w:rsidRDefault="00311838" w:rsidP="008B5D29">
      <w:pPr>
        <w:pStyle w:val="Heading1"/>
        <w:keepNext w:val="0"/>
        <w:keepLines w:val="0"/>
        <w:snapToGrid w:val="0"/>
        <w:spacing w:before="0"/>
        <w:jc w:val="both"/>
        <w:rPr>
          <w:sz w:val="20"/>
          <w:szCs w:val="20"/>
        </w:rPr>
      </w:pPr>
      <w:r w:rsidRPr="00211F88">
        <w:rPr>
          <w:caps w:val="0"/>
          <w:sz w:val="20"/>
          <w:szCs w:val="20"/>
        </w:rPr>
        <w:t>5. Conclusion</w:t>
      </w:r>
      <w:bookmarkEnd w:id="1"/>
    </w:p>
    <w:p w:rsidR="00D31158" w:rsidRPr="00211F88" w:rsidRDefault="000F147F" w:rsidP="008B5D29">
      <w:pPr>
        <w:snapToGrid w:val="0"/>
        <w:ind w:firstLine="425"/>
        <w:jc w:val="both"/>
      </w:pPr>
      <w:r w:rsidRPr="00211F88">
        <w:t xml:space="preserve">Hyperglycemia on admission in the absence of diabetes mellitus is a significant predictor of adverse outcome and the extent and severity of coronary artery lesions in non-diabetic patients presenting with STEMI high admission blood glucose associated with more LV systolic </w:t>
      </w:r>
      <w:r w:rsidR="00061DCC" w:rsidRPr="00211F88">
        <w:t xml:space="preserve">dysfunction. </w:t>
      </w:r>
      <w:r w:rsidRPr="00211F88">
        <w:t xml:space="preserve">In addition recurrent anginal attacks, arrhythmias and cardiogenic shock were also more frequent among those patients. Hyperglycemia can cause QT-interval </w:t>
      </w:r>
      <w:r w:rsidR="00061DCC" w:rsidRPr="00211F88">
        <w:t>prolongation,</w:t>
      </w:r>
      <w:r w:rsidRPr="00211F88">
        <w:t xml:space="preserve"> which can trigger ventricular arrhythmias in those with underlying coronary artery </w:t>
      </w:r>
      <w:r w:rsidR="00061DCC" w:rsidRPr="00211F88">
        <w:t xml:space="preserve">disease. </w:t>
      </w:r>
      <w:r w:rsidRPr="00211F88">
        <w:t>also associated with increase risk for developing contrast induced nephropathy</w:t>
      </w:r>
      <w:r w:rsidR="00D31158" w:rsidRPr="00211F88">
        <w:t xml:space="preserve"> </w:t>
      </w:r>
      <w:r w:rsidRPr="00211F88">
        <w:t>In Our study we found that Patients with elevated blood glucose level</w:t>
      </w:r>
      <w:r w:rsidR="00D31158" w:rsidRPr="00211F88">
        <w:t xml:space="preserve"> </w:t>
      </w:r>
      <w:r w:rsidRPr="00211F88">
        <w:t>had</w:t>
      </w:r>
      <w:r w:rsidR="00D31158" w:rsidRPr="00211F88">
        <w:t xml:space="preserve"> </w:t>
      </w:r>
      <w:r w:rsidRPr="00211F88">
        <w:t>high level of CKMB due to more necrosis of myocardium.</w:t>
      </w:r>
    </w:p>
    <w:p w:rsidR="000F147F" w:rsidRPr="00211F88" w:rsidRDefault="00D31158" w:rsidP="008B5D29">
      <w:pPr>
        <w:snapToGrid w:val="0"/>
        <w:ind w:firstLine="425"/>
        <w:jc w:val="both"/>
      </w:pPr>
      <w:r w:rsidRPr="00211F88">
        <w:t>A</w:t>
      </w:r>
      <w:r w:rsidR="000F147F" w:rsidRPr="00211F88">
        <w:t>lso had high risk for developing TIMI 0 or “no-reflow” and peri-procedural death - cardiogenic shock – ventricular arrhythmia- acute heart failure –re infarction – contrast induced nephropathy.</w:t>
      </w:r>
    </w:p>
    <w:p w:rsidR="00C33827" w:rsidRPr="00211F88" w:rsidRDefault="00C33827" w:rsidP="008B5D29">
      <w:pPr>
        <w:autoSpaceDE w:val="0"/>
        <w:autoSpaceDN w:val="0"/>
        <w:adjustRightInd w:val="0"/>
        <w:snapToGrid w:val="0"/>
        <w:ind w:firstLine="425"/>
        <w:jc w:val="both"/>
      </w:pPr>
    </w:p>
    <w:p w:rsidR="00C33827" w:rsidRPr="00211F88" w:rsidRDefault="00311838" w:rsidP="008B5D29">
      <w:pPr>
        <w:pStyle w:val="Heading1"/>
        <w:keepNext w:val="0"/>
        <w:keepLines w:val="0"/>
        <w:snapToGrid w:val="0"/>
        <w:spacing w:before="0"/>
        <w:jc w:val="both"/>
        <w:rPr>
          <w:sz w:val="20"/>
          <w:szCs w:val="20"/>
        </w:rPr>
      </w:pPr>
      <w:r w:rsidRPr="00211F88">
        <w:rPr>
          <w:caps w:val="0"/>
          <w:sz w:val="20"/>
          <w:szCs w:val="20"/>
        </w:rPr>
        <w:t>References</w:t>
      </w:r>
    </w:p>
    <w:p w:rsidR="00F5779D" w:rsidRPr="00211F88" w:rsidRDefault="00F5779D" w:rsidP="00837273">
      <w:pPr>
        <w:widowControl w:val="0"/>
        <w:numPr>
          <w:ilvl w:val="0"/>
          <w:numId w:val="25"/>
        </w:numPr>
        <w:autoSpaceDE w:val="0"/>
        <w:autoSpaceDN w:val="0"/>
        <w:adjustRightInd w:val="0"/>
        <w:snapToGrid w:val="0"/>
        <w:ind w:left="425" w:hanging="425"/>
        <w:jc w:val="both"/>
        <w:rPr>
          <w:noProof/>
        </w:rPr>
      </w:pPr>
      <w:r w:rsidRPr="00211F88">
        <w:rPr>
          <w:noProof/>
        </w:rPr>
        <w:t>Glasgow</w:t>
      </w:r>
      <w:r w:rsidR="00D31158" w:rsidRPr="00211F88">
        <w:rPr>
          <w:noProof/>
        </w:rPr>
        <w:t xml:space="preserve"> </w:t>
      </w:r>
      <w:r w:rsidRPr="00211F88">
        <w:rPr>
          <w:noProof/>
        </w:rPr>
        <w:t>RE,</w:t>
      </w:r>
      <w:r w:rsidR="00D31158" w:rsidRPr="00211F88">
        <w:rPr>
          <w:noProof/>
        </w:rPr>
        <w:t xml:space="preserve"> </w:t>
      </w:r>
      <w:r w:rsidRPr="00211F88">
        <w:rPr>
          <w:noProof/>
        </w:rPr>
        <w:t>Osteen</w:t>
      </w:r>
      <w:r w:rsidR="00D31158" w:rsidRPr="00211F88">
        <w:rPr>
          <w:noProof/>
        </w:rPr>
        <w:t xml:space="preserve"> </w:t>
      </w:r>
      <w:r w:rsidRPr="00211F88">
        <w:rPr>
          <w:noProof/>
        </w:rPr>
        <w:t>VL.</w:t>
      </w:r>
      <w:r w:rsidR="00D31158" w:rsidRPr="00211F88">
        <w:rPr>
          <w:noProof/>
        </w:rPr>
        <w:t xml:space="preserve"> </w:t>
      </w:r>
      <w:r w:rsidRPr="00211F88">
        <w:rPr>
          <w:noProof/>
        </w:rPr>
        <w:t>Evaluating</w:t>
      </w:r>
      <w:r w:rsidR="00D31158" w:rsidRPr="00211F88">
        <w:rPr>
          <w:noProof/>
        </w:rPr>
        <w:t xml:space="preserve"> </w:t>
      </w:r>
      <w:r w:rsidRPr="00211F88">
        <w:rPr>
          <w:noProof/>
        </w:rPr>
        <w:t>Diabetes</w:t>
      </w:r>
      <w:r w:rsidR="00D31158" w:rsidRPr="00211F88">
        <w:rPr>
          <w:noProof/>
        </w:rPr>
        <w:t xml:space="preserve"> </w:t>
      </w:r>
      <w:r w:rsidRPr="00211F88">
        <w:rPr>
          <w:noProof/>
        </w:rPr>
        <w:t>Education:</w:t>
      </w:r>
      <w:r w:rsidR="00D31158" w:rsidRPr="00211F88">
        <w:rPr>
          <w:noProof/>
        </w:rPr>
        <w:t xml:space="preserve"> </w:t>
      </w:r>
      <w:r w:rsidRPr="00211F88">
        <w:rPr>
          <w:noProof/>
        </w:rPr>
        <w:t>Are</w:t>
      </w:r>
      <w:r w:rsidR="00D31158" w:rsidRPr="00211F88">
        <w:rPr>
          <w:noProof/>
        </w:rPr>
        <w:t xml:space="preserve"> </w:t>
      </w:r>
      <w:r w:rsidRPr="00211F88">
        <w:rPr>
          <w:noProof/>
        </w:rPr>
        <w:t>we</w:t>
      </w:r>
      <w:r w:rsidR="00D31158" w:rsidRPr="00211F88">
        <w:rPr>
          <w:noProof/>
        </w:rPr>
        <w:t xml:space="preserve"> </w:t>
      </w:r>
      <w:r w:rsidRPr="00211F88">
        <w:rPr>
          <w:noProof/>
        </w:rPr>
        <w:t>measuring</w:t>
      </w:r>
      <w:r w:rsidR="00D31158" w:rsidRPr="00211F88">
        <w:rPr>
          <w:noProof/>
        </w:rPr>
        <w:t xml:space="preserve"> </w:t>
      </w:r>
      <w:r w:rsidRPr="00211F88">
        <w:rPr>
          <w:noProof/>
        </w:rPr>
        <w:t>the</w:t>
      </w:r>
      <w:r w:rsidR="00D31158" w:rsidRPr="00211F88">
        <w:rPr>
          <w:noProof/>
        </w:rPr>
        <w:t xml:space="preserve"> </w:t>
      </w:r>
      <w:r w:rsidRPr="00211F88">
        <w:rPr>
          <w:noProof/>
        </w:rPr>
        <w:t>most</w:t>
      </w:r>
      <w:r w:rsidR="00D31158" w:rsidRPr="00211F88">
        <w:rPr>
          <w:noProof/>
        </w:rPr>
        <w:t xml:space="preserve"> </w:t>
      </w:r>
      <w:r w:rsidRPr="00211F88">
        <w:rPr>
          <w:noProof/>
        </w:rPr>
        <w:t>important</w:t>
      </w:r>
      <w:r w:rsidR="00D31158" w:rsidRPr="00211F88">
        <w:rPr>
          <w:noProof/>
        </w:rPr>
        <w:t xml:space="preserve"> </w:t>
      </w:r>
      <w:r w:rsidRPr="00211F88">
        <w:rPr>
          <w:noProof/>
        </w:rPr>
        <w:t>outcomes?</w:t>
      </w:r>
      <w:r w:rsidR="00D31158" w:rsidRPr="00211F88">
        <w:rPr>
          <w:noProof/>
        </w:rPr>
        <w:t xml:space="preserve"> </w:t>
      </w:r>
      <w:r w:rsidRPr="00211F88">
        <w:rPr>
          <w:noProof/>
        </w:rPr>
        <w:t>Diabetes</w:t>
      </w:r>
      <w:r w:rsidR="00D31158" w:rsidRPr="00211F88">
        <w:rPr>
          <w:noProof/>
        </w:rPr>
        <w:t xml:space="preserve"> </w:t>
      </w:r>
      <w:r w:rsidRPr="00211F88">
        <w:rPr>
          <w:noProof/>
        </w:rPr>
        <w:t>Care</w:t>
      </w:r>
      <w:r w:rsidR="00D31158" w:rsidRPr="00211F88">
        <w:rPr>
          <w:noProof/>
        </w:rPr>
        <w:t xml:space="preserve"> </w:t>
      </w:r>
      <w:r w:rsidRPr="00211F88">
        <w:rPr>
          <w:noProof/>
        </w:rPr>
        <w:t>[Internet].</w:t>
      </w:r>
      <w:r w:rsidR="00D31158" w:rsidRPr="00211F88">
        <w:rPr>
          <w:noProof/>
        </w:rPr>
        <w:t xml:space="preserve"> </w:t>
      </w:r>
      <w:r w:rsidRPr="00211F88">
        <w:rPr>
          <w:noProof/>
        </w:rPr>
        <w:t>1992</w:t>
      </w:r>
      <w:r w:rsidR="00D31158" w:rsidRPr="00211F88">
        <w:rPr>
          <w:noProof/>
        </w:rPr>
        <w:t xml:space="preserve"> </w:t>
      </w:r>
      <w:r w:rsidRPr="00211F88">
        <w:rPr>
          <w:noProof/>
        </w:rPr>
        <w:t>Oct</w:t>
      </w:r>
      <w:r w:rsidR="00D31158" w:rsidRPr="00211F88">
        <w:rPr>
          <w:noProof/>
        </w:rPr>
        <w:t xml:space="preserve"> </w:t>
      </w:r>
      <w:r w:rsidRPr="00211F88">
        <w:rPr>
          <w:noProof/>
        </w:rPr>
        <w:t>1;15(10):1423</w:t>
      </w:r>
      <w:r w:rsidR="00D31158" w:rsidRPr="00211F88">
        <w:rPr>
          <w:noProof/>
        </w:rPr>
        <w:t xml:space="preserve"> </w:t>
      </w:r>
      <w:r w:rsidRPr="00211F88">
        <w:rPr>
          <w:noProof/>
        </w:rPr>
        <w:t>LP</w:t>
      </w:r>
      <w:r w:rsidR="00D31158" w:rsidRPr="00211F88">
        <w:rPr>
          <w:noProof/>
        </w:rPr>
        <w:t xml:space="preserve"> </w:t>
      </w:r>
      <w:r w:rsidRPr="00211F88">
        <w:rPr>
          <w:noProof/>
        </w:rPr>
        <w:t>–</w:t>
      </w:r>
      <w:r w:rsidR="00D31158" w:rsidRPr="00211F88">
        <w:rPr>
          <w:noProof/>
        </w:rPr>
        <w:t xml:space="preserve"> </w:t>
      </w:r>
      <w:r w:rsidRPr="00211F88">
        <w:rPr>
          <w:noProof/>
        </w:rPr>
        <w:t>1432.</w:t>
      </w:r>
      <w:r w:rsidR="00D31158" w:rsidRPr="00211F88">
        <w:rPr>
          <w:noProof/>
        </w:rPr>
        <w:t xml:space="preserve"> </w:t>
      </w:r>
      <w:r w:rsidRPr="00211F88">
        <w:rPr>
          <w:noProof/>
        </w:rPr>
        <w:t>Available</w:t>
      </w:r>
      <w:r w:rsidR="00D31158" w:rsidRPr="00211F88">
        <w:rPr>
          <w:noProof/>
        </w:rPr>
        <w:t xml:space="preserve"> </w:t>
      </w:r>
      <w:r w:rsidRPr="00211F88">
        <w:rPr>
          <w:noProof/>
        </w:rPr>
        <w:t>from:</w:t>
      </w:r>
      <w:r w:rsidR="00D31158" w:rsidRPr="00211F88">
        <w:rPr>
          <w:noProof/>
        </w:rPr>
        <w:t xml:space="preserve"> </w:t>
      </w:r>
      <w:r w:rsidRPr="00211F88">
        <w:rPr>
          <w:noProof/>
        </w:rPr>
        <w:t>http://care.diabetesjournals.org/content/15/10/1423.abstract</w:t>
      </w:r>
      <w:r w:rsidR="002001D5" w:rsidRPr="00211F88">
        <w:rPr>
          <w:rFonts w:eastAsiaTheme="minorEastAsia" w:hint="eastAsia"/>
          <w:noProof/>
          <w:lang w:eastAsia="zh-CN"/>
        </w:rPr>
        <w:t>.</w:t>
      </w:r>
    </w:p>
    <w:p w:rsidR="00F5779D" w:rsidRPr="00211F88" w:rsidRDefault="00F5779D" w:rsidP="00837273">
      <w:pPr>
        <w:widowControl w:val="0"/>
        <w:numPr>
          <w:ilvl w:val="0"/>
          <w:numId w:val="25"/>
        </w:numPr>
        <w:autoSpaceDE w:val="0"/>
        <w:autoSpaceDN w:val="0"/>
        <w:adjustRightInd w:val="0"/>
        <w:snapToGrid w:val="0"/>
        <w:ind w:left="425" w:hanging="425"/>
        <w:jc w:val="both"/>
        <w:rPr>
          <w:noProof/>
        </w:rPr>
      </w:pPr>
      <w:r w:rsidRPr="00211F88">
        <w:rPr>
          <w:noProof/>
        </w:rPr>
        <w:t>Sasso</w:t>
      </w:r>
      <w:r w:rsidR="00D31158" w:rsidRPr="00211F88">
        <w:rPr>
          <w:noProof/>
        </w:rPr>
        <w:t xml:space="preserve"> </w:t>
      </w:r>
      <w:r w:rsidRPr="00211F88">
        <w:rPr>
          <w:noProof/>
        </w:rPr>
        <w:t>FC,</w:t>
      </w:r>
      <w:r w:rsidR="00D31158" w:rsidRPr="00211F88">
        <w:rPr>
          <w:noProof/>
        </w:rPr>
        <w:t xml:space="preserve"> </w:t>
      </w:r>
      <w:r w:rsidRPr="00211F88">
        <w:rPr>
          <w:noProof/>
        </w:rPr>
        <w:t>Carbonara</w:t>
      </w:r>
      <w:r w:rsidR="00D31158" w:rsidRPr="00211F88">
        <w:rPr>
          <w:noProof/>
        </w:rPr>
        <w:t xml:space="preserve"> </w:t>
      </w:r>
      <w:r w:rsidRPr="00211F88">
        <w:rPr>
          <w:noProof/>
        </w:rPr>
        <w:t>O,</w:t>
      </w:r>
      <w:r w:rsidR="00D31158" w:rsidRPr="00211F88">
        <w:rPr>
          <w:noProof/>
        </w:rPr>
        <w:t xml:space="preserve"> </w:t>
      </w:r>
      <w:r w:rsidRPr="00211F88">
        <w:rPr>
          <w:noProof/>
        </w:rPr>
        <w:t>Nasti</w:t>
      </w:r>
      <w:r w:rsidR="00D31158" w:rsidRPr="00211F88">
        <w:rPr>
          <w:noProof/>
        </w:rPr>
        <w:t xml:space="preserve"> </w:t>
      </w:r>
      <w:r w:rsidRPr="00211F88">
        <w:rPr>
          <w:noProof/>
        </w:rPr>
        <w:t>R,</w:t>
      </w:r>
      <w:r w:rsidR="00D31158" w:rsidRPr="00211F88">
        <w:rPr>
          <w:noProof/>
        </w:rPr>
        <w:t xml:space="preserve"> </w:t>
      </w:r>
      <w:r w:rsidRPr="00211F88">
        <w:rPr>
          <w:noProof/>
        </w:rPr>
        <w:t>Campana</w:t>
      </w:r>
      <w:r w:rsidR="00D31158" w:rsidRPr="00211F88">
        <w:rPr>
          <w:noProof/>
        </w:rPr>
        <w:t xml:space="preserve"> </w:t>
      </w:r>
      <w:r w:rsidRPr="00211F88">
        <w:rPr>
          <w:noProof/>
        </w:rPr>
        <w:t>B,</w:t>
      </w:r>
      <w:r w:rsidR="00D31158" w:rsidRPr="00211F88">
        <w:rPr>
          <w:noProof/>
        </w:rPr>
        <w:t xml:space="preserve"> </w:t>
      </w:r>
      <w:r w:rsidRPr="00211F88">
        <w:rPr>
          <w:noProof/>
        </w:rPr>
        <w:t>Marfella</w:t>
      </w:r>
      <w:r w:rsidR="00D31158" w:rsidRPr="00211F88">
        <w:rPr>
          <w:noProof/>
        </w:rPr>
        <w:t xml:space="preserve"> </w:t>
      </w:r>
      <w:r w:rsidRPr="00211F88">
        <w:rPr>
          <w:noProof/>
        </w:rPr>
        <w:t>R,</w:t>
      </w:r>
      <w:r w:rsidR="00D31158" w:rsidRPr="00211F88">
        <w:rPr>
          <w:noProof/>
        </w:rPr>
        <w:t xml:space="preserve"> </w:t>
      </w:r>
      <w:r w:rsidRPr="00211F88">
        <w:rPr>
          <w:noProof/>
        </w:rPr>
        <w:t>Torella</w:t>
      </w:r>
      <w:r w:rsidR="00D31158" w:rsidRPr="00211F88">
        <w:rPr>
          <w:noProof/>
        </w:rPr>
        <w:t xml:space="preserve"> </w:t>
      </w:r>
      <w:r w:rsidRPr="00211F88">
        <w:rPr>
          <w:noProof/>
        </w:rPr>
        <w:t>M,</w:t>
      </w:r>
      <w:r w:rsidR="00D31158" w:rsidRPr="00211F88">
        <w:rPr>
          <w:noProof/>
        </w:rPr>
        <w:t xml:space="preserve"> </w:t>
      </w:r>
      <w:r w:rsidRPr="00211F88">
        <w:rPr>
          <w:noProof/>
        </w:rPr>
        <w:t>et</w:t>
      </w:r>
      <w:r w:rsidR="00D31158" w:rsidRPr="00211F88">
        <w:rPr>
          <w:noProof/>
        </w:rPr>
        <w:t xml:space="preserve"> </w:t>
      </w:r>
      <w:r w:rsidRPr="00211F88">
        <w:rPr>
          <w:noProof/>
        </w:rPr>
        <w:t>al.</w:t>
      </w:r>
      <w:r w:rsidR="00D31158" w:rsidRPr="00211F88">
        <w:rPr>
          <w:noProof/>
        </w:rPr>
        <w:t xml:space="preserve"> </w:t>
      </w:r>
      <w:r w:rsidRPr="00211F88">
        <w:rPr>
          <w:noProof/>
        </w:rPr>
        <w:t>Glucose</w:t>
      </w:r>
      <w:r w:rsidR="00D31158" w:rsidRPr="00211F88">
        <w:rPr>
          <w:noProof/>
        </w:rPr>
        <w:t xml:space="preserve"> </w:t>
      </w:r>
      <w:r w:rsidRPr="00211F88">
        <w:rPr>
          <w:noProof/>
        </w:rPr>
        <w:t>Metabolism</w:t>
      </w:r>
      <w:r w:rsidR="00D31158" w:rsidRPr="00211F88">
        <w:rPr>
          <w:noProof/>
        </w:rPr>
        <w:t xml:space="preserve"> </w:t>
      </w:r>
      <w:r w:rsidRPr="00211F88">
        <w:rPr>
          <w:noProof/>
        </w:rPr>
        <w:t>and</w:t>
      </w:r>
      <w:r w:rsidR="00D31158" w:rsidRPr="00211F88">
        <w:rPr>
          <w:noProof/>
        </w:rPr>
        <w:t xml:space="preserve"> </w:t>
      </w:r>
      <w:r w:rsidRPr="00211F88">
        <w:rPr>
          <w:noProof/>
        </w:rPr>
        <w:t>Coronary</w:t>
      </w:r>
      <w:r w:rsidR="00D31158" w:rsidRPr="00211F88">
        <w:rPr>
          <w:noProof/>
        </w:rPr>
        <w:t xml:space="preserve"> </w:t>
      </w:r>
      <w:r w:rsidRPr="00211F88">
        <w:rPr>
          <w:noProof/>
        </w:rPr>
        <w:t>Heart</w:t>
      </w:r>
      <w:r w:rsidR="00D31158" w:rsidRPr="00211F88">
        <w:rPr>
          <w:noProof/>
        </w:rPr>
        <w:t xml:space="preserve"> </w:t>
      </w:r>
      <w:r w:rsidRPr="00211F88">
        <w:rPr>
          <w:noProof/>
        </w:rPr>
        <w:t>Disease</w:t>
      </w:r>
      <w:r w:rsidR="00D31158" w:rsidRPr="00211F88">
        <w:rPr>
          <w:noProof/>
        </w:rPr>
        <w:t xml:space="preserve"> </w:t>
      </w:r>
      <w:r w:rsidRPr="00211F88">
        <w:rPr>
          <w:noProof/>
        </w:rPr>
        <w:t>in</w:t>
      </w:r>
      <w:r w:rsidR="00D31158" w:rsidRPr="00211F88">
        <w:rPr>
          <w:noProof/>
        </w:rPr>
        <w:t xml:space="preserve"> </w:t>
      </w:r>
      <w:r w:rsidRPr="00211F88">
        <w:rPr>
          <w:noProof/>
        </w:rPr>
        <w:t>Patients</w:t>
      </w:r>
      <w:r w:rsidR="00D31158" w:rsidRPr="00211F88">
        <w:rPr>
          <w:noProof/>
        </w:rPr>
        <w:t xml:space="preserve"> </w:t>
      </w:r>
      <w:r w:rsidRPr="00211F88">
        <w:rPr>
          <w:noProof/>
        </w:rPr>
        <w:t>With</w:t>
      </w:r>
      <w:r w:rsidR="00D31158" w:rsidRPr="00211F88">
        <w:rPr>
          <w:noProof/>
        </w:rPr>
        <w:t xml:space="preserve"> </w:t>
      </w:r>
      <w:r w:rsidRPr="00211F88">
        <w:rPr>
          <w:noProof/>
        </w:rPr>
        <w:t>Normal</w:t>
      </w:r>
      <w:r w:rsidR="00D31158" w:rsidRPr="00211F88">
        <w:rPr>
          <w:noProof/>
        </w:rPr>
        <w:t xml:space="preserve"> </w:t>
      </w:r>
      <w:r w:rsidRPr="00211F88">
        <w:rPr>
          <w:noProof/>
        </w:rPr>
        <w:t>Glucose</w:t>
      </w:r>
      <w:r w:rsidR="00D31158" w:rsidRPr="00211F88">
        <w:rPr>
          <w:noProof/>
        </w:rPr>
        <w:t xml:space="preserve"> </w:t>
      </w:r>
      <w:r w:rsidRPr="00211F88">
        <w:rPr>
          <w:noProof/>
        </w:rPr>
        <w:t>Tolerance.</w:t>
      </w:r>
      <w:r w:rsidR="00D31158" w:rsidRPr="00211F88">
        <w:rPr>
          <w:noProof/>
        </w:rPr>
        <w:t xml:space="preserve"> </w:t>
      </w:r>
      <w:r w:rsidRPr="00211F88">
        <w:rPr>
          <w:noProof/>
        </w:rPr>
        <w:t>JAMA</w:t>
      </w:r>
      <w:r w:rsidR="00D31158" w:rsidRPr="00211F88">
        <w:rPr>
          <w:noProof/>
        </w:rPr>
        <w:t xml:space="preserve"> </w:t>
      </w:r>
      <w:r w:rsidRPr="00211F88">
        <w:rPr>
          <w:noProof/>
        </w:rPr>
        <w:t>[Internet].</w:t>
      </w:r>
      <w:r w:rsidR="00D31158" w:rsidRPr="00211F88">
        <w:rPr>
          <w:noProof/>
        </w:rPr>
        <w:t xml:space="preserve"> </w:t>
      </w:r>
      <w:r w:rsidRPr="00211F88">
        <w:rPr>
          <w:noProof/>
        </w:rPr>
        <w:t>2004</w:t>
      </w:r>
      <w:r w:rsidR="00D31158" w:rsidRPr="00211F88">
        <w:rPr>
          <w:noProof/>
        </w:rPr>
        <w:t xml:space="preserve"> </w:t>
      </w:r>
      <w:r w:rsidRPr="00211F88">
        <w:rPr>
          <w:noProof/>
        </w:rPr>
        <w:t>Apr</w:t>
      </w:r>
      <w:r w:rsidR="00D31158" w:rsidRPr="00211F88">
        <w:rPr>
          <w:noProof/>
        </w:rPr>
        <w:t xml:space="preserve"> </w:t>
      </w:r>
      <w:r w:rsidRPr="00211F88">
        <w:rPr>
          <w:noProof/>
        </w:rPr>
        <w:t>21;291(15):1857–63.</w:t>
      </w:r>
      <w:r w:rsidR="00D31158" w:rsidRPr="00211F88">
        <w:rPr>
          <w:noProof/>
        </w:rPr>
        <w:t xml:space="preserve"> </w:t>
      </w:r>
      <w:r w:rsidRPr="00211F88">
        <w:rPr>
          <w:noProof/>
        </w:rPr>
        <w:t>Available</w:t>
      </w:r>
      <w:r w:rsidR="00D31158" w:rsidRPr="00211F88">
        <w:rPr>
          <w:noProof/>
        </w:rPr>
        <w:t xml:space="preserve"> </w:t>
      </w:r>
      <w:r w:rsidRPr="00211F88">
        <w:rPr>
          <w:noProof/>
        </w:rPr>
        <w:t>from:</w:t>
      </w:r>
      <w:r w:rsidR="00D31158" w:rsidRPr="00211F88">
        <w:rPr>
          <w:noProof/>
        </w:rPr>
        <w:t xml:space="preserve"> </w:t>
      </w:r>
      <w:r w:rsidRPr="00211F88">
        <w:rPr>
          <w:noProof/>
        </w:rPr>
        <w:t>https://doi.org/10.1001/jama.291.15.1857</w:t>
      </w:r>
      <w:r w:rsidR="002001D5" w:rsidRPr="00211F88">
        <w:rPr>
          <w:rFonts w:eastAsiaTheme="minorEastAsia" w:hint="eastAsia"/>
          <w:noProof/>
          <w:lang w:eastAsia="zh-CN"/>
        </w:rPr>
        <w:t>.</w:t>
      </w:r>
    </w:p>
    <w:p w:rsidR="00F5779D" w:rsidRPr="00211F88" w:rsidRDefault="00F5779D" w:rsidP="00837273">
      <w:pPr>
        <w:widowControl w:val="0"/>
        <w:numPr>
          <w:ilvl w:val="0"/>
          <w:numId w:val="25"/>
        </w:numPr>
        <w:autoSpaceDE w:val="0"/>
        <w:autoSpaceDN w:val="0"/>
        <w:adjustRightInd w:val="0"/>
        <w:snapToGrid w:val="0"/>
        <w:ind w:left="425" w:hanging="425"/>
        <w:jc w:val="both"/>
        <w:rPr>
          <w:noProof/>
        </w:rPr>
      </w:pPr>
      <w:r w:rsidRPr="00211F88">
        <w:rPr>
          <w:noProof/>
        </w:rPr>
        <w:t>Van</w:t>
      </w:r>
      <w:r w:rsidR="00D31158" w:rsidRPr="00211F88">
        <w:rPr>
          <w:noProof/>
        </w:rPr>
        <w:t xml:space="preserve"> </w:t>
      </w:r>
      <w:r w:rsidRPr="00211F88">
        <w:rPr>
          <w:noProof/>
        </w:rPr>
        <w:t>de</w:t>
      </w:r>
      <w:r w:rsidR="00D31158" w:rsidRPr="00211F88">
        <w:rPr>
          <w:noProof/>
        </w:rPr>
        <w:t xml:space="preserve"> </w:t>
      </w:r>
      <w:r w:rsidRPr="00211F88">
        <w:rPr>
          <w:noProof/>
        </w:rPr>
        <w:t>Werf</w:t>
      </w:r>
      <w:r w:rsidR="00D31158" w:rsidRPr="00211F88">
        <w:rPr>
          <w:noProof/>
        </w:rPr>
        <w:t xml:space="preserve"> </w:t>
      </w:r>
      <w:r w:rsidRPr="00211F88">
        <w:rPr>
          <w:noProof/>
        </w:rPr>
        <w:t>F,</w:t>
      </w:r>
      <w:r w:rsidR="00D31158" w:rsidRPr="00211F88">
        <w:rPr>
          <w:noProof/>
        </w:rPr>
        <w:t xml:space="preserve"> </w:t>
      </w:r>
      <w:r w:rsidRPr="00211F88">
        <w:rPr>
          <w:noProof/>
        </w:rPr>
        <w:t>Cardiology</w:t>
      </w:r>
      <w:r w:rsidR="00D31158" w:rsidRPr="00211F88">
        <w:rPr>
          <w:noProof/>
        </w:rPr>
        <w:t xml:space="preserve"> </w:t>
      </w:r>
      <w:r w:rsidRPr="00211F88">
        <w:rPr>
          <w:noProof/>
        </w:rPr>
        <w:t>TTF</w:t>
      </w:r>
      <w:r w:rsidR="00D31158" w:rsidRPr="00211F88">
        <w:rPr>
          <w:noProof/>
        </w:rPr>
        <w:t xml:space="preserve"> </w:t>
      </w:r>
      <w:r w:rsidRPr="00211F88">
        <w:rPr>
          <w:noProof/>
        </w:rPr>
        <w:t>on</w:t>
      </w:r>
      <w:r w:rsidR="00D31158" w:rsidRPr="00211F88">
        <w:rPr>
          <w:noProof/>
        </w:rPr>
        <w:t xml:space="preserve"> </w:t>
      </w:r>
      <w:r w:rsidRPr="00211F88">
        <w:rPr>
          <w:noProof/>
        </w:rPr>
        <w:t>the</w:t>
      </w:r>
      <w:r w:rsidR="00D31158" w:rsidRPr="00211F88">
        <w:rPr>
          <w:noProof/>
        </w:rPr>
        <w:t xml:space="preserve"> </w:t>
      </w:r>
      <w:r w:rsidRPr="00211F88">
        <w:rPr>
          <w:noProof/>
        </w:rPr>
        <w:t>M</w:t>
      </w:r>
      <w:r w:rsidR="00D31158" w:rsidRPr="00211F88">
        <w:rPr>
          <w:noProof/>
        </w:rPr>
        <w:t xml:space="preserve"> </w:t>
      </w:r>
      <w:r w:rsidRPr="00211F88">
        <w:rPr>
          <w:noProof/>
        </w:rPr>
        <w:t>of</w:t>
      </w:r>
      <w:r w:rsidR="00D31158" w:rsidRPr="00211F88">
        <w:rPr>
          <w:noProof/>
        </w:rPr>
        <w:t xml:space="preserve"> </w:t>
      </w:r>
      <w:r w:rsidRPr="00211F88">
        <w:rPr>
          <w:noProof/>
        </w:rPr>
        <w:t>AMI</w:t>
      </w:r>
      <w:r w:rsidR="00D31158" w:rsidRPr="00211F88">
        <w:rPr>
          <w:noProof/>
        </w:rPr>
        <w:t xml:space="preserve"> </w:t>
      </w:r>
      <w:r w:rsidRPr="00211F88">
        <w:rPr>
          <w:noProof/>
        </w:rPr>
        <w:t>of</w:t>
      </w:r>
      <w:r w:rsidR="00D31158" w:rsidRPr="00211F88">
        <w:rPr>
          <w:noProof/>
        </w:rPr>
        <w:t xml:space="preserve"> </w:t>
      </w:r>
      <w:r w:rsidRPr="00211F88">
        <w:rPr>
          <w:noProof/>
        </w:rPr>
        <w:t>the</w:t>
      </w:r>
      <w:r w:rsidR="00D31158" w:rsidRPr="00211F88">
        <w:rPr>
          <w:noProof/>
        </w:rPr>
        <w:t xml:space="preserve"> </w:t>
      </w:r>
      <w:r w:rsidRPr="00211F88">
        <w:rPr>
          <w:noProof/>
        </w:rPr>
        <w:t>ES</w:t>
      </w:r>
      <w:r w:rsidR="00D31158" w:rsidRPr="00211F88">
        <w:rPr>
          <w:noProof/>
        </w:rPr>
        <w:t xml:space="preserve"> </w:t>
      </w:r>
      <w:r w:rsidRPr="00211F88">
        <w:rPr>
          <w:noProof/>
        </w:rPr>
        <w:t>of,</w:t>
      </w:r>
      <w:r w:rsidR="00D31158" w:rsidRPr="00211F88">
        <w:rPr>
          <w:noProof/>
        </w:rPr>
        <w:t xml:space="preserve"> </w:t>
      </w:r>
      <w:r w:rsidRPr="00211F88">
        <w:rPr>
          <w:noProof/>
        </w:rPr>
        <w:t>Ardissino</w:t>
      </w:r>
      <w:r w:rsidR="00D31158" w:rsidRPr="00211F88">
        <w:rPr>
          <w:noProof/>
        </w:rPr>
        <w:t xml:space="preserve"> </w:t>
      </w:r>
      <w:r w:rsidRPr="00211F88">
        <w:rPr>
          <w:noProof/>
        </w:rPr>
        <w:t>D,</w:t>
      </w:r>
      <w:r w:rsidR="00D31158" w:rsidRPr="00211F88">
        <w:rPr>
          <w:noProof/>
        </w:rPr>
        <w:t xml:space="preserve"> </w:t>
      </w:r>
      <w:r w:rsidRPr="00211F88">
        <w:rPr>
          <w:noProof/>
        </w:rPr>
        <w:t>Cardiology</w:t>
      </w:r>
      <w:r w:rsidR="00D31158" w:rsidRPr="00211F88">
        <w:rPr>
          <w:noProof/>
        </w:rPr>
        <w:t xml:space="preserve"> </w:t>
      </w:r>
      <w:r w:rsidRPr="00211F88">
        <w:rPr>
          <w:noProof/>
        </w:rPr>
        <w:t>TTF</w:t>
      </w:r>
      <w:r w:rsidR="00D31158" w:rsidRPr="00211F88">
        <w:rPr>
          <w:noProof/>
        </w:rPr>
        <w:t xml:space="preserve"> </w:t>
      </w:r>
      <w:r w:rsidRPr="00211F88">
        <w:rPr>
          <w:noProof/>
        </w:rPr>
        <w:t>on</w:t>
      </w:r>
      <w:r w:rsidR="00D31158" w:rsidRPr="00211F88">
        <w:rPr>
          <w:noProof/>
        </w:rPr>
        <w:t xml:space="preserve"> </w:t>
      </w:r>
      <w:r w:rsidRPr="00211F88">
        <w:rPr>
          <w:noProof/>
        </w:rPr>
        <w:t>the</w:t>
      </w:r>
      <w:r w:rsidR="00D31158" w:rsidRPr="00211F88">
        <w:rPr>
          <w:noProof/>
        </w:rPr>
        <w:t xml:space="preserve"> </w:t>
      </w:r>
      <w:r w:rsidRPr="00211F88">
        <w:rPr>
          <w:noProof/>
        </w:rPr>
        <w:t>M</w:t>
      </w:r>
      <w:r w:rsidR="00D31158" w:rsidRPr="00211F88">
        <w:rPr>
          <w:noProof/>
        </w:rPr>
        <w:t xml:space="preserve"> </w:t>
      </w:r>
      <w:r w:rsidRPr="00211F88">
        <w:rPr>
          <w:noProof/>
        </w:rPr>
        <w:t>of</w:t>
      </w:r>
      <w:r w:rsidR="00D31158" w:rsidRPr="00211F88">
        <w:rPr>
          <w:noProof/>
        </w:rPr>
        <w:t xml:space="preserve"> </w:t>
      </w:r>
      <w:r w:rsidRPr="00211F88">
        <w:rPr>
          <w:noProof/>
        </w:rPr>
        <w:t>AMI</w:t>
      </w:r>
      <w:r w:rsidR="00D31158" w:rsidRPr="00211F88">
        <w:rPr>
          <w:noProof/>
        </w:rPr>
        <w:t xml:space="preserve"> </w:t>
      </w:r>
      <w:r w:rsidRPr="00211F88">
        <w:rPr>
          <w:noProof/>
        </w:rPr>
        <w:t>of</w:t>
      </w:r>
      <w:r w:rsidR="00D31158" w:rsidRPr="00211F88">
        <w:rPr>
          <w:noProof/>
        </w:rPr>
        <w:t xml:space="preserve"> </w:t>
      </w:r>
      <w:r w:rsidRPr="00211F88">
        <w:rPr>
          <w:noProof/>
        </w:rPr>
        <w:t>the</w:t>
      </w:r>
      <w:r w:rsidR="00D31158" w:rsidRPr="00211F88">
        <w:rPr>
          <w:noProof/>
        </w:rPr>
        <w:t xml:space="preserve"> </w:t>
      </w:r>
      <w:r w:rsidRPr="00211F88">
        <w:rPr>
          <w:noProof/>
        </w:rPr>
        <w:t>ES</w:t>
      </w:r>
      <w:r w:rsidR="00D31158" w:rsidRPr="00211F88">
        <w:rPr>
          <w:noProof/>
        </w:rPr>
        <w:t xml:space="preserve"> </w:t>
      </w:r>
      <w:r w:rsidRPr="00211F88">
        <w:rPr>
          <w:noProof/>
        </w:rPr>
        <w:t>of,</w:t>
      </w:r>
      <w:r w:rsidR="00D31158" w:rsidRPr="00211F88">
        <w:rPr>
          <w:noProof/>
        </w:rPr>
        <w:t xml:space="preserve"> </w:t>
      </w:r>
      <w:r w:rsidRPr="00211F88">
        <w:rPr>
          <w:noProof/>
        </w:rPr>
        <w:t>Betriu</w:t>
      </w:r>
      <w:r w:rsidR="00D31158" w:rsidRPr="00211F88">
        <w:rPr>
          <w:noProof/>
        </w:rPr>
        <w:t xml:space="preserve"> </w:t>
      </w:r>
      <w:r w:rsidRPr="00211F88">
        <w:rPr>
          <w:noProof/>
        </w:rPr>
        <w:t>A,</w:t>
      </w:r>
      <w:r w:rsidR="00D31158" w:rsidRPr="00211F88">
        <w:rPr>
          <w:noProof/>
        </w:rPr>
        <w:t xml:space="preserve"> </w:t>
      </w:r>
      <w:r w:rsidRPr="00211F88">
        <w:rPr>
          <w:noProof/>
        </w:rPr>
        <w:t>Cardiology</w:t>
      </w:r>
      <w:r w:rsidR="00D31158" w:rsidRPr="00211F88">
        <w:rPr>
          <w:noProof/>
        </w:rPr>
        <w:t xml:space="preserve"> </w:t>
      </w:r>
      <w:r w:rsidRPr="00211F88">
        <w:rPr>
          <w:noProof/>
        </w:rPr>
        <w:t>TTF</w:t>
      </w:r>
      <w:r w:rsidR="00D31158" w:rsidRPr="00211F88">
        <w:rPr>
          <w:noProof/>
        </w:rPr>
        <w:t xml:space="preserve"> </w:t>
      </w:r>
      <w:r w:rsidRPr="00211F88">
        <w:rPr>
          <w:noProof/>
        </w:rPr>
        <w:t>on</w:t>
      </w:r>
      <w:r w:rsidR="00D31158" w:rsidRPr="00211F88">
        <w:rPr>
          <w:noProof/>
        </w:rPr>
        <w:t xml:space="preserve"> </w:t>
      </w:r>
      <w:r w:rsidRPr="00211F88">
        <w:rPr>
          <w:noProof/>
        </w:rPr>
        <w:t>the</w:t>
      </w:r>
      <w:r w:rsidR="00D31158" w:rsidRPr="00211F88">
        <w:rPr>
          <w:noProof/>
        </w:rPr>
        <w:t xml:space="preserve"> </w:t>
      </w:r>
      <w:r w:rsidRPr="00211F88">
        <w:rPr>
          <w:noProof/>
        </w:rPr>
        <w:t>M</w:t>
      </w:r>
      <w:r w:rsidR="00D31158" w:rsidRPr="00211F88">
        <w:rPr>
          <w:noProof/>
        </w:rPr>
        <w:t xml:space="preserve"> </w:t>
      </w:r>
      <w:r w:rsidRPr="00211F88">
        <w:rPr>
          <w:noProof/>
        </w:rPr>
        <w:t>of</w:t>
      </w:r>
      <w:r w:rsidR="00D31158" w:rsidRPr="00211F88">
        <w:rPr>
          <w:noProof/>
        </w:rPr>
        <w:t xml:space="preserve"> </w:t>
      </w:r>
      <w:r w:rsidRPr="00211F88">
        <w:rPr>
          <w:noProof/>
        </w:rPr>
        <w:t>AMI</w:t>
      </w:r>
      <w:r w:rsidR="00D31158" w:rsidRPr="00211F88">
        <w:rPr>
          <w:noProof/>
        </w:rPr>
        <w:t xml:space="preserve"> </w:t>
      </w:r>
      <w:r w:rsidRPr="00211F88">
        <w:rPr>
          <w:noProof/>
        </w:rPr>
        <w:t>of</w:t>
      </w:r>
      <w:r w:rsidR="00D31158" w:rsidRPr="00211F88">
        <w:rPr>
          <w:noProof/>
        </w:rPr>
        <w:t xml:space="preserve"> </w:t>
      </w:r>
      <w:r w:rsidRPr="00211F88">
        <w:rPr>
          <w:noProof/>
        </w:rPr>
        <w:t>the</w:t>
      </w:r>
      <w:r w:rsidR="00D31158" w:rsidRPr="00211F88">
        <w:rPr>
          <w:noProof/>
        </w:rPr>
        <w:t xml:space="preserve"> </w:t>
      </w:r>
      <w:r w:rsidRPr="00211F88">
        <w:rPr>
          <w:noProof/>
        </w:rPr>
        <w:t>ES</w:t>
      </w:r>
      <w:r w:rsidR="00D31158" w:rsidRPr="00211F88">
        <w:rPr>
          <w:noProof/>
        </w:rPr>
        <w:t xml:space="preserve"> </w:t>
      </w:r>
      <w:r w:rsidRPr="00211F88">
        <w:rPr>
          <w:noProof/>
        </w:rPr>
        <w:t>of,</w:t>
      </w:r>
      <w:r w:rsidR="00D31158" w:rsidRPr="00211F88">
        <w:rPr>
          <w:noProof/>
        </w:rPr>
        <w:t xml:space="preserve"> </w:t>
      </w:r>
      <w:r w:rsidRPr="00211F88">
        <w:rPr>
          <w:noProof/>
        </w:rPr>
        <w:t>et</w:t>
      </w:r>
      <w:r w:rsidR="00D31158" w:rsidRPr="00211F88">
        <w:rPr>
          <w:noProof/>
        </w:rPr>
        <w:t xml:space="preserve"> </w:t>
      </w:r>
      <w:r w:rsidRPr="00211F88">
        <w:rPr>
          <w:noProof/>
        </w:rPr>
        <w:t>al.</w:t>
      </w:r>
      <w:r w:rsidR="00D31158" w:rsidRPr="00211F88">
        <w:rPr>
          <w:noProof/>
        </w:rPr>
        <w:t xml:space="preserve"> </w:t>
      </w:r>
      <w:r w:rsidRPr="00211F88">
        <w:rPr>
          <w:noProof/>
        </w:rPr>
        <w:t>Management</w:t>
      </w:r>
      <w:r w:rsidR="00D31158" w:rsidRPr="00211F88">
        <w:rPr>
          <w:noProof/>
        </w:rPr>
        <w:t xml:space="preserve"> </w:t>
      </w:r>
      <w:r w:rsidRPr="00211F88">
        <w:rPr>
          <w:noProof/>
        </w:rPr>
        <w:t>of</w:t>
      </w:r>
      <w:r w:rsidR="00D31158" w:rsidRPr="00211F88">
        <w:rPr>
          <w:noProof/>
        </w:rPr>
        <w:t xml:space="preserve"> </w:t>
      </w:r>
      <w:r w:rsidRPr="00211F88">
        <w:rPr>
          <w:noProof/>
        </w:rPr>
        <w:t>acute</w:t>
      </w:r>
      <w:r w:rsidR="00D31158" w:rsidRPr="00211F88">
        <w:rPr>
          <w:noProof/>
        </w:rPr>
        <w:t xml:space="preserve"> </w:t>
      </w:r>
      <w:r w:rsidRPr="00211F88">
        <w:rPr>
          <w:noProof/>
        </w:rPr>
        <w:t>myocardial</w:t>
      </w:r>
      <w:r w:rsidR="00D31158" w:rsidRPr="00211F88">
        <w:rPr>
          <w:noProof/>
        </w:rPr>
        <w:t xml:space="preserve"> </w:t>
      </w:r>
      <w:r w:rsidRPr="00211F88">
        <w:rPr>
          <w:noProof/>
        </w:rPr>
        <w:t>infarction</w:t>
      </w:r>
      <w:r w:rsidR="00D31158" w:rsidRPr="00211F88">
        <w:rPr>
          <w:noProof/>
        </w:rPr>
        <w:t xml:space="preserve"> </w:t>
      </w:r>
      <w:r w:rsidRPr="00211F88">
        <w:rPr>
          <w:noProof/>
        </w:rPr>
        <w:t>in</w:t>
      </w:r>
      <w:r w:rsidR="00D31158" w:rsidRPr="00211F88">
        <w:rPr>
          <w:noProof/>
        </w:rPr>
        <w:t xml:space="preserve"> </w:t>
      </w:r>
      <w:r w:rsidRPr="00211F88">
        <w:rPr>
          <w:noProof/>
        </w:rPr>
        <w:t>patients</w:t>
      </w:r>
      <w:r w:rsidR="00D31158" w:rsidRPr="00211F88">
        <w:rPr>
          <w:noProof/>
        </w:rPr>
        <w:t xml:space="preserve"> </w:t>
      </w:r>
      <w:r w:rsidRPr="00211F88">
        <w:rPr>
          <w:noProof/>
        </w:rPr>
        <w:t>presenting</w:t>
      </w:r>
      <w:r w:rsidR="00D31158" w:rsidRPr="00211F88">
        <w:rPr>
          <w:noProof/>
        </w:rPr>
        <w:t xml:space="preserve"> </w:t>
      </w:r>
      <w:r w:rsidRPr="00211F88">
        <w:rPr>
          <w:noProof/>
        </w:rPr>
        <w:t>with</w:t>
      </w:r>
      <w:r w:rsidR="00D31158" w:rsidRPr="00211F88">
        <w:rPr>
          <w:noProof/>
        </w:rPr>
        <w:t xml:space="preserve"> </w:t>
      </w:r>
      <w:r w:rsidRPr="00211F88">
        <w:rPr>
          <w:noProof/>
        </w:rPr>
        <w:t>ST-segment</w:t>
      </w:r>
      <w:r w:rsidR="00D31158" w:rsidRPr="00211F88">
        <w:rPr>
          <w:noProof/>
        </w:rPr>
        <w:t xml:space="preserve"> </w:t>
      </w:r>
      <w:r w:rsidRPr="00211F88">
        <w:rPr>
          <w:noProof/>
        </w:rPr>
        <w:t>elevation.</w:t>
      </w:r>
      <w:r w:rsidR="00D31158" w:rsidRPr="00211F88">
        <w:rPr>
          <w:noProof/>
        </w:rPr>
        <w:t xml:space="preserve"> </w:t>
      </w:r>
      <w:r w:rsidRPr="00211F88">
        <w:rPr>
          <w:noProof/>
        </w:rPr>
        <w:t>Eur</w:t>
      </w:r>
      <w:r w:rsidR="00D31158" w:rsidRPr="00211F88">
        <w:rPr>
          <w:noProof/>
        </w:rPr>
        <w:t xml:space="preserve"> </w:t>
      </w:r>
      <w:r w:rsidRPr="00211F88">
        <w:rPr>
          <w:noProof/>
        </w:rPr>
        <w:t>Heart</w:t>
      </w:r>
      <w:r w:rsidR="00D31158" w:rsidRPr="00211F88">
        <w:rPr>
          <w:noProof/>
        </w:rPr>
        <w:t xml:space="preserve"> </w:t>
      </w:r>
      <w:r w:rsidRPr="00211F88">
        <w:rPr>
          <w:noProof/>
        </w:rPr>
        <w:t>J</w:t>
      </w:r>
      <w:r w:rsidR="00D31158" w:rsidRPr="00211F88">
        <w:rPr>
          <w:noProof/>
        </w:rPr>
        <w:t xml:space="preserve"> </w:t>
      </w:r>
      <w:r w:rsidRPr="00211F88">
        <w:rPr>
          <w:noProof/>
        </w:rPr>
        <w:t>[Internet].</w:t>
      </w:r>
      <w:r w:rsidR="00D31158" w:rsidRPr="00211F88">
        <w:rPr>
          <w:noProof/>
        </w:rPr>
        <w:t xml:space="preserve"> </w:t>
      </w:r>
      <w:r w:rsidRPr="00211F88">
        <w:rPr>
          <w:noProof/>
        </w:rPr>
        <w:t>2003</w:t>
      </w:r>
      <w:r w:rsidR="00D31158" w:rsidRPr="00211F88">
        <w:rPr>
          <w:noProof/>
        </w:rPr>
        <w:t xml:space="preserve"> </w:t>
      </w:r>
      <w:r w:rsidRPr="00211F88">
        <w:rPr>
          <w:noProof/>
        </w:rPr>
        <w:t>Jan</w:t>
      </w:r>
      <w:r w:rsidR="00D31158" w:rsidRPr="00211F88">
        <w:rPr>
          <w:noProof/>
        </w:rPr>
        <w:t xml:space="preserve"> </w:t>
      </w:r>
      <w:r w:rsidRPr="00211F88">
        <w:rPr>
          <w:noProof/>
        </w:rPr>
        <w:t>1;24(1):28–66.</w:t>
      </w:r>
      <w:r w:rsidR="00D31158" w:rsidRPr="00211F88">
        <w:rPr>
          <w:noProof/>
        </w:rPr>
        <w:t xml:space="preserve"> </w:t>
      </w:r>
      <w:r w:rsidRPr="00211F88">
        <w:rPr>
          <w:noProof/>
        </w:rPr>
        <w:t>Available</w:t>
      </w:r>
      <w:r w:rsidR="00D31158" w:rsidRPr="00211F88">
        <w:rPr>
          <w:noProof/>
        </w:rPr>
        <w:t xml:space="preserve"> </w:t>
      </w:r>
      <w:r w:rsidRPr="00211F88">
        <w:rPr>
          <w:noProof/>
        </w:rPr>
        <w:t>from:</w:t>
      </w:r>
      <w:r w:rsidR="00D31158" w:rsidRPr="00211F88">
        <w:rPr>
          <w:noProof/>
        </w:rPr>
        <w:t xml:space="preserve"> </w:t>
      </w:r>
      <w:r w:rsidRPr="00211F88">
        <w:rPr>
          <w:noProof/>
        </w:rPr>
        <w:t>https://doi.org/10.1016/S0195-668</w:t>
      </w:r>
      <w:r w:rsidR="00D31158" w:rsidRPr="00211F88">
        <w:rPr>
          <w:noProof/>
        </w:rPr>
        <w:t>X (</w:t>
      </w:r>
      <w:r w:rsidRPr="00211F88">
        <w:rPr>
          <w:noProof/>
        </w:rPr>
        <w:t>02)00618-8</w:t>
      </w:r>
      <w:r w:rsidR="002001D5" w:rsidRPr="00211F88">
        <w:rPr>
          <w:rFonts w:eastAsiaTheme="minorEastAsia" w:hint="eastAsia"/>
          <w:noProof/>
          <w:lang w:eastAsia="zh-CN"/>
        </w:rPr>
        <w:t>.</w:t>
      </w:r>
    </w:p>
    <w:p w:rsidR="00D31158" w:rsidRPr="00211F88" w:rsidRDefault="00F5779D" w:rsidP="00837273">
      <w:pPr>
        <w:widowControl w:val="0"/>
        <w:numPr>
          <w:ilvl w:val="0"/>
          <w:numId w:val="25"/>
        </w:numPr>
        <w:autoSpaceDE w:val="0"/>
        <w:autoSpaceDN w:val="0"/>
        <w:adjustRightInd w:val="0"/>
        <w:snapToGrid w:val="0"/>
        <w:ind w:left="425" w:hanging="425"/>
        <w:jc w:val="both"/>
        <w:rPr>
          <w:noProof/>
        </w:rPr>
      </w:pPr>
      <w:r w:rsidRPr="00211F88">
        <w:rPr>
          <w:noProof/>
        </w:rPr>
        <w:t>Yan</w:t>
      </w:r>
      <w:r w:rsidR="00D31158" w:rsidRPr="00211F88">
        <w:rPr>
          <w:noProof/>
        </w:rPr>
        <w:t xml:space="preserve"> </w:t>
      </w:r>
      <w:r w:rsidRPr="00211F88">
        <w:rPr>
          <w:noProof/>
        </w:rPr>
        <w:t>Q.</w:t>
      </w:r>
      <w:r w:rsidR="00D31158" w:rsidRPr="00211F88">
        <w:rPr>
          <w:noProof/>
        </w:rPr>
        <w:t xml:space="preserve"> </w:t>
      </w:r>
      <w:r w:rsidRPr="00211F88">
        <w:rPr>
          <w:noProof/>
        </w:rPr>
        <w:t>Toward</w:t>
      </w:r>
      <w:r w:rsidR="00D31158" w:rsidRPr="00211F88">
        <w:rPr>
          <w:noProof/>
        </w:rPr>
        <w:t xml:space="preserve"> </w:t>
      </w:r>
      <w:r w:rsidRPr="00211F88">
        <w:rPr>
          <w:noProof/>
        </w:rPr>
        <w:t>dynamical</w:t>
      </w:r>
      <w:r w:rsidR="00D31158" w:rsidRPr="00211F88">
        <w:rPr>
          <w:noProof/>
        </w:rPr>
        <w:t xml:space="preserve"> </w:t>
      </w:r>
      <w:r w:rsidRPr="00211F88">
        <w:rPr>
          <w:noProof/>
        </w:rPr>
        <w:t>systems</w:t>
      </w:r>
      <w:r w:rsidR="00D31158" w:rsidRPr="00211F88">
        <w:rPr>
          <w:noProof/>
        </w:rPr>
        <w:t xml:space="preserve"> </w:t>
      </w:r>
      <w:r w:rsidRPr="00211F88">
        <w:rPr>
          <w:noProof/>
        </w:rPr>
        <w:t>medicine:</w:t>
      </w:r>
      <w:r w:rsidR="00D31158" w:rsidRPr="00211F88">
        <w:rPr>
          <w:noProof/>
        </w:rPr>
        <w:t xml:space="preserve"> </w:t>
      </w:r>
      <w:r w:rsidRPr="00211F88">
        <w:rPr>
          <w:noProof/>
        </w:rPr>
        <w:t>personalized</w:t>
      </w:r>
      <w:r w:rsidR="00D31158" w:rsidRPr="00211F88">
        <w:rPr>
          <w:noProof/>
        </w:rPr>
        <w:t xml:space="preserve"> </w:t>
      </w:r>
      <w:r w:rsidRPr="00211F88">
        <w:rPr>
          <w:noProof/>
        </w:rPr>
        <w:t>and</w:t>
      </w:r>
      <w:r w:rsidR="00D31158" w:rsidRPr="00211F88">
        <w:rPr>
          <w:noProof/>
        </w:rPr>
        <w:t xml:space="preserve"> </w:t>
      </w:r>
      <w:r w:rsidRPr="00211F88">
        <w:rPr>
          <w:noProof/>
        </w:rPr>
        <w:t>preventive</w:t>
      </w:r>
      <w:r w:rsidR="00D31158" w:rsidRPr="00211F88">
        <w:rPr>
          <w:noProof/>
        </w:rPr>
        <w:t xml:space="preserve"> </w:t>
      </w:r>
      <w:r w:rsidRPr="00211F88">
        <w:rPr>
          <w:noProof/>
        </w:rPr>
        <w:t>strategies.</w:t>
      </w:r>
      <w:r w:rsidR="00D31158" w:rsidRPr="00211F88">
        <w:rPr>
          <w:noProof/>
        </w:rPr>
        <w:t xml:space="preserve"> </w:t>
      </w:r>
      <w:r w:rsidRPr="00211F88">
        <w:rPr>
          <w:noProof/>
        </w:rPr>
        <w:t>Per</w:t>
      </w:r>
      <w:r w:rsidR="00D31158" w:rsidRPr="00211F88">
        <w:rPr>
          <w:noProof/>
        </w:rPr>
        <w:t xml:space="preserve"> </w:t>
      </w:r>
      <w:r w:rsidRPr="00211F88">
        <w:rPr>
          <w:noProof/>
        </w:rPr>
        <w:t>Med</w:t>
      </w:r>
      <w:r w:rsidR="00D31158" w:rsidRPr="00211F88">
        <w:rPr>
          <w:noProof/>
        </w:rPr>
        <w:t xml:space="preserve"> </w:t>
      </w:r>
      <w:r w:rsidRPr="00211F88">
        <w:rPr>
          <w:noProof/>
        </w:rPr>
        <w:t>[Internet].</w:t>
      </w:r>
      <w:r w:rsidR="00D31158" w:rsidRPr="00211F88">
        <w:rPr>
          <w:noProof/>
        </w:rPr>
        <w:t xml:space="preserve"> </w:t>
      </w:r>
      <w:r w:rsidRPr="00211F88">
        <w:rPr>
          <w:noProof/>
        </w:rPr>
        <w:t>2017</w:t>
      </w:r>
      <w:r w:rsidR="00D31158" w:rsidRPr="00211F88">
        <w:rPr>
          <w:noProof/>
        </w:rPr>
        <w:t xml:space="preserve"> </w:t>
      </w:r>
      <w:r w:rsidRPr="00211F88">
        <w:rPr>
          <w:noProof/>
        </w:rPr>
        <w:t>Sep</w:t>
      </w:r>
      <w:r w:rsidR="00D31158" w:rsidRPr="00211F88">
        <w:rPr>
          <w:noProof/>
        </w:rPr>
        <w:t xml:space="preserve"> </w:t>
      </w:r>
      <w:r w:rsidRPr="00211F88">
        <w:rPr>
          <w:noProof/>
        </w:rPr>
        <w:t>1;14(5):551–4.</w:t>
      </w:r>
      <w:r w:rsidR="00D31158" w:rsidRPr="00211F88">
        <w:rPr>
          <w:noProof/>
        </w:rPr>
        <w:t xml:space="preserve"> </w:t>
      </w:r>
      <w:r w:rsidRPr="00211F88">
        <w:rPr>
          <w:noProof/>
        </w:rPr>
        <w:t>Available</w:t>
      </w:r>
      <w:r w:rsidR="00D31158" w:rsidRPr="00211F88">
        <w:rPr>
          <w:noProof/>
        </w:rPr>
        <w:t xml:space="preserve"> </w:t>
      </w:r>
      <w:r w:rsidRPr="00211F88">
        <w:rPr>
          <w:noProof/>
        </w:rPr>
        <w:t>from:</w:t>
      </w:r>
      <w:r w:rsidR="00D31158" w:rsidRPr="00211F88">
        <w:rPr>
          <w:noProof/>
        </w:rPr>
        <w:t xml:space="preserve"> </w:t>
      </w:r>
      <w:r w:rsidRPr="00211F88">
        <w:rPr>
          <w:noProof/>
        </w:rPr>
        <w:t>https://doi.org/10.2217/pme-2017-0030</w:t>
      </w:r>
      <w:r w:rsidR="002001D5" w:rsidRPr="00211F88">
        <w:rPr>
          <w:rFonts w:eastAsiaTheme="minorEastAsia" w:hint="eastAsia"/>
          <w:noProof/>
          <w:lang w:eastAsia="zh-CN"/>
        </w:rPr>
        <w:t>.</w:t>
      </w:r>
    </w:p>
    <w:p w:rsidR="00F5779D" w:rsidRPr="00211F88" w:rsidRDefault="00F5779D" w:rsidP="00837273">
      <w:pPr>
        <w:widowControl w:val="0"/>
        <w:numPr>
          <w:ilvl w:val="0"/>
          <w:numId w:val="25"/>
        </w:numPr>
        <w:autoSpaceDE w:val="0"/>
        <w:autoSpaceDN w:val="0"/>
        <w:adjustRightInd w:val="0"/>
        <w:snapToGrid w:val="0"/>
        <w:ind w:left="425" w:hanging="425"/>
        <w:jc w:val="both"/>
        <w:rPr>
          <w:noProof/>
        </w:rPr>
      </w:pPr>
      <w:r w:rsidRPr="00211F88">
        <w:rPr>
          <w:noProof/>
        </w:rPr>
        <w:t>Farrokhi</w:t>
      </w:r>
      <w:r w:rsidR="00D31158" w:rsidRPr="00211F88">
        <w:rPr>
          <w:noProof/>
        </w:rPr>
        <w:t xml:space="preserve"> </w:t>
      </w:r>
      <w:r w:rsidRPr="00211F88">
        <w:rPr>
          <w:noProof/>
        </w:rPr>
        <w:t>F,</w:t>
      </w:r>
      <w:r w:rsidR="00D31158" w:rsidRPr="00211F88">
        <w:rPr>
          <w:noProof/>
        </w:rPr>
        <w:t xml:space="preserve"> </w:t>
      </w:r>
      <w:r w:rsidRPr="00211F88">
        <w:rPr>
          <w:noProof/>
        </w:rPr>
        <w:t>Smiley</w:t>
      </w:r>
      <w:r w:rsidR="00D31158" w:rsidRPr="00211F88">
        <w:rPr>
          <w:noProof/>
        </w:rPr>
        <w:t xml:space="preserve"> </w:t>
      </w:r>
      <w:r w:rsidRPr="00211F88">
        <w:rPr>
          <w:noProof/>
        </w:rPr>
        <w:t>D,</w:t>
      </w:r>
      <w:r w:rsidR="00D31158" w:rsidRPr="00211F88">
        <w:rPr>
          <w:noProof/>
        </w:rPr>
        <w:t xml:space="preserve"> </w:t>
      </w:r>
      <w:r w:rsidRPr="00211F88">
        <w:rPr>
          <w:noProof/>
        </w:rPr>
        <w:t>Umpierrez</w:t>
      </w:r>
      <w:r w:rsidR="00D31158" w:rsidRPr="00211F88">
        <w:rPr>
          <w:noProof/>
        </w:rPr>
        <w:t xml:space="preserve"> </w:t>
      </w:r>
      <w:r w:rsidRPr="00211F88">
        <w:rPr>
          <w:noProof/>
        </w:rPr>
        <w:t>GE.</w:t>
      </w:r>
      <w:r w:rsidR="00D31158" w:rsidRPr="00211F88">
        <w:rPr>
          <w:noProof/>
        </w:rPr>
        <w:t xml:space="preserve"> </w:t>
      </w:r>
      <w:r w:rsidRPr="00211F88">
        <w:rPr>
          <w:noProof/>
        </w:rPr>
        <w:t>Glycemic</w:t>
      </w:r>
      <w:r w:rsidR="00D31158" w:rsidRPr="00211F88">
        <w:rPr>
          <w:noProof/>
        </w:rPr>
        <w:t xml:space="preserve"> </w:t>
      </w:r>
      <w:r w:rsidRPr="00211F88">
        <w:rPr>
          <w:noProof/>
        </w:rPr>
        <w:t>control</w:t>
      </w:r>
      <w:r w:rsidR="00D31158" w:rsidRPr="00211F88">
        <w:rPr>
          <w:noProof/>
        </w:rPr>
        <w:t xml:space="preserve"> </w:t>
      </w:r>
      <w:r w:rsidRPr="00211F88">
        <w:rPr>
          <w:noProof/>
        </w:rPr>
        <w:t>in</w:t>
      </w:r>
      <w:r w:rsidR="00D31158" w:rsidRPr="00211F88">
        <w:rPr>
          <w:noProof/>
        </w:rPr>
        <w:t xml:space="preserve"> </w:t>
      </w:r>
      <w:r w:rsidRPr="00211F88">
        <w:rPr>
          <w:noProof/>
        </w:rPr>
        <w:t>non-diabetic</w:t>
      </w:r>
      <w:r w:rsidR="00D31158" w:rsidRPr="00211F88">
        <w:rPr>
          <w:noProof/>
        </w:rPr>
        <w:t xml:space="preserve"> </w:t>
      </w:r>
      <w:r w:rsidRPr="00211F88">
        <w:rPr>
          <w:noProof/>
        </w:rPr>
        <w:t>critically</w:t>
      </w:r>
      <w:r w:rsidR="00D31158" w:rsidRPr="00211F88">
        <w:rPr>
          <w:noProof/>
        </w:rPr>
        <w:t xml:space="preserve"> </w:t>
      </w:r>
      <w:r w:rsidRPr="00211F88">
        <w:rPr>
          <w:noProof/>
        </w:rPr>
        <w:t>ill</w:t>
      </w:r>
      <w:r w:rsidR="00D31158" w:rsidRPr="00211F88">
        <w:rPr>
          <w:noProof/>
        </w:rPr>
        <w:t xml:space="preserve"> </w:t>
      </w:r>
      <w:r w:rsidRPr="00211F88">
        <w:rPr>
          <w:noProof/>
        </w:rPr>
        <w:t>patients.</w:t>
      </w:r>
      <w:r w:rsidR="00D31158" w:rsidRPr="00211F88">
        <w:rPr>
          <w:noProof/>
        </w:rPr>
        <w:t xml:space="preserve"> </w:t>
      </w:r>
      <w:r w:rsidRPr="00211F88">
        <w:rPr>
          <w:noProof/>
        </w:rPr>
        <w:t>Best</w:t>
      </w:r>
      <w:r w:rsidR="00D31158" w:rsidRPr="00211F88">
        <w:rPr>
          <w:noProof/>
        </w:rPr>
        <w:t xml:space="preserve"> </w:t>
      </w:r>
      <w:r w:rsidRPr="00211F88">
        <w:rPr>
          <w:noProof/>
        </w:rPr>
        <w:lastRenderedPageBreak/>
        <w:t>Pract</w:t>
      </w:r>
      <w:r w:rsidR="00D31158" w:rsidRPr="00211F88">
        <w:rPr>
          <w:noProof/>
        </w:rPr>
        <w:t xml:space="preserve"> </w:t>
      </w:r>
      <w:r w:rsidRPr="00211F88">
        <w:rPr>
          <w:noProof/>
        </w:rPr>
        <w:t>Res</w:t>
      </w:r>
      <w:r w:rsidR="00D31158" w:rsidRPr="00211F88">
        <w:rPr>
          <w:noProof/>
        </w:rPr>
        <w:t xml:space="preserve"> </w:t>
      </w:r>
      <w:r w:rsidRPr="00211F88">
        <w:rPr>
          <w:noProof/>
        </w:rPr>
        <w:t>Clin</w:t>
      </w:r>
      <w:r w:rsidR="00D31158" w:rsidRPr="00211F88">
        <w:rPr>
          <w:noProof/>
        </w:rPr>
        <w:t xml:space="preserve"> </w:t>
      </w:r>
      <w:r w:rsidRPr="00211F88">
        <w:rPr>
          <w:noProof/>
        </w:rPr>
        <w:t>Endocrinol</w:t>
      </w:r>
      <w:r w:rsidR="00D31158" w:rsidRPr="00211F88">
        <w:rPr>
          <w:noProof/>
        </w:rPr>
        <w:t xml:space="preserve"> </w:t>
      </w:r>
      <w:r w:rsidRPr="00211F88">
        <w:rPr>
          <w:noProof/>
        </w:rPr>
        <w:t>Metab</w:t>
      </w:r>
      <w:r w:rsidR="00D31158" w:rsidRPr="00211F88">
        <w:rPr>
          <w:noProof/>
        </w:rPr>
        <w:t xml:space="preserve"> </w:t>
      </w:r>
      <w:r w:rsidRPr="00211F88">
        <w:rPr>
          <w:noProof/>
        </w:rPr>
        <w:t>[Internet].</w:t>
      </w:r>
      <w:r w:rsidR="00D31158" w:rsidRPr="00211F88">
        <w:rPr>
          <w:noProof/>
        </w:rPr>
        <w:t xml:space="preserve"> </w:t>
      </w:r>
      <w:r w:rsidRPr="00211F88">
        <w:rPr>
          <w:noProof/>
        </w:rPr>
        <w:t>2011;25(5):813–24.</w:t>
      </w:r>
      <w:r w:rsidR="00D31158" w:rsidRPr="00211F88">
        <w:rPr>
          <w:noProof/>
        </w:rPr>
        <w:t xml:space="preserve"> </w:t>
      </w:r>
      <w:r w:rsidRPr="00211F88">
        <w:rPr>
          <w:noProof/>
        </w:rPr>
        <w:t>Available</w:t>
      </w:r>
      <w:r w:rsidR="00D31158" w:rsidRPr="00211F88">
        <w:rPr>
          <w:noProof/>
        </w:rPr>
        <w:t xml:space="preserve"> </w:t>
      </w:r>
      <w:r w:rsidRPr="00211F88">
        <w:rPr>
          <w:noProof/>
        </w:rPr>
        <w:t>from:</w:t>
      </w:r>
      <w:r w:rsidR="00D31158" w:rsidRPr="00211F88">
        <w:rPr>
          <w:noProof/>
        </w:rPr>
        <w:t xml:space="preserve"> </w:t>
      </w:r>
      <w:r w:rsidRPr="00211F88">
        <w:rPr>
          <w:noProof/>
        </w:rPr>
        <w:t>http://www.sciencedirect.com/science/article/pii/S1521690X11000546</w:t>
      </w:r>
      <w:r w:rsidR="002001D5" w:rsidRPr="00211F88">
        <w:rPr>
          <w:rFonts w:eastAsiaTheme="minorEastAsia" w:hint="eastAsia"/>
          <w:noProof/>
          <w:lang w:eastAsia="zh-CN"/>
        </w:rPr>
        <w:t>.</w:t>
      </w:r>
    </w:p>
    <w:p w:rsidR="0017465B" w:rsidRPr="00211F88" w:rsidRDefault="0017465B" w:rsidP="00837273">
      <w:pPr>
        <w:widowControl w:val="0"/>
        <w:numPr>
          <w:ilvl w:val="0"/>
          <w:numId w:val="25"/>
        </w:numPr>
        <w:autoSpaceDE w:val="0"/>
        <w:autoSpaceDN w:val="0"/>
        <w:adjustRightInd w:val="0"/>
        <w:snapToGrid w:val="0"/>
        <w:ind w:left="425" w:hanging="425"/>
        <w:jc w:val="both"/>
        <w:rPr>
          <w:noProof/>
        </w:rPr>
      </w:pPr>
      <w:r w:rsidRPr="00211F88">
        <w:rPr>
          <w:noProof/>
        </w:rPr>
        <w:t>Worthley</w:t>
      </w:r>
      <w:r w:rsidR="00D31158" w:rsidRPr="00211F88">
        <w:rPr>
          <w:noProof/>
        </w:rPr>
        <w:t xml:space="preserve"> </w:t>
      </w:r>
      <w:r w:rsidRPr="00211F88">
        <w:rPr>
          <w:noProof/>
        </w:rPr>
        <w:t>MI,</w:t>
      </w:r>
      <w:r w:rsidR="00D31158" w:rsidRPr="00211F88">
        <w:rPr>
          <w:noProof/>
        </w:rPr>
        <w:t xml:space="preserve"> </w:t>
      </w:r>
      <w:r w:rsidRPr="00211F88">
        <w:rPr>
          <w:noProof/>
        </w:rPr>
        <w:t>Shrive</w:t>
      </w:r>
      <w:r w:rsidR="00D31158" w:rsidRPr="00211F88">
        <w:rPr>
          <w:noProof/>
        </w:rPr>
        <w:t xml:space="preserve"> </w:t>
      </w:r>
      <w:r w:rsidRPr="00211F88">
        <w:rPr>
          <w:noProof/>
        </w:rPr>
        <w:t>FM,</w:t>
      </w:r>
      <w:r w:rsidR="00D31158" w:rsidRPr="00211F88">
        <w:rPr>
          <w:noProof/>
        </w:rPr>
        <w:t xml:space="preserve"> </w:t>
      </w:r>
      <w:r w:rsidRPr="00211F88">
        <w:rPr>
          <w:noProof/>
        </w:rPr>
        <w:t>Anderson</w:t>
      </w:r>
      <w:r w:rsidR="00D31158" w:rsidRPr="00211F88">
        <w:rPr>
          <w:noProof/>
        </w:rPr>
        <w:t xml:space="preserve"> </w:t>
      </w:r>
      <w:r w:rsidRPr="00211F88">
        <w:rPr>
          <w:noProof/>
        </w:rPr>
        <w:t>TJ,</w:t>
      </w:r>
      <w:r w:rsidR="00D31158" w:rsidRPr="00211F88">
        <w:rPr>
          <w:noProof/>
        </w:rPr>
        <w:t xml:space="preserve"> </w:t>
      </w:r>
      <w:r w:rsidRPr="00211F88">
        <w:rPr>
          <w:noProof/>
        </w:rPr>
        <w:t>Traboulsi</w:t>
      </w:r>
      <w:r w:rsidR="00D31158" w:rsidRPr="00211F88">
        <w:rPr>
          <w:noProof/>
        </w:rPr>
        <w:t xml:space="preserve"> </w:t>
      </w:r>
      <w:r w:rsidRPr="00211F88">
        <w:rPr>
          <w:noProof/>
        </w:rPr>
        <w:t>M.</w:t>
      </w:r>
      <w:r w:rsidR="00D31158" w:rsidRPr="00211F88">
        <w:rPr>
          <w:noProof/>
        </w:rPr>
        <w:t xml:space="preserve"> </w:t>
      </w:r>
      <w:r w:rsidRPr="00211F88">
        <w:rPr>
          <w:noProof/>
        </w:rPr>
        <w:t>Prognostic</w:t>
      </w:r>
      <w:r w:rsidR="00D31158" w:rsidRPr="00211F88">
        <w:rPr>
          <w:noProof/>
        </w:rPr>
        <w:t xml:space="preserve"> </w:t>
      </w:r>
      <w:r w:rsidRPr="00211F88">
        <w:rPr>
          <w:noProof/>
        </w:rPr>
        <w:t>Implication</w:t>
      </w:r>
      <w:r w:rsidR="00D31158" w:rsidRPr="00211F88">
        <w:rPr>
          <w:noProof/>
        </w:rPr>
        <w:t xml:space="preserve"> </w:t>
      </w:r>
      <w:r w:rsidRPr="00211F88">
        <w:rPr>
          <w:noProof/>
        </w:rPr>
        <w:t>of</w:t>
      </w:r>
      <w:r w:rsidR="00D31158" w:rsidRPr="00211F88">
        <w:rPr>
          <w:noProof/>
        </w:rPr>
        <w:t xml:space="preserve"> </w:t>
      </w:r>
      <w:r w:rsidRPr="00211F88">
        <w:rPr>
          <w:noProof/>
        </w:rPr>
        <w:t>Hyperglycemia</w:t>
      </w:r>
      <w:r w:rsidR="00D31158" w:rsidRPr="00211F88">
        <w:rPr>
          <w:noProof/>
        </w:rPr>
        <w:t xml:space="preserve"> </w:t>
      </w:r>
      <w:r w:rsidRPr="00211F88">
        <w:rPr>
          <w:noProof/>
        </w:rPr>
        <w:t>in</w:t>
      </w:r>
      <w:r w:rsidR="00D31158" w:rsidRPr="00211F88">
        <w:rPr>
          <w:noProof/>
        </w:rPr>
        <w:t xml:space="preserve"> </w:t>
      </w:r>
      <w:r w:rsidRPr="00211F88">
        <w:rPr>
          <w:noProof/>
        </w:rPr>
        <w:t>Myocardial</w:t>
      </w:r>
      <w:r w:rsidR="00D31158" w:rsidRPr="00211F88">
        <w:rPr>
          <w:noProof/>
        </w:rPr>
        <w:t xml:space="preserve"> </w:t>
      </w:r>
      <w:r w:rsidRPr="00211F88">
        <w:rPr>
          <w:noProof/>
        </w:rPr>
        <w:t>Infarction</w:t>
      </w:r>
      <w:r w:rsidR="00D31158" w:rsidRPr="00211F88">
        <w:rPr>
          <w:noProof/>
        </w:rPr>
        <w:t xml:space="preserve"> </w:t>
      </w:r>
      <w:r w:rsidRPr="00211F88">
        <w:rPr>
          <w:noProof/>
        </w:rPr>
        <w:t>and</w:t>
      </w:r>
      <w:r w:rsidR="00D31158" w:rsidRPr="00211F88">
        <w:rPr>
          <w:noProof/>
        </w:rPr>
        <w:t xml:space="preserve"> </w:t>
      </w:r>
      <w:r w:rsidRPr="00211F88">
        <w:rPr>
          <w:noProof/>
        </w:rPr>
        <w:t>Primary</w:t>
      </w:r>
      <w:r w:rsidR="00D31158" w:rsidRPr="00211F88">
        <w:rPr>
          <w:noProof/>
        </w:rPr>
        <w:t xml:space="preserve"> </w:t>
      </w:r>
      <w:r w:rsidRPr="00211F88">
        <w:rPr>
          <w:noProof/>
        </w:rPr>
        <w:t>Angioplasty.</w:t>
      </w:r>
      <w:r w:rsidR="00D31158" w:rsidRPr="00211F88">
        <w:rPr>
          <w:noProof/>
        </w:rPr>
        <w:t xml:space="preserve"> </w:t>
      </w:r>
      <w:r w:rsidRPr="00211F88">
        <w:rPr>
          <w:noProof/>
        </w:rPr>
        <w:t>Am</w:t>
      </w:r>
      <w:r w:rsidR="00D31158" w:rsidRPr="00211F88">
        <w:rPr>
          <w:noProof/>
        </w:rPr>
        <w:t xml:space="preserve"> </w:t>
      </w:r>
      <w:r w:rsidRPr="00211F88">
        <w:rPr>
          <w:noProof/>
        </w:rPr>
        <w:t>J</w:t>
      </w:r>
      <w:r w:rsidR="00D31158" w:rsidRPr="00211F88">
        <w:rPr>
          <w:noProof/>
        </w:rPr>
        <w:t xml:space="preserve"> </w:t>
      </w:r>
      <w:r w:rsidRPr="00211F88">
        <w:rPr>
          <w:noProof/>
        </w:rPr>
        <w:t>Med</w:t>
      </w:r>
      <w:r w:rsidR="00D31158" w:rsidRPr="00211F88">
        <w:rPr>
          <w:noProof/>
        </w:rPr>
        <w:t xml:space="preserve"> </w:t>
      </w:r>
      <w:r w:rsidRPr="00211F88">
        <w:rPr>
          <w:noProof/>
        </w:rPr>
        <w:t>[Internet].</w:t>
      </w:r>
      <w:r w:rsidR="00D31158" w:rsidRPr="00211F88">
        <w:rPr>
          <w:noProof/>
        </w:rPr>
        <w:t xml:space="preserve"> </w:t>
      </w:r>
      <w:r w:rsidRPr="00211F88">
        <w:rPr>
          <w:noProof/>
        </w:rPr>
        <w:t>2007</w:t>
      </w:r>
      <w:r w:rsidR="00D31158" w:rsidRPr="00211F88">
        <w:rPr>
          <w:noProof/>
        </w:rPr>
        <w:t xml:space="preserve"> </w:t>
      </w:r>
      <w:r w:rsidRPr="00211F88">
        <w:rPr>
          <w:noProof/>
        </w:rPr>
        <w:t>Jul</w:t>
      </w:r>
      <w:r w:rsidR="00D31158" w:rsidRPr="00211F88">
        <w:rPr>
          <w:noProof/>
        </w:rPr>
        <w:t xml:space="preserve"> </w:t>
      </w:r>
      <w:r w:rsidRPr="00211F88">
        <w:rPr>
          <w:noProof/>
        </w:rPr>
        <w:t>1;120(7):643.e1-643.e7.</w:t>
      </w:r>
      <w:r w:rsidR="00D31158" w:rsidRPr="00211F88">
        <w:rPr>
          <w:noProof/>
        </w:rPr>
        <w:t xml:space="preserve"> </w:t>
      </w:r>
      <w:r w:rsidRPr="00211F88">
        <w:rPr>
          <w:noProof/>
        </w:rPr>
        <w:t>Available</w:t>
      </w:r>
      <w:r w:rsidR="00D31158" w:rsidRPr="00211F88">
        <w:rPr>
          <w:noProof/>
        </w:rPr>
        <w:t xml:space="preserve"> </w:t>
      </w:r>
      <w:r w:rsidRPr="00211F88">
        <w:rPr>
          <w:noProof/>
        </w:rPr>
        <w:t>from:</w:t>
      </w:r>
      <w:r w:rsidR="00D31158" w:rsidRPr="00211F88">
        <w:rPr>
          <w:noProof/>
        </w:rPr>
        <w:t xml:space="preserve"> </w:t>
      </w:r>
      <w:r w:rsidRPr="00211F88">
        <w:rPr>
          <w:noProof/>
        </w:rPr>
        <w:t>https://doi.org/10.1016/j.amjmed.2006.06.043</w:t>
      </w:r>
      <w:r w:rsidR="002001D5" w:rsidRPr="00211F88">
        <w:rPr>
          <w:rFonts w:eastAsiaTheme="minorEastAsia" w:hint="eastAsia"/>
          <w:noProof/>
          <w:lang w:eastAsia="zh-CN"/>
        </w:rPr>
        <w:t>.</w:t>
      </w:r>
    </w:p>
    <w:p w:rsidR="0078578D" w:rsidRPr="00211F88" w:rsidRDefault="0078578D" w:rsidP="00837273">
      <w:pPr>
        <w:widowControl w:val="0"/>
        <w:numPr>
          <w:ilvl w:val="0"/>
          <w:numId w:val="25"/>
        </w:numPr>
        <w:autoSpaceDE w:val="0"/>
        <w:autoSpaceDN w:val="0"/>
        <w:adjustRightInd w:val="0"/>
        <w:snapToGrid w:val="0"/>
        <w:ind w:left="425" w:hanging="425"/>
        <w:jc w:val="both"/>
        <w:rPr>
          <w:noProof/>
        </w:rPr>
      </w:pPr>
      <w:r w:rsidRPr="00211F88">
        <w:rPr>
          <w:noProof/>
        </w:rPr>
        <w:t>Mansour</w:t>
      </w:r>
      <w:r w:rsidR="00D31158" w:rsidRPr="00211F88">
        <w:rPr>
          <w:noProof/>
        </w:rPr>
        <w:t xml:space="preserve"> </w:t>
      </w:r>
      <w:r w:rsidRPr="00211F88">
        <w:rPr>
          <w:noProof/>
        </w:rPr>
        <w:t>AA,</w:t>
      </w:r>
      <w:r w:rsidR="00D31158" w:rsidRPr="00211F88">
        <w:rPr>
          <w:noProof/>
        </w:rPr>
        <w:t xml:space="preserve"> </w:t>
      </w:r>
      <w:r w:rsidRPr="00211F88">
        <w:rPr>
          <w:noProof/>
        </w:rPr>
        <w:t>Wanoose</w:t>
      </w:r>
      <w:r w:rsidR="00D31158" w:rsidRPr="00211F88">
        <w:rPr>
          <w:noProof/>
        </w:rPr>
        <w:t xml:space="preserve"> </w:t>
      </w:r>
      <w:r w:rsidRPr="00211F88">
        <w:rPr>
          <w:noProof/>
        </w:rPr>
        <w:t>HL.</w:t>
      </w:r>
      <w:r w:rsidR="00D31158" w:rsidRPr="00211F88">
        <w:rPr>
          <w:noProof/>
        </w:rPr>
        <w:t xml:space="preserve"> </w:t>
      </w:r>
      <w:r w:rsidRPr="00211F88">
        <w:rPr>
          <w:noProof/>
        </w:rPr>
        <w:t>Acute</w:t>
      </w:r>
      <w:r w:rsidR="00D31158" w:rsidRPr="00211F88">
        <w:rPr>
          <w:noProof/>
        </w:rPr>
        <w:t xml:space="preserve"> </w:t>
      </w:r>
      <w:r w:rsidRPr="00211F88">
        <w:rPr>
          <w:noProof/>
        </w:rPr>
        <w:t>Phase</w:t>
      </w:r>
      <w:r w:rsidR="00D31158" w:rsidRPr="00211F88">
        <w:rPr>
          <w:noProof/>
        </w:rPr>
        <w:t xml:space="preserve"> </w:t>
      </w:r>
      <w:r w:rsidRPr="00211F88">
        <w:rPr>
          <w:noProof/>
        </w:rPr>
        <w:t>Hyperglycemia</w:t>
      </w:r>
      <w:r w:rsidR="00D31158" w:rsidRPr="00211F88">
        <w:rPr>
          <w:noProof/>
        </w:rPr>
        <w:t xml:space="preserve"> </w:t>
      </w:r>
      <w:r w:rsidRPr="00211F88">
        <w:rPr>
          <w:noProof/>
        </w:rPr>
        <w:t>among</w:t>
      </w:r>
      <w:r w:rsidR="00D31158" w:rsidRPr="00211F88">
        <w:rPr>
          <w:noProof/>
        </w:rPr>
        <w:t xml:space="preserve"> </w:t>
      </w:r>
      <w:r w:rsidRPr="00211F88">
        <w:rPr>
          <w:noProof/>
        </w:rPr>
        <w:t>Patients</w:t>
      </w:r>
      <w:r w:rsidR="00D31158" w:rsidRPr="00211F88">
        <w:rPr>
          <w:noProof/>
        </w:rPr>
        <w:t xml:space="preserve"> </w:t>
      </w:r>
      <w:r w:rsidRPr="00211F88">
        <w:rPr>
          <w:noProof/>
        </w:rPr>
        <w:t>Hospitalized</w:t>
      </w:r>
      <w:r w:rsidR="00D31158" w:rsidRPr="00211F88">
        <w:rPr>
          <w:noProof/>
        </w:rPr>
        <w:t xml:space="preserve"> </w:t>
      </w:r>
      <w:r w:rsidRPr="00211F88">
        <w:rPr>
          <w:noProof/>
        </w:rPr>
        <w:t>with</w:t>
      </w:r>
      <w:r w:rsidR="00D31158" w:rsidRPr="00211F88">
        <w:rPr>
          <w:noProof/>
        </w:rPr>
        <w:t xml:space="preserve"> </w:t>
      </w:r>
      <w:r w:rsidRPr="00211F88">
        <w:rPr>
          <w:noProof/>
        </w:rPr>
        <w:t>Acute</w:t>
      </w:r>
      <w:r w:rsidR="00D31158" w:rsidRPr="00211F88">
        <w:rPr>
          <w:noProof/>
        </w:rPr>
        <w:t xml:space="preserve"> </w:t>
      </w:r>
      <w:r w:rsidRPr="00211F88">
        <w:rPr>
          <w:noProof/>
        </w:rPr>
        <w:t>Coronary</w:t>
      </w:r>
      <w:r w:rsidR="00D31158" w:rsidRPr="00211F88">
        <w:rPr>
          <w:noProof/>
        </w:rPr>
        <w:t xml:space="preserve"> </w:t>
      </w:r>
      <w:r w:rsidRPr="00211F88">
        <w:rPr>
          <w:noProof/>
        </w:rPr>
        <w:t>Syndrome:</w:t>
      </w:r>
      <w:r w:rsidR="00D31158" w:rsidRPr="00211F88">
        <w:rPr>
          <w:noProof/>
        </w:rPr>
        <w:t xml:space="preserve"> </w:t>
      </w:r>
      <w:r w:rsidRPr="00211F88">
        <w:rPr>
          <w:noProof/>
        </w:rPr>
        <w:t>Prevalence</w:t>
      </w:r>
      <w:r w:rsidR="00D31158" w:rsidRPr="00211F88">
        <w:rPr>
          <w:noProof/>
        </w:rPr>
        <w:t xml:space="preserve"> </w:t>
      </w:r>
      <w:r w:rsidRPr="00211F88">
        <w:rPr>
          <w:noProof/>
        </w:rPr>
        <w:t>and</w:t>
      </w:r>
      <w:r w:rsidR="00D31158" w:rsidRPr="00211F88">
        <w:rPr>
          <w:noProof/>
        </w:rPr>
        <w:t xml:space="preserve"> </w:t>
      </w:r>
      <w:r w:rsidRPr="00211F88">
        <w:rPr>
          <w:noProof/>
        </w:rPr>
        <w:t>Prognostic</w:t>
      </w:r>
      <w:r w:rsidR="00D31158" w:rsidRPr="00211F88">
        <w:rPr>
          <w:noProof/>
        </w:rPr>
        <w:t xml:space="preserve"> </w:t>
      </w:r>
      <w:r w:rsidRPr="00211F88">
        <w:rPr>
          <w:noProof/>
        </w:rPr>
        <w:t>Significance.</w:t>
      </w:r>
      <w:r w:rsidR="00D31158" w:rsidRPr="00211F88">
        <w:rPr>
          <w:noProof/>
        </w:rPr>
        <w:t xml:space="preserve"> </w:t>
      </w:r>
      <w:r w:rsidRPr="00211F88">
        <w:rPr>
          <w:noProof/>
        </w:rPr>
        <w:t>Oman</w:t>
      </w:r>
      <w:r w:rsidR="00D31158" w:rsidRPr="00211F88">
        <w:rPr>
          <w:noProof/>
        </w:rPr>
        <w:t xml:space="preserve"> </w:t>
      </w:r>
      <w:r w:rsidRPr="00211F88">
        <w:rPr>
          <w:noProof/>
        </w:rPr>
        <w:t>Med</w:t>
      </w:r>
      <w:r w:rsidR="00D31158" w:rsidRPr="00211F88">
        <w:rPr>
          <w:noProof/>
        </w:rPr>
        <w:t xml:space="preserve"> </w:t>
      </w:r>
      <w:r w:rsidRPr="00211F88">
        <w:rPr>
          <w:noProof/>
        </w:rPr>
        <w:t>J.</w:t>
      </w:r>
      <w:r w:rsidR="00D31158" w:rsidRPr="00211F88">
        <w:rPr>
          <w:noProof/>
        </w:rPr>
        <w:t xml:space="preserve"> </w:t>
      </w:r>
      <w:r w:rsidRPr="00211F88">
        <w:rPr>
          <w:noProof/>
        </w:rPr>
        <w:t>2011</w:t>
      </w:r>
      <w:r w:rsidR="00D31158" w:rsidRPr="00211F88">
        <w:rPr>
          <w:noProof/>
        </w:rPr>
        <w:t xml:space="preserve"> </w:t>
      </w:r>
      <w:r w:rsidRPr="00211F88">
        <w:rPr>
          <w:noProof/>
        </w:rPr>
        <w:t>Mar;26(2):85–90.</w:t>
      </w:r>
      <w:r w:rsidR="00D31158" w:rsidRPr="00211F88">
        <w:rPr>
          <w:noProof/>
        </w:rPr>
        <w:t xml:space="preserve"> </w:t>
      </w:r>
    </w:p>
    <w:p w:rsidR="0078578D" w:rsidRPr="00211F88" w:rsidRDefault="0078578D" w:rsidP="00837273">
      <w:pPr>
        <w:widowControl w:val="0"/>
        <w:numPr>
          <w:ilvl w:val="0"/>
          <w:numId w:val="25"/>
        </w:numPr>
        <w:autoSpaceDE w:val="0"/>
        <w:autoSpaceDN w:val="0"/>
        <w:adjustRightInd w:val="0"/>
        <w:snapToGrid w:val="0"/>
        <w:ind w:left="425" w:hanging="425"/>
        <w:jc w:val="both"/>
        <w:rPr>
          <w:noProof/>
        </w:rPr>
      </w:pPr>
      <w:r w:rsidRPr="00211F88">
        <w:rPr>
          <w:noProof/>
        </w:rPr>
        <w:t>Dziewierz</w:t>
      </w:r>
      <w:r w:rsidR="00D31158" w:rsidRPr="00211F88">
        <w:rPr>
          <w:noProof/>
        </w:rPr>
        <w:t xml:space="preserve"> </w:t>
      </w:r>
      <w:r w:rsidRPr="00211F88">
        <w:rPr>
          <w:noProof/>
        </w:rPr>
        <w:t>A,</w:t>
      </w:r>
      <w:r w:rsidR="00D31158" w:rsidRPr="00211F88">
        <w:rPr>
          <w:noProof/>
        </w:rPr>
        <w:t xml:space="preserve"> </w:t>
      </w:r>
      <w:r w:rsidRPr="00211F88">
        <w:rPr>
          <w:noProof/>
        </w:rPr>
        <w:t>Giszterowicz</w:t>
      </w:r>
      <w:r w:rsidR="00D31158" w:rsidRPr="00211F88">
        <w:rPr>
          <w:noProof/>
        </w:rPr>
        <w:t xml:space="preserve"> </w:t>
      </w:r>
      <w:r w:rsidRPr="00211F88">
        <w:rPr>
          <w:noProof/>
        </w:rPr>
        <w:t>D,</w:t>
      </w:r>
      <w:r w:rsidR="00D31158" w:rsidRPr="00211F88">
        <w:rPr>
          <w:noProof/>
        </w:rPr>
        <w:t xml:space="preserve"> </w:t>
      </w:r>
      <w:r w:rsidRPr="00211F88">
        <w:rPr>
          <w:noProof/>
        </w:rPr>
        <w:t>Siudak</w:t>
      </w:r>
      <w:r w:rsidR="00D31158" w:rsidRPr="00211F88">
        <w:rPr>
          <w:noProof/>
        </w:rPr>
        <w:t xml:space="preserve"> </w:t>
      </w:r>
      <w:r w:rsidRPr="00211F88">
        <w:rPr>
          <w:noProof/>
        </w:rPr>
        <w:t>Z,</w:t>
      </w:r>
      <w:r w:rsidR="00D31158" w:rsidRPr="00211F88">
        <w:rPr>
          <w:noProof/>
        </w:rPr>
        <w:t xml:space="preserve"> </w:t>
      </w:r>
      <w:r w:rsidRPr="00211F88">
        <w:rPr>
          <w:noProof/>
        </w:rPr>
        <w:t>Rakowski</w:t>
      </w:r>
      <w:r w:rsidR="00D31158" w:rsidRPr="00211F88">
        <w:rPr>
          <w:noProof/>
        </w:rPr>
        <w:t xml:space="preserve"> </w:t>
      </w:r>
      <w:r w:rsidRPr="00211F88">
        <w:rPr>
          <w:noProof/>
        </w:rPr>
        <w:t>T,</w:t>
      </w:r>
      <w:r w:rsidR="00D31158" w:rsidRPr="00211F88">
        <w:rPr>
          <w:noProof/>
        </w:rPr>
        <w:t xml:space="preserve"> </w:t>
      </w:r>
      <w:r w:rsidRPr="00211F88">
        <w:rPr>
          <w:noProof/>
        </w:rPr>
        <w:t>S</w:t>
      </w:r>
      <w:r w:rsidR="00D31158" w:rsidRPr="00211F88">
        <w:rPr>
          <w:noProof/>
        </w:rPr>
        <w:t xml:space="preserve"> </w:t>
      </w:r>
      <w:r w:rsidRPr="00211F88">
        <w:rPr>
          <w:noProof/>
        </w:rPr>
        <w:t>Dubiel</w:t>
      </w:r>
      <w:r w:rsidR="00D31158" w:rsidRPr="00211F88">
        <w:rPr>
          <w:noProof/>
        </w:rPr>
        <w:t xml:space="preserve"> </w:t>
      </w:r>
      <w:r w:rsidRPr="00211F88">
        <w:rPr>
          <w:noProof/>
        </w:rPr>
        <w:t>J,</w:t>
      </w:r>
      <w:r w:rsidR="00D31158" w:rsidRPr="00211F88">
        <w:rPr>
          <w:noProof/>
        </w:rPr>
        <w:t xml:space="preserve"> </w:t>
      </w:r>
      <w:r w:rsidRPr="00211F88">
        <w:rPr>
          <w:noProof/>
        </w:rPr>
        <w:t>Dudek</w:t>
      </w:r>
      <w:r w:rsidR="00D31158" w:rsidRPr="00211F88">
        <w:rPr>
          <w:noProof/>
        </w:rPr>
        <w:t xml:space="preserve"> </w:t>
      </w:r>
      <w:r w:rsidRPr="00211F88">
        <w:rPr>
          <w:noProof/>
        </w:rPr>
        <w:t>D.</w:t>
      </w:r>
      <w:r w:rsidR="00D31158" w:rsidRPr="00211F88">
        <w:rPr>
          <w:noProof/>
        </w:rPr>
        <w:t xml:space="preserve"> </w:t>
      </w:r>
      <w:r w:rsidRPr="00211F88">
        <w:rPr>
          <w:noProof/>
        </w:rPr>
        <w:t>Admission</w:t>
      </w:r>
      <w:r w:rsidR="00D31158" w:rsidRPr="00211F88">
        <w:rPr>
          <w:noProof/>
        </w:rPr>
        <w:t xml:space="preserve"> </w:t>
      </w:r>
      <w:r w:rsidRPr="00211F88">
        <w:rPr>
          <w:noProof/>
        </w:rPr>
        <w:t>glucose</w:t>
      </w:r>
      <w:r w:rsidR="00D31158" w:rsidRPr="00211F88">
        <w:rPr>
          <w:noProof/>
        </w:rPr>
        <w:t xml:space="preserve"> </w:t>
      </w:r>
      <w:r w:rsidRPr="00211F88">
        <w:rPr>
          <w:noProof/>
        </w:rPr>
        <w:t>level</w:t>
      </w:r>
      <w:r w:rsidR="00D31158" w:rsidRPr="00211F88">
        <w:rPr>
          <w:noProof/>
        </w:rPr>
        <w:t xml:space="preserve"> </w:t>
      </w:r>
      <w:r w:rsidRPr="00211F88">
        <w:rPr>
          <w:noProof/>
        </w:rPr>
        <w:t>and</w:t>
      </w:r>
      <w:r w:rsidR="00D31158" w:rsidRPr="00211F88">
        <w:rPr>
          <w:noProof/>
        </w:rPr>
        <w:t xml:space="preserve"> </w:t>
      </w:r>
      <w:r w:rsidRPr="00211F88">
        <w:rPr>
          <w:noProof/>
        </w:rPr>
        <w:t>in-hospital</w:t>
      </w:r>
      <w:r w:rsidR="00D31158" w:rsidRPr="00211F88">
        <w:rPr>
          <w:noProof/>
        </w:rPr>
        <w:t xml:space="preserve"> </w:t>
      </w:r>
      <w:r w:rsidRPr="00211F88">
        <w:rPr>
          <w:noProof/>
        </w:rPr>
        <w:t>outcomes</w:t>
      </w:r>
      <w:r w:rsidR="00D31158" w:rsidRPr="00211F88">
        <w:rPr>
          <w:noProof/>
        </w:rPr>
        <w:t xml:space="preserve"> </w:t>
      </w:r>
      <w:r w:rsidRPr="00211F88">
        <w:rPr>
          <w:noProof/>
        </w:rPr>
        <w:t>in</w:t>
      </w:r>
      <w:r w:rsidR="00D31158" w:rsidRPr="00211F88">
        <w:rPr>
          <w:noProof/>
        </w:rPr>
        <w:t xml:space="preserve"> </w:t>
      </w:r>
      <w:r w:rsidRPr="00211F88">
        <w:rPr>
          <w:noProof/>
        </w:rPr>
        <w:t>diabetic</w:t>
      </w:r>
      <w:r w:rsidR="00D31158" w:rsidRPr="00211F88">
        <w:rPr>
          <w:noProof/>
        </w:rPr>
        <w:t xml:space="preserve"> </w:t>
      </w:r>
      <w:r w:rsidRPr="00211F88">
        <w:rPr>
          <w:noProof/>
        </w:rPr>
        <w:t>and</w:t>
      </w:r>
      <w:r w:rsidR="00D31158" w:rsidRPr="00211F88">
        <w:rPr>
          <w:noProof/>
        </w:rPr>
        <w:t xml:space="preserve"> </w:t>
      </w:r>
      <w:r w:rsidRPr="00211F88">
        <w:rPr>
          <w:noProof/>
        </w:rPr>
        <w:t>non-diabetic</w:t>
      </w:r>
      <w:r w:rsidR="00D31158" w:rsidRPr="00211F88">
        <w:rPr>
          <w:noProof/>
        </w:rPr>
        <w:t xml:space="preserve"> </w:t>
      </w:r>
      <w:r w:rsidRPr="00211F88">
        <w:rPr>
          <w:noProof/>
        </w:rPr>
        <w:t>patients</w:t>
      </w:r>
      <w:r w:rsidR="00D31158" w:rsidRPr="00211F88">
        <w:rPr>
          <w:noProof/>
        </w:rPr>
        <w:t xml:space="preserve"> </w:t>
      </w:r>
      <w:r w:rsidRPr="00211F88">
        <w:rPr>
          <w:noProof/>
        </w:rPr>
        <w:t>with</w:t>
      </w:r>
      <w:r w:rsidR="00D31158" w:rsidRPr="00211F88">
        <w:rPr>
          <w:noProof/>
        </w:rPr>
        <w:t xml:space="preserve"> </w:t>
      </w:r>
      <w:r w:rsidRPr="00211F88">
        <w:rPr>
          <w:noProof/>
        </w:rPr>
        <w:t>acute</w:t>
      </w:r>
      <w:r w:rsidR="00D31158" w:rsidRPr="00211F88">
        <w:rPr>
          <w:noProof/>
        </w:rPr>
        <w:t xml:space="preserve"> </w:t>
      </w:r>
      <w:r w:rsidRPr="00211F88">
        <w:rPr>
          <w:noProof/>
        </w:rPr>
        <w:t>myocardial</w:t>
      </w:r>
      <w:r w:rsidR="00D31158" w:rsidRPr="00211F88">
        <w:rPr>
          <w:noProof/>
        </w:rPr>
        <w:t xml:space="preserve"> </w:t>
      </w:r>
      <w:r w:rsidRPr="00211F88">
        <w:rPr>
          <w:noProof/>
        </w:rPr>
        <w:t>infarction.</w:t>
      </w:r>
      <w:r w:rsidR="00D31158" w:rsidRPr="00211F88">
        <w:rPr>
          <w:noProof/>
        </w:rPr>
        <w:t xml:space="preserve"> </w:t>
      </w:r>
      <w:r w:rsidRPr="00211F88">
        <w:rPr>
          <w:noProof/>
        </w:rPr>
        <w:t>Clin</w:t>
      </w:r>
      <w:r w:rsidR="00D31158" w:rsidRPr="00211F88">
        <w:rPr>
          <w:noProof/>
        </w:rPr>
        <w:t xml:space="preserve"> </w:t>
      </w:r>
      <w:r w:rsidRPr="00211F88">
        <w:rPr>
          <w:noProof/>
        </w:rPr>
        <w:t>Res</w:t>
      </w:r>
      <w:r w:rsidR="00D31158" w:rsidRPr="00211F88">
        <w:rPr>
          <w:noProof/>
        </w:rPr>
        <w:t xml:space="preserve"> </w:t>
      </w:r>
      <w:r w:rsidRPr="00211F88">
        <w:rPr>
          <w:noProof/>
        </w:rPr>
        <w:t>Cardiol.</w:t>
      </w:r>
      <w:r w:rsidR="00D31158" w:rsidRPr="00211F88">
        <w:rPr>
          <w:noProof/>
        </w:rPr>
        <w:t xml:space="preserve"> </w:t>
      </w:r>
      <w:r w:rsidRPr="00211F88">
        <w:rPr>
          <w:noProof/>
        </w:rPr>
        <w:t>2010</w:t>
      </w:r>
      <w:r w:rsidR="00D31158" w:rsidRPr="00211F88">
        <w:rPr>
          <w:noProof/>
        </w:rPr>
        <w:t xml:space="preserve"> </w:t>
      </w:r>
      <w:r w:rsidRPr="00211F88">
        <w:rPr>
          <w:noProof/>
        </w:rPr>
        <w:t>May</w:t>
      </w:r>
      <w:r w:rsidR="00D31158" w:rsidRPr="00211F88">
        <w:rPr>
          <w:noProof/>
        </w:rPr>
        <w:t xml:space="preserve"> </w:t>
      </w:r>
      <w:r w:rsidRPr="00211F88">
        <w:rPr>
          <w:noProof/>
        </w:rPr>
        <w:t>1;99:715–21.</w:t>
      </w:r>
      <w:r w:rsidR="00D31158" w:rsidRPr="00211F88">
        <w:rPr>
          <w:noProof/>
        </w:rPr>
        <w:t xml:space="preserve"> </w:t>
      </w:r>
    </w:p>
    <w:p w:rsidR="0078578D" w:rsidRPr="00211F88" w:rsidRDefault="0078578D" w:rsidP="00837273">
      <w:pPr>
        <w:widowControl w:val="0"/>
        <w:numPr>
          <w:ilvl w:val="0"/>
          <w:numId w:val="25"/>
        </w:numPr>
        <w:autoSpaceDE w:val="0"/>
        <w:autoSpaceDN w:val="0"/>
        <w:adjustRightInd w:val="0"/>
        <w:snapToGrid w:val="0"/>
        <w:ind w:left="425" w:hanging="425"/>
        <w:jc w:val="both"/>
        <w:rPr>
          <w:noProof/>
        </w:rPr>
      </w:pPr>
      <w:r w:rsidRPr="00211F88">
        <w:rPr>
          <w:noProof/>
        </w:rPr>
        <w:t>Ekmekçi</w:t>
      </w:r>
      <w:r w:rsidR="00D31158" w:rsidRPr="00211F88">
        <w:rPr>
          <w:noProof/>
        </w:rPr>
        <w:t xml:space="preserve"> </w:t>
      </w:r>
      <w:r w:rsidRPr="00211F88">
        <w:rPr>
          <w:noProof/>
        </w:rPr>
        <w:t>A,</w:t>
      </w:r>
      <w:r w:rsidR="00D31158" w:rsidRPr="00211F88">
        <w:rPr>
          <w:noProof/>
        </w:rPr>
        <w:t xml:space="preserve"> </w:t>
      </w:r>
      <w:r w:rsidRPr="00211F88">
        <w:rPr>
          <w:noProof/>
        </w:rPr>
        <w:t>Cicek</w:t>
      </w:r>
      <w:r w:rsidR="00D31158" w:rsidRPr="00211F88">
        <w:rPr>
          <w:noProof/>
        </w:rPr>
        <w:t xml:space="preserve"> </w:t>
      </w:r>
      <w:r w:rsidRPr="00211F88">
        <w:rPr>
          <w:noProof/>
        </w:rPr>
        <w:t>G,</w:t>
      </w:r>
      <w:r w:rsidR="00D31158" w:rsidRPr="00211F88">
        <w:rPr>
          <w:noProof/>
        </w:rPr>
        <w:t xml:space="preserve"> </w:t>
      </w:r>
      <w:r w:rsidRPr="00211F88">
        <w:rPr>
          <w:noProof/>
        </w:rPr>
        <w:t>Uluganyan</w:t>
      </w:r>
      <w:r w:rsidR="00D31158" w:rsidRPr="00211F88">
        <w:rPr>
          <w:noProof/>
        </w:rPr>
        <w:t xml:space="preserve"> </w:t>
      </w:r>
      <w:r w:rsidRPr="00211F88">
        <w:rPr>
          <w:noProof/>
        </w:rPr>
        <w:t>M,</w:t>
      </w:r>
      <w:r w:rsidR="00D31158" w:rsidRPr="00211F88">
        <w:rPr>
          <w:noProof/>
        </w:rPr>
        <w:t xml:space="preserve"> </w:t>
      </w:r>
      <w:r w:rsidRPr="00211F88">
        <w:rPr>
          <w:noProof/>
        </w:rPr>
        <w:t>Gungor</w:t>
      </w:r>
      <w:r w:rsidR="00D31158" w:rsidRPr="00211F88">
        <w:rPr>
          <w:noProof/>
        </w:rPr>
        <w:t xml:space="preserve"> </w:t>
      </w:r>
      <w:r w:rsidRPr="00211F88">
        <w:rPr>
          <w:noProof/>
        </w:rPr>
        <w:t>B,</w:t>
      </w:r>
      <w:r w:rsidR="00D31158" w:rsidRPr="00211F88">
        <w:rPr>
          <w:noProof/>
        </w:rPr>
        <w:t xml:space="preserve"> </w:t>
      </w:r>
      <w:r w:rsidRPr="00211F88">
        <w:rPr>
          <w:noProof/>
        </w:rPr>
        <w:t>Osman</w:t>
      </w:r>
      <w:r w:rsidR="00D31158" w:rsidRPr="00211F88">
        <w:rPr>
          <w:noProof/>
        </w:rPr>
        <w:t xml:space="preserve"> </w:t>
      </w:r>
      <w:r w:rsidRPr="00211F88">
        <w:rPr>
          <w:noProof/>
        </w:rPr>
        <w:t>F,</w:t>
      </w:r>
      <w:r w:rsidR="00D31158" w:rsidRPr="00211F88">
        <w:rPr>
          <w:noProof/>
        </w:rPr>
        <w:t xml:space="preserve"> </w:t>
      </w:r>
      <w:r w:rsidRPr="00211F88">
        <w:rPr>
          <w:noProof/>
        </w:rPr>
        <w:t>Serhan</w:t>
      </w:r>
      <w:r w:rsidR="00D31158" w:rsidRPr="00211F88">
        <w:rPr>
          <w:noProof/>
        </w:rPr>
        <w:t xml:space="preserve"> </w:t>
      </w:r>
      <w:r w:rsidRPr="00211F88">
        <w:rPr>
          <w:noProof/>
        </w:rPr>
        <w:t>Ozcan</w:t>
      </w:r>
      <w:r w:rsidR="00D31158" w:rsidRPr="00211F88">
        <w:rPr>
          <w:noProof/>
        </w:rPr>
        <w:t xml:space="preserve"> </w:t>
      </w:r>
      <w:r w:rsidRPr="00211F88">
        <w:rPr>
          <w:noProof/>
        </w:rPr>
        <w:t>K,</w:t>
      </w:r>
      <w:r w:rsidR="00D31158" w:rsidRPr="00211F88">
        <w:rPr>
          <w:noProof/>
        </w:rPr>
        <w:t xml:space="preserve"> </w:t>
      </w:r>
      <w:r w:rsidRPr="00211F88">
        <w:rPr>
          <w:noProof/>
        </w:rPr>
        <w:t>et</w:t>
      </w:r>
      <w:r w:rsidR="00D31158" w:rsidRPr="00211F88">
        <w:rPr>
          <w:noProof/>
        </w:rPr>
        <w:t xml:space="preserve"> </w:t>
      </w:r>
      <w:r w:rsidRPr="00211F88">
        <w:rPr>
          <w:noProof/>
        </w:rPr>
        <w:t>al.</w:t>
      </w:r>
      <w:r w:rsidR="00D31158" w:rsidRPr="00211F88">
        <w:rPr>
          <w:noProof/>
        </w:rPr>
        <w:t xml:space="preserve"> </w:t>
      </w:r>
      <w:r w:rsidRPr="00211F88">
        <w:rPr>
          <w:noProof/>
        </w:rPr>
        <w:t>Admission</w:t>
      </w:r>
      <w:r w:rsidR="00D31158" w:rsidRPr="00211F88">
        <w:rPr>
          <w:noProof/>
        </w:rPr>
        <w:t xml:space="preserve"> </w:t>
      </w:r>
      <w:r w:rsidRPr="00211F88">
        <w:rPr>
          <w:noProof/>
        </w:rPr>
        <w:t>Hyperglycemia</w:t>
      </w:r>
      <w:r w:rsidR="00D31158" w:rsidRPr="00211F88">
        <w:rPr>
          <w:noProof/>
        </w:rPr>
        <w:t xml:space="preserve"> </w:t>
      </w:r>
      <w:r w:rsidRPr="00211F88">
        <w:rPr>
          <w:noProof/>
        </w:rPr>
        <w:t>Predicts</w:t>
      </w:r>
      <w:r w:rsidR="00D31158" w:rsidRPr="00211F88">
        <w:rPr>
          <w:noProof/>
        </w:rPr>
        <w:t xml:space="preserve"> </w:t>
      </w:r>
      <w:r w:rsidRPr="00211F88">
        <w:rPr>
          <w:noProof/>
        </w:rPr>
        <w:t>Inhospital</w:t>
      </w:r>
      <w:r w:rsidR="00D31158" w:rsidRPr="00211F88">
        <w:rPr>
          <w:noProof/>
        </w:rPr>
        <w:t xml:space="preserve"> </w:t>
      </w:r>
      <w:r w:rsidRPr="00211F88">
        <w:rPr>
          <w:noProof/>
        </w:rPr>
        <w:t>Mortality</w:t>
      </w:r>
      <w:r w:rsidR="00D31158" w:rsidRPr="00211F88">
        <w:rPr>
          <w:noProof/>
        </w:rPr>
        <w:t xml:space="preserve"> </w:t>
      </w:r>
      <w:r w:rsidRPr="00211F88">
        <w:rPr>
          <w:noProof/>
        </w:rPr>
        <w:t>and</w:t>
      </w:r>
      <w:r w:rsidR="00D31158" w:rsidRPr="00211F88">
        <w:rPr>
          <w:noProof/>
        </w:rPr>
        <w:t xml:space="preserve"> </w:t>
      </w:r>
      <w:r w:rsidRPr="00211F88">
        <w:rPr>
          <w:noProof/>
        </w:rPr>
        <w:t>Major</w:t>
      </w:r>
      <w:r w:rsidR="00D31158" w:rsidRPr="00211F88">
        <w:rPr>
          <w:noProof/>
        </w:rPr>
        <w:t xml:space="preserve"> </w:t>
      </w:r>
      <w:r w:rsidRPr="00211F88">
        <w:rPr>
          <w:noProof/>
        </w:rPr>
        <w:t>Adverse</w:t>
      </w:r>
      <w:r w:rsidR="00D31158" w:rsidRPr="00211F88">
        <w:rPr>
          <w:noProof/>
        </w:rPr>
        <w:t xml:space="preserve"> </w:t>
      </w:r>
      <w:r w:rsidRPr="00211F88">
        <w:rPr>
          <w:noProof/>
        </w:rPr>
        <w:t>Cardiac</w:t>
      </w:r>
      <w:r w:rsidR="00D31158" w:rsidRPr="00211F88">
        <w:rPr>
          <w:noProof/>
        </w:rPr>
        <w:t xml:space="preserve"> </w:t>
      </w:r>
      <w:r w:rsidRPr="00211F88">
        <w:rPr>
          <w:noProof/>
        </w:rPr>
        <w:t>Events</w:t>
      </w:r>
      <w:r w:rsidR="00D31158" w:rsidRPr="00211F88">
        <w:rPr>
          <w:noProof/>
        </w:rPr>
        <w:t xml:space="preserve"> </w:t>
      </w:r>
      <w:r w:rsidRPr="00211F88">
        <w:rPr>
          <w:noProof/>
        </w:rPr>
        <w:t>After</w:t>
      </w:r>
      <w:r w:rsidR="00D31158" w:rsidRPr="00211F88">
        <w:rPr>
          <w:noProof/>
        </w:rPr>
        <w:t xml:space="preserve"> </w:t>
      </w:r>
      <w:r w:rsidRPr="00211F88">
        <w:rPr>
          <w:noProof/>
        </w:rPr>
        <w:t>Primary</w:t>
      </w:r>
      <w:r w:rsidR="00D31158" w:rsidRPr="00211F88">
        <w:rPr>
          <w:noProof/>
        </w:rPr>
        <w:t xml:space="preserve"> </w:t>
      </w:r>
      <w:r w:rsidRPr="00211F88">
        <w:rPr>
          <w:noProof/>
        </w:rPr>
        <w:t>Percutaneous</w:t>
      </w:r>
      <w:r w:rsidR="00D31158" w:rsidRPr="00211F88">
        <w:rPr>
          <w:noProof/>
        </w:rPr>
        <w:t xml:space="preserve"> </w:t>
      </w:r>
      <w:r w:rsidRPr="00211F88">
        <w:rPr>
          <w:noProof/>
        </w:rPr>
        <w:t>Coronary</w:t>
      </w:r>
      <w:r w:rsidR="00D31158" w:rsidRPr="00211F88">
        <w:rPr>
          <w:noProof/>
        </w:rPr>
        <w:t xml:space="preserve"> </w:t>
      </w:r>
      <w:r w:rsidRPr="00211F88">
        <w:rPr>
          <w:noProof/>
        </w:rPr>
        <w:t>Intervention</w:t>
      </w:r>
      <w:r w:rsidR="00D31158" w:rsidRPr="00211F88">
        <w:rPr>
          <w:noProof/>
        </w:rPr>
        <w:t xml:space="preserve"> </w:t>
      </w:r>
      <w:r w:rsidRPr="00211F88">
        <w:rPr>
          <w:noProof/>
        </w:rPr>
        <w:t>in</w:t>
      </w:r>
      <w:r w:rsidR="00D31158" w:rsidRPr="00211F88">
        <w:rPr>
          <w:noProof/>
        </w:rPr>
        <w:t xml:space="preserve"> </w:t>
      </w:r>
      <w:r w:rsidRPr="00211F88">
        <w:rPr>
          <w:noProof/>
        </w:rPr>
        <w:t>Patients</w:t>
      </w:r>
      <w:r w:rsidR="00D31158" w:rsidRPr="00211F88">
        <w:rPr>
          <w:noProof/>
        </w:rPr>
        <w:t xml:space="preserve"> </w:t>
      </w:r>
      <w:r w:rsidRPr="00211F88">
        <w:rPr>
          <w:noProof/>
        </w:rPr>
        <w:t>Without</w:t>
      </w:r>
      <w:r w:rsidR="00D31158" w:rsidRPr="00211F88">
        <w:rPr>
          <w:noProof/>
        </w:rPr>
        <w:t xml:space="preserve"> </w:t>
      </w:r>
      <w:r w:rsidRPr="00211F88">
        <w:rPr>
          <w:noProof/>
        </w:rPr>
        <w:t>Diabetes</w:t>
      </w:r>
      <w:r w:rsidR="00D31158" w:rsidRPr="00211F88">
        <w:rPr>
          <w:noProof/>
        </w:rPr>
        <w:t xml:space="preserve"> </w:t>
      </w:r>
      <w:r w:rsidRPr="00211F88">
        <w:rPr>
          <w:noProof/>
        </w:rPr>
        <w:t>mellitus.</w:t>
      </w:r>
      <w:r w:rsidR="00D31158" w:rsidRPr="00211F88">
        <w:rPr>
          <w:noProof/>
        </w:rPr>
        <w:t xml:space="preserve"> </w:t>
      </w:r>
      <w:r w:rsidRPr="00211F88">
        <w:rPr>
          <w:noProof/>
        </w:rPr>
        <w:t>Vol.</w:t>
      </w:r>
      <w:r w:rsidR="00D31158" w:rsidRPr="00211F88">
        <w:rPr>
          <w:noProof/>
        </w:rPr>
        <w:t xml:space="preserve"> </w:t>
      </w:r>
      <w:r w:rsidRPr="00211F88">
        <w:rPr>
          <w:noProof/>
        </w:rPr>
        <w:t>65,</w:t>
      </w:r>
      <w:r w:rsidR="00D31158" w:rsidRPr="00211F88">
        <w:rPr>
          <w:noProof/>
        </w:rPr>
        <w:t xml:space="preserve"> </w:t>
      </w:r>
      <w:r w:rsidRPr="00211F88">
        <w:rPr>
          <w:noProof/>
        </w:rPr>
        <w:t>Angiology.</w:t>
      </w:r>
      <w:r w:rsidR="00D31158" w:rsidRPr="00211F88">
        <w:rPr>
          <w:noProof/>
        </w:rPr>
        <w:t xml:space="preserve"> </w:t>
      </w:r>
      <w:r w:rsidRPr="00211F88">
        <w:rPr>
          <w:noProof/>
        </w:rPr>
        <w:t>2013.</w:t>
      </w:r>
      <w:r w:rsidR="00D31158" w:rsidRPr="00211F88">
        <w:rPr>
          <w:noProof/>
        </w:rPr>
        <w:t xml:space="preserve"> </w:t>
      </w:r>
    </w:p>
    <w:p w:rsidR="00BC2AE3" w:rsidRPr="00211F88" w:rsidRDefault="0078578D" w:rsidP="00837273">
      <w:pPr>
        <w:widowControl w:val="0"/>
        <w:numPr>
          <w:ilvl w:val="0"/>
          <w:numId w:val="25"/>
        </w:numPr>
        <w:autoSpaceDE w:val="0"/>
        <w:autoSpaceDN w:val="0"/>
        <w:adjustRightInd w:val="0"/>
        <w:snapToGrid w:val="0"/>
        <w:ind w:left="425" w:hanging="425"/>
        <w:jc w:val="both"/>
        <w:rPr>
          <w:noProof/>
        </w:rPr>
      </w:pPr>
      <w:r w:rsidRPr="00211F88">
        <w:rPr>
          <w:noProof/>
        </w:rPr>
        <w:t>Chen</w:t>
      </w:r>
      <w:r w:rsidR="00D31158" w:rsidRPr="00211F88">
        <w:rPr>
          <w:noProof/>
        </w:rPr>
        <w:t xml:space="preserve"> </w:t>
      </w:r>
      <w:r w:rsidRPr="00211F88">
        <w:rPr>
          <w:noProof/>
        </w:rPr>
        <w:t>P-C,</w:t>
      </w:r>
      <w:r w:rsidR="00D31158" w:rsidRPr="00211F88">
        <w:rPr>
          <w:noProof/>
        </w:rPr>
        <w:t xml:space="preserve"> </w:t>
      </w:r>
      <w:r w:rsidRPr="00211F88">
        <w:rPr>
          <w:noProof/>
        </w:rPr>
        <w:t>Chua</w:t>
      </w:r>
      <w:r w:rsidR="00D31158" w:rsidRPr="00211F88">
        <w:rPr>
          <w:noProof/>
        </w:rPr>
        <w:t xml:space="preserve"> </w:t>
      </w:r>
      <w:r w:rsidRPr="00211F88">
        <w:rPr>
          <w:noProof/>
        </w:rPr>
        <w:t>S-K,</w:t>
      </w:r>
      <w:r w:rsidR="00D31158" w:rsidRPr="00211F88">
        <w:rPr>
          <w:noProof/>
        </w:rPr>
        <w:t xml:space="preserve"> </w:t>
      </w:r>
      <w:r w:rsidRPr="00211F88">
        <w:rPr>
          <w:noProof/>
        </w:rPr>
        <w:t>Hung</w:t>
      </w:r>
      <w:r w:rsidR="00D31158" w:rsidRPr="00211F88">
        <w:rPr>
          <w:noProof/>
        </w:rPr>
        <w:t xml:space="preserve"> </w:t>
      </w:r>
      <w:r w:rsidRPr="00211F88">
        <w:rPr>
          <w:noProof/>
        </w:rPr>
        <w:t>H-F,</w:t>
      </w:r>
      <w:r w:rsidR="00D31158" w:rsidRPr="00211F88">
        <w:rPr>
          <w:noProof/>
        </w:rPr>
        <w:t xml:space="preserve"> </w:t>
      </w:r>
      <w:r w:rsidRPr="00211F88">
        <w:rPr>
          <w:noProof/>
        </w:rPr>
        <w:t>Huang</w:t>
      </w:r>
      <w:r w:rsidR="00D31158" w:rsidRPr="00211F88">
        <w:rPr>
          <w:noProof/>
        </w:rPr>
        <w:t xml:space="preserve"> </w:t>
      </w:r>
      <w:r w:rsidRPr="00211F88">
        <w:rPr>
          <w:noProof/>
        </w:rPr>
        <w:t>C-Y,</w:t>
      </w:r>
      <w:r w:rsidR="00D31158" w:rsidRPr="00211F88">
        <w:rPr>
          <w:noProof/>
        </w:rPr>
        <w:t xml:space="preserve"> </w:t>
      </w:r>
      <w:r w:rsidRPr="00211F88">
        <w:rPr>
          <w:noProof/>
        </w:rPr>
        <w:t>Lin</w:t>
      </w:r>
      <w:r w:rsidR="00D31158" w:rsidRPr="00211F88">
        <w:rPr>
          <w:noProof/>
        </w:rPr>
        <w:t xml:space="preserve"> </w:t>
      </w:r>
      <w:r w:rsidRPr="00211F88">
        <w:rPr>
          <w:noProof/>
        </w:rPr>
        <w:t>C-M,</w:t>
      </w:r>
      <w:r w:rsidR="00D31158" w:rsidRPr="00211F88">
        <w:rPr>
          <w:noProof/>
        </w:rPr>
        <w:t xml:space="preserve"> </w:t>
      </w:r>
      <w:r w:rsidRPr="00211F88">
        <w:rPr>
          <w:noProof/>
        </w:rPr>
        <w:t>Lai</w:t>
      </w:r>
      <w:r w:rsidR="00D31158" w:rsidRPr="00211F88">
        <w:rPr>
          <w:noProof/>
        </w:rPr>
        <w:t xml:space="preserve"> </w:t>
      </w:r>
      <w:r w:rsidRPr="00211F88">
        <w:rPr>
          <w:noProof/>
        </w:rPr>
        <w:t>S-M,</w:t>
      </w:r>
      <w:r w:rsidR="00D31158" w:rsidRPr="00211F88">
        <w:rPr>
          <w:noProof/>
        </w:rPr>
        <w:t xml:space="preserve"> </w:t>
      </w:r>
      <w:r w:rsidRPr="00211F88">
        <w:rPr>
          <w:noProof/>
        </w:rPr>
        <w:t>et</w:t>
      </w:r>
      <w:r w:rsidR="00D31158" w:rsidRPr="00211F88">
        <w:rPr>
          <w:noProof/>
        </w:rPr>
        <w:t xml:space="preserve"> </w:t>
      </w:r>
      <w:r w:rsidRPr="00211F88">
        <w:rPr>
          <w:noProof/>
        </w:rPr>
        <w:t>al.</w:t>
      </w:r>
      <w:r w:rsidR="00D31158" w:rsidRPr="00211F88">
        <w:rPr>
          <w:noProof/>
        </w:rPr>
        <w:t xml:space="preserve"> </w:t>
      </w:r>
      <w:r w:rsidRPr="00211F88">
        <w:rPr>
          <w:noProof/>
        </w:rPr>
        <w:t>Admission</w:t>
      </w:r>
      <w:r w:rsidR="00D31158" w:rsidRPr="00211F88">
        <w:rPr>
          <w:noProof/>
        </w:rPr>
        <w:t xml:space="preserve"> </w:t>
      </w:r>
      <w:r w:rsidRPr="00211F88">
        <w:rPr>
          <w:noProof/>
        </w:rPr>
        <w:t>hyperglycemia</w:t>
      </w:r>
      <w:r w:rsidR="00D31158" w:rsidRPr="00211F88">
        <w:rPr>
          <w:noProof/>
        </w:rPr>
        <w:t xml:space="preserve"> </w:t>
      </w:r>
      <w:r w:rsidRPr="00211F88">
        <w:rPr>
          <w:noProof/>
        </w:rPr>
        <w:t>predicts</w:t>
      </w:r>
      <w:r w:rsidR="00D31158" w:rsidRPr="00211F88">
        <w:rPr>
          <w:noProof/>
        </w:rPr>
        <w:t xml:space="preserve"> </w:t>
      </w:r>
      <w:r w:rsidRPr="00211F88">
        <w:rPr>
          <w:noProof/>
        </w:rPr>
        <w:t>poorer</w:t>
      </w:r>
      <w:r w:rsidR="00D31158" w:rsidRPr="00211F88">
        <w:rPr>
          <w:noProof/>
        </w:rPr>
        <w:t xml:space="preserve"> </w:t>
      </w:r>
      <w:r w:rsidRPr="00211F88">
        <w:rPr>
          <w:noProof/>
        </w:rPr>
        <w:t>short-</w:t>
      </w:r>
      <w:r w:rsidR="00D31158" w:rsidRPr="00211F88">
        <w:rPr>
          <w:noProof/>
        </w:rPr>
        <w:t xml:space="preserve"> </w:t>
      </w:r>
      <w:r w:rsidRPr="00211F88">
        <w:rPr>
          <w:noProof/>
        </w:rPr>
        <w:t>and</w:t>
      </w:r>
      <w:r w:rsidR="00D31158" w:rsidRPr="00211F88">
        <w:rPr>
          <w:noProof/>
        </w:rPr>
        <w:t xml:space="preserve"> </w:t>
      </w:r>
      <w:r w:rsidRPr="00211F88">
        <w:rPr>
          <w:noProof/>
        </w:rPr>
        <w:t>long-term</w:t>
      </w:r>
      <w:r w:rsidR="00D31158" w:rsidRPr="00211F88">
        <w:rPr>
          <w:noProof/>
        </w:rPr>
        <w:t xml:space="preserve"> </w:t>
      </w:r>
      <w:r w:rsidRPr="00211F88">
        <w:rPr>
          <w:noProof/>
        </w:rPr>
        <w:t>outcomes</w:t>
      </w:r>
      <w:r w:rsidR="00D31158" w:rsidRPr="00211F88">
        <w:rPr>
          <w:noProof/>
        </w:rPr>
        <w:t xml:space="preserve"> </w:t>
      </w:r>
      <w:r w:rsidRPr="00211F88">
        <w:rPr>
          <w:noProof/>
        </w:rPr>
        <w:t>after</w:t>
      </w:r>
      <w:r w:rsidR="00D31158" w:rsidRPr="00211F88">
        <w:rPr>
          <w:noProof/>
        </w:rPr>
        <w:t xml:space="preserve"> </w:t>
      </w:r>
      <w:r w:rsidRPr="00211F88">
        <w:rPr>
          <w:noProof/>
        </w:rPr>
        <w:t>primary</w:t>
      </w:r>
      <w:r w:rsidR="00D31158" w:rsidRPr="00211F88">
        <w:rPr>
          <w:noProof/>
        </w:rPr>
        <w:t xml:space="preserve"> </w:t>
      </w:r>
      <w:r w:rsidRPr="00211F88">
        <w:rPr>
          <w:noProof/>
        </w:rPr>
        <w:t>percutaneous</w:t>
      </w:r>
      <w:r w:rsidR="00D31158" w:rsidRPr="00211F88">
        <w:rPr>
          <w:noProof/>
        </w:rPr>
        <w:t xml:space="preserve"> </w:t>
      </w:r>
      <w:r w:rsidRPr="00211F88">
        <w:rPr>
          <w:noProof/>
        </w:rPr>
        <w:t>coronary</w:t>
      </w:r>
      <w:r w:rsidR="00D31158" w:rsidRPr="00211F88">
        <w:rPr>
          <w:noProof/>
        </w:rPr>
        <w:t xml:space="preserve"> </w:t>
      </w:r>
      <w:r w:rsidRPr="00211F88">
        <w:rPr>
          <w:noProof/>
        </w:rPr>
        <w:t>intervention</w:t>
      </w:r>
      <w:r w:rsidR="00D31158" w:rsidRPr="00211F88">
        <w:rPr>
          <w:noProof/>
        </w:rPr>
        <w:t xml:space="preserve"> </w:t>
      </w:r>
      <w:r w:rsidRPr="00211F88">
        <w:rPr>
          <w:noProof/>
        </w:rPr>
        <w:t>for</w:t>
      </w:r>
      <w:r w:rsidR="00D31158" w:rsidRPr="00211F88">
        <w:rPr>
          <w:noProof/>
        </w:rPr>
        <w:t xml:space="preserve"> </w:t>
      </w:r>
      <w:r w:rsidRPr="00211F88">
        <w:rPr>
          <w:noProof/>
        </w:rPr>
        <w:t>ST-elevation</w:t>
      </w:r>
      <w:r w:rsidR="00D31158" w:rsidRPr="00211F88">
        <w:rPr>
          <w:noProof/>
        </w:rPr>
        <w:t xml:space="preserve"> </w:t>
      </w:r>
      <w:r w:rsidRPr="00211F88">
        <w:rPr>
          <w:noProof/>
        </w:rPr>
        <w:t>myocardial</w:t>
      </w:r>
      <w:r w:rsidR="00D31158" w:rsidRPr="00211F88">
        <w:rPr>
          <w:noProof/>
        </w:rPr>
        <w:t xml:space="preserve"> </w:t>
      </w:r>
      <w:r w:rsidRPr="00211F88">
        <w:rPr>
          <w:noProof/>
        </w:rPr>
        <w:t>infarction.</w:t>
      </w:r>
      <w:r w:rsidR="00D31158" w:rsidRPr="00211F88">
        <w:rPr>
          <w:noProof/>
        </w:rPr>
        <w:t xml:space="preserve"> </w:t>
      </w:r>
      <w:r w:rsidRPr="00211F88">
        <w:rPr>
          <w:noProof/>
        </w:rPr>
        <w:t>J</w:t>
      </w:r>
      <w:r w:rsidR="00D31158" w:rsidRPr="00211F88">
        <w:rPr>
          <w:noProof/>
        </w:rPr>
        <w:t xml:space="preserve"> </w:t>
      </w:r>
      <w:r w:rsidRPr="00211F88">
        <w:rPr>
          <w:noProof/>
        </w:rPr>
        <w:t>Diabetes</w:t>
      </w:r>
      <w:r w:rsidR="00D31158" w:rsidRPr="00211F88">
        <w:rPr>
          <w:noProof/>
        </w:rPr>
        <w:t xml:space="preserve"> </w:t>
      </w:r>
      <w:r w:rsidRPr="00211F88">
        <w:rPr>
          <w:noProof/>
        </w:rPr>
        <w:t>Investig.</w:t>
      </w:r>
      <w:r w:rsidR="00D31158" w:rsidRPr="00211F88">
        <w:rPr>
          <w:noProof/>
        </w:rPr>
        <w:t xml:space="preserve"> </w:t>
      </w:r>
      <w:r w:rsidRPr="00211F88">
        <w:rPr>
          <w:noProof/>
        </w:rPr>
        <w:t>2014</w:t>
      </w:r>
      <w:r w:rsidR="00D31158" w:rsidRPr="00211F88">
        <w:rPr>
          <w:noProof/>
        </w:rPr>
        <w:t xml:space="preserve"> </w:t>
      </w:r>
      <w:r w:rsidRPr="00211F88">
        <w:rPr>
          <w:noProof/>
        </w:rPr>
        <w:t>Feb;5(1):80–6.</w:t>
      </w:r>
    </w:p>
    <w:p w:rsidR="00837273" w:rsidRPr="00211F88" w:rsidRDefault="0078578D" w:rsidP="00837273">
      <w:pPr>
        <w:widowControl w:val="0"/>
        <w:numPr>
          <w:ilvl w:val="0"/>
          <w:numId w:val="25"/>
        </w:numPr>
        <w:autoSpaceDE w:val="0"/>
        <w:autoSpaceDN w:val="0"/>
        <w:adjustRightInd w:val="0"/>
        <w:snapToGrid w:val="0"/>
        <w:ind w:left="425" w:hanging="425"/>
        <w:jc w:val="both"/>
        <w:rPr>
          <w:noProof/>
        </w:rPr>
      </w:pPr>
      <w:r w:rsidRPr="00211F88">
        <w:rPr>
          <w:noProof/>
        </w:rPr>
        <w:t>M.</w:t>
      </w:r>
      <w:r w:rsidR="00D31158" w:rsidRPr="00211F88">
        <w:rPr>
          <w:noProof/>
        </w:rPr>
        <w:t xml:space="preserve"> </w:t>
      </w:r>
      <w:r w:rsidRPr="00211F88">
        <w:rPr>
          <w:noProof/>
        </w:rPr>
        <w:t>Moustafa</w:t>
      </w:r>
      <w:r w:rsidR="00D31158" w:rsidRPr="00211F88">
        <w:rPr>
          <w:noProof/>
        </w:rPr>
        <w:t xml:space="preserve"> </w:t>
      </w:r>
      <w:r w:rsidRPr="00211F88">
        <w:rPr>
          <w:noProof/>
        </w:rPr>
        <w:t>T.</w:t>
      </w:r>
      <w:r w:rsidR="00D31158" w:rsidRPr="00211F88">
        <w:rPr>
          <w:noProof/>
        </w:rPr>
        <w:t xml:space="preserve"> </w:t>
      </w:r>
      <w:r w:rsidRPr="00211F88">
        <w:rPr>
          <w:noProof/>
        </w:rPr>
        <w:t>Utility</w:t>
      </w:r>
      <w:r w:rsidR="00D31158" w:rsidRPr="00211F88">
        <w:rPr>
          <w:noProof/>
        </w:rPr>
        <w:t xml:space="preserve"> </w:t>
      </w:r>
      <w:r w:rsidRPr="00211F88">
        <w:rPr>
          <w:noProof/>
        </w:rPr>
        <w:t>of</w:t>
      </w:r>
      <w:r w:rsidR="00D31158" w:rsidRPr="00211F88">
        <w:rPr>
          <w:noProof/>
        </w:rPr>
        <w:t xml:space="preserve"> </w:t>
      </w:r>
      <w:r w:rsidRPr="00211F88">
        <w:rPr>
          <w:noProof/>
        </w:rPr>
        <w:t>admission</w:t>
      </w:r>
      <w:r w:rsidR="00D31158" w:rsidRPr="00211F88">
        <w:rPr>
          <w:noProof/>
        </w:rPr>
        <w:t xml:space="preserve"> </w:t>
      </w:r>
      <w:r w:rsidRPr="00211F88">
        <w:rPr>
          <w:noProof/>
        </w:rPr>
        <w:t>blood</w:t>
      </w:r>
      <w:r w:rsidR="00D31158" w:rsidRPr="00211F88">
        <w:rPr>
          <w:noProof/>
        </w:rPr>
        <w:t xml:space="preserve"> </w:t>
      </w:r>
      <w:r w:rsidRPr="00211F88">
        <w:rPr>
          <w:noProof/>
        </w:rPr>
        <w:t>glucose</w:t>
      </w:r>
      <w:r w:rsidR="00D31158" w:rsidRPr="00211F88">
        <w:rPr>
          <w:noProof/>
        </w:rPr>
        <w:t xml:space="preserve"> </w:t>
      </w:r>
      <w:r w:rsidRPr="00211F88">
        <w:rPr>
          <w:noProof/>
        </w:rPr>
        <w:t>level</w:t>
      </w:r>
      <w:r w:rsidR="00D31158" w:rsidRPr="00211F88">
        <w:rPr>
          <w:noProof/>
        </w:rPr>
        <w:t xml:space="preserve"> </w:t>
      </w:r>
      <w:r w:rsidRPr="00211F88">
        <w:rPr>
          <w:noProof/>
        </w:rPr>
        <w:t>in</w:t>
      </w:r>
      <w:r w:rsidR="00D31158" w:rsidRPr="00211F88">
        <w:rPr>
          <w:noProof/>
        </w:rPr>
        <w:t xml:space="preserve"> </w:t>
      </w:r>
      <w:r w:rsidRPr="00211F88">
        <w:rPr>
          <w:noProof/>
        </w:rPr>
        <w:t>prediction</w:t>
      </w:r>
      <w:r w:rsidR="00D31158" w:rsidRPr="00211F88">
        <w:rPr>
          <w:noProof/>
        </w:rPr>
        <w:t xml:space="preserve"> </w:t>
      </w:r>
      <w:r w:rsidRPr="00211F88">
        <w:rPr>
          <w:noProof/>
        </w:rPr>
        <w:t>of</w:t>
      </w:r>
      <w:r w:rsidR="00D31158" w:rsidRPr="00211F88">
        <w:rPr>
          <w:noProof/>
        </w:rPr>
        <w:t xml:space="preserve"> </w:t>
      </w:r>
      <w:r w:rsidRPr="00211F88">
        <w:rPr>
          <w:noProof/>
        </w:rPr>
        <w:t>short-term</w:t>
      </w:r>
      <w:r w:rsidR="00D31158" w:rsidRPr="00211F88">
        <w:rPr>
          <w:noProof/>
        </w:rPr>
        <w:t xml:space="preserve"> </w:t>
      </w:r>
      <w:r w:rsidRPr="00211F88">
        <w:rPr>
          <w:noProof/>
        </w:rPr>
        <w:t>course</w:t>
      </w:r>
      <w:r w:rsidR="00D31158" w:rsidRPr="00211F88">
        <w:rPr>
          <w:noProof/>
        </w:rPr>
        <w:t xml:space="preserve"> </w:t>
      </w:r>
      <w:r w:rsidRPr="00211F88">
        <w:rPr>
          <w:noProof/>
        </w:rPr>
        <w:t>and</w:t>
      </w:r>
      <w:r w:rsidR="00D31158" w:rsidRPr="00211F88">
        <w:rPr>
          <w:noProof/>
        </w:rPr>
        <w:t xml:space="preserve"> </w:t>
      </w:r>
      <w:r w:rsidRPr="00211F88">
        <w:rPr>
          <w:noProof/>
        </w:rPr>
        <w:t>extent</w:t>
      </w:r>
      <w:r w:rsidR="00D31158" w:rsidRPr="00211F88">
        <w:rPr>
          <w:noProof/>
        </w:rPr>
        <w:t xml:space="preserve"> </w:t>
      </w:r>
      <w:r w:rsidRPr="00211F88">
        <w:rPr>
          <w:noProof/>
        </w:rPr>
        <w:t>of</w:t>
      </w:r>
      <w:r w:rsidR="00D31158" w:rsidRPr="00211F88">
        <w:rPr>
          <w:noProof/>
        </w:rPr>
        <w:t xml:space="preserve"> </w:t>
      </w:r>
      <w:r w:rsidRPr="00211F88">
        <w:rPr>
          <w:noProof/>
        </w:rPr>
        <w:t>coronary</w:t>
      </w:r>
      <w:r w:rsidR="00D31158" w:rsidRPr="00211F88">
        <w:rPr>
          <w:noProof/>
        </w:rPr>
        <w:t xml:space="preserve"> </w:t>
      </w:r>
      <w:r w:rsidRPr="00211F88">
        <w:rPr>
          <w:noProof/>
        </w:rPr>
        <w:t>artery</w:t>
      </w:r>
      <w:r w:rsidR="00D31158" w:rsidRPr="00211F88">
        <w:rPr>
          <w:noProof/>
        </w:rPr>
        <w:t xml:space="preserve"> </w:t>
      </w:r>
      <w:r w:rsidRPr="00211F88">
        <w:rPr>
          <w:noProof/>
        </w:rPr>
        <w:t>occlusion</w:t>
      </w:r>
      <w:r w:rsidR="00D31158" w:rsidRPr="00211F88">
        <w:rPr>
          <w:noProof/>
        </w:rPr>
        <w:t xml:space="preserve"> </w:t>
      </w:r>
      <w:r w:rsidRPr="00211F88">
        <w:rPr>
          <w:noProof/>
        </w:rPr>
        <w:t>in</w:t>
      </w:r>
      <w:r w:rsidR="00D31158" w:rsidRPr="00211F88">
        <w:rPr>
          <w:noProof/>
        </w:rPr>
        <w:t xml:space="preserve"> </w:t>
      </w:r>
      <w:r w:rsidRPr="00211F88">
        <w:rPr>
          <w:noProof/>
        </w:rPr>
        <w:t>non-diabetic</w:t>
      </w:r>
      <w:r w:rsidR="00D31158" w:rsidRPr="00211F88">
        <w:rPr>
          <w:noProof/>
        </w:rPr>
        <w:t xml:space="preserve"> </w:t>
      </w:r>
      <w:r w:rsidRPr="00211F88">
        <w:rPr>
          <w:noProof/>
        </w:rPr>
        <w:t>patients</w:t>
      </w:r>
      <w:r w:rsidR="00D31158" w:rsidRPr="00211F88">
        <w:rPr>
          <w:noProof/>
        </w:rPr>
        <w:t xml:space="preserve"> </w:t>
      </w:r>
      <w:r w:rsidRPr="00211F88">
        <w:rPr>
          <w:noProof/>
        </w:rPr>
        <w:t>with</w:t>
      </w:r>
      <w:r w:rsidR="00D31158" w:rsidRPr="00211F88">
        <w:rPr>
          <w:noProof/>
        </w:rPr>
        <w:t xml:space="preserve"> </w:t>
      </w:r>
      <w:r w:rsidRPr="00211F88">
        <w:rPr>
          <w:noProof/>
        </w:rPr>
        <w:t>ST</w:t>
      </w:r>
      <w:r w:rsidR="00D31158" w:rsidRPr="00211F88">
        <w:rPr>
          <w:noProof/>
        </w:rPr>
        <w:t xml:space="preserve"> </w:t>
      </w:r>
      <w:r w:rsidRPr="00211F88">
        <w:rPr>
          <w:noProof/>
        </w:rPr>
        <w:t>segment</w:t>
      </w:r>
      <w:r w:rsidR="00D31158" w:rsidRPr="00211F88">
        <w:rPr>
          <w:noProof/>
        </w:rPr>
        <w:t xml:space="preserve"> </w:t>
      </w:r>
      <w:r w:rsidRPr="00211F88">
        <w:rPr>
          <w:noProof/>
        </w:rPr>
        <w:t>elevation</w:t>
      </w:r>
      <w:r w:rsidR="00D31158" w:rsidRPr="00211F88">
        <w:rPr>
          <w:noProof/>
        </w:rPr>
        <w:t xml:space="preserve"> </w:t>
      </w:r>
      <w:r w:rsidRPr="00211F88">
        <w:rPr>
          <w:noProof/>
        </w:rPr>
        <w:t>myocardial</w:t>
      </w:r>
      <w:r w:rsidR="00D31158" w:rsidRPr="00211F88">
        <w:rPr>
          <w:noProof/>
        </w:rPr>
        <w:t xml:space="preserve"> </w:t>
      </w:r>
      <w:r w:rsidRPr="00211F88">
        <w:rPr>
          <w:noProof/>
        </w:rPr>
        <w:t>infarction.</w:t>
      </w:r>
      <w:r w:rsidR="00D31158" w:rsidRPr="00211F88">
        <w:rPr>
          <w:noProof/>
        </w:rPr>
        <w:t xml:space="preserve"> </w:t>
      </w:r>
      <w:r w:rsidRPr="00211F88">
        <w:rPr>
          <w:noProof/>
        </w:rPr>
        <w:t>Vol.</w:t>
      </w:r>
      <w:r w:rsidR="00D31158" w:rsidRPr="00211F88">
        <w:rPr>
          <w:noProof/>
        </w:rPr>
        <w:t xml:space="preserve"> </w:t>
      </w:r>
      <w:r w:rsidRPr="00211F88">
        <w:rPr>
          <w:noProof/>
        </w:rPr>
        <w:t>14,</w:t>
      </w:r>
      <w:r w:rsidR="00D31158" w:rsidRPr="00211F88">
        <w:rPr>
          <w:noProof/>
        </w:rPr>
        <w:t xml:space="preserve"> </w:t>
      </w:r>
      <w:r w:rsidRPr="00211F88">
        <w:rPr>
          <w:noProof/>
        </w:rPr>
        <w:t>IJC</w:t>
      </w:r>
      <w:r w:rsidR="00D31158" w:rsidRPr="00211F88">
        <w:rPr>
          <w:noProof/>
        </w:rPr>
        <w:t xml:space="preserve"> </w:t>
      </w:r>
      <w:r w:rsidRPr="00211F88">
        <w:rPr>
          <w:noProof/>
        </w:rPr>
        <w:t>Metabolic</w:t>
      </w:r>
      <w:r w:rsidR="00D31158" w:rsidRPr="00211F88">
        <w:rPr>
          <w:noProof/>
        </w:rPr>
        <w:t xml:space="preserve"> &amp; </w:t>
      </w:r>
      <w:r w:rsidRPr="00211F88">
        <w:rPr>
          <w:noProof/>
        </w:rPr>
        <w:t>Endocrine.</w:t>
      </w:r>
      <w:r w:rsidR="00D31158" w:rsidRPr="00211F88">
        <w:rPr>
          <w:noProof/>
        </w:rPr>
        <w:t xml:space="preserve"> </w:t>
      </w:r>
      <w:r w:rsidRPr="00211F88">
        <w:rPr>
          <w:noProof/>
        </w:rPr>
        <w:t>2017.</w:t>
      </w:r>
      <w:r w:rsidR="00D31158" w:rsidRPr="00211F88">
        <w:rPr>
          <w:noProof/>
        </w:rPr>
        <w:t xml:space="preserve"> </w:t>
      </w:r>
      <w:r w:rsidRPr="00211F88">
        <w:rPr>
          <w:noProof/>
        </w:rPr>
        <w:t>16–20</w:t>
      </w:r>
      <w:r w:rsidR="00D31158" w:rsidRPr="00211F88">
        <w:rPr>
          <w:noProof/>
        </w:rPr>
        <w:t xml:space="preserve"> </w:t>
      </w:r>
      <w:r w:rsidRPr="00211F88">
        <w:rPr>
          <w:noProof/>
        </w:rPr>
        <w:t>p</w:t>
      </w:r>
      <w:r w:rsidR="00837273" w:rsidRPr="00211F88">
        <w:rPr>
          <w:rFonts w:eastAsiaTheme="minorEastAsia" w:hint="eastAsia"/>
          <w:noProof/>
          <w:lang w:eastAsia="zh-CN"/>
        </w:rPr>
        <w:t>.</w:t>
      </w:r>
    </w:p>
    <w:p w:rsidR="0078578D" w:rsidRPr="00211F88" w:rsidRDefault="0078578D" w:rsidP="00837273">
      <w:pPr>
        <w:widowControl w:val="0"/>
        <w:numPr>
          <w:ilvl w:val="0"/>
          <w:numId w:val="25"/>
        </w:numPr>
        <w:autoSpaceDE w:val="0"/>
        <w:autoSpaceDN w:val="0"/>
        <w:adjustRightInd w:val="0"/>
        <w:snapToGrid w:val="0"/>
        <w:ind w:left="425" w:hanging="425"/>
        <w:jc w:val="both"/>
        <w:rPr>
          <w:noProof/>
        </w:rPr>
      </w:pPr>
      <w:r w:rsidRPr="00211F88">
        <w:rPr>
          <w:noProof/>
        </w:rPr>
        <w:t>Tran</w:t>
      </w:r>
      <w:r w:rsidR="00D31158" w:rsidRPr="00211F88">
        <w:rPr>
          <w:noProof/>
        </w:rPr>
        <w:t xml:space="preserve"> </w:t>
      </w:r>
      <w:r w:rsidRPr="00211F88">
        <w:rPr>
          <w:noProof/>
        </w:rPr>
        <w:t>H</w:t>
      </w:r>
      <w:r w:rsidR="00D31158" w:rsidRPr="00211F88">
        <w:rPr>
          <w:noProof/>
        </w:rPr>
        <w:t xml:space="preserve"> </w:t>
      </w:r>
      <w:r w:rsidRPr="00211F88">
        <w:rPr>
          <w:noProof/>
        </w:rPr>
        <w:t>V,</w:t>
      </w:r>
      <w:r w:rsidR="00D31158" w:rsidRPr="00211F88">
        <w:rPr>
          <w:noProof/>
        </w:rPr>
        <w:t xml:space="preserve"> </w:t>
      </w:r>
      <w:r w:rsidRPr="00211F88">
        <w:rPr>
          <w:noProof/>
        </w:rPr>
        <w:t>Gore</w:t>
      </w:r>
      <w:r w:rsidR="00D31158" w:rsidRPr="00211F88">
        <w:rPr>
          <w:noProof/>
        </w:rPr>
        <w:t xml:space="preserve"> </w:t>
      </w:r>
      <w:r w:rsidRPr="00211F88">
        <w:rPr>
          <w:noProof/>
        </w:rPr>
        <w:t>JM,</w:t>
      </w:r>
      <w:r w:rsidR="00D31158" w:rsidRPr="00211F88">
        <w:rPr>
          <w:noProof/>
        </w:rPr>
        <w:t xml:space="preserve"> </w:t>
      </w:r>
      <w:r w:rsidRPr="00211F88">
        <w:rPr>
          <w:noProof/>
        </w:rPr>
        <w:t>Darling</w:t>
      </w:r>
      <w:r w:rsidR="00D31158" w:rsidRPr="00211F88">
        <w:rPr>
          <w:noProof/>
        </w:rPr>
        <w:t xml:space="preserve"> </w:t>
      </w:r>
      <w:r w:rsidRPr="00211F88">
        <w:rPr>
          <w:noProof/>
        </w:rPr>
        <w:t>CE,</w:t>
      </w:r>
      <w:r w:rsidR="00D31158" w:rsidRPr="00211F88">
        <w:rPr>
          <w:noProof/>
        </w:rPr>
        <w:t xml:space="preserve"> </w:t>
      </w:r>
      <w:r w:rsidRPr="00211F88">
        <w:rPr>
          <w:noProof/>
        </w:rPr>
        <w:t>Ash</w:t>
      </w:r>
      <w:r w:rsidR="00D31158" w:rsidRPr="00211F88">
        <w:rPr>
          <w:noProof/>
        </w:rPr>
        <w:t xml:space="preserve"> </w:t>
      </w:r>
      <w:r w:rsidRPr="00211F88">
        <w:rPr>
          <w:noProof/>
        </w:rPr>
        <w:t>AS,</w:t>
      </w:r>
      <w:r w:rsidR="00D31158" w:rsidRPr="00211F88">
        <w:rPr>
          <w:noProof/>
        </w:rPr>
        <w:t xml:space="preserve"> </w:t>
      </w:r>
      <w:r w:rsidRPr="00211F88">
        <w:rPr>
          <w:noProof/>
        </w:rPr>
        <w:t>Kiefe</w:t>
      </w:r>
      <w:r w:rsidR="00D31158" w:rsidRPr="00211F88">
        <w:rPr>
          <w:noProof/>
        </w:rPr>
        <w:t xml:space="preserve"> </w:t>
      </w:r>
      <w:r w:rsidRPr="00211F88">
        <w:rPr>
          <w:noProof/>
        </w:rPr>
        <w:t>CI,</w:t>
      </w:r>
      <w:r w:rsidR="00D31158" w:rsidRPr="00211F88">
        <w:rPr>
          <w:noProof/>
        </w:rPr>
        <w:t xml:space="preserve"> </w:t>
      </w:r>
      <w:r w:rsidRPr="00211F88">
        <w:rPr>
          <w:noProof/>
        </w:rPr>
        <w:t>Goldberg</w:t>
      </w:r>
      <w:r w:rsidR="00D31158" w:rsidRPr="00211F88">
        <w:rPr>
          <w:noProof/>
        </w:rPr>
        <w:t xml:space="preserve"> </w:t>
      </w:r>
      <w:r w:rsidRPr="00211F88">
        <w:rPr>
          <w:noProof/>
        </w:rPr>
        <w:t>RJ.</w:t>
      </w:r>
      <w:r w:rsidR="00D31158" w:rsidRPr="00211F88">
        <w:rPr>
          <w:noProof/>
        </w:rPr>
        <w:t xml:space="preserve"> </w:t>
      </w:r>
      <w:r w:rsidRPr="00211F88">
        <w:rPr>
          <w:noProof/>
        </w:rPr>
        <w:t>Hyperglycemia</w:t>
      </w:r>
      <w:r w:rsidR="00D31158" w:rsidRPr="00211F88">
        <w:rPr>
          <w:noProof/>
        </w:rPr>
        <w:t xml:space="preserve"> </w:t>
      </w:r>
      <w:r w:rsidRPr="00211F88">
        <w:rPr>
          <w:noProof/>
        </w:rPr>
        <w:t>and</w:t>
      </w:r>
      <w:r w:rsidR="00D31158" w:rsidRPr="00211F88">
        <w:rPr>
          <w:noProof/>
        </w:rPr>
        <w:t xml:space="preserve"> </w:t>
      </w:r>
      <w:r w:rsidRPr="00211F88">
        <w:rPr>
          <w:noProof/>
        </w:rPr>
        <w:t>risk</w:t>
      </w:r>
      <w:r w:rsidR="00D31158" w:rsidRPr="00211F88">
        <w:rPr>
          <w:noProof/>
        </w:rPr>
        <w:t xml:space="preserve"> </w:t>
      </w:r>
      <w:r w:rsidRPr="00211F88">
        <w:rPr>
          <w:noProof/>
        </w:rPr>
        <w:t>of</w:t>
      </w:r>
      <w:r w:rsidR="00D31158" w:rsidRPr="00211F88">
        <w:rPr>
          <w:noProof/>
        </w:rPr>
        <w:t xml:space="preserve"> </w:t>
      </w:r>
      <w:r w:rsidRPr="00211F88">
        <w:rPr>
          <w:noProof/>
        </w:rPr>
        <w:t>ventricular</w:t>
      </w:r>
      <w:r w:rsidR="00D31158" w:rsidRPr="00211F88">
        <w:rPr>
          <w:noProof/>
        </w:rPr>
        <w:t xml:space="preserve"> </w:t>
      </w:r>
      <w:r w:rsidRPr="00211F88">
        <w:rPr>
          <w:noProof/>
        </w:rPr>
        <w:t>tachycardia</w:t>
      </w:r>
      <w:r w:rsidR="00D31158" w:rsidRPr="00211F88">
        <w:rPr>
          <w:noProof/>
        </w:rPr>
        <w:t xml:space="preserve"> </w:t>
      </w:r>
      <w:r w:rsidRPr="00211F88">
        <w:rPr>
          <w:noProof/>
        </w:rPr>
        <w:t>among</w:t>
      </w:r>
      <w:r w:rsidR="00D31158" w:rsidRPr="00211F88">
        <w:rPr>
          <w:noProof/>
        </w:rPr>
        <w:t xml:space="preserve"> </w:t>
      </w:r>
      <w:r w:rsidRPr="00211F88">
        <w:rPr>
          <w:noProof/>
        </w:rPr>
        <w:t>patients</w:t>
      </w:r>
      <w:r w:rsidR="00D31158" w:rsidRPr="00211F88">
        <w:rPr>
          <w:noProof/>
        </w:rPr>
        <w:t xml:space="preserve"> </w:t>
      </w:r>
      <w:r w:rsidRPr="00211F88">
        <w:rPr>
          <w:noProof/>
        </w:rPr>
        <w:t>hospitalized</w:t>
      </w:r>
      <w:r w:rsidR="00D31158" w:rsidRPr="00211F88">
        <w:rPr>
          <w:noProof/>
        </w:rPr>
        <w:t xml:space="preserve"> </w:t>
      </w:r>
      <w:r w:rsidRPr="00211F88">
        <w:rPr>
          <w:noProof/>
        </w:rPr>
        <w:t>with</w:t>
      </w:r>
      <w:r w:rsidR="00D31158" w:rsidRPr="00211F88">
        <w:rPr>
          <w:noProof/>
        </w:rPr>
        <w:t xml:space="preserve"> </w:t>
      </w:r>
      <w:r w:rsidRPr="00211F88">
        <w:rPr>
          <w:noProof/>
        </w:rPr>
        <w:t>acute</w:t>
      </w:r>
      <w:r w:rsidR="00D31158" w:rsidRPr="00211F88">
        <w:rPr>
          <w:noProof/>
        </w:rPr>
        <w:t xml:space="preserve"> </w:t>
      </w:r>
      <w:r w:rsidRPr="00211F88">
        <w:rPr>
          <w:noProof/>
        </w:rPr>
        <w:t>myocardial</w:t>
      </w:r>
      <w:r w:rsidR="00D31158" w:rsidRPr="00211F88">
        <w:rPr>
          <w:noProof/>
        </w:rPr>
        <w:t xml:space="preserve"> </w:t>
      </w:r>
      <w:r w:rsidRPr="00211F88">
        <w:rPr>
          <w:noProof/>
        </w:rPr>
        <w:t>infarction.</w:t>
      </w:r>
      <w:r w:rsidR="00D31158" w:rsidRPr="00211F88">
        <w:rPr>
          <w:noProof/>
        </w:rPr>
        <w:t xml:space="preserve"> </w:t>
      </w:r>
      <w:r w:rsidRPr="00211F88">
        <w:rPr>
          <w:noProof/>
        </w:rPr>
        <w:t>Cardiovasc</w:t>
      </w:r>
      <w:r w:rsidR="00D31158" w:rsidRPr="00211F88">
        <w:rPr>
          <w:noProof/>
        </w:rPr>
        <w:t xml:space="preserve"> </w:t>
      </w:r>
      <w:r w:rsidRPr="00211F88">
        <w:rPr>
          <w:noProof/>
        </w:rPr>
        <w:t>Diabetol.</w:t>
      </w:r>
      <w:r w:rsidR="00D31158" w:rsidRPr="00211F88">
        <w:rPr>
          <w:noProof/>
        </w:rPr>
        <w:t xml:space="preserve"> </w:t>
      </w:r>
      <w:r w:rsidRPr="00211F88">
        <w:rPr>
          <w:noProof/>
        </w:rPr>
        <w:t>2018</w:t>
      </w:r>
      <w:r w:rsidR="00D31158" w:rsidRPr="00211F88">
        <w:rPr>
          <w:noProof/>
        </w:rPr>
        <w:t xml:space="preserve"> </w:t>
      </w:r>
      <w:r w:rsidRPr="00211F88">
        <w:rPr>
          <w:noProof/>
        </w:rPr>
        <w:t>Oct;17(1):136.</w:t>
      </w:r>
      <w:r w:rsidR="00D31158" w:rsidRPr="00211F88">
        <w:rPr>
          <w:noProof/>
        </w:rPr>
        <w:t xml:space="preserve"> </w:t>
      </w:r>
    </w:p>
    <w:p w:rsidR="00BC2AE3" w:rsidRPr="00211F88" w:rsidRDefault="0078578D" w:rsidP="00837273">
      <w:pPr>
        <w:widowControl w:val="0"/>
        <w:numPr>
          <w:ilvl w:val="0"/>
          <w:numId w:val="25"/>
        </w:numPr>
        <w:autoSpaceDE w:val="0"/>
        <w:autoSpaceDN w:val="0"/>
        <w:adjustRightInd w:val="0"/>
        <w:snapToGrid w:val="0"/>
        <w:ind w:left="425" w:hanging="425"/>
        <w:jc w:val="both"/>
        <w:rPr>
          <w:noProof/>
        </w:rPr>
      </w:pPr>
      <w:r w:rsidRPr="00211F88">
        <w:rPr>
          <w:noProof/>
        </w:rPr>
        <w:t>Shacham</w:t>
      </w:r>
      <w:r w:rsidR="00D31158" w:rsidRPr="00211F88">
        <w:rPr>
          <w:noProof/>
        </w:rPr>
        <w:t xml:space="preserve"> </w:t>
      </w:r>
      <w:r w:rsidRPr="00211F88">
        <w:rPr>
          <w:noProof/>
        </w:rPr>
        <w:t>Y,</w:t>
      </w:r>
      <w:r w:rsidR="00D31158" w:rsidRPr="00211F88">
        <w:rPr>
          <w:noProof/>
        </w:rPr>
        <w:t xml:space="preserve"> </w:t>
      </w:r>
      <w:r w:rsidRPr="00211F88">
        <w:rPr>
          <w:noProof/>
        </w:rPr>
        <w:t>Gal-Oz</w:t>
      </w:r>
      <w:r w:rsidR="00D31158" w:rsidRPr="00211F88">
        <w:rPr>
          <w:noProof/>
        </w:rPr>
        <w:t xml:space="preserve"> </w:t>
      </w:r>
      <w:r w:rsidRPr="00211F88">
        <w:rPr>
          <w:noProof/>
        </w:rPr>
        <w:t>A,</w:t>
      </w:r>
      <w:r w:rsidR="00D31158" w:rsidRPr="00211F88">
        <w:rPr>
          <w:noProof/>
        </w:rPr>
        <w:t xml:space="preserve"> </w:t>
      </w:r>
      <w:r w:rsidRPr="00211F88">
        <w:rPr>
          <w:noProof/>
        </w:rPr>
        <w:t>Leshem-Rubinow</w:t>
      </w:r>
      <w:r w:rsidR="00D31158" w:rsidRPr="00211F88">
        <w:rPr>
          <w:noProof/>
        </w:rPr>
        <w:t xml:space="preserve"> </w:t>
      </w:r>
      <w:r w:rsidRPr="00211F88">
        <w:rPr>
          <w:noProof/>
        </w:rPr>
        <w:t>E,</w:t>
      </w:r>
      <w:r w:rsidR="00D31158" w:rsidRPr="00211F88">
        <w:rPr>
          <w:noProof/>
        </w:rPr>
        <w:t xml:space="preserve"> </w:t>
      </w:r>
      <w:r w:rsidRPr="00211F88">
        <w:rPr>
          <w:noProof/>
        </w:rPr>
        <w:t>Arbel</w:t>
      </w:r>
      <w:r w:rsidR="00D31158" w:rsidRPr="00211F88">
        <w:rPr>
          <w:noProof/>
        </w:rPr>
        <w:t xml:space="preserve"> </w:t>
      </w:r>
      <w:r w:rsidRPr="00211F88">
        <w:rPr>
          <w:noProof/>
        </w:rPr>
        <w:t>Y,</w:t>
      </w:r>
      <w:r w:rsidR="00D31158" w:rsidRPr="00211F88">
        <w:rPr>
          <w:noProof/>
        </w:rPr>
        <w:t xml:space="preserve"> </w:t>
      </w:r>
      <w:r w:rsidRPr="00211F88">
        <w:rPr>
          <w:noProof/>
        </w:rPr>
        <w:t>Keren</w:t>
      </w:r>
      <w:r w:rsidR="00D31158" w:rsidRPr="00211F88">
        <w:rPr>
          <w:noProof/>
        </w:rPr>
        <w:t xml:space="preserve"> </w:t>
      </w:r>
      <w:r w:rsidRPr="00211F88">
        <w:rPr>
          <w:noProof/>
        </w:rPr>
        <w:t>G,</w:t>
      </w:r>
      <w:r w:rsidR="00D31158" w:rsidRPr="00211F88">
        <w:rPr>
          <w:noProof/>
        </w:rPr>
        <w:t xml:space="preserve"> </w:t>
      </w:r>
      <w:r w:rsidRPr="00211F88">
        <w:rPr>
          <w:noProof/>
        </w:rPr>
        <w:t>Roth</w:t>
      </w:r>
      <w:r w:rsidR="00D31158" w:rsidRPr="00211F88">
        <w:rPr>
          <w:noProof/>
        </w:rPr>
        <w:t xml:space="preserve"> </w:t>
      </w:r>
      <w:r w:rsidRPr="00211F88">
        <w:rPr>
          <w:noProof/>
        </w:rPr>
        <w:t>A,</w:t>
      </w:r>
      <w:r w:rsidR="00D31158" w:rsidRPr="00211F88">
        <w:rPr>
          <w:noProof/>
        </w:rPr>
        <w:t xml:space="preserve"> </w:t>
      </w:r>
      <w:r w:rsidRPr="00211F88">
        <w:rPr>
          <w:noProof/>
        </w:rPr>
        <w:t>et</w:t>
      </w:r>
      <w:r w:rsidR="00D31158" w:rsidRPr="00211F88">
        <w:rPr>
          <w:noProof/>
        </w:rPr>
        <w:t xml:space="preserve"> </w:t>
      </w:r>
      <w:r w:rsidRPr="00211F88">
        <w:rPr>
          <w:noProof/>
        </w:rPr>
        <w:t>al.</w:t>
      </w:r>
      <w:r w:rsidR="00D31158" w:rsidRPr="00211F88">
        <w:rPr>
          <w:noProof/>
        </w:rPr>
        <w:t xml:space="preserve"> </w:t>
      </w:r>
      <w:r w:rsidRPr="00211F88">
        <w:rPr>
          <w:noProof/>
        </w:rPr>
        <w:t>Admission</w:t>
      </w:r>
      <w:r w:rsidR="00D31158" w:rsidRPr="00211F88">
        <w:rPr>
          <w:noProof/>
        </w:rPr>
        <w:t xml:space="preserve"> </w:t>
      </w:r>
      <w:r w:rsidRPr="00211F88">
        <w:rPr>
          <w:noProof/>
        </w:rPr>
        <w:t>Glucose</w:t>
      </w:r>
      <w:r w:rsidR="00D31158" w:rsidRPr="00211F88">
        <w:rPr>
          <w:noProof/>
        </w:rPr>
        <w:t xml:space="preserve"> </w:t>
      </w:r>
      <w:r w:rsidRPr="00211F88">
        <w:rPr>
          <w:noProof/>
        </w:rPr>
        <w:t>Levels</w:t>
      </w:r>
      <w:r w:rsidR="00D31158" w:rsidRPr="00211F88">
        <w:rPr>
          <w:noProof/>
        </w:rPr>
        <w:t xml:space="preserve"> </w:t>
      </w:r>
      <w:r w:rsidRPr="00211F88">
        <w:rPr>
          <w:noProof/>
        </w:rPr>
        <w:t>and</w:t>
      </w:r>
      <w:r w:rsidR="00D31158" w:rsidRPr="00211F88">
        <w:rPr>
          <w:noProof/>
        </w:rPr>
        <w:t xml:space="preserve"> </w:t>
      </w:r>
      <w:r w:rsidRPr="00211F88">
        <w:rPr>
          <w:noProof/>
        </w:rPr>
        <w:t>the</w:t>
      </w:r>
      <w:r w:rsidR="00D31158" w:rsidRPr="00211F88">
        <w:rPr>
          <w:noProof/>
        </w:rPr>
        <w:t xml:space="preserve"> </w:t>
      </w:r>
      <w:r w:rsidRPr="00211F88">
        <w:rPr>
          <w:noProof/>
        </w:rPr>
        <w:t>Risk</w:t>
      </w:r>
      <w:r w:rsidR="00D31158" w:rsidRPr="00211F88">
        <w:rPr>
          <w:noProof/>
        </w:rPr>
        <w:t xml:space="preserve"> </w:t>
      </w:r>
      <w:r w:rsidRPr="00211F88">
        <w:rPr>
          <w:noProof/>
        </w:rPr>
        <w:t>of</w:t>
      </w:r>
      <w:r w:rsidR="00D31158" w:rsidRPr="00211F88">
        <w:rPr>
          <w:noProof/>
        </w:rPr>
        <w:t xml:space="preserve"> </w:t>
      </w:r>
      <w:r w:rsidRPr="00211F88">
        <w:rPr>
          <w:noProof/>
        </w:rPr>
        <w:t>Acute</w:t>
      </w:r>
      <w:r w:rsidR="00D31158" w:rsidRPr="00211F88">
        <w:rPr>
          <w:noProof/>
        </w:rPr>
        <w:t xml:space="preserve"> </w:t>
      </w:r>
      <w:r w:rsidRPr="00211F88">
        <w:rPr>
          <w:noProof/>
        </w:rPr>
        <w:t>Kidney</w:t>
      </w:r>
      <w:r w:rsidR="00D31158" w:rsidRPr="00211F88">
        <w:rPr>
          <w:noProof/>
        </w:rPr>
        <w:t xml:space="preserve"> </w:t>
      </w:r>
      <w:r w:rsidRPr="00211F88">
        <w:rPr>
          <w:noProof/>
        </w:rPr>
        <w:t>Injury</w:t>
      </w:r>
      <w:r w:rsidR="00D31158" w:rsidRPr="00211F88">
        <w:rPr>
          <w:noProof/>
        </w:rPr>
        <w:t xml:space="preserve"> </w:t>
      </w:r>
      <w:r w:rsidRPr="00211F88">
        <w:rPr>
          <w:noProof/>
        </w:rPr>
        <w:t>in</w:t>
      </w:r>
      <w:r w:rsidR="00D31158" w:rsidRPr="00211F88">
        <w:rPr>
          <w:noProof/>
        </w:rPr>
        <w:t xml:space="preserve"> </w:t>
      </w:r>
      <w:r w:rsidRPr="00211F88">
        <w:rPr>
          <w:noProof/>
        </w:rPr>
        <w:t>Nondiabetic</w:t>
      </w:r>
      <w:r w:rsidR="00D31158" w:rsidRPr="00211F88">
        <w:rPr>
          <w:noProof/>
        </w:rPr>
        <w:t xml:space="preserve"> </w:t>
      </w:r>
      <w:r w:rsidRPr="00211F88">
        <w:rPr>
          <w:noProof/>
        </w:rPr>
        <w:t>ST</w:t>
      </w:r>
      <w:r w:rsidR="00D31158" w:rsidRPr="00211F88">
        <w:rPr>
          <w:noProof/>
        </w:rPr>
        <w:t xml:space="preserve"> </w:t>
      </w:r>
      <w:r w:rsidRPr="00211F88">
        <w:rPr>
          <w:noProof/>
        </w:rPr>
        <w:t>Segment</w:t>
      </w:r>
      <w:r w:rsidR="00D31158" w:rsidRPr="00211F88">
        <w:rPr>
          <w:noProof/>
        </w:rPr>
        <w:t xml:space="preserve"> </w:t>
      </w:r>
      <w:r w:rsidRPr="00211F88">
        <w:rPr>
          <w:noProof/>
        </w:rPr>
        <w:t>Elevation</w:t>
      </w:r>
      <w:r w:rsidR="00D31158" w:rsidRPr="00211F88">
        <w:rPr>
          <w:noProof/>
        </w:rPr>
        <w:t xml:space="preserve"> </w:t>
      </w:r>
      <w:r w:rsidRPr="00211F88">
        <w:rPr>
          <w:noProof/>
        </w:rPr>
        <w:t>Myocardial</w:t>
      </w:r>
      <w:r w:rsidR="00D31158" w:rsidRPr="00211F88">
        <w:rPr>
          <w:noProof/>
        </w:rPr>
        <w:t xml:space="preserve"> </w:t>
      </w:r>
      <w:r w:rsidRPr="00211F88">
        <w:rPr>
          <w:noProof/>
        </w:rPr>
        <w:t>Infarction</w:t>
      </w:r>
      <w:r w:rsidR="00D31158" w:rsidRPr="00211F88">
        <w:rPr>
          <w:noProof/>
        </w:rPr>
        <w:t xml:space="preserve"> </w:t>
      </w:r>
      <w:r w:rsidRPr="00211F88">
        <w:rPr>
          <w:noProof/>
        </w:rPr>
        <w:t>Patients</w:t>
      </w:r>
      <w:r w:rsidR="00D31158" w:rsidRPr="00211F88">
        <w:rPr>
          <w:noProof/>
        </w:rPr>
        <w:t xml:space="preserve"> </w:t>
      </w:r>
      <w:r w:rsidRPr="00211F88">
        <w:rPr>
          <w:noProof/>
        </w:rPr>
        <w:t>Undergoing</w:t>
      </w:r>
      <w:r w:rsidR="00D31158" w:rsidRPr="00211F88">
        <w:rPr>
          <w:noProof/>
        </w:rPr>
        <w:t xml:space="preserve"> </w:t>
      </w:r>
      <w:r w:rsidRPr="00211F88">
        <w:rPr>
          <w:noProof/>
        </w:rPr>
        <w:t>Primary</w:t>
      </w:r>
      <w:r w:rsidR="00D31158" w:rsidRPr="00211F88">
        <w:rPr>
          <w:noProof/>
        </w:rPr>
        <w:t xml:space="preserve"> </w:t>
      </w:r>
      <w:r w:rsidRPr="00211F88">
        <w:rPr>
          <w:noProof/>
        </w:rPr>
        <w:t>Percutaneous</w:t>
      </w:r>
      <w:r w:rsidR="00D31158" w:rsidRPr="00211F88">
        <w:rPr>
          <w:noProof/>
        </w:rPr>
        <w:t xml:space="preserve"> </w:t>
      </w:r>
      <w:r w:rsidRPr="00211F88">
        <w:rPr>
          <w:noProof/>
        </w:rPr>
        <w:t>Coronary</w:t>
      </w:r>
      <w:r w:rsidR="00D31158" w:rsidRPr="00211F88">
        <w:rPr>
          <w:noProof/>
        </w:rPr>
        <w:t xml:space="preserve"> </w:t>
      </w:r>
      <w:r w:rsidRPr="00211F88">
        <w:rPr>
          <w:noProof/>
        </w:rPr>
        <w:t>Intervention.</w:t>
      </w:r>
      <w:r w:rsidR="00D31158" w:rsidRPr="00211F88">
        <w:rPr>
          <w:noProof/>
        </w:rPr>
        <w:t xml:space="preserve"> </w:t>
      </w:r>
      <w:r w:rsidRPr="00211F88">
        <w:rPr>
          <w:noProof/>
        </w:rPr>
        <w:t>Cardiorenal</w:t>
      </w:r>
      <w:r w:rsidR="00D31158" w:rsidRPr="00211F88">
        <w:rPr>
          <w:noProof/>
        </w:rPr>
        <w:t xml:space="preserve"> </w:t>
      </w:r>
      <w:r w:rsidRPr="00211F88">
        <w:rPr>
          <w:noProof/>
        </w:rPr>
        <w:t>Med.</w:t>
      </w:r>
      <w:r w:rsidR="00D31158" w:rsidRPr="00211F88">
        <w:rPr>
          <w:noProof/>
        </w:rPr>
        <w:t xml:space="preserve"> </w:t>
      </w:r>
      <w:r w:rsidRPr="00211F88">
        <w:rPr>
          <w:noProof/>
        </w:rPr>
        <w:t>2015</w:t>
      </w:r>
      <w:r w:rsidR="00D31158" w:rsidRPr="00211F88">
        <w:rPr>
          <w:noProof/>
        </w:rPr>
        <w:t xml:space="preserve"> </w:t>
      </w:r>
      <w:r w:rsidRPr="00211F88">
        <w:rPr>
          <w:noProof/>
        </w:rPr>
        <w:t>Jun;5(3):191–8.</w:t>
      </w:r>
    </w:p>
    <w:p w:rsidR="008B5D29" w:rsidRPr="00211F88" w:rsidRDefault="008B5D29" w:rsidP="00837273">
      <w:pPr>
        <w:pStyle w:val="Heading1"/>
        <w:keepNext w:val="0"/>
        <w:keepLines w:val="0"/>
        <w:tabs>
          <w:tab w:val="left" w:pos="3014"/>
          <w:tab w:val="center" w:pos="4079"/>
        </w:tabs>
        <w:snapToGrid w:val="0"/>
        <w:spacing w:before="0"/>
        <w:ind w:left="425" w:hanging="425"/>
        <w:jc w:val="both"/>
        <w:rPr>
          <w:sz w:val="20"/>
          <w:szCs w:val="20"/>
        </w:rPr>
        <w:sectPr w:rsidR="008B5D29" w:rsidRPr="00211F88" w:rsidSect="008B5D29">
          <w:type w:val="continuous"/>
          <w:pgSz w:w="12240" w:h="15840" w:code="1"/>
          <w:pgMar w:top="1440" w:right="1440" w:bottom="1440" w:left="1440" w:header="720" w:footer="720" w:gutter="0"/>
          <w:cols w:num="2" w:space="500"/>
          <w:docGrid w:linePitch="360"/>
        </w:sectPr>
      </w:pPr>
    </w:p>
    <w:p w:rsidR="00311838" w:rsidRPr="00211F88" w:rsidRDefault="00311838" w:rsidP="00837273">
      <w:pPr>
        <w:pStyle w:val="Heading1"/>
        <w:keepNext w:val="0"/>
        <w:keepLines w:val="0"/>
        <w:tabs>
          <w:tab w:val="left" w:pos="3014"/>
          <w:tab w:val="center" w:pos="4079"/>
        </w:tabs>
        <w:snapToGrid w:val="0"/>
        <w:spacing w:before="0"/>
        <w:ind w:left="425" w:hanging="425"/>
        <w:jc w:val="both"/>
        <w:rPr>
          <w:sz w:val="20"/>
          <w:szCs w:val="20"/>
        </w:rPr>
      </w:pPr>
    </w:p>
    <w:p w:rsidR="008B5D29" w:rsidRPr="00211F88" w:rsidRDefault="008B5D29" w:rsidP="008B5D29">
      <w:pPr>
        <w:snapToGrid w:val="0"/>
        <w:ind w:firstLine="425"/>
        <w:contextualSpacing/>
        <w:jc w:val="both"/>
        <w:rPr>
          <w:rFonts w:eastAsiaTheme="minorEastAsia"/>
          <w:lang w:eastAsia="zh-CN"/>
        </w:rPr>
      </w:pPr>
    </w:p>
    <w:p w:rsidR="00BC2AE3" w:rsidRPr="00211F88" w:rsidRDefault="00D31158" w:rsidP="00644992">
      <w:pPr>
        <w:snapToGrid w:val="0"/>
        <w:contextualSpacing/>
        <w:jc w:val="both"/>
      </w:pPr>
      <w:r w:rsidRPr="00211F88">
        <w:t>12/17/2019</w:t>
      </w:r>
    </w:p>
    <w:sectPr w:rsidR="00BC2AE3" w:rsidRPr="00211F88" w:rsidSect="00D3115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C10" w:rsidRDefault="00E06C10" w:rsidP="00FC4BAE">
      <w:r>
        <w:separator/>
      </w:r>
    </w:p>
  </w:endnote>
  <w:endnote w:type="continuationSeparator" w:id="0">
    <w:p w:rsidR="00E06C10" w:rsidRDefault="00E06C10" w:rsidP="00FC4B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D29" w:rsidRPr="00794475" w:rsidRDefault="00116800" w:rsidP="00794475">
    <w:pPr>
      <w:jc w:val="center"/>
    </w:pPr>
    <w:fldSimple w:instr=" page ">
      <w:r w:rsidR="00800502">
        <w:rPr>
          <w:noProof/>
        </w:rPr>
        <w:t>79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C10" w:rsidRDefault="00E06C10" w:rsidP="00FC4BAE">
      <w:r>
        <w:separator/>
      </w:r>
    </w:p>
  </w:footnote>
  <w:footnote w:type="continuationSeparator" w:id="0">
    <w:p w:rsidR="00E06C10" w:rsidRDefault="00E06C10" w:rsidP="00FC4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75" w:rsidRPr="00794475" w:rsidRDefault="00116800" w:rsidP="00794475">
    <w:pPr>
      <w:tabs>
        <w:tab w:val="left" w:pos="851"/>
        <w:tab w:val="left" w:pos="7200"/>
        <w:tab w:val="right" w:pos="8364"/>
      </w:tabs>
      <w:adjustRightInd w:val="0"/>
      <w:snapToGrid w:val="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29" w:rsidRPr="00794475" w:rsidRDefault="001B0F29" w:rsidP="00794475">
    <w:pPr>
      <w:pBdr>
        <w:bottom w:val="thinThickMediumGap" w:sz="12" w:space="1" w:color="auto"/>
      </w:pBdr>
      <w:tabs>
        <w:tab w:val="left" w:pos="851"/>
        <w:tab w:val="right" w:pos="8364"/>
      </w:tabs>
      <w:adjustRightInd w:val="0"/>
      <w:snapToGrid w:val="0"/>
      <w:jc w:val="both"/>
      <w:rPr>
        <w:iCs/>
      </w:rPr>
    </w:pPr>
    <w:r w:rsidRPr="00794475">
      <w:rPr>
        <w:rFonts w:hint="eastAsia"/>
      </w:rPr>
      <w:tab/>
    </w:r>
    <w:r w:rsidRPr="00794475">
      <w:t>New York Science Journal 201</w:t>
    </w:r>
    <w:r w:rsidRPr="00794475">
      <w:rPr>
        <w:rFonts w:hint="eastAsia"/>
      </w:rPr>
      <w:t>9</w:t>
    </w:r>
    <w:r w:rsidRPr="00794475">
      <w:t>;</w:t>
    </w:r>
    <w:r w:rsidRPr="00794475">
      <w:rPr>
        <w:rFonts w:hint="eastAsia"/>
      </w:rPr>
      <w:t>12</w:t>
    </w:r>
    <w:r w:rsidRPr="00794475">
      <w:t>(</w:t>
    </w:r>
    <w:r w:rsidRPr="00794475">
      <w:rPr>
        <w:rFonts w:hint="eastAsia"/>
      </w:rPr>
      <w:t>12</w:t>
    </w:r>
    <w:r w:rsidRPr="00794475">
      <w:t>)</w:t>
    </w:r>
    <w:r w:rsidRPr="00794475">
      <w:rPr>
        <w:iCs/>
      </w:rPr>
      <w:t xml:space="preserve"> </w:t>
    </w:r>
    <w:r w:rsidRPr="00794475">
      <w:rPr>
        <w:rFonts w:hint="eastAsia"/>
        <w:iCs/>
      </w:rPr>
      <w:tab/>
    </w:r>
    <w:r w:rsidRPr="00794475">
      <w:rPr>
        <w:iCs/>
      </w:rPr>
      <w:t xml:space="preserve">  </w:t>
    </w:r>
    <w:hyperlink r:id="rId1" w:history="1">
      <w:r w:rsidRPr="00794475">
        <w:rPr>
          <w:rStyle w:val="Hyperlink"/>
        </w:rPr>
        <w:t>http://www.sciencepub.net/newyork</w:t>
      </w:r>
    </w:hyperlink>
    <w:r w:rsidRPr="00794475">
      <w:rPr>
        <w:rFonts w:hint="eastAsia"/>
      </w:rPr>
      <w:t xml:space="preserve">   </w:t>
    </w:r>
    <w:r w:rsidRPr="00794475">
      <w:rPr>
        <w:rFonts w:hint="eastAsia"/>
        <w:b/>
        <w:i/>
        <w:color w:val="FF0000"/>
        <w:bdr w:val="single" w:sz="4" w:space="0" w:color="FF0000"/>
      </w:rPr>
      <w:t>NYJ</w:t>
    </w:r>
  </w:p>
  <w:p w:rsidR="001B0F29" w:rsidRPr="00794475" w:rsidRDefault="001B0F29" w:rsidP="00794475">
    <w:pPr>
      <w:tabs>
        <w:tab w:val="left" w:pos="851"/>
        <w:tab w:val="left" w:pos="7200"/>
        <w:tab w:val="right" w:pos="8364"/>
      </w:tabs>
      <w:adjustRightInd w:val="0"/>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30F"/>
    <w:multiLevelType w:val="hybridMultilevel"/>
    <w:tmpl w:val="E5348CF8"/>
    <w:lvl w:ilvl="0" w:tplc="5168704C">
      <w:start w:val="1"/>
      <w:numFmt w:val="bullet"/>
      <w:lvlText w:val=""/>
      <w:lvlJc w:val="left"/>
      <w:pPr>
        <w:ind w:left="900" w:hanging="360"/>
      </w:pPr>
      <w:rPr>
        <w:rFonts w:ascii="Symbol" w:hAnsi="Symbol" w:hint="default"/>
      </w:rPr>
    </w:lvl>
    <w:lvl w:ilvl="1" w:tplc="7DF23F4E">
      <w:start w:val="1"/>
      <w:numFmt w:val="bullet"/>
      <w:lvlText w:val="o"/>
      <w:lvlJc w:val="left"/>
      <w:pPr>
        <w:ind w:left="1620" w:hanging="360"/>
      </w:pPr>
      <w:rPr>
        <w:rFonts w:ascii="Courier New" w:hAnsi="Courier New" w:cs="Courier New" w:hint="default"/>
      </w:rPr>
    </w:lvl>
    <w:lvl w:ilvl="2" w:tplc="E8A82FAE">
      <w:start w:val="1"/>
      <w:numFmt w:val="bullet"/>
      <w:lvlText w:val=""/>
      <w:lvlJc w:val="left"/>
      <w:pPr>
        <w:ind w:left="2340" w:hanging="360"/>
      </w:pPr>
      <w:rPr>
        <w:rFonts w:ascii="Wingdings" w:hAnsi="Wingdings" w:hint="default"/>
      </w:rPr>
    </w:lvl>
    <w:lvl w:ilvl="3" w:tplc="B6BE20EC">
      <w:start w:val="1"/>
      <w:numFmt w:val="bullet"/>
      <w:lvlText w:val=""/>
      <w:lvlJc w:val="left"/>
      <w:pPr>
        <w:ind w:left="3060" w:hanging="360"/>
      </w:pPr>
      <w:rPr>
        <w:rFonts w:ascii="Symbol" w:hAnsi="Symbol" w:hint="default"/>
      </w:rPr>
    </w:lvl>
    <w:lvl w:ilvl="4" w:tplc="607CCE40">
      <w:start w:val="1"/>
      <w:numFmt w:val="bullet"/>
      <w:lvlText w:val="o"/>
      <w:lvlJc w:val="left"/>
      <w:pPr>
        <w:ind w:left="3780" w:hanging="360"/>
      </w:pPr>
      <w:rPr>
        <w:rFonts w:ascii="Courier New" w:hAnsi="Courier New" w:cs="Courier New" w:hint="default"/>
      </w:rPr>
    </w:lvl>
    <w:lvl w:ilvl="5" w:tplc="2A5EA58A">
      <w:start w:val="1"/>
      <w:numFmt w:val="bullet"/>
      <w:lvlText w:val=""/>
      <w:lvlJc w:val="left"/>
      <w:pPr>
        <w:ind w:left="4500" w:hanging="360"/>
      </w:pPr>
      <w:rPr>
        <w:rFonts w:ascii="Wingdings" w:hAnsi="Wingdings" w:hint="default"/>
      </w:rPr>
    </w:lvl>
    <w:lvl w:ilvl="6" w:tplc="305CA8BE">
      <w:start w:val="1"/>
      <w:numFmt w:val="bullet"/>
      <w:lvlText w:val=""/>
      <w:lvlJc w:val="left"/>
      <w:pPr>
        <w:ind w:left="5220" w:hanging="360"/>
      </w:pPr>
      <w:rPr>
        <w:rFonts w:ascii="Symbol" w:hAnsi="Symbol" w:hint="default"/>
      </w:rPr>
    </w:lvl>
    <w:lvl w:ilvl="7" w:tplc="F5BE078C">
      <w:start w:val="1"/>
      <w:numFmt w:val="bullet"/>
      <w:lvlText w:val="o"/>
      <w:lvlJc w:val="left"/>
      <w:pPr>
        <w:ind w:left="5940" w:hanging="360"/>
      </w:pPr>
      <w:rPr>
        <w:rFonts w:ascii="Courier New" w:hAnsi="Courier New" w:cs="Courier New" w:hint="default"/>
      </w:rPr>
    </w:lvl>
    <w:lvl w:ilvl="8" w:tplc="BF500B24">
      <w:start w:val="1"/>
      <w:numFmt w:val="bullet"/>
      <w:lvlText w:val=""/>
      <w:lvlJc w:val="left"/>
      <w:pPr>
        <w:ind w:left="6660" w:hanging="360"/>
      </w:pPr>
      <w:rPr>
        <w:rFonts w:ascii="Wingdings" w:hAnsi="Wingdings" w:hint="default"/>
      </w:rPr>
    </w:lvl>
  </w:abstractNum>
  <w:abstractNum w:abstractNumId="1">
    <w:nsid w:val="05CF124C"/>
    <w:multiLevelType w:val="hybridMultilevel"/>
    <w:tmpl w:val="6560AE04"/>
    <w:lvl w:ilvl="0" w:tplc="77628190">
      <w:start w:val="1"/>
      <w:numFmt w:val="lowerLetter"/>
      <w:lvlText w:val="%1."/>
      <w:lvlJc w:val="left"/>
      <w:pPr>
        <w:ind w:left="720" w:hanging="360"/>
      </w:pPr>
      <w:rPr>
        <w:rFonts w:hint="default"/>
      </w:rPr>
    </w:lvl>
    <w:lvl w:ilvl="1" w:tplc="032E6DEC" w:tentative="1">
      <w:start w:val="1"/>
      <w:numFmt w:val="lowerLetter"/>
      <w:lvlText w:val="%2."/>
      <w:lvlJc w:val="left"/>
      <w:pPr>
        <w:ind w:left="1440" w:hanging="360"/>
      </w:pPr>
    </w:lvl>
    <w:lvl w:ilvl="2" w:tplc="773822AA" w:tentative="1">
      <w:start w:val="1"/>
      <w:numFmt w:val="lowerRoman"/>
      <w:lvlText w:val="%3."/>
      <w:lvlJc w:val="right"/>
      <w:pPr>
        <w:ind w:left="2160" w:hanging="180"/>
      </w:pPr>
    </w:lvl>
    <w:lvl w:ilvl="3" w:tplc="4106104A" w:tentative="1">
      <w:start w:val="1"/>
      <w:numFmt w:val="decimal"/>
      <w:lvlText w:val="%4."/>
      <w:lvlJc w:val="left"/>
      <w:pPr>
        <w:ind w:left="2880" w:hanging="360"/>
      </w:pPr>
    </w:lvl>
    <w:lvl w:ilvl="4" w:tplc="45761F96" w:tentative="1">
      <w:start w:val="1"/>
      <w:numFmt w:val="lowerLetter"/>
      <w:lvlText w:val="%5."/>
      <w:lvlJc w:val="left"/>
      <w:pPr>
        <w:ind w:left="3600" w:hanging="360"/>
      </w:pPr>
    </w:lvl>
    <w:lvl w:ilvl="5" w:tplc="00A0788A" w:tentative="1">
      <w:start w:val="1"/>
      <w:numFmt w:val="lowerRoman"/>
      <w:lvlText w:val="%6."/>
      <w:lvlJc w:val="right"/>
      <w:pPr>
        <w:ind w:left="4320" w:hanging="180"/>
      </w:pPr>
    </w:lvl>
    <w:lvl w:ilvl="6" w:tplc="AE2A24D4" w:tentative="1">
      <w:start w:val="1"/>
      <w:numFmt w:val="decimal"/>
      <w:lvlText w:val="%7."/>
      <w:lvlJc w:val="left"/>
      <w:pPr>
        <w:ind w:left="5040" w:hanging="360"/>
      </w:pPr>
    </w:lvl>
    <w:lvl w:ilvl="7" w:tplc="484C1C40" w:tentative="1">
      <w:start w:val="1"/>
      <w:numFmt w:val="lowerLetter"/>
      <w:lvlText w:val="%8."/>
      <w:lvlJc w:val="left"/>
      <w:pPr>
        <w:ind w:left="5760" w:hanging="360"/>
      </w:pPr>
    </w:lvl>
    <w:lvl w:ilvl="8" w:tplc="04347984" w:tentative="1">
      <w:start w:val="1"/>
      <w:numFmt w:val="lowerRoman"/>
      <w:lvlText w:val="%9."/>
      <w:lvlJc w:val="right"/>
      <w:pPr>
        <w:ind w:left="6480" w:hanging="180"/>
      </w:pPr>
    </w:lvl>
  </w:abstractNum>
  <w:abstractNum w:abstractNumId="2">
    <w:nsid w:val="07D23E90"/>
    <w:multiLevelType w:val="hybridMultilevel"/>
    <w:tmpl w:val="725CCB5E"/>
    <w:lvl w:ilvl="0" w:tplc="16C61FE6">
      <w:numFmt w:val="bullet"/>
      <w:lvlText w:val="-"/>
      <w:lvlJc w:val="left"/>
      <w:pPr>
        <w:ind w:left="1080" w:hanging="360"/>
      </w:pPr>
      <w:rPr>
        <w:rFonts w:ascii="Times New Roman" w:eastAsia="Calibri" w:hAnsi="Times New Roman" w:cs="Times New Roman" w:hint="default"/>
      </w:rPr>
    </w:lvl>
    <w:lvl w:ilvl="1" w:tplc="211C9612" w:tentative="1">
      <w:start w:val="1"/>
      <w:numFmt w:val="bullet"/>
      <w:lvlText w:val="o"/>
      <w:lvlJc w:val="left"/>
      <w:pPr>
        <w:ind w:left="1800" w:hanging="360"/>
      </w:pPr>
      <w:rPr>
        <w:rFonts w:ascii="Courier New" w:hAnsi="Courier New" w:cs="Courier New" w:hint="default"/>
      </w:rPr>
    </w:lvl>
    <w:lvl w:ilvl="2" w:tplc="BE4268F6" w:tentative="1">
      <w:start w:val="1"/>
      <w:numFmt w:val="bullet"/>
      <w:lvlText w:val=""/>
      <w:lvlJc w:val="left"/>
      <w:pPr>
        <w:ind w:left="2520" w:hanging="360"/>
      </w:pPr>
      <w:rPr>
        <w:rFonts w:ascii="Wingdings" w:hAnsi="Wingdings" w:hint="default"/>
      </w:rPr>
    </w:lvl>
    <w:lvl w:ilvl="3" w:tplc="23420F6A" w:tentative="1">
      <w:start w:val="1"/>
      <w:numFmt w:val="bullet"/>
      <w:lvlText w:val=""/>
      <w:lvlJc w:val="left"/>
      <w:pPr>
        <w:ind w:left="3240" w:hanging="360"/>
      </w:pPr>
      <w:rPr>
        <w:rFonts w:ascii="Symbol" w:hAnsi="Symbol" w:hint="default"/>
      </w:rPr>
    </w:lvl>
    <w:lvl w:ilvl="4" w:tplc="C82E0884" w:tentative="1">
      <w:start w:val="1"/>
      <w:numFmt w:val="bullet"/>
      <w:lvlText w:val="o"/>
      <w:lvlJc w:val="left"/>
      <w:pPr>
        <w:ind w:left="3960" w:hanging="360"/>
      </w:pPr>
      <w:rPr>
        <w:rFonts w:ascii="Courier New" w:hAnsi="Courier New" w:cs="Courier New" w:hint="default"/>
      </w:rPr>
    </w:lvl>
    <w:lvl w:ilvl="5" w:tplc="2B56F97A" w:tentative="1">
      <w:start w:val="1"/>
      <w:numFmt w:val="bullet"/>
      <w:lvlText w:val=""/>
      <w:lvlJc w:val="left"/>
      <w:pPr>
        <w:ind w:left="4680" w:hanging="360"/>
      </w:pPr>
      <w:rPr>
        <w:rFonts w:ascii="Wingdings" w:hAnsi="Wingdings" w:hint="default"/>
      </w:rPr>
    </w:lvl>
    <w:lvl w:ilvl="6" w:tplc="54F0E4C6" w:tentative="1">
      <w:start w:val="1"/>
      <w:numFmt w:val="bullet"/>
      <w:lvlText w:val=""/>
      <w:lvlJc w:val="left"/>
      <w:pPr>
        <w:ind w:left="5400" w:hanging="360"/>
      </w:pPr>
      <w:rPr>
        <w:rFonts w:ascii="Symbol" w:hAnsi="Symbol" w:hint="default"/>
      </w:rPr>
    </w:lvl>
    <w:lvl w:ilvl="7" w:tplc="2F58CB82" w:tentative="1">
      <w:start w:val="1"/>
      <w:numFmt w:val="bullet"/>
      <w:lvlText w:val="o"/>
      <w:lvlJc w:val="left"/>
      <w:pPr>
        <w:ind w:left="6120" w:hanging="360"/>
      </w:pPr>
      <w:rPr>
        <w:rFonts w:ascii="Courier New" w:hAnsi="Courier New" w:cs="Courier New" w:hint="default"/>
      </w:rPr>
    </w:lvl>
    <w:lvl w:ilvl="8" w:tplc="ED381B12" w:tentative="1">
      <w:start w:val="1"/>
      <w:numFmt w:val="bullet"/>
      <w:lvlText w:val=""/>
      <w:lvlJc w:val="left"/>
      <w:pPr>
        <w:ind w:left="6840" w:hanging="360"/>
      </w:pPr>
      <w:rPr>
        <w:rFonts w:ascii="Wingdings" w:hAnsi="Wingdings" w:hint="default"/>
      </w:rPr>
    </w:lvl>
  </w:abstractNum>
  <w:abstractNum w:abstractNumId="3">
    <w:nsid w:val="11866F65"/>
    <w:multiLevelType w:val="hybridMultilevel"/>
    <w:tmpl w:val="6BE809F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660266D"/>
    <w:multiLevelType w:val="hybridMultilevel"/>
    <w:tmpl w:val="1C74ED0A"/>
    <w:lvl w:ilvl="0" w:tplc="28048452">
      <w:start w:val="2"/>
      <w:numFmt w:val="bullet"/>
      <w:lvlText w:val="-"/>
      <w:lvlJc w:val="left"/>
      <w:pPr>
        <w:ind w:left="720" w:hanging="360"/>
      </w:pPr>
      <w:rPr>
        <w:rFonts w:ascii="Times New Roman" w:eastAsia="Times New Roman" w:hAnsi="Times New Roman" w:cs="Times New Roman" w:hint="default"/>
      </w:rPr>
    </w:lvl>
    <w:lvl w:ilvl="1" w:tplc="DBA01B5E" w:tentative="1">
      <w:start w:val="1"/>
      <w:numFmt w:val="bullet"/>
      <w:lvlText w:val="o"/>
      <w:lvlJc w:val="left"/>
      <w:pPr>
        <w:ind w:left="1440" w:hanging="360"/>
      </w:pPr>
      <w:rPr>
        <w:rFonts w:ascii="Courier New" w:hAnsi="Courier New" w:cs="Courier New" w:hint="default"/>
      </w:rPr>
    </w:lvl>
    <w:lvl w:ilvl="2" w:tplc="56A67BC0" w:tentative="1">
      <w:start w:val="1"/>
      <w:numFmt w:val="bullet"/>
      <w:lvlText w:val=""/>
      <w:lvlJc w:val="left"/>
      <w:pPr>
        <w:ind w:left="2160" w:hanging="360"/>
      </w:pPr>
      <w:rPr>
        <w:rFonts w:ascii="Wingdings" w:hAnsi="Wingdings" w:hint="default"/>
      </w:rPr>
    </w:lvl>
    <w:lvl w:ilvl="3" w:tplc="E3420C52" w:tentative="1">
      <w:start w:val="1"/>
      <w:numFmt w:val="bullet"/>
      <w:lvlText w:val=""/>
      <w:lvlJc w:val="left"/>
      <w:pPr>
        <w:ind w:left="2880" w:hanging="360"/>
      </w:pPr>
      <w:rPr>
        <w:rFonts w:ascii="Symbol" w:hAnsi="Symbol" w:hint="default"/>
      </w:rPr>
    </w:lvl>
    <w:lvl w:ilvl="4" w:tplc="0E149A96" w:tentative="1">
      <w:start w:val="1"/>
      <w:numFmt w:val="bullet"/>
      <w:lvlText w:val="o"/>
      <w:lvlJc w:val="left"/>
      <w:pPr>
        <w:ind w:left="3600" w:hanging="360"/>
      </w:pPr>
      <w:rPr>
        <w:rFonts w:ascii="Courier New" w:hAnsi="Courier New" w:cs="Courier New" w:hint="default"/>
      </w:rPr>
    </w:lvl>
    <w:lvl w:ilvl="5" w:tplc="055037EA" w:tentative="1">
      <w:start w:val="1"/>
      <w:numFmt w:val="bullet"/>
      <w:lvlText w:val=""/>
      <w:lvlJc w:val="left"/>
      <w:pPr>
        <w:ind w:left="4320" w:hanging="360"/>
      </w:pPr>
      <w:rPr>
        <w:rFonts w:ascii="Wingdings" w:hAnsi="Wingdings" w:hint="default"/>
      </w:rPr>
    </w:lvl>
    <w:lvl w:ilvl="6" w:tplc="7D522EEC" w:tentative="1">
      <w:start w:val="1"/>
      <w:numFmt w:val="bullet"/>
      <w:lvlText w:val=""/>
      <w:lvlJc w:val="left"/>
      <w:pPr>
        <w:ind w:left="5040" w:hanging="360"/>
      </w:pPr>
      <w:rPr>
        <w:rFonts w:ascii="Symbol" w:hAnsi="Symbol" w:hint="default"/>
      </w:rPr>
    </w:lvl>
    <w:lvl w:ilvl="7" w:tplc="74B492E4" w:tentative="1">
      <w:start w:val="1"/>
      <w:numFmt w:val="bullet"/>
      <w:lvlText w:val="o"/>
      <w:lvlJc w:val="left"/>
      <w:pPr>
        <w:ind w:left="5760" w:hanging="360"/>
      </w:pPr>
      <w:rPr>
        <w:rFonts w:ascii="Courier New" w:hAnsi="Courier New" w:cs="Courier New" w:hint="default"/>
      </w:rPr>
    </w:lvl>
    <w:lvl w:ilvl="8" w:tplc="CCC2E7C4" w:tentative="1">
      <w:start w:val="1"/>
      <w:numFmt w:val="bullet"/>
      <w:lvlText w:val=""/>
      <w:lvlJc w:val="left"/>
      <w:pPr>
        <w:ind w:left="6480" w:hanging="360"/>
      </w:pPr>
      <w:rPr>
        <w:rFonts w:ascii="Wingdings" w:hAnsi="Wingdings" w:hint="default"/>
      </w:rPr>
    </w:lvl>
  </w:abstractNum>
  <w:abstractNum w:abstractNumId="5">
    <w:nsid w:val="189000EB"/>
    <w:multiLevelType w:val="hybridMultilevel"/>
    <w:tmpl w:val="CBCC0F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E44596"/>
    <w:multiLevelType w:val="hybridMultilevel"/>
    <w:tmpl w:val="89005D50"/>
    <w:lvl w:ilvl="0" w:tplc="D236EB02">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5A11741"/>
    <w:multiLevelType w:val="hybridMultilevel"/>
    <w:tmpl w:val="A5A8B4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FD4DB3"/>
    <w:multiLevelType w:val="hybridMultilevel"/>
    <w:tmpl w:val="C934771C"/>
    <w:lvl w:ilvl="0" w:tplc="7D908BB6">
      <w:start w:val="8"/>
      <w:numFmt w:val="bullet"/>
      <w:lvlText w:val=""/>
      <w:lvlJc w:val="left"/>
      <w:pPr>
        <w:ind w:left="1080" w:hanging="360"/>
      </w:pPr>
      <w:rPr>
        <w:rFonts w:ascii="Symbol" w:eastAsia="Times New Roman" w:hAnsi="Symbol" w:cs="Times New Roman" w:hint="default"/>
        <w:color w:val="000000"/>
      </w:rPr>
    </w:lvl>
    <w:lvl w:ilvl="1" w:tplc="25F0DDCA" w:tentative="1">
      <w:start w:val="1"/>
      <w:numFmt w:val="bullet"/>
      <w:lvlText w:val="o"/>
      <w:lvlJc w:val="left"/>
      <w:pPr>
        <w:ind w:left="1800" w:hanging="360"/>
      </w:pPr>
      <w:rPr>
        <w:rFonts w:ascii="Courier New" w:hAnsi="Courier New" w:cs="Courier New" w:hint="default"/>
      </w:rPr>
    </w:lvl>
    <w:lvl w:ilvl="2" w:tplc="0CC068E6" w:tentative="1">
      <w:start w:val="1"/>
      <w:numFmt w:val="bullet"/>
      <w:lvlText w:val=""/>
      <w:lvlJc w:val="left"/>
      <w:pPr>
        <w:ind w:left="2520" w:hanging="360"/>
      </w:pPr>
      <w:rPr>
        <w:rFonts w:ascii="Wingdings" w:hAnsi="Wingdings" w:hint="default"/>
      </w:rPr>
    </w:lvl>
    <w:lvl w:ilvl="3" w:tplc="C420A6F0" w:tentative="1">
      <w:start w:val="1"/>
      <w:numFmt w:val="bullet"/>
      <w:lvlText w:val=""/>
      <w:lvlJc w:val="left"/>
      <w:pPr>
        <w:ind w:left="3240" w:hanging="360"/>
      </w:pPr>
      <w:rPr>
        <w:rFonts w:ascii="Symbol" w:hAnsi="Symbol" w:hint="default"/>
      </w:rPr>
    </w:lvl>
    <w:lvl w:ilvl="4" w:tplc="F1BE8CAC" w:tentative="1">
      <w:start w:val="1"/>
      <w:numFmt w:val="bullet"/>
      <w:lvlText w:val="o"/>
      <w:lvlJc w:val="left"/>
      <w:pPr>
        <w:ind w:left="3960" w:hanging="360"/>
      </w:pPr>
      <w:rPr>
        <w:rFonts w:ascii="Courier New" w:hAnsi="Courier New" w:cs="Courier New" w:hint="default"/>
      </w:rPr>
    </w:lvl>
    <w:lvl w:ilvl="5" w:tplc="42D41884" w:tentative="1">
      <w:start w:val="1"/>
      <w:numFmt w:val="bullet"/>
      <w:lvlText w:val=""/>
      <w:lvlJc w:val="left"/>
      <w:pPr>
        <w:ind w:left="4680" w:hanging="360"/>
      </w:pPr>
      <w:rPr>
        <w:rFonts w:ascii="Wingdings" w:hAnsi="Wingdings" w:hint="default"/>
      </w:rPr>
    </w:lvl>
    <w:lvl w:ilvl="6" w:tplc="F01027D4" w:tentative="1">
      <w:start w:val="1"/>
      <w:numFmt w:val="bullet"/>
      <w:lvlText w:val=""/>
      <w:lvlJc w:val="left"/>
      <w:pPr>
        <w:ind w:left="5400" w:hanging="360"/>
      </w:pPr>
      <w:rPr>
        <w:rFonts w:ascii="Symbol" w:hAnsi="Symbol" w:hint="default"/>
      </w:rPr>
    </w:lvl>
    <w:lvl w:ilvl="7" w:tplc="4EC65D7E" w:tentative="1">
      <w:start w:val="1"/>
      <w:numFmt w:val="bullet"/>
      <w:lvlText w:val="o"/>
      <w:lvlJc w:val="left"/>
      <w:pPr>
        <w:ind w:left="6120" w:hanging="360"/>
      </w:pPr>
      <w:rPr>
        <w:rFonts w:ascii="Courier New" w:hAnsi="Courier New" w:cs="Courier New" w:hint="default"/>
      </w:rPr>
    </w:lvl>
    <w:lvl w:ilvl="8" w:tplc="2906384E" w:tentative="1">
      <w:start w:val="1"/>
      <w:numFmt w:val="bullet"/>
      <w:lvlText w:val=""/>
      <w:lvlJc w:val="left"/>
      <w:pPr>
        <w:ind w:left="6840" w:hanging="360"/>
      </w:pPr>
      <w:rPr>
        <w:rFonts w:ascii="Wingdings" w:hAnsi="Wingdings" w:hint="default"/>
      </w:rPr>
    </w:lvl>
  </w:abstractNum>
  <w:abstractNum w:abstractNumId="9">
    <w:nsid w:val="38380CD3"/>
    <w:multiLevelType w:val="hybridMultilevel"/>
    <w:tmpl w:val="BF8C1582"/>
    <w:lvl w:ilvl="0" w:tplc="0B922F48">
      <w:start w:val="1"/>
      <w:numFmt w:val="bullet"/>
      <w:lvlText w:val=""/>
      <w:lvlJc w:val="left"/>
      <w:pPr>
        <w:tabs>
          <w:tab w:val="num" w:pos="720"/>
        </w:tabs>
        <w:ind w:left="720" w:hanging="360"/>
      </w:pPr>
      <w:rPr>
        <w:rFonts w:ascii="Symbol" w:hAnsi="Symbol" w:hint="default"/>
      </w:rPr>
    </w:lvl>
    <w:lvl w:ilvl="1" w:tplc="31BEB96C" w:tentative="1">
      <w:start w:val="1"/>
      <w:numFmt w:val="bullet"/>
      <w:lvlText w:val="o"/>
      <w:lvlJc w:val="left"/>
      <w:pPr>
        <w:ind w:left="1440" w:hanging="360"/>
      </w:pPr>
      <w:rPr>
        <w:rFonts w:ascii="Courier New" w:hAnsi="Courier New" w:cs="Courier New" w:hint="default"/>
      </w:rPr>
    </w:lvl>
    <w:lvl w:ilvl="2" w:tplc="18EEBD72" w:tentative="1">
      <w:start w:val="1"/>
      <w:numFmt w:val="bullet"/>
      <w:lvlText w:val=""/>
      <w:lvlJc w:val="left"/>
      <w:pPr>
        <w:ind w:left="2160" w:hanging="360"/>
      </w:pPr>
      <w:rPr>
        <w:rFonts w:ascii="Wingdings" w:hAnsi="Wingdings" w:hint="default"/>
      </w:rPr>
    </w:lvl>
    <w:lvl w:ilvl="3" w:tplc="2E70DBFC" w:tentative="1">
      <w:start w:val="1"/>
      <w:numFmt w:val="bullet"/>
      <w:lvlText w:val=""/>
      <w:lvlJc w:val="left"/>
      <w:pPr>
        <w:ind w:left="2880" w:hanging="360"/>
      </w:pPr>
      <w:rPr>
        <w:rFonts w:ascii="Symbol" w:hAnsi="Symbol" w:hint="default"/>
      </w:rPr>
    </w:lvl>
    <w:lvl w:ilvl="4" w:tplc="D1AAEBA0" w:tentative="1">
      <w:start w:val="1"/>
      <w:numFmt w:val="bullet"/>
      <w:lvlText w:val="o"/>
      <w:lvlJc w:val="left"/>
      <w:pPr>
        <w:ind w:left="3600" w:hanging="360"/>
      </w:pPr>
      <w:rPr>
        <w:rFonts w:ascii="Courier New" w:hAnsi="Courier New" w:cs="Courier New" w:hint="default"/>
      </w:rPr>
    </w:lvl>
    <w:lvl w:ilvl="5" w:tplc="EA70535A" w:tentative="1">
      <w:start w:val="1"/>
      <w:numFmt w:val="bullet"/>
      <w:lvlText w:val=""/>
      <w:lvlJc w:val="left"/>
      <w:pPr>
        <w:ind w:left="4320" w:hanging="360"/>
      </w:pPr>
      <w:rPr>
        <w:rFonts w:ascii="Wingdings" w:hAnsi="Wingdings" w:hint="default"/>
      </w:rPr>
    </w:lvl>
    <w:lvl w:ilvl="6" w:tplc="F7588AEE" w:tentative="1">
      <w:start w:val="1"/>
      <w:numFmt w:val="bullet"/>
      <w:lvlText w:val=""/>
      <w:lvlJc w:val="left"/>
      <w:pPr>
        <w:ind w:left="5040" w:hanging="360"/>
      </w:pPr>
      <w:rPr>
        <w:rFonts w:ascii="Symbol" w:hAnsi="Symbol" w:hint="default"/>
      </w:rPr>
    </w:lvl>
    <w:lvl w:ilvl="7" w:tplc="3D6A88C0" w:tentative="1">
      <w:start w:val="1"/>
      <w:numFmt w:val="bullet"/>
      <w:lvlText w:val="o"/>
      <w:lvlJc w:val="left"/>
      <w:pPr>
        <w:ind w:left="5760" w:hanging="360"/>
      </w:pPr>
      <w:rPr>
        <w:rFonts w:ascii="Courier New" w:hAnsi="Courier New" w:cs="Courier New" w:hint="default"/>
      </w:rPr>
    </w:lvl>
    <w:lvl w:ilvl="8" w:tplc="B772354A" w:tentative="1">
      <w:start w:val="1"/>
      <w:numFmt w:val="bullet"/>
      <w:lvlText w:val=""/>
      <w:lvlJc w:val="left"/>
      <w:pPr>
        <w:ind w:left="6480" w:hanging="360"/>
      </w:pPr>
      <w:rPr>
        <w:rFonts w:ascii="Wingdings" w:hAnsi="Wingdings" w:hint="default"/>
      </w:rPr>
    </w:lvl>
  </w:abstractNum>
  <w:abstractNum w:abstractNumId="10">
    <w:nsid w:val="39C27A99"/>
    <w:multiLevelType w:val="hybridMultilevel"/>
    <w:tmpl w:val="3FD402C0"/>
    <w:lvl w:ilvl="0" w:tplc="0226D9FC">
      <w:start w:val="1"/>
      <w:numFmt w:val="lowerLetter"/>
      <w:lvlText w:val="%1."/>
      <w:lvlJc w:val="left"/>
      <w:pPr>
        <w:ind w:left="720" w:hanging="360"/>
      </w:pPr>
      <w:rPr>
        <w:rFonts w:hint="default"/>
      </w:rPr>
    </w:lvl>
    <w:lvl w:ilvl="1" w:tplc="136A38E0" w:tentative="1">
      <w:start w:val="1"/>
      <w:numFmt w:val="lowerLetter"/>
      <w:lvlText w:val="%2."/>
      <w:lvlJc w:val="left"/>
      <w:pPr>
        <w:ind w:left="1440" w:hanging="360"/>
      </w:pPr>
    </w:lvl>
    <w:lvl w:ilvl="2" w:tplc="785CC312" w:tentative="1">
      <w:start w:val="1"/>
      <w:numFmt w:val="lowerRoman"/>
      <w:lvlText w:val="%3."/>
      <w:lvlJc w:val="right"/>
      <w:pPr>
        <w:ind w:left="2160" w:hanging="180"/>
      </w:pPr>
    </w:lvl>
    <w:lvl w:ilvl="3" w:tplc="14C29FC4" w:tentative="1">
      <w:start w:val="1"/>
      <w:numFmt w:val="decimal"/>
      <w:lvlText w:val="%4."/>
      <w:lvlJc w:val="left"/>
      <w:pPr>
        <w:ind w:left="2880" w:hanging="360"/>
      </w:pPr>
    </w:lvl>
    <w:lvl w:ilvl="4" w:tplc="BEE27AEC" w:tentative="1">
      <w:start w:val="1"/>
      <w:numFmt w:val="lowerLetter"/>
      <w:lvlText w:val="%5."/>
      <w:lvlJc w:val="left"/>
      <w:pPr>
        <w:ind w:left="3600" w:hanging="360"/>
      </w:pPr>
    </w:lvl>
    <w:lvl w:ilvl="5" w:tplc="1EE20DF6" w:tentative="1">
      <w:start w:val="1"/>
      <w:numFmt w:val="lowerRoman"/>
      <w:lvlText w:val="%6."/>
      <w:lvlJc w:val="right"/>
      <w:pPr>
        <w:ind w:left="4320" w:hanging="180"/>
      </w:pPr>
    </w:lvl>
    <w:lvl w:ilvl="6" w:tplc="E570A38C" w:tentative="1">
      <w:start w:val="1"/>
      <w:numFmt w:val="decimal"/>
      <w:lvlText w:val="%7."/>
      <w:lvlJc w:val="left"/>
      <w:pPr>
        <w:ind w:left="5040" w:hanging="360"/>
      </w:pPr>
    </w:lvl>
    <w:lvl w:ilvl="7" w:tplc="A9606328" w:tentative="1">
      <w:start w:val="1"/>
      <w:numFmt w:val="lowerLetter"/>
      <w:lvlText w:val="%8."/>
      <w:lvlJc w:val="left"/>
      <w:pPr>
        <w:ind w:left="5760" w:hanging="360"/>
      </w:pPr>
    </w:lvl>
    <w:lvl w:ilvl="8" w:tplc="918077B4" w:tentative="1">
      <w:start w:val="1"/>
      <w:numFmt w:val="lowerRoman"/>
      <w:lvlText w:val="%9."/>
      <w:lvlJc w:val="right"/>
      <w:pPr>
        <w:ind w:left="6480" w:hanging="180"/>
      </w:pPr>
    </w:lvl>
  </w:abstractNum>
  <w:abstractNum w:abstractNumId="11">
    <w:nsid w:val="425863DF"/>
    <w:multiLevelType w:val="hybridMultilevel"/>
    <w:tmpl w:val="38AA1900"/>
    <w:lvl w:ilvl="0" w:tplc="98600006">
      <w:start w:val="1"/>
      <w:numFmt w:val="lowerLetter"/>
      <w:lvlText w:val="%1."/>
      <w:lvlJc w:val="left"/>
      <w:pPr>
        <w:ind w:left="1080" w:hanging="360"/>
      </w:pPr>
      <w:rPr>
        <w:rFonts w:hint="default"/>
      </w:rPr>
    </w:lvl>
    <w:lvl w:ilvl="1" w:tplc="6676195A" w:tentative="1">
      <w:start w:val="1"/>
      <w:numFmt w:val="lowerLetter"/>
      <w:lvlText w:val="%2."/>
      <w:lvlJc w:val="left"/>
      <w:pPr>
        <w:ind w:left="1800" w:hanging="360"/>
      </w:pPr>
    </w:lvl>
    <w:lvl w:ilvl="2" w:tplc="F1E6933C" w:tentative="1">
      <w:start w:val="1"/>
      <w:numFmt w:val="lowerRoman"/>
      <w:lvlText w:val="%3."/>
      <w:lvlJc w:val="right"/>
      <w:pPr>
        <w:ind w:left="2520" w:hanging="180"/>
      </w:pPr>
    </w:lvl>
    <w:lvl w:ilvl="3" w:tplc="1158AA2A" w:tentative="1">
      <w:start w:val="1"/>
      <w:numFmt w:val="decimal"/>
      <w:lvlText w:val="%4."/>
      <w:lvlJc w:val="left"/>
      <w:pPr>
        <w:ind w:left="3240" w:hanging="360"/>
      </w:pPr>
    </w:lvl>
    <w:lvl w:ilvl="4" w:tplc="A56CA242" w:tentative="1">
      <w:start w:val="1"/>
      <w:numFmt w:val="lowerLetter"/>
      <w:lvlText w:val="%5."/>
      <w:lvlJc w:val="left"/>
      <w:pPr>
        <w:ind w:left="3960" w:hanging="360"/>
      </w:pPr>
    </w:lvl>
    <w:lvl w:ilvl="5" w:tplc="3DDA5F20" w:tentative="1">
      <w:start w:val="1"/>
      <w:numFmt w:val="lowerRoman"/>
      <w:lvlText w:val="%6."/>
      <w:lvlJc w:val="right"/>
      <w:pPr>
        <w:ind w:left="4680" w:hanging="180"/>
      </w:pPr>
    </w:lvl>
    <w:lvl w:ilvl="6" w:tplc="B51EB2C2" w:tentative="1">
      <w:start w:val="1"/>
      <w:numFmt w:val="decimal"/>
      <w:lvlText w:val="%7."/>
      <w:lvlJc w:val="left"/>
      <w:pPr>
        <w:ind w:left="5400" w:hanging="360"/>
      </w:pPr>
    </w:lvl>
    <w:lvl w:ilvl="7" w:tplc="738AD336" w:tentative="1">
      <w:start w:val="1"/>
      <w:numFmt w:val="lowerLetter"/>
      <w:lvlText w:val="%8."/>
      <w:lvlJc w:val="left"/>
      <w:pPr>
        <w:ind w:left="6120" w:hanging="360"/>
      </w:pPr>
    </w:lvl>
    <w:lvl w:ilvl="8" w:tplc="77CEB91A" w:tentative="1">
      <w:start w:val="1"/>
      <w:numFmt w:val="lowerRoman"/>
      <w:lvlText w:val="%9."/>
      <w:lvlJc w:val="right"/>
      <w:pPr>
        <w:ind w:left="6840" w:hanging="180"/>
      </w:pPr>
    </w:lvl>
  </w:abstractNum>
  <w:abstractNum w:abstractNumId="12">
    <w:nsid w:val="4389159B"/>
    <w:multiLevelType w:val="hybridMultilevel"/>
    <w:tmpl w:val="1CBCCA14"/>
    <w:lvl w:ilvl="0" w:tplc="803611EA">
      <w:start w:val="1"/>
      <w:numFmt w:val="bullet"/>
      <w:lvlText w:val=""/>
      <w:lvlJc w:val="left"/>
      <w:pPr>
        <w:tabs>
          <w:tab w:val="num" w:pos="720"/>
        </w:tabs>
        <w:ind w:left="720" w:hanging="360"/>
      </w:pPr>
      <w:rPr>
        <w:rFonts w:ascii="Wingdings" w:hAnsi="Wingdings" w:hint="default"/>
      </w:rPr>
    </w:lvl>
    <w:lvl w:ilvl="1" w:tplc="8766CAA6" w:tentative="1">
      <w:start w:val="1"/>
      <w:numFmt w:val="bullet"/>
      <w:lvlText w:val="o"/>
      <w:lvlJc w:val="left"/>
      <w:pPr>
        <w:ind w:left="1440" w:hanging="360"/>
      </w:pPr>
      <w:rPr>
        <w:rFonts w:ascii="Courier New" w:hAnsi="Courier New" w:cs="Courier New" w:hint="default"/>
      </w:rPr>
    </w:lvl>
    <w:lvl w:ilvl="2" w:tplc="F940A218" w:tentative="1">
      <w:start w:val="1"/>
      <w:numFmt w:val="bullet"/>
      <w:lvlText w:val=""/>
      <w:lvlJc w:val="left"/>
      <w:pPr>
        <w:ind w:left="2160" w:hanging="360"/>
      </w:pPr>
      <w:rPr>
        <w:rFonts w:ascii="Wingdings" w:hAnsi="Wingdings" w:hint="default"/>
      </w:rPr>
    </w:lvl>
    <w:lvl w:ilvl="3" w:tplc="FCC47014" w:tentative="1">
      <w:start w:val="1"/>
      <w:numFmt w:val="bullet"/>
      <w:lvlText w:val=""/>
      <w:lvlJc w:val="left"/>
      <w:pPr>
        <w:ind w:left="2880" w:hanging="360"/>
      </w:pPr>
      <w:rPr>
        <w:rFonts w:ascii="Symbol" w:hAnsi="Symbol" w:hint="default"/>
      </w:rPr>
    </w:lvl>
    <w:lvl w:ilvl="4" w:tplc="0D584F3A" w:tentative="1">
      <w:start w:val="1"/>
      <w:numFmt w:val="bullet"/>
      <w:lvlText w:val="o"/>
      <w:lvlJc w:val="left"/>
      <w:pPr>
        <w:ind w:left="3600" w:hanging="360"/>
      </w:pPr>
      <w:rPr>
        <w:rFonts w:ascii="Courier New" w:hAnsi="Courier New" w:cs="Courier New" w:hint="default"/>
      </w:rPr>
    </w:lvl>
    <w:lvl w:ilvl="5" w:tplc="DC425030" w:tentative="1">
      <w:start w:val="1"/>
      <w:numFmt w:val="bullet"/>
      <w:lvlText w:val=""/>
      <w:lvlJc w:val="left"/>
      <w:pPr>
        <w:ind w:left="4320" w:hanging="360"/>
      </w:pPr>
      <w:rPr>
        <w:rFonts w:ascii="Wingdings" w:hAnsi="Wingdings" w:hint="default"/>
      </w:rPr>
    </w:lvl>
    <w:lvl w:ilvl="6" w:tplc="B12C734A" w:tentative="1">
      <w:start w:val="1"/>
      <w:numFmt w:val="bullet"/>
      <w:lvlText w:val=""/>
      <w:lvlJc w:val="left"/>
      <w:pPr>
        <w:ind w:left="5040" w:hanging="360"/>
      </w:pPr>
      <w:rPr>
        <w:rFonts w:ascii="Symbol" w:hAnsi="Symbol" w:hint="default"/>
      </w:rPr>
    </w:lvl>
    <w:lvl w:ilvl="7" w:tplc="4A8A27EE" w:tentative="1">
      <w:start w:val="1"/>
      <w:numFmt w:val="bullet"/>
      <w:lvlText w:val="o"/>
      <w:lvlJc w:val="left"/>
      <w:pPr>
        <w:ind w:left="5760" w:hanging="360"/>
      </w:pPr>
      <w:rPr>
        <w:rFonts w:ascii="Courier New" w:hAnsi="Courier New" w:cs="Courier New" w:hint="default"/>
      </w:rPr>
    </w:lvl>
    <w:lvl w:ilvl="8" w:tplc="21CCF850" w:tentative="1">
      <w:start w:val="1"/>
      <w:numFmt w:val="bullet"/>
      <w:lvlText w:val=""/>
      <w:lvlJc w:val="left"/>
      <w:pPr>
        <w:ind w:left="6480" w:hanging="360"/>
      </w:pPr>
      <w:rPr>
        <w:rFonts w:ascii="Wingdings" w:hAnsi="Wingdings" w:hint="default"/>
      </w:rPr>
    </w:lvl>
  </w:abstractNum>
  <w:abstractNum w:abstractNumId="13">
    <w:nsid w:val="44A07B23"/>
    <w:multiLevelType w:val="hybridMultilevel"/>
    <w:tmpl w:val="7C8EFADA"/>
    <w:lvl w:ilvl="0" w:tplc="BE8CA9B4">
      <w:numFmt w:val="bullet"/>
      <w:lvlText w:val="-"/>
      <w:lvlJc w:val="left"/>
      <w:pPr>
        <w:ind w:left="1778" w:hanging="360"/>
      </w:pPr>
      <w:rPr>
        <w:rFonts w:ascii="Times New Roman" w:eastAsia="Calibri" w:hAnsi="Times New Roman" w:cs="Times New Roman" w:hint="default"/>
        <w:sz w:val="23"/>
      </w:rPr>
    </w:lvl>
    <w:lvl w:ilvl="1" w:tplc="04090003">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4">
    <w:nsid w:val="44D84A8A"/>
    <w:multiLevelType w:val="multilevel"/>
    <w:tmpl w:val="0478B312"/>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F68078E"/>
    <w:multiLevelType w:val="hybridMultilevel"/>
    <w:tmpl w:val="5EA2FB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8C2843"/>
    <w:multiLevelType w:val="hybridMultilevel"/>
    <w:tmpl w:val="74FC6514"/>
    <w:lvl w:ilvl="0" w:tplc="93E2F210">
      <w:start w:val="1"/>
      <w:numFmt w:val="bullet"/>
      <w:lvlText w:val=""/>
      <w:lvlJc w:val="left"/>
      <w:pPr>
        <w:ind w:left="360" w:hanging="360"/>
      </w:pPr>
      <w:rPr>
        <w:rFonts w:ascii="Wingdings" w:hAnsi="Wingdings" w:hint="default"/>
      </w:rPr>
    </w:lvl>
    <w:lvl w:ilvl="1" w:tplc="EDFEBDA2" w:tentative="1">
      <w:start w:val="1"/>
      <w:numFmt w:val="bullet"/>
      <w:lvlText w:val="o"/>
      <w:lvlJc w:val="left"/>
      <w:pPr>
        <w:ind w:left="1080" w:hanging="360"/>
      </w:pPr>
      <w:rPr>
        <w:rFonts w:ascii="Courier New" w:hAnsi="Courier New" w:cs="Courier New" w:hint="default"/>
      </w:rPr>
    </w:lvl>
    <w:lvl w:ilvl="2" w:tplc="A5206EEA" w:tentative="1">
      <w:start w:val="1"/>
      <w:numFmt w:val="bullet"/>
      <w:lvlText w:val=""/>
      <w:lvlJc w:val="left"/>
      <w:pPr>
        <w:ind w:left="1800" w:hanging="360"/>
      </w:pPr>
      <w:rPr>
        <w:rFonts w:ascii="Wingdings" w:hAnsi="Wingdings" w:hint="default"/>
      </w:rPr>
    </w:lvl>
    <w:lvl w:ilvl="3" w:tplc="68A2AB88" w:tentative="1">
      <w:start w:val="1"/>
      <w:numFmt w:val="bullet"/>
      <w:lvlText w:val=""/>
      <w:lvlJc w:val="left"/>
      <w:pPr>
        <w:ind w:left="2520" w:hanging="360"/>
      </w:pPr>
      <w:rPr>
        <w:rFonts w:ascii="Symbol" w:hAnsi="Symbol" w:hint="default"/>
      </w:rPr>
    </w:lvl>
    <w:lvl w:ilvl="4" w:tplc="05F01BA2" w:tentative="1">
      <w:start w:val="1"/>
      <w:numFmt w:val="bullet"/>
      <w:lvlText w:val="o"/>
      <w:lvlJc w:val="left"/>
      <w:pPr>
        <w:ind w:left="3240" w:hanging="360"/>
      </w:pPr>
      <w:rPr>
        <w:rFonts w:ascii="Courier New" w:hAnsi="Courier New" w:cs="Courier New" w:hint="default"/>
      </w:rPr>
    </w:lvl>
    <w:lvl w:ilvl="5" w:tplc="86200368" w:tentative="1">
      <w:start w:val="1"/>
      <w:numFmt w:val="bullet"/>
      <w:lvlText w:val=""/>
      <w:lvlJc w:val="left"/>
      <w:pPr>
        <w:ind w:left="3960" w:hanging="360"/>
      </w:pPr>
      <w:rPr>
        <w:rFonts w:ascii="Wingdings" w:hAnsi="Wingdings" w:hint="default"/>
      </w:rPr>
    </w:lvl>
    <w:lvl w:ilvl="6" w:tplc="20F4B9A4" w:tentative="1">
      <w:start w:val="1"/>
      <w:numFmt w:val="bullet"/>
      <w:lvlText w:val=""/>
      <w:lvlJc w:val="left"/>
      <w:pPr>
        <w:ind w:left="4680" w:hanging="360"/>
      </w:pPr>
      <w:rPr>
        <w:rFonts w:ascii="Symbol" w:hAnsi="Symbol" w:hint="default"/>
      </w:rPr>
    </w:lvl>
    <w:lvl w:ilvl="7" w:tplc="657EF72C" w:tentative="1">
      <w:start w:val="1"/>
      <w:numFmt w:val="bullet"/>
      <w:lvlText w:val="o"/>
      <w:lvlJc w:val="left"/>
      <w:pPr>
        <w:ind w:left="5400" w:hanging="360"/>
      </w:pPr>
      <w:rPr>
        <w:rFonts w:ascii="Courier New" w:hAnsi="Courier New" w:cs="Courier New" w:hint="default"/>
      </w:rPr>
    </w:lvl>
    <w:lvl w:ilvl="8" w:tplc="FA14766E" w:tentative="1">
      <w:start w:val="1"/>
      <w:numFmt w:val="bullet"/>
      <w:lvlText w:val=""/>
      <w:lvlJc w:val="left"/>
      <w:pPr>
        <w:ind w:left="6120" w:hanging="360"/>
      </w:pPr>
      <w:rPr>
        <w:rFonts w:ascii="Wingdings" w:hAnsi="Wingdings" w:hint="default"/>
      </w:rPr>
    </w:lvl>
  </w:abstractNum>
  <w:abstractNum w:abstractNumId="17">
    <w:nsid w:val="56890494"/>
    <w:multiLevelType w:val="hybridMultilevel"/>
    <w:tmpl w:val="85FEF588"/>
    <w:lvl w:ilvl="0" w:tplc="2654B050">
      <w:start w:val="1"/>
      <w:numFmt w:val="decimal"/>
      <w:lvlText w:val="%1."/>
      <w:lvlJc w:val="left"/>
      <w:pPr>
        <w:ind w:left="1080" w:hanging="360"/>
      </w:pPr>
      <w:rPr>
        <w:rFonts w:hint="default"/>
      </w:rPr>
    </w:lvl>
    <w:lvl w:ilvl="1" w:tplc="9D4A9B24" w:tentative="1">
      <w:start w:val="1"/>
      <w:numFmt w:val="lowerLetter"/>
      <w:lvlText w:val="%2."/>
      <w:lvlJc w:val="left"/>
      <w:pPr>
        <w:ind w:left="1800" w:hanging="360"/>
      </w:pPr>
    </w:lvl>
    <w:lvl w:ilvl="2" w:tplc="60F40AE4" w:tentative="1">
      <w:start w:val="1"/>
      <w:numFmt w:val="lowerRoman"/>
      <w:lvlText w:val="%3."/>
      <w:lvlJc w:val="right"/>
      <w:pPr>
        <w:ind w:left="2520" w:hanging="180"/>
      </w:pPr>
    </w:lvl>
    <w:lvl w:ilvl="3" w:tplc="07023CCA" w:tentative="1">
      <w:start w:val="1"/>
      <w:numFmt w:val="decimal"/>
      <w:lvlText w:val="%4."/>
      <w:lvlJc w:val="left"/>
      <w:pPr>
        <w:ind w:left="3240" w:hanging="360"/>
      </w:pPr>
    </w:lvl>
    <w:lvl w:ilvl="4" w:tplc="61542C08" w:tentative="1">
      <w:start w:val="1"/>
      <w:numFmt w:val="lowerLetter"/>
      <w:lvlText w:val="%5."/>
      <w:lvlJc w:val="left"/>
      <w:pPr>
        <w:ind w:left="3960" w:hanging="360"/>
      </w:pPr>
    </w:lvl>
    <w:lvl w:ilvl="5" w:tplc="9E3E552A" w:tentative="1">
      <w:start w:val="1"/>
      <w:numFmt w:val="lowerRoman"/>
      <w:lvlText w:val="%6."/>
      <w:lvlJc w:val="right"/>
      <w:pPr>
        <w:ind w:left="4680" w:hanging="180"/>
      </w:pPr>
    </w:lvl>
    <w:lvl w:ilvl="6" w:tplc="9AB476D8" w:tentative="1">
      <w:start w:val="1"/>
      <w:numFmt w:val="decimal"/>
      <w:lvlText w:val="%7."/>
      <w:lvlJc w:val="left"/>
      <w:pPr>
        <w:ind w:left="5400" w:hanging="360"/>
      </w:pPr>
    </w:lvl>
    <w:lvl w:ilvl="7" w:tplc="B10E027A" w:tentative="1">
      <w:start w:val="1"/>
      <w:numFmt w:val="lowerLetter"/>
      <w:lvlText w:val="%8."/>
      <w:lvlJc w:val="left"/>
      <w:pPr>
        <w:ind w:left="6120" w:hanging="360"/>
      </w:pPr>
    </w:lvl>
    <w:lvl w:ilvl="8" w:tplc="62B642B4" w:tentative="1">
      <w:start w:val="1"/>
      <w:numFmt w:val="lowerRoman"/>
      <w:lvlText w:val="%9."/>
      <w:lvlJc w:val="right"/>
      <w:pPr>
        <w:ind w:left="6840" w:hanging="180"/>
      </w:pPr>
    </w:lvl>
  </w:abstractNum>
  <w:abstractNum w:abstractNumId="18">
    <w:nsid w:val="5FF174AF"/>
    <w:multiLevelType w:val="hybridMultilevel"/>
    <w:tmpl w:val="65B408AA"/>
    <w:lvl w:ilvl="0" w:tplc="4AAC1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710FBE"/>
    <w:multiLevelType w:val="hybridMultilevel"/>
    <w:tmpl w:val="9B4C527C"/>
    <w:lvl w:ilvl="0" w:tplc="3F5E8482">
      <w:start w:val="1"/>
      <w:numFmt w:val="bullet"/>
      <w:lvlText w:val=""/>
      <w:lvlJc w:val="left"/>
      <w:pPr>
        <w:ind w:left="1072" w:hanging="360"/>
      </w:pPr>
      <w:rPr>
        <w:rFonts w:ascii="Symbol" w:hAnsi="Symbol" w:hint="default"/>
      </w:rPr>
    </w:lvl>
    <w:lvl w:ilvl="1" w:tplc="FF76F528" w:tentative="1">
      <w:start w:val="1"/>
      <w:numFmt w:val="bullet"/>
      <w:lvlText w:val="o"/>
      <w:lvlJc w:val="left"/>
      <w:pPr>
        <w:ind w:left="1792" w:hanging="360"/>
      </w:pPr>
      <w:rPr>
        <w:rFonts w:ascii="Courier New" w:hAnsi="Courier New" w:cs="Courier New" w:hint="default"/>
      </w:rPr>
    </w:lvl>
    <w:lvl w:ilvl="2" w:tplc="89EA38B4" w:tentative="1">
      <w:start w:val="1"/>
      <w:numFmt w:val="bullet"/>
      <w:lvlText w:val=""/>
      <w:lvlJc w:val="left"/>
      <w:pPr>
        <w:ind w:left="2512" w:hanging="360"/>
      </w:pPr>
      <w:rPr>
        <w:rFonts w:ascii="Wingdings" w:hAnsi="Wingdings" w:hint="default"/>
      </w:rPr>
    </w:lvl>
    <w:lvl w:ilvl="3" w:tplc="D9C2A632" w:tentative="1">
      <w:start w:val="1"/>
      <w:numFmt w:val="bullet"/>
      <w:lvlText w:val=""/>
      <w:lvlJc w:val="left"/>
      <w:pPr>
        <w:ind w:left="3232" w:hanging="360"/>
      </w:pPr>
      <w:rPr>
        <w:rFonts w:ascii="Symbol" w:hAnsi="Symbol" w:hint="default"/>
      </w:rPr>
    </w:lvl>
    <w:lvl w:ilvl="4" w:tplc="70423624" w:tentative="1">
      <w:start w:val="1"/>
      <w:numFmt w:val="bullet"/>
      <w:lvlText w:val="o"/>
      <w:lvlJc w:val="left"/>
      <w:pPr>
        <w:ind w:left="3952" w:hanging="360"/>
      </w:pPr>
      <w:rPr>
        <w:rFonts w:ascii="Courier New" w:hAnsi="Courier New" w:cs="Courier New" w:hint="default"/>
      </w:rPr>
    </w:lvl>
    <w:lvl w:ilvl="5" w:tplc="90EC5A7E" w:tentative="1">
      <w:start w:val="1"/>
      <w:numFmt w:val="bullet"/>
      <w:lvlText w:val=""/>
      <w:lvlJc w:val="left"/>
      <w:pPr>
        <w:ind w:left="4672" w:hanging="360"/>
      </w:pPr>
      <w:rPr>
        <w:rFonts w:ascii="Wingdings" w:hAnsi="Wingdings" w:hint="default"/>
      </w:rPr>
    </w:lvl>
    <w:lvl w:ilvl="6" w:tplc="2CDA0AE6" w:tentative="1">
      <w:start w:val="1"/>
      <w:numFmt w:val="bullet"/>
      <w:lvlText w:val=""/>
      <w:lvlJc w:val="left"/>
      <w:pPr>
        <w:ind w:left="5392" w:hanging="360"/>
      </w:pPr>
      <w:rPr>
        <w:rFonts w:ascii="Symbol" w:hAnsi="Symbol" w:hint="default"/>
      </w:rPr>
    </w:lvl>
    <w:lvl w:ilvl="7" w:tplc="8588400E" w:tentative="1">
      <w:start w:val="1"/>
      <w:numFmt w:val="bullet"/>
      <w:lvlText w:val="o"/>
      <w:lvlJc w:val="left"/>
      <w:pPr>
        <w:ind w:left="6112" w:hanging="360"/>
      </w:pPr>
      <w:rPr>
        <w:rFonts w:ascii="Courier New" w:hAnsi="Courier New" w:cs="Courier New" w:hint="default"/>
      </w:rPr>
    </w:lvl>
    <w:lvl w:ilvl="8" w:tplc="C354F508" w:tentative="1">
      <w:start w:val="1"/>
      <w:numFmt w:val="bullet"/>
      <w:lvlText w:val=""/>
      <w:lvlJc w:val="left"/>
      <w:pPr>
        <w:ind w:left="6832" w:hanging="360"/>
      </w:pPr>
      <w:rPr>
        <w:rFonts w:ascii="Wingdings" w:hAnsi="Wingdings" w:hint="default"/>
      </w:rPr>
    </w:lvl>
  </w:abstractNum>
  <w:abstractNum w:abstractNumId="20">
    <w:nsid w:val="62A3593D"/>
    <w:multiLevelType w:val="hybridMultilevel"/>
    <w:tmpl w:val="1BF8664E"/>
    <w:lvl w:ilvl="0" w:tplc="62F841F4">
      <w:start w:val="1"/>
      <w:numFmt w:val="bullet"/>
      <w:lvlText w:val=""/>
      <w:lvlJc w:val="left"/>
      <w:pPr>
        <w:ind w:left="720" w:hanging="360"/>
      </w:pPr>
      <w:rPr>
        <w:rFonts w:ascii="Wingdings" w:hAnsi="Wingdings" w:hint="default"/>
      </w:rPr>
    </w:lvl>
    <w:lvl w:ilvl="1" w:tplc="7908C6DE">
      <w:start w:val="1"/>
      <w:numFmt w:val="bullet"/>
      <w:lvlText w:val=""/>
      <w:lvlJc w:val="left"/>
      <w:pPr>
        <w:tabs>
          <w:tab w:val="num" w:pos="1440"/>
        </w:tabs>
        <w:ind w:left="1440" w:hanging="360"/>
      </w:pPr>
      <w:rPr>
        <w:rFonts w:ascii="Symbol" w:hAnsi="Symbol" w:hint="default"/>
      </w:rPr>
    </w:lvl>
    <w:lvl w:ilvl="2" w:tplc="B8AAC1DA" w:tentative="1">
      <w:start w:val="1"/>
      <w:numFmt w:val="bullet"/>
      <w:lvlText w:val=""/>
      <w:lvlJc w:val="left"/>
      <w:pPr>
        <w:ind w:left="2160" w:hanging="360"/>
      </w:pPr>
      <w:rPr>
        <w:rFonts w:ascii="Wingdings" w:hAnsi="Wingdings" w:hint="default"/>
      </w:rPr>
    </w:lvl>
    <w:lvl w:ilvl="3" w:tplc="4942E14C" w:tentative="1">
      <w:start w:val="1"/>
      <w:numFmt w:val="bullet"/>
      <w:lvlText w:val=""/>
      <w:lvlJc w:val="left"/>
      <w:pPr>
        <w:ind w:left="2880" w:hanging="360"/>
      </w:pPr>
      <w:rPr>
        <w:rFonts w:ascii="Symbol" w:hAnsi="Symbol" w:hint="default"/>
      </w:rPr>
    </w:lvl>
    <w:lvl w:ilvl="4" w:tplc="E2906554" w:tentative="1">
      <w:start w:val="1"/>
      <w:numFmt w:val="bullet"/>
      <w:lvlText w:val="o"/>
      <w:lvlJc w:val="left"/>
      <w:pPr>
        <w:ind w:left="3600" w:hanging="360"/>
      </w:pPr>
      <w:rPr>
        <w:rFonts w:ascii="Courier New" w:hAnsi="Courier New" w:cs="Courier New" w:hint="default"/>
      </w:rPr>
    </w:lvl>
    <w:lvl w:ilvl="5" w:tplc="CDD4F376" w:tentative="1">
      <w:start w:val="1"/>
      <w:numFmt w:val="bullet"/>
      <w:lvlText w:val=""/>
      <w:lvlJc w:val="left"/>
      <w:pPr>
        <w:ind w:left="4320" w:hanging="360"/>
      </w:pPr>
      <w:rPr>
        <w:rFonts w:ascii="Wingdings" w:hAnsi="Wingdings" w:hint="default"/>
      </w:rPr>
    </w:lvl>
    <w:lvl w:ilvl="6" w:tplc="752C91A0" w:tentative="1">
      <w:start w:val="1"/>
      <w:numFmt w:val="bullet"/>
      <w:lvlText w:val=""/>
      <w:lvlJc w:val="left"/>
      <w:pPr>
        <w:ind w:left="5040" w:hanging="360"/>
      </w:pPr>
      <w:rPr>
        <w:rFonts w:ascii="Symbol" w:hAnsi="Symbol" w:hint="default"/>
      </w:rPr>
    </w:lvl>
    <w:lvl w:ilvl="7" w:tplc="40345AA0" w:tentative="1">
      <w:start w:val="1"/>
      <w:numFmt w:val="bullet"/>
      <w:lvlText w:val="o"/>
      <w:lvlJc w:val="left"/>
      <w:pPr>
        <w:ind w:left="5760" w:hanging="360"/>
      </w:pPr>
      <w:rPr>
        <w:rFonts w:ascii="Courier New" w:hAnsi="Courier New" w:cs="Courier New" w:hint="default"/>
      </w:rPr>
    </w:lvl>
    <w:lvl w:ilvl="8" w:tplc="442808CC" w:tentative="1">
      <w:start w:val="1"/>
      <w:numFmt w:val="bullet"/>
      <w:lvlText w:val=""/>
      <w:lvlJc w:val="left"/>
      <w:pPr>
        <w:ind w:left="6480" w:hanging="360"/>
      </w:pPr>
      <w:rPr>
        <w:rFonts w:ascii="Wingdings" w:hAnsi="Wingdings" w:hint="default"/>
      </w:rPr>
    </w:lvl>
  </w:abstractNum>
  <w:abstractNum w:abstractNumId="21">
    <w:nsid w:val="67BF5718"/>
    <w:multiLevelType w:val="hybridMultilevel"/>
    <w:tmpl w:val="6560AE04"/>
    <w:lvl w:ilvl="0" w:tplc="1D0E0684">
      <w:start w:val="1"/>
      <w:numFmt w:val="lowerLetter"/>
      <w:lvlText w:val="%1."/>
      <w:lvlJc w:val="left"/>
      <w:pPr>
        <w:ind w:left="720" w:hanging="360"/>
      </w:pPr>
      <w:rPr>
        <w:rFonts w:hint="default"/>
      </w:rPr>
    </w:lvl>
    <w:lvl w:ilvl="1" w:tplc="49583BC0" w:tentative="1">
      <w:start w:val="1"/>
      <w:numFmt w:val="lowerLetter"/>
      <w:lvlText w:val="%2."/>
      <w:lvlJc w:val="left"/>
      <w:pPr>
        <w:ind w:left="1440" w:hanging="360"/>
      </w:pPr>
    </w:lvl>
    <w:lvl w:ilvl="2" w:tplc="B128BC82" w:tentative="1">
      <w:start w:val="1"/>
      <w:numFmt w:val="lowerRoman"/>
      <w:lvlText w:val="%3."/>
      <w:lvlJc w:val="right"/>
      <w:pPr>
        <w:ind w:left="2160" w:hanging="180"/>
      </w:pPr>
    </w:lvl>
    <w:lvl w:ilvl="3" w:tplc="618E1190" w:tentative="1">
      <w:start w:val="1"/>
      <w:numFmt w:val="decimal"/>
      <w:lvlText w:val="%4."/>
      <w:lvlJc w:val="left"/>
      <w:pPr>
        <w:ind w:left="2880" w:hanging="360"/>
      </w:pPr>
    </w:lvl>
    <w:lvl w:ilvl="4" w:tplc="39BE981E" w:tentative="1">
      <w:start w:val="1"/>
      <w:numFmt w:val="lowerLetter"/>
      <w:lvlText w:val="%5."/>
      <w:lvlJc w:val="left"/>
      <w:pPr>
        <w:ind w:left="3600" w:hanging="360"/>
      </w:pPr>
    </w:lvl>
    <w:lvl w:ilvl="5" w:tplc="5F886084" w:tentative="1">
      <w:start w:val="1"/>
      <w:numFmt w:val="lowerRoman"/>
      <w:lvlText w:val="%6."/>
      <w:lvlJc w:val="right"/>
      <w:pPr>
        <w:ind w:left="4320" w:hanging="180"/>
      </w:pPr>
    </w:lvl>
    <w:lvl w:ilvl="6" w:tplc="005298AA" w:tentative="1">
      <w:start w:val="1"/>
      <w:numFmt w:val="decimal"/>
      <w:lvlText w:val="%7."/>
      <w:lvlJc w:val="left"/>
      <w:pPr>
        <w:ind w:left="5040" w:hanging="360"/>
      </w:pPr>
    </w:lvl>
    <w:lvl w:ilvl="7" w:tplc="3B7C5EA0" w:tentative="1">
      <w:start w:val="1"/>
      <w:numFmt w:val="lowerLetter"/>
      <w:lvlText w:val="%8."/>
      <w:lvlJc w:val="left"/>
      <w:pPr>
        <w:ind w:left="5760" w:hanging="360"/>
      </w:pPr>
    </w:lvl>
    <w:lvl w:ilvl="8" w:tplc="932EDD72" w:tentative="1">
      <w:start w:val="1"/>
      <w:numFmt w:val="lowerRoman"/>
      <w:lvlText w:val="%9."/>
      <w:lvlJc w:val="right"/>
      <w:pPr>
        <w:ind w:left="6480" w:hanging="180"/>
      </w:pPr>
    </w:lvl>
  </w:abstractNum>
  <w:abstractNum w:abstractNumId="22">
    <w:nsid w:val="73C47E7A"/>
    <w:multiLevelType w:val="hybridMultilevel"/>
    <w:tmpl w:val="6B24DF0C"/>
    <w:lvl w:ilvl="0" w:tplc="5D029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5A6395C"/>
    <w:multiLevelType w:val="hybridMultilevel"/>
    <w:tmpl w:val="02942BAC"/>
    <w:lvl w:ilvl="0" w:tplc="24343F3A">
      <w:start w:val="1"/>
      <w:numFmt w:val="decimal"/>
      <w:lvlText w:val="%1."/>
      <w:lvlJc w:val="left"/>
      <w:pPr>
        <w:ind w:left="720" w:hanging="360"/>
      </w:pPr>
      <w:rPr>
        <w:rFonts w:hint="default"/>
      </w:rPr>
    </w:lvl>
    <w:lvl w:ilvl="1" w:tplc="224AF59A" w:tentative="1">
      <w:start w:val="1"/>
      <w:numFmt w:val="lowerLetter"/>
      <w:lvlText w:val="%2."/>
      <w:lvlJc w:val="left"/>
      <w:pPr>
        <w:ind w:left="1440" w:hanging="360"/>
      </w:pPr>
    </w:lvl>
    <w:lvl w:ilvl="2" w:tplc="C542FB74" w:tentative="1">
      <w:start w:val="1"/>
      <w:numFmt w:val="lowerRoman"/>
      <w:lvlText w:val="%3."/>
      <w:lvlJc w:val="right"/>
      <w:pPr>
        <w:ind w:left="2160" w:hanging="180"/>
      </w:pPr>
    </w:lvl>
    <w:lvl w:ilvl="3" w:tplc="18967B3E" w:tentative="1">
      <w:start w:val="1"/>
      <w:numFmt w:val="decimal"/>
      <w:lvlText w:val="%4."/>
      <w:lvlJc w:val="left"/>
      <w:pPr>
        <w:ind w:left="2880" w:hanging="360"/>
      </w:pPr>
    </w:lvl>
    <w:lvl w:ilvl="4" w:tplc="8FE8269E" w:tentative="1">
      <w:start w:val="1"/>
      <w:numFmt w:val="lowerLetter"/>
      <w:lvlText w:val="%5."/>
      <w:lvlJc w:val="left"/>
      <w:pPr>
        <w:ind w:left="3600" w:hanging="360"/>
      </w:pPr>
    </w:lvl>
    <w:lvl w:ilvl="5" w:tplc="00D40970" w:tentative="1">
      <w:start w:val="1"/>
      <w:numFmt w:val="lowerRoman"/>
      <w:lvlText w:val="%6."/>
      <w:lvlJc w:val="right"/>
      <w:pPr>
        <w:ind w:left="4320" w:hanging="180"/>
      </w:pPr>
    </w:lvl>
    <w:lvl w:ilvl="6" w:tplc="5002ACCC" w:tentative="1">
      <w:start w:val="1"/>
      <w:numFmt w:val="decimal"/>
      <w:lvlText w:val="%7."/>
      <w:lvlJc w:val="left"/>
      <w:pPr>
        <w:ind w:left="5040" w:hanging="360"/>
      </w:pPr>
    </w:lvl>
    <w:lvl w:ilvl="7" w:tplc="904C5D30" w:tentative="1">
      <w:start w:val="1"/>
      <w:numFmt w:val="lowerLetter"/>
      <w:lvlText w:val="%8."/>
      <w:lvlJc w:val="left"/>
      <w:pPr>
        <w:ind w:left="5760" w:hanging="360"/>
      </w:pPr>
    </w:lvl>
    <w:lvl w:ilvl="8" w:tplc="68E0D530" w:tentative="1">
      <w:start w:val="1"/>
      <w:numFmt w:val="lowerRoman"/>
      <w:lvlText w:val="%9."/>
      <w:lvlJc w:val="right"/>
      <w:pPr>
        <w:ind w:left="6480" w:hanging="180"/>
      </w:pPr>
    </w:lvl>
  </w:abstractNum>
  <w:abstractNum w:abstractNumId="24">
    <w:nsid w:val="7E50159F"/>
    <w:multiLevelType w:val="hybridMultilevel"/>
    <w:tmpl w:val="68481B82"/>
    <w:lvl w:ilvl="0" w:tplc="3BFC8556">
      <w:start w:val="1"/>
      <w:numFmt w:val="bullet"/>
      <w:lvlText w:val=""/>
      <w:lvlJc w:val="left"/>
      <w:pPr>
        <w:ind w:left="720" w:hanging="360"/>
      </w:pPr>
      <w:rPr>
        <w:rFonts w:ascii="Wingdings" w:hAnsi="Wingdings" w:hint="default"/>
      </w:rPr>
    </w:lvl>
    <w:lvl w:ilvl="1" w:tplc="D22EBEBC" w:tentative="1">
      <w:start w:val="1"/>
      <w:numFmt w:val="bullet"/>
      <w:lvlText w:val="o"/>
      <w:lvlJc w:val="left"/>
      <w:pPr>
        <w:ind w:left="1440" w:hanging="360"/>
      </w:pPr>
      <w:rPr>
        <w:rFonts w:ascii="Courier New" w:hAnsi="Courier New" w:cs="Courier New" w:hint="default"/>
      </w:rPr>
    </w:lvl>
    <w:lvl w:ilvl="2" w:tplc="A2CACFB4" w:tentative="1">
      <w:start w:val="1"/>
      <w:numFmt w:val="bullet"/>
      <w:lvlText w:val=""/>
      <w:lvlJc w:val="left"/>
      <w:pPr>
        <w:ind w:left="2160" w:hanging="360"/>
      </w:pPr>
      <w:rPr>
        <w:rFonts w:ascii="Wingdings" w:hAnsi="Wingdings" w:hint="default"/>
      </w:rPr>
    </w:lvl>
    <w:lvl w:ilvl="3" w:tplc="A77E0350" w:tentative="1">
      <w:start w:val="1"/>
      <w:numFmt w:val="bullet"/>
      <w:lvlText w:val=""/>
      <w:lvlJc w:val="left"/>
      <w:pPr>
        <w:ind w:left="2880" w:hanging="360"/>
      </w:pPr>
      <w:rPr>
        <w:rFonts w:ascii="Symbol" w:hAnsi="Symbol" w:hint="default"/>
      </w:rPr>
    </w:lvl>
    <w:lvl w:ilvl="4" w:tplc="4DD2CF5E" w:tentative="1">
      <w:start w:val="1"/>
      <w:numFmt w:val="bullet"/>
      <w:lvlText w:val="o"/>
      <w:lvlJc w:val="left"/>
      <w:pPr>
        <w:ind w:left="3600" w:hanging="360"/>
      </w:pPr>
      <w:rPr>
        <w:rFonts w:ascii="Courier New" w:hAnsi="Courier New" w:cs="Courier New" w:hint="default"/>
      </w:rPr>
    </w:lvl>
    <w:lvl w:ilvl="5" w:tplc="F7E4A428" w:tentative="1">
      <w:start w:val="1"/>
      <w:numFmt w:val="bullet"/>
      <w:lvlText w:val=""/>
      <w:lvlJc w:val="left"/>
      <w:pPr>
        <w:ind w:left="4320" w:hanging="360"/>
      </w:pPr>
      <w:rPr>
        <w:rFonts w:ascii="Wingdings" w:hAnsi="Wingdings" w:hint="default"/>
      </w:rPr>
    </w:lvl>
    <w:lvl w:ilvl="6" w:tplc="35488D1A" w:tentative="1">
      <w:start w:val="1"/>
      <w:numFmt w:val="bullet"/>
      <w:lvlText w:val=""/>
      <w:lvlJc w:val="left"/>
      <w:pPr>
        <w:ind w:left="5040" w:hanging="360"/>
      </w:pPr>
      <w:rPr>
        <w:rFonts w:ascii="Symbol" w:hAnsi="Symbol" w:hint="default"/>
      </w:rPr>
    </w:lvl>
    <w:lvl w:ilvl="7" w:tplc="A07AF04A" w:tentative="1">
      <w:start w:val="1"/>
      <w:numFmt w:val="bullet"/>
      <w:lvlText w:val="o"/>
      <w:lvlJc w:val="left"/>
      <w:pPr>
        <w:ind w:left="5760" w:hanging="360"/>
      </w:pPr>
      <w:rPr>
        <w:rFonts w:ascii="Courier New" w:hAnsi="Courier New" w:cs="Courier New" w:hint="default"/>
      </w:rPr>
    </w:lvl>
    <w:lvl w:ilvl="8" w:tplc="CF462E02"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9"/>
  </w:num>
  <w:num w:numId="4">
    <w:abstractNumId w:val="12"/>
  </w:num>
  <w:num w:numId="5">
    <w:abstractNumId w:val="19"/>
  </w:num>
  <w:num w:numId="6">
    <w:abstractNumId w:val="0"/>
  </w:num>
  <w:num w:numId="7">
    <w:abstractNumId w:val="24"/>
  </w:num>
  <w:num w:numId="8">
    <w:abstractNumId w:val="4"/>
  </w:num>
  <w:num w:numId="9">
    <w:abstractNumId w:val="23"/>
  </w:num>
  <w:num w:numId="10">
    <w:abstractNumId w:val="17"/>
  </w:num>
  <w:num w:numId="11">
    <w:abstractNumId w:val="11"/>
  </w:num>
  <w:num w:numId="12">
    <w:abstractNumId w:val="21"/>
  </w:num>
  <w:num w:numId="13">
    <w:abstractNumId w:val="1"/>
  </w:num>
  <w:num w:numId="14">
    <w:abstractNumId w:val="10"/>
  </w:num>
  <w:num w:numId="15">
    <w:abstractNumId w:val="8"/>
  </w:num>
  <w:num w:numId="16">
    <w:abstractNumId w:val="16"/>
  </w:num>
  <w:num w:numId="17">
    <w:abstractNumId w:val="3"/>
  </w:num>
  <w:num w:numId="18">
    <w:abstractNumId w:val="7"/>
  </w:num>
  <w:num w:numId="19">
    <w:abstractNumId w:val="14"/>
  </w:num>
  <w:num w:numId="20">
    <w:abstractNumId w:val="13"/>
  </w:num>
  <w:num w:numId="21">
    <w:abstractNumId w:val="15"/>
  </w:num>
  <w:num w:numId="22">
    <w:abstractNumId w:val="6"/>
  </w:num>
  <w:num w:numId="23">
    <w:abstractNumId w:val="18"/>
  </w:num>
  <w:num w:numId="24">
    <w:abstractNumId w:val="5"/>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oNotTrackMoves/>
  <w:documentProtection w:edit="readOnly" w:enforcement="0"/>
  <w:defaultTabStop w:val="720"/>
  <w:drawingGridHorizontalSpacing w:val="10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3A31"/>
    <w:rsid w:val="00004467"/>
    <w:rsid w:val="00034170"/>
    <w:rsid w:val="00036C6F"/>
    <w:rsid w:val="000447FB"/>
    <w:rsid w:val="00044C9B"/>
    <w:rsid w:val="00047CA9"/>
    <w:rsid w:val="000520DB"/>
    <w:rsid w:val="00056441"/>
    <w:rsid w:val="00061DCC"/>
    <w:rsid w:val="00061FF6"/>
    <w:rsid w:val="0006289D"/>
    <w:rsid w:val="0007791E"/>
    <w:rsid w:val="000821DB"/>
    <w:rsid w:val="000874D0"/>
    <w:rsid w:val="0009681E"/>
    <w:rsid w:val="00097E96"/>
    <w:rsid w:val="000B1626"/>
    <w:rsid w:val="000C3206"/>
    <w:rsid w:val="000E75FF"/>
    <w:rsid w:val="000F147F"/>
    <w:rsid w:val="000F7934"/>
    <w:rsid w:val="0011623B"/>
    <w:rsid w:val="00116800"/>
    <w:rsid w:val="00135142"/>
    <w:rsid w:val="00162C81"/>
    <w:rsid w:val="001701EA"/>
    <w:rsid w:val="0017465B"/>
    <w:rsid w:val="001853CE"/>
    <w:rsid w:val="001901C7"/>
    <w:rsid w:val="0019187D"/>
    <w:rsid w:val="001A54F2"/>
    <w:rsid w:val="001A6A43"/>
    <w:rsid w:val="001B063B"/>
    <w:rsid w:val="001B0F29"/>
    <w:rsid w:val="001B3CFA"/>
    <w:rsid w:val="001E1FF0"/>
    <w:rsid w:val="001F02C1"/>
    <w:rsid w:val="001F470F"/>
    <w:rsid w:val="001F67AF"/>
    <w:rsid w:val="002001D5"/>
    <w:rsid w:val="002008AD"/>
    <w:rsid w:val="00203180"/>
    <w:rsid w:val="00207AEF"/>
    <w:rsid w:val="00211F88"/>
    <w:rsid w:val="002304D8"/>
    <w:rsid w:val="00233156"/>
    <w:rsid w:val="00240ED7"/>
    <w:rsid w:val="002428A0"/>
    <w:rsid w:val="0029178F"/>
    <w:rsid w:val="00291EB1"/>
    <w:rsid w:val="002C0B45"/>
    <w:rsid w:val="002F3DAE"/>
    <w:rsid w:val="002F6C1C"/>
    <w:rsid w:val="00300EBC"/>
    <w:rsid w:val="00300EDF"/>
    <w:rsid w:val="00301148"/>
    <w:rsid w:val="00311838"/>
    <w:rsid w:val="00316635"/>
    <w:rsid w:val="003216F5"/>
    <w:rsid w:val="00333898"/>
    <w:rsid w:val="003416C0"/>
    <w:rsid w:val="00357E05"/>
    <w:rsid w:val="003637D2"/>
    <w:rsid w:val="003751F5"/>
    <w:rsid w:val="00383E04"/>
    <w:rsid w:val="00386B36"/>
    <w:rsid w:val="003B1C5E"/>
    <w:rsid w:val="00413A66"/>
    <w:rsid w:val="00417FEF"/>
    <w:rsid w:val="00420941"/>
    <w:rsid w:val="00430A9E"/>
    <w:rsid w:val="00443C34"/>
    <w:rsid w:val="00443F26"/>
    <w:rsid w:val="00462419"/>
    <w:rsid w:val="00467563"/>
    <w:rsid w:val="004A26E1"/>
    <w:rsid w:val="004C2364"/>
    <w:rsid w:val="004D4AA3"/>
    <w:rsid w:val="00503978"/>
    <w:rsid w:val="005054EC"/>
    <w:rsid w:val="005218DB"/>
    <w:rsid w:val="00523EE9"/>
    <w:rsid w:val="005439A1"/>
    <w:rsid w:val="00547D0E"/>
    <w:rsid w:val="00551F58"/>
    <w:rsid w:val="00561E76"/>
    <w:rsid w:val="00565659"/>
    <w:rsid w:val="00574FC8"/>
    <w:rsid w:val="00577097"/>
    <w:rsid w:val="005921ED"/>
    <w:rsid w:val="005A0503"/>
    <w:rsid w:val="005B13C0"/>
    <w:rsid w:val="005C647D"/>
    <w:rsid w:val="005E0A26"/>
    <w:rsid w:val="005E569A"/>
    <w:rsid w:val="0061496F"/>
    <w:rsid w:val="00640D64"/>
    <w:rsid w:val="00644992"/>
    <w:rsid w:val="00661838"/>
    <w:rsid w:val="00664179"/>
    <w:rsid w:val="00677071"/>
    <w:rsid w:val="0068032F"/>
    <w:rsid w:val="006A5B83"/>
    <w:rsid w:val="006E097A"/>
    <w:rsid w:val="006F3243"/>
    <w:rsid w:val="006F4A82"/>
    <w:rsid w:val="006F6588"/>
    <w:rsid w:val="007064D2"/>
    <w:rsid w:val="00710927"/>
    <w:rsid w:val="00714119"/>
    <w:rsid w:val="00716A75"/>
    <w:rsid w:val="00717FE5"/>
    <w:rsid w:val="00721416"/>
    <w:rsid w:val="0074165B"/>
    <w:rsid w:val="00744B28"/>
    <w:rsid w:val="00745B3D"/>
    <w:rsid w:val="00765420"/>
    <w:rsid w:val="00783103"/>
    <w:rsid w:val="0078578D"/>
    <w:rsid w:val="00794475"/>
    <w:rsid w:val="007954CB"/>
    <w:rsid w:val="007C2A17"/>
    <w:rsid w:val="007E2E49"/>
    <w:rsid w:val="007E49ED"/>
    <w:rsid w:val="007E7521"/>
    <w:rsid w:val="007F0B62"/>
    <w:rsid w:val="00800502"/>
    <w:rsid w:val="00801D6D"/>
    <w:rsid w:val="00802469"/>
    <w:rsid w:val="00805429"/>
    <w:rsid w:val="008143E6"/>
    <w:rsid w:val="00837273"/>
    <w:rsid w:val="00846455"/>
    <w:rsid w:val="008501CF"/>
    <w:rsid w:val="00851E46"/>
    <w:rsid w:val="00856C08"/>
    <w:rsid w:val="00871A12"/>
    <w:rsid w:val="008722BB"/>
    <w:rsid w:val="00885B9E"/>
    <w:rsid w:val="008932C8"/>
    <w:rsid w:val="008A5502"/>
    <w:rsid w:val="008A6279"/>
    <w:rsid w:val="008B39DD"/>
    <w:rsid w:val="008B5D29"/>
    <w:rsid w:val="008B7586"/>
    <w:rsid w:val="008B7F4E"/>
    <w:rsid w:val="008C43B2"/>
    <w:rsid w:val="008E16D6"/>
    <w:rsid w:val="008E1D05"/>
    <w:rsid w:val="00922D8F"/>
    <w:rsid w:val="00932D62"/>
    <w:rsid w:val="0093659A"/>
    <w:rsid w:val="009630EC"/>
    <w:rsid w:val="0099240A"/>
    <w:rsid w:val="00994A39"/>
    <w:rsid w:val="009954B4"/>
    <w:rsid w:val="009A0EBE"/>
    <w:rsid w:val="009A277B"/>
    <w:rsid w:val="009A2F8A"/>
    <w:rsid w:val="009A78F9"/>
    <w:rsid w:val="009B54E0"/>
    <w:rsid w:val="009D6268"/>
    <w:rsid w:val="009D7B2B"/>
    <w:rsid w:val="009E1AB4"/>
    <w:rsid w:val="009F308E"/>
    <w:rsid w:val="009F490D"/>
    <w:rsid w:val="009F587B"/>
    <w:rsid w:val="00A423D0"/>
    <w:rsid w:val="00A46DA3"/>
    <w:rsid w:val="00A56D19"/>
    <w:rsid w:val="00A579DA"/>
    <w:rsid w:val="00A65786"/>
    <w:rsid w:val="00A65A57"/>
    <w:rsid w:val="00A87F32"/>
    <w:rsid w:val="00A96CCB"/>
    <w:rsid w:val="00AB15CE"/>
    <w:rsid w:val="00AD4816"/>
    <w:rsid w:val="00AF2BC4"/>
    <w:rsid w:val="00AF2EF4"/>
    <w:rsid w:val="00B00A2C"/>
    <w:rsid w:val="00B14E8F"/>
    <w:rsid w:val="00B22781"/>
    <w:rsid w:val="00B23605"/>
    <w:rsid w:val="00B2569E"/>
    <w:rsid w:val="00B2606D"/>
    <w:rsid w:val="00B27705"/>
    <w:rsid w:val="00B3087C"/>
    <w:rsid w:val="00B32B7B"/>
    <w:rsid w:val="00B32C28"/>
    <w:rsid w:val="00B400B5"/>
    <w:rsid w:val="00B716AF"/>
    <w:rsid w:val="00B82C53"/>
    <w:rsid w:val="00BA4422"/>
    <w:rsid w:val="00BC2AE3"/>
    <w:rsid w:val="00BD34BF"/>
    <w:rsid w:val="00BD4465"/>
    <w:rsid w:val="00BE0BD1"/>
    <w:rsid w:val="00BE1CE5"/>
    <w:rsid w:val="00BE7894"/>
    <w:rsid w:val="00BF5F46"/>
    <w:rsid w:val="00C14F1E"/>
    <w:rsid w:val="00C231ED"/>
    <w:rsid w:val="00C23FDE"/>
    <w:rsid w:val="00C2704D"/>
    <w:rsid w:val="00C33827"/>
    <w:rsid w:val="00C338AC"/>
    <w:rsid w:val="00C662DA"/>
    <w:rsid w:val="00C70661"/>
    <w:rsid w:val="00C87E80"/>
    <w:rsid w:val="00C9010E"/>
    <w:rsid w:val="00C91BFD"/>
    <w:rsid w:val="00CA3428"/>
    <w:rsid w:val="00CA3F6E"/>
    <w:rsid w:val="00CC61C2"/>
    <w:rsid w:val="00CF6FAF"/>
    <w:rsid w:val="00D253BC"/>
    <w:rsid w:val="00D31158"/>
    <w:rsid w:val="00D33744"/>
    <w:rsid w:val="00D35F23"/>
    <w:rsid w:val="00D44363"/>
    <w:rsid w:val="00D6191E"/>
    <w:rsid w:val="00D65DEA"/>
    <w:rsid w:val="00DA1D76"/>
    <w:rsid w:val="00DA6A6B"/>
    <w:rsid w:val="00DC6C2E"/>
    <w:rsid w:val="00DD1335"/>
    <w:rsid w:val="00DD2D1A"/>
    <w:rsid w:val="00DD7411"/>
    <w:rsid w:val="00DD7883"/>
    <w:rsid w:val="00DE67E9"/>
    <w:rsid w:val="00E05CF6"/>
    <w:rsid w:val="00E06C10"/>
    <w:rsid w:val="00E414B6"/>
    <w:rsid w:val="00E70D8D"/>
    <w:rsid w:val="00E93F99"/>
    <w:rsid w:val="00E97B35"/>
    <w:rsid w:val="00EB7292"/>
    <w:rsid w:val="00ED0F5C"/>
    <w:rsid w:val="00ED12AB"/>
    <w:rsid w:val="00EF7058"/>
    <w:rsid w:val="00F00207"/>
    <w:rsid w:val="00F21D52"/>
    <w:rsid w:val="00F27F2D"/>
    <w:rsid w:val="00F31B6F"/>
    <w:rsid w:val="00F525EB"/>
    <w:rsid w:val="00F53A31"/>
    <w:rsid w:val="00F56418"/>
    <w:rsid w:val="00F5779D"/>
    <w:rsid w:val="00F577E7"/>
    <w:rsid w:val="00F60268"/>
    <w:rsid w:val="00F85628"/>
    <w:rsid w:val="00F97A70"/>
    <w:rsid w:val="00FB3C96"/>
    <w:rsid w:val="00FC4BAE"/>
    <w:rsid w:val="00FC6AD1"/>
    <w:rsid w:val="00FE473E"/>
    <w:rsid w:val="00FF2A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31"/>
    <w:rPr>
      <w:rFonts w:ascii="Times New Roman" w:eastAsia="Times New Roman" w:hAnsi="Times New Roman" w:cs="Times New Roman"/>
      <w:lang w:val="en-GB" w:eastAsia="de-DE"/>
    </w:rPr>
  </w:style>
  <w:style w:type="paragraph" w:styleId="Heading1">
    <w:name w:val="heading 1"/>
    <w:basedOn w:val="Normal"/>
    <w:next w:val="Normal"/>
    <w:link w:val="Heading1Char"/>
    <w:uiPriority w:val="9"/>
    <w:qFormat/>
    <w:rsid w:val="00F53A31"/>
    <w:pPr>
      <w:keepNext/>
      <w:keepLines/>
      <w:spacing w:before="240"/>
      <w:outlineLvl w:val="0"/>
    </w:pPr>
    <w:rPr>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3A31"/>
    <w:rPr>
      <w:rFonts w:ascii="Times New Roman" w:eastAsia="Times New Roman" w:hAnsi="Times New Roman" w:cs="Times New Roman"/>
      <w:b/>
      <w:caps/>
      <w:sz w:val="24"/>
      <w:szCs w:val="32"/>
      <w:lang w:val="en-GB" w:eastAsia="de-DE"/>
    </w:rPr>
  </w:style>
  <w:style w:type="paragraph" w:customStyle="1" w:styleId="Els-Abstract-text">
    <w:name w:val="Els-Abstract-text"/>
    <w:rsid w:val="00F53A31"/>
    <w:pPr>
      <w:spacing w:after="220" w:line="220" w:lineRule="exact"/>
      <w:jc w:val="both"/>
    </w:pPr>
    <w:rPr>
      <w:rFonts w:ascii="Times New Roman" w:eastAsia="Times New Roman" w:hAnsi="Times New Roman" w:cs="Times New Roman"/>
      <w:sz w:val="18"/>
      <w:lang w:eastAsia="de-DE"/>
    </w:rPr>
  </w:style>
  <w:style w:type="character" w:customStyle="1" w:styleId="apple-style-span">
    <w:name w:val="apple-style-span"/>
    <w:basedOn w:val="DefaultParagraphFont"/>
    <w:rsid w:val="00DA6A6B"/>
  </w:style>
  <w:style w:type="table" w:customStyle="1" w:styleId="GridTable5DarkAccent2">
    <w:name w:val="Grid Table 5 Dark Accent 2"/>
    <w:basedOn w:val="TableNormal"/>
    <w:uiPriority w:val="50"/>
    <w:rsid w:val="00885B9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
    <w:name w:val="Grid Table 4"/>
    <w:basedOn w:val="TableNormal"/>
    <w:uiPriority w:val="49"/>
    <w:rsid w:val="00885B9E"/>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rsid w:val="005E569A"/>
    <w:pPr>
      <w:spacing w:after="120" w:line="360" w:lineRule="auto"/>
      <w:ind w:left="720"/>
      <w:contextualSpacing/>
    </w:pPr>
    <w:rPr>
      <w:rFonts w:ascii="Calibri" w:eastAsia="Calibri" w:hAnsi="Calibri" w:cs="Arial"/>
      <w:sz w:val="22"/>
      <w:szCs w:val="22"/>
      <w:lang w:val="en-US" w:eastAsia="en-US"/>
    </w:rPr>
  </w:style>
  <w:style w:type="character" w:styleId="PlaceholderText">
    <w:name w:val="Placeholder Text"/>
    <w:uiPriority w:val="99"/>
    <w:semiHidden/>
    <w:rsid w:val="0099240A"/>
    <w:rPr>
      <w:color w:val="808080"/>
    </w:rPr>
  </w:style>
  <w:style w:type="paragraph" w:styleId="Caption">
    <w:name w:val="caption"/>
    <w:basedOn w:val="Normal"/>
    <w:next w:val="Normal"/>
    <w:uiPriority w:val="35"/>
    <w:unhideWhenUsed/>
    <w:qFormat/>
    <w:rsid w:val="00A96CCB"/>
    <w:pPr>
      <w:spacing w:after="200"/>
      <w:jc w:val="center"/>
    </w:pPr>
    <w:rPr>
      <w:b/>
      <w:iCs/>
      <w:sz w:val="22"/>
      <w:szCs w:val="18"/>
    </w:rPr>
  </w:style>
  <w:style w:type="table" w:styleId="TableGrid">
    <w:name w:val="Table Grid"/>
    <w:basedOn w:val="TableNormal"/>
    <w:uiPriority w:val="39"/>
    <w:rsid w:val="00664179"/>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179"/>
    <w:pPr>
      <w:ind w:firstLine="720"/>
      <w:jc w:val="both"/>
    </w:pPr>
    <w:rPr>
      <w:rFonts w:ascii="Tahoma" w:eastAsia="宋体" w:hAnsi="Tahoma"/>
      <w:sz w:val="16"/>
      <w:szCs w:val="16"/>
      <w:lang/>
    </w:rPr>
  </w:style>
  <w:style w:type="character" w:customStyle="1" w:styleId="BalloonTextChar">
    <w:name w:val="Balloon Text Char"/>
    <w:link w:val="BalloonText"/>
    <w:uiPriority w:val="99"/>
    <w:semiHidden/>
    <w:rsid w:val="00664179"/>
    <w:rPr>
      <w:rFonts w:ascii="Tahoma" w:hAnsi="Tahoma" w:cs="Tahoma"/>
      <w:sz w:val="16"/>
      <w:szCs w:val="16"/>
    </w:rPr>
  </w:style>
  <w:style w:type="table" w:customStyle="1" w:styleId="TableGrid4">
    <w:name w:val="Table Grid4"/>
    <w:basedOn w:val="TableNormal"/>
    <w:next w:val="TableGrid"/>
    <w:uiPriority w:val="39"/>
    <w:rsid w:val="00D44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ne">
    <w:name w:val="None"/>
    <w:rsid w:val="00BD4465"/>
  </w:style>
  <w:style w:type="paragraph" w:customStyle="1" w:styleId="Body2">
    <w:name w:val="Body 2"/>
    <w:rsid w:val="004D4AA3"/>
    <w:pPr>
      <w:keepLines/>
      <w:suppressAutoHyphens/>
      <w:spacing w:line="360" w:lineRule="auto"/>
      <w:ind w:firstLine="720"/>
      <w:jc w:val="both"/>
    </w:pPr>
    <w:rPr>
      <w:rFonts w:ascii="Times New Roman" w:eastAsia="Times New Roman" w:hAnsi="Times New Roman" w:cs="Times New Roman"/>
      <w:color w:val="000000"/>
      <w:sz w:val="24"/>
      <w:szCs w:val="28"/>
      <w:lang w:eastAsia="en-US"/>
    </w:rPr>
  </w:style>
  <w:style w:type="character" w:styleId="Hyperlink">
    <w:name w:val="Hyperlink"/>
    <w:uiPriority w:val="99"/>
    <w:unhideWhenUsed/>
    <w:rsid w:val="00B00A2C"/>
    <w:rPr>
      <w:color w:val="0000FF"/>
      <w:u w:val="single"/>
    </w:rPr>
  </w:style>
  <w:style w:type="table" w:customStyle="1" w:styleId="GridTable5Dark-Accent61">
    <w:name w:val="Grid Table 5 Dark - Accent 61"/>
    <w:basedOn w:val="TableNormal"/>
    <w:uiPriority w:val="50"/>
    <w:rsid w:val="00BC2AE3"/>
    <w:pPr>
      <w:spacing w:before="240"/>
      <w:ind w:firstLine="446"/>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Footer">
    <w:name w:val="footer"/>
    <w:basedOn w:val="Normal"/>
    <w:link w:val="FooterChar"/>
    <w:uiPriority w:val="99"/>
    <w:unhideWhenUsed/>
    <w:rsid w:val="00DD7411"/>
    <w:pPr>
      <w:tabs>
        <w:tab w:val="center" w:pos="4680"/>
        <w:tab w:val="right" w:pos="9360"/>
      </w:tabs>
      <w:ind w:firstLine="720"/>
      <w:jc w:val="both"/>
    </w:pPr>
    <w:rPr>
      <w:rFonts w:ascii="Calibri" w:eastAsia="Calibri" w:hAnsi="Calibri" w:cs="Arial"/>
      <w:sz w:val="22"/>
      <w:szCs w:val="22"/>
      <w:lang w:val="en-US" w:eastAsia="en-US"/>
    </w:rPr>
  </w:style>
  <w:style w:type="character" w:customStyle="1" w:styleId="FooterChar">
    <w:name w:val="Footer Char"/>
    <w:basedOn w:val="DefaultParagraphFont"/>
    <w:link w:val="Footer"/>
    <w:uiPriority w:val="99"/>
    <w:rsid w:val="00DD7411"/>
  </w:style>
  <w:style w:type="table" w:customStyle="1" w:styleId="TableGrid1">
    <w:name w:val="Table Grid1"/>
    <w:basedOn w:val="TableNormal"/>
    <w:next w:val="TableGrid"/>
    <w:uiPriority w:val="39"/>
    <w:rsid w:val="00E93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4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D1335"/>
    <w:rPr>
      <w:rFonts w:ascii="Times New Roman" w:eastAsia="Times New Roman" w:hAnsi="Times New Roman" w:cs="Times New Roman"/>
      <w:lang w:val="en-GB" w:eastAsia="de-DE"/>
    </w:rPr>
  </w:style>
  <w:style w:type="table" w:customStyle="1" w:styleId="TableGrid3">
    <w:name w:val="Table Grid3"/>
    <w:basedOn w:val="TableNormal"/>
    <w:next w:val="TableGrid"/>
    <w:uiPriority w:val="39"/>
    <w:rsid w:val="00170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F147F"/>
    <w:pPr>
      <w:suppressAutoHyphens/>
      <w:autoSpaceDN w:val="0"/>
      <w:textAlignment w:val="baseline"/>
    </w:pPr>
    <w:rPr>
      <w:rFonts w:ascii="Liberation Serif" w:hAnsi="Liberation Serif" w:cs="Mangal"/>
      <w:kern w:val="3"/>
      <w:sz w:val="24"/>
      <w:szCs w:val="24"/>
      <w:lang w:eastAsia="en-US"/>
    </w:rPr>
  </w:style>
  <w:style w:type="paragraph" w:styleId="Header">
    <w:name w:val="header"/>
    <w:basedOn w:val="Normal"/>
    <w:link w:val="HeaderChar"/>
    <w:uiPriority w:val="99"/>
    <w:semiHidden/>
    <w:unhideWhenUsed/>
    <w:rsid w:val="00FC4BAE"/>
    <w:pPr>
      <w:tabs>
        <w:tab w:val="center" w:pos="4153"/>
        <w:tab w:val="right" w:pos="8306"/>
      </w:tabs>
    </w:pPr>
  </w:style>
  <w:style w:type="character" w:customStyle="1" w:styleId="HeaderChar">
    <w:name w:val="Header Char"/>
    <w:basedOn w:val="DefaultParagraphFont"/>
    <w:link w:val="Header"/>
    <w:uiPriority w:val="99"/>
    <w:semiHidden/>
    <w:rsid w:val="00FC4BAE"/>
    <w:rPr>
      <w:rFonts w:ascii="Times New Roman" w:eastAsia="Times New Roman" w:hAnsi="Times New Roman" w:cs="Times New Roman"/>
      <w:lang w:val="en-GB"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x.doi.org/10.7537/marsnys121219.10"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4AEC-AA74-4A00-8C83-5B14C08A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34075</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Gamal</dc:creator>
  <cp:lastModifiedBy>Administrator</cp:lastModifiedBy>
  <cp:revision>4</cp:revision>
  <cp:lastPrinted>2019-12-17T05:30:00Z</cp:lastPrinted>
  <dcterms:created xsi:type="dcterms:W3CDTF">2019-12-19T14:46:00Z</dcterms:created>
  <dcterms:modified xsi:type="dcterms:W3CDTF">2019-12-22T01:06:00Z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http://www.zotero.org/styles/vancouver-superscript</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http://www.zotero.org/styles/american-sociological-association</vt:lpwstr>
  </property>
  <property fmtid="{D5CDD505-2E9C-101B-9397-08002B2CF9AE}" pid="6" name="Mendeley Recent Style Id 2_1">
    <vt:lpwstr>http://www.zotero.org/styles/chicago-author-date</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http://www.zotero.org/styles/ieee</vt:lpwstr>
  </property>
  <property fmtid="{D5CDD505-2E9C-101B-9397-08002B2CF9AE}" pid="9" name="Mendeley Recent Style Id 5_1">
    <vt:lpwstr>http://www.zotero.org/styles/modern-humanities-research-association</vt:lpwstr>
  </property>
  <property fmtid="{D5CDD505-2E9C-101B-9397-08002B2CF9AE}" pid="10" name="Mendeley Recent Style Id 6_1">
    <vt:lpwstr>http://www.zotero.org/styles/modern-language-association</vt:lpwstr>
  </property>
  <property fmtid="{D5CDD505-2E9C-101B-9397-08002B2CF9AE}" pid="11" name="Mendeley Recent Style Id 7_1">
    <vt:lpwstr>http://www.zotero.org/styles/vancouver</vt:lpwstr>
  </property>
  <property fmtid="{D5CDD505-2E9C-101B-9397-08002B2CF9AE}" pid="12" name="Mendeley Recent Style Id 8_1">
    <vt:lpwstr>http://www.zotero.org/styles/vancouver-superscript</vt:lpwstr>
  </property>
  <property fmtid="{D5CDD505-2E9C-101B-9397-08002B2CF9AE}" pid="13" name="Mendeley Recent Style Id 9_1">
    <vt:lpwstr>http://www.zotero.org/styles/vancouver-superscript-brackets-only-year</vt:lpwstr>
  </property>
  <property fmtid="{D5CDD505-2E9C-101B-9397-08002B2CF9AE}" pid="14" name="Mendeley Recent Style Name 0_1">
    <vt:lpwstr>American Political Science Association</vt:lpwstr>
  </property>
  <property fmtid="{D5CDD505-2E9C-101B-9397-08002B2CF9AE}" pid="15" name="Mendeley Recent Style Name 1_1">
    <vt:lpwstr>American Sociological Association</vt:lpwstr>
  </property>
  <property fmtid="{D5CDD505-2E9C-101B-9397-08002B2CF9AE}" pid="16" name="Mendeley Recent Style Name 2_1">
    <vt:lpwstr>Chicago Manual of Style 17th edition (author-date)</vt:lpwstr>
  </property>
  <property fmtid="{D5CDD505-2E9C-101B-9397-08002B2CF9AE}" pid="17" name="Mendeley Recent Style Name 3_1">
    <vt:lpwstr>Cite Them Right 10th edition - Harvard</vt:lpwstr>
  </property>
  <property fmtid="{D5CDD505-2E9C-101B-9397-08002B2CF9AE}" pid="18" name="Mendeley Recent Style Name 4_1">
    <vt:lpwstr>IEEE</vt:lpwstr>
  </property>
  <property fmtid="{D5CDD505-2E9C-101B-9397-08002B2CF9AE}" pid="19" name="Mendeley Recent Style Name 5_1">
    <vt:lpwstr>Modern Humanities Research Association 3rd edition (note with bibliography)</vt:lpwstr>
  </property>
  <property fmtid="{D5CDD505-2E9C-101B-9397-08002B2CF9AE}" pid="20" name="Mendeley Recent Style Name 6_1">
    <vt:lpwstr>Modern Language Association 8th edition</vt:lpwstr>
  </property>
  <property fmtid="{D5CDD505-2E9C-101B-9397-08002B2CF9AE}" pid="21" name="Mendeley Recent Style Name 7_1">
    <vt:lpwstr>Vancouver</vt:lpwstr>
  </property>
  <property fmtid="{D5CDD505-2E9C-101B-9397-08002B2CF9AE}" pid="22" name="Mendeley Recent Style Name 8_1">
    <vt:lpwstr>Vancouver (superscript)</vt:lpwstr>
  </property>
  <property fmtid="{D5CDD505-2E9C-101B-9397-08002B2CF9AE}" pid="23" name="Mendeley Recent Style Name 9_1">
    <vt:lpwstr>Vancouver (superscript, brackets, only year in date)</vt:lpwstr>
  </property>
  <property fmtid="{D5CDD505-2E9C-101B-9397-08002B2CF9AE}" pid="24" name="Mendeley Unique User Id_1">
    <vt:lpwstr>3301e39f-79ae-3f3f-9630-ec6842ffc3d9</vt:lpwstr>
  </property>
</Properties>
</file>