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AD" w:rsidRPr="002558EA" w:rsidRDefault="000D14AD" w:rsidP="000D14AD">
      <w:pPr>
        <w:snapToGrid w:val="0"/>
        <w:jc w:val="center"/>
        <w:rPr>
          <w:b/>
          <w:bCs/>
          <w:sz w:val="20"/>
          <w:szCs w:val="20"/>
          <w:lang w:eastAsia="zh-CN"/>
        </w:rPr>
      </w:pPr>
      <w:bookmarkStart w:id="0" w:name="_Toc25148783"/>
    </w:p>
    <w:p w:rsidR="00DC24C9" w:rsidRPr="002558EA" w:rsidRDefault="00D47F17" w:rsidP="000D14AD">
      <w:pPr>
        <w:snapToGrid w:val="0"/>
        <w:jc w:val="center"/>
        <w:rPr>
          <w:b/>
          <w:bCs/>
          <w:sz w:val="20"/>
          <w:szCs w:val="20"/>
        </w:rPr>
      </w:pPr>
      <w:r w:rsidRPr="002558EA">
        <w:rPr>
          <w:b/>
          <w:bCs/>
          <w:sz w:val="20"/>
          <w:szCs w:val="20"/>
        </w:rPr>
        <w:t>Role of Diosmin-Hesperidin Combination (Daflon® Tablets Servier) in Treatment of Vasomotor Rhinitis</w:t>
      </w:r>
    </w:p>
    <w:p w:rsidR="00DC24C9" w:rsidRPr="002558EA" w:rsidRDefault="00DC24C9" w:rsidP="000D14AD">
      <w:pPr>
        <w:snapToGrid w:val="0"/>
        <w:jc w:val="center"/>
        <w:rPr>
          <w:b/>
          <w:bCs/>
          <w:sz w:val="20"/>
          <w:szCs w:val="20"/>
        </w:rPr>
      </w:pPr>
    </w:p>
    <w:p w:rsidR="00DC24C9" w:rsidRPr="002558EA" w:rsidRDefault="004A1299" w:rsidP="000D14AD">
      <w:pPr>
        <w:snapToGrid w:val="0"/>
        <w:jc w:val="center"/>
        <w:rPr>
          <w:sz w:val="20"/>
          <w:szCs w:val="20"/>
          <w:lang w:eastAsia="zh-CN"/>
        </w:rPr>
      </w:pPr>
      <w:r w:rsidRPr="002558EA">
        <w:rPr>
          <w:sz w:val="20"/>
          <w:szCs w:val="20"/>
        </w:rPr>
        <w:t>Prof. Dr.</w:t>
      </w:r>
      <w:r w:rsidR="00D47F17" w:rsidRPr="002558EA">
        <w:rPr>
          <w:sz w:val="20"/>
          <w:szCs w:val="20"/>
        </w:rPr>
        <w:t xml:space="preserve"> Ezzat</w:t>
      </w:r>
      <w:r w:rsidR="00CA6797" w:rsidRPr="002558EA">
        <w:rPr>
          <w:sz w:val="20"/>
          <w:szCs w:val="20"/>
        </w:rPr>
        <w:t xml:space="preserve"> </w:t>
      </w:r>
      <w:r w:rsidRPr="002558EA">
        <w:rPr>
          <w:sz w:val="20"/>
          <w:szCs w:val="20"/>
        </w:rPr>
        <w:t>W</w:t>
      </w:r>
      <w:r w:rsidR="00CA6797" w:rsidRPr="002558EA">
        <w:rPr>
          <w:sz w:val="20"/>
          <w:szCs w:val="20"/>
        </w:rPr>
        <w:t>.</w:t>
      </w:r>
      <w:r w:rsidRPr="002558EA">
        <w:rPr>
          <w:sz w:val="20"/>
          <w:szCs w:val="20"/>
        </w:rPr>
        <w:t>F</w:t>
      </w:r>
      <w:r w:rsidR="00CA6797" w:rsidRPr="002558EA">
        <w:rPr>
          <w:sz w:val="20"/>
          <w:szCs w:val="20"/>
        </w:rPr>
        <w:t>.</w:t>
      </w:r>
      <w:r w:rsidRPr="002558EA">
        <w:rPr>
          <w:sz w:val="20"/>
          <w:szCs w:val="20"/>
        </w:rPr>
        <w:t>,</w:t>
      </w:r>
      <w:r w:rsidR="002414EB" w:rsidRPr="002558EA">
        <w:rPr>
          <w:sz w:val="20"/>
          <w:szCs w:val="20"/>
        </w:rPr>
        <w:t xml:space="preserve"> </w:t>
      </w:r>
      <w:r w:rsidRPr="002558EA">
        <w:rPr>
          <w:sz w:val="20"/>
          <w:szCs w:val="20"/>
        </w:rPr>
        <w:t>Prof.</w:t>
      </w:r>
      <w:r w:rsidR="00CA6797" w:rsidRPr="002558EA">
        <w:rPr>
          <w:sz w:val="20"/>
          <w:szCs w:val="20"/>
        </w:rPr>
        <w:t xml:space="preserve"> </w:t>
      </w:r>
      <w:r w:rsidRPr="002558EA">
        <w:rPr>
          <w:sz w:val="20"/>
          <w:szCs w:val="20"/>
        </w:rPr>
        <w:t xml:space="preserve">Dr. </w:t>
      </w:r>
      <w:r w:rsidR="00D47F17" w:rsidRPr="002558EA">
        <w:rPr>
          <w:sz w:val="20"/>
          <w:szCs w:val="20"/>
        </w:rPr>
        <w:t>Sobhy</w:t>
      </w:r>
      <w:r w:rsidR="00CA6797" w:rsidRPr="002558EA">
        <w:rPr>
          <w:sz w:val="20"/>
          <w:szCs w:val="20"/>
        </w:rPr>
        <w:t xml:space="preserve"> </w:t>
      </w:r>
      <w:r w:rsidRPr="002558EA">
        <w:rPr>
          <w:sz w:val="20"/>
          <w:szCs w:val="20"/>
        </w:rPr>
        <w:t>T</w:t>
      </w:r>
      <w:r w:rsidR="00CA6797" w:rsidRPr="002558EA">
        <w:rPr>
          <w:sz w:val="20"/>
          <w:szCs w:val="20"/>
        </w:rPr>
        <w:t>.</w:t>
      </w:r>
      <w:r w:rsidRPr="002558EA">
        <w:rPr>
          <w:sz w:val="20"/>
          <w:szCs w:val="20"/>
        </w:rPr>
        <w:t>S</w:t>
      </w:r>
      <w:r w:rsidR="00CA6797" w:rsidRPr="002558EA">
        <w:rPr>
          <w:sz w:val="20"/>
          <w:szCs w:val="20"/>
        </w:rPr>
        <w:t xml:space="preserve">., </w:t>
      </w:r>
      <w:r w:rsidRPr="002558EA">
        <w:rPr>
          <w:sz w:val="20"/>
          <w:szCs w:val="20"/>
        </w:rPr>
        <w:t>Dr.</w:t>
      </w:r>
      <w:r w:rsidR="00CA6797" w:rsidRPr="002558EA">
        <w:rPr>
          <w:sz w:val="20"/>
          <w:szCs w:val="20"/>
        </w:rPr>
        <w:t xml:space="preserve"> </w:t>
      </w:r>
      <w:r w:rsidR="00D47F17" w:rsidRPr="002558EA">
        <w:rPr>
          <w:sz w:val="20"/>
          <w:szCs w:val="20"/>
        </w:rPr>
        <w:t>Mady</w:t>
      </w:r>
      <w:r w:rsidR="00CA6797" w:rsidRPr="002558EA">
        <w:rPr>
          <w:sz w:val="20"/>
          <w:szCs w:val="20"/>
        </w:rPr>
        <w:t xml:space="preserve"> </w:t>
      </w:r>
      <w:r w:rsidRPr="002558EA">
        <w:rPr>
          <w:sz w:val="20"/>
          <w:szCs w:val="20"/>
        </w:rPr>
        <w:t>O</w:t>
      </w:r>
      <w:r w:rsidR="00CA6797" w:rsidRPr="002558EA">
        <w:rPr>
          <w:sz w:val="20"/>
          <w:szCs w:val="20"/>
        </w:rPr>
        <w:t>.</w:t>
      </w:r>
      <w:r w:rsidRPr="002558EA">
        <w:rPr>
          <w:sz w:val="20"/>
          <w:szCs w:val="20"/>
        </w:rPr>
        <w:t>M</w:t>
      </w:r>
      <w:r w:rsidR="00CA6797" w:rsidRPr="002558EA">
        <w:rPr>
          <w:sz w:val="20"/>
          <w:szCs w:val="20"/>
        </w:rPr>
        <w:t xml:space="preserve">., </w:t>
      </w:r>
      <w:r w:rsidR="002414EB" w:rsidRPr="002558EA">
        <w:rPr>
          <w:sz w:val="20"/>
          <w:szCs w:val="20"/>
        </w:rPr>
        <w:t>Shendy</w:t>
      </w:r>
      <w:r w:rsidR="00CA6797" w:rsidRPr="002558EA">
        <w:rPr>
          <w:sz w:val="20"/>
          <w:szCs w:val="20"/>
        </w:rPr>
        <w:t xml:space="preserve"> </w:t>
      </w:r>
      <w:r w:rsidRPr="002558EA">
        <w:rPr>
          <w:sz w:val="20"/>
          <w:szCs w:val="20"/>
        </w:rPr>
        <w:t>G</w:t>
      </w:r>
      <w:r w:rsidR="00CA6797" w:rsidRPr="002558EA">
        <w:rPr>
          <w:sz w:val="20"/>
          <w:szCs w:val="20"/>
        </w:rPr>
        <w:t>.</w:t>
      </w:r>
      <w:r w:rsidRPr="002558EA">
        <w:rPr>
          <w:sz w:val="20"/>
          <w:szCs w:val="20"/>
        </w:rPr>
        <w:t>M.</w:t>
      </w:r>
    </w:p>
    <w:p w:rsidR="00DC24C9" w:rsidRPr="002558EA" w:rsidRDefault="00DC24C9" w:rsidP="000D14AD">
      <w:pPr>
        <w:snapToGrid w:val="0"/>
        <w:jc w:val="center"/>
        <w:rPr>
          <w:sz w:val="20"/>
          <w:szCs w:val="20"/>
          <w:lang w:eastAsia="zh-CN"/>
        </w:rPr>
      </w:pPr>
    </w:p>
    <w:p w:rsidR="00D47F17" w:rsidRPr="002558EA" w:rsidRDefault="00D47F17" w:rsidP="000D14AD">
      <w:pPr>
        <w:snapToGrid w:val="0"/>
        <w:jc w:val="center"/>
        <w:rPr>
          <w:sz w:val="20"/>
          <w:szCs w:val="20"/>
        </w:rPr>
      </w:pPr>
      <w:r w:rsidRPr="002558EA">
        <w:rPr>
          <w:sz w:val="20"/>
          <w:szCs w:val="20"/>
        </w:rPr>
        <w:t>Otorhinolaryngology</w:t>
      </w:r>
      <w:r w:rsidR="002414EB" w:rsidRPr="002558EA">
        <w:rPr>
          <w:sz w:val="20"/>
          <w:szCs w:val="20"/>
        </w:rPr>
        <w:t xml:space="preserve"> Department, </w:t>
      </w:r>
      <w:r w:rsidRPr="002558EA">
        <w:rPr>
          <w:sz w:val="20"/>
          <w:szCs w:val="20"/>
        </w:rPr>
        <w:t>Faculty of Medicine</w:t>
      </w:r>
      <w:r w:rsidR="002414EB" w:rsidRPr="002558EA">
        <w:rPr>
          <w:sz w:val="20"/>
          <w:szCs w:val="20"/>
        </w:rPr>
        <w:t xml:space="preserve">, </w:t>
      </w:r>
      <w:r w:rsidRPr="002558EA">
        <w:rPr>
          <w:sz w:val="20"/>
          <w:szCs w:val="20"/>
        </w:rPr>
        <w:t>Ain Shams University</w:t>
      </w:r>
      <w:r w:rsidR="00351D85" w:rsidRPr="002558EA">
        <w:rPr>
          <w:sz w:val="20"/>
          <w:szCs w:val="20"/>
        </w:rPr>
        <w:t>, Egypt</w:t>
      </w:r>
    </w:p>
    <w:p w:rsidR="00DC24C9" w:rsidRPr="002558EA" w:rsidRDefault="00CE1D41" w:rsidP="000D14AD">
      <w:pPr>
        <w:snapToGrid w:val="0"/>
        <w:jc w:val="center"/>
        <w:rPr>
          <w:sz w:val="20"/>
          <w:szCs w:val="20"/>
        </w:rPr>
      </w:pPr>
      <w:hyperlink r:id="rId7" w:history="1">
        <w:r w:rsidR="00351D85" w:rsidRPr="002558EA">
          <w:rPr>
            <w:rStyle w:val="Hyperlink"/>
            <w:sz w:val="20"/>
            <w:szCs w:val="20"/>
            <w:u w:val="none"/>
          </w:rPr>
          <w:t>Georgemousa553@gmail.com</w:t>
        </w:r>
      </w:hyperlink>
      <w:r w:rsidR="00351D85" w:rsidRPr="002558EA">
        <w:rPr>
          <w:sz w:val="20"/>
          <w:szCs w:val="20"/>
        </w:rPr>
        <w:t xml:space="preserve"> </w:t>
      </w:r>
    </w:p>
    <w:p w:rsidR="00DC24C9" w:rsidRPr="002558EA" w:rsidRDefault="00DC24C9" w:rsidP="000D14AD">
      <w:pPr>
        <w:snapToGrid w:val="0"/>
        <w:jc w:val="center"/>
        <w:rPr>
          <w:sz w:val="20"/>
          <w:szCs w:val="20"/>
        </w:rPr>
      </w:pPr>
    </w:p>
    <w:p w:rsidR="004A1299" w:rsidRPr="002558EA" w:rsidRDefault="00351D85" w:rsidP="000D14AD">
      <w:pPr>
        <w:snapToGrid w:val="0"/>
        <w:jc w:val="both"/>
        <w:rPr>
          <w:sz w:val="20"/>
          <w:szCs w:val="20"/>
        </w:rPr>
      </w:pPr>
      <w:r w:rsidRPr="002558EA">
        <w:rPr>
          <w:b/>
          <w:bCs/>
          <w:sz w:val="20"/>
          <w:szCs w:val="20"/>
        </w:rPr>
        <w:t>Abstract:</w:t>
      </w:r>
      <w:r w:rsidRPr="002558EA">
        <w:rPr>
          <w:b/>
          <w:sz w:val="20"/>
          <w:szCs w:val="20"/>
        </w:rPr>
        <w:t xml:space="preserve"> </w:t>
      </w:r>
      <w:r w:rsidR="00D47F17" w:rsidRPr="002558EA">
        <w:rPr>
          <w:b/>
          <w:sz w:val="20"/>
          <w:szCs w:val="20"/>
        </w:rPr>
        <w:t xml:space="preserve">Background: </w:t>
      </w:r>
      <w:r w:rsidR="00D47F17" w:rsidRPr="002558EA">
        <w:rPr>
          <w:bCs/>
          <w:sz w:val="20"/>
          <w:szCs w:val="20"/>
        </w:rPr>
        <w:t>Rhinitis is deﬁned as inflammation of the membranes lining the nose, characterized by nasal symptoms including itching, rhinorrhea and nasal congestion. Rhinitis represents a global health problem affecting between 10% and 25% of the world population.</w:t>
      </w:r>
      <w:r w:rsidRPr="002558EA">
        <w:rPr>
          <w:b/>
          <w:bCs/>
          <w:sz w:val="20"/>
          <w:szCs w:val="20"/>
        </w:rPr>
        <w:t xml:space="preserve"> </w:t>
      </w:r>
      <w:r w:rsidR="00D47F17" w:rsidRPr="002558EA">
        <w:rPr>
          <w:b/>
          <w:bCs/>
          <w:sz w:val="20"/>
          <w:szCs w:val="20"/>
        </w:rPr>
        <w:t xml:space="preserve">Objectives: </w:t>
      </w:r>
      <w:r w:rsidR="00D47F17" w:rsidRPr="002558EA">
        <w:rPr>
          <w:sz w:val="20"/>
          <w:szCs w:val="20"/>
        </w:rPr>
        <w:t>To review the efficacy of combination of diosmin and hesperidin effect on vasomotor rhinitis symptoms versus intranasal steroids only on improvement scale in improvement of symptoms of Vasomotor Rhinits.</w:t>
      </w:r>
      <w:r w:rsidRPr="002558EA">
        <w:rPr>
          <w:b/>
          <w:bCs/>
          <w:sz w:val="20"/>
          <w:szCs w:val="20"/>
        </w:rPr>
        <w:t xml:space="preserve"> </w:t>
      </w:r>
      <w:r w:rsidR="00D47F17" w:rsidRPr="002558EA">
        <w:rPr>
          <w:b/>
          <w:bCs/>
          <w:sz w:val="20"/>
          <w:szCs w:val="20"/>
        </w:rPr>
        <w:t xml:space="preserve">Patients and Methods: </w:t>
      </w:r>
      <w:r w:rsidR="00D47F17" w:rsidRPr="002558EA">
        <w:rPr>
          <w:sz w:val="20"/>
          <w:szCs w:val="20"/>
        </w:rPr>
        <w:t>A meta-analysis examining the use of Diosmin hesperidin combination in treatment of vasomotor rhinitis in combination or in comparison with intranasal sterids. As our study involved examining only the existing peer-reviewed literature, Institutional Review Board approval was deemed unnecessary.</w:t>
      </w:r>
      <w:r w:rsidR="00D47F17" w:rsidRPr="002558EA">
        <w:rPr>
          <w:bCs/>
          <w:sz w:val="20"/>
          <w:szCs w:val="20"/>
        </w:rPr>
        <w:t xml:space="preserve"> </w:t>
      </w:r>
      <w:r w:rsidR="004F67BD" w:rsidRPr="002558EA">
        <w:rPr>
          <w:bCs/>
          <w:noProof/>
          <w:sz w:val="20"/>
          <w:szCs w:val="20"/>
          <w:lang w:eastAsia="zh-CN"/>
        </w:rPr>
        <w:drawing>
          <wp:anchor distT="0" distB="0" distL="114300" distR="114300" simplePos="0" relativeHeight="251657728" behindDoc="0" locked="0" layoutInCell="1" allowOverlap="1">
            <wp:simplePos x="0" y="0"/>
            <wp:positionH relativeFrom="column">
              <wp:posOffset>2905760</wp:posOffset>
            </wp:positionH>
            <wp:positionV relativeFrom="paragraph">
              <wp:posOffset>169545</wp:posOffset>
            </wp:positionV>
            <wp:extent cx="19050" cy="19050"/>
            <wp:effectExtent l="0" t="0" r="0" b="0"/>
            <wp:wrapNone/>
            <wp:docPr id="45" name="In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21"/>
                    <pic:cNvPicPr>
                      <a:picLocks noChangeAspect="1" noChangeArrowheads="1"/>
                    </pic:cNvPicPr>
                  </pic:nvPicPr>
                  <pic:blipFill>
                    <a:blip r:embed="rId8" cstate="print"/>
                    <a:srcRect/>
                    <a:stretch>
                      <a:fillRect/>
                    </a:stretch>
                  </pic:blipFill>
                  <pic:spPr bwMode="auto">
                    <a:xfrm>
                      <a:off x="0" y="0"/>
                      <a:ext cx="19050" cy="19050"/>
                    </a:xfrm>
                    <a:prstGeom prst="rect">
                      <a:avLst/>
                    </a:prstGeom>
                    <a:noFill/>
                  </pic:spPr>
                </pic:pic>
              </a:graphicData>
            </a:graphic>
          </wp:anchor>
        </w:drawing>
      </w:r>
      <w:r w:rsidR="00D47F17" w:rsidRPr="002558EA">
        <w:rPr>
          <w:bCs/>
          <w:vanish/>
          <w:sz w:val="20"/>
          <w:szCs w:val="20"/>
          <w:lang w:val="en-GB"/>
        </w:rPr>
        <w:t>/h/140903/</w:t>
      </w:r>
      <w:r w:rsidR="00D47F17" w:rsidRPr="002558EA">
        <w:rPr>
          <w:sz w:val="20"/>
          <w:szCs w:val="20"/>
        </w:rPr>
        <w:t>Comparison between group A and group B regarding percentage of recovery: Group A: received Diosmin, Hesperidin combination (Daflon 500 mg tablets), group B: received intranasal steroids inhalers.</w:t>
      </w:r>
      <w:r w:rsidRPr="002558EA">
        <w:rPr>
          <w:b/>
          <w:bCs/>
          <w:sz w:val="20"/>
          <w:szCs w:val="20"/>
        </w:rPr>
        <w:t xml:space="preserve"> </w:t>
      </w:r>
      <w:r w:rsidR="00D47F17" w:rsidRPr="002558EA">
        <w:rPr>
          <w:b/>
          <w:bCs/>
          <w:sz w:val="20"/>
          <w:szCs w:val="20"/>
        </w:rPr>
        <w:t>Results:</w:t>
      </w:r>
      <w:r w:rsidR="004A1299" w:rsidRPr="002558EA">
        <w:rPr>
          <w:sz w:val="20"/>
          <w:szCs w:val="20"/>
        </w:rPr>
        <w:t xml:space="preserve"> This</w:t>
      </w:r>
      <w:r w:rsidR="00D47F17" w:rsidRPr="002558EA">
        <w:rPr>
          <w:sz w:val="20"/>
          <w:szCs w:val="20"/>
        </w:rPr>
        <w:t xml:space="preserve"> study proved that Diosmin Hesperidin combination has a venotonic action on the nasal mucosa that decrease its secretions and decreases nasal obstruction and rhinorrhea and sneezing from vasomotor rhinitis patients. </w:t>
      </w:r>
      <w:r w:rsidR="00D47F17" w:rsidRPr="002558EA">
        <w:rPr>
          <w:bCs/>
          <w:sz w:val="20"/>
          <w:szCs w:val="20"/>
          <w:lang w:val="en-GB"/>
        </w:rPr>
        <w:t>Our study is a collective analysis of retrospective and prospective cohort studies done separately in diosmin hesperidin combination in treatment of vasomotor rhinitis versus intranasal steroids in treatment of it. The data analysed and results showed statistically significant difference between two modalities of treatment between disomin hesperidin combination (flavinoids) which showing efficacy 86.96% and intranasal steroids showing efficacy 72.5%.</w:t>
      </w:r>
      <w:r w:rsidRPr="002558EA">
        <w:rPr>
          <w:b/>
          <w:bCs/>
          <w:sz w:val="20"/>
          <w:szCs w:val="20"/>
        </w:rPr>
        <w:t xml:space="preserve"> </w:t>
      </w:r>
      <w:r w:rsidR="00D47F17" w:rsidRPr="002558EA">
        <w:rPr>
          <w:b/>
          <w:bCs/>
          <w:sz w:val="20"/>
          <w:szCs w:val="20"/>
        </w:rPr>
        <w:t xml:space="preserve">Conclusion: </w:t>
      </w:r>
      <w:r w:rsidR="004A1299" w:rsidRPr="002558EA">
        <w:rPr>
          <w:sz w:val="20"/>
          <w:szCs w:val="20"/>
        </w:rPr>
        <w:t>T</w:t>
      </w:r>
      <w:r w:rsidR="004A1299" w:rsidRPr="002558EA">
        <w:rPr>
          <w:bCs/>
          <w:sz w:val="20"/>
          <w:szCs w:val="20"/>
          <w:lang w:bidi="ar-EG"/>
        </w:rPr>
        <w:t xml:space="preserve">he </w:t>
      </w:r>
      <w:r w:rsidR="004A1299" w:rsidRPr="002558EA">
        <w:rPr>
          <w:sz w:val="20"/>
          <w:szCs w:val="20"/>
          <w:lang w:bidi="ar-EG"/>
        </w:rPr>
        <w:t>cost benefit relation valides the trial of use of D</w:t>
      </w:r>
      <w:r w:rsidRPr="002558EA">
        <w:rPr>
          <w:sz w:val="20"/>
          <w:szCs w:val="20"/>
          <w:lang w:bidi="ar-EG"/>
        </w:rPr>
        <w:t>iosmin Hesperidin combination (</w:t>
      </w:r>
      <w:r w:rsidR="004A1299" w:rsidRPr="002558EA">
        <w:rPr>
          <w:sz w:val="20"/>
          <w:szCs w:val="20"/>
          <w:lang w:bidi="ar-EG"/>
        </w:rPr>
        <w:t xml:space="preserve">Daflon </w:t>
      </w:r>
      <w:r w:rsidR="004A1299" w:rsidRPr="002558EA">
        <w:rPr>
          <w:sz w:val="20"/>
          <w:szCs w:val="20"/>
        </w:rPr>
        <w:t>®</w:t>
      </w:r>
      <w:r w:rsidR="004A1299" w:rsidRPr="002558EA">
        <w:rPr>
          <w:sz w:val="20"/>
          <w:szCs w:val="20"/>
          <w:lang w:bidi="ar-EG"/>
        </w:rPr>
        <w:t xml:space="preserve"> Servier)</w:t>
      </w:r>
      <w:r w:rsidR="004A1299" w:rsidRPr="002558EA">
        <w:rPr>
          <w:sz w:val="20"/>
          <w:szCs w:val="20"/>
        </w:rPr>
        <w:t xml:space="preserve"> in cases of vasomotor rhinitis non responsive to other lines of therapy.</w:t>
      </w:r>
    </w:p>
    <w:p w:rsidR="000D14AD" w:rsidRPr="002558EA" w:rsidRDefault="00351D85" w:rsidP="000D14AD">
      <w:pPr>
        <w:snapToGrid w:val="0"/>
        <w:jc w:val="both"/>
        <w:rPr>
          <w:b/>
          <w:bCs/>
          <w:sz w:val="20"/>
          <w:szCs w:val="20"/>
        </w:rPr>
      </w:pPr>
      <w:r w:rsidRPr="002558EA">
        <w:rPr>
          <w:sz w:val="20"/>
          <w:szCs w:val="20"/>
        </w:rPr>
        <w:t>[Ezzat W.F., Sobhy T.S., Mady O.M., Shendy G.M., Ezzat W.F., Sobhy T.S., Mady O.M., Shendy G.M.</w:t>
      </w:r>
      <w:r w:rsidRPr="002558EA">
        <w:rPr>
          <w:b/>
          <w:bCs/>
          <w:sz w:val="20"/>
          <w:szCs w:val="20"/>
        </w:rPr>
        <w:t xml:space="preserve"> Role of Diosmin-Hesperidin Combination (Daflon® Tablets Servier) in Treatment of Vasomotor Rhinitis</w:t>
      </w:r>
      <w:r w:rsidR="000D14AD" w:rsidRPr="002558EA">
        <w:rPr>
          <w:rFonts w:eastAsia="Times New Roman"/>
          <w:b/>
          <w:bCs/>
          <w:sz w:val="20"/>
          <w:szCs w:val="20"/>
          <w:lang w:bidi="fa-IR"/>
        </w:rPr>
        <w:t>.</w:t>
      </w:r>
      <w:r w:rsidR="000D14AD" w:rsidRPr="002558EA">
        <w:rPr>
          <w:bCs/>
          <w:i/>
          <w:sz w:val="20"/>
          <w:szCs w:val="20"/>
        </w:rPr>
        <w:t xml:space="preserve"> N Y Sci J</w:t>
      </w:r>
      <w:r w:rsidR="000D14AD" w:rsidRPr="002558EA">
        <w:rPr>
          <w:bCs/>
          <w:sz w:val="20"/>
          <w:szCs w:val="20"/>
        </w:rPr>
        <w:t xml:space="preserve"> </w:t>
      </w:r>
      <w:r w:rsidR="000D14AD" w:rsidRPr="002558EA">
        <w:rPr>
          <w:sz w:val="20"/>
          <w:szCs w:val="20"/>
        </w:rPr>
        <w:t>20</w:t>
      </w:r>
      <w:r w:rsidR="000D14AD" w:rsidRPr="002558EA">
        <w:rPr>
          <w:rFonts w:hint="eastAsia"/>
          <w:sz w:val="20"/>
          <w:szCs w:val="20"/>
        </w:rPr>
        <w:t>20</w:t>
      </w:r>
      <w:r w:rsidR="000D14AD" w:rsidRPr="002558EA">
        <w:rPr>
          <w:sz w:val="20"/>
          <w:szCs w:val="20"/>
        </w:rPr>
        <w:t>;</w:t>
      </w:r>
      <w:r w:rsidR="000D14AD" w:rsidRPr="002558EA">
        <w:rPr>
          <w:rFonts w:hint="eastAsia"/>
          <w:sz w:val="20"/>
          <w:szCs w:val="20"/>
        </w:rPr>
        <w:t>13</w:t>
      </w:r>
      <w:r w:rsidR="000D14AD" w:rsidRPr="002558EA">
        <w:rPr>
          <w:sz w:val="20"/>
          <w:szCs w:val="20"/>
        </w:rPr>
        <w:t>(</w:t>
      </w:r>
      <w:r w:rsidR="000D14AD" w:rsidRPr="002558EA">
        <w:rPr>
          <w:rFonts w:hint="eastAsia"/>
          <w:sz w:val="20"/>
          <w:szCs w:val="20"/>
        </w:rPr>
        <w:t>1</w:t>
      </w:r>
      <w:r w:rsidR="000D14AD" w:rsidRPr="002558EA">
        <w:rPr>
          <w:sz w:val="20"/>
          <w:szCs w:val="20"/>
        </w:rPr>
        <w:t>):</w:t>
      </w:r>
      <w:r w:rsidR="00E47269" w:rsidRPr="002558EA">
        <w:rPr>
          <w:noProof/>
          <w:color w:val="000000"/>
          <w:sz w:val="20"/>
          <w:szCs w:val="20"/>
        </w:rPr>
        <w:t>1-</w:t>
      </w:r>
      <w:r w:rsidR="002558EA">
        <w:rPr>
          <w:rFonts w:hint="eastAsia"/>
          <w:noProof/>
          <w:color w:val="000000"/>
          <w:sz w:val="20"/>
          <w:szCs w:val="20"/>
          <w:lang w:eastAsia="zh-CN"/>
        </w:rPr>
        <w:t>5</w:t>
      </w:r>
      <w:r w:rsidR="000D14AD" w:rsidRPr="002558EA">
        <w:rPr>
          <w:sz w:val="20"/>
          <w:szCs w:val="20"/>
        </w:rPr>
        <w:t xml:space="preserve">]. </w:t>
      </w:r>
      <w:r w:rsidR="000D14AD" w:rsidRPr="002558EA">
        <w:rPr>
          <w:iCs/>
          <w:color w:val="000000"/>
          <w:sz w:val="20"/>
          <w:szCs w:val="20"/>
        </w:rPr>
        <w:t>ISSN 1554-0200 (print); ISSN 2375-723X (online)</w:t>
      </w:r>
      <w:r w:rsidR="000D14AD" w:rsidRPr="002558EA">
        <w:rPr>
          <w:sz w:val="20"/>
          <w:szCs w:val="20"/>
        </w:rPr>
        <w:t xml:space="preserve">. </w:t>
      </w:r>
      <w:hyperlink r:id="rId9" w:history="1">
        <w:r w:rsidR="000D14AD" w:rsidRPr="002558EA">
          <w:rPr>
            <w:rStyle w:val="Hyperlink"/>
            <w:sz w:val="20"/>
            <w:szCs w:val="20"/>
          </w:rPr>
          <w:t>http://www.sciencepub.net/newyork</w:t>
        </w:r>
      </w:hyperlink>
      <w:r w:rsidR="000D14AD" w:rsidRPr="002558EA">
        <w:rPr>
          <w:sz w:val="20"/>
          <w:szCs w:val="20"/>
        </w:rPr>
        <w:t xml:space="preserve">. </w:t>
      </w:r>
      <w:r w:rsidR="000D14AD" w:rsidRPr="002558EA">
        <w:rPr>
          <w:rFonts w:hint="eastAsia"/>
          <w:sz w:val="20"/>
          <w:szCs w:val="20"/>
          <w:lang w:eastAsia="zh-CN"/>
        </w:rPr>
        <w:t>1</w:t>
      </w:r>
      <w:r w:rsidR="000D14AD" w:rsidRPr="002558EA">
        <w:rPr>
          <w:rFonts w:hint="eastAsia"/>
          <w:sz w:val="20"/>
          <w:szCs w:val="20"/>
        </w:rPr>
        <w:t xml:space="preserve">. </w:t>
      </w:r>
      <w:r w:rsidR="000D14AD" w:rsidRPr="002558EA">
        <w:rPr>
          <w:color w:val="000000"/>
          <w:sz w:val="20"/>
          <w:szCs w:val="20"/>
          <w:shd w:val="clear" w:color="auto" w:fill="FFFFFF"/>
        </w:rPr>
        <w:t>doi:</w:t>
      </w:r>
      <w:hyperlink r:id="rId10" w:history="1">
        <w:r w:rsidR="000D14AD" w:rsidRPr="002558EA">
          <w:rPr>
            <w:rStyle w:val="Hyperlink"/>
            <w:sz w:val="20"/>
            <w:szCs w:val="20"/>
            <w:shd w:val="clear" w:color="auto" w:fill="FFFFFF"/>
          </w:rPr>
          <w:t>10.7537/mars</w:t>
        </w:r>
        <w:r w:rsidR="000D14AD" w:rsidRPr="002558EA">
          <w:rPr>
            <w:rStyle w:val="Hyperlink"/>
            <w:rFonts w:hint="eastAsia"/>
            <w:sz w:val="20"/>
            <w:szCs w:val="20"/>
            <w:shd w:val="clear" w:color="auto" w:fill="FFFFFF"/>
          </w:rPr>
          <w:t>nys130120.</w:t>
        </w:r>
        <w:r w:rsidR="000D14AD" w:rsidRPr="002558EA">
          <w:rPr>
            <w:rStyle w:val="Hyperlink"/>
            <w:sz w:val="20"/>
            <w:szCs w:val="20"/>
            <w:shd w:val="clear" w:color="auto" w:fill="FFFFFF"/>
          </w:rPr>
          <w:t>0</w:t>
        </w:r>
        <w:r w:rsidR="000D14AD" w:rsidRPr="002558EA">
          <w:rPr>
            <w:rStyle w:val="Hyperlink"/>
            <w:rFonts w:hint="eastAsia"/>
            <w:sz w:val="20"/>
            <w:szCs w:val="20"/>
            <w:shd w:val="clear" w:color="auto" w:fill="FFFFFF"/>
            <w:lang w:eastAsia="zh-CN"/>
          </w:rPr>
          <w:t>1</w:t>
        </w:r>
      </w:hyperlink>
      <w:r w:rsidR="000D14AD" w:rsidRPr="002558EA">
        <w:rPr>
          <w:color w:val="000000"/>
          <w:sz w:val="20"/>
          <w:szCs w:val="20"/>
          <w:shd w:val="clear" w:color="auto" w:fill="FFFFFF"/>
        </w:rPr>
        <w:t>.</w:t>
      </w:r>
    </w:p>
    <w:p w:rsidR="00351D85" w:rsidRPr="002558EA" w:rsidRDefault="00351D85" w:rsidP="000D14AD">
      <w:pPr>
        <w:snapToGrid w:val="0"/>
        <w:jc w:val="both"/>
        <w:rPr>
          <w:b/>
          <w:bCs/>
          <w:sz w:val="20"/>
          <w:szCs w:val="20"/>
        </w:rPr>
      </w:pPr>
    </w:p>
    <w:p w:rsidR="00D47F17" w:rsidRPr="002558EA" w:rsidRDefault="00D47F17" w:rsidP="000D14AD">
      <w:pPr>
        <w:snapToGrid w:val="0"/>
        <w:jc w:val="both"/>
        <w:rPr>
          <w:sz w:val="20"/>
          <w:szCs w:val="20"/>
        </w:rPr>
      </w:pPr>
      <w:r w:rsidRPr="002558EA">
        <w:rPr>
          <w:b/>
          <w:bCs/>
          <w:sz w:val="20"/>
          <w:szCs w:val="20"/>
        </w:rPr>
        <w:t xml:space="preserve">Keywords: </w:t>
      </w:r>
      <w:r w:rsidRPr="002558EA">
        <w:rPr>
          <w:sz w:val="20"/>
          <w:szCs w:val="20"/>
        </w:rPr>
        <w:t>Diosmin-Hesperidin, Daflon, Vasomotor Rhinitis</w:t>
      </w:r>
    </w:p>
    <w:p w:rsidR="00351D85" w:rsidRPr="002558EA" w:rsidRDefault="00351D85" w:rsidP="000D14AD">
      <w:pPr>
        <w:snapToGrid w:val="0"/>
        <w:jc w:val="both"/>
        <w:rPr>
          <w:b/>
          <w:bCs/>
          <w:sz w:val="20"/>
          <w:szCs w:val="20"/>
        </w:rPr>
      </w:pPr>
    </w:p>
    <w:p w:rsidR="000D14AD" w:rsidRPr="002558EA" w:rsidRDefault="000D14AD" w:rsidP="000D14AD">
      <w:pPr>
        <w:snapToGrid w:val="0"/>
        <w:jc w:val="both"/>
        <w:rPr>
          <w:b/>
          <w:bCs/>
          <w:sz w:val="20"/>
          <w:szCs w:val="20"/>
        </w:rPr>
        <w:sectPr w:rsidR="000D14AD" w:rsidRPr="002558EA" w:rsidSect="00DC24C9">
          <w:headerReference w:type="default" r:id="rId11"/>
          <w:footerReference w:type="even" r:id="rId12"/>
          <w:footerReference w:type="default" r:id="rId13"/>
          <w:type w:val="continuous"/>
          <w:pgSz w:w="12240" w:h="15840" w:code="9"/>
          <w:pgMar w:top="1440" w:right="1440" w:bottom="1440" w:left="1440" w:header="720" w:footer="720" w:gutter="0"/>
          <w:cols w:space="720"/>
          <w:docGrid w:linePitch="360"/>
        </w:sectPr>
      </w:pPr>
    </w:p>
    <w:p w:rsidR="00D47F17" w:rsidRPr="002558EA" w:rsidRDefault="00351D85" w:rsidP="000D14AD">
      <w:pPr>
        <w:snapToGrid w:val="0"/>
        <w:jc w:val="both"/>
        <w:rPr>
          <w:b/>
          <w:bCs/>
          <w:sz w:val="20"/>
          <w:szCs w:val="20"/>
        </w:rPr>
      </w:pPr>
      <w:r w:rsidRPr="002558EA">
        <w:rPr>
          <w:b/>
          <w:bCs/>
          <w:sz w:val="20"/>
          <w:szCs w:val="20"/>
        </w:rPr>
        <w:lastRenderedPageBreak/>
        <w:t>1. Introduction</w:t>
      </w:r>
      <w:bookmarkEnd w:id="0"/>
    </w:p>
    <w:p w:rsidR="00D47F17" w:rsidRPr="002558EA" w:rsidRDefault="00D47F17" w:rsidP="000D14AD">
      <w:pPr>
        <w:snapToGrid w:val="0"/>
        <w:ind w:firstLine="425"/>
        <w:jc w:val="both"/>
        <w:rPr>
          <w:b/>
          <w:bCs/>
          <w:sz w:val="20"/>
          <w:szCs w:val="20"/>
          <w:lang w:bidi="ar-EG"/>
        </w:rPr>
      </w:pPr>
      <w:r w:rsidRPr="002558EA">
        <w:rPr>
          <w:sz w:val="20"/>
          <w:szCs w:val="20"/>
        </w:rPr>
        <w:t>VMR is characterized by prominent symptoms of nasal obstruction, rhinorrhea, and congestion. These symptoms are excessive at times and are exacerbated by certain odors (e.g., perfumes, cigarette smoke); alcohol; spicy foods; emotions; pregnancy and environmental factors such as temperature, and barometric pressure changes</w:t>
      </w:r>
      <w:r w:rsidRPr="002558EA">
        <w:rPr>
          <w:b/>
          <w:bCs/>
          <w:sz w:val="20"/>
          <w:szCs w:val="20"/>
        </w:rPr>
        <w:t xml:space="preserve"> (Ezzat et al., 2009). </w:t>
      </w:r>
    </w:p>
    <w:p w:rsidR="00D47F17" w:rsidRPr="002558EA" w:rsidRDefault="00D47F17" w:rsidP="000D14AD">
      <w:pPr>
        <w:snapToGrid w:val="0"/>
        <w:ind w:firstLine="425"/>
        <w:jc w:val="both"/>
        <w:rPr>
          <w:b/>
          <w:bCs/>
          <w:sz w:val="20"/>
          <w:szCs w:val="20"/>
          <w:lang w:bidi="ar-EG"/>
        </w:rPr>
      </w:pPr>
      <w:r w:rsidRPr="002558EA">
        <w:rPr>
          <w:sz w:val="20"/>
          <w:szCs w:val="20"/>
        </w:rPr>
        <w:t xml:space="preserve">The diagnosis of VMR is based on a detailed medical history and exclusion of airborne allergens, and exclusion of clinical signs of rhinosinusitis </w:t>
      </w:r>
      <w:r w:rsidRPr="002558EA">
        <w:rPr>
          <w:b/>
          <w:bCs/>
          <w:sz w:val="20"/>
          <w:szCs w:val="20"/>
        </w:rPr>
        <w:t>(Hellings et al., 2017).</w:t>
      </w:r>
    </w:p>
    <w:p w:rsidR="00D47F17" w:rsidRPr="002558EA" w:rsidRDefault="00D47F17" w:rsidP="000D14AD">
      <w:pPr>
        <w:snapToGrid w:val="0"/>
        <w:ind w:firstLine="425"/>
        <w:jc w:val="both"/>
        <w:rPr>
          <w:b/>
          <w:bCs/>
          <w:sz w:val="20"/>
          <w:szCs w:val="20"/>
        </w:rPr>
      </w:pPr>
      <w:r w:rsidRPr="002558EA">
        <w:rPr>
          <w:sz w:val="20"/>
          <w:szCs w:val="20"/>
        </w:rPr>
        <w:t>VMR is a heterogeneous disorder comprising several pathophysiological entities. The etiology of some of these disorders (e.g. drug-induced rhinitis, non allergic rhinitis with eosinophilia syndrome [NARES], occupational rhinitis, hormonal rhinitis, emotion-induced rhinitis, physical/chemical irritant-induced rhinitis) is well established</w:t>
      </w:r>
      <w:r w:rsidR="002414EB" w:rsidRPr="002558EA">
        <w:rPr>
          <w:sz w:val="20"/>
          <w:szCs w:val="20"/>
        </w:rPr>
        <w:t xml:space="preserve"> </w:t>
      </w:r>
      <w:r w:rsidRPr="002558EA">
        <w:rPr>
          <w:b/>
          <w:bCs/>
          <w:sz w:val="20"/>
          <w:szCs w:val="20"/>
        </w:rPr>
        <w:t>(Hellings et al., 2017).</w:t>
      </w:r>
    </w:p>
    <w:p w:rsidR="00D47F17" w:rsidRPr="002558EA" w:rsidRDefault="00D47F17" w:rsidP="000D14AD">
      <w:pPr>
        <w:snapToGrid w:val="0"/>
        <w:ind w:firstLine="425"/>
        <w:jc w:val="both"/>
        <w:rPr>
          <w:b/>
          <w:bCs/>
          <w:sz w:val="20"/>
          <w:szCs w:val="20"/>
        </w:rPr>
      </w:pPr>
      <w:r w:rsidRPr="002558EA">
        <w:rPr>
          <w:sz w:val="20"/>
          <w:szCs w:val="20"/>
        </w:rPr>
        <w:t xml:space="preserve">There is evidence that localized inflammation is the underlying cause of symptoms in drug-induced </w:t>
      </w:r>
      <w:r w:rsidRPr="002558EA">
        <w:rPr>
          <w:sz w:val="20"/>
          <w:szCs w:val="20"/>
        </w:rPr>
        <w:lastRenderedPageBreak/>
        <w:t xml:space="preserve">rhinitis and NARES, since eosinophilia is an important pathophysiological component in these conditions. In contrast, neurogenic reflex mechanisms initiated by environmental factors appear to be involved in idiopathic rhinitis. It has been suggested that there may be an imbalance of the sympathetic and parasympathetic nervous systems, with parasympathetic hyper-activity and sympathetic hypo-activity resulting in nasal congestion and rhinorrhoea. Indirect evidence suggests that C-fibres may also play an important role in the pathophysiology of idiopathic rhinitis </w:t>
      </w:r>
      <w:r w:rsidR="004A1299" w:rsidRPr="002558EA">
        <w:rPr>
          <w:b/>
          <w:bCs/>
          <w:sz w:val="20"/>
          <w:szCs w:val="20"/>
        </w:rPr>
        <w:t>(Hellings et al., 2017</w:t>
      </w:r>
      <w:r w:rsidRPr="002558EA">
        <w:rPr>
          <w:b/>
          <w:bCs/>
          <w:sz w:val="20"/>
          <w:szCs w:val="20"/>
        </w:rPr>
        <w:t>).</w:t>
      </w:r>
    </w:p>
    <w:p w:rsidR="00D47F17" w:rsidRPr="002558EA" w:rsidRDefault="00092A24" w:rsidP="000D14AD">
      <w:pPr>
        <w:snapToGrid w:val="0"/>
        <w:jc w:val="both"/>
        <w:rPr>
          <w:b/>
          <w:bCs/>
          <w:sz w:val="20"/>
          <w:szCs w:val="20"/>
        </w:rPr>
      </w:pPr>
      <w:bookmarkStart w:id="1" w:name="_Toc25148784"/>
      <w:r w:rsidRPr="002558EA">
        <w:rPr>
          <w:b/>
          <w:bCs/>
          <w:sz w:val="20"/>
          <w:szCs w:val="20"/>
        </w:rPr>
        <w:t>Aim of the Work</w:t>
      </w:r>
      <w:bookmarkEnd w:id="1"/>
    </w:p>
    <w:p w:rsidR="00D47F17" w:rsidRPr="002558EA" w:rsidRDefault="00D47F17" w:rsidP="000D14AD">
      <w:pPr>
        <w:snapToGrid w:val="0"/>
        <w:ind w:firstLine="425"/>
        <w:jc w:val="both"/>
        <w:rPr>
          <w:sz w:val="20"/>
          <w:szCs w:val="20"/>
        </w:rPr>
      </w:pPr>
      <w:r w:rsidRPr="002558EA">
        <w:rPr>
          <w:sz w:val="20"/>
          <w:szCs w:val="20"/>
        </w:rPr>
        <w:t>To review the efficacy of combination of diosmin and hesperidin effect on vasomotor rhinitis symptoms versus intranasal steroids only on improvement scale in improvement of symptoms of Vasomotor Rhinits.</w:t>
      </w:r>
    </w:p>
    <w:p w:rsidR="00092A24" w:rsidRPr="002558EA" w:rsidRDefault="00092A24" w:rsidP="000D14AD">
      <w:pPr>
        <w:snapToGrid w:val="0"/>
        <w:jc w:val="both"/>
        <w:rPr>
          <w:b/>
          <w:bCs/>
          <w:sz w:val="20"/>
          <w:szCs w:val="20"/>
        </w:rPr>
      </w:pPr>
      <w:bookmarkStart w:id="2" w:name="_Toc525231881"/>
      <w:bookmarkStart w:id="3" w:name="_Toc25148786"/>
    </w:p>
    <w:p w:rsidR="00D47F17" w:rsidRPr="002558EA" w:rsidRDefault="00092A24" w:rsidP="000D14AD">
      <w:pPr>
        <w:snapToGrid w:val="0"/>
        <w:jc w:val="both"/>
        <w:rPr>
          <w:b/>
          <w:bCs/>
          <w:sz w:val="20"/>
          <w:szCs w:val="20"/>
        </w:rPr>
      </w:pPr>
      <w:r w:rsidRPr="002558EA">
        <w:rPr>
          <w:b/>
          <w:bCs/>
          <w:sz w:val="20"/>
          <w:szCs w:val="20"/>
        </w:rPr>
        <w:t>2. Methodology</w:t>
      </w:r>
      <w:bookmarkEnd w:id="2"/>
      <w:bookmarkEnd w:id="3"/>
    </w:p>
    <w:p w:rsidR="00D47F17" w:rsidRPr="002558EA" w:rsidRDefault="00D47F17" w:rsidP="000D14AD">
      <w:pPr>
        <w:snapToGrid w:val="0"/>
        <w:ind w:firstLine="425"/>
        <w:jc w:val="both"/>
        <w:rPr>
          <w:sz w:val="20"/>
          <w:szCs w:val="20"/>
        </w:rPr>
      </w:pPr>
      <w:r w:rsidRPr="002558EA">
        <w:rPr>
          <w:sz w:val="20"/>
          <w:szCs w:val="20"/>
        </w:rPr>
        <w:t>Study was done in the following steps:</w:t>
      </w:r>
    </w:p>
    <w:p w:rsidR="00E47269" w:rsidRPr="002558EA" w:rsidRDefault="00D47F17" w:rsidP="000D14AD">
      <w:pPr>
        <w:numPr>
          <w:ilvl w:val="0"/>
          <w:numId w:val="10"/>
        </w:numPr>
        <w:snapToGrid w:val="0"/>
        <w:ind w:left="0" w:firstLine="425"/>
        <w:jc w:val="both"/>
        <w:rPr>
          <w:sz w:val="20"/>
          <w:szCs w:val="20"/>
        </w:rPr>
      </w:pPr>
      <w:r w:rsidRPr="002558EA">
        <w:rPr>
          <w:sz w:val="20"/>
          <w:szCs w:val="20"/>
        </w:rPr>
        <w:t>Methods used in the study.</w:t>
      </w:r>
    </w:p>
    <w:p w:rsidR="00E47269" w:rsidRPr="002558EA" w:rsidRDefault="00E47269" w:rsidP="000D14AD">
      <w:pPr>
        <w:numPr>
          <w:ilvl w:val="0"/>
          <w:numId w:val="10"/>
        </w:numPr>
        <w:snapToGrid w:val="0"/>
        <w:ind w:left="0" w:firstLine="425"/>
        <w:jc w:val="both"/>
        <w:rPr>
          <w:sz w:val="20"/>
          <w:szCs w:val="20"/>
        </w:rPr>
        <w:sectPr w:rsidR="00E47269" w:rsidRPr="002558EA" w:rsidSect="000D14AD">
          <w:type w:val="continuous"/>
          <w:pgSz w:w="12240" w:h="15840" w:code="9"/>
          <w:pgMar w:top="1440" w:right="1440" w:bottom="1440" w:left="1440" w:header="720" w:footer="720" w:gutter="0"/>
          <w:cols w:num="2" w:space="600"/>
          <w:docGrid w:linePitch="360"/>
        </w:sectPr>
      </w:pPr>
    </w:p>
    <w:p w:rsidR="00D47F17" w:rsidRPr="002558EA" w:rsidRDefault="00D47F17" w:rsidP="000D14AD">
      <w:pPr>
        <w:numPr>
          <w:ilvl w:val="0"/>
          <w:numId w:val="10"/>
        </w:numPr>
        <w:snapToGrid w:val="0"/>
        <w:ind w:left="0" w:firstLine="425"/>
        <w:jc w:val="both"/>
        <w:rPr>
          <w:sz w:val="20"/>
          <w:szCs w:val="20"/>
        </w:rPr>
      </w:pPr>
      <w:r w:rsidRPr="002558EA">
        <w:rPr>
          <w:sz w:val="20"/>
          <w:szCs w:val="20"/>
        </w:rPr>
        <w:lastRenderedPageBreak/>
        <w:t>Identification and location of articles.</w:t>
      </w:r>
    </w:p>
    <w:p w:rsidR="00D47F17" w:rsidRPr="002558EA" w:rsidRDefault="00D47F17" w:rsidP="000D14AD">
      <w:pPr>
        <w:numPr>
          <w:ilvl w:val="0"/>
          <w:numId w:val="10"/>
        </w:numPr>
        <w:snapToGrid w:val="0"/>
        <w:ind w:left="0" w:firstLine="425"/>
        <w:jc w:val="both"/>
        <w:rPr>
          <w:sz w:val="20"/>
          <w:szCs w:val="20"/>
        </w:rPr>
      </w:pPr>
      <w:r w:rsidRPr="002558EA">
        <w:rPr>
          <w:sz w:val="20"/>
          <w:szCs w:val="20"/>
        </w:rPr>
        <w:t>Screening and evaluation of articles.</w:t>
      </w:r>
    </w:p>
    <w:p w:rsidR="00D47F17" w:rsidRPr="002558EA" w:rsidRDefault="00D47F17" w:rsidP="000D14AD">
      <w:pPr>
        <w:numPr>
          <w:ilvl w:val="0"/>
          <w:numId w:val="10"/>
        </w:numPr>
        <w:snapToGrid w:val="0"/>
        <w:ind w:left="0" w:firstLine="425"/>
        <w:jc w:val="both"/>
        <w:rPr>
          <w:sz w:val="20"/>
          <w:szCs w:val="20"/>
        </w:rPr>
      </w:pPr>
      <w:r w:rsidRPr="002558EA">
        <w:rPr>
          <w:sz w:val="20"/>
          <w:szCs w:val="20"/>
        </w:rPr>
        <w:t>Data collection.</w:t>
      </w:r>
    </w:p>
    <w:p w:rsidR="00D47F17" w:rsidRPr="002558EA" w:rsidRDefault="00D47F17" w:rsidP="000D14AD">
      <w:pPr>
        <w:numPr>
          <w:ilvl w:val="0"/>
          <w:numId w:val="10"/>
        </w:numPr>
        <w:snapToGrid w:val="0"/>
        <w:ind w:left="0" w:firstLine="425"/>
        <w:jc w:val="both"/>
        <w:rPr>
          <w:sz w:val="20"/>
          <w:szCs w:val="20"/>
        </w:rPr>
      </w:pPr>
      <w:r w:rsidRPr="002558EA">
        <w:rPr>
          <w:sz w:val="20"/>
          <w:szCs w:val="20"/>
        </w:rPr>
        <w:t>Data analysis.</w:t>
      </w:r>
    </w:p>
    <w:p w:rsidR="00D47F17" w:rsidRPr="002558EA" w:rsidRDefault="00D47F17" w:rsidP="000D14AD">
      <w:pPr>
        <w:numPr>
          <w:ilvl w:val="0"/>
          <w:numId w:val="10"/>
        </w:numPr>
        <w:snapToGrid w:val="0"/>
        <w:ind w:left="0" w:firstLine="425"/>
        <w:jc w:val="both"/>
        <w:rPr>
          <w:sz w:val="20"/>
          <w:szCs w:val="20"/>
        </w:rPr>
      </w:pPr>
      <w:r w:rsidRPr="002558EA">
        <w:rPr>
          <w:sz w:val="20"/>
          <w:szCs w:val="20"/>
        </w:rPr>
        <w:t>Reporting and interpretation (Results).</w:t>
      </w:r>
    </w:p>
    <w:p w:rsidR="00D47F17" w:rsidRPr="002558EA" w:rsidRDefault="00D47F17" w:rsidP="000D14AD">
      <w:pPr>
        <w:numPr>
          <w:ilvl w:val="0"/>
          <w:numId w:val="10"/>
        </w:numPr>
        <w:snapToGrid w:val="0"/>
        <w:ind w:left="0" w:firstLine="425"/>
        <w:jc w:val="both"/>
        <w:rPr>
          <w:sz w:val="20"/>
          <w:szCs w:val="20"/>
        </w:rPr>
      </w:pPr>
      <w:r w:rsidRPr="002558EA">
        <w:rPr>
          <w:sz w:val="20"/>
          <w:szCs w:val="20"/>
        </w:rPr>
        <w:t>Discussions and conclusion.</w:t>
      </w:r>
    </w:p>
    <w:p w:rsidR="00D47F17" w:rsidRPr="002558EA" w:rsidRDefault="00D47F17" w:rsidP="000D14AD">
      <w:pPr>
        <w:snapToGrid w:val="0"/>
        <w:jc w:val="both"/>
        <w:rPr>
          <w:b/>
          <w:bCs/>
          <w:sz w:val="20"/>
          <w:szCs w:val="20"/>
        </w:rPr>
      </w:pPr>
      <w:r w:rsidRPr="002558EA">
        <w:rPr>
          <w:b/>
          <w:bCs/>
          <w:sz w:val="20"/>
          <w:szCs w:val="20"/>
        </w:rPr>
        <w:t xml:space="preserve">I) Methods used in the study: </w:t>
      </w:r>
    </w:p>
    <w:p w:rsidR="00D47F17" w:rsidRPr="002558EA" w:rsidRDefault="00D47F17" w:rsidP="000D14AD">
      <w:pPr>
        <w:snapToGrid w:val="0"/>
        <w:ind w:firstLine="425"/>
        <w:jc w:val="both"/>
        <w:rPr>
          <w:sz w:val="20"/>
          <w:szCs w:val="20"/>
        </w:rPr>
      </w:pPr>
      <w:r w:rsidRPr="002558EA">
        <w:rPr>
          <w:sz w:val="20"/>
          <w:szCs w:val="20"/>
        </w:rPr>
        <w:t>A meta-analysis examining the use of Diosmin hesperidin combination in treatment of vasomotor rhinitis in combination or in comparison with intranasal sterids.</w:t>
      </w:r>
    </w:p>
    <w:p w:rsidR="00D47F17" w:rsidRPr="002558EA" w:rsidRDefault="00D47F17" w:rsidP="000D14AD">
      <w:pPr>
        <w:snapToGrid w:val="0"/>
        <w:ind w:firstLine="425"/>
        <w:jc w:val="both"/>
        <w:rPr>
          <w:sz w:val="20"/>
          <w:szCs w:val="20"/>
        </w:rPr>
      </w:pPr>
      <w:r w:rsidRPr="002558EA">
        <w:rPr>
          <w:sz w:val="20"/>
          <w:szCs w:val="20"/>
        </w:rPr>
        <w:t>As our study involved examining only the existing peer-reviewed literature, Institutional Review Board approval was deemed unnecessary.</w:t>
      </w:r>
    </w:p>
    <w:p w:rsidR="00D47F17" w:rsidRPr="002558EA" w:rsidRDefault="00D47F17" w:rsidP="000D14AD">
      <w:pPr>
        <w:snapToGrid w:val="0"/>
        <w:jc w:val="both"/>
        <w:rPr>
          <w:b/>
          <w:bCs/>
          <w:sz w:val="20"/>
          <w:szCs w:val="20"/>
          <w:lang w:bidi="ar-EG"/>
        </w:rPr>
      </w:pPr>
      <w:r w:rsidRPr="002558EA">
        <w:rPr>
          <w:b/>
          <w:bCs/>
          <w:sz w:val="20"/>
          <w:szCs w:val="20"/>
        </w:rPr>
        <w:t xml:space="preserve">II) Identification and location of articles: </w:t>
      </w:r>
    </w:p>
    <w:p w:rsidR="00D47F17" w:rsidRPr="002558EA" w:rsidRDefault="00D47F17" w:rsidP="000D14AD">
      <w:pPr>
        <w:snapToGrid w:val="0"/>
        <w:ind w:firstLine="425"/>
        <w:jc w:val="both"/>
        <w:rPr>
          <w:sz w:val="20"/>
          <w:szCs w:val="20"/>
        </w:rPr>
      </w:pPr>
      <w:r w:rsidRPr="002558EA">
        <w:rPr>
          <w:sz w:val="20"/>
          <w:szCs w:val="20"/>
        </w:rPr>
        <w:t xml:space="preserve">A database search of the Cochrane Review, and PubMed (1949 to November 2019) were performed to identify articles. Search terms included: </w:t>
      </w:r>
    </w:p>
    <w:p w:rsidR="00D47F17" w:rsidRPr="002558EA" w:rsidRDefault="00D47F17" w:rsidP="000D14AD">
      <w:pPr>
        <w:numPr>
          <w:ilvl w:val="0"/>
          <w:numId w:val="8"/>
        </w:numPr>
        <w:snapToGrid w:val="0"/>
        <w:ind w:left="0" w:firstLine="425"/>
        <w:jc w:val="both"/>
        <w:rPr>
          <w:sz w:val="20"/>
          <w:szCs w:val="20"/>
        </w:rPr>
      </w:pPr>
      <w:r w:rsidRPr="002558EA">
        <w:rPr>
          <w:sz w:val="20"/>
          <w:szCs w:val="20"/>
        </w:rPr>
        <w:t>Vasomotor Rhinitis.</w:t>
      </w:r>
    </w:p>
    <w:p w:rsidR="00D47F17" w:rsidRPr="002558EA" w:rsidRDefault="00D47F17" w:rsidP="000D14AD">
      <w:pPr>
        <w:numPr>
          <w:ilvl w:val="0"/>
          <w:numId w:val="8"/>
        </w:numPr>
        <w:snapToGrid w:val="0"/>
        <w:ind w:left="0" w:firstLine="425"/>
        <w:jc w:val="both"/>
        <w:rPr>
          <w:sz w:val="20"/>
          <w:szCs w:val="20"/>
        </w:rPr>
      </w:pPr>
      <w:r w:rsidRPr="002558EA">
        <w:rPr>
          <w:sz w:val="20"/>
          <w:szCs w:val="20"/>
        </w:rPr>
        <w:t xml:space="preserve">Diosmin Hesperidin Combination (Daflon Tab). </w:t>
      </w:r>
    </w:p>
    <w:p w:rsidR="00D47F17" w:rsidRPr="002558EA" w:rsidRDefault="00D47F17" w:rsidP="000D14AD">
      <w:pPr>
        <w:numPr>
          <w:ilvl w:val="0"/>
          <w:numId w:val="8"/>
        </w:numPr>
        <w:snapToGrid w:val="0"/>
        <w:ind w:left="0" w:firstLine="425"/>
        <w:jc w:val="both"/>
        <w:rPr>
          <w:sz w:val="20"/>
          <w:szCs w:val="20"/>
        </w:rPr>
      </w:pPr>
      <w:r w:rsidRPr="002558EA">
        <w:rPr>
          <w:sz w:val="20"/>
          <w:szCs w:val="20"/>
        </w:rPr>
        <w:t xml:space="preserve">Intranasal Steroids. </w:t>
      </w:r>
    </w:p>
    <w:p w:rsidR="00D47F17" w:rsidRPr="002558EA" w:rsidRDefault="00D47F17" w:rsidP="000D14AD">
      <w:pPr>
        <w:snapToGrid w:val="0"/>
        <w:ind w:firstLine="425"/>
        <w:jc w:val="both"/>
        <w:rPr>
          <w:sz w:val="20"/>
          <w:szCs w:val="20"/>
        </w:rPr>
      </w:pPr>
      <w:r w:rsidRPr="002558EA">
        <w:rPr>
          <w:sz w:val="20"/>
          <w:szCs w:val="20"/>
        </w:rPr>
        <w:t>The Medical Subject Headings database— a controlled vocabulary system used for indexing articles for MEDLINE—was used to maximize our search yield.</w:t>
      </w:r>
    </w:p>
    <w:p w:rsidR="00D47F17" w:rsidRPr="002558EA" w:rsidRDefault="00D47F17" w:rsidP="000D14AD">
      <w:pPr>
        <w:snapToGrid w:val="0"/>
        <w:jc w:val="both"/>
        <w:rPr>
          <w:b/>
          <w:bCs/>
          <w:sz w:val="20"/>
          <w:szCs w:val="20"/>
        </w:rPr>
      </w:pPr>
      <w:r w:rsidRPr="002558EA">
        <w:rPr>
          <w:b/>
          <w:bCs/>
          <w:sz w:val="20"/>
          <w:szCs w:val="20"/>
        </w:rPr>
        <w:t>Criteria of considering studies for this review:</w:t>
      </w:r>
    </w:p>
    <w:p w:rsidR="00D47F17" w:rsidRPr="002558EA" w:rsidRDefault="00D47F17" w:rsidP="000D14AD">
      <w:pPr>
        <w:snapToGrid w:val="0"/>
        <w:jc w:val="both"/>
        <w:rPr>
          <w:b/>
          <w:bCs/>
          <w:sz w:val="20"/>
          <w:szCs w:val="20"/>
        </w:rPr>
      </w:pPr>
      <w:r w:rsidRPr="002558EA">
        <w:rPr>
          <w:b/>
          <w:bCs/>
          <w:sz w:val="20"/>
          <w:szCs w:val="20"/>
        </w:rPr>
        <w:t xml:space="preserve">Type of studies: </w:t>
      </w:r>
    </w:p>
    <w:p w:rsidR="00D47F17" w:rsidRPr="002558EA" w:rsidRDefault="002414EB" w:rsidP="000D14AD">
      <w:pPr>
        <w:snapToGrid w:val="0"/>
        <w:ind w:firstLine="425"/>
        <w:jc w:val="both"/>
        <w:rPr>
          <w:b/>
          <w:bCs/>
          <w:sz w:val="20"/>
          <w:szCs w:val="20"/>
        </w:rPr>
      </w:pPr>
      <w:r w:rsidRPr="002558EA">
        <w:rPr>
          <w:sz w:val="20"/>
          <w:szCs w:val="20"/>
        </w:rPr>
        <w:t>R</w:t>
      </w:r>
      <w:r w:rsidR="00D47F17" w:rsidRPr="002558EA">
        <w:rPr>
          <w:bCs/>
          <w:sz w:val="20"/>
          <w:szCs w:val="20"/>
        </w:rPr>
        <w:t>andomized control trials on patient suffering from Vasomotor Rhinitis (VMR), cohort studies, and retrospective studies.</w:t>
      </w:r>
    </w:p>
    <w:p w:rsidR="00D47F17" w:rsidRPr="002558EA" w:rsidRDefault="00D47F17" w:rsidP="000D14AD">
      <w:pPr>
        <w:snapToGrid w:val="0"/>
        <w:jc w:val="both"/>
        <w:rPr>
          <w:b/>
          <w:bCs/>
          <w:sz w:val="20"/>
          <w:szCs w:val="20"/>
        </w:rPr>
      </w:pPr>
      <w:r w:rsidRPr="002558EA">
        <w:rPr>
          <w:b/>
          <w:bCs/>
          <w:sz w:val="20"/>
          <w:szCs w:val="20"/>
        </w:rPr>
        <w:t>Type of participants:</w:t>
      </w:r>
    </w:p>
    <w:p w:rsidR="00D47F17" w:rsidRPr="002558EA" w:rsidRDefault="00D47F17" w:rsidP="000D14AD">
      <w:pPr>
        <w:snapToGrid w:val="0"/>
        <w:ind w:firstLine="425"/>
        <w:jc w:val="both"/>
        <w:rPr>
          <w:b/>
          <w:bCs/>
          <w:sz w:val="20"/>
          <w:szCs w:val="20"/>
        </w:rPr>
      </w:pPr>
      <w:r w:rsidRPr="002558EA">
        <w:rPr>
          <w:bCs/>
          <w:sz w:val="20"/>
          <w:szCs w:val="20"/>
        </w:rPr>
        <w:t>Patient suffering from non-allergic vasomotor rhinitis.</w:t>
      </w:r>
    </w:p>
    <w:p w:rsidR="00D47F17" w:rsidRPr="002558EA" w:rsidRDefault="00D47F17" w:rsidP="000D14AD">
      <w:pPr>
        <w:snapToGrid w:val="0"/>
        <w:jc w:val="both"/>
        <w:rPr>
          <w:b/>
          <w:bCs/>
          <w:sz w:val="20"/>
          <w:szCs w:val="20"/>
        </w:rPr>
      </w:pPr>
      <w:r w:rsidRPr="002558EA">
        <w:rPr>
          <w:b/>
          <w:bCs/>
          <w:sz w:val="20"/>
          <w:szCs w:val="20"/>
        </w:rPr>
        <w:t>Types of intervention:</w:t>
      </w:r>
    </w:p>
    <w:p w:rsidR="00D47F17" w:rsidRPr="002558EA" w:rsidRDefault="00D47F17" w:rsidP="000D14AD">
      <w:pPr>
        <w:snapToGrid w:val="0"/>
        <w:ind w:firstLine="425"/>
        <w:jc w:val="both"/>
        <w:rPr>
          <w:bCs/>
          <w:sz w:val="20"/>
          <w:szCs w:val="20"/>
        </w:rPr>
      </w:pPr>
      <w:r w:rsidRPr="002558EA">
        <w:rPr>
          <w:bCs/>
          <w:sz w:val="20"/>
          <w:szCs w:val="20"/>
        </w:rPr>
        <w:t>Combination between Diosmin Hesperidin complex (Daflon 500 mg tablets) versus intrnasal steroids as a medical treatment of vasomotor rhinitis.</w:t>
      </w:r>
    </w:p>
    <w:p w:rsidR="00D47F17" w:rsidRPr="002558EA" w:rsidRDefault="00D47F17" w:rsidP="000D14AD">
      <w:pPr>
        <w:snapToGrid w:val="0"/>
        <w:jc w:val="both"/>
        <w:rPr>
          <w:b/>
          <w:bCs/>
          <w:sz w:val="20"/>
          <w:szCs w:val="20"/>
        </w:rPr>
      </w:pPr>
      <w:r w:rsidRPr="002558EA">
        <w:rPr>
          <w:b/>
          <w:bCs/>
          <w:sz w:val="20"/>
          <w:szCs w:val="20"/>
        </w:rPr>
        <w:t>Type of outcome measures:</w:t>
      </w:r>
    </w:p>
    <w:p w:rsidR="00D47F17" w:rsidRPr="002558EA" w:rsidRDefault="00D47F17" w:rsidP="000D14AD">
      <w:pPr>
        <w:snapToGrid w:val="0"/>
        <w:ind w:firstLine="425"/>
        <w:jc w:val="both"/>
        <w:rPr>
          <w:bCs/>
          <w:sz w:val="20"/>
          <w:szCs w:val="20"/>
        </w:rPr>
      </w:pPr>
      <w:r w:rsidRPr="002558EA">
        <w:rPr>
          <w:bCs/>
          <w:sz w:val="20"/>
          <w:szCs w:val="20"/>
        </w:rPr>
        <w:t>The improvement of symptoms on administration of daflon tablets and intranasal steroids of vasomotor rhinitis on SNOT scale.</w:t>
      </w:r>
    </w:p>
    <w:p w:rsidR="00D47F17" w:rsidRPr="002558EA" w:rsidRDefault="00D47F17" w:rsidP="000D14AD">
      <w:pPr>
        <w:snapToGrid w:val="0"/>
        <w:jc w:val="both"/>
        <w:rPr>
          <w:b/>
          <w:bCs/>
          <w:sz w:val="20"/>
          <w:szCs w:val="20"/>
        </w:rPr>
      </w:pPr>
      <w:r w:rsidRPr="002558EA">
        <w:rPr>
          <w:b/>
          <w:bCs/>
          <w:sz w:val="20"/>
          <w:szCs w:val="20"/>
        </w:rPr>
        <w:t>Search strategy for identiﬁcation of study:</w:t>
      </w:r>
    </w:p>
    <w:p w:rsidR="00D47F17" w:rsidRPr="002558EA" w:rsidRDefault="00D47F17" w:rsidP="000D14AD">
      <w:pPr>
        <w:snapToGrid w:val="0"/>
        <w:ind w:firstLine="425"/>
        <w:jc w:val="both"/>
        <w:rPr>
          <w:bCs/>
          <w:sz w:val="20"/>
          <w:szCs w:val="20"/>
        </w:rPr>
      </w:pPr>
      <w:r w:rsidRPr="002558EA">
        <w:rPr>
          <w:bCs/>
          <w:sz w:val="20"/>
          <w:szCs w:val="20"/>
        </w:rPr>
        <w:t>The study will include published medical articles about Diosmin Hesperidin complex, intranasal steroids, Vasomotor Rhinitis, through searching the Medline data base (www.pubmed.com) using a combination of the following keywords:</w:t>
      </w:r>
    </w:p>
    <w:p w:rsidR="00D47F17" w:rsidRPr="002558EA" w:rsidRDefault="00D47F17" w:rsidP="000D14AD">
      <w:pPr>
        <w:snapToGrid w:val="0"/>
        <w:ind w:firstLine="425"/>
        <w:jc w:val="both"/>
        <w:rPr>
          <w:bCs/>
          <w:sz w:val="20"/>
          <w:szCs w:val="20"/>
        </w:rPr>
      </w:pPr>
      <w:r w:rsidRPr="002558EA">
        <w:rPr>
          <w:bCs/>
          <w:sz w:val="20"/>
          <w:szCs w:val="20"/>
        </w:rPr>
        <w:t xml:space="preserve">Vasomotor rhinitis, diosmin hesperidin combination, intanasal steroids. </w:t>
      </w:r>
    </w:p>
    <w:p w:rsidR="002558EA" w:rsidRDefault="002558EA" w:rsidP="000D14AD">
      <w:pPr>
        <w:snapToGrid w:val="0"/>
        <w:jc w:val="both"/>
        <w:rPr>
          <w:rFonts w:hint="eastAsia"/>
          <w:b/>
          <w:bCs/>
          <w:sz w:val="20"/>
          <w:szCs w:val="20"/>
          <w:lang w:eastAsia="zh-CN"/>
        </w:rPr>
      </w:pPr>
    </w:p>
    <w:p w:rsidR="00D47F17" w:rsidRPr="002558EA" w:rsidRDefault="00D47F17" w:rsidP="000D14AD">
      <w:pPr>
        <w:snapToGrid w:val="0"/>
        <w:jc w:val="both"/>
        <w:rPr>
          <w:b/>
          <w:bCs/>
          <w:sz w:val="20"/>
          <w:szCs w:val="20"/>
        </w:rPr>
      </w:pPr>
      <w:r w:rsidRPr="002558EA">
        <w:rPr>
          <w:b/>
          <w:bCs/>
          <w:sz w:val="20"/>
          <w:szCs w:val="20"/>
        </w:rPr>
        <w:t>Methods of review:</w:t>
      </w:r>
    </w:p>
    <w:p w:rsidR="00D47F17" w:rsidRPr="002558EA" w:rsidRDefault="00D47F17" w:rsidP="000D14AD">
      <w:pPr>
        <w:snapToGrid w:val="0"/>
        <w:jc w:val="both"/>
        <w:rPr>
          <w:bCs/>
          <w:sz w:val="20"/>
          <w:szCs w:val="20"/>
        </w:rPr>
      </w:pPr>
      <w:r w:rsidRPr="002558EA">
        <w:rPr>
          <w:b/>
          <w:bCs/>
          <w:sz w:val="20"/>
          <w:szCs w:val="20"/>
        </w:rPr>
        <w:t xml:space="preserve">Locating and selecting studies: </w:t>
      </w:r>
    </w:p>
    <w:p w:rsidR="00D47F17" w:rsidRPr="002558EA" w:rsidRDefault="00D47F17" w:rsidP="000D14AD">
      <w:pPr>
        <w:snapToGrid w:val="0"/>
        <w:ind w:firstLine="425"/>
        <w:jc w:val="both"/>
        <w:rPr>
          <w:bCs/>
          <w:sz w:val="20"/>
          <w:szCs w:val="20"/>
        </w:rPr>
      </w:pPr>
      <w:r w:rsidRPr="002558EA">
        <w:rPr>
          <w:bCs/>
          <w:sz w:val="20"/>
          <w:szCs w:val="20"/>
        </w:rPr>
        <w:t>The study was limited to articles published in English language, conducted to humans, in the last 30 years.</w:t>
      </w:r>
    </w:p>
    <w:p w:rsidR="00D47F17" w:rsidRPr="002558EA" w:rsidRDefault="00D47F17" w:rsidP="000D14AD">
      <w:pPr>
        <w:snapToGrid w:val="0"/>
        <w:jc w:val="both"/>
        <w:rPr>
          <w:bCs/>
          <w:sz w:val="20"/>
          <w:szCs w:val="20"/>
        </w:rPr>
      </w:pPr>
      <w:r w:rsidRPr="002558EA">
        <w:rPr>
          <w:b/>
          <w:bCs/>
          <w:sz w:val="20"/>
          <w:szCs w:val="20"/>
        </w:rPr>
        <w:lastRenderedPageBreak/>
        <w:t xml:space="preserve">Data extraction: </w:t>
      </w:r>
    </w:p>
    <w:p w:rsidR="00D47F17" w:rsidRPr="002558EA" w:rsidRDefault="00D47F17" w:rsidP="000D14AD">
      <w:pPr>
        <w:snapToGrid w:val="0"/>
        <w:ind w:firstLine="425"/>
        <w:jc w:val="both"/>
        <w:rPr>
          <w:bCs/>
          <w:sz w:val="20"/>
          <w:szCs w:val="20"/>
        </w:rPr>
      </w:pPr>
      <w:r w:rsidRPr="002558EA">
        <w:rPr>
          <w:bCs/>
          <w:sz w:val="20"/>
          <w:szCs w:val="20"/>
        </w:rPr>
        <w:t>Data was independently extracted by two reviewers and cross-checked.</w:t>
      </w:r>
    </w:p>
    <w:p w:rsidR="00D47F17" w:rsidRPr="002558EA" w:rsidRDefault="00D47F17" w:rsidP="000D14AD">
      <w:pPr>
        <w:snapToGrid w:val="0"/>
        <w:jc w:val="both"/>
        <w:rPr>
          <w:bCs/>
          <w:sz w:val="20"/>
          <w:szCs w:val="20"/>
        </w:rPr>
      </w:pPr>
      <w:r w:rsidRPr="002558EA">
        <w:rPr>
          <w:b/>
          <w:bCs/>
          <w:sz w:val="20"/>
          <w:szCs w:val="20"/>
        </w:rPr>
        <w:t xml:space="preserve">Evidence of publication bias: </w:t>
      </w:r>
    </w:p>
    <w:p w:rsidR="00D47F17" w:rsidRPr="002558EA" w:rsidRDefault="00D47F17" w:rsidP="000D14AD">
      <w:pPr>
        <w:snapToGrid w:val="0"/>
        <w:ind w:firstLine="425"/>
        <w:jc w:val="both"/>
        <w:rPr>
          <w:sz w:val="20"/>
          <w:szCs w:val="20"/>
        </w:rPr>
      </w:pPr>
      <w:r w:rsidRPr="002558EA">
        <w:rPr>
          <w:bCs/>
          <w:sz w:val="20"/>
          <w:szCs w:val="20"/>
        </w:rPr>
        <w:t>A funnel plot is a simple scatter plot of the intervention effect estimates from individual studies against some measure of each study’s size or precision.</w:t>
      </w:r>
    </w:p>
    <w:p w:rsidR="00D47F17" w:rsidRPr="002558EA" w:rsidRDefault="00D47F17" w:rsidP="000D14AD">
      <w:pPr>
        <w:snapToGrid w:val="0"/>
        <w:jc w:val="both"/>
        <w:rPr>
          <w:b/>
          <w:bCs/>
          <w:sz w:val="20"/>
          <w:szCs w:val="20"/>
        </w:rPr>
      </w:pPr>
      <w:r w:rsidRPr="002558EA">
        <w:rPr>
          <w:b/>
          <w:bCs/>
          <w:sz w:val="20"/>
          <w:szCs w:val="20"/>
        </w:rPr>
        <w:t>Design:</w:t>
      </w:r>
    </w:p>
    <w:p w:rsidR="00D47F17" w:rsidRPr="002558EA" w:rsidRDefault="00D47F17" w:rsidP="000D14AD">
      <w:pPr>
        <w:snapToGrid w:val="0"/>
        <w:ind w:firstLine="425"/>
        <w:jc w:val="both"/>
        <w:rPr>
          <w:sz w:val="20"/>
          <w:szCs w:val="20"/>
        </w:rPr>
      </w:pPr>
      <w:r w:rsidRPr="002558EA">
        <w:rPr>
          <w:sz w:val="20"/>
          <w:szCs w:val="20"/>
        </w:rPr>
        <w:t>A retrospective non company sponsored randomized case control study.</w:t>
      </w:r>
    </w:p>
    <w:p w:rsidR="00D47F17" w:rsidRPr="002558EA" w:rsidRDefault="00D47F17" w:rsidP="000D14AD">
      <w:pPr>
        <w:snapToGrid w:val="0"/>
        <w:jc w:val="both"/>
        <w:rPr>
          <w:b/>
          <w:bCs/>
          <w:sz w:val="20"/>
          <w:szCs w:val="20"/>
        </w:rPr>
      </w:pPr>
      <w:r w:rsidRPr="002558EA">
        <w:rPr>
          <w:b/>
          <w:bCs/>
          <w:sz w:val="20"/>
          <w:szCs w:val="20"/>
        </w:rPr>
        <w:t>III) Screening and evaluation of articles:</w:t>
      </w:r>
    </w:p>
    <w:p w:rsidR="00D47F17" w:rsidRPr="002558EA" w:rsidRDefault="00D47F17" w:rsidP="000D14AD">
      <w:pPr>
        <w:snapToGrid w:val="0"/>
        <w:ind w:firstLine="425"/>
        <w:jc w:val="both"/>
        <w:rPr>
          <w:sz w:val="20"/>
          <w:szCs w:val="20"/>
        </w:rPr>
      </w:pPr>
      <w:r w:rsidRPr="002558EA">
        <w:rPr>
          <w:sz w:val="20"/>
          <w:szCs w:val="20"/>
        </w:rPr>
        <w:t xml:space="preserve">Studies were included if they utilized ( Diosmin Hesperidin combination) Daflon tablets or Bioflavinoids as a line of treatment for vasomotor rhinitis also using intranasal steroids in treatment of vasomotor rhinitis. </w:t>
      </w:r>
    </w:p>
    <w:p w:rsidR="00D47F17" w:rsidRPr="002558EA" w:rsidRDefault="00D47F17" w:rsidP="000D14AD">
      <w:pPr>
        <w:snapToGrid w:val="0"/>
        <w:ind w:firstLine="425"/>
        <w:jc w:val="both"/>
        <w:rPr>
          <w:sz w:val="20"/>
          <w:szCs w:val="20"/>
        </w:rPr>
      </w:pPr>
      <w:r w:rsidRPr="002558EA">
        <w:rPr>
          <w:sz w:val="20"/>
          <w:szCs w:val="20"/>
        </w:rPr>
        <w:t>Studies must have focused on Diosmin Hesperidin combination and Bioflavinoids and intranasal steroids in treatment of vasomotor rhinitis only original research articles written in English and published in peer-reviewed journals were included. The patient population of the study must have been adult patients (≥18 years of age). Any included study must have contained at least 10 cases.</w:t>
      </w:r>
    </w:p>
    <w:p w:rsidR="00092A24" w:rsidRPr="002558EA" w:rsidRDefault="00092A24" w:rsidP="000D14AD">
      <w:pPr>
        <w:snapToGrid w:val="0"/>
        <w:jc w:val="center"/>
        <w:rPr>
          <w:b/>
          <w:bCs/>
          <w:sz w:val="20"/>
          <w:szCs w:val="20"/>
        </w:rPr>
      </w:pPr>
      <w:bookmarkStart w:id="4" w:name="_Toc533671062"/>
    </w:p>
    <w:p w:rsidR="00D47F17" w:rsidRPr="002558EA" w:rsidRDefault="00D47F17" w:rsidP="000D14AD">
      <w:pPr>
        <w:snapToGrid w:val="0"/>
        <w:jc w:val="center"/>
        <w:rPr>
          <w:sz w:val="20"/>
          <w:szCs w:val="20"/>
        </w:rPr>
      </w:pPr>
      <w:r w:rsidRPr="002558EA">
        <w:rPr>
          <w:b/>
          <w:bCs/>
          <w:sz w:val="20"/>
          <w:szCs w:val="20"/>
        </w:rPr>
        <w:t>Table (</w:t>
      </w:r>
      <w:r w:rsidR="00CE1D41" w:rsidRPr="002558EA">
        <w:rPr>
          <w:b/>
          <w:bCs/>
          <w:sz w:val="20"/>
          <w:szCs w:val="20"/>
        </w:rPr>
        <w:fldChar w:fldCharType="begin"/>
      </w:r>
      <w:r w:rsidRPr="002558EA">
        <w:rPr>
          <w:b/>
          <w:bCs/>
          <w:sz w:val="20"/>
          <w:szCs w:val="20"/>
        </w:rPr>
        <w:instrText xml:space="preserve"> SEQ Table \* ARABIC </w:instrText>
      </w:r>
      <w:r w:rsidR="00CE1D41" w:rsidRPr="002558EA">
        <w:rPr>
          <w:b/>
          <w:bCs/>
          <w:sz w:val="20"/>
          <w:szCs w:val="20"/>
        </w:rPr>
        <w:fldChar w:fldCharType="separate"/>
      </w:r>
      <w:r w:rsidR="00A20680" w:rsidRPr="002558EA">
        <w:rPr>
          <w:b/>
          <w:bCs/>
          <w:noProof/>
          <w:sz w:val="20"/>
          <w:szCs w:val="20"/>
        </w:rPr>
        <w:t>1</w:t>
      </w:r>
      <w:r w:rsidR="00CE1D41" w:rsidRPr="002558EA">
        <w:rPr>
          <w:sz w:val="20"/>
          <w:szCs w:val="20"/>
        </w:rPr>
        <w:fldChar w:fldCharType="end"/>
      </w:r>
      <w:r w:rsidRPr="002558EA">
        <w:rPr>
          <w:b/>
          <w:bCs/>
          <w:sz w:val="20"/>
          <w:szCs w:val="20"/>
        </w:rPr>
        <w:t>):</w:t>
      </w:r>
      <w:r w:rsidRPr="002558EA">
        <w:rPr>
          <w:sz w:val="20"/>
          <w:szCs w:val="20"/>
        </w:rPr>
        <w:t xml:space="preserve"> Example of Included articles:</w:t>
      </w:r>
      <w:bookmarkEnd w:id="4"/>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1867"/>
        <w:gridCol w:w="743"/>
        <w:gridCol w:w="1884"/>
      </w:tblGrid>
      <w:tr w:rsidR="00D47F17" w:rsidRPr="002558EA" w:rsidTr="00DC24C9">
        <w:trPr>
          <w:jc w:val="center"/>
        </w:trPr>
        <w:tc>
          <w:tcPr>
            <w:tcW w:w="2077" w:type="pct"/>
            <w:shd w:val="clear" w:color="auto" w:fill="auto"/>
            <w:vAlign w:val="center"/>
          </w:tcPr>
          <w:p w:rsidR="00D47F17" w:rsidRPr="002558EA" w:rsidRDefault="00D47F17" w:rsidP="002558EA">
            <w:pPr>
              <w:snapToGrid w:val="0"/>
              <w:rPr>
                <w:b/>
                <w:bCs/>
                <w:sz w:val="20"/>
                <w:szCs w:val="20"/>
              </w:rPr>
            </w:pPr>
            <w:r w:rsidRPr="002558EA">
              <w:rPr>
                <w:b/>
                <w:bCs/>
                <w:sz w:val="20"/>
                <w:szCs w:val="20"/>
              </w:rPr>
              <w:t>Article</w:t>
            </w:r>
          </w:p>
        </w:tc>
        <w:tc>
          <w:tcPr>
            <w:tcW w:w="827" w:type="pct"/>
            <w:shd w:val="clear" w:color="auto" w:fill="auto"/>
            <w:vAlign w:val="center"/>
          </w:tcPr>
          <w:p w:rsidR="00D47F17" w:rsidRPr="002558EA" w:rsidRDefault="00D47F17" w:rsidP="002558EA">
            <w:pPr>
              <w:snapToGrid w:val="0"/>
              <w:rPr>
                <w:b/>
                <w:bCs/>
                <w:sz w:val="20"/>
                <w:szCs w:val="20"/>
              </w:rPr>
            </w:pPr>
            <w:r w:rsidRPr="002558EA">
              <w:rPr>
                <w:b/>
                <w:bCs/>
                <w:sz w:val="20"/>
                <w:szCs w:val="20"/>
              </w:rPr>
              <w:t>Cases no.</w:t>
            </w:r>
          </w:p>
        </w:tc>
        <w:tc>
          <w:tcPr>
            <w:tcW w:w="2097" w:type="pct"/>
            <w:shd w:val="clear" w:color="auto" w:fill="auto"/>
            <w:vAlign w:val="center"/>
          </w:tcPr>
          <w:p w:rsidR="00D47F17" w:rsidRPr="002558EA" w:rsidRDefault="00D47F17" w:rsidP="002558EA">
            <w:pPr>
              <w:snapToGrid w:val="0"/>
              <w:rPr>
                <w:b/>
                <w:bCs/>
                <w:sz w:val="20"/>
                <w:szCs w:val="20"/>
              </w:rPr>
            </w:pPr>
            <w:r w:rsidRPr="002558EA">
              <w:rPr>
                <w:b/>
                <w:bCs/>
                <w:sz w:val="20"/>
                <w:szCs w:val="20"/>
              </w:rPr>
              <w:t>Type of study</w:t>
            </w:r>
          </w:p>
        </w:tc>
      </w:tr>
      <w:tr w:rsidR="00D47F17" w:rsidRPr="002558EA" w:rsidTr="00DC24C9">
        <w:trPr>
          <w:jc w:val="center"/>
        </w:trPr>
        <w:tc>
          <w:tcPr>
            <w:tcW w:w="2077" w:type="pct"/>
            <w:shd w:val="clear" w:color="auto" w:fill="auto"/>
            <w:vAlign w:val="center"/>
          </w:tcPr>
          <w:p w:rsidR="00D47F17" w:rsidRPr="002558EA" w:rsidRDefault="00D47F17" w:rsidP="002558EA">
            <w:pPr>
              <w:snapToGrid w:val="0"/>
              <w:rPr>
                <w:b/>
                <w:bCs/>
                <w:sz w:val="20"/>
                <w:szCs w:val="20"/>
              </w:rPr>
            </w:pPr>
            <w:r w:rsidRPr="002558EA">
              <w:rPr>
                <w:b/>
                <w:bCs/>
                <w:sz w:val="20"/>
                <w:szCs w:val="20"/>
              </w:rPr>
              <w:t>Blair W</w:t>
            </w:r>
            <w:r w:rsidR="000D14AD" w:rsidRPr="002558EA">
              <w:rPr>
                <w:b/>
                <w:bCs/>
                <w:sz w:val="20"/>
                <w:szCs w:val="20"/>
              </w:rPr>
              <w:t>. S</w:t>
            </w:r>
            <w:r w:rsidRPr="002558EA">
              <w:rPr>
                <w:b/>
                <w:bCs/>
                <w:sz w:val="20"/>
                <w:szCs w:val="20"/>
              </w:rPr>
              <w:t>aylo</w:t>
            </w:r>
            <w:r w:rsidR="00DC24C9" w:rsidRPr="002558EA">
              <w:rPr>
                <w:b/>
                <w:bCs/>
                <w:sz w:val="20"/>
                <w:szCs w:val="20"/>
              </w:rPr>
              <w:t>r (</w:t>
            </w:r>
            <w:r w:rsidRPr="002558EA">
              <w:rPr>
                <w:b/>
                <w:bCs/>
                <w:sz w:val="20"/>
                <w:szCs w:val="20"/>
              </w:rPr>
              <w:t>1949)</w:t>
            </w:r>
          </w:p>
        </w:tc>
        <w:tc>
          <w:tcPr>
            <w:tcW w:w="827" w:type="pct"/>
            <w:shd w:val="clear" w:color="auto" w:fill="auto"/>
            <w:vAlign w:val="center"/>
          </w:tcPr>
          <w:p w:rsidR="00D47F17" w:rsidRPr="002558EA" w:rsidRDefault="00D47F17" w:rsidP="002558EA">
            <w:pPr>
              <w:snapToGrid w:val="0"/>
              <w:rPr>
                <w:sz w:val="20"/>
                <w:szCs w:val="20"/>
              </w:rPr>
            </w:pPr>
            <w:r w:rsidRPr="002558EA">
              <w:rPr>
                <w:sz w:val="20"/>
                <w:szCs w:val="20"/>
              </w:rPr>
              <w:t>53</w:t>
            </w:r>
          </w:p>
        </w:tc>
        <w:tc>
          <w:tcPr>
            <w:tcW w:w="2097" w:type="pct"/>
            <w:shd w:val="clear" w:color="auto" w:fill="auto"/>
            <w:vAlign w:val="center"/>
          </w:tcPr>
          <w:p w:rsidR="00D47F17" w:rsidRPr="002558EA" w:rsidRDefault="00D47F17" w:rsidP="002558EA">
            <w:pPr>
              <w:snapToGrid w:val="0"/>
              <w:rPr>
                <w:sz w:val="20"/>
                <w:szCs w:val="20"/>
              </w:rPr>
            </w:pPr>
            <w:r w:rsidRPr="002558EA">
              <w:rPr>
                <w:sz w:val="20"/>
                <w:szCs w:val="20"/>
              </w:rPr>
              <w:t>Retrospective study</w:t>
            </w:r>
          </w:p>
        </w:tc>
      </w:tr>
      <w:tr w:rsidR="00D47F17" w:rsidRPr="002558EA" w:rsidTr="00DC24C9">
        <w:trPr>
          <w:jc w:val="center"/>
        </w:trPr>
        <w:tc>
          <w:tcPr>
            <w:tcW w:w="2077" w:type="pct"/>
            <w:shd w:val="clear" w:color="auto" w:fill="auto"/>
            <w:vAlign w:val="center"/>
          </w:tcPr>
          <w:p w:rsidR="00D47F17" w:rsidRPr="002558EA" w:rsidRDefault="00D47F17" w:rsidP="002558EA">
            <w:pPr>
              <w:snapToGrid w:val="0"/>
              <w:rPr>
                <w:b/>
                <w:bCs/>
                <w:sz w:val="20"/>
                <w:szCs w:val="20"/>
              </w:rPr>
            </w:pPr>
            <w:r w:rsidRPr="002558EA">
              <w:rPr>
                <w:b/>
                <w:bCs/>
                <w:sz w:val="20"/>
                <w:szCs w:val="20"/>
              </w:rPr>
              <w:t>Phanindra-Kuma</w:t>
            </w:r>
            <w:r w:rsidR="00DC24C9" w:rsidRPr="002558EA">
              <w:rPr>
                <w:b/>
                <w:bCs/>
                <w:sz w:val="20"/>
                <w:szCs w:val="20"/>
              </w:rPr>
              <w:t>r (</w:t>
            </w:r>
            <w:r w:rsidRPr="002558EA">
              <w:rPr>
                <w:b/>
                <w:bCs/>
                <w:sz w:val="20"/>
                <w:szCs w:val="20"/>
              </w:rPr>
              <w:t>1995)</w:t>
            </w:r>
          </w:p>
        </w:tc>
        <w:tc>
          <w:tcPr>
            <w:tcW w:w="827" w:type="pct"/>
            <w:shd w:val="clear" w:color="auto" w:fill="auto"/>
            <w:vAlign w:val="center"/>
          </w:tcPr>
          <w:p w:rsidR="00D47F17" w:rsidRPr="002558EA" w:rsidRDefault="00D47F17" w:rsidP="002558EA">
            <w:pPr>
              <w:snapToGrid w:val="0"/>
              <w:rPr>
                <w:sz w:val="20"/>
                <w:szCs w:val="20"/>
              </w:rPr>
            </w:pPr>
            <w:r w:rsidRPr="002558EA">
              <w:rPr>
                <w:sz w:val="20"/>
                <w:szCs w:val="20"/>
              </w:rPr>
              <w:t>76</w:t>
            </w:r>
          </w:p>
        </w:tc>
        <w:tc>
          <w:tcPr>
            <w:tcW w:w="2097" w:type="pct"/>
            <w:shd w:val="clear" w:color="auto" w:fill="auto"/>
            <w:vAlign w:val="center"/>
          </w:tcPr>
          <w:p w:rsidR="00D47F17" w:rsidRPr="002558EA" w:rsidRDefault="00D47F17" w:rsidP="002558EA">
            <w:pPr>
              <w:snapToGrid w:val="0"/>
              <w:rPr>
                <w:sz w:val="20"/>
                <w:szCs w:val="20"/>
              </w:rPr>
            </w:pPr>
            <w:r w:rsidRPr="002558EA">
              <w:rPr>
                <w:sz w:val="20"/>
                <w:szCs w:val="20"/>
              </w:rPr>
              <w:t>Double Blind Clinical Trial</w:t>
            </w:r>
          </w:p>
        </w:tc>
      </w:tr>
      <w:tr w:rsidR="00D47F17" w:rsidRPr="002558EA" w:rsidTr="00DC24C9">
        <w:trPr>
          <w:jc w:val="center"/>
        </w:trPr>
        <w:tc>
          <w:tcPr>
            <w:tcW w:w="2077" w:type="pct"/>
            <w:shd w:val="clear" w:color="auto" w:fill="auto"/>
            <w:vAlign w:val="center"/>
          </w:tcPr>
          <w:p w:rsidR="00D47F17" w:rsidRPr="002558EA" w:rsidRDefault="00D47F17" w:rsidP="002558EA">
            <w:pPr>
              <w:snapToGrid w:val="0"/>
              <w:rPr>
                <w:b/>
                <w:bCs/>
                <w:sz w:val="20"/>
                <w:szCs w:val="20"/>
              </w:rPr>
            </w:pPr>
            <w:r w:rsidRPr="002558EA">
              <w:rPr>
                <w:b/>
                <w:bCs/>
                <w:sz w:val="20"/>
                <w:szCs w:val="20"/>
              </w:rPr>
              <w:t>Ezzat W, et al (2009)</w:t>
            </w:r>
          </w:p>
        </w:tc>
        <w:tc>
          <w:tcPr>
            <w:tcW w:w="827" w:type="pct"/>
            <w:shd w:val="clear" w:color="auto" w:fill="auto"/>
            <w:vAlign w:val="center"/>
          </w:tcPr>
          <w:p w:rsidR="00D47F17" w:rsidRPr="002558EA" w:rsidRDefault="00D47F17" w:rsidP="002558EA">
            <w:pPr>
              <w:snapToGrid w:val="0"/>
              <w:rPr>
                <w:sz w:val="20"/>
                <w:szCs w:val="20"/>
              </w:rPr>
            </w:pPr>
            <w:r w:rsidRPr="002558EA">
              <w:rPr>
                <w:sz w:val="20"/>
                <w:szCs w:val="20"/>
              </w:rPr>
              <w:t>60</w:t>
            </w:r>
          </w:p>
        </w:tc>
        <w:tc>
          <w:tcPr>
            <w:tcW w:w="2097" w:type="pct"/>
            <w:shd w:val="clear" w:color="auto" w:fill="auto"/>
            <w:vAlign w:val="center"/>
          </w:tcPr>
          <w:p w:rsidR="00D47F17" w:rsidRPr="002558EA" w:rsidRDefault="00D47F17" w:rsidP="002558EA">
            <w:pPr>
              <w:snapToGrid w:val="0"/>
              <w:rPr>
                <w:sz w:val="20"/>
                <w:szCs w:val="20"/>
              </w:rPr>
            </w:pPr>
            <w:r w:rsidRPr="002558EA">
              <w:rPr>
                <w:sz w:val="20"/>
                <w:szCs w:val="20"/>
              </w:rPr>
              <w:t xml:space="preserve"> Case Control Study</w:t>
            </w:r>
          </w:p>
        </w:tc>
      </w:tr>
      <w:tr w:rsidR="00D47F17" w:rsidRPr="002558EA" w:rsidTr="00DC24C9">
        <w:trPr>
          <w:jc w:val="center"/>
        </w:trPr>
        <w:tc>
          <w:tcPr>
            <w:tcW w:w="2077" w:type="pct"/>
            <w:shd w:val="clear" w:color="auto" w:fill="auto"/>
            <w:vAlign w:val="center"/>
          </w:tcPr>
          <w:p w:rsidR="00D47F17" w:rsidRPr="002558EA" w:rsidRDefault="00D47F17" w:rsidP="002558EA">
            <w:pPr>
              <w:snapToGrid w:val="0"/>
              <w:rPr>
                <w:b/>
                <w:bCs/>
                <w:sz w:val="20"/>
                <w:szCs w:val="20"/>
              </w:rPr>
            </w:pPr>
            <w:r w:rsidRPr="002558EA">
              <w:rPr>
                <w:b/>
                <w:bCs/>
                <w:sz w:val="20"/>
                <w:szCs w:val="20"/>
              </w:rPr>
              <w:t>Korhan et al</w:t>
            </w:r>
            <w:r w:rsidR="00DC24C9" w:rsidRPr="002558EA">
              <w:rPr>
                <w:b/>
                <w:bCs/>
                <w:sz w:val="20"/>
                <w:szCs w:val="20"/>
              </w:rPr>
              <w:t>, (</w:t>
            </w:r>
            <w:r w:rsidRPr="002558EA">
              <w:rPr>
                <w:b/>
                <w:bCs/>
                <w:sz w:val="20"/>
                <w:szCs w:val="20"/>
              </w:rPr>
              <w:t xml:space="preserve">2019) </w:t>
            </w:r>
          </w:p>
        </w:tc>
        <w:tc>
          <w:tcPr>
            <w:tcW w:w="827" w:type="pct"/>
            <w:shd w:val="clear" w:color="auto" w:fill="auto"/>
            <w:vAlign w:val="center"/>
          </w:tcPr>
          <w:p w:rsidR="00D47F17" w:rsidRPr="002558EA" w:rsidRDefault="00D47F17" w:rsidP="002558EA">
            <w:pPr>
              <w:snapToGrid w:val="0"/>
              <w:rPr>
                <w:sz w:val="20"/>
                <w:szCs w:val="20"/>
              </w:rPr>
            </w:pPr>
            <w:r w:rsidRPr="002558EA">
              <w:rPr>
                <w:sz w:val="20"/>
                <w:szCs w:val="20"/>
              </w:rPr>
              <w:t>30</w:t>
            </w:r>
          </w:p>
        </w:tc>
        <w:tc>
          <w:tcPr>
            <w:tcW w:w="2097" w:type="pct"/>
            <w:shd w:val="clear" w:color="auto" w:fill="auto"/>
            <w:vAlign w:val="center"/>
          </w:tcPr>
          <w:p w:rsidR="00D47F17" w:rsidRPr="002558EA" w:rsidRDefault="00D47F17" w:rsidP="002558EA">
            <w:pPr>
              <w:snapToGrid w:val="0"/>
              <w:rPr>
                <w:sz w:val="20"/>
                <w:szCs w:val="20"/>
              </w:rPr>
            </w:pPr>
            <w:r w:rsidRPr="002558EA">
              <w:rPr>
                <w:sz w:val="20"/>
                <w:szCs w:val="20"/>
              </w:rPr>
              <w:t>RCT</w:t>
            </w:r>
          </w:p>
        </w:tc>
      </w:tr>
      <w:tr w:rsidR="00D47F17" w:rsidRPr="002558EA" w:rsidTr="00DC24C9">
        <w:trPr>
          <w:jc w:val="center"/>
        </w:trPr>
        <w:tc>
          <w:tcPr>
            <w:tcW w:w="2077" w:type="pct"/>
            <w:shd w:val="clear" w:color="auto" w:fill="auto"/>
            <w:vAlign w:val="center"/>
          </w:tcPr>
          <w:p w:rsidR="00D47F17" w:rsidRPr="002558EA" w:rsidRDefault="00D47F17" w:rsidP="002558EA">
            <w:pPr>
              <w:snapToGrid w:val="0"/>
              <w:rPr>
                <w:b/>
                <w:bCs/>
                <w:sz w:val="20"/>
                <w:szCs w:val="20"/>
              </w:rPr>
            </w:pPr>
            <w:r w:rsidRPr="002558EA">
              <w:rPr>
                <w:b/>
                <w:bCs/>
                <w:sz w:val="20"/>
                <w:szCs w:val="20"/>
              </w:rPr>
              <w:t>Eli (2009)</w:t>
            </w:r>
          </w:p>
        </w:tc>
        <w:tc>
          <w:tcPr>
            <w:tcW w:w="827" w:type="pct"/>
            <w:shd w:val="clear" w:color="auto" w:fill="auto"/>
            <w:vAlign w:val="center"/>
          </w:tcPr>
          <w:p w:rsidR="00D47F17" w:rsidRPr="002558EA" w:rsidRDefault="00D47F17" w:rsidP="002558EA">
            <w:pPr>
              <w:snapToGrid w:val="0"/>
              <w:rPr>
                <w:sz w:val="20"/>
                <w:szCs w:val="20"/>
              </w:rPr>
            </w:pPr>
            <w:r w:rsidRPr="002558EA">
              <w:rPr>
                <w:sz w:val="20"/>
                <w:szCs w:val="20"/>
              </w:rPr>
              <w:t>39</w:t>
            </w:r>
          </w:p>
        </w:tc>
        <w:tc>
          <w:tcPr>
            <w:tcW w:w="2097" w:type="pct"/>
            <w:shd w:val="clear" w:color="auto" w:fill="auto"/>
            <w:vAlign w:val="center"/>
          </w:tcPr>
          <w:p w:rsidR="00D47F17" w:rsidRPr="002558EA" w:rsidRDefault="00D47F17" w:rsidP="002558EA">
            <w:pPr>
              <w:snapToGrid w:val="0"/>
              <w:rPr>
                <w:sz w:val="20"/>
                <w:szCs w:val="20"/>
              </w:rPr>
            </w:pPr>
            <w:r w:rsidRPr="002558EA">
              <w:rPr>
                <w:sz w:val="20"/>
                <w:szCs w:val="20"/>
              </w:rPr>
              <w:t>RCT</w:t>
            </w:r>
          </w:p>
        </w:tc>
      </w:tr>
    </w:tbl>
    <w:p w:rsidR="00DC24C9" w:rsidRPr="002558EA" w:rsidRDefault="00DC24C9" w:rsidP="000D14AD">
      <w:pPr>
        <w:snapToGrid w:val="0"/>
        <w:jc w:val="both"/>
        <w:rPr>
          <w:b/>
          <w:bCs/>
          <w:sz w:val="20"/>
          <w:szCs w:val="20"/>
          <w:lang w:eastAsia="zh-CN"/>
        </w:rPr>
      </w:pPr>
    </w:p>
    <w:p w:rsidR="00D47F17" w:rsidRPr="002558EA" w:rsidRDefault="00D47F17" w:rsidP="000D14AD">
      <w:pPr>
        <w:snapToGrid w:val="0"/>
        <w:jc w:val="both"/>
        <w:rPr>
          <w:b/>
          <w:bCs/>
          <w:sz w:val="20"/>
          <w:szCs w:val="20"/>
        </w:rPr>
      </w:pPr>
      <w:r w:rsidRPr="002558EA">
        <w:rPr>
          <w:b/>
          <w:bCs/>
          <w:sz w:val="20"/>
          <w:szCs w:val="20"/>
        </w:rPr>
        <w:t xml:space="preserve">Exclusion criteria: </w:t>
      </w:r>
    </w:p>
    <w:p w:rsidR="00D47F17" w:rsidRPr="002558EA" w:rsidRDefault="00D47F17" w:rsidP="000D14AD">
      <w:pPr>
        <w:snapToGrid w:val="0"/>
        <w:ind w:firstLine="425"/>
        <w:jc w:val="both"/>
        <w:rPr>
          <w:sz w:val="20"/>
          <w:szCs w:val="20"/>
        </w:rPr>
      </w:pPr>
      <w:r w:rsidRPr="002558EA">
        <w:rPr>
          <w:sz w:val="20"/>
          <w:szCs w:val="20"/>
        </w:rPr>
        <w:t>Studies or cases from studies were excluded if:</w:t>
      </w:r>
    </w:p>
    <w:p w:rsidR="00D47F17" w:rsidRPr="002558EA" w:rsidRDefault="00D47F17" w:rsidP="000D14AD">
      <w:pPr>
        <w:numPr>
          <w:ilvl w:val="0"/>
          <w:numId w:val="13"/>
        </w:numPr>
        <w:tabs>
          <w:tab w:val="clear" w:pos="1440"/>
          <w:tab w:val="num" w:pos="-720"/>
        </w:tabs>
        <w:snapToGrid w:val="0"/>
        <w:ind w:left="0" w:firstLine="425"/>
        <w:jc w:val="both"/>
        <w:rPr>
          <w:sz w:val="20"/>
          <w:szCs w:val="20"/>
        </w:rPr>
      </w:pPr>
      <w:r w:rsidRPr="002558EA">
        <w:rPr>
          <w:sz w:val="20"/>
          <w:szCs w:val="20"/>
        </w:rPr>
        <w:t>Any prior nasal allergy or chronic nasal disease or allergic nasal polypi.</w:t>
      </w:r>
    </w:p>
    <w:p w:rsidR="000D14AD" w:rsidRPr="002558EA" w:rsidRDefault="00D47F17" w:rsidP="000D14AD">
      <w:pPr>
        <w:numPr>
          <w:ilvl w:val="0"/>
          <w:numId w:val="13"/>
        </w:numPr>
        <w:tabs>
          <w:tab w:val="clear" w:pos="1440"/>
          <w:tab w:val="num" w:pos="-720"/>
        </w:tabs>
        <w:snapToGrid w:val="0"/>
        <w:ind w:left="0" w:firstLine="425"/>
        <w:jc w:val="both"/>
        <w:rPr>
          <w:sz w:val="20"/>
          <w:szCs w:val="20"/>
        </w:rPr>
      </w:pPr>
      <w:r w:rsidRPr="002558EA">
        <w:rPr>
          <w:sz w:val="20"/>
          <w:szCs w:val="20"/>
        </w:rPr>
        <w:t>Also any nasal surgery, irrespective of its natur</w:t>
      </w:r>
      <w:r w:rsidR="000D14AD" w:rsidRPr="002558EA">
        <w:rPr>
          <w:sz w:val="20"/>
          <w:szCs w:val="20"/>
        </w:rPr>
        <w:t>e.</w:t>
      </w:r>
    </w:p>
    <w:p w:rsidR="00D47F17" w:rsidRPr="002558EA" w:rsidRDefault="00D47F17" w:rsidP="000D14AD">
      <w:pPr>
        <w:numPr>
          <w:ilvl w:val="0"/>
          <w:numId w:val="13"/>
        </w:numPr>
        <w:tabs>
          <w:tab w:val="clear" w:pos="1440"/>
          <w:tab w:val="num" w:pos="-720"/>
        </w:tabs>
        <w:snapToGrid w:val="0"/>
        <w:ind w:left="0" w:firstLine="425"/>
        <w:jc w:val="both"/>
        <w:rPr>
          <w:sz w:val="20"/>
          <w:szCs w:val="20"/>
        </w:rPr>
      </w:pPr>
      <w:r w:rsidRPr="002558EA">
        <w:rPr>
          <w:sz w:val="20"/>
          <w:szCs w:val="20"/>
        </w:rPr>
        <w:t>History of hypersensitivity to corticosteroids or food allergy m a need for a regular use of inhaled glucocorticoids for asthma and any systemic renal, endocrine,</w:t>
      </w:r>
      <w:r w:rsidR="002414EB" w:rsidRPr="002558EA">
        <w:rPr>
          <w:sz w:val="20"/>
          <w:szCs w:val="20"/>
        </w:rPr>
        <w:t xml:space="preserve"> </w:t>
      </w:r>
      <w:r w:rsidRPr="002558EA">
        <w:rPr>
          <w:sz w:val="20"/>
          <w:szCs w:val="20"/>
        </w:rPr>
        <w:t>cardiovascular, gastrointestinal and hematological diseases or neuropsychiatric disorders.</w:t>
      </w:r>
    </w:p>
    <w:p w:rsidR="00D47F17" w:rsidRPr="002558EA" w:rsidRDefault="00D47F17" w:rsidP="000D14AD">
      <w:pPr>
        <w:numPr>
          <w:ilvl w:val="0"/>
          <w:numId w:val="13"/>
        </w:numPr>
        <w:tabs>
          <w:tab w:val="clear" w:pos="1440"/>
          <w:tab w:val="num" w:pos="-720"/>
        </w:tabs>
        <w:snapToGrid w:val="0"/>
        <w:ind w:left="0" w:firstLine="425"/>
        <w:jc w:val="both"/>
        <w:rPr>
          <w:sz w:val="20"/>
          <w:szCs w:val="20"/>
        </w:rPr>
      </w:pPr>
      <w:r w:rsidRPr="002558EA">
        <w:rPr>
          <w:sz w:val="20"/>
          <w:szCs w:val="20"/>
        </w:rPr>
        <w:t>Unpublished studies (eg, conference abstracts) were excluded.</w:t>
      </w:r>
    </w:p>
    <w:p w:rsidR="00D47F17" w:rsidRPr="002558EA" w:rsidRDefault="00D47F17" w:rsidP="000D14AD">
      <w:pPr>
        <w:numPr>
          <w:ilvl w:val="0"/>
          <w:numId w:val="13"/>
        </w:numPr>
        <w:tabs>
          <w:tab w:val="clear" w:pos="1440"/>
          <w:tab w:val="num" w:pos="-720"/>
        </w:tabs>
        <w:snapToGrid w:val="0"/>
        <w:ind w:left="0" w:firstLine="425"/>
        <w:jc w:val="both"/>
        <w:rPr>
          <w:sz w:val="20"/>
          <w:szCs w:val="20"/>
        </w:rPr>
      </w:pPr>
      <w:r w:rsidRPr="002558EA">
        <w:rPr>
          <w:sz w:val="20"/>
          <w:szCs w:val="20"/>
        </w:rPr>
        <w:t>Studies published before 1940 were excluded.</w:t>
      </w:r>
    </w:p>
    <w:p w:rsidR="00D47F17" w:rsidRPr="002558EA" w:rsidRDefault="00D47F17" w:rsidP="000D14AD">
      <w:pPr>
        <w:numPr>
          <w:ilvl w:val="0"/>
          <w:numId w:val="13"/>
        </w:numPr>
        <w:tabs>
          <w:tab w:val="clear" w:pos="1440"/>
          <w:tab w:val="num" w:pos="-720"/>
        </w:tabs>
        <w:snapToGrid w:val="0"/>
        <w:ind w:left="0" w:firstLine="425"/>
        <w:jc w:val="both"/>
        <w:rPr>
          <w:sz w:val="20"/>
          <w:szCs w:val="20"/>
        </w:rPr>
      </w:pPr>
      <w:r w:rsidRPr="002558EA">
        <w:rPr>
          <w:sz w:val="20"/>
          <w:szCs w:val="20"/>
        </w:rPr>
        <w:t>Missing one or more of inclusion criteria.</w:t>
      </w:r>
    </w:p>
    <w:p w:rsidR="002558EA" w:rsidRDefault="002558EA" w:rsidP="000D14AD">
      <w:pPr>
        <w:snapToGrid w:val="0"/>
        <w:jc w:val="both"/>
        <w:rPr>
          <w:rFonts w:hint="eastAsia"/>
          <w:b/>
          <w:bCs/>
          <w:sz w:val="20"/>
          <w:szCs w:val="20"/>
          <w:lang w:eastAsia="zh-CN"/>
        </w:rPr>
      </w:pPr>
    </w:p>
    <w:p w:rsidR="00D47F17" w:rsidRPr="002558EA" w:rsidRDefault="00D47F17" w:rsidP="000D14AD">
      <w:pPr>
        <w:snapToGrid w:val="0"/>
        <w:jc w:val="both"/>
        <w:rPr>
          <w:b/>
          <w:bCs/>
          <w:sz w:val="20"/>
          <w:szCs w:val="20"/>
        </w:rPr>
      </w:pPr>
      <w:r w:rsidRPr="002558EA">
        <w:rPr>
          <w:b/>
          <w:bCs/>
          <w:sz w:val="20"/>
          <w:szCs w:val="20"/>
        </w:rPr>
        <w:lastRenderedPageBreak/>
        <w:t>Statistical methods</w:t>
      </w:r>
    </w:p>
    <w:p w:rsidR="00D47F17" w:rsidRPr="002558EA" w:rsidRDefault="00D47F17" w:rsidP="000D14AD">
      <w:pPr>
        <w:snapToGrid w:val="0"/>
        <w:ind w:firstLine="425"/>
        <w:jc w:val="both"/>
        <w:rPr>
          <w:bCs/>
          <w:sz w:val="20"/>
          <w:szCs w:val="20"/>
        </w:rPr>
      </w:pPr>
      <w:r w:rsidRPr="002558EA">
        <w:rPr>
          <w:bCs/>
          <w:sz w:val="20"/>
          <w:szCs w:val="20"/>
        </w:rPr>
        <w:t>Statistical analysis was done using Comprehensive meta-analysis version 2.2.046 (Bio stat© Englewood, NJ). Studies included in meta-analysis were tested for heterogeneity of the estimates. P-values &lt;0.05 are considered statistically signiﬁcant.</w:t>
      </w:r>
    </w:p>
    <w:p w:rsidR="00092A24" w:rsidRPr="002558EA" w:rsidRDefault="00092A24" w:rsidP="000D14AD">
      <w:pPr>
        <w:snapToGrid w:val="0"/>
        <w:jc w:val="both"/>
        <w:rPr>
          <w:b/>
          <w:bCs/>
          <w:sz w:val="20"/>
          <w:szCs w:val="20"/>
        </w:rPr>
      </w:pPr>
      <w:bookmarkStart w:id="5" w:name="_Toc25148787"/>
      <w:bookmarkStart w:id="6" w:name="_Toc25148760"/>
    </w:p>
    <w:p w:rsidR="00D47F17" w:rsidRPr="002558EA" w:rsidRDefault="00092A24" w:rsidP="000D14AD">
      <w:pPr>
        <w:snapToGrid w:val="0"/>
        <w:jc w:val="both"/>
        <w:rPr>
          <w:b/>
          <w:bCs/>
          <w:sz w:val="20"/>
          <w:szCs w:val="20"/>
        </w:rPr>
      </w:pPr>
      <w:r w:rsidRPr="002558EA">
        <w:rPr>
          <w:b/>
          <w:bCs/>
          <w:sz w:val="20"/>
          <w:szCs w:val="20"/>
        </w:rPr>
        <w:lastRenderedPageBreak/>
        <w:t>3. Results</w:t>
      </w:r>
      <w:bookmarkEnd w:id="5"/>
    </w:p>
    <w:p w:rsidR="00092A24" w:rsidRPr="002558EA" w:rsidRDefault="00092A24" w:rsidP="000D14AD">
      <w:pPr>
        <w:snapToGrid w:val="0"/>
        <w:ind w:firstLine="425"/>
        <w:jc w:val="both"/>
        <w:rPr>
          <w:sz w:val="20"/>
          <w:szCs w:val="20"/>
        </w:rPr>
      </w:pPr>
      <w:r w:rsidRPr="002558EA">
        <w:rPr>
          <w:sz w:val="20"/>
          <w:szCs w:val="20"/>
        </w:rPr>
        <w:t>The previous table shows that there was highly statistically significant difference found between group A and group B regarding percentage of recovery which was 86.96% in group A versus 72.55% in group B with p-value = 0.012.</w:t>
      </w:r>
    </w:p>
    <w:p w:rsidR="000D14AD" w:rsidRPr="002558EA" w:rsidRDefault="000D14AD" w:rsidP="000D14AD">
      <w:pPr>
        <w:snapToGrid w:val="0"/>
        <w:jc w:val="center"/>
        <w:rPr>
          <w:b/>
          <w:bCs/>
          <w:sz w:val="20"/>
          <w:szCs w:val="20"/>
        </w:rPr>
        <w:sectPr w:rsidR="000D14AD" w:rsidRPr="002558EA" w:rsidSect="00E47269">
          <w:headerReference w:type="default" r:id="rId14"/>
          <w:pgSz w:w="12240" w:h="15840" w:code="9"/>
          <w:pgMar w:top="1440" w:right="1440" w:bottom="1440" w:left="1440" w:header="720" w:footer="720" w:gutter="0"/>
          <w:cols w:num="2" w:space="600"/>
          <w:docGrid w:linePitch="360"/>
        </w:sectPr>
      </w:pPr>
    </w:p>
    <w:p w:rsidR="000D14AD" w:rsidRPr="002558EA" w:rsidRDefault="000D14AD" w:rsidP="000D14AD">
      <w:pPr>
        <w:snapToGrid w:val="0"/>
        <w:jc w:val="center"/>
        <w:rPr>
          <w:b/>
          <w:bCs/>
          <w:sz w:val="20"/>
          <w:szCs w:val="20"/>
          <w:lang w:eastAsia="zh-CN"/>
        </w:rPr>
      </w:pPr>
    </w:p>
    <w:p w:rsidR="002558EA" w:rsidRDefault="002558EA" w:rsidP="000D14AD">
      <w:pPr>
        <w:snapToGrid w:val="0"/>
        <w:jc w:val="center"/>
        <w:rPr>
          <w:rFonts w:hint="eastAsia"/>
          <w:b/>
          <w:bCs/>
          <w:sz w:val="20"/>
          <w:szCs w:val="20"/>
          <w:lang w:eastAsia="zh-CN"/>
        </w:rPr>
      </w:pPr>
    </w:p>
    <w:p w:rsidR="00D47F17" w:rsidRPr="002558EA" w:rsidRDefault="00D47F17" w:rsidP="000D14AD">
      <w:pPr>
        <w:snapToGrid w:val="0"/>
        <w:jc w:val="center"/>
        <w:rPr>
          <w:sz w:val="20"/>
          <w:szCs w:val="20"/>
        </w:rPr>
      </w:pPr>
      <w:r w:rsidRPr="002558EA">
        <w:rPr>
          <w:b/>
          <w:bCs/>
          <w:sz w:val="20"/>
          <w:szCs w:val="20"/>
        </w:rPr>
        <w:t>Table (</w:t>
      </w:r>
      <w:r w:rsidR="00CE1D41" w:rsidRPr="002558EA">
        <w:rPr>
          <w:b/>
          <w:bCs/>
          <w:sz w:val="20"/>
          <w:szCs w:val="20"/>
        </w:rPr>
        <w:fldChar w:fldCharType="begin"/>
      </w:r>
      <w:r w:rsidRPr="002558EA">
        <w:rPr>
          <w:b/>
          <w:bCs/>
          <w:sz w:val="20"/>
          <w:szCs w:val="20"/>
        </w:rPr>
        <w:instrText xml:space="preserve"> SEQ Table \* ARABIC </w:instrText>
      </w:r>
      <w:r w:rsidR="00CE1D41" w:rsidRPr="002558EA">
        <w:rPr>
          <w:b/>
          <w:bCs/>
          <w:sz w:val="20"/>
          <w:szCs w:val="20"/>
        </w:rPr>
        <w:fldChar w:fldCharType="separate"/>
      </w:r>
      <w:r w:rsidR="00A20680" w:rsidRPr="002558EA">
        <w:rPr>
          <w:b/>
          <w:bCs/>
          <w:noProof/>
          <w:sz w:val="20"/>
          <w:szCs w:val="20"/>
        </w:rPr>
        <w:t>2</w:t>
      </w:r>
      <w:r w:rsidR="00CE1D41" w:rsidRPr="002558EA">
        <w:rPr>
          <w:sz w:val="20"/>
          <w:szCs w:val="20"/>
        </w:rPr>
        <w:fldChar w:fldCharType="end"/>
      </w:r>
      <w:r w:rsidRPr="002558EA">
        <w:rPr>
          <w:b/>
          <w:bCs/>
          <w:sz w:val="20"/>
          <w:szCs w:val="20"/>
        </w:rPr>
        <w:t xml:space="preserve">): </w:t>
      </w:r>
      <w:r w:rsidRPr="002558EA">
        <w:rPr>
          <w:sz w:val="20"/>
          <w:szCs w:val="20"/>
        </w:rPr>
        <w:t>Comparison between group A and group B regarding percentage of recovery</w:t>
      </w:r>
      <w:bookmarkEnd w:id="6"/>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708"/>
        <w:gridCol w:w="1760"/>
        <w:gridCol w:w="1692"/>
        <w:gridCol w:w="1760"/>
        <w:gridCol w:w="1554"/>
      </w:tblGrid>
      <w:tr w:rsidR="00D47F17" w:rsidRPr="002558EA" w:rsidTr="00DC24C9">
        <w:trPr>
          <w:jc w:val="center"/>
        </w:trPr>
        <w:tc>
          <w:tcPr>
            <w:tcW w:w="1429" w:type="pct"/>
            <w:vMerge w:val="restart"/>
            <w:shd w:val="clear" w:color="auto" w:fill="auto"/>
            <w:noWrap/>
            <w:vAlign w:val="center"/>
          </w:tcPr>
          <w:p w:rsidR="00D47F17" w:rsidRPr="002558EA" w:rsidRDefault="00D47F17" w:rsidP="000D14AD">
            <w:pPr>
              <w:snapToGrid w:val="0"/>
              <w:jc w:val="both"/>
              <w:rPr>
                <w:b/>
                <w:bCs/>
                <w:sz w:val="20"/>
                <w:szCs w:val="20"/>
              </w:rPr>
            </w:pPr>
          </w:p>
        </w:tc>
        <w:tc>
          <w:tcPr>
            <w:tcW w:w="1821" w:type="pct"/>
            <w:gridSpan w:val="2"/>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Group A</w:t>
            </w:r>
          </w:p>
        </w:tc>
        <w:tc>
          <w:tcPr>
            <w:tcW w:w="1750" w:type="pct"/>
            <w:gridSpan w:val="2"/>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Group B</w:t>
            </w:r>
          </w:p>
        </w:tc>
      </w:tr>
      <w:tr w:rsidR="00D47F17" w:rsidRPr="002558EA" w:rsidTr="00DC24C9">
        <w:trPr>
          <w:jc w:val="center"/>
        </w:trPr>
        <w:tc>
          <w:tcPr>
            <w:tcW w:w="1429" w:type="pct"/>
            <w:vMerge/>
            <w:shd w:val="clear" w:color="auto" w:fill="auto"/>
            <w:noWrap/>
            <w:vAlign w:val="center"/>
          </w:tcPr>
          <w:p w:rsidR="00D47F17" w:rsidRPr="002558EA" w:rsidRDefault="00D47F17" w:rsidP="000D14AD">
            <w:pPr>
              <w:snapToGrid w:val="0"/>
              <w:jc w:val="both"/>
              <w:rPr>
                <w:b/>
                <w:bCs/>
                <w:sz w:val="20"/>
                <w:szCs w:val="20"/>
              </w:rPr>
            </w:pPr>
          </w:p>
        </w:tc>
        <w:tc>
          <w:tcPr>
            <w:tcW w:w="929"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Total number</w:t>
            </w:r>
          </w:p>
        </w:tc>
        <w:tc>
          <w:tcPr>
            <w:tcW w:w="893"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Recovered</w:t>
            </w:r>
          </w:p>
        </w:tc>
        <w:tc>
          <w:tcPr>
            <w:tcW w:w="929"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Total number</w:t>
            </w:r>
          </w:p>
        </w:tc>
        <w:tc>
          <w:tcPr>
            <w:tcW w:w="821"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Recovered</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Blair W.Saylor (1949)</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53</w:t>
            </w:r>
          </w:p>
        </w:tc>
        <w:tc>
          <w:tcPr>
            <w:tcW w:w="89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45 (84.9%)</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c>
          <w:tcPr>
            <w:tcW w:w="821"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Phanindra-Kumar 1995</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76</w:t>
            </w:r>
          </w:p>
        </w:tc>
        <w:tc>
          <w:tcPr>
            <w:tcW w:w="89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68 (89.5%)</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c>
          <w:tcPr>
            <w:tcW w:w="821"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Ezzat W, et al (2009)</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48</w:t>
            </w:r>
          </w:p>
        </w:tc>
        <w:tc>
          <w:tcPr>
            <w:tcW w:w="89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43 (89.6%)</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12</w:t>
            </w:r>
          </w:p>
        </w:tc>
        <w:tc>
          <w:tcPr>
            <w:tcW w:w="821"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8 (66.7%)</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Korhan et al. (2019)</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30</w:t>
            </w:r>
          </w:p>
        </w:tc>
        <w:tc>
          <w:tcPr>
            <w:tcW w:w="89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24 (80.0%)</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c>
          <w:tcPr>
            <w:tcW w:w="821"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Eli (2009)</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c>
          <w:tcPr>
            <w:tcW w:w="89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w:t>
            </w:r>
          </w:p>
        </w:tc>
        <w:tc>
          <w:tcPr>
            <w:tcW w:w="9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39</w:t>
            </w:r>
          </w:p>
        </w:tc>
        <w:tc>
          <w:tcPr>
            <w:tcW w:w="821"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29 (74.4%)</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 xml:space="preserve">Total </w:t>
            </w:r>
          </w:p>
        </w:tc>
        <w:tc>
          <w:tcPr>
            <w:tcW w:w="929"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207</w:t>
            </w:r>
          </w:p>
        </w:tc>
        <w:tc>
          <w:tcPr>
            <w:tcW w:w="893"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180 (86.96%)</w:t>
            </w:r>
          </w:p>
        </w:tc>
        <w:tc>
          <w:tcPr>
            <w:tcW w:w="929"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51</w:t>
            </w:r>
          </w:p>
        </w:tc>
        <w:tc>
          <w:tcPr>
            <w:tcW w:w="821"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37 (72.55%)</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Chi-square test</w:t>
            </w:r>
          </w:p>
        </w:tc>
        <w:tc>
          <w:tcPr>
            <w:tcW w:w="3571" w:type="pct"/>
            <w:gridSpan w:val="4"/>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6.355</w:t>
            </w:r>
          </w:p>
        </w:tc>
      </w:tr>
      <w:tr w:rsidR="00D47F17" w:rsidRPr="002558EA" w:rsidTr="00DC24C9">
        <w:trPr>
          <w:jc w:val="center"/>
        </w:trPr>
        <w:tc>
          <w:tcPr>
            <w:tcW w:w="1429"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P-value</w:t>
            </w:r>
          </w:p>
        </w:tc>
        <w:tc>
          <w:tcPr>
            <w:tcW w:w="3571" w:type="pct"/>
            <w:gridSpan w:val="4"/>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0.012 (S)</w:t>
            </w:r>
          </w:p>
        </w:tc>
      </w:tr>
    </w:tbl>
    <w:p w:rsidR="00092A24" w:rsidRDefault="00092A24" w:rsidP="002558EA">
      <w:pPr>
        <w:snapToGrid w:val="0"/>
        <w:rPr>
          <w:rFonts w:hint="eastAsia"/>
          <w:b/>
          <w:bCs/>
          <w:sz w:val="20"/>
          <w:szCs w:val="20"/>
          <w:lang w:eastAsia="zh-CN"/>
        </w:rPr>
      </w:pPr>
      <w:bookmarkStart w:id="7" w:name="_Toc25148761"/>
    </w:p>
    <w:p w:rsidR="002558EA" w:rsidRPr="002558EA" w:rsidRDefault="002558EA" w:rsidP="002558EA">
      <w:pPr>
        <w:snapToGrid w:val="0"/>
        <w:rPr>
          <w:rFonts w:hint="eastAsia"/>
          <w:b/>
          <w:bCs/>
          <w:sz w:val="20"/>
          <w:szCs w:val="20"/>
          <w:lang w:eastAsia="zh-CN"/>
        </w:rPr>
      </w:pPr>
    </w:p>
    <w:p w:rsidR="000D14AD" w:rsidRPr="002558EA" w:rsidRDefault="000D14AD" w:rsidP="000D14AD">
      <w:pPr>
        <w:snapToGrid w:val="0"/>
        <w:jc w:val="center"/>
        <w:rPr>
          <w:b/>
          <w:bCs/>
          <w:sz w:val="20"/>
          <w:szCs w:val="20"/>
        </w:rPr>
        <w:sectPr w:rsidR="000D14AD" w:rsidRPr="002558EA" w:rsidSect="00DC24C9">
          <w:type w:val="continuous"/>
          <w:pgSz w:w="12240" w:h="15840" w:code="9"/>
          <w:pgMar w:top="1440" w:right="1440" w:bottom="1440" w:left="1440" w:header="720" w:footer="720" w:gutter="0"/>
          <w:cols w:space="720"/>
          <w:docGrid w:linePitch="360"/>
        </w:sectPr>
      </w:pPr>
    </w:p>
    <w:p w:rsidR="002558EA" w:rsidRDefault="002558EA" w:rsidP="000D14AD">
      <w:pPr>
        <w:snapToGrid w:val="0"/>
        <w:jc w:val="both"/>
        <w:rPr>
          <w:rFonts w:hint="eastAsia"/>
          <w:b/>
          <w:bCs/>
          <w:sz w:val="20"/>
          <w:szCs w:val="20"/>
          <w:lang w:eastAsia="zh-CN"/>
        </w:rPr>
      </w:pPr>
    </w:p>
    <w:p w:rsidR="00D47F17" w:rsidRPr="002558EA" w:rsidRDefault="00D47F17" w:rsidP="000D14AD">
      <w:pPr>
        <w:snapToGrid w:val="0"/>
        <w:jc w:val="both"/>
        <w:rPr>
          <w:sz w:val="20"/>
          <w:szCs w:val="20"/>
        </w:rPr>
      </w:pPr>
      <w:r w:rsidRPr="002558EA">
        <w:rPr>
          <w:b/>
          <w:bCs/>
          <w:sz w:val="20"/>
          <w:szCs w:val="20"/>
        </w:rPr>
        <w:t>Table (</w:t>
      </w:r>
      <w:r w:rsidR="00CE1D41" w:rsidRPr="002558EA">
        <w:rPr>
          <w:b/>
          <w:bCs/>
          <w:sz w:val="20"/>
          <w:szCs w:val="20"/>
        </w:rPr>
        <w:fldChar w:fldCharType="begin"/>
      </w:r>
      <w:r w:rsidRPr="002558EA">
        <w:rPr>
          <w:b/>
          <w:bCs/>
          <w:sz w:val="20"/>
          <w:szCs w:val="20"/>
        </w:rPr>
        <w:instrText xml:space="preserve"> SEQ Table \* ARABIC </w:instrText>
      </w:r>
      <w:r w:rsidR="00CE1D41" w:rsidRPr="002558EA">
        <w:rPr>
          <w:b/>
          <w:bCs/>
          <w:sz w:val="20"/>
          <w:szCs w:val="20"/>
        </w:rPr>
        <w:fldChar w:fldCharType="separate"/>
      </w:r>
      <w:r w:rsidR="00A20680" w:rsidRPr="002558EA">
        <w:rPr>
          <w:b/>
          <w:bCs/>
          <w:noProof/>
          <w:sz w:val="20"/>
          <w:szCs w:val="20"/>
        </w:rPr>
        <w:t>3</w:t>
      </w:r>
      <w:r w:rsidR="00CE1D41" w:rsidRPr="002558EA">
        <w:rPr>
          <w:sz w:val="20"/>
          <w:szCs w:val="20"/>
        </w:rPr>
        <w:fldChar w:fldCharType="end"/>
      </w:r>
      <w:r w:rsidRPr="002558EA">
        <w:rPr>
          <w:b/>
          <w:bCs/>
          <w:sz w:val="20"/>
          <w:szCs w:val="20"/>
        </w:rPr>
        <w:t xml:space="preserve">): </w:t>
      </w:r>
      <w:r w:rsidRPr="002558EA">
        <w:rPr>
          <w:sz w:val="20"/>
          <w:szCs w:val="20"/>
        </w:rPr>
        <w:t>Incidence of Symptom recovery among group A treatment</w:t>
      </w:r>
      <w:bookmarkEnd w:id="7"/>
      <w:r w:rsidRPr="002558EA">
        <w:rPr>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710"/>
        <w:gridCol w:w="640"/>
        <w:gridCol w:w="1144"/>
      </w:tblGrid>
      <w:tr w:rsidR="00D47F17" w:rsidRPr="002558EA" w:rsidTr="00DC24C9">
        <w:trPr>
          <w:jc w:val="center"/>
        </w:trPr>
        <w:tc>
          <w:tcPr>
            <w:tcW w:w="3015" w:type="pct"/>
            <w:shd w:val="clear" w:color="auto" w:fill="auto"/>
            <w:noWrap/>
            <w:vAlign w:val="center"/>
          </w:tcPr>
          <w:p w:rsidR="00D47F17" w:rsidRPr="002558EA" w:rsidRDefault="00D47F17" w:rsidP="000D14AD">
            <w:pPr>
              <w:snapToGrid w:val="0"/>
              <w:jc w:val="both"/>
              <w:rPr>
                <w:b/>
                <w:bCs/>
                <w:sz w:val="20"/>
                <w:szCs w:val="20"/>
              </w:rPr>
            </w:pPr>
            <w:bookmarkStart w:id="8" w:name="OLE_LINK1"/>
            <w:bookmarkStart w:id="9" w:name="OLE_LINK2"/>
            <w:r w:rsidRPr="002558EA">
              <w:rPr>
                <w:b/>
                <w:bCs/>
                <w:sz w:val="20"/>
                <w:szCs w:val="20"/>
              </w:rPr>
              <w:t>Symptom recovery</w:t>
            </w:r>
            <w:bookmarkEnd w:id="8"/>
            <w:bookmarkEnd w:id="9"/>
          </w:p>
        </w:tc>
        <w:tc>
          <w:tcPr>
            <w:tcW w:w="712"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No.</w:t>
            </w:r>
          </w:p>
        </w:tc>
        <w:tc>
          <w:tcPr>
            <w:tcW w:w="1273" w:type="pct"/>
            <w:shd w:val="clear" w:color="auto" w:fill="auto"/>
            <w:noWrap/>
            <w:vAlign w:val="center"/>
          </w:tcPr>
          <w:p w:rsidR="00D47F17" w:rsidRPr="002558EA" w:rsidRDefault="00D47F17" w:rsidP="000D14AD">
            <w:pPr>
              <w:snapToGrid w:val="0"/>
              <w:jc w:val="both"/>
              <w:rPr>
                <w:b/>
                <w:bCs/>
                <w:sz w:val="20"/>
                <w:szCs w:val="20"/>
              </w:rPr>
            </w:pPr>
            <w:r w:rsidRPr="002558EA">
              <w:rPr>
                <w:b/>
                <w:bCs/>
                <w:sz w:val="20"/>
                <w:szCs w:val="20"/>
              </w:rPr>
              <w:t>%</w:t>
            </w:r>
          </w:p>
        </w:tc>
      </w:tr>
      <w:tr w:rsidR="00D47F17" w:rsidRPr="002558EA" w:rsidTr="00DC24C9">
        <w:trPr>
          <w:jc w:val="center"/>
        </w:trPr>
        <w:tc>
          <w:tcPr>
            <w:tcW w:w="3015"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Rhinorhea</w:t>
            </w:r>
          </w:p>
        </w:tc>
        <w:tc>
          <w:tcPr>
            <w:tcW w:w="712"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70</w:t>
            </w:r>
          </w:p>
        </w:tc>
        <w:tc>
          <w:tcPr>
            <w:tcW w:w="127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92.11%</w:t>
            </w:r>
          </w:p>
        </w:tc>
      </w:tr>
      <w:tr w:rsidR="00D47F17" w:rsidRPr="002558EA" w:rsidTr="00DC24C9">
        <w:trPr>
          <w:jc w:val="center"/>
        </w:trPr>
        <w:tc>
          <w:tcPr>
            <w:tcW w:w="3015"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Sneezing</w:t>
            </w:r>
          </w:p>
        </w:tc>
        <w:tc>
          <w:tcPr>
            <w:tcW w:w="712"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68</w:t>
            </w:r>
          </w:p>
        </w:tc>
        <w:tc>
          <w:tcPr>
            <w:tcW w:w="127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89.47%</w:t>
            </w:r>
          </w:p>
        </w:tc>
      </w:tr>
      <w:tr w:rsidR="00D47F17" w:rsidRPr="002558EA" w:rsidTr="00DC24C9">
        <w:trPr>
          <w:jc w:val="center"/>
        </w:trPr>
        <w:tc>
          <w:tcPr>
            <w:tcW w:w="3015"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Obstruction</w:t>
            </w:r>
          </w:p>
        </w:tc>
        <w:tc>
          <w:tcPr>
            <w:tcW w:w="712"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64</w:t>
            </w:r>
          </w:p>
        </w:tc>
        <w:tc>
          <w:tcPr>
            <w:tcW w:w="1273" w:type="pct"/>
            <w:shd w:val="clear" w:color="auto" w:fill="auto"/>
            <w:noWrap/>
            <w:vAlign w:val="center"/>
          </w:tcPr>
          <w:p w:rsidR="00D47F17" w:rsidRPr="002558EA" w:rsidRDefault="00D47F17" w:rsidP="000D14AD">
            <w:pPr>
              <w:snapToGrid w:val="0"/>
              <w:jc w:val="both"/>
              <w:rPr>
                <w:sz w:val="20"/>
                <w:szCs w:val="20"/>
              </w:rPr>
            </w:pPr>
            <w:r w:rsidRPr="002558EA">
              <w:rPr>
                <w:sz w:val="20"/>
                <w:szCs w:val="20"/>
              </w:rPr>
              <w:t>84.21%</w:t>
            </w:r>
          </w:p>
        </w:tc>
      </w:tr>
    </w:tbl>
    <w:p w:rsidR="00092A24" w:rsidRPr="002558EA" w:rsidRDefault="00092A24" w:rsidP="000D14AD">
      <w:pPr>
        <w:snapToGrid w:val="0"/>
        <w:jc w:val="both"/>
        <w:rPr>
          <w:b/>
          <w:bCs/>
          <w:sz w:val="20"/>
          <w:szCs w:val="20"/>
        </w:rPr>
      </w:pPr>
      <w:bookmarkStart w:id="10" w:name="_Toc25148788"/>
    </w:p>
    <w:p w:rsidR="00D47F17" w:rsidRPr="002558EA" w:rsidRDefault="00092A24" w:rsidP="000D14AD">
      <w:pPr>
        <w:snapToGrid w:val="0"/>
        <w:jc w:val="both"/>
        <w:rPr>
          <w:b/>
          <w:bCs/>
          <w:sz w:val="20"/>
          <w:szCs w:val="20"/>
        </w:rPr>
      </w:pPr>
      <w:r w:rsidRPr="002558EA">
        <w:rPr>
          <w:b/>
          <w:bCs/>
          <w:sz w:val="20"/>
          <w:szCs w:val="20"/>
        </w:rPr>
        <w:t>4. Discussion</w:t>
      </w:r>
      <w:bookmarkEnd w:id="10"/>
    </w:p>
    <w:p w:rsidR="00D47F17" w:rsidRPr="002558EA" w:rsidRDefault="00D47F17" w:rsidP="000D14AD">
      <w:pPr>
        <w:snapToGrid w:val="0"/>
        <w:ind w:firstLine="425"/>
        <w:jc w:val="both"/>
        <w:rPr>
          <w:bCs/>
          <w:sz w:val="20"/>
          <w:szCs w:val="20"/>
        </w:rPr>
      </w:pPr>
      <w:r w:rsidRPr="002558EA">
        <w:rPr>
          <w:bCs/>
          <w:sz w:val="20"/>
          <w:szCs w:val="20"/>
        </w:rPr>
        <w:t xml:space="preserve">The most common form of nonallergic rhinitis is idiopathic rhinitis also known as vasomotor rhinitis. Individuals categorized as such are those who not only lack conventional evidence of allergic disease but are also devoid of any evidence of sinusitis/nasal polyposis, anatomic abnormalities, or a known infection. In addition, pharmacological (iatrogenic) or endocrine causes need to be ruled out. Their nasal symptoms are chronic, without a seasonal pattern (although some cases of seasonal symptomatology may appear) and are more likely to include nasal congestion and clear rhinorrhea and less likely sneezing and pruritus. Patients with idiopathic/vasomotor rhinitis report a family history of rhinitis less frequently than patients with allergic disease. </w:t>
      </w:r>
    </w:p>
    <w:p w:rsidR="00D47F17" w:rsidRPr="002558EA" w:rsidRDefault="00D47F17" w:rsidP="000D14AD">
      <w:pPr>
        <w:snapToGrid w:val="0"/>
        <w:ind w:firstLine="425"/>
        <w:jc w:val="both"/>
        <w:rPr>
          <w:bCs/>
          <w:sz w:val="20"/>
          <w:szCs w:val="20"/>
        </w:rPr>
      </w:pPr>
      <w:r w:rsidRPr="002558EA">
        <w:rPr>
          <w:bCs/>
          <w:sz w:val="20"/>
          <w:szCs w:val="20"/>
        </w:rPr>
        <w:t xml:space="preserve">Although the pathogenesis of intrinsic rhinitis remains unknown, it is believed to be the result of autonomic imbalance, with a relative dominance of the parasympathetic nervous system in the nasal mucosa. </w:t>
      </w:r>
    </w:p>
    <w:p w:rsidR="00D47F17" w:rsidRPr="002558EA" w:rsidRDefault="00D47F17" w:rsidP="000D14AD">
      <w:pPr>
        <w:snapToGrid w:val="0"/>
        <w:ind w:firstLine="425"/>
        <w:jc w:val="both"/>
        <w:rPr>
          <w:sz w:val="20"/>
          <w:szCs w:val="20"/>
        </w:rPr>
      </w:pPr>
      <w:r w:rsidRPr="002558EA">
        <w:rPr>
          <w:sz w:val="20"/>
          <w:szCs w:val="20"/>
        </w:rPr>
        <w:t xml:space="preserve">Ezzat W, It was hypothesized in this study that the action of micronized flavinoids, which included </w:t>
      </w:r>
      <w:r w:rsidRPr="002558EA">
        <w:rPr>
          <w:sz w:val="20"/>
          <w:szCs w:val="20"/>
        </w:rPr>
        <w:lastRenderedPageBreak/>
        <w:t xml:space="preserve">increasing vascular tone, protection of vascular endothelium and decreasing edema, together with their anti-inflammatory effects would act on the nasal endothelium. </w:t>
      </w:r>
      <w:r w:rsidR="0064097A" w:rsidRPr="002558EA">
        <w:rPr>
          <w:sz w:val="20"/>
          <w:szCs w:val="20"/>
        </w:rPr>
        <w:t xml:space="preserve">In </w:t>
      </w:r>
      <w:r w:rsidRPr="002558EA">
        <w:rPr>
          <w:sz w:val="20"/>
          <w:szCs w:val="20"/>
        </w:rPr>
        <w:t>a similar fashion as it does on the diseased venous system in cases of varicosities. The theory based on the fact that various factors leading to nasal congestion, vascular pooling, increased extracellular volume, peripheral vascular dilatation, smooth muscle relaxation, vascular distension and osmolar changes with their subsequent effects would at least in part be reversed or reduced by the effect of micronized flavinoids.</w:t>
      </w:r>
    </w:p>
    <w:p w:rsidR="00D47F17" w:rsidRPr="002558EA" w:rsidRDefault="00D47F17" w:rsidP="000D14AD">
      <w:pPr>
        <w:snapToGrid w:val="0"/>
        <w:ind w:firstLine="425"/>
        <w:jc w:val="both"/>
        <w:rPr>
          <w:sz w:val="20"/>
          <w:szCs w:val="20"/>
        </w:rPr>
      </w:pPr>
      <w:r w:rsidRPr="002558EA">
        <w:rPr>
          <w:sz w:val="20"/>
          <w:szCs w:val="20"/>
        </w:rPr>
        <w:t>Diosmin a bioflavonoid found to be</w:t>
      </w:r>
      <w:r w:rsidR="00DC24C9" w:rsidRPr="002558EA">
        <w:rPr>
          <w:sz w:val="20"/>
          <w:szCs w:val="20"/>
        </w:rPr>
        <w:t xml:space="preserve"> </w:t>
      </w:r>
      <w:r w:rsidRPr="002558EA">
        <w:rPr>
          <w:sz w:val="20"/>
          <w:szCs w:val="20"/>
        </w:rPr>
        <w:t>antiodematous and physiological antagonist to histamine. It increases capillary resistance and decreases capillary permiability</w:t>
      </w:r>
      <w:r w:rsidR="00DC24C9" w:rsidRPr="002558EA">
        <w:rPr>
          <w:sz w:val="20"/>
          <w:szCs w:val="20"/>
        </w:rPr>
        <w:t>.</w:t>
      </w:r>
      <w:r w:rsidRPr="002558EA">
        <w:rPr>
          <w:sz w:val="20"/>
          <w:szCs w:val="20"/>
        </w:rPr>
        <w:t xml:space="preserve"> The preparations used in treating allergic diseases may have three pharmacological effects; modifying mediator effects in sensitive target organs and mediator release. Diosmin affects the microcirculation and on certain inflammatory reaction mediators. The physiological antagonism to histamine, inhibition of synthesis of prostaglandins, the lymphogogue property and antiodematous effects might have responsible in relieving rhinorrhoea, sneezing and nasal obstruction. In addition Diosmin has shown a decrease in eosinophils in the nasal smear at the end of seven days of treatment. Biofavonoids have mast cell stabilisation action. The administration of Diosmin may be beneficial in the treatment of rhinitis as indicated by rapid clinical recovery.</w:t>
      </w:r>
    </w:p>
    <w:p w:rsidR="00D47F17" w:rsidRPr="002558EA" w:rsidRDefault="00D47F17" w:rsidP="000D14AD">
      <w:pPr>
        <w:snapToGrid w:val="0"/>
        <w:ind w:firstLine="425"/>
        <w:jc w:val="both"/>
        <w:rPr>
          <w:sz w:val="20"/>
          <w:szCs w:val="20"/>
        </w:rPr>
      </w:pPr>
      <w:r w:rsidRPr="002558EA">
        <w:rPr>
          <w:sz w:val="20"/>
          <w:szCs w:val="20"/>
        </w:rPr>
        <w:lastRenderedPageBreak/>
        <w:t>None of the patients complained of nasal crusting, rebound rhinitis, muscular palsy, hyposmia, vision changes, or dry eyes.</w:t>
      </w:r>
    </w:p>
    <w:p w:rsidR="00D47F17" w:rsidRPr="002558EA" w:rsidRDefault="00D47F17" w:rsidP="000D14AD">
      <w:pPr>
        <w:snapToGrid w:val="0"/>
        <w:ind w:firstLine="425"/>
        <w:jc w:val="both"/>
        <w:rPr>
          <w:b/>
          <w:bCs/>
          <w:sz w:val="20"/>
          <w:szCs w:val="20"/>
        </w:rPr>
      </w:pPr>
      <w:r w:rsidRPr="002558EA">
        <w:rPr>
          <w:sz w:val="20"/>
          <w:szCs w:val="20"/>
        </w:rPr>
        <w:t>MPFF, an oral phlebotropic and vascular protective agent consisting of 90% micronised diosmin and 10% flavonoids expressed as hesperidin, increases venous tone, improves lymphatic drainage and reduces capillary hyperpermeability</w:t>
      </w:r>
      <w:r w:rsidR="000D14AD" w:rsidRPr="002558EA">
        <w:rPr>
          <w:sz w:val="20"/>
          <w:szCs w:val="20"/>
        </w:rPr>
        <w:t>. B</w:t>
      </w:r>
      <w:r w:rsidRPr="002558EA">
        <w:rPr>
          <w:sz w:val="20"/>
          <w:szCs w:val="20"/>
        </w:rPr>
        <w:t>y reducing the expression of some endothelial adhesion molecules, MPFF inhibits the activation, migration and adhesion of leukocytes, which leads to a reduction in the release of inflammatory mediators and thereby a reduction in capillary hyperpermeability.</w:t>
      </w:r>
    </w:p>
    <w:p w:rsidR="00D47F17" w:rsidRPr="002558EA" w:rsidRDefault="00D47F17" w:rsidP="000D14AD">
      <w:pPr>
        <w:snapToGrid w:val="0"/>
        <w:ind w:firstLine="425"/>
        <w:jc w:val="both"/>
        <w:rPr>
          <w:sz w:val="20"/>
          <w:szCs w:val="20"/>
        </w:rPr>
      </w:pPr>
      <w:r w:rsidRPr="002558EA">
        <w:rPr>
          <w:sz w:val="20"/>
          <w:szCs w:val="20"/>
        </w:rPr>
        <w:t>These findings implicate that Diosmin-hesperidin combination, as a micronized flavinoid drug, can and should be used in Vasmotor Rhinitis</w:t>
      </w:r>
      <w:r w:rsidR="00DC24C9" w:rsidRPr="002558EA">
        <w:rPr>
          <w:sz w:val="20"/>
          <w:szCs w:val="20"/>
        </w:rPr>
        <w:t xml:space="preserve"> </w:t>
      </w:r>
      <w:r w:rsidRPr="002558EA">
        <w:rPr>
          <w:sz w:val="20"/>
          <w:szCs w:val="20"/>
        </w:rPr>
        <w:t>as an effective line of treatment, whether alone instead of local nasal steroid to give the same improvement also, in combination with other lines in severe cases to give better response.</w:t>
      </w:r>
    </w:p>
    <w:p w:rsidR="00D47F17" w:rsidRPr="002558EA" w:rsidRDefault="00D47F17" w:rsidP="000D14AD">
      <w:pPr>
        <w:snapToGrid w:val="0"/>
        <w:ind w:firstLine="425"/>
        <w:jc w:val="both"/>
        <w:rPr>
          <w:sz w:val="20"/>
          <w:szCs w:val="20"/>
        </w:rPr>
      </w:pPr>
      <w:r w:rsidRPr="002558EA">
        <w:rPr>
          <w:sz w:val="20"/>
          <w:szCs w:val="20"/>
        </w:rPr>
        <w:t>Also some studies proved significance difference in response of rhinorrhea, sneezing is decreased and nasal obstruction is releaved.</w:t>
      </w:r>
    </w:p>
    <w:p w:rsidR="00D47F17" w:rsidRPr="002558EA" w:rsidRDefault="00D47F17" w:rsidP="000D14AD">
      <w:pPr>
        <w:snapToGrid w:val="0"/>
        <w:ind w:firstLine="425"/>
        <w:jc w:val="both"/>
        <w:rPr>
          <w:sz w:val="20"/>
          <w:szCs w:val="20"/>
        </w:rPr>
      </w:pPr>
      <w:r w:rsidRPr="002558EA">
        <w:rPr>
          <w:sz w:val="20"/>
          <w:szCs w:val="20"/>
        </w:rPr>
        <w:t>Phanindra Kumar, revealed that one hundred and fifty patients (87 men, 63 women), 76 in the Diosmin group and 74 in the placebo group, completed the trial. There were no significant differences in clinical and biochemical parameters between the two groups before treatment. This randomized double blind study with Diosmin and placebo lasted for one week and the follow up period for one week. Diosmin was given 300 mg three times a day and placebo was also administered in the same dose as identical capsules as Diosrnin. Significant difference in the response between the two groups for the individual parameters was observed. With Diosmin rhinorrhoea subsided in 58 patients (51-100%) while it was in 19 patients (51-100%) in placebo group. Sneezing were decreased in 76 patients (51-100%) (P &lt;0.001) in Diosmin group and 19 patients in placebo group. There was considerable reduction in eosinophilic count of Diosmin group compared to placebo group, there were eleven drop outs (6males, 5 females). No side effects were observed in placebo group but one female and three males complained mild fever in Diosmin group.</w:t>
      </w:r>
    </w:p>
    <w:p w:rsidR="00D47F17" w:rsidRPr="002558EA" w:rsidRDefault="00D47F17" w:rsidP="000D14AD">
      <w:pPr>
        <w:snapToGrid w:val="0"/>
        <w:ind w:firstLine="425"/>
        <w:jc w:val="both"/>
        <w:rPr>
          <w:sz w:val="20"/>
          <w:szCs w:val="20"/>
        </w:rPr>
      </w:pPr>
      <w:r w:rsidRPr="002558EA">
        <w:rPr>
          <w:sz w:val="20"/>
          <w:szCs w:val="20"/>
        </w:rPr>
        <w:t>Our study proved that Diosmin Hesperidin combination has a venotonic action on the nasal mucosa that decrease its secretions and decreases nasal obstruction and rhinorrhea and sneezing from vasomotor rhinitis patients.</w:t>
      </w:r>
    </w:p>
    <w:p w:rsidR="00D47F17" w:rsidRPr="002558EA" w:rsidRDefault="00D47F17" w:rsidP="000D14AD">
      <w:pPr>
        <w:snapToGrid w:val="0"/>
        <w:ind w:firstLine="425"/>
        <w:jc w:val="both"/>
        <w:rPr>
          <w:sz w:val="20"/>
          <w:szCs w:val="20"/>
          <w:lang w:val="en-GB"/>
        </w:rPr>
      </w:pPr>
      <w:r w:rsidRPr="002558EA">
        <w:rPr>
          <w:bCs/>
          <w:sz w:val="20"/>
          <w:szCs w:val="20"/>
          <w:lang w:val="en-GB"/>
        </w:rPr>
        <w:t>Our study is a collective analysis of retrospective and prospective cohort studies done separately in diosmin hesperidin combination in treatment of vasomotor rhinitis versus intranasal steroids in treatment of it.</w:t>
      </w:r>
    </w:p>
    <w:p w:rsidR="00D47F17" w:rsidRPr="002558EA" w:rsidRDefault="00D47F17" w:rsidP="000D14AD">
      <w:pPr>
        <w:snapToGrid w:val="0"/>
        <w:ind w:firstLine="425"/>
        <w:jc w:val="both"/>
        <w:rPr>
          <w:bCs/>
          <w:sz w:val="20"/>
          <w:szCs w:val="20"/>
          <w:lang w:val="en-GB"/>
        </w:rPr>
      </w:pPr>
      <w:r w:rsidRPr="002558EA">
        <w:rPr>
          <w:bCs/>
          <w:sz w:val="20"/>
          <w:szCs w:val="20"/>
          <w:lang w:val="en-GB"/>
        </w:rPr>
        <w:lastRenderedPageBreak/>
        <w:t>The data analysed and results showed statistically significant difference between two modalities of treatment between disomin hesperidin combination (flavinoids) which showing efficacy 86.96% and intranasal steroids showing efficacy 72.5%.</w:t>
      </w:r>
    </w:p>
    <w:p w:rsidR="00D47F17" w:rsidRPr="002558EA" w:rsidRDefault="00D47F17" w:rsidP="000D14AD">
      <w:pPr>
        <w:snapToGrid w:val="0"/>
        <w:ind w:firstLine="425"/>
        <w:jc w:val="both"/>
        <w:rPr>
          <w:sz w:val="20"/>
          <w:szCs w:val="20"/>
        </w:rPr>
      </w:pPr>
      <w:r w:rsidRPr="002558EA">
        <w:rPr>
          <w:sz w:val="20"/>
          <w:szCs w:val="20"/>
        </w:rPr>
        <w:t>Also Disomin Hesperidin administration improves symptoms of vasomotor rhinitis rhinorrhea improved by 92 % from total number of patients and sneezing improved by 89.5 % from total number of patients and nasal obstruction is improved by 84.5 %.</w:t>
      </w:r>
    </w:p>
    <w:p w:rsidR="00092A24" w:rsidRPr="002558EA" w:rsidRDefault="00092A24" w:rsidP="000D14AD">
      <w:pPr>
        <w:snapToGrid w:val="0"/>
        <w:jc w:val="both"/>
        <w:rPr>
          <w:b/>
          <w:bCs/>
          <w:sz w:val="20"/>
          <w:szCs w:val="20"/>
        </w:rPr>
      </w:pPr>
    </w:p>
    <w:p w:rsidR="00D47F17" w:rsidRPr="002558EA" w:rsidRDefault="00D47F17" w:rsidP="000D14AD">
      <w:pPr>
        <w:snapToGrid w:val="0"/>
        <w:jc w:val="both"/>
        <w:rPr>
          <w:b/>
          <w:bCs/>
          <w:sz w:val="20"/>
          <w:szCs w:val="20"/>
        </w:rPr>
      </w:pPr>
      <w:r w:rsidRPr="002558EA">
        <w:rPr>
          <w:b/>
          <w:bCs/>
          <w:sz w:val="20"/>
          <w:szCs w:val="20"/>
        </w:rPr>
        <w:t xml:space="preserve">Limitation of study </w:t>
      </w:r>
    </w:p>
    <w:p w:rsidR="00D47F17" w:rsidRPr="002558EA" w:rsidRDefault="00D47F17" w:rsidP="000D14AD">
      <w:pPr>
        <w:numPr>
          <w:ilvl w:val="0"/>
          <w:numId w:val="12"/>
        </w:numPr>
        <w:snapToGrid w:val="0"/>
        <w:ind w:left="0" w:firstLine="425"/>
        <w:jc w:val="both"/>
        <w:rPr>
          <w:bCs/>
          <w:sz w:val="20"/>
          <w:szCs w:val="20"/>
          <w:lang w:val="en-GB"/>
        </w:rPr>
      </w:pPr>
      <w:r w:rsidRPr="002558EA">
        <w:rPr>
          <w:bCs/>
          <w:sz w:val="20"/>
          <w:szCs w:val="20"/>
          <w:lang w:val="en-GB"/>
        </w:rPr>
        <w:t>Paucity of comparative randomized clinical trials.</w:t>
      </w:r>
    </w:p>
    <w:p w:rsidR="000D14AD" w:rsidRPr="002558EA" w:rsidRDefault="00D47F17" w:rsidP="000D14AD">
      <w:pPr>
        <w:numPr>
          <w:ilvl w:val="0"/>
          <w:numId w:val="12"/>
        </w:numPr>
        <w:snapToGrid w:val="0"/>
        <w:ind w:left="0" w:firstLine="425"/>
        <w:jc w:val="both"/>
        <w:rPr>
          <w:bCs/>
          <w:sz w:val="20"/>
          <w:szCs w:val="20"/>
          <w:lang w:val="en-GB"/>
        </w:rPr>
      </w:pPr>
      <w:r w:rsidRPr="002558EA">
        <w:rPr>
          <w:bCs/>
          <w:sz w:val="20"/>
          <w:szCs w:val="20"/>
          <w:lang w:val="en-GB"/>
        </w:rPr>
        <w:t>Most of included studies were retrospective or prospective cohort studie</w:t>
      </w:r>
      <w:r w:rsidR="000D14AD" w:rsidRPr="002558EA">
        <w:rPr>
          <w:bCs/>
          <w:sz w:val="20"/>
          <w:szCs w:val="20"/>
          <w:lang w:val="en-GB"/>
        </w:rPr>
        <w:t>s.</w:t>
      </w:r>
    </w:p>
    <w:p w:rsidR="00D47F17" w:rsidRPr="002558EA" w:rsidRDefault="00D47F17" w:rsidP="000D14AD">
      <w:pPr>
        <w:numPr>
          <w:ilvl w:val="0"/>
          <w:numId w:val="12"/>
        </w:numPr>
        <w:snapToGrid w:val="0"/>
        <w:ind w:left="0" w:firstLine="425"/>
        <w:jc w:val="both"/>
        <w:rPr>
          <w:bCs/>
          <w:sz w:val="20"/>
          <w:szCs w:val="20"/>
          <w:lang w:val="en-GB"/>
        </w:rPr>
      </w:pPr>
      <w:r w:rsidRPr="002558EA">
        <w:rPr>
          <w:bCs/>
          <w:sz w:val="20"/>
          <w:szCs w:val="20"/>
          <w:lang w:val="en-GB"/>
        </w:rPr>
        <w:t>No definite age group was detected in most of those studies.</w:t>
      </w:r>
    </w:p>
    <w:p w:rsidR="00D47F17" w:rsidRPr="002558EA" w:rsidRDefault="00D47F17" w:rsidP="000D14AD">
      <w:pPr>
        <w:numPr>
          <w:ilvl w:val="0"/>
          <w:numId w:val="12"/>
        </w:numPr>
        <w:snapToGrid w:val="0"/>
        <w:ind w:left="0" w:firstLine="425"/>
        <w:jc w:val="both"/>
        <w:rPr>
          <w:bCs/>
          <w:sz w:val="20"/>
          <w:szCs w:val="20"/>
          <w:lang w:val="en-GB"/>
        </w:rPr>
      </w:pPr>
      <w:r w:rsidRPr="002558EA">
        <w:rPr>
          <w:bCs/>
          <w:sz w:val="20"/>
          <w:szCs w:val="20"/>
          <w:lang w:val="en-GB"/>
        </w:rPr>
        <w:t>No randomization in study sample.</w:t>
      </w:r>
    </w:p>
    <w:p w:rsidR="00D47F17" w:rsidRPr="002558EA" w:rsidRDefault="00D47F17" w:rsidP="000D14AD">
      <w:pPr>
        <w:numPr>
          <w:ilvl w:val="0"/>
          <w:numId w:val="12"/>
        </w:numPr>
        <w:snapToGrid w:val="0"/>
        <w:ind w:left="0" w:firstLine="425"/>
        <w:jc w:val="both"/>
        <w:rPr>
          <w:bCs/>
          <w:sz w:val="20"/>
          <w:szCs w:val="20"/>
          <w:lang w:val="en-GB"/>
        </w:rPr>
      </w:pPr>
      <w:r w:rsidRPr="002558EA">
        <w:rPr>
          <w:bCs/>
          <w:sz w:val="20"/>
          <w:szCs w:val="20"/>
          <w:lang w:val="en-GB"/>
        </w:rPr>
        <w:t>Diversity of sample size between the two techniques.</w:t>
      </w:r>
    </w:p>
    <w:p w:rsidR="00D47F17" w:rsidRPr="002558EA" w:rsidRDefault="00D47F17" w:rsidP="000D14AD">
      <w:pPr>
        <w:numPr>
          <w:ilvl w:val="0"/>
          <w:numId w:val="12"/>
        </w:numPr>
        <w:snapToGrid w:val="0"/>
        <w:ind w:left="0" w:firstLine="425"/>
        <w:jc w:val="both"/>
        <w:rPr>
          <w:bCs/>
          <w:sz w:val="20"/>
          <w:szCs w:val="20"/>
          <w:lang w:val="en-GB"/>
        </w:rPr>
      </w:pPr>
      <w:r w:rsidRPr="002558EA">
        <w:rPr>
          <w:bCs/>
          <w:sz w:val="20"/>
          <w:szCs w:val="20"/>
          <w:lang w:val="en-GB"/>
        </w:rPr>
        <w:t>Absence of similarity in experimental conditions among those techniques.</w:t>
      </w:r>
      <w:r w:rsidRPr="002558EA">
        <w:rPr>
          <w:bCs/>
          <w:sz w:val="20"/>
          <w:szCs w:val="20"/>
        </w:rPr>
        <w:tab/>
      </w:r>
    </w:p>
    <w:p w:rsidR="00092A24" w:rsidRPr="002558EA" w:rsidRDefault="00092A24" w:rsidP="000D14AD">
      <w:pPr>
        <w:snapToGrid w:val="0"/>
        <w:jc w:val="both"/>
        <w:rPr>
          <w:b/>
          <w:bCs/>
          <w:sz w:val="20"/>
          <w:szCs w:val="20"/>
        </w:rPr>
      </w:pPr>
      <w:bookmarkStart w:id="11" w:name="_Toc25148789"/>
    </w:p>
    <w:p w:rsidR="00D47F17" w:rsidRPr="002558EA" w:rsidRDefault="00092A24" w:rsidP="000D14AD">
      <w:pPr>
        <w:snapToGrid w:val="0"/>
        <w:jc w:val="both"/>
        <w:rPr>
          <w:b/>
          <w:bCs/>
          <w:sz w:val="20"/>
          <w:szCs w:val="20"/>
        </w:rPr>
      </w:pPr>
      <w:r w:rsidRPr="002558EA">
        <w:rPr>
          <w:b/>
          <w:bCs/>
          <w:sz w:val="20"/>
          <w:szCs w:val="20"/>
        </w:rPr>
        <w:t>Conclusion</w:t>
      </w:r>
      <w:bookmarkEnd w:id="11"/>
    </w:p>
    <w:p w:rsidR="00D47F17" w:rsidRPr="002558EA" w:rsidRDefault="00D47F17" w:rsidP="000D14AD">
      <w:pPr>
        <w:snapToGrid w:val="0"/>
        <w:ind w:firstLine="425"/>
        <w:jc w:val="both"/>
        <w:rPr>
          <w:sz w:val="20"/>
          <w:szCs w:val="20"/>
        </w:rPr>
      </w:pPr>
      <w:r w:rsidRPr="002558EA">
        <w:rPr>
          <w:bCs/>
          <w:sz w:val="20"/>
          <w:szCs w:val="20"/>
        </w:rPr>
        <w:t>The available data favors the efﬁcacy of usage of Diosmin and Hesperidin combination (Daflon servier) either as a monotherapy or combination with intranasal steroids for cases of Vasomotor Rhinitis, further randomized controlled studies must be conducted in the future.</w:t>
      </w:r>
    </w:p>
    <w:p w:rsidR="00092A24" w:rsidRPr="002558EA" w:rsidRDefault="00092A24" w:rsidP="000D14AD">
      <w:pPr>
        <w:snapToGrid w:val="0"/>
        <w:jc w:val="both"/>
        <w:rPr>
          <w:b/>
          <w:bCs/>
          <w:sz w:val="20"/>
          <w:szCs w:val="20"/>
        </w:rPr>
      </w:pPr>
      <w:bookmarkStart w:id="12" w:name="_Toc25148791"/>
    </w:p>
    <w:p w:rsidR="00D47F17" w:rsidRPr="002558EA" w:rsidRDefault="00092A24" w:rsidP="000D14AD">
      <w:pPr>
        <w:snapToGrid w:val="0"/>
        <w:jc w:val="both"/>
        <w:rPr>
          <w:b/>
          <w:bCs/>
          <w:sz w:val="20"/>
          <w:szCs w:val="20"/>
        </w:rPr>
      </w:pPr>
      <w:r w:rsidRPr="002558EA">
        <w:rPr>
          <w:b/>
          <w:bCs/>
          <w:sz w:val="20"/>
          <w:szCs w:val="20"/>
        </w:rPr>
        <w:t>References</w:t>
      </w:r>
      <w:bookmarkEnd w:id="12"/>
    </w:p>
    <w:p w:rsidR="00D47F17" w:rsidRPr="002558EA" w:rsidRDefault="00D47F17" w:rsidP="000D14AD">
      <w:pPr>
        <w:pStyle w:val="ListParagraph"/>
        <w:numPr>
          <w:ilvl w:val="0"/>
          <w:numId w:val="14"/>
        </w:numPr>
        <w:snapToGrid w:val="0"/>
        <w:ind w:left="425" w:firstLineChars="0" w:hanging="425"/>
        <w:jc w:val="both"/>
        <w:rPr>
          <w:sz w:val="20"/>
          <w:szCs w:val="20"/>
        </w:rPr>
      </w:pPr>
      <w:r w:rsidRPr="002558EA">
        <w:rPr>
          <w:sz w:val="20"/>
          <w:szCs w:val="20"/>
        </w:rPr>
        <w:t>Eli</w:t>
      </w:r>
      <w:r w:rsidR="00DC24C9" w:rsidRPr="002558EA">
        <w:rPr>
          <w:sz w:val="20"/>
          <w:szCs w:val="20"/>
        </w:rPr>
        <w:t xml:space="preserve"> </w:t>
      </w:r>
      <w:r w:rsidRPr="002558EA">
        <w:rPr>
          <w:sz w:val="20"/>
          <w:szCs w:val="20"/>
        </w:rPr>
        <w:t>OM.</w:t>
      </w:r>
      <w:r w:rsidR="00DC24C9" w:rsidRPr="002558EA">
        <w:rPr>
          <w:sz w:val="20"/>
          <w:szCs w:val="20"/>
        </w:rPr>
        <w:t xml:space="preserve"> </w:t>
      </w:r>
      <w:r w:rsidRPr="002558EA">
        <w:rPr>
          <w:sz w:val="20"/>
          <w:szCs w:val="20"/>
        </w:rPr>
        <w:t>The</w:t>
      </w:r>
      <w:r w:rsidR="00DC24C9" w:rsidRPr="002558EA">
        <w:rPr>
          <w:sz w:val="20"/>
          <w:szCs w:val="20"/>
        </w:rPr>
        <w:t xml:space="preserve"> </w:t>
      </w:r>
      <w:r w:rsidRPr="002558EA">
        <w:rPr>
          <w:sz w:val="20"/>
          <w:szCs w:val="20"/>
        </w:rPr>
        <w:t>Treatment</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Vasomotor</w:t>
      </w:r>
      <w:r w:rsidR="00DC24C9" w:rsidRPr="002558EA">
        <w:rPr>
          <w:sz w:val="20"/>
          <w:szCs w:val="20"/>
        </w:rPr>
        <w:t xml:space="preserve"> </w:t>
      </w:r>
      <w:r w:rsidRPr="002558EA">
        <w:rPr>
          <w:sz w:val="20"/>
          <w:szCs w:val="20"/>
        </w:rPr>
        <w:t>Rhinitis</w:t>
      </w:r>
      <w:r w:rsidR="00DC24C9" w:rsidRPr="002558EA">
        <w:rPr>
          <w:sz w:val="20"/>
          <w:szCs w:val="20"/>
        </w:rPr>
        <w:t xml:space="preserve"> </w:t>
      </w:r>
      <w:r w:rsidRPr="002558EA">
        <w:rPr>
          <w:sz w:val="20"/>
          <w:szCs w:val="20"/>
        </w:rPr>
        <w:t>with</w:t>
      </w:r>
      <w:r w:rsidR="00DC24C9" w:rsidRPr="002558EA">
        <w:rPr>
          <w:sz w:val="20"/>
          <w:szCs w:val="20"/>
        </w:rPr>
        <w:t xml:space="preserve"> </w:t>
      </w:r>
      <w:r w:rsidRPr="002558EA">
        <w:rPr>
          <w:sz w:val="20"/>
          <w:szCs w:val="20"/>
        </w:rPr>
        <w:t>Intranasal</w:t>
      </w:r>
      <w:r w:rsidR="00DC24C9" w:rsidRPr="002558EA">
        <w:rPr>
          <w:sz w:val="20"/>
          <w:szCs w:val="20"/>
        </w:rPr>
        <w:t xml:space="preserve"> </w:t>
      </w:r>
      <w:r w:rsidRPr="002558EA">
        <w:rPr>
          <w:sz w:val="20"/>
          <w:szCs w:val="20"/>
        </w:rPr>
        <w:t>Corticosteroids.</w:t>
      </w:r>
      <w:r w:rsidR="00DC24C9" w:rsidRPr="002558EA">
        <w:rPr>
          <w:sz w:val="20"/>
          <w:szCs w:val="20"/>
        </w:rPr>
        <w:t xml:space="preserve"> </w:t>
      </w:r>
      <w:r w:rsidRPr="002558EA">
        <w:rPr>
          <w:sz w:val="20"/>
          <w:szCs w:val="20"/>
        </w:rPr>
        <w:t>WAO</w:t>
      </w:r>
      <w:r w:rsidR="00DC24C9" w:rsidRPr="002558EA">
        <w:rPr>
          <w:sz w:val="20"/>
          <w:szCs w:val="20"/>
        </w:rPr>
        <w:t xml:space="preserve"> </w:t>
      </w:r>
      <w:r w:rsidRPr="002558EA">
        <w:rPr>
          <w:sz w:val="20"/>
          <w:szCs w:val="20"/>
        </w:rPr>
        <w:t>Journal</w:t>
      </w:r>
      <w:r w:rsidR="00DC24C9" w:rsidRPr="002558EA">
        <w:rPr>
          <w:sz w:val="20"/>
          <w:szCs w:val="20"/>
        </w:rPr>
        <w:t xml:space="preserve"> </w:t>
      </w:r>
      <w:r w:rsidRPr="002558EA">
        <w:rPr>
          <w:sz w:val="20"/>
          <w:szCs w:val="20"/>
        </w:rPr>
        <w:t>2009;</w:t>
      </w:r>
      <w:r w:rsidR="00DC24C9" w:rsidRPr="002558EA">
        <w:rPr>
          <w:sz w:val="20"/>
          <w:szCs w:val="20"/>
        </w:rPr>
        <w:t xml:space="preserve"> </w:t>
      </w:r>
      <w:r w:rsidRPr="002558EA">
        <w:rPr>
          <w:sz w:val="20"/>
          <w:szCs w:val="20"/>
        </w:rPr>
        <w:t>2:166–179.</w:t>
      </w:r>
    </w:p>
    <w:p w:rsidR="00D47F17" w:rsidRPr="002558EA" w:rsidRDefault="00D47F17" w:rsidP="000D14AD">
      <w:pPr>
        <w:pStyle w:val="ListParagraph"/>
        <w:numPr>
          <w:ilvl w:val="0"/>
          <w:numId w:val="14"/>
        </w:numPr>
        <w:snapToGrid w:val="0"/>
        <w:ind w:left="425" w:firstLineChars="0" w:hanging="425"/>
        <w:jc w:val="both"/>
        <w:rPr>
          <w:sz w:val="20"/>
          <w:szCs w:val="20"/>
          <w:lang w:bidi="ar-EG"/>
        </w:rPr>
      </w:pPr>
      <w:r w:rsidRPr="002558EA">
        <w:rPr>
          <w:sz w:val="20"/>
          <w:szCs w:val="20"/>
        </w:rPr>
        <w:t>Ezzat</w:t>
      </w:r>
      <w:r w:rsidR="00DC24C9" w:rsidRPr="002558EA">
        <w:rPr>
          <w:sz w:val="20"/>
          <w:szCs w:val="20"/>
        </w:rPr>
        <w:t xml:space="preserve"> </w:t>
      </w:r>
      <w:r w:rsidRPr="002558EA">
        <w:rPr>
          <w:sz w:val="20"/>
          <w:szCs w:val="20"/>
        </w:rPr>
        <w:t>W,</w:t>
      </w:r>
      <w:r w:rsidR="00DC24C9" w:rsidRPr="002558EA">
        <w:rPr>
          <w:sz w:val="20"/>
          <w:szCs w:val="20"/>
        </w:rPr>
        <w:t xml:space="preserve"> </w:t>
      </w:r>
      <w:r w:rsidRPr="002558EA">
        <w:rPr>
          <w:sz w:val="20"/>
          <w:szCs w:val="20"/>
        </w:rPr>
        <w:t>Fawaz</w:t>
      </w:r>
      <w:r w:rsidR="00DC24C9" w:rsidRPr="002558EA">
        <w:rPr>
          <w:sz w:val="20"/>
          <w:szCs w:val="20"/>
        </w:rPr>
        <w:t xml:space="preserve"> </w:t>
      </w:r>
      <w:r w:rsidRPr="002558EA">
        <w:rPr>
          <w:sz w:val="20"/>
          <w:szCs w:val="20"/>
        </w:rPr>
        <w:t>S,</w:t>
      </w:r>
      <w:r w:rsidR="00DC24C9" w:rsidRPr="002558EA">
        <w:rPr>
          <w:sz w:val="20"/>
          <w:szCs w:val="20"/>
        </w:rPr>
        <w:t xml:space="preserve"> </w:t>
      </w:r>
      <w:r w:rsidRPr="002558EA">
        <w:rPr>
          <w:sz w:val="20"/>
          <w:szCs w:val="20"/>
        </w:rPr>
        <w:t>El</w:t>
      </w:r>
      <w:r w:rsidR="00DC24C9" w:rsidRPr="002558EA">
        <w:rPr>
          <w:sz w:val="20"/>
          <w:szCs w:val="20"/>
        </w:rPr>
        <w:t xml:space="preserve"> </w:t>
      </w:r>
      <w:r w:rsidRPr="002558EA">
        <w:rPr>
          <w:sz w:val="20"/>
          <w:szCs w:val="20"/>
        </w:rPr>
        <w:t>Makhzangy</w:t>
      </w:r>
      <w:r w:rsidR="00DC24C9" w:rsidRPr="002558EA">
        <w:rPr>
          <w:sz w:val="20"/>
          <w:szCs w:val="20"/>
        </w:rPr>
        <w:t xml:space="preserve"> </w:t>
      </w:r>
      <w:r w:rsidRPr="002558EA">
        <w:rPr>
          <w:sz w:val="20"/>
          <w:szCs w:val="20"/>
        </w:rPr>
        <w:t>A</w:t>
      </w:r>
      <w:r w:rsidR="00DC24C9" w:rsidRPr="002558EA">
        <w:rPr>
          <w:sz w:val="20"/>
          <w:szCs w:val="20"/>
        </w:rPr>
        <w:t xml:space="preserve"> </w:t>
      </w:r>
      <w:r w:rsidRPr="002558EA">
        <w:rPr>
          <w:sz w:val="20"/>
          <w:szCs w:val="20"/>
        </w:rPr>
        <w:t>and</w:t>
      </w:r>
      <w:r w:rsidR="00DC24C9" w:rsidRPr="002558EA">
        <w:rPr>
          <w:sz w:val="20"/>
          <w:szCs w:val="20"/>
        </w:rPr>
        <w:t xml:space="preserve"> </w:t>
      </w:r>
      <w:r w:rsidRPr="002558EA">
        <w:rPr>
          <w:sz w:val="20"/>
          <w:szCs w:val="20"/>
        </w:rPr>
        <w:t>Rateb</w:t>
      </w:r>
      <w:r w:rsidR="00DC24C9" w:rsidRPr="002558EA">
        <w:rPr>
          <w:sz w:val="20"/>
          <w:szCs w:val="20"/>
        </w:rPr>
        <w:t xml:space="preserve"> </w:t>
      </w:r>
      <w:r w:rsidRPr="002558EA">
        <w:rPr>
          <w:sz w:val="20"/>
          <w:szCs w:val="20"/>
        </w:rPr>
        <w:t>A.</w:t>
      </w:r>
      <w:r w:rsidR="00DC24C9" w:rsidRPr="002558EA">
        <w:rPr>
          <w:sz w:val="20"/>
          <w:szCs w:val="20"/>
        </w:rPr>
        <w:t xml:space="preserve"> </w:t>
      </w:r>
      <w:r w:rsidRPr="002558EA">
        <w:rPr>
          <w:sz w:val="20"/>
          <w:szCs w:val="20"/>
        </w:rPr>
        <w:t>Role</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diosmin-hesperidin</w:t>
      </w:r>
      <w:r w:rsidR="00DC24C9" w:rsidRPr="002558EA">
        <w:rPr>
          <w:sz w:val="20"/>
          <w:szCs w:val="20"/>
        </w:rPr>
        <w:t xml:space="preserve"> </w:t>
      </w:r>
      <w:r w:rsidRPr="002558EA">
        <w:rPr>
          <w:sz w:val="20"/>
          <w:szCs w:val="20"/>
        </w:rPr>
        <w:t>combination</w:t>
      </w:r>
      <w:r w:rsidR="00DC24C9" w:rsidRPr="002558EA">
        <w:rPr>
          <w:sz w:val="20"/>
          <w:szCs w:val="20"/>
        </w:rPr>
        <w:t xml:space="preserve"> </w:t>
      </w:r>
      <w:r w:rsidRPr="002558EA">
        <w:rPr>
          <w:sz w:val="20"/>
          <w:szCs w:val="20"/>
        </w:rPr>
        <w:t>(daflon®</w:t>
      </w:r>
      <w:r w:rsidR="00DC24C9" w:rsidRPr="002558EA">
        <w:rPr>
          <w:sz w:val="20"/>
          <w:szCs w:val="20"/>
        </w:rPr>
        <w:t xml:space="preserve"> </w:t>
      </w:r>
      <w:r w:rsidRPr="002558EA">
        <w:rPr>
          <w:sz w:val="20"/>
          <w:szCs w:val="20"/>
        </w:rPr>
        <w:t>servier)</w:t>
      </w:r>
      <w:r w:rsidR="00DC24C9" w:rsidRPr="002558EA">
        <w:rPr>
          <w:sz w:val="20"/>
          <w:szCs w:val="20"/>
        </w:rPr>
        <w:t xml:space="preserve"> </w:t>
      </w:r>
      <w:r w:rsidRPr="002558EA">
        <w:rPr>
          <w:sz w:val="20"/>
          <w:szCs w:val="20"/>
        </w:rPr>
        <w:t>in</w:t>
      </w:r>
      <w:r w:rsidR="00DC24C9" w:rsidRPr="002558EA">
        <w:rPr>
          <w:sz w:val="20"/>
          <w:szCs w:val="20"/>
        </w:rPr>
        <w:t xml:space="preserve"> </w:t>
      </w:r>
      <w:r w:rsidRPr="002558EA">
        <w:rPr>
          <w:sz w:val="20"/>
          <w:szCs w:val="20"/>
        </w:rPr>
        <w:t>treatment</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vasomotor</w:t>
      </w:r>
      <w:r w:rsidR="00DC24C9" w:rsidRPr="002558EA">
        <w:rPr>
          <w:sz w:val="20"/>
          <w:szCs w:val="20"/>
        </w:rPr>
        <w:t xml:space="preserve"> </w:t>
      </w:r>
      <w:r w:rsidRPr="002558EA">
        <w:rPr>
          <w:sz w:val="20"/>
          <w:szCs w:val="20"/>
        </w:rPr>
        <w:t>rhinitis</w:t>
      </w:r>
      <w:r w:rsidR="00DC24C9" w:rsidRPr="002558EA">
        <w:rPr>
          <w:sz w:val="20"/>
          <w:szCs w:val="20"/>
        </w:rPr>
        <w:t xml:space="preserve"> </w:t>
      </w:r>
      <w:r w:rsidRPr="002558EA">
        <w:rPr>
          <w:sz w:val="20"/>
          <w:szCs w:val="20"/>
        </w:rPr>
        <w:t>in</w:t>
      </w:r>
      <w:r w:rsidR="00DC24C9" w:rsidRPr="002558EA">
        <w:rPr>
          <w:sz w:val="20"/>
          <w:szCs w:val="20"/>
        </w:rPr>
        <w:t xml:space="preserve"> </w:t>
      </w:r>
      <w:r w:rsidRPr="002558EA">
        <w:rPr>
          <w:sz w:val="20"/>
          <w:szCs w:val="20"/>
        </w:rPr>
        <w:t>prgnancy.</w:t>
      </w:r>
      <w:r w:rsidR="00DC24C9" w:rsidRPr="002558EA">
        <w:rPr>
          <w:sz w:val="20"/>
          <w:szCs w:val="20"/>
        </w:rPr>
        <w:t xml:space="preserve"> </w:t>
      </w:r>
      <w:r w:rsidRPr="002558EA">
        <w:rPr>
          <w:sz w:val="20"/>
          <w:szCs w:val="20"/>
        </w:rPr>
        <w:t>OtoRhinolaryngology,</w:t>
      </w:r>
      <w:r w:rsidR="00DC24C9" w:rsidRPr="002558EA">
        <w:rPr>
          <w:sz w:val="20"/>
          <w:szCs w:val="20"/>
        </w:rPr>
        <w:t xml:space="preserve"> </w:t>
      </w:r>
      <w:r w:rsidRPr="002558EA">
        <w:rPr>
          <w:sz w:val="20"/>
          <w:szCs w:val="20"/>
        </w:rPr>
        <w:t>Gynecology</w:t>
      </w:r>
      <w:r w:rsidR="00DC24C9" w:rsidRPr="002558EA">
        <w:rPr>
          <w:sz w:val="20"/>
          <w:szCs w:val="20"/>
        </w:rPr>
        <w:t xml:space="preserve"> </w:t>
      </w:r>
      <w:r w:rsidRPr="002558EA">
        <w:rPr>
          <w:sz w:val="20"/>
          <w:szCs w:val="20"/>
        </w:rPr>
        <w:t>and</w:t>
      </w:r>
      <w:r w:rsidR="00DC24C9" w:rsidRPr="002558EA">
        <w:rPr>
          <w:sz w:val="20"/>
          <w:szCs w:val="20"/>
        </w:rPr>
        <w:t xml:space="preserve"> </w:t>
      </w:r>
      <w:r w:rsidRPr="002558EA">
        <w:rPr>
          <w:sz w:val="20"/>
          <w:szCs w:val="20"/>
        </w:rPr>
        <w:t>Obstetrics</w:t>
      </w:r>
      <w:r w:rsidR="00DC24C9" w:rsidRPr="002558EA">
        <w:rPr>
          <w:sz w:val="20"/>
          <w:szCs w:val="20"/>
        </w:rPr>
        <w:t xml:space="preserve"> </w:t>
      </w:r>
      <w:r w:rsidRPr="002558EA">
        <w:rPr>
          <w:sz w:val="20"/>
          <w:szCs w:val="20"/>
        </w:rPr>
        <w:t>departments,</w:t>
      </w:r>
      <w:r w:rsidR="00DC24C9" w:rsidRPr="002558EA">
        <w:rPr>
          <w:sz w:val="20"/>
          <w:szCs w:val="20"/>
        </w:rPr>
        <w:t xml:space="preserve"> </w:t>
      </w:r>
      <w:r w:rsidRPr="002558EA">
        <w:rPr>
          <w:sz w:val="20"/>
          <w:szCs w:val="20"/>
        </w:rPr>
        <w:t>Faculty</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Medicine,</w:t>
      </w:r>
      <w:r w:rsidR="00DC24C9" w:rsidRPr="002558EA">
        <w:rPr>
          <w:sz w:val="20"/>
          <w:szCs w:val="20"/>
        </w:rPr>
        <w:t xml:space="preserve"> </w:t>
      </w:r>
      <w:r w:rsidRPr="002558EA">
        <w:rPr>
          <w:sz w:val="20"/>
          <w:szCs w:val="20"/>
        </w:rPr>
        <w:t>Ain-Shams</w:t>
      </w:r>
      <w:r w:rsidR="00DC24C9" w:rsidRPr="002558EA">
        <w:rPr>
          <w:sz w:val="20"/>
          <w:szCs w:val="20"/>
        </w:rPr>
        <w:t xml:space="preserve"> </w:t>
      </w:r>
      <w:r w:rsidRPr="002558EA">
        <w:rPr>
          <w:sz w:val="20"/>
          <w:szCs w:val="20"/>
        </w:rPr>
        <w:t>University,</w:t>
      </w:r>
      <w:r w:rsidR="00DC24C9" w:rsidRPr="002558EA">
        <w:rPr>
          <w:sz w:val="20"/>
          <w:szCs w:val="20"/>
        </w:rPr>
        <w:t xml:space="preserve"> </w:t>
      </w:r>
      <w:r w:rsidRPr="002558EA">
        <w:rPr>
          <w:sz w:val="20"/>
          <w:szCs w:val="20"/>
        </w:rPr>
        <w:t>Egypt.</w:t>
      </w:r>
      <w:r w:rsidR="00DC24C9" w:rsidRPr="002558EA">
        <w:rPr>
          <w:sz w:val="20"/>
          <w:szCs w:val="20"/>
        </w:rPr>
        <w:t xml:space="preserve"> </w:t>
      </w:r>
      <w:r w:rsidRPr="002558EA">
        <w:rPr>
          <w:sz w:val="20"/>
          <w:szCs w:val="20"/>
        </w:rPr>
        <w:t>Egypt.</w:t>
      </w:r>
      <w:r w:rsidR="00DC24C9" w:rsidRPr="002558EA">
        <w:rPr>
          <w:sz w:val="20"/>
          <w:szCs w:val="20"/>
        </w:rPr>
        <w:t xml:space="preserve"> </w:t>
      </w:r>
      <w:r w:rsidRPr="002558EA">
        <w:rPr>
          <w:sz w:val="20"/>
          <w:szCs w:val="20"/>
        </w:rPr>
        <w:t>J.</w:t>
      </w:r>
      <w:r w:rsidR="00DC24C9" w:rsidRPr="002558EA">
        <w:rPr>
          <w:sz w:val="20"/>
          <w:szCs w:val="20"/>
        </w:rPr>
        <w:t xml:space="preserve"> </w:t>
      </w:r>
      <w:r w:rsidRPr="002558EA">
        <w:rPr>
          <w:sz w:val="20"/>
          <w:szCs w:val="20"/>
        </w:rPr>
        <w:t>Otolaryngol.,</w:t>
      </w:r>
      <w:r w:rsidR="00DC24C9" w:rsidRPr="002558EA">
        <w:rPr>
          <w:sz w:val="20"/>
          <w:szCs w:val="20"/>
        </w:rPr>
        <w:t xml:space="preserve"> </w:t>
      </w:r>
      <w:r w:rsidRPr="002558EA">
        <w:rPr>
          <w:sz w:val="20"/>
          <w:szCs w:val="20"/>
        </w:rPr>
        <w:t>2009;</w:t>
      </w:r>
      <w:r w:rsidR="00DC24C9" w:rsidRPr="002558EA">
        <w:rPr>
          <w:sz w:val="20"/>
          <w:szCs w:val="20"/>
        </w:rPr>
        <w:t xml:space="preserve"> </w:t>
      </w:r>
      <w:r w:rsidRPr="002558EA">
        <w:rPr>
          <w:sz w:val="20"/>
          <w:szCs w:val="20"/>
        </w:rPr>
        <w:t>25(1).</w:t>
      </w:r>
    </w:p>
    <w:p w:rsidR="00D47F17" w:rsidRPr="002558EA" w:rsidRDefault="00D47F17" w:rsidP="000D14AD">
      <w:pPr>
        <w:pStyle w:val="ListParagraph"/>
        <w:numPr>
          <w:ilvl w:val="0"/>
          <w:numId w:val="14"/>
        </w:numPr>
        <w:snapToGrid w:val="0"/>
        <w:ind w:left="425" w:firstLineChars="0" w:hanging="425"/>
        <w:jc w:val="both"/>
        <w:rPr>
          <w:sz w:val="20"/>
          <w:szCs w:val="20"/>
        </w:rPr>
      </w:pPr>
      <w:r w:rsidRPr="002558EA">
        <w:rPr>
          <w:sz w:val="20"/>
          <w:szCs w:val="20"/>
        </w:rPr>
        <w:t>Hellings</w:t>
      </w:r>
      <w:r w:rsidR="00DC24C9" w:rsidRPr="002558EA">
        <w:rPr>
          <w:sz w:val="20"/>
          <w:szCs w:val="20"/>
        </w:rPr>
        <w:t xml:space="preserve"> </w:t>
      </w:r>
      <w:r w:rsidRPr="002558EA">
        <w:rPr>
          <w:sz w:val="20"/>
          <w:szCs w:val="20"/>
        </w:rPr>
        <w:t>PW,</w:t>
      </w:r>
      <w:r w:rsidR="00DC24C9" w:rsidRPr="002558EA">
        <w:rPr>
          <w:sz w:val="20"/>
          <w:szCs w:val="20"/>
        </w:rPr>
        <w:t xml:space="preserve"> </w:t>
      </w:r>
      <w:r w:rsidRPr="002558EA">
        <w:rPr>
          <w:sz w:val="20"/>
          <w:szCs w:val="20"/>
        </w:rPr>
        <w:t>Klimek</w:t>
      </w:r>
      <w:r w:rsidR="00DC24C9" w:rsidRPr="002558EA">
        <w:rPr>
          <w:sz w:val="20"/>
          <w:szCs w:val="20"/>
        </w:rPr>
        <w:t xml:space="preserve"> </w:t>
      </w:r>
      <w:r w:rsidRPr="002558EA">
        <w:rPr>
          <w:sz w:val="20"/>
          <w:szCs w:val="20"/>
        </w:rPr>
        <w:t>L,</w:t>
      </w:r>
      <w:r w:rsidR="00DC24C9" w:rsidRPr="002558EA">
        <w:rPr>
          <w:sz w:val="20"/>
          <w:szCs w:val="20"/>
        </w:rPr>
        <w:t xml:space="preserve"> </w:t>
      </w:r>
      <w:r w:rsidRPr="002558EA">
        <w:rPr>
          <w:sz w:val="20"/>
          <w:szCs w:val="20"/>
        </w:rPr>
        <w:t>Cingi</w:t>
      </w:r>
      <w:r w:rsidR="00DC24C9" w:rsidRPr="002558EA">
        <w:rPr>
          <w:sz w:val="20"/>
          <w:szCs w:val="20"/>
        </w:rPr>
        <w:t xml:space="preserve"> </w:t>
      </w:r>
      <w:r w:rsidRPr="002558EA">
        <w:rPr>
          <w:sz w:val="20"/>
          <w:szCs w:val="20"/>
        </w:rPr>
        <w:t>C,</w:t>
      </w:r>
      <w:r w:rsidR="00DC24C9" w:rsidRPr="002558EA">
        <w:rPr>
          <w:sz w:val="20"/>
          <w:szCs w:val="20"/>
        </w:rPr>
        <w:t xml:space="preserve"> </w:t>
      </w:r>
      <w:r w:rsidRPr="002558EA">
        <w:rPr>
          <w:sz w:val="20"/>
          <w:szCs w:val="20"/>
        </w:rPr>
        <w:t>Agache</w:t>
      </w:r>
      <w:r w:rsidR="00DC24C9" w:rsidRPr="002558EA">
        <w:rPr>
          <w:sz w:val="20"/>
          <w:szCs w:val="20"/>
        </w:rPr>
        <w:t xml:space="preserve"> </w:t>
      </w:r>
      <w:r w:rsidRPr="002558EA">
        <w:rPr>
          <w:sz w:val="20"/>
          <w:szCs w:val="20"/>
        </w:rPr>
        <w:t>I,</w:t>
      </w:r>
      <w:r w:rsidR="00DC24C9" w:rsidRPr="002558EA">
        <w:rPr>
          <w:sz w:val="20"/>
          <w:szCs w:val="20"/>
        </w:rPr>
        <w:t xml:space="preserve"> </w:t>
      </w:r>
      <w:r w:rsidRPr="002558EA">
        <w:rPr>
          <w:sz w:val="20"/>
          <w:szCs w:val="20"/>
        </w:rPr>
        <w:t>Akdis</w:t>
      </w:r>
      <w:r w:rsidR="00DC24C9" w:rsidRPr="002558EA">
        <w:rPr>
          <w:sz w:val="20"/>
          <w:szCs w:val="20"/>
        </w:rPr>
        <w:t xml:space="preserve"> </w:t>
      </w:r>
      <w:r w:rsidRPr="002558EA">
        <w:rPr>
          <w:sz w:val="20"/>
          <w:szCs w:val="20"/>
        </w:rPr>
        <w:t>C,</w:t>
      </w:r>
      <w:r w:rsidR="00DC24C9" w:rsidRPr="002558EA">
        <w:rPr>
          <w:sz w:val="20"/>
          <w:szCs w:val="20"/>
        </w:rPr>
        <w:t xml:space="preserve"> </w:t>
      </w:r>
      <w:r w:rsidRPr="002558EA">
        <w:rPr>
          <w:sz w:val="20"/>
          <w:szCs w:val="20"/>
        </w:rPr>
        <w:t>Bachert</w:t>
      </w:r>
      <w:r w:rsidR="00DC24C9" w:rsidRPr="002558EA">
        <w:rPr>
          <w:sz w:val="20"/>
          <w:szCs w:val="20"/>
        </w:rPr>
        <w:t xml:space="preserve"> </w:t>
      </w:r>
      <w:r w:rsidRPr="002558EA">
        <w:rPr>
          <w:sz w:val="20"/>
          <w:szCs w:val="20"/>
        </w:rPr>
        <w:t>C,</w:t>
      </w:r>
      <w:r w:rsidR="00DC24C9" w:rsidRPr="002558EA">
        <w:rPr>
          <w:sz w:val="20"/>
          <w:szCs w:val="20"/>
        </w:rPr>
        <w:t xml:space="preserve"> </w:t>
      </w:r>
      <w:r w:rsidRPr="002558EA">
        <w:rPr>
          <w:sz w:val="20"/>
          <w:szCs w:val="20"/>
        </w:rPr>
        <w:t>Bousquet</w:t>
      </w:r>
      <w:r w:rsidR="00DC24C9" w:rsidRPr="002558EA">
        <w:rPr>
          <w:sz w:val="20"/>
          <w:szCs w:val="20"/>
        </w:rPr>
        <w:t xml:space="preserve"> </w:t>
      </w:r>
      <w:r w:rsidRPr="002558EA">
        <w:rPr>
          <w:sz w:val="20"/>
          <w:szCs w:val="20"/>
        </w:rPr>
        <w:t>J,</w:t>
      </w:r>
      <w:r w:rsidR="00DC24C9" w:rsidRPr="002558EA">
        <w:rPr>
          <w:sz w:val="20"/>
          <w:szCs w:val="20"/>
        </w:rPr>
        <w:t xml:space="preserve"> </w:t>
      </w:r>
      <w:r w:rsidRPr="002558EA">
        <w:rPr>
          <w:sz w:val="20"/>
          <w:szCs w:val="20"/>
        </w:rPr>
        <w:t>Demoly</w:t>
      </w:r>
      <w:r w:rsidR="00DC24C9" w:rsidRPr="002558EA">
        <w:rPr>
          <w:sz w:val="20"/>
          <w:szCs w:val="20"/>
        </w:rPr>
        <w:t xml:space="preserve"> </w:t>
      </w:r>
      <w:r w:rsidRPr="002558EA">
        <w:rPr>
          <w:sz w:val="20"/>
          <w:szCs w:val="20"/>
        </w:rPr>
        <w:t>P,</w:t>
      </w:r>
      <w:r w:rsidR="00DC24C9" w:rsidRPr="002558EA">
        <w:rPr>
          <w:sz w:val="20"/>
          <w:szCs w:val="20"/>
        </w:rPr>
        <w:t xml:space="preserve"> </w:t>
      </w:r>
      <w:r w:rsidRPr="002558EA">
        <w:rPr>
          <w:sz w:val="20"/>
          <w:szCs w:val="20"/>
        </w:rPr>
        <w:t>Gevaert</w:t>
      </w:r>
      <w:r w:rsidR="00DC24C9" w:rsidRPr="002558EA">
        <w:rPr>
          <w:sz w:val="20"/>
          <w:szCs w:val="20"/>
        </w:rPr>
        <w:t xml:space="preserve"> </w:t>
      </w:r>
      <w:r w:rsidRPr="002558EA">
        <w:rPr>
          <w:sz w:val="20"/>
          <w:szCs w:val="20"/>
        </w:rPr>
        <w:t>P,</w:t>
      </w:r>
      <w:r w:rsidR="00DC24C9" w:rsidRPr="002558EA">
        <w:rPr>
          <w:sz w:val="20"/>
          <w:szCs w:val="20"/>
        </w:rPr>
        <w:t xml:space="preserve"> </w:t>
      </w:r>
      <w:r w:rsidRPr="002558EA">
        <w:rPr>
          <w:sz w:val="20"/>
          <w:szCs w:val="20"/>
        </w:rPr>
        <w:t>Hox</w:t>
      </w:r>
      <w:r w:rsidR="00DC24C9" w:rsidRPr="002558EA">
        <w:rPr>
          <w:sz w:val="20"/>
          <w:szCs w:val="20"/>
        </w:rPr>
        <w:t xml:space="preserve"> </w:t>
      </w:r>
      <w:r w:rsidRPr="002558EA">
        <w:rPr>
          <w:sz w:val="20"/>
          <w:szCs w:val="20"/>
        </w:rPr>
        <w:t>V,</w:t>
      </w:r>
      <w:r w:rsidR="00DC24C9" w:rsidRPr="002558EA">
        <w:rPr>
          <w:sz w:val="20"/>
          <w:szCs w:val="20"/>
        </w:rPr>
        <w:t xml:space="preserve"> </w:t>
      </w:r>
      <w:r w:rsidRPr="002558EA">
        <w:rPr>
          <w:sz w:val="20"/>
          <w:szCs w:val="20"/>
        </w:rPr>
        <w:t>Hupin</w:t>
      </w:r>
      <w:r w:rsidR="00DC24C9" w:rsidRPr="002558EA">
        <w:rPr>
          <w:sz w:val="20"/>
          <w:szCs w:val="20"/>
        </w:rPr>
        <w:t xml:space="preserve"> </w:t>
      </w:r>
      <w:r w:rsidRPr="002558EA">
        <w:rPr>
          <w:sz w:val="20"/>
          <w:szCs w:val="20"/>
        </w:rPr>
        <w:t>C.</w:t>
      </w:r>
      <w:r w:rsidR="00DC24C9" w:rsidRPr="002558EA">
        <w:rPr>
          <w:sz w:val="20"/>
          <w:szCs w:val="20"/>
        </w:rPr>
        <w:t xml:space="preserve"> </w:t>
      </w:r>
      <w:r w:rsidRPr="002558EA">
        <w:rPr>
          <w:sz w:val="20"/>
          <w:szCs w:val="20"/>
        </w:rPr>
        <w:t>Non-allergic</w:t>
      </w:r>
      <w:r w:rsidR="00DC24C9" w:rsidRPr="002558EA">
        <w:rPr>
          <w:sz w:val="20"/>
          <w:szCs w:val="20"/>
        </w:rPr>
        <w:t xml:space="preserve"> </w:t>
      </w:r>
      <w:r w:rsidRPr="002558EA">
        <w:rPr>
          <w:sz w:val="20"/>
          <w:szCs w:val="20"/>
        </w:rPr>
        <w:t>rhinitis:</w:t>
      </w:r>
      <w:r w:rsidR="00DC24C9" w:rsidRPr="002558EA">
        <w:rPr>
          <w:sz w:val="20"/>
          <w:szCs w:val="20"/>
        </w:rPr>
        <w:t xml:space="preserve"> </w:t>
      </w:r>
      <w:r w:rsidRPr="002558EA">
        <w:rPr>
          <w:sz w:val="20"/>
          <w:szCs w:val="20"/>
        </w:rPr>
        <w:t>position</w:t>
      </w:r>
      <w:r w:rsidR="00DC24C9" w:rsidRPr="002558EA">
        <w:rPr>
          <w:sz w:val="20"/>
          <w:szCs w:val="20"/>
        </w:rPr>
        <w:t xml:space="preserve"> </w:t>
      </w:r>
      <w:r w:rsidRPr="002558EA">
        <w:rPr>
          <w:sz w:val="20"/>
          <w:szCs w:val="20"/>
        </w:rPr>
        <w:t>paper</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the</w:t>
      </w:r>
      <w:r w:rsidR="00DC24C9" w:rsidRPr="002558EA">
        <w:rPr>
          <w:sz w:val="20"/>
          <w:szCs w:val="20"/>
        </w:rPr>
        <w:t xml:space="preserve"> </w:t>
      </w:r>
      <w:r w:rsidRPr="002558EA">
        <w:rPr>
          <w:sz w:val="20"/>
          <w:szCs w:val="20"/>
        </w:rPr>
        <w:t>European</w:t>
      </w:r>
      <w:r w:rsidR="00DC24C9" w:rsidRPr="002558EA">
        <w:rPr>
          <w:sz w:val="20"/>
          <w:szCs w:val="20"/>
        </w:rPr>
        <w:t xml:space="preserve"> </w:t>
      </w:r>
      <w:r w:rsidRPr="002558EA">
        <w:rPr>
          <w:sz w:val="20"/>
          <w:szCs w:val="20"/>
        </w:rPr>
        <w:t>Academy</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Allergy</w:t>
      </w:r>
      <w:r w:rsidR="00DC24C9" w:rsidRPr="002558EA">
        <w:rPr>
          <w:sz w:val="20"/>
          <w:szCs w:val="20"/>
        </w:rPr>
        <w:t xml:space="preserve"> </w:t>
      </w:r>
      <w:r w:rsidRPr="002558EA">
        <w:rPr>
          <w:sz w:val="20"/>
          <w:szCs w:val="20"/>
        </w:rPr>
        <w:t>and</w:t>
      </w:r>
      <w:r w:rsidR="00DC24C9" w:rsidRPr="002558EA">
        <w:rPr>
          <w:sz w:val="20"/>
          <w:szCs w:val="20"/>
        </w:rPr>
        <w:t xml:space="preserve"> </w:t>
      </w:r>
      <w:r w:rsidRPr="002558EA">
        <w:rPr>
          <w:sz w:val="20"/>
          <w:szCs w:val="20"/>
        </w:rPr>
        <w:t>Clinical</w:t>
      </w:r>
      <w:r w:rsidR="00DC24C9" w:rsidRPr="002558EA">
        <w:rPr>
          <w:sz w:val="20"/>
          <w:szCs w:val="20"/>
        </w:rPr>
        <w:t xml:space="preserve"> </w:t>
      </w:r>
      <w:r w:rsidRPr="002558EA">
        <w:rPr>
          <w:sz w:val="20"/>
          <w:szCs w:val="20"/>
        </w:rPr>
        <w:t>Immunology.</w:t>
      </w:r>
      <w:r w:rsidR="00DC24C9" w:rsidRPr="002558EA">
        <w:rPr>
          <w:sz w:val="20"/>
          <w:szCs w:val="20"/>
        </w:rPr>
        <w:t xml:space="preserve"> </w:t>
      </w:r>
      <w:r w:rsidRPr="002558EA">
        <w:rPr>
          <w:sz w:val="20"/>
          <w:szCs w:val="20"/>
        </w:rPr>
        <w:t>Allergy.</w:t>
      </w:r>
      <w:r w:rsidR="00DC24C9" w:rsidRPr="002558EA">
        <w:rPr>
          <w:sz w:val="20"/>
          <w:szCs w:val="20"/>
        </w:rPr>
        <w:t xml:space="preserve"> </w:t>
      </w:r>
      <w:r w:rsidRPr="002558EA">
        <w:rPr>
          <w:sz w:val="20"/>
          <w:szCs w:val="20"/>
        </w:rPr>
        <w:t>2017;</w:t>
      </w:r>
      <w:r w:rsidR="00DC24C9" w:rsidRPr="002558EA">
        <w:rPr>
          <w:sz w:val="20"/>
          <w:szCs w:val="20"/>
        </w:rPr>
        <w:t xml:space="preserve"> </w:t>
      </w:r>
      <w:r w:rsidRPr="002558EA">
        <w:rPr>
          <w:sz w:val="20"/>
          <w:szCs w:val="20"/>
        </w:rPr>
        <w:t>72(11):1657-65.</w:t>
      </w:r>
    </w:p>
    <w:p w:rsidR="00D47F17" w:rsidRPr="002558EA" w:rsidRDefault="00D47F17" w:rsidP="000D14AD">
      <w:pPr>
        <w:pStyle w:val="ListParagraph"/>
        <w:numPr>
          <w:ilvl w:val="0"/>
          <w:numId w:val="14"/>
        </w:numPr>
        <w:snapToGrid w:val="0"/>
        <w:ind w:left="425" w:firstLineChars="0" w:hanging="425"/>
        <w:jc w:val="both"/>
        <w:rPr>
          <w:sz w:val="20"/>
          <w:szCs w:val="20"/>
        </w:rPr>
      </w:pPr>
      <w:r w:rsidRPr="002558EA">
        <w:rPr>
          <w:sz w:val="20"/>
          <w:szCs w:val="20"/>
        </w:rPr>
        <w:t>Jaradeh</w:t>
      </w:r>
      <w:r w:rsidR="00DC24C9" w:rsidRPr="002558EA">
        <w:rPr>
          <w:sz w:val="20"/>
          <w:szCs w:val="20"/>
        </w:rPr>
        <w:t xml:space="preserve"> </w:t>
      </w:r>
      <w:r w:rsidRPr="002558EA">
        <w:rPr>
          <w:sz w:val="20"/>
          <w:szCs w:val="20"/>
        </w:rPr>
        <w:t>SS,</w:t>
      </w:r>
      <w:r w:rsidR="00DC24C9" w:rsidRPr="002558EA">
        <w:rPr>
          <w:sz w:val="20"/>
          <w:szCs w:val="20"/>
        </w:rPr>
        <w:t xml:space="preserve"> </w:t>
      </w:r>
      <w:r w:rsidRPr="002558EA">
        <w:rPr>
          <w:sz w:val="20"/>
          <w:szCs w:val="20"/>
        </w:rPr>
        <w:t>Smith</w:t>
      </w:r>
      <w:r w:rsidR="00DC24C9" w:rsidRPr="002558EA">
        <w:rPr>
          <w:sz w:val="20"/>
          <w:szCs w:val="20"/>
        </w:rPr>
        <w:t xml:space="preserve"> </w:t>
      </w:r>
      <w:r w:rsidRPr="002558EA">
        <w:rPr>
          <w:sz w:val="20"/>
          <w:szCs w:val="20"/>
        </w:rPr>
        <w:t>TL,</w:t>
      </w:r>
      <w:r w:rsidR="00DC24C9" w:rsidRPr="002558EA">
        <w:rPr>
          <w:sz w:val="20"/>
          <w:szCs w:val="20"/>
        </w:rPr>
        <w:t xml:space="preserve"> </w:t>
      </w:r>
      <w:r w:rsidRPr="002558EA">
        <w:rPr>
          <w:sz w:val="20"/>
          <w:szCs w:val="20"/>
        </w:rPr>
        <w:t>Torrico</w:t>
      </w:r>
      <w:r w:rsidR="00DC24C9" w:rsidRPr="002558EA">
        <w:rPr>
          <w:sz w:val="20"/>
          <w:szCs w:val="20"/>
        </w:rPr>
        <w:t xml:space="preserve"> </w:t>
      </w:r>
      <w:r w:rsidRPr="002558EA">
        <w:rPr>
          <w:sz w:val="20"/>
          <w:szCs w:val="20"/>
        </w:rPr>
        <w:t>L,</w:t>
      </w:r>
      <w:r w:rsidR="00DC24C9" w:rsidRPr="002558EA">
        <w:rPr>
          <w:sz w:val="20"/>
          <w:szCs w:val="20"/>
        </w:rPr>
        <w:t xml:space="preserve"> </w:t>
      </w:r>
      <w:r w:rsidRPr="002558EA">
        <w:rPr>
          <w:sz w:val="20"/>
          <w:szCs w:val="20"/>
        </w:rPr>
        <w:t>Prieto</w:t>
      </w:r>
      <w:r w:rsidR="00DC24C9" w:rsidRPr="002558EA">
        <w:rPr>
          <w:sz w:val="20"/>
          <w:szCs w:val="20"/>
        </w:rPr>
        <w:t xml:space="preserve"> </w:t>
      </w:r>
      <w:r w:rsidRPr="002558EA">
        <w:rPr>
          <w:sz w:val="20"/>
          <w:szCs w:val="20"/>
        </w:rPr>
        <w:t>TE,</w:t>
      </w:r>
      <w:r w:rsidR="00DC24C9" w:rsidRPr="002558EA">
        <w:rPr>
          <w:sz w:val="20"/>
          <w:szCs w:val="20"/>
        </w:rPr>
        <w:t xml:space="preserve"> </w:t>
      </w:r>
      <w:r w:rsidRPr="002558EA">
        <w:rPr>
          <w:sz w:val="20"/>
          <w:szCs w:val="20"/>
        </w:rPr>
        <w:t>Loehrl</w:t>
      </w:r>
      <w:r w:rsidR="00DC24C9" w:rsidRPr="002558EA">
        <w:rPr>
          <w:sz w:val="20"/>
          <w:szCs w:val="20"/>
        </w:rPr>
        <w:t xml:space="preserve"> </w:t>
      </w:r>
      <w:r w:rsidRPr="002558EA">
        <w:rPr>
          <w:sz w:val="20"/>
          <w:szCs w:val="20"/>
        </w:rPr>
        <w:t>TA,</w:t>
      </w:r>
      <w:r w:rsidR="00DC24C9" w:rsidRPr="002558EA">
        <w:rPr>
          <w:sz w:val="20"/>
          <w:szCs w:val="20"/>
        </w:rPr>
        <w:t xml:space="preserve"> </w:t>
      </w:r>
      <w:r w:rsidRPr="002558EA">
        <w:rPr>
          <w:sz w:val="20"/>
          <w:szCs w:val="20"/>
        </w:rPr>
        <w:t>Darling</w:t>
      </w:r>
      <w:r w:rsidR="00DC24C9" w:rsidRPr="002558EA">
        <w:rPr>
          <w:sz w:val="20"/>
          <w:szCs w:val="20"/>
        </w:rPr>
        <w:t xml:space="preserve"> </w:t>
      </w:r>
      <w:r w:rsidRPr="002558EA">
        <w:rPr>
          <w:sz w:val="20"/>
          <w:szCs w:val="20"/>
        </w:rPr>
        <w:t>RJ,</w:t>
      </w:r>
      <w:r w:rsidR="00DC24C9" w:rsidRPr="002558EA">
        <w:rPr>
          <w:sz w:val="20"/>
          <w:szCs w:val="20"/>
        </w:rPr>
        <w:t xml:space="preserve"> </w:t>
      </w:r>
      <w:r w:rsidRPr="002558EA">
        <w:rPr>
          <w:sz w:val="20"/>
          <w:szCs w:val="20"/>
        </w:rPr>
        <w:t>Toohill</w:t>
      </w:r>
      <w:r w:rsidR="00DC24C9" w:rsidRPr="002558EA">
        <w:rPr>
          <w:sz w:val="20"/>
          <w:szCs w:val="20"/>
        </w:rPr>
        <w:t xml:space="preserve"> </w:t>
      </w:r>
      <w:r w:rsidRPr="002558EA">
        <w:rPr>
          <w:sz w:val="20"/>
          <w:szCs w:val="20"/>
        </w:rPr>
        <w:t>RJ.</w:t>
      </w:r>
      <w:r w:rsidR="00DC24C9" w:rsidRPr="002558EA">
        <w:rPr>
          <w:sz w:val="20"/>
          <w:szCs w:val="20"/>
        </w:rPr>
        <w:t xml:space="preserve"> </w:t>
      </w:r>
      <w:r w:rsidRPr="002558EA">
        <w:rPr>
          <w:sz w:val="20"/>
          <w:szCs w:val="20"/>
        </w:rPr>
        <w:t>Autonomic</w:t>
      </w:r>
      <w:r w:rsidR="00DC24C9" w:rsidRPr="002558EA">
        <w:rPr>
          <w:sz w:val="20"/>
          <w:szCs w:val="20"/>
        </w:rPr>
        <w:t xml:space="preserve"> </w:t>
      </w:r>
      <w:r w:rsidRPr="002558EA">
        <w:rPr>
          <w:sz w:val="20"/>
          <w:szCs w:val="20"/>
        </w:rPr>
        <w:t>nervous</w:t>
      </w:r>
      <w:r w:rsidR="00DC24C9" w:rsidRPr="002558EA">
        <w:rPr>
          <w:sz w:val="20"/>
          <w:szCs w:val="20"/>
        </w:rPr>
        <w:t xml:space="preserve"> </w:t>
      </w:r>
      <w:r w:rsidRPr="002558EA">
        <w:rPr>
          <w:sz w:val="20"/>
          <w:szCs w:val="20"/>
        </w:rPr>
        <w:t>system</w:t>
      </w:r>
      <w:r w:rsidR="00DC24C9" w:rsidRPr="002558EA">
        <w:rPr>
          <w:sz w:val="20"/>
          <w:szCs w:val="20"/>
        </w:rPr>
        <w:t xml:space="preserve"> </w:t>
      </w:r>
      <w:r w:rsidRPr="002558EA">
        <w:rPr>
          <w:sz w:val="20"/>
          <w:szCs w:val="20"/>
        </w:rPr>
        <w:t>evaluation</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patients</w:t>
      </w:r>
      <w:r w:rsidR="00DC24C9" w:rsidRPr="002558EA">
        <w:rPr>
          <w:sz w:val="20"/>
          <w:szCs w:val="20"/>
        </w:rPr>
        <w:t xml:space="preserve"> </w:t>
      </w:r>
      <w:r w:rsidRPr="002558EA">
        <w:rPr>
          <w:sz w:val="20"/>
          <w:szCs w:val="20"/>
        </w:rPr>
        <w:t>with</w:t>
      </w:r>
      <w:r w:rsidR="00DC24C9" w:rsidRPr="002558EA">
        <w:rPr>
          <w:sz w:val="20"/>
          <w:szCs w:val="20"/>
        </w:rPr>
        <w:t xml:space="preserve"> </w:t>
      </w:r>
      <w:r w:rsidRPr="002558EA">
        <w:rPr>
          <w:sz w:val="20"/>
          <w:szCs w:val="20"/>
        </w:rPr>
        <w:t>vasomotor</w:t>
      </w:r>
      <w:r w:rsidR="00DC24C9" w:rsidRPr="002558EA">
        <w:rPr>
          <w:sz w:val="20"/>
          <w:szCs w:val="20"/>
        </w:rPr>
        <w:t xml:space="preserve"> </w:t>
      </w:r>
      <w:r w:rsidRPr="002558EA">
        <w:rPr>
          <w:sz w:val="20"/>
          <w:szCs w:val="20"/>
        </w:rPr>
        <w:t>rhinitis.</w:t>
      </w:r>
      <w:r w:rsidR="00DC24C9" w:rsidRPr="002558EA">
        <w:rPr>
          <w:sz w:val="20"/>
          <w:szCs w:val="20"/>
        </w:rPr>
        <w:t xml:space="preserve"> </w:t>
      </w:r>
      <w:r w:rsidRPr="002558EA">
        <w:rPr>
          <w:sz w:val="20"/>
          <w:szCs w:val="20"/>
        </w:rPr>
        <w:t>The</w:t>
      </w:r>
      <w:r w:rsidR="00DC24C9" w:rsidRPr="002558EA">
        <w:rPr>
          <w:sz w:val="20"/>
          <w:szCs w:val="20"/>
        </w:rPr>
        <w:t xml:space="preserve"> </w:t>
      </w:r>
      <w:r w:rsidRPr="002558EA">
        <w:rPr>
          <w:sz w:val="20"/>
          <w:szCs w:val="20"/>
        </w:rPr>
        <w:t>Laryngoscope.</w:t>
      </w:r>
      <w:r w:rsidR="00DC24C9" w:rsidRPr="002558EA">
        <w:rPr>
          <w:sz w:val="20"/>
          <w:szCs w:val="20"/>
        </w:rPr>
        <w:t xml:space="preserve"> </w:t>
      </w:r>
      <w:r w:rsidRPr="002558EA">
        <w:rPr>
          <w:sz w:val="20"/>
          <w:szCs w:val="20"/>
        </w:rPr>
        <w:t>2000;</w:t>
      </w:r>
      <w:r w:rsidR="00DC24C9" w:rsidRPr="002558EA">
        <w:rPr>
          <w:sz w:val="20"/>
          <w:szCs w:val="20"/>
        </w:rPr>
        <w:t xml:space="preserve"> </w:t>
      </w:r>
      <w:r w:rsidRPr="002558EA">
        <w:rPr>
          <w:sz w:val="20"/>
          <w:szCs w:val="20"/>
        </w:rPr>
        <w:t>110(11):1828-31.</w:t>
      </w:r>
    </w:p>
    <w:p w:rsidR="00D47F17" w:rsidRPr="002558EA" w:rsidRDefault="00D47F17" w:rsidP="000D14AD">
      <w:pPr>
        <w:pStyle w:val="ListParagraph"/>
        <w:numPr>
          <w:ilvl w:val="0"/>
          <w:numId w:val="14"/>
        </w:numPr>
        <w:snapToGrid w:val="0"/>
        <w:ind w:left="425" w:firstLineChars="0" w:hanging="425"/>
        <w:jc w:val="both"/>
        <w:rPr>
          <w:sz w:val="20"/>
          <w:szCs w:val="20"/>
          <w:lang w:bidi="ar-EG"/>
        </w:rPr>
      </w:pPr>
      <w:r w:rsidRPr="002558EA">
        <w:rPr>
          <w:sz w:val="20"/>
          <w:szCs w:val="20"/>
        </w:rPr>
        <w:lastRenderedPageBreak/>
        <w:t>Korhan</w:t>
      </w:r>
      <w:r w:rsidR="00DC24C9" w:rsidRPr="002558EA">
        <w:rPr>
          <w:sz w:val="20"/>
          <w:szCs w:val="20"/>
        </w:rPr>
        <w:t xml:space="preserve"> </w:t>
      </w:r>
      <w:r w:rsidRPr="002558EA">
        <w:rPr>
          <w:sz w:val="20"/>
          <w:szCs w:val="20"/>
        </w:rPr>
        <w:t>K,</w:t>
      </w:r>
      <w:r w:rsidR="00DC24C9" w:rsidRPr="002558EA">
        <w:rPr>
          <w:sz w:val="20"/>
          <w:szCs w:val="20"/>
        </w:rPr>
        <w:t xml:space="preserve"> </w:t>
      </w:r>
      <w:r w:rsidRPr="002558EA">
        <w:rPr>
          <w:sz w:val="20"/>
          <w:szCs w:val="20"/>
        </w:rPr>
        <w:t>Muhammed</w:t>
      </w:r>
      <w:r w:rsidR="00DC24C9" w:rsidRPr="002558EA">
        <w:rPr>
          <w:sz w:val="20"/>
          <w:szCs w:val="20"/>
        </w:rPr>
        <w:t xml:space="preserve"> </w:t>
      </w:r>
      <w:r w:rsidRPr="002558EA">
        <w:rPr>
          <w:sz w:val="20"/>
          <w:szCs w:val="20"/>
        </w:rPr>
        <w:t>SS,</w:t>
      </w:r>
      <w:r w:rsidR="00DC24C9" w:rsidRPr="002558EA">
        <w:rPr>
          <w:sz w:val="20"/>
          <w:szCs w:val="20"/>
        </w:rPr>
        <w:t xml:space="preserve"> </w:t>
      </w:r>
      <w:r w:rsidRPr="002558EA">
        <w:rPr>
          <w:sz w:val="20"/>
          <w:szCs w:val="20"/>
        </w:rPr>
        <w:t>Serkan</w:t>
      </w:r>
      <w:r w:rsidR="00DC24C9" w:rsidRPr="002558EA">
        <w:rPr>
          <w:sz w:val="20"/>
          <w:szCs w:val="20"/>
        </w:rPr>
        <w:t xml:space="preserve"> </w:t>
      </w:r>
      <w:r w:rsidRPr="002558EA">
        <w:rPr>
          <w:sz w:val="20"/>
          <w:szCs w:val="20"/>
        </w:rPr>
        <w:t>Y,</w:t>
      </w:r>
      <w:r w:rsidR="00DC24C9" w:rsidRPr="002558EA">
        <w:rPr>
          <w:sz w:val="20"/>
          <w:szCs w:val="20"/>
        </w:rPr>
        <w:t xml:space="preserve"> </w:t>
      </w:r>
      <w:r w:rsidRPr="002558EA">
        <w:rPr>
          <w:sz w:val="20"/>
          <w:szCs w:val="20"/>
        </w:rPr>
        <w:t>Fatih</w:t>
      </w:r>
      <w:r w:rsidR="00DC24C9" w:rsidRPr="002558EA">
        <w:rPr>
          <w:sz w:val="20"/>
          <w:szCs w:val="20"/>
        </w:rPr>
        <w:t xml:space="preserve"> </w:t>
      </w:r>
      <w:r w:rsidRPr="002558EA">
        <w:rPr>
          <w:sz w:val="20"/>
          <w:szCs w:val="20"/>
        </w:rPr>
        <w:t>MK,</w:t>
      </w:r>
      <w:r w:rsidR="00DC24C9" w:rsidRPr="002558EA">
        <w:rPr>
          <w:sz w:val="20"/>
          <w:szCs w:val="20"/>
        </w:rPr>
        <w:t xml:space="preserve"> </w:t>
      </w:r>
      <w:r w:rsidRPr="002558EA">
        <w:rPr>
          <w:sz w:val="20"/>
          <w:szCs w:val="20"/>
        </w:rPr>
        <w:t>Mustafa</w:t>
      </w:r>
      <w:r w:rsidR="00DC24C9" w:rsidRPr="002558EA">
        <w:rPr>
          <w:sz w:val="20"/>
          <w:szCs w:val="20"/>
        </w:rPr>
        <w:t xml:space="preserve"> </w:t>
      </w:r>
      <w:r w:rsidRPr="002558EA">
        <w:rPr>
          <w:sz w:val="20"/>
          <w:szCs w:val="20"/>
        </w:rPr>
        <w:t>SG,</w:t>
      </w:r>
      <w:r w:rsidR="00DC24C9" w:rsidRPr="002558EA">
        <w:rPr>
          <w:sz w:val="20"/>
          <w:szCs w:val="20"/>
        </w:rPr>
        <w:t xml:space="preserve"> </w:t>
      </w:r>
      <w:r w:rsidRPr="002558EA">
        <w:rPr>
          <w:sz w:val="20"/>
          <w:szCs w:val="20"/>
        </w:rPr>
        <w:t>Muhammed</w:t>
      </w:r>
      <w:r w:rsidR="00DC24C9" w:rsidRPr="002558EA">
        <w:rPr>
          <w:sz w:val="20"/>
          <w:szCs w:val="20"/>
        </w:rPr>
        <w:t xml:space="preserve"> </w:t>
      </w:r>
      <w:r w:rsidRPr="002558EA">
        <w:rPr>
          <w:sz w:val="20"/>
          <w:szCs w:val="20"/>
        </w:rPr>
        <w:t>BD.</w:t>
      </w:r>
      <w:r w:rsidR="00DC24C9" w:rsidRPr="002558EA">
        <w:rPr>
          <w:sz w:val="20"/>
          <w:szCs w:val="20"/>
        </w:rPr>
        <w:t xml:space="preserve"> </w:t>
      </w:r>
      <w:r w:rsidRPr="002558EA">
        <w:rPr>
          <w:sz w:val="20"/>
          <w:szCs w:val="20"/>
        </w:rPr>
        <w:t>The</w:t>
      </w:r>
      <w:r w:rsidR="00DC24C9" w:rsidRPr="002558EA">
        <w:rPr>
          <w:sz w:val="20"/>
          <w:szCs w:val="20"/>
        </w:rPr>
        <w:t xml:space="preserve"> </w:t>
      </w:r>
      <w:r w:rsidRPr="002558EA">
        <w:rPr>
          <w:sz w:val="20"/>
          <w:szCs w:val="20"/>
        </w:rPr>
        <w:t>amendatory</w:t>
      </w:r>
      <w:r w:rsidR="00DC24C9" w:rsidRPr="002558EA">
        <w:rPr>
          <w:sz w:val="20"/>
          <w:szCs w:val="20"/>
        </w:rPr>
        <w:t xml:space="preserve"> </w:t>
      </w:r>
      <w:r w:rsidRPr="002558EA">
        <w:rPr>
          <w:sz w:val="20"/>
          <w:szCs w:val="20"/>
        </w:rPr>
        <w:t>effect</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hesperidin</w:t>
      </w:r>
      <w:r w:rsidR="00DC24C9" w:rsidRPr="002558EA">
        <w:rPr>
          <w:sz w:val="20"/>
          <w:szCs w:val="20"/>
        </w:rPr>
        <w:t xml:space="preserve"> </w:t>
      </w:r>
      <w:r w:rsidRPr="002558EA">
        <w:rPr>
          <w:sz w:val="20"/>
          <w:szCs w:val="20"/>
        </w:rPr>
        <w:t>and</w:t>
      </w:r>
      <w:r w:rsidR="00DC24C9" w:rsidRPr="002558EA">
        <w:rPr>
          <w:sz w:val="20"/>
          <w:szCs w:val="20"/>
        </w:rPr>
        <w:t xml:space="preserve"> </w:t>
      </w:r>
      <w:r w:rsidRPr="002558EA">
        <w:rPr>
          <w:sz w:val="20"/>
          <w:szCs w:val="20"/>
        </w:rPr>
        <w:t>thymol</w:t>
      </w:r>
      <w:r w:rsidR="00DC24C9" w:rsidRPr="002558EA">
        <w:rPr>
          <w:sz w:val="20"/>
          <w:szCs w:val="20"/>
        </w:rPr>
        <w:t xml:space="preserve"> </w:t>
      </w:r>
      <w:r w:rsidRPr="002558EA">
        <w:rPr>
          <w:sz w:val="20"/>
          <w:szCs w:val="20"/>
        </w:rPr>
        <w:t>in</w:t>
      </w:r>
      <w:r w:rsidR="00DC24C9" w:rsidRPr="002558EA">
        <w:rPr>
          <w:sz w:val="20"/>
          <w:szCs w:val="20"/>
        </w:rPr>
        <w:t xml:space="preserve"> </w:t>
      </w:r>
      <w:r w:rsidRPr="002558EA">
        <w:rPr>
          <w:sz w:val="20"/>
          <w:szCs w:val="20"/>
        </w:rPr>
        <w:t>allergic</w:t>
      </w:r>
      <w:r w:rsidR="00DC24C9" w:rsidRPr="002558EA">
        <w:rPr>
          <w:sz w:val="20"/>
          <w:szCs w:val="20"/>
        </w:rPr>
        <w:t xml:space="preserve"> </w:t>
      </w:r>
      <w:r w:rsidRPr="002558EA">
        <w:rPr>
          <w:sz w:val="20"/>
          <w:szCs w:val="20"/>
        </w:rPr>
        <w:t>rhinitis:</w:t>
      </w:r>
      <w:r w:rsidR="00DC24C9" w:rsidRPr="002558EA">
        <w:rPr>
          <w:sz w:val="20"/>
          <w:szCs w:val="20"/>
        </w:rPr>
        <w:t xml:space="preserve"> </w:t>
      </w:r>
      <w:r w:rsidRPr="002558EA">
        <w:rPr>
          <w:sz w:val="20"/>
          <w:szCs w:val="20"/>
        </w:rPr>
        <w:t>an</w:t>
      </w:r>
      <w:r w:rsidR="00DC24C9" w:rsidRPr="002558EA">
        <w:rPr>
          <w:sz w:val="20"/>
          <w:szCs w:val="20"/>
        </w:rPr>
        <w:t xml:space="preserve"> </w:t>
      </w:r>
      <w:r w:rsidRPr="002558EA">
        <w:rPr>
          <w:sz w:val="20"/>
          <w:szCs w:val="20"/>
        </w:rPr>
        <w:t>ovalbumin-induced</w:t>
      </w:r>
      <w:r w:rsidR="00DC24C9" w:rsidRPr="002558EA">
        <w:rPr>
          <w:sz w:val="20"/>
          <w:szCs w:val="20"/>
        </w:rPr>
        <w:t xml:space="preserve"> </w:t>
      </w:r>
      <w:r w:rsidRPr="002558EA">
        <w:rPr>
          <w:sz w:val="20"/>
          <w:szCs w:val="20"/>
        </w:rPr>
        <w:t>rat</w:t>
      </w:r>
      <w:r w:rsidR="00DC24C9" w:rsidRPr="002558EA">
        <w:rPr>
          <w:sz w:val="20"/>
          <w:szCs w:val="20"/>
        </w:rPr>
        <w:t xml:space="preserve"> </w:t>
      </w:r>
      <w:r w:rsidRPr="002558EA">
        <w:rPr>
          <w:sz w:val="20"/>
          <w:szCs w:val="20"/>
        </w:rPr>
        <w:t>model.</w:t>
      </w:r>
      <w:r w:rsidR="00DC24C9" w:rsidRPr="002558EA">
        <w:rPr>
          <w:sz w:val="20"/>
          <w:szCs w:val="20"/>
        </w:rPr>
        <w:t xml:space="preserve"> </w:t>
      </w:r>
      <w:r w:rsidRPr="002558EA">
        <w:rPr>
          <w:sz w:val="20"/>
          <w:szCs w:val="20"/>
        </w:rPr>
        <w:t>European</w:t>
      </w:r>
      <w:r w:rsidR="00DC24C9" w:rsidRPr="002558EA">
        <w:rPr>
          <w:sz w:val="20"/>
          <w:szCs w:val="20"/>
        </w:rPr>
        <w:t xml:space="preserve"> </w:t>
      </w:r>
      <w:r w:rsidRPr="002558EA">
        <w:rPr>
          <w:sz w:val="20"/>
          <w:szCs w:val="20"/>
        </w:rPr>
        <w:t>Archives</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Oto</w:t>
      </w:r>
      <w:r w:rsidR="00DC24C9" w:rsidRPr="002558EA">
        <w:rPr>
          <w:sz w:val="20"/>
          <w:szCs w:val="20"/>
        </w:rPr>
        <w:t xml:space="preserve"> </w:t>
      </w:r>
      <w:r w:rsidRPr="002558EA">
        <w:rPr>
          <w:sz w:val="20"/>
          <w:szCs w:val="20"/>
        </w:rPr>
        <w:t>Rhino</w:t>
      </w:r>
      <w:r w:rsidR="00DC24C9" w:rsidRPr="002558EA">
        <w:rPr>
          <w:sz w:val="20"/>
          <w:szCs w:val="20"/>
        </w:rPr>
        <w:t xml:space="preserve"> </w:t>
      </w:r>
      <w:r w:rsidRPr="002558EA">
        <w:rPr>
          <w:sz w:val="20"/>
          <w:szCs w:val="20"/>
        </w:rPr>
        <w:t>Laryngology</w:t>
      </w:r>
      <w:r w:rsidR="00DC24C9" w:rsidRPr="002558EA">
        <w:rPr>
          <w:sz w:val="20"/>
          <w:szCs w:val="20"/>
        </w:rPr>
        <w:t xml:space="preserve"> </w:t>
      </w:r>
      <w:r w:rsidRPr="002558EA">
        <w:rPr>
          <w:sz w:val="20"/>
          <w:szCs w:val="20"/>
        </w:rPr>
        <w:t>2019,</w:t>
      </w:r>
      <w:r w:rsidR="00DC24C9" w:rsidRPr="002558EA">
        <w:rPr>
          <w:sz w:val="20"/>
          <w:szCs w:val="20"/>
        </w:rPr>
        <w:t xml:space="preserve"> </w:t>
      </w:r>
      <w:r w:rsidRPr="002558EA">
        <w:rPr>
          <w:sz w:val="20"/>
          <w:szCs w:val="20"/>
        </w:rPr>
        <w:t>276:407-415.</w:t>
      </w:r>
    </w:p>
    <w:p w:rsidR="00DC24C9" w:rsidRPr="002558EA" w:rsidRDefault="00D47F17" w:rsidP="000D14AD">
      <w:pPr>
        <w:pStyle w:val="ListParagraph"/>
        <w:numPr>
          <w:ilvl w:val="0"/>
          <w:numId w:val="14"/>
        </w:numPr>
        <w:snapToGrid w:val="0"/>
        <w:ind w:left="425" w:firstLineChars="0" w:hanging="425"/>
        <w:jc w:val="both"/>
        <w:rPr>
          <w:sz w:val="20"/>
          <w:szCs w:val="20"/>
          <w:lang w:bidi="ar-EG"/>
        </w:rPr>
      </w:pPr>
      <w:r w:rsidRPr="002558EA">
        <w:rPr>
          <w:sz w:val="20"/>
          <w:szCs w:val="20"/>
        </w:rPr>
        <w:lastRenderedPageBreak/>
        <w:t>Phanindra-Kumar</w:t>
      </w:r>
      <w:r w:rsidR="00DC24C9" w:rsidRPr="002558EA">
        <w:rPr>
          <w:sz w:val="20"/>
          <w:szCs w:val="20"/>
        </w:rPr>
        <w:t xml:space="preserve"> </w:t>
      </w:r>
      <w:r w:rsidRPr="002558EA">
        <w:rPr>
          <w:sz w:val="20"/>
          <w:szCs w:val="20"/>
        </w:rPr>
        <w:t>V</w:t>
      </w:r>
      <w:r w:rsidR="00DC24C9" w:rsidRPr="002558EA">
        <w:rPr>
          <w:sz w:val="20"/>
          <w:szCs w:val="20"/>
        </w:rPr>
        <w:t xml:space="preserve"> </w:t>
      </w:r>
      <w:r w:rsidRPr="002558EA">
        <w:rPr>
          <w:sz w:val="20"/>
          <w:szCs w:val="20"/>
        </w:rPr>
        <w:t>and</w:t>
      </w:r>
      <w:r w:rsidR="00DC24C9" w:rsidRPr="002558EA">
        <w:rPr>
          <w:sz w:val="20"/>
          <w:szCs w:val="20"/>
        </w:rPr>
        <w:t xml:space="preserve"> </w:t>
      </w:r>
      <w:r w:rsidRPr="002558EA">
        <w:rPr>
          <w:sz w:val="20"/>
          <w:szCs w:val="20"/>
        </w:rPr>
        <w:t>Govind-Das</w:t>
      </w:r>
      <w:r w:rsidR="00DC24C9" w:rsidRPr="002558EA">
        <w:rPr>
          <w:sz w:val="20"/>
          <w:szCs w:val="20"/>
        </w:rPr>
        <w:t xml:space="preserve"> </w:t>
      </w:r>
      <w:r w:rsidRPr="002558EA">
        <w:rPr>
          <w:sz w:val="20"/>
          <w:szCs w:val="20"/>
        </w:rPr>
        <w:t>D.</w:t>
      </w:r>
      <w:r w:rsidR="00DC24C9" w:rsidRPr="002558EA">
        <w:rPr>
          <w:sz w:val="20"/>
          <w:szCs w:val="20"/>
        </w:rPr>
        <w:t xml:space="preserve"> </w:t>
      </w:r>
      <w:r w:rsidRPr="002558EA">
        <w:rPr>
          <w:sz w:val="20"/>
          <w:szCs w:val="20"/>
        </w:rPr>
        <w:t>(professor</w:t>
      </w:r>
      <w:r w:rsidR="00DC24C9" w:rsidRPr="002558EA">
        <w:rPr>
          <w:sz w:val="20"/>
          <w:szCs w:val="20"/>
        </w:rPr>
        <w:t xml:space="preserve"> </w:t>
      </w:r>
      <w:r w:rsidRPr="002558EA">
        <w:rPr>
          <w:sz w:val="20"/>
          <w:szCs w:val="20"/>
        </w:rPr>
        <w:t>and</w:t>
      </w:r>
      <w:r w:rsidR="00DC24C9" w:rsidRPr="002558EA">
        <w:rPr>
          <w:sz w:val="20"/>
          <w:szCs w:val="20"/>
        </w:rPr>
        <w:t xml:space="preserve"> </w:t>
      </w:r>
      <w:r w:rsidRPr="002558EA">
        <w:rPr>
          <w:sz w:val="20"/>
          <w:szCs w:val="20"/>
        </w:rPr>
        <w:t>head</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department</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clinical</w:t>
      </w:r>
      <w:r w:rsidR="00DC24C9" w:rsidRPr="002558EA">
        <w:rPr>
          <w:sz w:val="20"/>
          <w:szCs w:val="20"/>
        </w:rPr>
        <w:t xml:space="preserve"> </w:t>
      </w:r>
      <w:r w:rsidRPr="002558EA">
        <w:rPr>
          <w:sz w:val="20"/>
          <w:szCs w:val="20"/>
        </w:rPr>
        <w:t>pharmacology,</w:t>
      </w:r>
      <w:r w:rsidR="00DC24C9" w:rsidRPr="002558EA">
        <w:rPr>
          <w:sz w:val="20"/>
          <w:szCs w:val="20"/>
        </w:rPr>
        <w:t xml:space="preserve"> </w:t>
      </w:r>
      <w:r w:rsidRPr="002558EA">
        <w:rPr>
          <w:sz w:val="20"/>
          <w:szCs w:val="20"/>
        </w:rPr>
        <w:t>Gunter</w:t>
      </w:r>
      <w:r w:rsidR="00DC24C9" w:rsidRPr="002558EA">
        <w:rPr>
          <w:sz w:val="20"/>
          <w:szCs w:val="20"/>
        </w:rPr>
        <w:t xml:space="preserve"> </w:t>
      </w:r>
      <w:r w:rsidRPr="002558EA">
        <w:rPr>
          <w:sz w:val="20"/>
          <w:szCs w:val="20"/>
        </w:rPr>
        <w:t>Medical</w:t>
      </w:r>
      <w:r w:rsidR="00DC24C9" w:rsidRPr="002558EA">
        <w:rPr>
          <w:sz w:val="20"/>
          <w:szCs w:val="20"/>
        </w:rPr>
        <w:t xml:space="preserve"> </w:t>
      </w:r>
      <w:r w:rsidRPr="002558EA">
        <w:rPr>
          <w:sz w:val="20"/>
          <w:szCs w:val="20"/>
        </w:rPr>
        <w:t>College)</w:t>
      </w:r>
      <w:r w:rsidR="00DC24C9" w:rsidRPr="002558EA">
        <w:rPr>
          <w:sz w:val="20"/>
          <w:szCs w:val="20"/>
        </w:rPr>
        <w:t xml:space="preserve"> </w:t>
      </w:r>
      <w:r w:rsidRPr="002558EA">
        <w:rPr>
          <w:sz w:val="20"/>
          <w:szCs w:val="20"/>
        </w:rPr>
        <w:t>Gunter-552001</w:t>
      </w:r>
      <w:r w:rsidR="00DC24C9" w:rsidRPr="002558EA">
        <w:rPr>
          <w:sz w:val="20"/>
          <w:szCs w:val="20"/>
        </w:rPr>
        <w:t xml:space="preserve"> </w:t>
      </w:r>
      <w:r w:rsidRPr="002558EA">
        <w:rPr>
          <w:sz w:val="20"/>
          <w:szCs w:val="20"/>
        </w:rPr>
        <w:t>AP.</w:t>
      </w:r>
      <w:r w:rsidR="00DC24C9" w:rsidRPr="002558EA">
        <w:rPr>
          <w:sz w:val="20"/>
          <w:szCs w:val="20"/>
        </w:rPr>
        <w:t xml:space="preserve"> </w:t>
      </w:r>
      <w:r w:rsidRPr="002558EA">
        <w:rPr>
          <w:sz w:val="20"/>
          <w:szCs w:val="20"/>
        </w:rPr>
        <w:t>A</w:t>
      </w:r>
      <w:r w:rsidR="00DC24C9" w:rsidRPr="002558EA">
        <w:rPr>
          <w:sz w:val="20"/>
          <w:szCs w:val="20"/>
        </w:rPr>
        <w:t xml:space="preserve"> </w:t>
      </w:r>
      <w:r w:rsidRPr="002558EA">
        <w:rPr>
          <w:sz w:val="20"/>
          <w:szCs w:val="20"/>
        </w:rPr>
        <w:t>Double</w:t>
      </w:r>
      <w:r w:rsidR="00DC24C9" w:rsidRPr="002558EA">
        <w:rPr>
          <w:sz w:val="20"/>
          <w:szCs w:val="20"/>
        </w:rPr>
        <w:t xml:space="preserve"> </w:t>
      </w:r>
      <w:r w:rsidRPr="002558EA">
        <w:rPr>
          <w:sz w:val="20"/>
          <w:szCs w:val="20"/>
        </w:rPr>
        <w:t>Blind</w:t>
      </w:r>
      <w:r w:rsidR="00DC24C9" w:rsidRPr="002558EA">
        <w:rPr>
          <w:sz w:val="20"/>
          <w:szCs w:val="20"/>
        </w:rPr>
        <w:t xml:space="preserve"> </w:t>
      </w:r>
      <w:r w:rsidRPr="002558EA">
        <w:rPr>
          <w:sz w:val="20"/>
          <w:szCs w:val="20"/>
        </w:rPr>
        <w:t>Clinical</w:t>
      </w:r>
      <w:r w:rsidR="00DC24C9" w:rsidRPr="002558EA">
        <w:rPr>
          <w:sz w:val="20"/>
          <w:szCs w:val="20"/>
        </w:rPr>
        <w:t xml:space="preserve"> </w:t>
      </w:r>
      <w:r w:rsidRPr="002558EA">
        <w:rPr>
          <w:sz w:val="20"/>
          <w:szCs w:val="20"/>
        </w:rPr>
        <w:t>Trial</w:t>
      </w:r>
      <w:r w:rsidR="00DC24C9" w:rsidRPr="002558EA">
        <w:rPr>
          <w:sz w:val="20"/>
          <w:szCs w:val="20"/>
        </w:rPr>
        <w:t xml:space="preserve"> </w:t>
      </w:r>
      <w:r w:rsidRPr="002558EA">
        <w:rPr>
          <w:sz w:val="20"/>
          <w:szCs w:val="20"/>
        </w:rPr>
        <w:t>of</w:t>
      </w:r>
      <w:r w:rsidR="00DC24C9" w:rsidRPr="002558EA">
        <w:rPr>
          <w:sz w:val="20"/>
          <w:szCs w:val="20"/>
        </w:rPr>
        <w:t xml:space="preserve"> </w:t>
      </w:r>
      <w:r w:rsidRPr="002558EA">
        <w:rPr>
          <w:sz w:val="20"/>
          <w:szCs w:val="20"/>
        </w:rPr>
        <w:t>Diosmin</w:t>
      </w:r>
      <w:r w:rsidR="00DC24C9" w:rsidRPr="002558EA">
        <w:rPr>
          <w:sz w:val="20"/>
          <w:szCs w:val="20"/>
        </w:rPr>
        <w:t xml:space="preserve"> </w:t>
      </w:r>
      <w:r w:rsidRPr="002558EA">
        <w:rPr>
          <w:sz w:val="20"/>
          <w:szCs w:val="20"/>
        </w:rPr>
        <w:t>(Venex)</w:t>
      </w:r>
      <w:r w:rsidR="00DC24C9" w:rsidRPr="002558EA">
        <w:rPr>
          <w:sz w:val="20"/>
          <w:szCs w:val="20"/>
        </w:rPr>
        <w:t xml:space="preserve"> </w:t>
      </w:r>
      <w:r w:rsidRPr="002558EA">
        <w:rPr>
          <w:sz w:val="20"/>
          <w:szCs w:val="20"/>
        </w:rPr>
        <w:t>A</w:t>
      </w:r>
      <w:r w:rsidR="00DC24C9" w:rsidRPr="002558EA">
        <w:rPr>
          <w:sz w:val="20"/>
          <w:szCs w:val="20"/>
        </w:rPr>
        <w:t xml:space="preserve"> </w:t>
      </w:r>
      <w:r w:rsidRPr="002558EA">
        <w:rPr>
          <w:sz w:val="20"/>
          <w:szCs w:val="20"/>
        </w:rPr>
        <w:t>Bioflavionid</w:t>
      </w:r>
      <w:r w:rsidR="00DC24C9" w:rsidRPr="002558EA">
        <w:rPr>
          <w:sz w:val="20"/>
          <w:szCs w:val="20"/>
        </w:rPr>
        <w:t xml:space="preserve"> </w:t>
      </w:r>
      <w:r w:rsidRPr="002558EA">
        <w:rPr>
          <w:sz w:val="20"/>
          <w:szCs w:val="20"/>
        </w:rPr>
        <w:t>in</w:t>
      </w:r>
      <w:r w:rsidR="00DC24C9" w:rsidRPr="002558EA">
        <w:rPr>
          <w:sz w:val="20"/>
          <w:szCs w:val="20"/>
        </w:rPr>
        <w:t xml:space="preserve"> </w:t>
      </w:r>
      <w:r w:rsidRPr="002558EA">
        <w:rPr>
          <w:sz w:val="20"/>
          <w:szCs w:val="20"/>
        </w:rPr>
        <w:t>Acute</w:t>
      </w:r>
      <w:r w:rsidR="00DC24C9" w:rsidRPr="002558EA">
        <w:rPr>
          <w:sz w:val="20"/>
          <w:szCs w:val="20"/>
        </w:rPr>
        <w:t xml:space="preserve"> </w:t>
      </w:r>
      <w:r w:rsidRPr="002558EA">
        <w:rPr>
          <w:sz w:val="20"/>
          <w:szCs w:val="20"/>
        </w:rPr>
        <w:t>Allergic</w:t>
      </w:r>
      <w:r w:rsidR="00DC24C9" w:rsidRPr="002558EA">
        <w:rPr>
          <w:sz w:val="20"/>
          <w:szCs w:val="20"/>
        </w:rPr>
        <w:t xml:space="preserve"> </w:t>
      </w:r>
      <w:r w:rsidRPr="002558EA">
        <w:rPr>
          <w:sz w:val="20"/>
          <w:szCs w:val="20"/>
        </w:rPr>
        <w:t>Rhinitis.</w:t>
      </w:r>
      <w:r w:rsidR="00DC24C9" w:rsidRPr="002558EA">
        <w:rPr>
          <w:sz w:val="20"/>
          <w:szCs w:val="20"/>
        </w:rPr>
        <w:t xml:space="preserve"> </w:t>
      </w:r>
      <w:r w:rsidRPr="002558EA">
        <w:rPr>
          <w:sz w:val="20"/>
          <w:szCs w:val="20"/>
        </w:rPr>
        <w:t>IJO</w:t>
      </w:r>
      <w:r w:rsidR="00DC24C9" w:rsidRPr="002558EA">
        <w:rPr>
          <w:sz w:val="20"/>
          <w:szCs w:val="20"/>
        </w:rPr>
        <w:t xml:space="preserve"> &amp; </w:t>
      </w:r>
      <w:r w:rsidRPr="002558EA">
        <w:rPr>
          <w:sz w:val="20"/>
          <w:szCs w:val="20"/>
        </w:rPr>
        <w:t>HNS</w:t>
      </w:r>
      <w:r w:rsidR="00DC24C9" w:rsidRPr="002558EA">
        <w:rPr>
          <w:sz w:val="20"/>
          <w:szCs w:val="20"/>
        </w:rPr>
        <w:t xml:space="preserve"> </w:t>
      </w:r>
      <w:r w:rsidRPr="002558EA">
        <w:rPr>
          <w:sz w:val="20"/>
          <w:szCs w:val="20"/>
        </w:rPr>
        <w:t>1995;</w:t>
      </w:r>
      <w:r w:rsidR="00DC24C9" w:rsidRPr="002558EA">
        <w:rPr>
          <w:sz w:val="20"/>
          <w:szCs w:val="20"/>
        </w:rPr>
        <w:t xml:space="preserve"> </w:t>
      </w:r>
      <w:r w:rsidRPr="002558EA">
        <w:rPr>
          <w:sz w:val="20"/>
          <w:szCs w:val="20"/>
        </w:rPr>
        <w:t>47.</w:t>
      </w:r>
    </w:p>
    <w:p w:rsidR="000D14AD" w:rsidRPr="002558EA" w:rsidRDefault="000D14AD" w:rsidP="000D14AD">
      <w:pPr>
        <w:snapToGrid w:val="0"/>
        <w:ind w:left="425" w:hanging="425"/>
        <w:jc w:val="both"/>
        <w:rPr>
          <w:sz w:val="20"/>
          <w:szCs w:val="20"/>
        </w:rPr>
        <w:sectPr w:rsidR="000D14AD" w:rsidRPr="002558EA" w:rsidSect="000D14AD">
          <w:type w:val="continuous"/>
          <w:pgSz w:w="12240" w:h="15840" w:code="9"/>
          <w:pgMar w:top="1440" w:right="1440" w:bottom="1440" w:left="1440" w:header="720" w:footer="720" w:gutter="0"/>
          <w:cols w:num="2" w:space="600"/>
          <w:docGrid w:linePitch="360"/>
        </w:sectPr>
      </w:pPr>
    </w:p>
    <w:p w:rsidR="00DC24C9" w:rsidRPr="002558EA" w:rsidRDefault="00DC24C9" w:rsidP="000D14AD">
      <w:pPr>
        <w:snapToGrid w:val="0"/>
        <w:ind w:left="425" w:hanging="425"/>
        <w:jc w:val="both"/>
        <w:rPr>
          <w:sz w:val="20"/>
          <w:szCs w:val="20"/>
        </w:rPr>
      </w:pPr>
    </w:p>
    <w:p w:rsidR="000D14AD" w:rsidRPr="002558EA" w:rsidRDefault="000D14AD" w:rsidP="000D14AD">
      <w:pPr>
        <w:snapToGrid w:val="0"/>
        <w:ind w:left="425" w:hanging="425"/>
        <w:jc w:val="both"/>
        <w:rPr>
          <w:sz w:val="20"/>
          <w:szCs w:val="20"/>
          <w:lang w:eastAsia="zh-CN"/>
        </w:rPr>
      </w:pPr>
    </w:p>
    <w:p w:rsidR="000D14AD" w:rsidRPr="002558EA" w:rsidRDefault="000D14AD" w:rsidP="000D14AD">
      <w:pPr>
        <w:snapToGrid w:val="0"/>
        <w:ind w:firstLine="425"/>
        <w:jc w:val="both"/>
        <w:rPr>
          <w:sz w:val="20"/>
          <w:szCs w:val="20"/>
          <w:lang w:eastAsia="zh-CN"/>
        </w:rPr>
      </w:pPr>
    </w:p>
    <w:p w:rsidR="00923B15" w:rsidRPr="002558EA" w:rsidRDefault="00DC24C9" w:rsidP="000D14AD">
      <w:pPr>
        <w:snapToGrid w:val="0"/>
        <w:jc w:val="both"/>
        <w:rPr>
          <w:sz w:val="20"/>
          <w:szCs w:val="20"/>
        </w:rPr>
      </w:pPr>
      <w:r w:rsidRPr="002558EA">
        <w:rPr>
          <w:sz w:val="20"/>
          <w:szCs w:val="20"/>
        </w:rPr>
        <w:t>12/20/2019</w:t>
      </w:r>
    </w:p>
    <w:sectPr w:rsidR="00923B15" w:rsidRPr="002558EA" w:rsidSect="00DC24C9">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74" w:rsidRDefault="00134674">
      <w:r>
        <w:separator/>
      </w:r>
    </w:p>
  </w:endnote>
  <w:endnote w:type="continuationSeparator" w:id="0">
    <w:p w:rsidR="00134674" w:rsidRDefault="00134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97" w:rsidRDefault="00CE1D41" w:rsidP="00F04D9F">
    <w:pPr>
      <w:pStyle w:val="Footer"/>
      <w:framePr w:wrap="around" w:vAnchor="text" w:hAnchor="margin" w:xAlign="center" w:y="1"/>
      <w:rPr>
        <w:rStyle w:val="PageNumber"/>
      </w:rPr>
    </w:pPr>
    <w:r>
      <w:rPr>
        <w:rStyle w:val="PageNumber"/>
      </w:rPr>
      <w:fldChar w:fldCharType="begin"/>
    </w:r>
    <w:r w:rsidR="00CA6797">
      <w:rPr>
        <w:rStyle w:val="PageNumber"/>
      </w:rPr>
      <w:instrText xml:space="preserve">PAGE  </w:instrText>
    </w:r>
    <w:r>
      <w:rPr>
        <w:rStyle w:val="PageNumber"/>
      </w:rPr>
      <w:fldChar w:fldCharType="end"/>
    </w:r>
  </w:p>
  <w:p w:rsidR="00CA6797" w:rsidRDefault="00CA67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97" w:rsidRPr="000D14AD" w:rsidRDefault="00CE1D41" w:rsidP="000D14AD">
    <w:pPr>
      <w:jc w:val="center"/>
      <w:rPr>
        <w:sz w:val="20"/>
      </w:rPr>
    </w:pPr>
    <w:r w:rsidRPr="000D14AD">
      <w:rPr>
        <w:sz w:val="20"/>
      </w:rPr>
      <w:fldChar w:fldCharType="begin"/>
    </w:r>
    <w:r w:rsidR="000D14AD" w:rsidRPr="000D14AD">
      <w:rPr>
        <w:sz w:val="20"/>
      </w:rPr>
      <w:instrText xml:space="preserve"> page </w:instrText>
    </w:r>
    <w:r w:rsidRPr="000D14AD">
      <w:rPr>
        <w:sz w:val="20"/>
      </w:rPr>
      <w:fldChar w:fldCharType="separate"/>
    </w:r>
    <w:r w:rsidR="002558EA">
      <w:rPr>
        <w:noProof/>
        <w:sz w:val="20"/>
      </w:rPr>
      <w:t>1</w:t>
    </w:r>
    <w:r w:rsidRPr="000D14A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74" w:rsidRDefault="00134674">
      <w:r>
        <w:separator/>
      </w:r>
    </w:p>
  </w:footnote>
  <w:footnote w:type="continuationSeparator" w:id="0">
    <w:p w:rsidR="00134674" w:rsidRDefault="0013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AD" w:rsidRPr="00E47269" w:rsidRDefault="00E47269" w:rsidP="00E47269">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69" w:rsidRPr="000D14AD" w:rsidRDefault="00E47269" w:rsidP="000D14AD">
    <w:pPr>
      <w:pBdr>
        <w:bottom w:val="thinThickMediumGap" w:sz="12" w:space="1" w:color="auto"/>
      </w:pBdr>
      <w:tabs>
        <w:tab w:val="left" w:pos="851"/>
        <w:tab w:val="right" w:pos="8364"/>
      </w:tabs>
      <w:adjustRightInd w:val="0"/>
      <w:snapToGrid w:val="0"/>
      <w:jc w:val="both"/>
      <w:rPr>
        <w:iCs/>
        <w:sz w:val="20"/>
        <w:szCs w:val="20"/>
      </w:rPr>
    </w:pPr>
    <w:r w:rsidRPr="000D14AD">
      <w:rPr>
        <w:rFonts w:hint="eastAsia"/>
        <w:sz w:val="20"/>
        <w:szCs w:val="20"/>
      </w:rPr>
      <w:tab/>
    </w:r>
    <w:r w:rsidRPr="000D14AD">
      <w:rPr>
        <w:sz w:val="20"/>
        <w:szCs w:val="20"/>
      </w:rPr>
      <w:t>New York Science Journal 20</w:t>
    </w:r>
    <w:r w:rsidRPr="000D14AD">
      <w:rPr>
        <w:rFonts w:hint="eastAsia"/>
        <w:sz w:val="20"/>
        <w:szCs w:val="20"/>
      </w:rPr>
      <w:t>20</w:t>
    </w:r>
    <w:r w:rsidRPr="000D14AD">
      <w:rPr>
        <w:sz w:val="20"/>
        <w:szCs w:val="20"/>
      </w:rPr>
      <w:t>;</w:t>
    </w:r>
    <w:r w:rsidRPr="000D14AD">
      <w:rPr>
        <w:rFonts w:hint="eastAsia"/>
        <w:sz w:val="20"/>
        <w:szCs w:val="20"/>
      </w:rPr>
      <w:t>13</w:t>
    </w:r>
    <w:r w:rsidRPr="000D14AD">
      <w:rPr>
        <w:sz w:val="20"/>
        <w:szCs w:val="20"/>
      </w:rPr>
      <w:t>(</w:t>
    </w:r>
    <w:r w:rsidRPr="000D14AD">
      <w:rPr>
        <w:rFonts w:hint="eastAsia"/>
        <w:sz w:val="20"/>
        <w:szCs w:val="20"/>
      </w:rPr>
      <w:t>1</w:t>
    </w:r>
    <w:r w:rsidRPr="000D14AD">
      <w:rPr>
        <w:sz w:val="20"/>
        <w:szCs w:val="20"/>
      </w:rPr>
      <w:t>)</w:t>
    </w:r>
    <w:r w:rsidRPr="000D14AD">
      <w:rPr>
        <w:iCs/>
        <w:sz w:val="20"/>
        <w:szCs w:val="20"/>
      </w:rPr>
      <w:t xml:space="preserve"> </w:t>
    </w:r>
    <w:r w:rsidRPr="000D14AD">
      <w:rPr>
        <w:rFonts w:hint="eastAsia"/>
        <w:iCs/>
        <w:sz w:val="20"/>
        <w:szCs w:val="20"/>
      </w:rPr>
      <w:tab/>
    </w:r>
    <w:r w:rsidRPr="000D14AD">
      <w:rPr>
        <w:iCs/>
        <w:sz w:val="20"/>
        <w:szCs w:val="20"/>
      </w:rPr>
      <w:t xml:space="preserve">  </w:t>
    </w:r>
    <w:hyperlink r:id="rId1" w:history="1">
      <w:r w:rsidRPr="000D14AD">
        <w:rPr>
          <w:rStyle w:val="Hyperlink"/>
          <w:sz w:val="20"/>
          <w:szCs w:val="20"/>
        </w:rPr>
        <w:t>http://www.sciencepub.net/newyork</w:t>
      </w:r>
    </w:hyperlink>
    <w:r w:rsidRPr="000D14AD">
      <w:rPr>
        <w:rFonts w:hint="eastAsia"/>
        <w:sz w:val="20"/>
      </w:rPr>
      <w:t xml:space="preserve">   </w:t>
    </w:r>
    <w:r w:rsidRPr="000D14AD">
      <w:rPr>
        <w:rFonts w:hint="eastAsia"/>
        <w:b/>
        <w:i/>
        <w:color w:val="FF0000"/>
        <w:sz w:val="20"/>
        <w:szCs w:val="20"/>
        <w:bdr w:val="single" w:sz="4" w:space="0" w:color="FF0000"/>
      </w:rPr>
      <w:t>NYJ</w:t>
    </w:r>
  </w:p>
  <w:p w:rsidR="00E47269" w:rsidRPr="000D14AD" w:rsidRDefault="00E47269" w:rsidP="000D14A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2C1"/>
    <w:multiLevelType w:val="hybridMultilevel"/>
    <w:tmpl w:val="86DA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64234"/>
    <w:multiLevelType w:val="hybridMultilevel"/>
    <w:tmpl w:val="1916B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6477C"/>
    <w:multiLevelType w:val="hybridMultilevel"/>
    <w:tmpl w:val="57F6E7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C70E36"/>
    <w:multiLevelType w:val="hybridMultilevel"/>
    <w:tmpl w:val="A588B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00521E"/>
    <w:multiLevelType w:val="hybridMultilevel"/>
    <w:tmpl w:val="32020772"/>
    <w:lvl w:ilvl="0" w:tplc="DBA83948">
      <w:start w:val="1"/>
      <w:numFmt w:val="decimal"/>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379330BF"/>
    <w:multiLevelType w:val="hybridMultilevel"/>
    <w:tmpl w:val="82F0BE6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37A912F3"/>
    <w:multiLevelType w:val="singleLevel"/>
    <w:tmpl w:val="3D5AF66A"/>
    <w:lvl w:ilvl="0">
      <w:start w:val="1"/>
      <w:numFmt w:val="decimal"/>
      <w:lvlText w:val="%1."/>
      <w:lvlJc w:val="left"/>
      <w:pPr>
        <w:tabs>
          <w:tab w:val="num" w:pos="360"/>
        </w:tabs>
        <w:ind w:left="360" w:right="360" w:hanging="360"/>
      </w:pPr>
      <w:rPr>
        <w:rFonts w:hint="default"/>
      </w:rPr>
    </w:lvl>
  </w:abstractNum>
  <w:abstractNum w:abstractNumId="7">
    <w:nsid w:val="42B66FB0"/>
    <w:multiLevelType w:val="hybridMultilevel"/>
    <w:tmpl w:val="197C10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9011CFD"/>
    <w:multiLevelType w:val="hybridMultilevel"/>
    <w:tmpl w:val="7FF2DA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B856A7"/>
    <w:multiLevelType w:val="hybridMultilevel"/>
    <w:tmpl w:val="858A86B2"/>
    <w:lvl w:ilvl="0" w:tplc="C17666CA">
      <w:start w:val="1"/>
      <w:numFmt w:val="bullet"/>
      <w:lvlText w:val=""/>
      <w:lvlJc w:val="left"/>
      <w:pPr>
        <w:ind w:left="1212" w:hanging="360"/>
      </w:pPr>
      <w:rPr>
        <w:rFonts w:ascii="Symbol" w:hAnsi="Symbol" w:hint="default"/>
        <w:sz w:val="32"/>
        <w:szCs w:val="32"/>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71533F24"/>
    <w:multiLevelType w:val="hybridMultilevel"/>
    <w:tmpl w:val="F958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ADD3446"/>
    <w:multiLevelType w:val="hybridMultilevel"/>
    <w:tmpl w:val="2F4E131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4"/>
  </w:num>
  <w:num w:numId="6">
    <w:abstractNumId w:val="11"/>
  </w:num>
  <w:num w:numId="7">
    <w:abstractNumId w:val="3"/>
  </w:num>
  <w:num w:numId="8">
    <w:abstractNumId w:val="0"/>
  </w:num>
  <w:num w:numId="9">
    <w:abstractNumId w:val="9"/>
  </w:num>
  <w:num w:numId="10">
    <w:abstractNumId w:val="1"/>
  </w:num>
  <w:num w:numId="11">
    <w:abstractNumId w:val="6"/>
  </w:num>
  <w:num w:numId="12">
    <w:abstractNumId w:val="5"/>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3314">
      <o:colormru v:ext="edit" colors="maroon"/>
    </o:shapedefaults>
  </w:hdrShapeDefaults>
  <w:footnotePr>
    <w:footnote w:id="-1"/>
    <w:footnote w:id="0"/>
  </w:footnotePr>
  <w:endnotePr>
    <w:endnote w:id="-1"/>
    <w:endnote w:id="0"/>
  </w:endnotePr>
  <w:compat>
    <w:useFELayout/>
  </w:compat>
  <w:rsids>
    <w:rsidRoot w:val="00F808AC"/>
    <w:rsid w:val="00016A20"/>
    <w:rsid w:val="0005152F"/>
    <w:rsid w:val="00070B4F"/>
    <w:rsid w:val="00072972"/>
    <w:rsid w:val="00081AFC"/>
    <w:rsid w:val="00086493"/>
    <w:rsid w:val="00092A24"/>
    <w:rsid w:val="00093B30"/>
    <w:rsid w:val="000942F9"/>
    <w:rsid w:val="000A1826"/>
    <w:rsid w:val="000A59EE"/>
    <w:rsid w:val="000B0FD9"/>
    <w:rsid w:val="000C4411"/>
    <w:rsid w:val="000D14AD"/>
    <w:rsid w:val="000E43C1"/>
    <w:rsid w:val="000F0171"/>
    <w:rsid w:val="000F5C8F"/>
    <w:rsid w:val="000F6DD3"/>
    <w:rsid w:val="00104D18"/>
    <w:rsid w:val="0010605B"/>
    <w:rsid w:val="00110368"/>
    <w:rsid w:val="00134674"/>
    <w:rsid w:val="00143230"/>
    <w:rsid w:val="00143B49"/>
    <w:rsid w:val="00152F0D"/>
    <w:rsid w:val="00167ED8"/>
    <w:rsid w:val="001733C7"/>
    <w:rsid w:val="0018351A"/>
    <w:rsid w:val="00186B83"/>
    <w:rsid w:val="00187D47"/>
    <w:rsid w:val="001969DF"/>
    <w:rsid w:val="001A31C6"/>
    <w:rsid w:val="001B12DC"/>
    <w:rsid w:val="001C254C"/>
    <w:rsid w:val="001D22D2"/>
    <w:rsid w:val="001D44E8"/>
    <w:rsid w:val="001F1E59"/>
    <w:rsid w:val="001F26F9"/>
    <w:rsid w:val="001F59D9"/>
    <w:rsid w:val="0020138A"/>
    <w:rsid w:val="002061E8"/>
    <w:rsid w:val="0020781F"/>
    <w:rsid w:val="002114F1"/>
    <w:rsid w:val="002236F0"/>
    <w:rsid w:val="00225713"/>
    <w:rsid w:val="002414EB"/>
    <w:rsid w:val="00246273"/>
    <w:rsid w:val="002558EA"/>
    <w:rsid w:val="00270F35"/>
    <w:rsid w:val="002A37B1"/>
    <w:rsid w:val="002A6ECE"/>
    <w:rsid w:val="002A747B"/>
    <w:rsid w:val="002B2311"/>
    <w:rsid w:val="002B372C"/>
    <w:rsid w:val="002B4B66"/>
    <w:rsid w:val="002C3AA0"/>
    <w:rsid w:val="002C72BF"/>
    <w:rsid w:val="002D1379"/>
    <w:rsid w:val="002D3499"/>
    <w:rsid w:val="002D359A"/>
    <w:rsid w:val="002D5BAD"/>
    <w:rsid w:val="00301A07"/>
    <w:rsid w:val="00301CAA"/>
    <w:rsid w:val="00314C57"/>
    <w:rsid w:val="00314CF8"/>
    <w:rsid w:val="00325BCC"/>
    <w:rsid w:val="00337313"/>
    <w:rsid w:val="0034267A"/>
    <w:rsid w:val="00346559"/>
    <w:rsid w:val="00351D85"/>
    <w:rsid w:val="003558D8"/>
    <w:rsid w:val="00380C4B"/>
    <w:rsid w:val="00381339"/>
    <w:rsid w:val="00382239"/>
    <w:rsid w:val="003833BF"/>
    <w:rsid w:val="00384EA9"/>
    <w:rsid w:val="0038585A"/>
    <w:rsid w:val="00393792"/>
    <w:rsid w:val="003A17D4"/>
    <w:rsid w:val="003A7C7F"/>
    <w:rsid w:val="003C1215"/>
    <w:rsid w:val="003C3FB7"/>
    <w:rsid w:val="003E09E4"/>
    <w:rsid w:val="0040783B"/>
    <w:rsid w:val="00413B0F"/>
    <w:rsid w:val="00413F0C"/>
    <w:rsid w:val="0043328F"/>
    <w:rsid w:val="00433905"/>
    <w:rsid w:val="00447AF4"/>
    <w:rsid w:val="00450D51"/>
    <w:rsid w:val="00474079"/>
    <w:rsid w:val="004A0B26"/>
    <w:rsid w:val="004A1299"/>
    <w:rsid w:val="004B2309"/>
    <w:rsid w:val="004C3CCF"/>
    <w:rsid w:val="004F136C"/>
    <w:rsid w:val="004F67BD"/>
    <w:rsid w:val="00502BED"/>
    <w:rsid w:val="005076CC"/>
    <w:rsid w:val="005156E9"/>
    <w:rsid w:val="00523672"/>
    <w:rsid w:val="005362CE"/>
    <w:rsid w:val="00543EEC"/>
    <w:rsid w:val="00544E9D"/>
    <w:rsid w:val="00546910"/>
    <w:rsid w:val="00552828"/>
    <w:rsid w:val="00556DC8"/>
    <w:rsid w:val="00560019"/>
    <w:rsid w:val="00563E61"/>
    <w:rsid w:val="005744F4"/>
    <w:rsid w:val="00576D56"/>
    <w:rsid w:val="005779C8"/>
    <w:rsid w:val="00580989"/>
    <w:rsid w:val="005813D2"/>
    <w:rsid w:val="0058435C"/>
    <w:rsid w:val="005969FB"/>
    <w:rsid w:val="005B15D5"/>
    <w:rsid w:val="005D42F2"/>
    <w:rsid w:val="005E4A26"/>
    <w:rsid w:val="005F107A"/>
    <w:rsid w:val="0060727C"/>
    <w:rsid w:val="0061662D"/>
    <w:rsid w:val="00620395"/>
    <w:rsid w:val="00632F3B"/>
    <w:rsid w:val="0064097A"/>
    <w:rsid w:val="00640A64"/>
    <w:rsid w:val="006423B2"/>
    <w:rsid w:val="006440AF"/>
    <w:rsid w:val="0065232F"/>
    <w:rsid w:val="00666BC4"/>
    <w:rsid w:val="00685705"/>
    <w:rsid w:val="00696E6F"/>
    <w:rsid w:val="0069738E"/>
    <w:rsid w:val="006C1119"/>
    <w:rsid w:val="006C4748"/>
    <w:rsid w:val="006D7EA3"/>
    <w:rsid w:val="006F2DFD"/>
    <w:rsid w:val="00705A08"/>
    <w:rsid w:val="007232E8"/>
    <w:rsid w:val="00724A2E"/>
    <w:rsid w:val="00741439"/>
    <w:rsid w:val="0077141F"/>
    <w:rsid w:val="007C041D"/>
    <w:rsid w:val="007C5C08"/>
    <w:rsid w:val="007C7077"/>
    <w:rsid w:val="007E4037"/>
    <w:rsid w:val="007F7A2A"/>
    <w:rsid w:val="00800779"/>
    <w:rsid w:val="008113DB"/>
    <w:rsid w:val="00811C4B"/>
    <w:rsid w:val="008306F4"/>
    <w:rsid w:val="0083650A"/>
    <w:rsid w:val="00840B9E"/>
    <w:rsid w:val="008473A9"/>
    <w:rsid w:val="0086098A"/>
    <w:rsid w:val="008B68BA"/>
    <w:rsid w:val="008C1062"/>
    <w:rsid w:val="008F5CA7"/>
    <w:rsid w:val="009120A5"/>
    <w:rsid w:val="009236FA"/>
    <w:rsid w:val="00923B15"/>
    <w:rsid w:val="0093419B"/>
    <w:rsid w:val="00940DFC"/>
    <w:rsid w:val="0094499B"/>
    <w:rsid w:val="0094601D"/>
    <w:rsid w:val="00947570"/>
    <w:rsid w:val="009477CB"/>
    <w:rsid w:val="00981608"/>
    <w:rsid w:val="0099240B"/>
    <w:rsid w:val="00993606"/>
    <w:rsid w:val="0099590C"/>
    <w:rsid w:val="009C2826"/>
    <w:rsid w:val="009C48E3"/>
    <w:rsid w:val="009C4E29"/>
    <w:rsid w:val="009D2CE7"/>
    <w:rsid w:val="009D4879"/>
    <w:rsid w:val="00A20680"/>
    <w:rsid w:val="00A20C9D"/>
    <w:rsid w:val="00A23875"/>
    <w:rsid w:val="00A3375D"/>
    <w:rsid w:val="00A43809"/>
    <w:rsid w:val="00A47DF8"/>
    <w:rsid w:val="00A47E82"/>
    <w:rsid w:val="00A61393"/>
    <w:rsid w:val="00A750C8"/>
    <w:rsid w:val="00AA7BAB"/>
    <w:rsid w:val="00AB0DDF"/>
    <w:rsid w:val="00AB5EF4"/>
    <w:rsid w:val="00AC634B"/>
    <w:rsid w:val="00AE19A3"/>
    <w:rsid w:val="00AE625C"/>
    <w:rsid w:val="00AF1780"/>
    <w:rsid w:val="00AF5686"/>
    <w:rsid w:val="00B12795"/>
    <w:rsid w:val="00B173FC"/>
    <w:rsid w:val="00B2149C"/>
    <w:rsid w:val="00B24736"/>
    <w:rsid w:val="00B32069"/>
    <w:rsid w:val="00B32EF8"/>
    <w:rsid w:val="00B423A8"/>
    <w:rsid w:val="00B51B43"/>
    <w:rsid w:val="00B546F9"/>
    <w:rsid w:val="00B67739"/>
    <w:rsid w:val="00B67DCD"/>
    <w:rsid w:val="00B8228A"/>
    <w:rsid w:val="00BA2814"/>
    <w:rsid w:val="00BB7B29"/>
    <w:rsid w:val="00BC6734"/>
    <w:rsid w:val="00BE3CDF"/>
    <w:rsid w:val="00BE4D67"/>
    <w:rsid w:val="00BF67ED"/>
    <w:rsid w:val="00C05B78"/>
    <w:rsid w:val="00C135A0"/>
    <w:rsid w:val="00C221FE"/>
    <w:rsid w:val="00C2409B"/>
    <w:rsid w:val="00C46D01"/>
    <w:rsid w:val="00C555F5"/>
    <w:rsid w:val="00C573FB"/>
    <w:rsid w:val="00C60504"/>
    <w:rsid w:val="00C640E6"/>
    <w:rsid w:val="00C70239"/>
    <w:rsid w:val="00C85D43"/>
    <w:rsid w:val="00CA12D5"/>
    <w:rsid w:val="00CA5ED3"/>
    <w:rsid w:val="00CA6797"/>
    <w:rsid w:val="00CE1D41"/>
    <w:rsid w:val="00CF0B0B"/>
    <w:rsid w:val="00D252FF"/>
    <w:rsid w:val="00D47F17"/>
    <w:rsid w:val="00D55A30"/>
    <w:rsid w:val="00D60CA5"/>
    <w:rsid w:val="00D671AB"/>
    <w:rsid w:val="00D8613F"/>
    <w:rsid w:val="00D873AC"/>
    <w:rsid w:val="00D92CB5"/>
    <w:rsid w:val="00D93986"/>
    <w:rsid w:val="00D94C53"/>
    <w:rsid w:val="00DA01E3"/>
    <w:rsid w:val="00DA3422"/>
    <w:rsid w:val="00DC24C9"/>
    <w:rsid w:val="00DD4ED5"/>
    <w:rsid w:val="00DE24AB"/>
    <w:rsid w:val="00DE3A67"/>
    <w:rsid w:val="00DF06C8"/>
    <w:rsid w:val="00DF6014"/>
    <w:rsid w:val="00E122BF"/>
    <w:rsid w:val="00E17004"/>
    <w:rsid w:val="00E24998"/>
    <w:rsid w:val="00E402B0"/>
    <w:rsid w:val="00E47269"/>
    <w:rsid w:val="00E56090"/>
    <w:rsid w:val="00E624E4"/>
    <w:rsid w:val="00E62617"/>
    <w:rsid w:val="00E640B8"/>
    <w:rsid w:val="00E73A4C"/>
    <w:rsid w:val="00E85371"/>
    <w:rsid w:val="00E860AE"/>
    <w:rsid w:val="00ED4598"/>
    <w:rsid w:val="00EE5EA5"/>
    <w:rsid w:val="00EE6C4E"/>
    <w:rsid w:val="00EF3771"/>
    <w:rsid w:val="00F03F3B"/>
    <w:rsid w:val="00F04D9F"/>
    <w:rsid w:val="00F05634"/>
    <w:rsid w:val="00F158D3"/>
    <w:rsid w:val="00F42BB3"/>
    <w:rsid w:val="00F451BA"/>
    <w:rsid w:val="00F55634"/>
    <w:rsid w:val="00F5627E"/>
    <w:rsid w:val="00F57F5E"/>
    <w:rsid w:val="00F611C8"/>
    <w:rsid w:val="00F678A1"/>
    <w:rsid w:val="00F808AC"/>
    <w:rsid w:val="00F81CF7"/>
    <w:rsid w:val="00F96483"/>
    <w:rsid w:val="00FB13CF"/>
    <w:rsid w:val="00FC2000"/>
    <w:rsid w:val="00FD6A1C"/>
    <w:rsid w:val="00FE75E4"/>
    <w:rsid w:val="00FF0612"/>
    <w:rsid w:val="00FF4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19B"/>
    <w:rPr>
      <w:sz w:val="24"/>
      <w:szCs w:val="24"/>
      <w:lang w:eastAsia="en-US"/>
    </w:rPr>
  </w:style>
  <w:style w:type="paragraph" w:styleId="Heading1">
    <w:name w:val="heading 1"/>
    <w:basedOn w:val="Normal"/>
    <w:next w:val="Normal"/>
    <w:qFormat/>
    <w:rsid w:val="00840B9E"/>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
    <w:qFormat/>
    <w:rsid w:val="00F57F5E"/>
    <w:pPr>
      <w:keepNext/>
      <w:spacing w:before="240" w:after="60"/>
      <w:outlineLvl w:val="1"/>
    </w:pPr>
    <w:rPr>
      <w:rFonts w:ascii="Albertus Extra Bold" w:hAnsi="Albertus Extra Bold" w:cs="Arial"/>
      <w:b/>
      <w:bCs/>
      <w:sz w:val="30"/>
      <w:szCs w:val="30"/>
      <w:lang w:bidi="ar-EG"/>
    </w:rPr>
  </w:style>
  <w:style w:type="paragraph" w:styleId="Heading4">
    <w:name w:val="heading 4"/>
    <w:basedOn w:val="Normal"/>
    <w:next w:val="Normal"/>
    <w:qFormat/>
    <w:rsid w:val="001F26F9"/>
    <w:pPr>
      <w:keepNext/>
      <w:spacing w:before="240" w:after="60"/>
      <w:outlineLvl w:val="3"/>
    </w:pPr>
    <w:rPr>
      <w:b/>
      <w:bCs/>
      <w:sz w:val="28"/>
      <w:szCs w:val="28"/>
    </w:rPr>
  </w:style>
  <w:style w:type="paragraph" w:styleId="Heading5">
    <w:name w:val="heading 5"/>
    <w:basedOn w:val="Normal"/>
    <w:next w:val="Normal"/>
    <w:qFormat/>
    <w:rsid w:val="001F26F9"/>
    <w:pPr>
      <w:spacing w:before="240" w:after="60"/>
      <w:outlineLvl w:val="4"/>
    </w:pPr>
    <w:rPr>
      <w:b/>
      <w:bCs/>
      <w:i/>
      <w:iCs/>
      <w:sz w:val="26"/>
      <w:szCs w:val="26"/>
    </w:rPr>
  </w:style>
  <w:style w:type="paragraph" w:styleId="Heading8">
    <w:name w:val="heading 8"/>
    <w:basedOn w:val="Normal"/>
    <w:next w:val="Normal"/>
    <w:qFormat/>
    <w:rsid w:val="00F57F5E"/>
    <w:pPr>
      <w:bidi/>
      <w:spacing w:before="240" w:after="60" w:line="276" w:lineRule="auto"/>
      <w:outlineLvl w:val="7"/>
    </w:pPr>
    <w:rPr>
      <w:rFonts w:eastAsia="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08AC"/>
    <w:pPr>
      <w:tabs>
        <w:tab w:val="center" w:pos="4320"/>
        <w:tab w:val="right" w:pos="8640"/>
      </w:tabs>
    </w:pPr>
  </w:style>
  <w:style w:type="paragraph" w:styleId="Footer">
    <w:name w:val="footer"/>
    <w:basedOn w:val="Normal"/>
    <w:link w:val="FooterChar"/>
    <w:rsid w:val="00F808AC"/>
    <w:pPr>
      <w:tabs>
        <w:tab w:val="center" w:pos="4320"/>
        <w:tab w:val="right" w:pos="8640"/>
      </w:tabs>
    </w:pPr>
  </w:style>
  <w:style w:type="character" w:styleId="PageNumber">
    <w:name w:val="page number"/>
    <w:basedOn w:val="DefaultParagraphFont"/>
    <w:rsid w:val="00F808AC"/>
  </w:style>
  <w:style w:type="character" w:customStyle="1" w:styleId="FooterChar">
    <w:name w:val="Footer Char"/>
    <w:link w:val="Footer"/>
    <w:rsid w:val="00840B9E"/>
    <w:rPr>
      <w:sz w:val="24"/>
      <w:szCs w:val="24"/>
      <w:lang w:val="en-US" w:eastAsia="en-US" w:bidi="ar-SA"/>
    </w:rPr>
  </w:style>
  <w:style w:type="character" w:customStyle="1" w:styleId="Heading2Char">
    <w:name w:val="Heading 2 Char"/>
    <w:link w:val="Heading2"/>
    <w:locked/>
    <w:rsid w:val="00F57F5E"/>
    <w:rPr>
      <w:rFonts w:ascii="Albertus Extra Bold" w:hAnsi="Albertus Extra Bold" w:cs="Arial"/>
      <w:b/>
      <w:bCs/>
      <w:sz w:val="30"/>
      <w:szCs w:val="30"/>
      <w:lang w:val="en-US" w:eastAsia="en-US" w:bidi="ar-EG"/>
    </w:rPr>
  </w:style>
  <w:style w:type="character" w:styleId="Hyperlink">
    <w:name w:val="Hyperlink"/>
    <w:rsid w:val="00B2149C"/>
    <w:rPr>
      <w:color w:val="0000FF"/>
      <w:u w:val="single"/>
    </w:rPr>
  </w:style>
  <w:style w:type="paragraph" w:styleId="TableofFigures">
    <w:name w:val="table of figures"/>
    <w:basedOn w:val="Normal"/>
    <w:next w:val="Normal"/>
    <w:semiHidden/>
    <w:rsid w:val="001A31C6"/>
  </w:style>
  <w:style w:type="paragraph" w:styleId="TOC1">
    <w:name w:val="toc 1"/>
    <w:basedOn w:val="Normal"/>
    <w:next w:val="Normal"/>
    <w:autoRedefine/>
    <w:semiHidden/>
    <w:rsid w:val="003A17D4"/>
  </w:style>
  <w:style w:type="table" w:styleId="TableGrid">
    <w:name w:val="Table Grid"/>
    <w:basedOn w:val="TableNormal"/>
    <w:rsid w:val="00947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14AD"/>
    <w:pPr>
      <w:ind w:firstLineChars="200" w:firstLine="420"/>
    </w:pPr>
  </w:style>
  <w:style w:type="paragraph" w:styleId="BalloonText">
    <w:name w:val="Balloon Text"/>
    <w:basedOn w:val="Normal"/>
    <w:link w:val="BalloonTextChar"/>
    <w:rsid w:val="002558EA"/>
    <w:rPr>
      <w:rFonts w:ascii="Tahoma" w:hAnsi="Tahoma" w:cs="Tahoma"/>
      <w:sz w:val="16"/>
      <w:szCs w:val="16"/>
    </w:rPr>
  </w:style>
  <w:style w:type="character" w:customStyle="1" w:styleId="BalloonTextChar">
    <w:name w:val="Balloon Text Char"/>
    <w:basedOn w:val="DefaultParagraphFont"/>
    <w:link w:val="BalloonText"/>
    <w:rsid w:val="002558E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23356229">
      <w:bodyDiv w:val="1"/>
      <w:marLeft w:val="0"/>
      <w:marRight w:val="0"/>
      <w:marTop w:val="0"/>
      <w:marBottom w:val="0"/>
      <w:divBdr>
        <w:top w:val="none" w:sz="0" w:space="0" w:color="auto"/>
        <w:left w:val="none" w:sz="0" w:space="0" w:color="auto"/>
        <w:bottom w:val="none" w:sz="0" w:space="0" w:color="auto"/>
        <w:right w:val="none" w:sz="0" w:space="0" w:color="auto"/>
      </w:divBdr>
    </w:div>
    <w:div w:id="381487298">
      <w:bodyDiv w:val="1"/>
      <w:marLeft w:val="0"/>
      <w:marRight w:val="0"/>
      <w:marTop w:val="0"/>
      <w:marBottom w:val="0"/>
      <w:divBdr>
        <w:top w:val="none" w:sz="0" w:space="0" w:color="auto"/>
        <w:left w:val="none" w:sz="0" w:space="0" w:color="auto"/>
        <w:bottom w:val="none" w:sz="0" w:space="0" w:color="auto"/>
        <w:right w:val="none" w:sz="0" w:space="0" w:color="auto"/>
      </w:divBdr>
    </w:div>
    <w:div w:id="623121263">
      <w:bodyDiv w:val="1"/>
      <w:marLeft w:val="0"/>
      <w:marRight w:val="0"/>
      <w:marTop w:val="0"/>
      <w:marBottom w:val="0"/>
      <w:divBdr>
        <w:top w:val="none" w:sz="0" w:space="0" w:color="auto"/>
        <w:left w:val="none" w:sz="0" w:space="0" w:color="auto"/>
        <w:bottom w:val="none" w:sz="0" w:space="0" w:color="auto"/>
        <w:right w:val="none" w:sz="0" w:space="0" w:color="auto"/>
      </w:divBdr>
    </w:div>
    <w:div w:id="1013848897">
      <w:bodyDiv w:val="1"/>
      <w:marLeft w:val="0"/>
      <w:marRight w:val="0"/>
      <w:marTop w:val="0"/>
      <w:marBottom w:val="0"/>
      <w:divBdr>
        <w:top w:val="none" w:sz="0" w:space="0" w:color="auto"/>
        <w:left w:val="none" w:sz="0" w:space="0" w:color="auto"/>
        <w:bottom w:val="none" w:sz="0" w:space="0" w:color="auto"/>
        <w:right w:val="none" w:sz="0" w:space="0" w:color="auto"/>
      </w:divBdr>
    </w:div>
    <w:div w:id="1246189813">
      <w:bodyDiv w:val="1"/>
      <w:marLeft w:val="0"/>
      <w:marRight w:val="0"/>
      <w:marTop w:val="0"/>
      <w:marBottom w:val="0"/>
      <w:divBdr>
        <w:top w:val="none" w:sz="0" w:space="0" w:color="auto"/>
        <w:left w:val="none" w:sz="0" w:space="0" w:color="auto"/>
        <w:bottom w:val="none" w:sz="0" w:space="0" w:color="auto"/>
        <w:right w:val="none" w:sz="0" w:space="0" w:color="auto"/>
      </w:divBdr>
    </w:div>
    <w:div w:id="13955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eorgemousa553@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x.doi.org/10.7537/marsnys130120.01"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INTRODUCTION</vt:lpstr>
    </vt:vector>
  </TitlesOfParts>
  <Company>Smart</Company>
  <LinksUpToDate>false</LinksUpToDate>
  <CharactersWithSpaces>17350</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4456491</vt:i4>
      </vt:variant>
      <vt:variant>
        <vt:i4>0</vt:i4>
      </vt:variant>
      <vt:variant>
        <vt:i4>0</vt:i4>
      </vt:variant>
      <vt:variant>
        <vt:i4>5</vt:i4>
      </vt:variant>
      <vt:variant>
        <vt:lpwstr>mailto:Georgemousa553@gmail.com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Wael</dc:creator>
  <cp:lastModifiedBy>Administrator</cp:lastModifiedBy>
  <cp:revision>3</cp:revision>
  <cp:lastPrinted>2019-12-12T20:17:00Z</cp:lastPrinted>
  <dcterms:created xsi:type="dcterms:W3CDTF">2019-12-22T12:33:00Z</dcterms:created>
  <dcterms:modified xsi:type="dcterms:W3CDTF">2019-12-23T05:25:00Z</dcterms:modified>
</cp:coreProperties>
</file>