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B7" w:rsidRPr="00C05367" w:rsidRDefault="001878B7" w:rsidP="001878B7">
      <w:pPr>
        <w:snapToGrid w:val="0"/>
        <w:jc w:val="center"/>
        <w:rPr>
          <w:b/>
          <w:lang w:eastAsia="zh-CN"/>
        </w:rPr>
      </w:pPr>
    </w:p>
    <w:p w:rsidR="00E06019" w:rsidRPr="00C05367" w:rsidRDefault="007A1135" w:rsidP="001878B7">
      <w:pPr>
        <w:snapToGrid w:val="0"/>
        <w:jc w:val="center"/>
        <w:rPr>
          <w:rFonts w:eastAsia="Calibri"/>
          <w:b/>
        </w:rPr>
      </w:pPr>
      <w:r w:rsidRPr="00C05367">
        <w:rPr>
          <w:rFonts w:eastAsia="Calibri"/>
          <w:b/>
        </w:rPr>
        <w:t xml:space="preserve">Left Ventricular Global Longitudinal Strain </w:t>
      </w:r>
      <w:r w:rsidR="00C016CC" w:rsidRPr="00C05367">
        <w:rPr>
          <w:rFonts w:eastAsia="Calibri"/>
          <w:b/>
        </w:rPr>
        <w:t>after</w:t>
      </w:r>
      <w:r w:rsidRPr="00C05367">
        <w:rPr>
          <w:rFonts w:eastAsia="Calibri"/>
          <w:b/>
        </w:rPr>
        <w:t xml:space="preserve"> Revascularization </w:t>
      </w:r>
      <w:r w:rsidR="00C016CC" w:rsidRPr="00C05367">
        <w:rPr>
          <w:rFonts w:eastAsia="Calibri"/>
          <w:b/>
        </w:rPr>
        <w:t>of</w:t>
      </w:r>
      <w:r w:rsidR="006E4970" w:rsidRPr="00C05367">
        <w:rPr>
          <w:b/>
          <w:lang w:eastAsia="zh-CN"/>
        </w:rPr>
        <w:t xml:space="preserve"> </w:t>
      </w:r>
      <w:r w:rsidRPr="00C05367">
        <w:rPr>
          <w:rFonts w:eastAsia="Calibri"/>
          <w:b/>
        </w:rPr>
        <w:t>Acute ST</w:t>
      </w:r>
      <w:r w:rsidR="00C016CC" w:rsidRPr="00C05367">
        <w:rPr>
          <w:rFonts w:eastAsia="Calibri"/>
          <w:b/>
        </w:rPr>
        <w:t xml:space="preserve">- </w:t>
      </w:r>
      <w:r w:rsidRPr="00C05367">
        <w:rPr>
          <w:rFonts w:eastAsia="Calibri"/>
          <w:b/>
        </w:rPr>
        <w:t>Segment Elevation</w:t>
      </w:r>
      <w:r w:rsidR="006E4970" w:rsidRPr="00C05367">
        <w:rPr>
          <w:b/>
          <w:lang w:eastAsia="zh-CN"/>
        </w:rPr>
        <w:t xml:space="preserve"> </w:t>
      </w:r>
      <w:r w:rsidRPr="00C05367">
        <w:rPr>
          <w:rFonts w:eastAsia="Calibri"/>
          <w:b/>
        </w:rPr>
        <w:t>Myocardial Infarction</w:t>
      </w:r>
      <w:r w:rsidR="00C016CC" w:rsidRPr="00C05367">
        <w:rPr>
          <w:rFonts w:eastAsia="Calibri"/>
          <w:b/>
        </w:rPr>
        <w:t>.</w:t>
      </w:r>
    </w:p>
    <w:p w:rsidR="00E06019" w:rsidRPr="00C05367" w:rsidRDefault="00E06019" w:rsidP="001878B7">
      <w:pPr>
        <w:snapToGrid w:val="0"/>
        <w:jc w:val="center"/>
        <w:rPr>
          <w:rFonts w:eastAsia="Calibri"/>
        </w:rPr>
      </w:pPr>
    </w:p>
    <w:p w:rsidR="00E06019" w:rsidRPr="00C05367" w:rsidRDefault="006C4F96" w:rsidP="001878B7">
      <w:pPr>
        <w:snapToGrid w:val="0"/>
        <w:jc w:val="center"/>
        <w:rPr>
          <w:lang w:eastAsia="zh-CN"/>
        </w:rPr>
      </w:pPr>
      <w:r w:rsidRPr="00C05367">
        <w:rPr>
          <w:rFonts w:eastAsia="Cambria"/>
        </w:rPr>
        <w:t>Mohamed A. Emara</w:t>
      </w:r>
      <w:r w:rsidR="006E4970" w:rsidRPr="00C05367">
        <w:rPr>
          <w:lang w:eastAsia="zh-CN"/>
        </w:rPr>
        <w:t xml:space="preserve"> </w:t>
      </w:r>
      <w:r w:rsidRPr="00C05367">
        <w:rPr>
          <w:rFonts w:eastAsia="Cambria"/>
        </w:rPr>
        <w:t xml:space="preserve">MSc, </w:t>
      </w:r>
      <w:r w:rsidR="007A1135" w:rsidRPr="00C05367">
        <w:rPr>
          <w:rFonts w:eastAsia="Cambria"/>
        </w:rPr>
        <w:t>Abu Omar M.A. MD.</w:t>
      </w:r>
      <w:r w:rsidR="006E4970" w:rsidRPr="00C05367">
        <w:rPr>
          <w:lang w:eastAsia="zh-CN"/>
        </w:rPr>
        <w:t xml:space="preserve"> </w:t>
      </w:r>
      <w:r w:rsidR="007A1135" w:rsidRPr="00C05367">
        <w:rPr>
          <w:rFonts w:eastAsia="Cambria"/>
        </w:rPr>
        <w:t>Mai</w:t>
      </w:r>
      <w:r w:rsidR="006E4970" w:rsidRPr="00C05367">
        <w:rPr>
          <w:lang w:eastAsia="zh-CN"/>
        </w:rPr>
        <w:t xml:space="preserve"> </w:t>
      </w:r>
      <w:r w:rsidR="007A1135" w:rsidRPr="00C05367">
        <w:rPr>
          <w:rFonts w:eastAsia="Cambria"/>
        </w:rPr>
        <w:t>M.</w:t>
      </w:r>
      <w:r w:rsidR="006E4970" w:rsidRPr="00C05367">
        <w:rPr>
          <w:lang w:eastAsia="zh-CN"/>
        </w:rPr>
        <w:t xml:space="preserve"> </w:t>
      </w:r>
      <w:r w:rsidR="007A1135" w:rsidRPr="00C05367">
        <w:rPr>
          <w:rFonts w:eastAsia="Cambria"/>
        </w:rPr>
        <w:t>Salama MD,</w:t>
      </w:r>
      <w:r w:rsidR="006E4970" w:rsidRPr="00C05367">
        <w:rPr>
          <w:lang w:eastAsia="zh-CN"/>
        </w:rPr>
        <w:t xml:space="preserve"> </w:t>
      </w:r>
      <w:r w:rsidR="007A1135" w:rsidRPr="00C05367">
        <w:rPr>
          <w:rFonts w:eastAsia="Cambria"/>
        </w:rPr>
        <w:t>Mohamed A. Abdelaal</w:t>
      </w:r>
      <w:r w:rsidR="006E4970" w:rsidRPr="00C05367">
        <w:rPr>
          <w:lang w:eastAsia="zh-CN"/>
        </w:rPr>
        <w:t xml:space="preserve"> </w:t>
      </w:r>
      <w:r w:rsidR="0092233B" w:rsidRPr="00C05367">
        <w:rPr>
          <w:rFonts w:eastAsia="Cambria"/>
        </w:rPr>
        <w:t>MD</w:t>
      </w:r>
    </w:p>
    <w:p w:rsidR="00E06019" w:rsidRPr="00C05367" w:rsidRDefault="00E06019" w:rsidP="001878B7">
      <w:pPr>
        <w:snapToGrid w:val="0"/>
        <w:jc w:val="center"/>
        <w:rPr>
          <w:lang w:eastAsia="zh-CN"/>
        </w:rPr>
      </w:pPr>
    </w:p>
    <w:p w:rsidR="0062468B" w:rsidRPr="00C05367" w:rsidRDefault="007A1135" w:rsidP="001878B7">
      <w:pPr>
        <w:snapToGrid w:val="0"/>
        <w:jc w:val="center"/>
        <w:rPr>
          <w:rFonts w:eastAsia="Calibri"/>
        </w:rPr>
      </w:pPr>
      <w:r w:rsidRPr="00C05367">
        <w:rPr>
          <w:rFonts w:eastAsia="Calibri"/>
        </w:rPr>
        <w:t>Cardiology</w:t>
      </w:r>
      <w:r w:rsidR="006E4970" w:rsidRPr="00C05367">
        <w:rPr>
          <w:lang w:eastAsia="zh-CN"/>
        </w:rPr>
        <w:t xml:space="preserve"> </w:t>
      </w:r>
      <w:r w:rsidRPr="00C05367">
        <w:rPr>
          <w:rFonts w:eastAsia="Calibri"/>
        </w:rPr>
        <w:t>department, Faculty</w:t>
      </w:r>
      <w:r w:rsidR="006E4970" w:rsidRPr="00C05367">
        <w:rPr>
          <w:lang w:eastAsia="zh-CN"/>
        </w:rPr>
        <w:t xml:space="preserve"> </w:t>
      </w:r>
      <w:r w:rsidRPr="00C05367">
        <w:rPr>
          <w:rFonts w:eastAsia="Calibri"/>
        </w:rPr>
        <w:t>of medicine, Tanta</w:t>
      </w:r>
      <w:r w:rsidR="006E4970" w:rsidRPr="00C05367">
        <w:rPr>
          <w:lang w:eastAsia="zh-CN"/>
        </w:rPr>
        <w:t xml:space="preserve"> </w:t>
      </w:r>
      <w:r w:rsidR="005E693A" w:rsidRPr="00C05367">
        <w:rPr>
          <w:rFonts w:eastAsia="Calibri"/>
        </w:rPr>
        <w:t>University</w:t>
      </w:r>
      <w:r w:rsidRPr="00C05367">
        <w:rPr>
          <w:rFonts w:eastAsia="Calibri"/>
        </w:rPr>
        <w:t>.</w:t>
      </w:r>
    </w:p>
    <w:p w:rsidR="00E06019" w:rsidRPr="00C05367" w:rsidRDefault="001E5AB6" w:rsidP="001878B7">
      <w:pPr>
        <w:snapToGrid w:val="0"/>
        <w:jc w:val="center"/>
      </w:pPr>
      <w:hyperlink r:id="rId8" w:history="1">
        <w:r w:rsidR="00C016CC" w:rsidRPr="00C05367">
          <w:rPr>
            <w:rStyle w:val="Hyperlink"/>
          </w:rPr>
          <w:t>maabouomar@gmail.com</w:t>
        </w:r>
      </w:hyperlink>
    </w:p>
    <w:p w:rsidR="00E06019" w:rsidRPr="00C05367" w:rsidRDefault="00E06019" w:rsidP="001878B7">
      <w:pPr>
        <w:snapToGrid w:val="0"/>
        <w:jc w:val="center"/>
      </w:pPr>
    </w:p>
    <w:p w:rsidR="0062468B" w:rsidRPr="00C05367" w:rsidRDefault="00C016CC" w:rsidP="001878B7">
      <w:pPr>
        <w:snapToGrid w:val="0"/>
        <w:jc w:val="both"/>
      </w:pPr>
      <w:r w:rsidRPr="00C05367">
        <w:rPr>
          <w:rFonts w:eastAsia="Cambria"/>
          <w:b/>
        </w:rPr>
        <w:t>Abstract</w:t>
      </w:r>
      <w:r w:rsidRPr="00C05367">
        <w:rPr>
          <w:rFonts w:eastAsia="Calibri"/>
        </w:rPr>
        <w:t>:</w:t>
      </w:r>
      <w:r w:rsidR="006E4970" w:rsidRPr="00C05367">
        <w:rPr>
          <w:lang w:eastAsia="zh-CN"/>
        </w:rPr>
        <w:t xml:space="preserve"> </w:t>
      </w:r>
      <w:r w:rsidR="007A1135" w:rsidRPr="00C05367">
        <w:rPr>
          <w:rFonts w:eastAsia="Calibri"/>
          <w:b/>
        </w:rPr>
        <w:t>Background</w:t>
      </w:r>
      <w:r w:rsidR="007A1135" w:rsidRPr="00C05367">
        <w:rPr>
          <w:rFonts w:eastAsia="Calibri"/>
        </w:rPr>
        <w:t>:</w:t>
      </w:r>
      <w:r w:rsidR="006E4970" w:rsidRPr="00C05367">
        <w:rPr>
          <w:lang w:eastAsia="zh-CN"/>
        </w:rPr>
        <w:t xml:space="preserve"> </w:t>
      </w:r>
      <w:r w:rsidR="007A1135" w:rsidRPr="00C05367">
        <w:t>Speckle tracking echocardiography (STE)</w:t>
      </w:r>
      <w:r w:rsidR="006E4970" w:rsidRPr="00C05367">
        <w:rPr>
          <w:lang w:eastAsia="zh-CN"/>
        </w:rPr>
        <w:t xml:space="preserve"> </w:t>
      </w:r>
      <w:r w:rsidR="00D83550" w:rsidRPr="00C05367">
        <w:t>cannot be</w:t>
      </w:r>
      <w:r w:rsidR="007A1135" w:rsidRPr="00C05367">
        <w:t xml:space="preserve"> considered are</w:t>
      </w:r>
      <w:r w:rsidR="006E4970" w:rsidRPr="00C05367">
        <w:rPr>
          <w:lang w:eastAsia="zh-CN"/>
        </w:rPr>
        <w:t xml:space="preserve"> </w:t>
      </w:r>
      <w:r w:rsidR="00202998" w:rsidRPr="00C05367">
        <w:t>cent</w:t>
      </w:r>
      <w:r w:rsidR="006E4970" w:rsidRPr="00C05367">
        <w:rPr>
          <w:lang w:eastAsia="zh-CN"/>
        </w:rPr>
        <w:t xml:space="preserve"> </w:t>
      </w:r>
      <w:r w:rsidR="00202998" w:rsidRPr="00C05367">
        <w:t>technique</w:t>
      </w:r>
      <w:r w:rsidR="007A1135" w:rsidRPr="00C05367">
        <w:t xml:space="preserve"> any</w:t>
      </w:r>
      <w:r w:rsidR="006E4970" w:rsidRPr="00C05367">
        <w:rPr>
          <w:lang w:eastAsia="zh-CN"/>
        </w:rPr>
        <w:t xml:space="preserve"> </w:t>
      </w:r>
      <w:r w:rsidR="007A1135" w:rsidRPr="00C05367">
        <w:t>more.</w:t>
      </w:r>
      <w:r w:rsidR="006E4970" w:rsidRPr="00C05367">
        <w:rPr>
          <w:lang w:eastAsia="zh-CN"/>
        </w:rPr>
        <w:t xml:space="preserve"> </w:t>
      </w:r>
      <w:r w:rsidR="007A1135" w:rsidRPr="00C05367">
        <w:t>Its high feasibility,</w:t>
      </w:r>
      <w:r w:rsidR="006E4970" w:rsidRPr="00C05367">
        <w:rPr>
          <w:lang w:eastAsia="zh-CN"/>
        </w:rPr>
        <w:t xml:space="preserve"> </w:t>
      </w:r>
      <w:r w:rsidR="007A1135" w:rsidRPr="00C05367">
        <w:t>reproducibility,</w:t>
      </w:r>
      <w:r w:rsidR="006E4970" w:rsidRPr="00C05367">
        <w:rPr>
          <w:lang w:eastAsia="zh-CN"/>
        </w:rPr>
        <w:t xml:space="preserve"> </w:t>
      </w:r>
      <w:r w:rsidR="007A1135" w:rsidRPr="00C05367">
        <w:t xml:space="preserve">and </w:t>
      </w:r>
      <w:r w:rsidR="00D83550" w:rsidRPr="00C05367">
        <w:t>accuracy have</w:t>
      </w:r>
      <w:r w:rsidR="007A1135" w:rsidRPr="00C05367">
        <w:t xml:space="preserve"> been</w:t>
      </w:r>
      <w:r w:rsidR="006E4970" w:rsidRPr="00C05367">
        <w:rPr>
          <w:lang w:eastAsia="zh-CN"/>
        </w:rPr>
        <w:t xml:space="preserve"> </w:t>
      </w:r>
      <w:r w:rsidR="007A1135" w:rsidRPr="00C05367">
        <w:t>widely</w:t>
      </w:r>
      <w:r w:rsidR="006E4970" w:rsidRPr="00C05367">
        <w:rPr>
          <w:lang w:eastAsia="zh-CN"/>
        </w:rPr>
        <w:t xml:space="preserve"> </w:t>
      </w:r>
      <w:r w:rsidR="007A1135" w:rsidRPr="00C05367">
        <w:t>demonstrated and it has been applied to different aspects</w:t>
      </w:r>
      <w:r w:rsidR="00D83550" w:rsidRPr="00C05367">
        <w:rPr>
          <w:lang w:eastAsia="zh-CN"/>
        </w:rPr>
        <w:t xml:space="preserve"> </w:t>
      </w:r>
      <w:r w:rsidR="007A1135" w:rsidRPr="00C05367">
        <w:t>of the</w:t>
      </w:r>
      <w:r w:rsidR="00D83550" w:rsidRPr="00C05367">
        <w:rPr>
          <w:lang w:eastAsia="zh-CN"/>
        </w:rPr>
        <w:t xml:space="preserve"> </w:t>
      </w:r>
      <w:r w:rsidR="007A1135" w:rsidRPr="00C05367">
        <w:t>daily</w:t>
      </w:r>
      <w:r w:rsidR="00D83550" w:rsidRPr="00C05367">
        <w:rPr>
          <w:lang w:eastAsia="zh-CN"/>
        </w:rPr>
        <w:t xml:space="preserve"> </w:t>
      </w:r>
      <w:r w:rsidR="007A1135" w:rsidRPr="00C05367">
        <w:t>clinical</w:t>
      </w:r>
      <w:r w:rsidR="00D83550" w:rsidRPr="00C05367">
        <w:rPr>
          <w:lang w:eastAsia="zh-CN"/>
        </w:rPr>
        <w:t xml:space="preserve"> </w:t>
      </w:r>
      <w:r w:rsidR="00D83550" w:rsidRPr="00C05367">
        <w:t>practice</w:t>
      </w:r>
      <w:r w:rsidR="00D83550" w:rsidRPr="00C05367">
        <w:rPr>
          <w:lang w:eastAsia="zh-CN"/>
        </w:rPr>
        <w:t xml:space="preserve"> </w:t>
      </w:r>
      <w:r w:rsidR="00202998" w:rsidRPr="00C05367">
        <w:t>specially</w:t>
      </w:r>
      <w:r w:rsidR="007A1135" w:rsidRPr="00C05367">
        <w:t xml:space="preserve"> is</w:t>
      </w:r>
      <w:r w:rsidR="00D83550" w:rsidRPr="00C05367">
        <w:rPr>
          <w:lang w:eastAsia="zh-CN"/>
        </w:rPr>
        <w:t xml:space="preserve"> </w:t>
      </w:r>
      <w:r w:rsidR="007A1135" w:rsidRPr="00C05367">
        <w:t>chemic</w:t>
      </w:r>
      <w:r w:rsidR="00D83550" w:rsidRPr="00C05367">
        <w:rPr>
          <w:lang w:eastAsia="zh-CN"/>
        </w:rPr>
        <w:t xml:space="preserve"> </w:t>
      </w:r>
      <w:r w:rsidR="007A1135" w:rsidRPr="00C05367">
        <w:t>heart</w:t>
      </w:r>
      <w:r w:rsidR="00D83550" w:rsidRPr="00C05367">
        <w:rPr>
          <w:lang w:eastAsia="zh-CN"/>
        </w:rPr>
        <w:t xml:space="preserve"> </w:t>
      </w:r>
      <w:r w:rsidR="007A1135" w:rsidRPr="00C05367">
        <w:t>disease</w:t>
      </w:r>
      <w:r w:rsidR="00D83550" w:rsidRPr="00C05367">
        <w:rPr>
          <w:lang w:eastAsia="zh-CN"/>
        </w:rPr>
        <w:t xml:space="preserve"> </w:t>
      </w:r>
      <w:r w:rsidR="007A1135" w:rsidRPr="00C05367">
        <w:t>and</w:t>
      </w:r>
      <w:r w:rsidR="00D83550" w:rsidRPr="00C05367">
        <w:rPr>
          <w:lang w:eastAsia="zh-CN"/>
        </w:rPr>
        <w:t xml:space="preserve"> </w:t>
      </w:r>
      <w:r w:rsidR="007A1135" w:rsidRPr="00C05367">
        <w:t>patients</w:t>
      </w:r>
      <w:r w:rsidR="00D83550" w:rsidRPr="00C05367">
        <w:rPr>
          <w:lang w:eastAsia="zh-CN"/>
        </w:rPr>
        <w:t xml:space="preserve"> </w:t>
      </w:r>
      <w:r w:rsidR="007A1135" w:rsidRPr="00C05367">
        <w:t>who</w:t>
      </w:r>
      <w:r w:rsidR="00D83550" w:rsidRPr="00C05367">
        <w:rPr>
          <w:lang w:eastAsia="zh-CN"/>
        </w:rPr>
        <w:t xml:space="preserve"> </w:t>
      </w:r>
      <w:r w:rsidR="007A1135" w:rsidRPr="00C05367">
        <w:t>present</w:t>
      </w:r>
      <w:r w:rsidR="00D83550" w:rsidRPr="00C05367">
        <w:rPr>
          <w:lang w:eastAsia="zh-CN"/>
        </w:rPr>
        <w:t xml:space="preserve"> </w:t>
      </w:r>
      <w:r w:rsidR="007A1135" w:rsidRPr="00C05367">
        <w:t>with ST</w:t>
      </w:r>
      <w:r w:rsidR="00D83550" w:rsidRPr="00C05367">
        <w:rPr>
          <w:lang w:eastAsia="zh-CN"/>
        </w:rPr>
        <w:t xml:space="preserve"> </w:t>
      </w:r>
      <w:r w:rsidR="007A1135" w:rsidRPr="00C05367">
        <w:t>segment</w:t>
      </w:r>
      <w:r w:rsidR="009B40BA" w:rsidRPr="00C05367">
        <w:rPr>
          <w:lang w:eastAsia="zh-CN"/>
        </w:rPr>
        <w:t xml:space="preserve"> </w:t>
      </w:r>
      <w:r w:rsidR="007A1135" w:rsidRPr="00C05367">
        <w:t xml:space="preserve">elevation </w:t>
      </w:r>
      <w:r w:rsidR="00202998" w:rsidRPr="00C05367">
        <w:t>acute</w:t>
      </w:r>
      <w:r w:rsidR="00D83550" w:rsidRPr="00C05367">
        <w:rPr>
          <w:lang w:eastAsia="zh-CN"/>
        </w:rPr>
        <w:t xml:space="preserve"> </w:t>
      </w:r>
      <w:r w:rsidR="00202998" w:rsidRPr="00C05367">
        <w:t>myocardial</w:t>
      </w:r>
      <w:r w:rsidR="00D83550" w:rsidRPr="00C05367">
        <w:rPr>
          <w:lang w:eastAsia="zh-CN"/>
        </w:rPr>
        <w:t xml:space="preserve"> </w:t>
      </w:r>
      <w:r w:rsidR="007A1135" w:rsidRPr="00C05367">
        <w:t>infarction</w:t>
      </w:r>
      <w:r w:rsidR="00D83550" w:rsidRPr="00C05367">
        <w:rPr>
          <w:lang w:eastAsia="zh-CN"/>
        </w:rPr>
        <w:t xml:space="preserve"> </w:t>
      </w:r>
      <w:r w:rsidR="007A1135" w:rsidRPr="00C05367">
        <w:t>(STEMI).</w:t>
      </w:r>
      <w:r w:rsidR="00D83550" w:rsidRPr="00C05367">
        <w:rPr>
          <w:lang w:eastAsia="zh-CN"/>
        </w:rPr>
        <w:t xml:space="preserve"> </w:t>
      </w:r>
      <w:r w:rsidR="007A1135" w:rsidRPr="00C05367">
        <w:rPr>
          <w:rFonts w:eastAsia="Calibri"/>
          <w:b/>
        </w:rPr>
        <w:t>Objectives</w:t>
      </w:r>
      <w:r w:rsidR="007A1135" w:rsidRPr="00C05367">
        <w:rPr>
          <w:rFonts w:eastAsia="Calibri"/>
        </w:rPr>
        <w:t>:</w:t>
      </w:r>
      <w:r w:rsidR="00D83550" w:rsidRPr="00C05367">
        <w:rPr>
          <w:lang w:eastAsia="zh-CN"/>
        </w:rPr>
        <w:t xml:space="preserve"> </w:t>
      </w:r>
      <w:r w:rsidR="007A1135" w:rsidRPr="00C05367">
        <w:t>The</w:t>
      </w:r>
      <w:r w:rsidR="00D83550" w:rsidRPr="00C05367">
        <w:rPr>
          <w:lang w:eastAsia="zh-CN"/>
        </w:rPr>
        <w:t xml:space="preserve"> </w:t>
      </w:r>
      <w:r w:rsidR="007A1135" w:rsidRPr="00C05367">
        <w:t>aim</w:t>
      </w:r>
      <w:r w:rsidR="00D83550" w:rsidRPr="00C05367">
        <w:rPr>
          <w:lang w:eastAsia="zh-CN"/>
        </w:rPr>
        <w:t xml:space="preserve"> </w:t>
      </w:r>
      <w:r w:rsidR="007A1135" w:rsidRPr="00C05367">
        <w:t>of</w:t>
      </w:r>
      <w:r w:rsidR="00D83550" w:rsidRPr="00C05367">
        <w:rPr>
          <w:lang w:eastAsia="zh-CN"/>
        </w:rPr>
        <w:t xml:space="preserve"> </w:t>
      </w:r>
      <w:r w:rsidR="007A1135" w:rsidRPr="00C05367">
        <w:t>this</w:t>
      </w:r>
      <w:r w:rsidR="00D83550" w:rsidRPr="00C05367">
        <w:rPr>
          <w:lang w:eastAsia="zh-CN"/>
        </w:rPr>
        <w:t xml:space="preserve"> </w:t>
      </w:r>
      <w:r w:rsidR="007A1135" w:rsidRPr="00C05367">
        <w:t>study is</w:t>
      </w:r>
      <w:r w:rsidR="00D83550" w:rsidRPr="00C05367">
        <w:rPr>
          <w:lang w:eastAsia="zh-CN"/>
        </w:rPr>
        <w:t xml:space="preserve"> </w:t>
      </w:r>
      <w:r w:rsidR="007A1135" w:rsidRPr="00C05367">
        <w:t>to</w:t>
      </w:r>
      <w:r w:rsidR="00D83550" w:rsidRPr="00C05367">
        <w:rPr>
          <w:lang w:eastAsia="zh-CN"/>
        </w:rPr>
        <w:t xml:space="preserve"> </w:t>
      </w:r>
      <w:r w:rsidR="007A1135" w:rsidRPr="00C05367">
        <w:t>compare</w:t>
      </w:r>
      <w:r w:rsidR="00D83550" w:rsidRPr="00C05367">
        <w:rPr>
          <w:lang w:eastAsia="zh-CN"/>
        </w:rPr>
        <w:t xml:space="preserve"> </w:t>
      </w:r>
      <w:r w:rsidR="007A1135" w:rsidRPr="00C05367">
        <w:t>LV regional</w:t>
      </w:r>
      <w:r w:rsidR="00D83550" w:rsidRPr="00C05367">
        <w:rPr>
          <w:lang w:eastAsia="zh-CN"/>
        </w:rPr>
        <w:t xml:space="preserve"> </w:t>
      </w:r>
      <w:r w:rsidR="007A1135" w:rsidRPr="00C05367">
        <w:t>and</w:t>
      </w:r>
      <w:r w:rsidR="00D83550" w:rsidRPr="00C05367">
        <w:rPr>
          <w:lang w:eastAsia="zh-CN"/>
        </w:rPr>
        <w:t xml:space="preserve"> </w:t>
      </w:r>
      <w:r w:rsidR="007A1135" w:rsidRPr="00C05367">
        <w:t>global</w:t>
      </w:r>
      <w:r w:rsidR="00D83550" w:rsidRPr="00C05367">
        <w:rPr>
          <w:lang w:eastAsia="zh-CN"/>
        </w:rPr>
        <w:t xml:space="preserve"> </w:t>
      </w:r>
      <w:r w:rsidR="007A1135" w:rsidRPr="00C05367">
        <w:t>function</w:t>
      </w:r>
      <w:r w:rsidR="00D83550" w:rsidRPr="00C05367">
        <w:rPr>
          <w:lang w:eastAsia="zh-CN"/>
        </w:rPr>
        <w:t xml:space="preserve"> </w:t>
      </w:r>
      <w:r w:rsidR="007A1135" w:rsidRPr="00C05367">
        <w:t>assessed</w:t>
      </w:r>
      <w:r w:rsidR="00D83550" w:rsidRPr="00C05367">
        <w:rPr>
          <w:lang w:eastAsia="zh-CN"/>
        </w:rPr>
        <w:t xml:space="preserve"> </w:t>
      </w:r>
      <w:r w:rsidR="007A1135" w:rsidRPr="00C05367">
        <w:t>by</w:t>
      </w:r>
      <w:r w:rsidR="00D83550" w:rsidRPr="00C05367">
        <w:rPr>
          <w:lang w:eastAsia="zh-CN"/>
        </w:rPr>
        <w:t xml:space="preserve"> </w:t>
      </w:r>
      <w:r w:rsidR="007A1135" w:rsidRPr="00C05367">
        <w:t>2D-speckle tracking</w:t>
      </w:r>
      <w:r w:rsidR="00D83550" w:rsidRPr="00C05367">
        <w:rPr>
          <w:lang w:eastAsia="zh-CN"/>
        </w:rPr>
        <w:t xml:space="preserve"> </w:t>
      </w:r>
      <w:r w:rsidR="007A1135" w:rsidRPr="00C05367">
        <w:t>imaging</w:t>
      </w:r>
      <w:r w:rsidR="00D83550" w:rsidRPr="00C05367">
        <w:rPr>
          <w:lang w:eastAsia="zh-CN"/>
        </w:rPr>
        <w:t xml:space="preserve"> </w:t>
      </w:r>
      <w:r w:rsidR="007A1135" w:rsidRPr="00C05367">
        <w:t>between STEMI</w:t>
      </w:r>
      <w:r w:rsidR="00D83550" w:rsidRPr="00C05367">
        <w:rPr>
          <w:lang w:eastAsia="zh-CN"/>
        </w:rPr>
        <w:t xml:space="preserve"> </w:t>
      </w:r>
      <w:r w:rsidR="007A1135" w:rsidRPr="00C05367">
        <w:t>patients</w:t>
      </w:r>
      <w:r w:rsidR="00D83550" w:rsidRPr="00C05367">
        <w:rPr>
          <w:lang w:eastAsia="zh-CN"/>
        </w:rPr>
        <w:t xml:space="preserve"> </w:t>
      </w:r>
      <w:r w:rsidR="007A1135" w:rsidRPr="00C05367">
        <w:t>reperfused</w:t>
      </w:r>
      <w:r w:rsidR="00D83550" w:rsidRPr="00C05367">
        <w:rPr>
          <w:lang w:eastAsia="zh-CN"/>
        </w:rPr>
        <w:t xml:space="preserve"> </w:t>
      </w:r>
      <w:r w:rsidR="007A1135" w:rsidRPr="00C05367">
        <w:t>by</w:t>
      </w:r>
      <w:r w:rsidR="00D83550" w:rsidRPr="00C05367">
        <w:rPr>
          <w:lang w:eastAsia="zh-CN"/>
        </w:rPr>
        <w:t xml:space="preserve"> </w:t>
      </w:r>
      <w:r w:rsidR="007A1135" w:rsidRPr="00C05367">
        <w:t>primary</w:t>
      </w:r>
      <w:r w:rsidR="00D83550" w:rsidRPr="00C05367">
        <w:rPr>
          <w:lang w:eastAsia="zh-CN"/>
        </w:rPr>
        <w:t xml:space="preserve"> </w:t>
      </w:r>
      <w:r w:rsidR="007A1135" w:rsidRPr="00C05367">
        <w:t>Percutaneous</w:t>
      </w:r>
      <w:r w:rsidR="00D83550" w:rsidRPr="00C05367">
        <w:rPr>
          <w:lang w:eastAsia="zh-CN"/>
        </w:rPr>
        <w:t xml:space="preserve"> </w:t>
      </w:r>
      <w:r w:rsidR="007A1135" w:rsidRPr="00C05367">
        <w:t>Coronary</w:t>
      </w:r>
      <w:r w:rsidR="00D83550" w:rsidRPr="00C05367">
        <w:rPr>
          <w:lang w:eastAsia="zh-CN"/>
        </w:rPr>
        <w:t xml:space="preserve"> </w:t>
      </w:r>
      <w:r w:rsidR="007A1135" w:rsidRPr="00C05367">
        <w:t>Intervention</w:t>
      </w:r>
      <w:r w:rsidR="00D83550" w:rsidRPr="00C05367">
        <w:rPr>
          <w:lang w:eastAsia="zh-CN"/>
        </w:rPr>
        <w:t xml:space="preserve"> </w:t>
      </w:r>
      <w:r w:rsidR="007A1135" w:rsidRPr="00C05367">
        <w:t>(PCI) and those</w:t>
      </w:r>
      <w:r w:rsidR="00D83550" w:rsidRPr="00C05367">
        <w:rPr>
          <w:lang w:eastAsia="zh-CN"/>
        </w:rPr>
        <w:t xml:space="preserve"> </w:t>
      </w:r>
      <w:r w:rsidR="007A1135" w:rsidRPr="00C05367">
        <w:t>reperfused</w:t>
      </w:r>
      <w:r w:rsidR="00D83550" w:rsidRPr="00C05367">
        <w:rPr>
          <w:lang w:eastAsia="zh-CN"/>
        </w:rPr>
        <w:t xml:space="preserve"> </w:t>
      </w:r>
      <w:r w:rsidR="007A1135" w:rsidRPr="00C05367">
        <w:t>by thrombolytic</w:t>
      </w:r>
      <w:r w:rsidR="00D83550" w:rsidRPr="00C05367">
        <w:rPr>
          <w:lang w:eastAsia="zh-CN"/>
        </w:rPr>
        <w:t xml:space="preserve"> </w:t>
      </w:r>
      <w:r w:rsidR="007A1135" w:rsidRPr="00C05367">
        <w:t>therapy</w:t>
      </w:r>
      <w:r w:rsidR="00D83550" w:rsidRPr="00C05367">
        <w:rPr>
          <w:lang w:eastAsia="zh-CN"/>
        </w:rPr>
        <w:t xml:space="preserve"> </w:t>
      </w:r>
      <w:r w:rsidR="007A1135" w:rsidRPr="00C05367">
        <w:t>and pharmaco</w:t>
      </w:r>
      <w:r w:rsidR="00D83550" w:rsidRPr="00C05367">
        <w:rPr>
          <w:lang w:eastAsia="zh-CN"/>
        </w:rPr>
        <w:t xml:space="preserve"> </w:t>
      </w:r>
      <w:r w:rsidR="007A1135" w:rsidRPr="00C05367">
        <w:t>invasive PCI.</w:t>
      </w:r>
      <w:r w:rsidR="009B40BA" w:rsidRPr="00C05367">
        <w:rPr>
          <w:lang w:eastAsia="zh-CN"/>
        </w:rPr>
        <w:t xml:space="preserve"> </w:t>
      </w:r>
      <w:r w:rsidR="007A1135" w:rsidRPr="00C05367">
        <w:rPr>
          <w:rFonts w:eastAsia="Calibri"/>
          <w:b/>
        </w:rPr>
        <w:t>Methods</w:t>
      </w:r>
      <w:r w:rsidRPr="00C05367">
        <w:rPr>
          <w:rFonts w:eastAsia="Calibri"/>
        </w:rPr>
        <w:t>:</w:t>
      </w:r>
      <w:r w:rsidR="00D83550" w:rsidRPr="00C05367">
        <w:rPr>
          <w:lang w:eastAsia="zh-CN"/>
        </w:rPr>
        <w:t xml:space="preserve"> </w:t>
      </w:r>
      <w:r w:rsidR="00202998" w:rsidRPr="00C05367">
        <w:t>Two hundred</w:t>
      </w:r>
      <w:r w:rsidR="007A1135" w:rsidRPr="00C05367">
        <w:t xml:space="preserve"> </w:t>
      </w:r>
      <w:r w:rsidR="00087AE6" w:rsidRPr="00C05367">
        <w:t xml:space="preserve">patients presenting with a </w:t>
      </w:r>
      <w:r w:rsidR="007A1135" w:rsidRPr="00C05367">
        <w:t>cute</w:t>
      </w:r>
      <w:r w:rsidR="00087AE6" w:rsidRPr="00C05367">
        <w:t xml:space="preserve"> </w:t>
      </w:r>
      <w:r w:rsidR="007A1135" w:rsidRPr="00C05367">
        <w:t>STEMI,</w:t>
      </w:r>
      <w:r w:rsidR="00087AE6" w:rsidRPr="00C05367">
        <w:t xml:space="preserve"> </w:t>
      </w:r>
      <w:r w:rsidR="007A1135" w:rsidRPr="00C05367">
        <w:t>100f the</w:t>
      </w:r>
      <w:r w:rsidR="009B40BA" w:rsidRPr="00C05367">
        <w:rPr>
          <w:lang w:eastAsia="zh-CN"/>
        </w:rPr>
        <w:t xml:space="preserve"> </w:t>
      </w:r>
      <w:r w:rsidR="00202998" w:rsidRPr="00C05367">
        <w:t>maunder</w:t>
      </w:r>
      <w:r w:rsidR="00087AE6" w:rsidRPr="00C05367">
        <w:t xml:space="preserve"> </w:t>
      </w:r>
      <w:r w:rsidR="007A1135" w:rsidRPr="00C05367">
        <w:t>went</w:t>
      </w:r>
      <w:r w:rsidR="00087AE6" w:rsidRPr="00C05367">
        <w:t xml:space="preserve"> </w:t>
      </w:r>
      <w:r w:rsidR="007A1135" w:rsidRPr="00C05367">
        <w:t>primary percutaneous</w:t>
      </w:r>
      <w:r w:rsidR="009B40BA" w:rsidRPr="00C05367">
        <w:rPr>
          <w:lang w:eastAsia="zh-CN"/>
        </w:rPr>
        <w:t xml:space="preserve"> </w:t>
      </w:r>
      <w:r w:rsidR="007A1135" w:rsidRPr="00C05367">
        <w:t>coronary intervention (PCI</w:t>
      </w:r>
      <w:r w:rsidR="00231E38" w:rsidRPr="00C05367">
        <w:t>)</w:t>
      </w:r>
      <w:r w:rsidR="00087AE6" w:rsidRPr="00C05367">
        <w:t xml:space="preserve"> </w:t>
      </w:r>
      <w:r w:rsidR="00231E38" w:rsidRPr="00C05367">
        <w:t>received</w:t>
      </w:r>
      <w:r w:rsidR="00087AE6" w:rsidRPr="00C05367">
        <w:t xml:space="preserve"> </w:t>
      </w:r>
      <w:r w:rsidR="007A1135" w:rsidRPr="00C05367">
        <w:t>fibrinolytic</w:t>
      </w:r>
      <w:r w:rsidR="00087AE6" w:rsidRPr="00C05367">
        <w:t xml:space="preserve"> </w:t>
      </w:r>
      <w:r w:rsidR="007A1135" w:rsidRPr="00C05367">
        <w:t>therapy</w:t>
      </w:r>
      <w:r w:rsidR="00087AE6" w:rsidRPr="00C05367">
        <w:t xml:space="preserve"> </w:t>
      </w:r>
      <w:r w:rsidR="007A1135" w:rsidRPr="00C05367">
        <w:t>then</w:t>
      </w:r>
      <w:r w:rsidR="00087AE6" w:rsidRPr="00C05367">
        <w:t xml:space="preserve"> </w:t>
      </w:r>
      <w:r w:rsidR="007A1135" w:rsidRPr="00C05367">
        <w:t>pharmaco</w:t>
      </w:r>
      <w:r w:rsidR="004449B6" w:rsidRPr="00C05367">
        <w:rPr>
          <w:lang w:eastAsia="zh-CN"/>
        </w:rPr>
        <w:t xml:space="preserve"> </w:t>
      </w:r>
      <w:r w:rsidR="007A1135" w:rsidRPr="00C05367">
        <w:t>invasive</w:t>
      </w:r>
      <w:r w:rsidR="00087AE6" w:rsidRPr="00C05367">
        <w:t xml:space="preserve"> </w:t>
      </w:r>
      <w:r w:rsidR="007A1135" w:rsidRPr="00C05367">
        <w:t>PCI were enrolled. Left</w:t>
      </w:r>
      <w:r w:rsidR="00087AE6" w:rsidRPr="00C05367">
        <w:t xml:space="preserve"> </w:t>
      </w:r>
      <w:r w:rsidR="007A1135" w:rsidRPr="00C05367">
        <w:t>ventricular</w:t>
      </w:r>
      <w:r w:rsidR="00087AE6" w:rsidRPr="00C05367">
        <w:t xml:space="preserve"> </w:t>
      </w:r>
      <w:r w:rsidR="007A1135" w:rsidRPr="00C05367">
        <w:t>global</w:t>
      </w:r>
      <w:r w:rsidR="00087AE6" w:rsidRPr="00C05367">
        <w:t xml:space="preserve"> </w:t>
      </w:r>
      <w:r w:rsidR="007A1135" w:rsidRPr="00C05367">
        <w:t>longitudinal</w:t>
      </w:r>
      <w:r w:rsidR="00087AE6" w:rsidRPr="00C05367">
        <w:t xml:space="preserve"> </w:t>
      </w:r>
      <w:r w:rsidR="007A1135" w:rsidRPr="00C05367">
        <w:t>strain (GLS)</w:t>
      </w:r>
      <w:r w:rsidR="00087AE6" w:rsidRPr="00C05367">
        <w:t xml:space="preserve"> </w:t>
      </w:r>
      <w:r w:rsidR="007A1135" w:rsidRPr="00C05367">
        <w:t>was calculated</w:t>
      </w:r>
      <w:r w:rsidR="00087AE6" w:rsidRPr="00C05367">
        <w:t xml:space="preserve"> </w:t>
      </w:r>
      <w:r w:rsidR="007A1135" w:rsidRPr="00C05367">
        <w:t>in</w:t>
      </w:r>
      <w:r w:rsidR="00087AE6" w:rsidRPr="00C05367">
        <w:t xml:space="preserve"> </w:t>
      </w:r>
      <w:r w:rsidR="007A1135" w:rsidRPr="00C05367">
        <w:t>both groups after</w:t>
      </w:r>
      <w:r w:rsidR="00087AE6" w:rsidRPr="00C05367">
        <w:t xml:space="preserve"> </w:t>
      </w:r>
      <w:r w:rsidR="007A1135" w:rsidRPr="00C05367">
        <w:t>the PCI.</w:t>
      </w:r>
      <w:r w:rsidR="00087AE6" w:rsidRPr="00C05367">
        <w:rPr>
          <w:rFonts w:eastAsia="Calibri"/>
          <w:b/>
        </w:rPr>
        <w:t xml:space="preserve"> </w:t>
      </w:r>
      <w:r w:rsidR="007A1135" w:rsidRPr="00C05367">
        <w:rPr>
          <w:rFonts w:eastAsia="Calibri"/>
          <w:b/>
        </w:rPr>
        <w:t>Results</w:t>
      </w:r>
      <w:r w:rsidR="007A1135" w:rsidRPr="00C05367">
        <w:rPr>
          <w:rFonts w:eastAsia="Calibri"/>
        </w:rPr>
        <w:t>:</w:t>
      </w:r>
      <w:r w:rsidR="00087AE6" w:rsidRPr="00C05367">
        <w:t xml:space="preserve"> </w:t>
      </w:r>
      <w:r w:rsidR="007A1135" w:rsidRPr="00C05367">
        <w:t>200</w:t>
      </w:r>
      <w:r w:rsidR="009B40BA" w:rsidRPr="00C05367">
        <w:rPr>
          <w:lang w:eastAsia="zh-CN"/>
        </w:rPr>
        <w:t xml:space="preserve"> </w:t>
      </w:r>
      <w:r w:rsidR="007A1135" w:rsidRPr="00C05367">
        <w:t>patients</w:t>
      </w:r>
      <w:r w:rsidR="00087AE6" w:rsidRPr="00C05367">
        <w:t xml:space="preserve"> </w:t>
      </w:r>
      <w:r w:rsidR="007A1135" w:rsidRPr="00C05367">
        <w:t>(138</w:t>
      </w:r>
      <w:r w:rsidR="00087AE6" w:rsidRPr="00C05367">
        <w:t xml:space="preserve"> </w:t>
      </w:r>
      <w:r w:rsidR="007A1135" w:rsidRPr="00C05367">
        <w:t>males,</w:t>
      </w:r>
      <w:r w:rsidR="00087AE6" w:rsidRPr="00C05367">
        <w:t xml:space="preserve"> </w:t>
      </w:r>
      <w:r w:rsidR="007A1135" w:rsidRPr="00C05367">
        <w:t>62</w:t>
      </w:r>
      <w:r w:rsidR="00087AE6" w:rsidRPr="00C05367">
        <w:t xml:space="preserve"> </w:t>
      </w:r>
      <w:r w:rsidR="007A1135" w:rsidRPr="00C05367">
        <w:t>females)</w:t>
      </w:r>
      <w:r w:rsidR="00087AE6" w:rsidRPr="00C05367">
        <w:t xml:space="preserve"> </w:t>
      </w:r>
      <w:r w:rsidR="007A1135" w:rsidRPr="00C05367">
        <w:t>with</w:t>
      </w:r>
      <w:r w:rsidR="00087AE6" w:rsidRPr="00C05367">
        <w:t xml:space="preserve"> manage </w:t>
      </w:r>
      <w:r w:rsidR="007A1135" w:rsidRPr="00C05367">
        <w:t>of</w:t>
      </w:r>
      <w:r w:rsidR="00087AE6" w:rsidRPr="00C05367">
        <w:t xml:space="preserve"> </w:t>
      </w:r>
      <w:r w:rsidR="007A1135" w:rsidRPr="00C05367">
        <w:t>58.6±11.0</w:t>
      </w:r>
      <w:r w:rsidR="00087AE6" w:rsidRPr="00C05367">
        <w:t xml:space="preserve"> </w:t>
      </w:r>
      <w:r w:rsidR="007A1135" w:rsidRPr="00C05367">
        <w:t>years</w:t>
      </w:r>
      <w:r w:rsidR="00087AE6" w:rsidRPr="00C05367">
        <w:t xml:space="preserve"> </w:t>
      </w:r>
      <w:r w:rsidR="007A1135" w:rsidRPr="00C05367">
        <w:t>were</w:t>
      </w:r>
      <w:r w:rsidR="00087AE6" w:rsidRPr="00C05367">
        <w:t xml:space="preserve"> </w:t>
      </w:r>
      <w:r w:rsidR="007A1135" w:rsidRPr="00C05367">
        <w:t>evaluated.</w:t>
      </w:r>
      <w:r w:rsidR="00087AE6" w:rsidRPr="00C05367">
        <w:t xml:space="preserve"> </w:t>
      </w:r>
      <w:r w:rsidR="007A1135" w:rsidRPr="00C05367">
        <w:t>The results</w:t>
      </w:r>
      <w:r w:rsidR="00087AE6" w:rsidRPr="00C05367">
        <w:t xml:space="preserve"> </w:t>
      </w:r>
      <w:r w:rsidR="007A1135" w:rsidRPr="00C05367">
        <w:t>showed</w:t>
      </w:r>
      <w:r w:rsidR="00087AE6" w:rsidRPr="00C05367">
        <w:t xml:space="preserve"> </w:t>
      </w:r>
      <w:r w:rsidR="007A1135" w:rsidRPr="00C05367">
        <w:t>a</w:t>
      </w:r>
      <w:r w:rsidR="00087AE6" w:rsidRPr="00C05367">
        <w:t xml:space="preserve"> </w:t>
      </w:r>
      <w:r w:rsidR="007A1135" w:rsidRPr="00C05367">
        <w:t>significant</w:t>
      </w:r>
      <w:r w:rsidR="00087AE6" w:rsidRPr="00C05367">
        <w:t xml:space="preserve"> </w:t>
      </w:r>
      <w:r w:rsidR="007A1135" w:rsidRPr="00C05367">
        <w:t>difference</w:t>
      </w:r>
      <w:r w:rsidR="00087AE6" w:rsidRPr="00C05367">
        <w:t xml:space="preserve"> </w:t>
      </w:r>
      <w:r w:rsidR="007A1135" w:rsidRPr="00C05367">
        <w:t>between</w:t>
      </w:r>
      <w:r w:rsidR="00087AE6" w:rsidRPr="00C05367">
        <w:t xml:space="preserve"> </w:t>
      </w:r>
      <w:r w:rsidR="007A1135" w:rsidRPr="00C05367">
        <w:t>GLS</w:t>
      </w:r>
      <w:r w:rsidR="00075B9D" w:rsidRPr="00C05367">
        <w:t xml:space="preserve"> </w:t>
      </w:r>
      <w:r w:rsidR="007A1135" w:rsidRPr="00C05367">
        <w:t>of</w:t>
      </w:r>
      <w:r w:rsidR="00075B9D" w:rsidRPr="00C05367">
        <w:t xml:space="preserve"> </w:t>
      </w:r>
      <w:r w:rsidR="007A1135" w:rsidRPr="00C05367">
        <w:t>both</w:t>
      </w:r>
      <w:r w:rsidR="00075B9D" w:rsidRPr="00C05367">
        <w:t xml:space="preserve"> </w:t>
      </w:r>
      <w:r w:rsidR="007A1135" w:rsidRPr="00C05367">
        <w:t>groups</w:t>
      </w:r>
      <w:r w:rsidR="00075B9D" w:rsidRPr="00C05367">
        <w:t xml:space="preserve"> </w:t>
      </w:r>
      <w:r w:rsidR="007A1135" w:rsidRPr="00C05367">
        <w:t>in</w:t>
      </w:r>
      <w:r w:rsidR="00075B9D" w:rsidRPr="00C05367">
        <w:t xml:space="preserve"> </w:t>
      </w:r>
      <w:r w:rsidR="007A1135" w:rsidRPr="00C05367">
        <w:t>favor</w:t>
      </w:r>
      <w:r w:rsidR="00075B9D" w:rsidRPr="00C05367">
        <w:t xml:space="preserve"> </w:t>
      </w:r>
      <w:r w:rsidR="007A1135" w:rsidRPr="00C05367">
        <w:t>of</w:t>
      </w:r>
      <w:r w:rsidR="00075B9D" w:rsidRPr="00C05367">
        <w:t xml:space="preserve"> </w:t>
      </w:r>
      <w:r w:rsidR="007A1135" w:rsidRPr="00C05367">
        <w:t>group</w:t>
      </w:r>
      <w:r w:rsidR="00075B9D" w:rsidRPr="00C05367">
        <w:t xml:space="preserve"> </w:t>
      </w:r>
      <w:r w:rsidR="007A1135" w:rsidRPr="00C05367">
        <w:t>I treated</w:t>
      </w:r>
      <w:r w:rsidR="00087AE6" w:rsidRPr="00C05367">
        <w:t xml:space="preserve"> </w:t>
      </w:r>
      <w:r w:rsidR="007A1135" w:rsidRPr="00C05367">
        <w:t>with</w:t>
      </w:r>
      <w:r w:rsidR="00087AE6" w:rsidRPr="00C05367">
        <w:t xml:space="preserve"> </w:t>
      </w:r>
      <w:r w:rsidR="007A1135" w:rsidRPr="00C05367">
        <w:t>Primary PCI</w:t>
      </w:r>
      <w:r w:rsidR="009B40BA" w:rsidRPr="00C05367">
        <w:rPr>
          <w:lang w:eastAsia="zh-CN"/>
        </w:rPr>
        <w:t xml:space="preserve"> </w:t>
      </w:r>
      <w:r w:rsidR="007A1135" w:rsidRPr="00C05367">
        <w:t>with</w:t>
      </w:r>
      <w:r w:rsidR="009B40BA" w:rsidRPr="00C05367">
        <w:rPr>
          <w:lang w:eastAsia="zh-CN"/>
        </w:rPr>
        <w:t xml:space="preserve"> </w:t>
      </w:r>
      <w:r w:rsidR="007A1135" w:rsidRPr="00C05367">
        <w:t>mean</w:t>
      </w:r>
      <w:r w:rsidR="009B40BA" w:rsidRPr="00C05367">
        <w:rPr>
          <w:lang w:eastAsia="zh-CN"/>
        </w:rPr>
        <w:t xml:space="preserve"> </w:t>
      </w:r>
      <w:r w:rsidR="007A1135" w:rsidRPr="00C05367">
        <w:t>GLS</w:t>
      </w:r>
      <w:r w:rsidR="009B40BA" w:rsidRPr="00C05367">
        <w:rPr>
          <w:lang w:eastAsia="zh-CN"/>
        </w:rPr>
        <w:t xml:space="preserve"> </w:t>
      </w:r>
      <w:r w:rsidR="007A1135" w:rsidRPr="00C05367">
        <w:t>of</w:t>
      </w:r>
      <w:r w:rsidR="009B40BA" w:rsidRPr="00C05367">
        <w:rPr>
          <w:lang w:eastAsia="zh-CN"/>
        </w:rPr>
        <w:t xml:space="preserve"> </w:t>
      </w:r>
      <w:r w:rsidR="007A1135" w:rsidRPr="00C05367">
        <w:t>13.892±1.656%</w:t>
      </w:r>
      <w:r w:rsidR="009B40BA" w:rsidRPr="00C05367">
        <w:rPr>
          <w:lang w:eastAsia="zh-CN"/>
        </w:rPr>
        <w:t xml:space="preserve"> </w:t>
      </w:r>
      <w:r w:rsidR="007A1135" w:rsidRPr="00C05367">
        <w:t>in</w:t>
      </w:r>
      <w:r w:rsidR="009B40BA" w:rsidRPr="00C05367">
        <w:rPr>
          <w:lang w:eastAsia="zh-CN"/>
        </w:rPr>
        <w:t xml:space="preserve"> </w:t>
      </w:r>
      <w:r w:rsidR="007A1135" w:rsidRPr="00C05367">
        <w:t>group</w:t>
      </w:r>
      <w:r w:rsidR="00075B9D" w:rsidRPr="00C05367">
        <w:t xml:space="preserve"> Ian mean </w:t>
      </w:r>
      <w:r w:rsidR="007A1135" w:rsidRPr="00C05367">
        <w:t>GLS</w:t>
      </w:r>
      <w:r w:rsidR="00075B9D" w:rsidRPr="00C05367">
        <w:t xml:space="preserve"> </w:t>
      </w:r>
      <w:r w:rsidR="007A1135" w:rsidRPr="00C05367">
        <w:t>of</w:t>
      </w:r>
      <w:r w:rsidR="00075B9D" w:rsidRPr="00C05367">
        <w:t xml:space="preserve"> </w:t>
      </w:r>
      <w:r w:rsidR="007A1135" w:rsidRPr="00C05367">
        <w:t>11.</w:t>
      </w:r>
      <w:r w:rsidR="00075B9D" w:rsidRPr="00C05367">
        <w:t xml:space="preserve"> </w:t>
      </w:r>
      <w:r w:rsidR="007A1135" w:rsidRPr="00C05367">
        <w:t>18 ±</w:t>
      </w:r>
      <w:r w:rsidR="00075B9D" w:rsidRPr="00C05367">
        <w:t xml:space="preserve"> </w:t>
      </w:r>
      <w:r w:rsidR="007A1135" w:rsidRPr="00C05367">
        <w:t>2.207%</w:t>
      </w:r>
      <w:r w:rsidR="00075B9D" w:rsidRPr="00C05367">
        <w:t xml:space="preserve"> </w:t>
      </w:r>
      <w:r w:rsidR="007A1135" w:rsidRPr="00C05367">
        <w:t>in</w:t>
      </w:r>
      <w:r w:rsidR="00075B9D" w:rsidRPr="00C05367">
        <w:t xml:space="preserve"> </w:t>
      </w:r>
      <w:r w:rsidR="007A1135" w:rsidRPr="00C05367">
        <w:t>group</w:t>
      </w:r>
      <w:r w:rsidR="00075B9D" w:rsidRPr="00C05367">
        <w:t xml:space="preserve"> </w:t>
      </w:r>
      <w:r w:rsidR="007A1135" w:rsidRPr="00C05367">
        <w:t>II</w:t>
      </w:r>
      <w:r w:rsidR="00075B9D" w:rsidRPr="00C05367">
        <w:t xml:space="preserve"> </w:t>
      </w:r>
      <w:r w:rsidR="007A1135" w:rsidRPr="00C05367">
        <w:t>(P value&lt;0.001).</w:t>
      </w:r>
      <w:r w:rsidR="00075B9D" w:rsidRPr="00C05367">
        <w:t xml:space="preserve"> </w:t>
      </w:r>
      <w:r w:rsidR="007A1135" w:rsidRPr="00C05367">
        <w:t>Left</w:t>
      </w:r>
      <w:r w:rsidR="00075B9D" w:rsidRPr="00C05367">
        <w:t xml:space="preserve"> ventricular </w:t>
      </w:r>
      <w:r w:rsidR="007A1135" w:rsidRPr="00C05367">
        <w:t>rejection</w:t>
      </w:r>
      <w:r w:rsidR="00075B9D" w:rsidRPr="00C05367">
        <w:t xml:space="preserve"> </w:t>
      </w:r>
      <w:r w:rsidR="007A1135" w:rsidRPr="00C05367">
        <w:t>fraction</w:t>
      </w:r>
      <w:r w:rsidR="00075B9D" w:rsidRPr="00C05367">
        <w:t xml:space="preserve"> </w:t>
      </w:r>
      <w:r w:rsidR="007A1135" w:rsidRPr="00C05367">
        <w:t>was</w:t>
      </w:r>
      <w:r w:rsidR="00075B9D" w:rsidRPr="00C05367">
        <w:t xml:space="preserve"> </w:t>
      </w:r>
      <w:r w:rsidR="007A1135" w:rsidRPr="00C05367">
        <w:t>assessed</w:t>
      </w:r>
      <w:r w:rsidR="00075B9D" w:rsidRPr="00C05367">
        <w:t xml:space="preserve"> </w:t>
      </w:r>
      <w:r w:rsidR="007A1135" w:rsidRPr="00C05367">
        <w:t>also</w:t>
      </w:r>
      <w:r w:rsidR="00075B9D" w:rsidRPr="00C05367">
        <w:t xml:space="preserve"> </w:t>
      </w:r>
      <w:r w:rsidR="007A1135" w:rsidRPr="00C05367">
        <w:t>by</w:t>
      </w:r>
      <w:r w:rsidR="00075B9D" w:rsidRPr="00C05367">
        <w:t xml:space="preserve"> </w:t>
      </w:r>
      <w:r w:rsidR="007A1135" w:rsidRPr="00C05367">
        <w:t>M-mode</w:t>
      </w:r>
      <w:r w:rsidR="00075B9D" w:rsidRPr="00C05367">
        <w:t xml:space="preserve"> </w:t>
      </w:r>
      <w:r w:rsidR="007A1135" w:rsidRPr="00C05367">
        <w:t>echocardiography</w:t>
      </w:r>
      <w:r w:rsidR="00075B9D" w:rsidRPr="00C05367">
        <w:t xml:space="preserve"> </w:t>
      </w:r>
      <w:r w:rsidR="007A1135" w:rsidRPr="00C05367">
        <w:t>but</w:t>
      </w:r>
      <w:r w:rsidR="00075B9D" w:rsidRPr="00C05367">
        <w:t xml:space="preserve"> </w:t>
      </w:r>
      <w:r w:rsidR="007A1135" w:rsidRPr="00C05367">
        <w:t>there was</w:t>
      </w:r>
      <w:r w:rsidR="00075B9D" w:rsidRPr="00C05367">
        <w:t xml:space="preserve"> </w:t>
      </w:r>
      <w:r w:rsidR="007A1135" w:rsidRPr="00C05367">
        <w:t>no statistical</w:t>
      </w:r>
      <w:r w:rsidR="00075B9D" w:rsidRPr="00C05367">
        <w:t xml:space="preserve"> </w:t>
      </w:r>
      <w:r w:rsidR="007A1135" w:rsidRPr="00C05367">
        <w:t>significant</w:t>
      </w:r>
      <w:r w:rsidR="00075B9D" w:rsidRPr="00C05367">
        <w:t xml:space="preserve"> </w:t>
      </w:r>
      <w:r w:rsidR="007A1135" w:rsidRPr="00C05367">
        <w:t>difference</w:t>
      </w:r>
      <w:r w:rsidR="00075B9D" w:rsidRPr="00C05367">
        <w:t xml:space="preserve"> </w:t>
      </w:r>
      <w:r w:rsidR="007A1135" w:rsidRPr="00C05367">
        <w:t>between both group</w:t>
      </w:r>
      <w:r w:rsidR="00E06019" w:rsidRPr="00C05367">
        <w:t>s (</w:t>
      </w:r>
      <w:r w:rsidR="007A1135" w:rsidRPr="00C05367">
        <w:t>P value=0.094).</w:t>
      </w:r>
      <w:r w:rsidR="009B40BA" w:rsidRPr="00C05367">
        <w:rPr>
          <w:lang w:eastAsia="zh-CN"/>
        </w:rPr>
        <w:t xml:space="preserve"> </w:t>
      </w:r>
      <w:r w:rsidR="007A1135" w:rsidRPr="00C05367">
        <w:rPr>
          <w:rFonts w:eastAsia="Calibri"/>
          <w:b/>
        </w:rPr>
        <w:t>Conclusion</w:t>
      </w:r>
      <w:r w:rsidR="007A1135" w:rsidRPr="00C05367">
        <w:rPr>
          <w:rFonts w:eastAsia="Calibri"/>
        </w:rPr>
        <w:t>:</w:t>
      </w:r>
      <w:r w:rsidR="009B40BA" w:rsidRPr="00C05367">
        <w:rPr>
          <w:lang w:eastAsia="zh-CN"/>
        </w:rPr>
        <w:t xml:space="preserve"> </w:t>
      </w:r>
      <w:r w:rsidR="007A1135" w:rsidRPr="00C05367">
        <w:t>primary</w:t>
      </w:r>
      <w:r w:rsidR="009B40BA" w:rsidRPr="00C05367">
        <w:rPr>
          <w:lang w:eastAsia="zh-CN"/>
        </w:rPr>
        <w:t xml:space="preserve"> </w:t>
      </w:r>
      <w:r w:rsidR="007A1135" w:rsidRPr="00C05367">
        <w:t>PCI</w:t>
      </w:r>
      <w:r w:rsidR="009B40BA" w:rsidRPr="00C05367">
        <w:rPr>
          <w:lang w:eastAsia="zh-CN"/>
        </w:rPr>
        <w:t xml:space="preserve"> </w:t>
      </w:r>
      <w:r w:rsidR="007A1135" w:rsidRPr="00C05367">
        <w:t>has</w:t>
      </w:r>
      <w:r w:rsidR="009B40BA" w:rsidRPr="00C05367">
        <w:rPr>
          <w:lang w:eastAsia="zh-CN"/>
        </w:rPr>
        <w:t xml:space="preserve"> </w:t>
      </w:r>
      <w:r w:rsidR="007A1135" w:rsidRPr="00C05367">
        <w:t>a</w:t>
      </w:r>
      <w:r w:rsidR="009B40BA" w:rsidRPr="00C05367">
        <w:rPr>
          <w:lang w:eastAsia="zh-CN"/>
        </w:rPr>
        <w:t xml:space="preserve"> </w:t>
      </w:r>
      <w:r w:rsidR="007A1135" w:rsidRPr="00C05367">
        <w:t>better</w:t>
      </w:r>
      <w:r w:rsidR="009B40BA" w:rsidRPr="00C05367">
        <w:rPr>
          <w:lang w:eastAsia="zh-CN"/>
        </w:rPr>
        <w:t xml:space="preserve"> </w:t>
      </w:r>
      <w:r w:rsidR="007A1135" w:rsidRPr="00C05367">
        <w:t>impact</w:t>
      </w:r>
      <w:r w:rsidR="009B40BA" w:rsidRPr="00C05367">
        <w:rPr>
          <w:lang w:eastAsia="zh-CN"/>
        </w:rPr>
        <w:t xml:space="preserve"> </w:t>
      </w:r>
      <w:r w:rsidR="007A1135" w:rsidRPr="00C05367">
        <w:t>on</w:t>
      </w:r>
      <w:r w:rsidR="009B40BA" w:rsidRPr="00C05367">
        <w:rPr>
          <w:lang w:eastAsia="zh-CN"/>
        </w:rPr>
        <w:t xml:space="preserve"> </w:t>
      </w:r>
      <w:r w:rsidR="007A1135" w:rsidRPr="00C05367">
        <w:t>post</w:t>
      </w:r>
      <w:r w:rsidR="009B40BA" w:rsidRPr="00C05367">
        <w:rPr>
          <w:lang w:eastAsia="zh-CN"/>
        </w:rPr>
        <w:t xml:space="preserve"> </w:t>
      </w:r>
      <w:r w:rsidR="007A1135" w:rsidRPr="00C05367">
        <w:t>revascularization left</w:t>
      </w:r>
      <w:r w:rsidR="00075B9D" w:rsidRPr="00C05367">
        <w:t xml:space="preserve"> </w:t>
      </w:r>
      <w:r w:rsidR="007A1135" w:rsidRPr="00C05367">
        <w:t>ventricular</w:t>
      </w:r>
      <w:r w:rsidR="009B40BA" w:rsidRPr="00C05367">
        <w:rPr>
          <w:lang w:eastAsia="zh-CN"/>
        </w:rPr>
        <w:t xml:space="preserve"> </w:t>
      </w:r>
      <w:r w:rsidR="007A1135" w:rsidRPr="00C05367">
        <w:t>systolic function</w:t>
      </w:r>
      <w:r w:rsidR="00075B9D" w:rsidRPr="00C05367">
        <w:t xml:space="preserve"> </w:t>
      </w:r>
      <w:r w:rsidR="007A1135" w:rsidRPr="00C05367">
        <w:t>than pharmacoinvasive</w:t>
      </w:r>
      <w:r w:rsidR="00075B9D" w:rsidRPr="00C05367">
        <w:t xml:space="preserve"> </w:t>
      </w:r>
      <w:r w:rsidR="007A1135" w:rsidRPr="00C05367">
        <w:t xml:space="preserve">PCI assessed </w:t>
      </w:r>
      <w:r w:rsidR="00075B9D" w:rsidRPr="00C05367">
        <w:t xml:space="preserve">by measuring </w:t>
      </w:r>
      <w:r w:rsidR="007A1135" w:rsidRPr="00C05367">
        <w:t>left</w:t>
      </w:r>
      <w:r w:rsidR="009B40BA" w:rsidRPr="00C05367">
        <w:rPr>
          <w:lang w:eastAsia="zh-CN"/>
        </w:rPr>
        <w:t xml:space="preserve"> </w:t>
      </w:r>
      <w:r w:rsidR="007A1135" w:rsidRPr="00C05367">
        <w:t>ventricular</w:t>
      </w:r>
      <w:r w:rsidR="00075B9D" w:rsidRPr="00C05367">
        <w:t xml:space="preserve"> </w:t>
      </w:r>
      <w:r w:rsidR="00231E38" w:rsidRPr="00C05367">
        <w:t>Global</w:t>
      </w:r>
      <w:r w:rsidR="00075B9D" w:rsidRPr="00C05367">
        <w:t xml:space="preserve"> </w:t>
      </w:r>
      <w:r w:rsidR="00231E38" w:rsidRPr="00C05367">
        <w:t>longitudinal</w:t>
      </w:r>
      <w:r w:rsidR="00075B9D" w:rsidRPr="00C05367">
        <w:t xml:space="preserve"> strain using </w:t>
      </w:r>
      <w:r w:rsidR="007A1135" w:rsidRPr="00C05367">
        <w:t>2D-speckle tracking</w:t>
      </w:r>
      <w:r w:rsidR="00075B9D" w:rsidRPr="00C05367">
        <w:t xml:space="preserve"> </w:t>
      </w:r>
      <w:r w:rsidR="007A1135" w:rsidRPr="00C05367">
        <w:t>echocardiography</w:t>
      </w:r>
      <w:r w:rsidR="00075B9D" w:rsidRPr="00C05367">
        <w:t xml:space="preserve"> </w:t>
      </w:r>
      <w:r w:rsidR="007A1135" w:rsidRPr="00C05367">
        <w:t>which</w:t>
      </w:r>
      <w:r w:rsidR="00075B9D" w:rsidRPr="00C05367">
        <w:t xml:space="preserve"> </w:t>
      </w:r>
      <w:r w:rsidR="007A1135" w:rsidRPr="00C05367">
        <w:t xml:space="preserve">appeared to </w:t>
      </w:r>
      <w:r w:rsidR="00231E38" w:rsidRPr="00C05367">
        <w:t>be</w:t>
      </w:r>
      <w:r w:rsidR="00075B9D" w:rsidRPr="00C05367">
        <w:t xml:space="preserve"> </w:t>
      </w:r>
      <w:r w:rsidR="007A1135" w:rsidRPr="00C05367">
        <w:t>more</w:t>
      </w:r>
      <w:r w:rsidR="00075B9D" w:rsidRPr="00C05367">
        <w:t xml:space="preserve"> </w:t>
      </w:r>
      <w:r w:rsidR="007A1135" w:rsidRPr="00C05367">
        <w:t>sensitive tool than</w:t>
      </w:r>
      <w:r w:rsidR="00075B9D" w:rsidRPr="00C05367">
        <w:t xml:space="preserve"> </w:t>
      </w:r>
      <w:r w:rsidR="007A1135" w:rsidRPr="00C05367">
        <w:t>the</w:t>
      </w:r>
      <w:r w:rsidR="00075B9D" w:rsidRPr="00C05367">
        <w:t xml:space="preserve"> </w:t>
      </w:r>
      <w:r w:rsidR="007A1135" w:rsidRPr="00C05367">
        <w:t>traditional</w:t>
      </w:r>
      <w:r w:rsidR="00075B9D" w:rsidRPr="00C05367">
        <w:t xml:space="preserve"> </w:t>
      </w:r>
      <w:r w:rsidR="007A1135" w:rsidRPr="00C05367">
        <w:t>left</w:t>
      </w:r>
      <w:r w:rsidR="009B40BA" w:rsidRPr="00C05367">
        <w:rPr>
          <w:lang w:eastAsia="zh-CN"/>
        </w:rPr>
        <w:t xml:space="preserve"> </w:t>
      </w:r>
      <w:r w:rsidR="007A1135" w:rsidRPr="00C05367">
        <w:t>ventricular ejection fraction assessment</w:t>
      </w:r>
      <w:r w:rsidR="00075B9D" w:rsidRPr="00C05367">
        <w:t xml:space="preserve"> </w:t>
      </w:r>
      <w:r w:rsidR="007A1135" w:rsidRPr="00C05367">
        <w:t>with M-mode echocardiography</w:t>
      </w:r>
      <w:r w:rsidR="00075B9D" w:rsidRPr="00C05367">
        <w:t xml:space="preserve"> </w:t>
      </w:r>
      <w:r w:rsidR="00231E38" w:rsidRPr="00C05367">
        <w:t>for assessment</w:t>
      </w:r>
      <w:r w:rsidR="00075B9D" w:rsidRPr="00C05367">
        <w:t xml:space="preserve"> </w:t>
      </w:r>
      <w:r w:rsidR="007A1135" w:rsidRPr="00C05367">
        <w:t>of</w:t>
      </w:r>
      <w:r w:rsidR="00075B9D" w:rsidRPr="00C05367">
        <w:t xml:space="preserve"> </w:t>
      </w:r>
      <w:r w:rsidR="007A1135" w:rsidRPr="00C05367">
        <w:t>LV</w:t>
      </w:r>
      <w:r w:rsidR="00075B9D" w:rsidRPr="00C05367">
        <w:t xml:space="preserve"> </w:t>
      </w:r>
      <w:r w:rsidR="007A1135" w:rsidRPr="00C05367">
        <w:t>systolic</w:t>
      </w:r>
      <w:r w:rsidR="00075B9D" w:rsidRPr="00C05367">
        <w:t xml:space="preserve"> </w:t>
      </w:r>
      <w:r w:rsidR="007A1135" w:rsidRPr="00C05367">
        <w:t>function.</w:t>
      </w:r>
    </w:p>
    <w:p w:rsidR="001878B7" w:rsidRPr="00C05367" w:rsidRDefault="001878B7" w:rsidP="001878B7">
      <w:pPr>
        <w:snapToGrid w:val="0"/>
        <w:jc w:val="both"/>
        <w:rPr>
          <w:rFonts w:eastAsia="Calibri"/>
          <w:b/>
        </w:rPr>
      </w:pPr>
      <w:r w:rsidRPr="00C05367">
        <w:rPr>
          <w:lang w:eastAsia="zh-CN"/>
        </w:rPr>
        <w:t>[</w:t>
      </w:r>
      <w:r w:rsidR="005C1F9E" w:rsidRPr="00C05367">
        <w:rPr>
          <w:rFonts w:eastAsia="Cambria"/>
        </w:rPr>
        <w:t>Mohamed A. Emara, Abu Omar M.A., Mai</w:t>
      </w:r>
      <w:r w:rsidR="00075B9D" w:rsidRPr="00C05367">
        <w:rPr>
          <w:rFonts w:eastAsia="Cambria"/>
        </w:rPr>
        <w:t xml:space="preserve"> </w:t>
      </w:r>
      <w:r w:rsidR="005C1F9E" w:rsidRPr="00C05367">
        <w:rPr>
          <w:rFonts w:eastAsia="Cambria"/>
        </w:rPr>
        <w:t>M.</w:t>
      </w:r>
      <w:r w:rsidR="00075B9D" w:rsidRPr="00C05367">
        <w:rPr>
          <w:rFonts w:eastAsia="Cambria"/>
        </w:rPr>
        <w:t xml:space="preserve"> </w:t>
      </w:r>
      <w:r w:rsidR="005C1F9E" w:rsidRPr="00C05367">
        <w:rPr>
          <w:rFonts w:eastAsia="Cambria"/>
        </w:rPr>
        <w:t>Salama, Mohamed A. Abdelaal</w:t>
      </w:r>
      <w:r w:rsidRPr="00C05367">
        <w:rPr>
          <w:lang w:eastAsia="zh-CN"/>
        </w:rPr>
        <w:t>.</w:t>
      </w:r>
      <w:r w:rsidR="005C1F9E" w:rsidRPr="00C05367">
        <w:rPr>
          <w:rFonts w:eastAsia="Cambria"/>
        </w:rPr>
        <w:t xml:space="preserve"> </w:t>
      </w:r>
      <w:r w:rsidR="005C1F9E" w:rsidRPr="00C05367">
        <w:rPr>
          <w:rFonts w:eastAsia="Calibri"/>
          <w:b/>
        </w:rPr>
        <w:t>Left Ventricular Global Longitudinal Strain after Revascularization of</w:t>
      </w:r>
      <w:r w:rsidR="00FA4916" w:rsidRPr="00C05367">
        <w:rPr>
          <w:rFonts w:eastAsia="Calibri"/>
          <w:b/>
        </w:rPr>
        <w:t xml:space="preserve"> </w:t>
      </w:r>
      <w:r w:rsidR="005C1F9E" w:rsidRPr="00C05367">
        <w:rPr>
          <w:rFonts w:eastAsia="Calibri"/>
          <w:b/>
        </w:rPr>
        <w:t>Acute ST- Segment Elevation</w:t>
      </w:r>
      <w:r w:rsidR="00075B9D" w:rsidRPr="00C05367">
        <w:rPr>
          <w:rFonts w:eastAsia="Calibri"/>
          <w:b/>
        </w:rPr>
        <w:t xml:space="preserve"> </w:t>
      </w:r>
      <w:r w:rsidR="005C1F9E" w:rsidRPr="00C05367">
        <w:rPr>
          <w:rFonts w:eastAsia="Calibri"/>
          <w:b/>
        </w:rPr>
        <w:t>Myocardial Infarction.</w:t>
      </w:r>
      <w:r w:rsidR="009B40BA" w:rsidRPr="00C05367">
        <w:rPr>
          <w:b/>
          <w:lang w:eastAsia="zh-CN"/>
        </w:rPr>
        <w:t xml:space="preserve"> </w:t>
      </w:r>
      <w:r w:rsidRPr="00C05367">
        <w:rPr>
          <w:bCs/>
          <w:i/>
        </w:rPr>
        <w:t>N Y Sci J</w:t>
      </w:r>
      <w:r w:rsidRPr="00C05367">
        <w:rPr>
          <w:bCs/>
        </w:rPr>
        <w:t xml:space="preserve"> </w:t>
      </w:r>
      <w:r w:rsidRPr="00C05367">
        <w:t>2020;13(1):</w:t>
      </w:r>
      <w:r w:rsidR="00216C80" w:rsidRPr="00C05367">
        <w:rPr>
          <w:noProof/>
          <w:color w:val="000000"/>
        </w:rPr>
        <w:t>14-23</w:t>
      </w:r>
      <w:r w:rsidRPr="00C05367">
        <w:t xml:space="preserve">]. </w:t>
      </w:r>
      <w:r w:rsidRPr="00C05367">
        <w:rPr>
          <w:iCs/>
          <w:color w:val="000000"/>
        </w:rPr>
        <w:t>ISSN 1554-0200 (print); ISSN 2375-723X (online)</w:t>
      </w:r>
      <w:r w:rsidRPr="00C05367">
        <w:t xml:space="preserve">. </w:t>
      </w:r>
      <w:hyperlink r:id="rId9" w:history="1">
        <w:r w:rsidRPr="00C05367">
          <w:rPr>
            <w:rStyle w:val="Hyperlink"/>
          </w:rPr>
          <w:t>http://www.sciencepub.net/newyork</w:t>
        </w:r>
      </w:hyperlink>
      <w:r w:rsidRPr="00C05367">
        <w:t xml:space="preserve">. </w:t>
      </w:r>
      <w:r w:rsidRPr="00C05367">
        <w:rPr>
          <w:lang w:eastAsia="zh-CN"/>
        </w:rPr>
        <w:t>3</w:t>
      </w:r>
      <w:r w:rsidRPr="00C05367">
        <w:t xml:space="preserve">. </w:t>
      </w:r>
      <w:r w:rsidRPr="00C05367">
        <w:rPr>
          <w:color w:val="000000"/>
          <w:shd w:val="clear" w:color="auto" w:fill="FFFFFF"/>
        </w:rPr>
        <w:t>doi:</w:t>
      </w:r>
      <w:hyperlink r:id="rId10" w:history="1">
        <w:r w:rsidRPr="00C05367">
          <w:rPr>
            <w:rStyle w:val="Hyperlink"/>
            <w:shd w:val="clear" w:color="auto" w:fill="FFFFFF"/>
          </w:rPr>
          <w:t>10.7537/marsnys130120.0</w:t>
        </w:r>
        <w:r w:rsidRPr="00C05367">
          <w:rPr>
            <w:rStyle w:val="Hyperlink"/>
            <w:shd w:val="clear" w:color="auto" w:fill="FFFFFF"/>
            <w:lang w:eastAsia="zh-CN"/>
          </w:rPr>
          <w:t>3</w:t>
        </w:r>
      </w:hyperlink>
      <w:r w:rsidRPr="00C05367">
        <w:rPr>
          <w:color w:val="000000"/>
          <w:shd w:val="clear" w:color="auto" w:fill="FFFFFF"/>
        </w:rPr>
        <w:t>.</w:t>
      </w:r>
    </w:p>
    <w:p w:rsidR="009B40BA" w:rsidRPr="00C05367" w:rsidRDefault="009B40BA" w:rsidP="001878B7">
      <w:pPr>
        <w:snapToGrid w:val="0"/>
        <w:jc w:val="both"/>
        <w:rPr>
          <w:lang w:eastAsia="zh-CN"/>
        </w:rPr>
      </w:pPr>
    </w:p>
    <w:p w:rsidR="009B40BA" w:rsidRPr="00C05367" w:rsidRDefault="009B40BA" w:rsidP="001878B7">
      <w:pPr>
        <w:snapToGrid w:val="0"/>
        <w:jc w:val="both"/>
        <w:rPr>
          <w:b/>
          <w:bCs/>
          <w:lang w:eastAsia="zh-CN" w:bidi="ar-EG"/>
        </w:rPr>
      </w:pPr>
      <w:r w:rsidRPr="00C05367">
        <w:rPr>
          <w:b/>
        </w:rPr>
        <w:t>Keywords:</w:t>
      </w:r>
      <w:r w:rsidRPr="00C05367">
        <w:rPr>
          <w:lang w:eastAsia="zh-CN"/>
        </w:rPr>
        <w:t xml:space="preserve"> </w:t>
      </w:r>
      <w:r w:rsidRPr="00C05367">
        <w:rPr>
          <w:rFonts w:eastAsia="Calibri"/>
        </w:rPr>
        <w:t>Left</w:t>
      </w:r>
      <w:r w:rsidRPr="00C05367">
        <w:rPr>
          <w:lang w:eastAsia="zh-CN"/>
        </w:rPr>
        <w:t>;</w:t>
      </w:r>
      <w:r w:rsidRPr="00C05367">
        <w:rPr>
          <w:rFonts w:eastAsia="Calibri"/>
        </w:rPr>
        <w:t xml:space="preserve"> Ventricular</w:t>
      </w:r>
      <w:r w:rsidRPr="00C05367">
        <w:rPr>
          <w:lang w:eastAsia="zh-CN"/>
        </w:rPr>
        <w:t>;</w:t>
      </w:r>
      <w:r w:rsidRPr="00C05367">
        <w:rPr>
          <w:rFonts w:eastAsia="Calibri"/>
        </w:rPr>
        <w:t xml:space="preserve"> Global</w:t>
      </w:r>
      <w:r w:rsidRPr="00C05367">
        <w:rPr>
          <w:lang w:eastAsia="zh-CN"/>
        </w:rPr>
        <w:t>;</w:t>
      </w:r>
      <w:r w:rsidRPr="00C05367">
        <w:rPr>
          <w:rFonts w:eastAsia="Calibri"/>
        </w:rPr>
        <w:t xml:space="preserve"> Longitudinal</w:t>
      </w:r>
      <w:r w:rsidRPr="00C05367">
        <w:rPr>
          <w:lang w:eastAsia="zh-CN"/>
        </w:rPr>
        <w:t>;</w:t>
      </w:r>
      <w:r w:rsidRPr="00C05367">
        <w:rPr>
          <w:rFonts w:eastAsia="Calibri"/>
        </w:rPr>
        <w:t xml:space="preserve"> Strain</w:t>
      </w:r>
      <w:r w:rsidRPr="00C05367">
        <w:rPr>
          <w:lang w:eastAsia="zh-CN"/>
        </w:rPr>
        <w:t>;</w:t>
      </w:r>
      <w:r w:rsidRPr="00C05367">
        <w:rPr>
          <w:rFonts w:eastAsia="Calibri"/>
        </w:rPr>
        <w:t xml:space="preserve"> Revascularization</w:t>
      </w:r>
      <w:r w:rsidRPr="00C05367">
        <w:rPr>
          <w:lang w:eastAsia="zh-CN"/>
        </w:rPr>
        <w:t>;</w:t>
      </w:r>
      <w:r w:rsidRPr="00C05367">
        <w:rPr>
          <w:rFonts w:eastAsia="Calibri"/>
        </w:rPr>
        <w:t xml:space="preserve"> Acute ST</w:t>
      </w:r>
      <w:r w:rsidRPr="00C05367">
        <w:rPr>
          <w:lang w:eastAsia="zh-CN"/>
        </w:rPr>
        <w:t>;</w:t>
      </w:r>
      <w:r w:rsidRPr="00C05367">
        <w:rPr>
          <w:rFonts w:eastAsia="Calibri"/>
        </w:rPr>
        <w:t xml:space="preserve"> Segment</w:t>
      </w:r>
      <w:r w:rsidRPr="00C05367">
        <w:rPr>
          <w:lang w:eastAsia="zh-CN"/>
        </w:rPr>
        <w:t>;</w:t>
      </w:r>
      <w:r w:rsidRPr="00C05367">
        <w:rPr>
          <w:rFonts w:eastAsia="Calibri"/>
        </w:rPr>
        <w:t xml:space="preserve"> Elevation</w:t>
      </w:r>
      <w:r w:rsidRPr="00C05367">
        <w:rPr>
          <w:lang w:eastAsia="zh-CN"/>
        </w:rPr>
        <w:t xml:space="preserve">; </w:t>
      </w:r>
      <w:r w:rsidRPr="00C05367">
        <w:rPr>
          <w:rFonts w:eastAsia="Calibri"/>
        </w:rPr>
        <w:t>Myocardial Infarction</w:t>
      </w:r>
    </w:p>
    <w:p w:rsidR="00CA42D7" w:rsidRPr="00C05367" w:rsidRDefault="00CA42D7" w:rsidP="001878B7">
      <w:pPr>
        <w:snapToGrid w:val="0"/>
        <w:jc w:val="both"/>
        <w:rPr>
          <w:b/>
        </w:rPr>
      </w:pPr>
    </w:p>
    <w:p w:rsidR="001878B7" w:rsidRPr="00C05367" w:rsidRDefault="001878B7" w:rsidP="001878B7">
      <w:pPr>
        <w:snapToGrid w:val="0"/>
        <w:jc w:val="both"/>
        <w:rPr>
          <w:b/>
        </w:rPr>
        <w:sectPr w:rsidR="001878B7" w:rsidRPr="00C05367" w:rsidSect="00216C80">
          <w:headerReference w:type="default" r:id="rId11"/>
          <w:footerReference w:type="default" r:id="rId12"/>
          <w:type w:val="continuous"/>
          <w:pgSz w:w="12242" w:h="15842" w:code="1"/>
          <w:pgMar w:top="1440" w:right="1440" w:bottom="1440" w:left="1440" w:header="720" w:footer="720" w:gutter="0"/>
          <w:pgNumType w:start="14"/>
          <w:cols w:space="720"/>
          <w:docGrid w:linePitch="272"/>
        </w:sectPr>
      </w:pPr>
    </w:p>
    <w:p w:rsidR="0062468B" w:rsidRPr="00C05367" w:rsidRDefault="00984F2D" w:rsidP="001878B7">
      <w:pPr>
        <w:snapToGrid w:val="0"/>
        <w:jc w:val="both"/>
      </w:pPr>
      <w:r w:rsidRPr="00C05367">
        <w:rPr>
          <w:b/>
        </w:rPr>
        <w:lastRenderedPageBreak/>
        <w:t xml:space="preserve">1. </w:t>
      </w:r>
      <w:r w:rsidR="00EA19CF" w:rsidRPr="00C05367">
        <w:rPr>
          <w:b/>
        </w:rPr>
        <w:t>Introduction:</w:t>
      </w:r>
    </w:p>
    <w:p w:rsidR="0062468B" w:rsidRPr="00C05367" w:rsidRDefault="007A1135" w:rsidP="001878B7">
      <w:pPr>
        <w:snapToGrid w:val="0"/>
        <w:ind w:firstLine="425"/>
        <w:jc w:val="both"/>
      </w:pPr>
      <w:r w:rsidRPr="00C05367">
        <w:t>Speckle tracking</w:t>
      </w:r>
      <w:r w:rsidR="00075B9D" w:rsidRPr="00C05367">
        <w:t xml:space="preserve"> </w:t>
      </w:r>
      <w:r w:rsidRPr="00C05367">
        <w:t>echocardiography</w:t>
      </w:r>
      <w:r w:rsidR="00075B9D" w:rsidRPr="00C05367">
        <w:t xml:space="preserve"> </w:t>
      </w:r>
      <w:r w:rsidRPr="00C05367">
        <w:t>(STE) allows to</w:t>
      </w:r>
      <w:r w:rsidR="00075B9D" w:rsidRPr="00C05367">
        <w:t xml:space="preserve"> </w:t>
      </w:r>
      <w:r w:rsidRPr="00C05367">
        <w:t>trackthedis</w:t>
      </w:r>
      <w:r w:rsidR="00075B9D" w:rsidRPr="00C05367">
        <w:t xml:space="preserve"> </w:t>
      </w:r>
      <w:r w:rsidRPr="00C05367">
        <w:t>placement</w:t>
      </w:r>
      <w:r w:rsidR="00075B9D" w:rsidRPr="00C05367">
        <w:t xml:space="preserve"> </w:t>
      </w:r>
      <w:r w:rsidRPr="00C05367">
        <w:t>of “speckles”</w:t>
      </w:r>
      <w:r w:rsidR="00075B9D" w:rsidRPr="00C05367">
        <w:t xml:space="preserve"> </w:t>
      </w:r>
      <w:r w:rsidRPr="00C05367">
        <w:t>in two-dimensional</w:t>
      </w:r>
      <w:r w:rsidR="00075B9D" w:rsidRPr="00C05367">
        <w:t xml:space="preserve"> </w:t>
      </w:r>
      <w:r w:rsidRPr="00C05367">
        <w:t>(2D) echocardiographic</w:t>
      </w:r>
      <w:r w:rsidR="00075B9D" w:rsidRPr="00C05367">
        <w:t xml:space="preserve"> </w:t>
      </w:r>
      <w:r w:rsidRPr="00C05367">
        <w:t>images in an angle-independent</w:t>
      </w:r>
      <w:r w:rsidR="00075B9D" w:rsidRPr="00C05367">
        <w:t xml:space="preserve"> </w:t>
      </w:r>
      <w:r w:rsidRPr="00C05367">
        <w:t>way and</w:t>
      </w:r>
      <w:r w:rsidR="00075B9D" w:rsidRPr="00C05367">
        <w:t xml:space="preserve"> </w:t>
      </w:r>
      <w:r w:rsidRPr="00C05367">
        <w:t>to assess their movement</w:t>
      </w:r>
      <w:r w:rsidR="00075B9D" w:rsidRPr="00C05367">
        <w:t xml:space="preserve"> </w:t>
      </w:r>
      <w:r w:rsidRPr="00C05367">
        <w:t>(strain)</w:t>
      </w:r>
      <w:r w:rsidR="00075B9D" w:rsidRPr="00C05367">
        <w:t xml:space="preserve"> </w:t>
      </w:r>
      <w:r w:rsidRPr="00C05367">
        <w:t>during</w:t>
      </w:r>
      <w:r w:rsidR="00075B9D" w:rsidRPr="00C05367">
        <w:t xml:space="preserve"> </w:t>
      </w:r>
      <w:r w:rsidRPr="00C05367">
        <w:t>the</w:t>
      </w:r>
      <w:r w:rsidR="00075B9D" w:rsidRPr="00C05367">
        <w:t xml:space="preserve"> </w:t>
      </w:r>
      <w:r w:rsidRPr="00C05367">
        <w:t>cardiac</w:t>
      </w:r>
      <w:r w:rsidR="00075B9D" w:rsidRPr="00C05367">
        <w:t xml:space="preserve"> </w:t>
      </w:r>
      <w:r w:rsidRPr="00C05367">
        <w:t>cycle.</w:t>
      </w:r>
      <w:r w:rsidR="00075B9D" w:rsidRPr="00C05367">
        <w:t xml:space="preserve"> </w:t>
      </w:r>
      <w:r w:rsidRPr="00C05367">
        <w:t>Its</w:t>
      </w:r>
      <w:r w:rsidR="00075B9D" w:rsidRPr="00C05367">
        <w:t xml:space="preserve"> </w:t>
      </w:r>
      <w:r w:rsidRPr="00C05367">
        <w:t>high</w:t>
      </w:r>
      <w:r w:rsidR="00075B9D" w:rsidRPr="00C05367">
        <w:t xml:space="preserve"> </w:t>
      </w:r>
      <w:r w:rsidRPr="00C05367">
        <w:t>feasibility, reproducibility, and accuracy have been widely</w:t>
      </w:r>
      <w:r w:rsidR="00075B9D" w:rsidRPr="00C05367">
        <w:t xml:space="preserve"> </w:t>
      </w:r>
      <w:r w:rsidRPr="00C05367">
        <w:t>demonstrated</w:t>
      </w:r>
      <w:r w:rsidR="00075B9D" w:rsidRPr="00C05367">
        <w:t xml:space="preserve"> </w:t>
      </w:r>
      <w:r w:rsidRPr="00C05367">
        <w:t>and it</w:t>
      </w:r>
      <w:r w:rsidR="00075B9D" w:rsidRPr="00C05367">
        <w:t xml:space="preserve"> </w:t>
      </w:r>
      <w:r w:rsidRPr="00C05367">
        <w:t>has</w:t>
      </w:r>
      <w:r w:rsidR="00075B9D" w:rsidRPr="00C05367">
        <w:t xml:space="preserve"> </w:t>
      </w:r>
      <w:r w:rsidRPr="00C05367">
        <w:t>been</w:t>
      </w:r>
      <w:r w:rsidR="00075B9D" w:rsidRPr="00C05367">
        <w:t xml:space="preserve"> </w:t>
      </w:r>
      <w:r w:rsidRPr="00C05367">
        <w:t>applied</w:t>
      </w:r>
      <w:r w:rsidR="00075B9D" w:rsidRPr="00C05367">
        <w:t xml:space="preserve"> </w:t>
      </w:r>
      <w:r w:rsidRPr="00C05367">
        <w:t>to different</w:t>
      </w:r>
      <w:r w:rsidR="00075B9D" w:rsidRPr="00C05367">
        <w:t xml:space="preserve"> </w:t>
      </w:r>
      <w:r w:rsidRPr="00C05367">
        <w:t>aspects</w:t>
      </w:r>
      <w:r w:rsidR="00075B9D" w:rsidRPr="00C05367">
        <w:t xml:space="preserve"> </w:t>
      </w:r>
      <w:r w:rsidRPr="00C05367">
        <w:t>of</w:t>
      </w:r>
      <w:r w:rsidR="00075B9D" w:rsidRPr="00C05367">
        <w:t xml:space="preserve"> </w:t>
      </w:r>
      <w:r w:rsidRPr="00C05367">
        <w:t>the daily</w:t>
      </w:r>
      <w:r w:rsidR="00075B9D" w:rsidRPr="00C05367">
        <w:t xml:space="preserve"> </w:t>
      </w:r>
      <w:r w:rsidR="00231E38" w:rsidRPr="00C05367">
        <w:t>clinical practice</w:t>
      </w:r>
      <w:r w:rsidR="00075B9D" w:rsidRPr="00C05367">
        <w:t xml:space="preserve"> </w:t>
      </w:r>
      <w:r w:rsidR="00231E38" w:rsidRPr="00C05367">
        <w:t>especially ischemic</w:t>
      </w:r>
      <w:r w:rsidRPr="00C05367">
        <w:t xml:space="preserve"> heart disease and</w:t>
      </w:r>
      <w:r w:rsidR="00075B9D" w:rsidRPr="00C05367">
        <w:t xml:space="preserve"> </w:t>
      </w:r>
      <w:r w:rsidRPr="00C05367">
        <w:t>patients</w:t>
      </w:r>
      <w:r w:rsidR="00075B9D" w:rsidRPr="00C05367">
        <w:t xml:space="preserve"> </w:t>
      </w:r>
      <w:r w:rsidRPr="00C05367">
        <w:t>who present with ST</w:t>
      </w:r>
      <w:r w:rsidR="00075B9D" w:rsidRPr="00C05367">
        <w:t xml:space="preserve"> </w:t>
      </w:r>
      <w:r w:rsidRPr="00C05367">
        <w:t>segment elevation</w:t>
      </w:r>
      <w:r w:rsidR="00075B9D" w:rsidRPr="00C05367">
        <w:t xml:space="preserve"> </w:t>
      </w:r>
      <w:r w:rsidR="00081095" w:rsidRPr="00C05367">
        <w:t>acute myocardial</w:t>
      </w:r>
      <w:r w:rsidRPr="00C05367">
        <w:t xml:space="preserve"> infarction</w:t>
      </w:r>
      <w:r w:rsidR="00075B9D" w:rsidRPr="00C05367">
        <w:t xml:space="preserve"> </w:t>
      </w:r>
      <w:r w:rsidRPr="00C05367">
        <w:t>(STEMI)</w:t>
      </w:r>
      <w:r w:rsidR="00231E38" w:rsidRPr="00C05367">
        <w:rPr>
          <w:vertAlign w:val="superscript"/>
        </w:rPr>
        <w:t>1</w:t>
      </w:r>
      <w:r w:rsidRPr="00C05367">
        <w:t>.</w:t>
      </w:r>
      <w:r w:rsidR="00075B9D" w:rsidRPr="00C05367">
        <w:t xml:space="preserve"> </w:t>
      </w:r>
      <w:r w:rsidRPr="00C05367">
        <w:t>STE</w:t>
      </w:r>
      <w:r w:rsidR="00075B9D" w:rsidRPr="00C05367">
        <w:t xml:space="preserve"> </w:t>
      </w:r>
      <w:r w:rsidRPr="00C05367">
        <w:t xml:space="preserve">allows </w:t>
      </w:r>
      <w:r w:rsidR="00075B9D" w:rsidRPr="00C05367">
        <w:t xml:space="preserve">tracking </w:t>
      </w:r>
      <w:r w:rsidRPr="00C05367">
        <w:t>the displacement</w:t>
      </w:r>
      <w:r w:rsidR="00075B9D" w:rsidRPr="00C05367">
        <w:t xml:space="preserve"> </w:t>
      </w:r>
      <w:r w:rsidRPr="00C05367">
        <w:t>of “speckles” in two-dimensional (2D) echocardiographic</w:t>
      </w:r>
      <w:r w:rsidR="00075B9D" w:rsidRPr="00C05367">
        <w:t xml:space="preserve"> </w:t>
      </w:r>
      <w:r w:rsidRPr="00C05367">
        <w:t>images in</w:t>
      </w:r>
      <w:r w:rsidR="00081095" w:rsidRPr="00C05367">
        <w:t xml:space="preserve"> </w:t>
      </w:r>
      <w:r w:rsidR="00231E38" w:rsidRPr="00C05367">
        <w:t>an angle</w:t>
      </w:r>
      <w:r w:rsidRPr="00C05367">
        <w:t xml:space="preserve">-independent </w:t>
      </w:r>
      <w:r w:rsidR="00231E38" w:rsidRPr="00C05367">
        <w:t>way and</w:t>
      </w:r>
      <w:r w:rsidRPr="00C05367">
        <w:t xml:space="preserve"> to </w:t>
      </w:r>
      <w:r w:rsidR="00075B9D" w:rsidRPr="00C05367">
        <w:t>assess their</w:t>
      </w:r>
      <w:r w:rsidRPr="00C05367">
        <w:t xml:space="preserve"> movement (strain</w:t>
      </w:r>
      <w:r w:rsidR="00231E38" w:rsidRPr="00C05367">
        <w:t>) during</w:t>
      </w:r>
      <w:r w:rsidR="00075B9D" w:rsidRPr="00C05367">
        <w:t xml:space="preserve"> </w:t>
      </w:r>
      <w:r w:rsidRPr="00C05367">
        <w:t xml:space="preserve">the </w:t>
      </w:r>
      <w:r w:rsidR="00CC6629" w:rsidRPr="00C05367">
        <w:t>cardiac cycle</w:t>
      </w:r>
      <w:r w:rsidRPr="00C05367">
        <w:t xml:space="preserve">. </w:t>
      </w:r>
      <w:r w:rsidR="00CC6629" w:rsidRPr="00C05367">
        <w:t>Its high feasibility, reproducibility</w:t>
      </w:r>
      <w:r w:rsidRPr="00C05367">
        <w:t>, and</w:t>
      </w:r>
      <w:r w:rsidR="00075B9D" w:rsidRPr="00C05367">
        <w:t xml:space="preserve"> </w:t>
      </w:r>
      <w:r w:rsidRPr="00C05367">
        <w:t>accuracy</w:t>
      </w:r>
      <w:r w:rsidR="00075B9D" w:rsidRPr="00C05367">
        <w:t xml:space="preserve"> </w:t>
      </w:r>
      <w:r w:rsidRPr="00C05367">
        <w:t>have</w:t>
      </w:r>
      <w:r w:rsidR="00075B9D" w:rsidRPr="00C05367">
        <w:t xml:space="preserve"> </w:t>
      </w:r>
      <w:r w:rsidRPr="00C05367">
        <w:t xml:space="preserve">been widely </w:t>
      </w:r>
      <w:r w:rsidR="00231E38" w:rsidRPr="00C05367">
        <w:t>demonstrated and</w:t>
      </w:r>
      <w:r w:rsidR="00075B9D" w:rsidRPr="00C05367">
        <w:t xml:space="preserve"> </w:t>
      </w:r>
      <w:r w:rsidRPr="00C05367">
        <w:t xml:space="preserve">it has been applied to </w:t>
      </w:r>
      <w:r w:rsidR="00231E38" w:rsidRPr="00C05367">
        <w:t>different</w:t>
      </w:r>
      <w:r w:rsidR="00075B9D" w:rsidRPr="00C05367">
        <w:t xml:space="preserve"> </w:t>
      </w:r>
      <w:r w:rsidR="00231E38" w:rsidRPr="00C05367">
        <w:t>aspects</w:t>
      </w:r>
      <w:r w:rsidR="00075B9D" w:rsidRPr="00C05367">
        <w:t xml:space="preserve"> </w:t>
      </w:r>
      <w:r w:rsidRPr="00C05367">
        <w:t xml:space="preserve">of the daily </w:t>
      </w:r>
      <w:r w:rsidR="00CC6629" w:rsidRPr="00C05367">
        <w:t xml:space="preserve">clinical practice especially </w:t>
      </w:r>
      <w:r w:rsidR="00231E38" w:rsidRPr="00C05367">
        <w:t>ischemic heart</w:t>
      </w:r>
      <w:r w:rsidR="00075B9D" w:rsidRPr="00C05367">
        <w:t xml:space="preserve"> </w:t>
      </w:r>
      <w:r w:rsidR="00CC6629" w:rsidRPr="00C05367">
        <w:t>disease</w:t>
      </w:r>
      <w:r w:rsidRPr="00C05367">
        <w:t xml:space="preserve"> and</w:t>
      </w:r>
      <w:r w:rsidR="00081095" w:rsidRPr="00C05367">
        <w:t xml:space="preserve"> </w:t>
      </w:r>
      <w:r w:rsidRPr="00C05367">
        <w:t>patients</w:t>
      </w:r>
      <w:r w:rsidR="00081095" w:rsidRPr="00C05367">
        <w:t xml:space="preserve"> </w:t>
      </w:r>
      <w:r w:rsidRPr="00C05367">
        <w:t>who</w:t>
      </w:r>
      <w:r w:rsidR="00075B9D" w:rsidRPr="00C05367">
        <w:t xml:space="preserve"> </w:t>
      </w:r>
      <w:r w:rsidRPr="00C05367">
        <w:lastRenderedPageBreak/>
        <w:t>present</w:t>
      </w:r>
      <w:r w:rsidR="00075B9D" w:rsidRPr="00C05367">
        <w:t xml:space="preserve"> </w:t>
      </w:r>
      <w:r w:rsidRPr="00C05367">
        <w:t>with</w:t>
      </w:r>
      <w:r w:rsidR="00075B9D" w:rsidRPr="00C05367">
        <w:t xml:space="preserve"> </w:t>
      </w:r>
      <w:r w:rsidRPr="00C05367">
        <w:t xml:space="preserve">ST </w:t>
      </w:r>
      <w:r w:rsidR="00231E38" w:rsidRPr="00C05367">
        <w:t>segment</w:t>
      </w:r>
      <w:r w:rsidR="00075B9D" w:rsidRPr="00C05367">
        <w:t xml:space="preserve"> </w:t>
      </w:r>
      <w:r w:rsidR="00231E38" w:rsidRPr="00C05367">
        <w:t>elevation</w:t>
      </w:r>
      <w:r w:rsidRPr="00C05367">
        <w:t xml:space="preserve"> acute </w:t>
      </w:r>
      <w:r w:rsidR="00231E38" w:rsidRPr="00C05367">
        <w:t>myocardial</w:t>
      </w:r>
      <w:r w:rsidR="00075B9D" w:rsidRPr="00C05367">
        <w:t xml:space="preserve"> </w:t>
      </w:r>
      <w:r w:rsidR="00231E38" w:rsidRPr="00C05367">
        <w:t>infarction</w:t>
      </w:r>
      <w:r w:rsidR="00075B9D" w:rsidRPr="00C05367">
        <w:t xml:space="preserve"> </w:t>
      </w:r>
      <w:r w:rsidRPr="00C05367">
        <w:t>(STEMI</w:t>
      </w:r>
      <w:r w:rsidR="00231E38" w:rsidRPr="00C05367">
        <w:t>)</w:t>
      </w:r>
      <w:r w:rsidR="00231E38" w:rsidRPr="00C05367">
        <w:rPr>
          <w:vertAlign w:val="superscript"/>
        </w:rPr>
        <w:t xml:space="preserve"> 1</w:t>
      </w:r>
      <w:r w:rsidRPr="00C05367">
        <w:t>.</w:t>
      </w:r>
    </w:p>
    <w:p w:rsidR="0062468B" w:rsidRPr="00C05367" w:rsidRDefault="00CC6629" w:rsidP="001878B7">
      <w:pPr>
        <w:snapToGrid w:val="0"/>
        <w:ind w:firstLine="425"/>
        <w:jc w:val="both"/>
      </w:pPr>
      <w:r w:rsidRPr="00C05367">
        <w:t xml:space="preserve">Ischemic </w:t>
      </w:r>
      <w:r w:rsidR="00231E38" w:rsidRPr="00C05367">
        <w:t>heart disease</w:t>
      </w:r>
      <w:r w:rsidRPr="00C05367">
        <w:t xml:space="preserve"> is considered </w:t>
      </w:r>
      <w:r w:rsidR="00075B9D" w:rsidRPr="00C05367">
        <w:t>the most</w:t>
      </w:r>
      <w:r w:rsidR="00231E38" w:rsidRPr="00C05367">
        <w:t xml:space="preserve"> </w:t>
      </w:r>
      <w:r w:rsidR="00075B9D" w:rsidRPr="00C05367">
        <w:t>common cause</w:t>
      </w:r>
      <w:r w:rsidR="00231E38" w:rsidRPr="00C05367">
        <w:t xml:space="preserve"> of death, worldwide</w:t>
      </w:r>
      <w:r w:rsidR="007A1135" w:rsidRPr="00C05367">
        <w:t>.</w:t>
      </w:r>
      <w:r w:rsidR="00E06019" w:rsidRPr="00C05367">
        <w:t xml:space="preserve"> </w:t>
      </w:r>
      <w:r w:rsidR="007A1135" w:rsidRPr="00C05367">
        <w:t xml:space="preserve">It accounts for1.8 million </w:t>
      </w:r>
      <w:r w:rsidR="00231E38" w:rsidRPr="00C05367">
        <w:t>deaths</w:t>
      </w:r>
      <w:r w:rsidR="00075B9D" w:rsidRPr="00C05367">
        <w:t xml:space="preserve"> </w:t>
      </w:r>
      <w:r w:rsidR="00231E38" w:rsidRPr="00C05367">
        <w:t>annually</w:t>
      </w:r>
      <w:r w:rsidR="00075B9D" w:rsidRPr="00C05367">
        <w:t xml:space="preserve"> </w:t>
      </w:r>
      <w:r w:rsidR="00231E38" w:rsidRPr="00C05367">
        <w:t>in Europe</w:t>
      </w:r>
      <w:r w:rsidR="007A1135" w:rsidRPr="00C05367">
        <w:t xml:space="preserve"> alone. According </w:t>
      </w:r>
      <w:r w:rsidR="00231E38" w:rsidRPr="00C05367">
        <w:t>to</w:t>
      </w:r>
      <w:r w:rsidR="00075B9D" w:rsidRPr="00C05367">
        <w:t xml:space="preserve"> </w:t>
      </w:r>
      <w:r w:rsidR="00231E38" w:rsidRPr="00C05367">
        <w:t>the</w:t>
      </w:r>
      <w:r w:rsidR="00075B9D" w:rsidRPr="00C05367">
        <w:t xml:space="preserve"> </w:t>
      </w:r>
      <w:r w:rsidR="007A1135" w:rsidRPr="00C05367">
        <w:t>center</w:t>
      </w:r>
      <w:r w:rsidR="00075B9D" w:rsidRPr="00C05367">
        <w:t xml:space="preserve"> </w:t>
      </w:r>
      <w:r w:rsidR="007A1135" w:rsidRPr="00C05367">
        <w:t>for</w:t>
      </w:r>
      <w:r w:rsidR="00075B9D" w:rsidRPr="00C05367">
        <w:t xml:space="preserve"> </w:t>
      </w:r>
      <w:r w:rsidR="007A1135" w:rsidRPr="00C05367">
        <w:t>disease</w:t>
      </w:r>
      <w:r w:rsidR="00075B9D" w:rsidRPr="00C05367">
        <w:t xml:space="preserve"> control it's</w:t>
      </w:r>
      <w:r w:rsidR="007A1135" w:rsidRPr="00C05367">
        <w:t xml:space="preserve"> the</w:t>
      </w:r>
      <w:r w:rsidR="00081095" w:rsidRPr="00C05367">
        <w:t xml:space="preserve"> </w:t>
      </w:r>
      <w:r w:rsidR="007A1135" w:rsidRPr="00C05367">
        <w:t>most</w:t>
      </w:r>
      <w:r w:rsidR="00C05367" w:rsidRPr="00C05367">
        <w:rPr>
          <w:rFonts w:hint="eastAsia"/>
          <w:lang w:eastAsia="zh-CN"/>
        </w:rPr>
        <w:t xml:space="preserve"> </w:t>
      </w:r>
      <w:r w:rsidR="007A1135" w:rsidRPr="00C05367">
        <w:t>common</w:t>
      </w:r>
      <w:r w:rsidR="00C05367" w:rsidRPr="00C05367">
        <w:rPr>
          <w:rFonts w:hint="eastAsia"/>
          <w:lang w:eastAsia="zh-CN"/>
        </w:rPr>
        <w:t xml:space="preserve"> </w:t>
      </w:r>
      <w:r w:rsidR="007A1135" w:rsidRPr="00C05367">
        <w:t>cause</w:t>
      </w:r>
      <w:r w:rsidR="00075B9D" w:rsidRPr="00C05367">
        <w:t xml:space="preserve"> </w:t>
      </w:r>
      <w:r w:rsidR="007A1135" w:rsidRPr="00C05367">
        <w:t>of</w:t>
      </w:r>
      <w:r w:rsidR="00075B9D" w:rsidRPr="00C05367">
        <w:t xml:space="preserve"> </w:t>
      </w:r>
      <w:r w:rsidR="007A1135" w:rsidRPr="00C05367">
        <w:t>deaths in</w:t>
      </w:r>
      <w:r w:rsidR="00075B9D" w:rsidRPr="00C05367">
        <w:t xml:space="preserve"> </w:t>
      </w:r>
      <w:r w:rsidR="007A1135" w:rsidRPr="00C05367">
        <w:t>Egypt accounting</w:t>
      </w:r>
      <w:r w:rsidR="00075B9D" w:rsidRPr="00C05367">
        <w:t xml:space="preserve"> for more</w:t>
      </w:r>
      <w:r w:rsidR="007A1135" w:rsidRPr="00C05367">
        <w:t xml:space="preserve"> than</w:t>
      </w:r>
      <w:r w:rsidR="00075B9D" w:rsidRPr="00C05367">
        <w:t xml:space="preserve"> one fifth </w:t>
      </w:r>
      <w:r w:rsidR="007A1135" w:rsidRPr="00C05367">
        <w:t>of</w:t>
      </w:r>
      <w:r w:rsidR="00075B9D" w:rsidRPr="00C05367">
        <w:t xml:space="preserve"> </w:t>
      </w:r>
      <w:r w:rsidR="007A1135" w:rsidRPr="00C05367">
        <w:t>the</w:t>
      </w:r>
      <w:r w:rsidR="00075B9D" w:rsidRPr="00C05367">
        <w:t xml:space="preserve"> </w:t>
      </w:r>
      <w:r w:rsidR="007A1135" w:rsidRPr="00C05367">
        <w:t>total</w:t>
      </w:r>
      <w:r w:rsidR="00075B9D" w:rsidRPr="00C05367">
        <w:t xml:space="preserve"> </w:t>
      </w:r>
      <w:r w:rsidR="007A1135" w:rsidRPr="00C05367">
        <w:t>death count</w:t>
      </w:r>
      <w:r w:rsidR="00075B9D" w:rsidRPr="00C05367">
        <w:t xml:space="preserve"> </w:t>
      </w:r>
      <w:r w:rsidR="00932DE9" w:rsidRPr="00C05367">
        <w:t>per</w:t>
      </w:r>
      <w:r w:rsidR="00075B9D" w:rsidRPr="00C05367">
        <w:t xml:space="preserve"> </w:t>
      </w:r>
      <w:r w:rsidR="00932DE9" w:rsidRPr="00C05367">
        <w:t>year</w:t>
      </w:r>
      <w:r w:rsidR="007A1135" w:rsidRPr="00C05367">
        <w:t xml:space="preserve"> (21%), </w:t>
      </w:r>
      <w:r w:rsidR="00075B9D" w:rsidRPr="00C05367">
        <w:t>followed by</w:t>
      </w:r>
      <w:r w:rsidR="007A1135" w:rsidRPr="00C05367">
        <w:t xml:space="preserve"> stroke, then cancer</w:t>
      </w:r>
      <w:r w:rsidR="00932DE9" w:rsidRPr="00C05367">
        <w:rPr>
          <w:vertAlign w:val="superscript"/>
        </w:rPr>
        <w:t>2</w:t>
      </w:r>
      <w:r w:rsidR="007A1135" w:rsidRPr="00C05367">
        <w:t>.</w:t>
      </w:r>
    </w:p>
    <w:p w:rsidR="0062468B" w:rsidRPr="00C05367" w:rsidRDefault="00CC6629" w:rsidP="001878B7">
      <w:pPr>
        <w:snapToGrid w:val="0"/>
        <w:ind w:firstLine="425"/>
        <w:jc w:val="both"/>
      </w:pPr>
      <w:r w:rsidRPr="00C05367">
        <w:t>All patients</w:t>
      </w:r>
      <w:r w:rsidR="00075B9D" w:rsidRPr="00C05367">
        <w:t xml:space="preserve"> </w:t>
      </w:r>
      <w:r w:rsidRPr="00C05367">
        <w:t>with</w:t>
      </w:r>
      <w:r w:rsidR="00075B9D" w:rsidRPr="00C05367">
        <w:t xml:space="preserve"> </w:t>
      </w:r>
      <w:r w:rsidRPr="00C05367">
        <w:t>STEMI</w:t>
      </w:r>
      <w:r w:rsidR="00075B9D" w:rsidRPr="00C05367">
        <w:t xml:space="preserve"> </w:t>
      </w:r>
      <w:r w:rsidRPr="00C05367">
        <w:t>should</w:t>
      </w:r>
      <w:r w:rsidR="00075B9D" w:rsidRPr="00C05367">
        <w:t xml:space="preserve"> </w:t>
      </w:r>
      <w:r w:rsidRPr="00C05367">
        <w:t>have an</w:t>
      </w:r>
      <w:r w:rsidR="007A1135" w:rsidRPr="00C05367">
        <w:t xml:space="preserve"> early assessment</w:t>
      </w:r>
      <w:r w:rsidR="00075B9D" w:rsidRPr="00C05367">
        <w:t xml:space="preserve"> </w:t>
      </w:r>
      <w:r w:rsidR="007A1135" w:rsidRPr="00C05367">
        <w:t>of</w:t>
      </w:r>
      <w:r w:rsidR="00075B9D" w:rsidRPr="00C05367">
        <w:t xml:space="preserve"> </w:t>
      </w:r>
      <w:r w:rsidR="007A1135" w:rsidRPr="00C05367">
        <w:t>short term risk including an evaluation</w:t>
      </w:r>
      <w:r w:rsidR="00075B9D" w:rsidRPr="00C05367">
        <w:t xml:space="preserve"> </w:t>
      </w:r>
      <w:r w:rsidR="007A1135" w:rsidRPr="00C05367">
        <w:t>of</w:t>
      </w:r>
      <w:r w:rsidR="00075B9D" w:rsidRPr="00C05367">
        <w:t xml:space="preserve"> </w:t>
      </w:r>
      <w:r w:rsidR="007A1135" w:rsidRPr="00C05367">
        <w:t>the</w:t>
      </w:r>
      <w:r w:rsidR="00075B9D" w:rsidRPr="00C05367">
        <w:t xml:space="preserve"> </w:t>
      </w:r>
      <w:r w:rsidR="007A1135" w:rsidRPr="00C05367">
        <w:t>extent</w:t>
      </w:r>
      <w:r w:rsidR="00075B9D" w:rsidRPr="00C05367">
        <w:t xml:space="preserve"> </w:t>
      </w:r>
      <w:r w:rsidR="007A1135" w:rsidRPr="00C05367">
        <w:t>of</w:t>
      </w:r>
      <w:r w:rsidR="00075B9D" w:rsidRPr="00C05367">
        <w:t xml:space="preserve"> </w:t>
      </w:r>
      <w:r w:rsidR="00932DE9" w:rsidRPr="00C05367">
        <w:t>myocardial damage</w:t>
      </w:r>
      <w:r w:rsidR="007A1135" w:rsidRPr="00C05367">
        <w:t xml:space="preserve">, the </w:t>
      </w:r>
      <w:r w:rsidR="00081095" w:rsidRPr="00C05367">
        <w:t>occurrence of</w:t>
      </w:r>
      <w:r w:rsidR="00E06019" w:rsidRPr="00C05367">
        <w:t xml:space="preserve"> </w:t>
      </w:r>
      <w:r w:rsidR="007A1135" w:rsidRPr="00C05367">
        <w:t>successful</w:t>
      </w:r>
      <w:r w:rsidR="00E06019" w:rsidRPr="00C05367">
        <w:t xml:space="preserve"> </w:t>
      </w:r>
      <w:r w:rsidR="007A1135" w:rsidRPr="00C05367">
        <w:t>reperfusion</w:t>
      </w:r>
      <w:r w:rsidR="00E06019" w:rsidRPr="00C05367">
        <w:t xml:space="preserve"> </w:t>
      </w:r>
      <w:r w:rsidR="007A1135" w:rsidRPr="00C05367">
        <w:t>and</w:t>
      </w:r>
      <w:r w:rsidR="00E06019" w:rsidRPr="00C05367">
        <w:t xml:space="preserve"> </w:t>
      </w:r>
      <w:r w:rsidR="007A1135" w:rsidRPr="00C05367">
        <w:t xml:space="preserve">the presence of clinical </w:t>
      </w:r>
      <w:r w:rsidR="00932DE9" w:rsidRPr="00C05367">
        <w:t>markers of</w:t>
      </w:r>
      <w:r w:rsidR="00075B9D" w:rsidRPr="00C05367">
        <w:t xml:space="preserve"> </w:t>
      </w:r>
      <w:r w:rsidR="00932DE9" w:rsidRPr="00C05367">
        <w:t>high</w:t>
      </w:r>
      <w:r w:rsidR="00075B9D" w:rsidRPr="00C05367">
        <w:t xml:space="preserve"> </w:t>
      </w:r>
      <w:r w:rsidR="00932DE9" w:rsidRPr="00C05367">
        <w:t>risk</w:t>
      </w:r>
      <w:r w:rsidR="00075B9D" w:rsidRPr="00C05367">
        <w:t xml:space="preserve"> </w:t>
      </w:r>
      <w:r w:rsidR="00932DE9" w:rsidRPr="00C05367">
        <w:t>for</w:t>
      </w:r>
      <w:r w:rsidR="00075B9D" w:rsidRPr="00C05367">
        <w:t xml:space="preserve"> </w:t>
      </w:r>
      <w:r w:rsidR="00932DE9" w:rsidRPr="00C05367">
        <w:t>further</w:t>
      </w:r>
      <w:r w:rsidR="007A1135" w:rsidRPr="00C05367">
        <w:t xml:space="preserve"> events</w:t>
      </w:r>
      <w:r w:rsidR="00075B9D" w:rsidRPr="00C05367">
        <w:t xml:space="preserve"> including older</w:t>
      </w:r>
      <w:r w:rsidR="007A1135" w:rsidRPr="00C05367">
        <w:t xml:space="preserve"> age, fast</w:t>
      </w:r>
      <w:r w:rsidR="00075B9D" w:rsidRPr="00C05367">
        <w:t xml:space="preserve"> </w:t>
      </w:r>
      <w:r w:rsidR="00932DE9" w:rsidRPr="00C05367">
        <w:t>heart</w:t>
      </w:r>
      <w:r w:rsidR="00075B9D" w:rsidRPr="00C05367">
        <w:t xml:space="preserve"> </w:t>
      </w:r>
      <w:r w:rsidR="00932DE9" w:rsidRPr="00C05367">
        <w:t>rate</w:t>
      </w:r>
      <w:r w:rsidR="007A1135" w:rsidRPr="00C05367">
        <w:t>, hypotension,</w:t>
      </w:r>
      <w:r w:rsidR="00075B9D" w:rsidRPr="00C05367">
        <w:t xml:space="preserve"> </w:t>
      </w:r>
      <w:r w:rsidR="007A1135" w:rsidRPr="00C05367">
        <w:t>Killip class &gt;I,</w:t>
      </w:r>
      <w:r w:rsidR="00075B9D" w:rsidRPr="00C05367">
        <w:t xml:space="preserve"> </w:t>
      </w:r>
      <w:r w:rsidR="007A1135" w:rsidRPr="00C05367">
        <w:t>anterior MI,</w:t>
      </w:r>
      <w:r w:rsidR="00075B9D" w:rsidRPr="00C05367">
        <w:t xml:space="preserve"> </w:t>
      </w:r>
      <w:r w:rsidR="007A1135" w:rsidRPr="00C05367">
        <w:t>previous MI,</w:t>
      </w:r>
      <w:r w:rsidR="00075B9D" w:rsidRPr="00C05367">
        <w:t xml:space="preserve"> </w:t>
      </w:r>
      <w:r w:rsidR="007A1135" w:rsidRPr="00C05367">
        <w:t>elevated initial</w:t>
      </w:r>
      <w:r w:rsidR="00075B9D" w:rsidRPr="00C05367">
        <w:t xml:space="preserve"> </w:t>
      </w:r>
      <w:r w:rsidR="007A1135" w:rsidRPr="00C05367">
        <w:t>serum</w:t>
      </w:r>
      <w:r w:rsidR="00081095" w:rsidRPr="00C05367">
        <w:t xml:space="preserve"> </w:t>
      </w:r>
      <w:r w:rsidR="007A1135" w:rsidRPr="00C05367">
        <w:t>creatinine,</w:t>
      </w:r>
      <w:r w:rsidR="00075B9D" w:rsidRPr="00C05367">
        <w:t xml:space="preserve"> </w:t>
      </w:r>
      <w:r w:rsidR="007A1135" w:rsidRPr="00C05367">
        <w:t xml:space="preserve">history </w:t>
      </w:r>
      <w:r w:rsidR="00932DE9" w:rsidRPr="00C05367">
        <w:t>of heart</w:t>
      </w:r>
      <w:r w:rsidR="00075B9D" w:rsidRPr="00C05367">
        <w:t xml:space="preserve"> </w:t>
      </w:r>
      <w:r w:rsidR="007A1135" w:rsidRPr="00C05367">
        <w:t xml:space="preserve">failure, </w:t>
      </w:r>
      <w:proofErr w:type="spellStart"/>
      <w:r w:rsidR="007A1135" w:rsidRPr="00C05367">
        <w:t>orperipheral</w:t>
      </w:r>
      <w:proofErr w:type="spellEnd"/>
      <w:r w:rsidR="00C05367" w:rsidRPr="00C05367">
        <w:rPr>
          <w:rFonts w:hint="eastAsia"/>
          <w:lang w:eastAsia="zh-CN"/>
        </w:rPr>
        <w:t xml:space="preserve"> </w:t>
      </w:r>
      <w:r w:rsidR="007A1135" w:rsidRPr="00C05367">
        <w:t>arterial</w:t>
      </w:r>
      <w:r w:rsidR="00C05367" w:rsidRPr="00C05367">
        <w:rPr>
          <w:rFonts w:hint="eastAsia"/>
          <w:lang w:eastAsia="zh-CN"/>
        </w:rPr>
        <w:t xml:space="preserve"> </w:t>
      </w:r>
      <w:r w:rsidR="007A1135" w:rsidRPr="00C05367">
        <w:t>disease</w:t>
      </w:r>
      <w:r w:rsidR="00932DE9" w:rsidRPr="00C05367">
        <w:rPr>
          <w:vertAlign w:val="superscript"/>
        </w:rPr>
        <w:t>3</w:t>
      </w:r>
      <w:r w:rsidR="007A1135" w:rsidRPr="00C05367">
        <w:t>.</w:t>
      </w:r>
    </w:p>
    <w:p w:rsidR="00216C80" w:rsidRPr="00C05367" w:rsidRDefault="007A1135" w:rsidP="001878B7">
      <w:pPr>
        <w:snapToGrid w:val="0"/>
        <w:ind w:firstLine="425"/>
        <w:jc w:val="both"/>
        <w:sectPr w:rsidR="00216C80" w:rsidRPr="00C05367" w:rsidSect="001878B7">
          <w:type w:val="continuous"/>
          <w:pgSz w:w="12242" w:h="15842" w:code="1"/>
          <w:pgMar w:top="1440" w:right="1440" w:bottom="1440" w:left="1440" w:header="720" w:footer="720" w:gutter="0"/>
          <w:cols w:num="2" w:space="500"/>
          <w:docGrid w:linePitch="272"/>
        </w:sectPr>
      </w:pPr>
      <w:r w:rsidRPr="00C05367">
        <w:t>All</w:t>
      </w:r>
      <w:r w:rsidR="00081095" w:rsidRPr="00C05367">
        <w:t xml:space="preserve"> </w:t>
      </w:r>
      <w:r w:rsidRPr="00C05367">
        <w:t>patients</w:t>
      </w:r>
      <w:r w:rsidR="00081095" w:rsidRPr="00C05367">
        <w:t xml:space="preserve"> </w:t>
      </w:r>
      <w:r w:rsidRPr="00C05367">
        <w:t>should also</w:t>
      </w:r>
      <w:r w:rsidR="00081095" w:rsidRPr="00C05367">
        <w:t xml:space="preserve"> </w:t>
      </w:r>
      <w:r w:rsidRPr="00C05367">
        <w:t>have</w:t>
      </w:r>
      <w:r w:rsidR="00081095" w:rsidRPr="00C05367">
        <w:t xml:space="preserve"> </w:t>
      </w:r>
      <w:r w:rsidRPr="00C05367">
        <w:t>an evaluation</w:t>
      </w:r>
      <w:r w:rsidR="00081095" w:rsidRPr="00C05367">
        <w:t xml:space="preserve"> </w:t>
      </w:r>
      <w:r w:rsidRPr="00C05367">
        <w:t>of long-term</w:t>
      </w:r>
      <w:r w:rsidR="00081095" w:rsidRPr="00C05367">
        <w:t xml:space="preserve"> </w:t>
      </w:r>
      <w:r w:rsidRPr="00C05367">
        <w:t>risk</w:t>
      </w:r>
      <w:r w:rsidR="00081095" w:rsidRPr="00C05367">
        <w:t xml:space="preserve"> </w:t>
      </w:r>
      <w:r w:rsidRPr="00C05367">
        <w:t>before discharge, including</w:t>
      </w:r>
      <w:r w:rsidR="00081095" w:rsidRPr="00C05367">
        <w:t xml:space="preserve"> </w:t>
      </w:r>
      <w:r w:rsidRPr="00C05367">
        <w:t xml:space="preserve">LV systolic </w:t>
      </w:r>
    </w:p>
    <w:p w:rsidR="00CA42D7" w:rsidRPr="00C05367" w:rsidRDefault="007A1135" w:rsidP="00216C80">
      <w:pPr>
        <w:snapToGrid w:val="0"/>
        <w:jc w:val="both"/>
      </w:pPr>
      <w:r w:rsidRPr="00C05367">
        <w:lastRenderedPageBreak/>
        <w:t>function</w:t>
      </w:r>
      <w:r w:rsidR="00081095" w:rsidRPr="00C05367">
        <w:t xml:space="preserve"> </w:t>
      </w:r>
      <w:r w:rsidRPr="00C05367">
        <w:t>and</w:t>
      </w:r>
      <w:r w:rsidR="00081095" w:rsidRPr="00C05367">
        <w:t xml:space="preserve"> </w:t>
      </w:r>
      <w:r w:rsidRPr="00C05367">
        <w:t xml:space="preserve">remodeling, </w:t>
      </w:r>
      <w:r w:rsidR="00CC6629" w:rsidRPr="00C05367">
        <w:t>severity of</w:t>
      </w:r>
      <w:r w:rsidR="00081095" w:rsidRPr="00C05367">
        <w:t xml:space="preserve"> </w:t>
      </w:r>
      <w:r w:rsidRPr="00C05367">
        <w:t>CAD</w:t>
      </w:r>
      <w:r w:rsidR="00081095" w:rsidRPr="00C05367">
        <w:t xml:space="preserve"> </w:t>
      </w:r>
      <w:r w:rsidR="00CC6629" w:rsidRPr="00C05367">
        <w:t>and completeness</w:t>
      </w:r>
      <w:r w:rsidR="00081095" w:rsidRPr="00C05367">
        <w:t xml:space="preserve"> </w:t>
      </w:r>
      <w:r w:rsidR="00CC6629" w:rsidRPr="00C05367">
        <w:t>of</w:t>
      </w:r>
      <w:r w:rsidR="00081095" w:rsidRPr="00C05367">
        <w:t xml:space="preserve"> coronary revascularization</w:t>
      </w:r>
      <w:r w:rsidRPr="00C05367">
        <w:t>, residual ischaemia,</w:t>
      </w:r>
      <w:r w:rsidR="00081095" w:rsidRPr="00C05367">
        <w:t xml:space="preserve"> </w:t>
      </w:r>
      <w:r w:rsidRPr="00C05367">
        <w:t>occurrence</w:t>
      </w:r>
      <w:r w:rsidR="00081095" w:rsidRPr="00C05367">
        <w:t xml:space="preserve"> </w:t>
      </w:r>
      <w:r w:rsidRPr="00C05367">
        <w:t>of complications</w:t>
      </w:r>
      <w:r w:rsidR="00081095" w:rsidRPr="00C05367">
        <w:t xml:space="preserve"> </w:t>
      </w:r>
      <w:r w:rsidRPr="00C05367">
        <w:t>during hospitalization,</w:t>
      </w:r>
      <w:r w:rsidR="00081095" w:rsidRPr="00C05367">
        <w:t xml:space="preserve"> </w:t>
      </w:r>
      <w:r w:rsidRPr="00C05367">
        <w:t>and levels</w:t>
      </w:r>
      <w:r w:rsidR="00081095" w:rsidRPr="00C05367">
        <w:t xml:space="preserve"> </w:t>
      </w:r>
      <w:r w:rsidRPr="00C05367">
        <w:t>of metabolic riskmarkers</w:t>
      </w:r>
      <w:r w:rsidR="00081095" w:rsidRPr="00C05367">
        <w:rPr>
          <w:vertAlign w:val="superscript"/>
        </w:rPr>
        <w:t>4</w:t>
      </w:r>
      <w:r w:rsidRPr="00C05367">
        <w:t>.</w:t>
      </w:r>
    </w:p>
    <w:p w:rsidR="0062468B" w:rsidRPr="00C05367" w:rsidRDefault="007A1135" w:rsidP="001878B7">
      <w:pPr>
        <w:snapToGrid w:val="0"/>
        <w:ind w:firstLine="425"/>
        <w:jc w:val="both"/>
      </w:pPr>
      <w:r w:rsidRPr="00C05367">
        <w:t>In</w:t>
      </w:r>
      <w:r w:rsidR="00081095" w:rsidRPr="00C05367">
        <w:t xml:space="preserve"> </w:t>
      </w:r>
      <w:r w:rsidRPr="00C05367">
        <w:t>recent</w:t>
      </w:r>
      <w:r w:rsidR="00081095" w:rsidRPr="00C05367">
        <w:t xml:space="preserve"> </w:t>
      </w:r>
      <w:r w:rsidRPr="00C05367">
        <w:t>STEMI,</w:t>
      </w:r>
      <w:r w:rsidR="00081095" w:rsidRPr="00C05367">
        <w:t xml:space="preserve"> </w:t>
      </w:r>
      <w:r w:rsidRPr="00C05367">
        <w:t xml:space="preserve">LV </w:t>
      </w:r>
      <w:r w:rsidR="00932DE9" w:rsidRPr="00C05367">
        <w:t>remodeling</w:t>
      </w:r>
      <w:r w:rsidR="00081095" w:rsidRPr="00C05367">
        <w:t xml:space="preserve"> </w:t>
      </w:r>
      <w:r w:rsidRPr="00C05367">
        <w:t xml:space="preserve">presents </w:t>
      </w:r>
      <w:r w:rsidR="00932DE9" w:rsidRPr="00C05367">
        <w:t>one of</w:t>
      </w:r>
      <w:r w:rsidRPr="00C05367">
        <w:t xml:space="preserve"> the most</w:t>
      </w:r>
      <w:r w:rsidR="00CA4E43" w:rsidRPr="00C05367">
        <w:t xml:space="preserve"> </w:t>
      </w:r>
      <w:r w:rsidRPr="00C05367">
        <w:t>important</w:t>
      </w:r>
      <w:r w:rsidR="00CA4E43" w:rsidRPr="00C05367">
        <w:t xml:space="preserve"> </w:t>
      </w:r>
      <w:r w:rsidRPr="00C05367">
        <w:t>prognostic determinants and</w:t>
      </w:r>
      <w:r w:rsidR="00081095" w:rsidRPr="00C05367">
        <w:t xml:space="preserve"> </w:t>
      </w:r>
      <w:r w:rsidR="00932DE9" w:rsidRPr="00C05367">
        <w:t>it</w:t>
      </w:r>
      <w:r w:rsidR="00081095" w:rsidRPr="00C05367">
        <w:t xml:space="preserve"> </w:t>
      </w:r>
      <w:r w:rsidR="00932DE9" w:rsidRPr="00C05367">
        <w:t>tends</w:t>
      </w:r>
      <w:r w:rsidR="00081095" w:rsidRPr="00C05367">
        <w:t xml:space="preserve"> </w:t>
      </w:r>
      <w:r w:rsidRPr="00C05367">
        <w:t>to be</w:t>
      </w:r>
      <w:r w:rsidR="00081095" w:rsidRPr="00C05367">
        <w:t xml:space="preserve"> </w:t>
      </w:r>
      <w:r w:rsidR="00932DE9" w:rsidRPr="00C05367">
        <w:t xml:space="preserve">more </w:t>
      </w:r>
      <w:r w:rsidR="00CA4E43" w:rsidRPr="00C05367">
        <w:t>pronounced as</w:t>
      </w:r>
      <w:r w:rsidRPr="00C05367">
        <w:t xml:space="preserve"> the</w:t>
      </w:r>
      <w:r w:rsidR="00CA4E43" w:rsidRPr="00C05367">
        <w:t xml:space="preserve"> </w:t>
      </w:r>
      <w:r w:rsidRPr="00C05367">
        <w:t>patient</w:t>
      </w:r>
      <w:r w:rsidR="00CA4E43" w:rsidRPr="00C05367">
        <w:t xml:space="preserve"> </w:t>
      </w:r>
      <w:r w:rsidRPr="00C05367">
        <w:t>is treated long aftersymptomonset</w:t>
      </w:r>
      <w:r w:rsidR="00932DE9" w:rsidRPr="00C05367">
        <w:rPr>
          <w:vertAlign w:val="superscript"/>
        </w:rPr>
        <w:t>1</w:t>
      </w:r>
      <w:r w:rsidRPr="00C05367">
        <w:t>.</w:t>
      </w:r>
      <w:r w:rsidR="00CA4E43" w:rsidRPr="00C05367">
        <w:t xml:space="preserve"> </w:t>
      </w:r>
      <w:r w:rsidR="00CC6629" w:rsidRPr="00C05367">
        <w:t>Speckle tracking echocardiography</w:t>
      </w:r>
      <w:r w:rsidR="00CA4E43" w:rsidRPr="00C05367">
        <w:t xml:space="preserve"> </w:t>
      </w:r>
      <w:r w:rsidRPr="00C05367">
        <w:t>represents</w:t>
      </w:r>
      <w:r w:rsidR="00CA4E43" w:rsidRPr="00C05367">
        <w:t xml:space="preserve"> </w:t>
      </w:r>
      <w:r w:rsidRPr="00C05367">
        <w:t>an</w:t>
      </w:r>
      <w:r w:rsidR="00CA4E43" w:rsidRPr="00C05367">
        <w:t xml:space="preserve"> </w:t>
      </w:r>
      <w:r w:rsidRPr="00C05367">
        <w:t xml:space="preserve">advanced, </w:t>
      </w:r>
      <w:r w:rsidR="00932DE9" w:rsidRPr="00C05367">
        <w:t>non</w:t>
      </w:r>
      <w:r w:rsidR="00CA4E43" w:rsidRPr="00C05367">
        <w:t xml:space="preserve"> </w:t>
      </w:r>
      <w:r w:rsidR="00932DE9" w:rsidRPr="00C05367">
        <w:t>invasive</w:t>
      </w:r>
      <w:r w:rsidR="00CA4E43" w:rsidRPr="00C05367">
        <w:t xml:space="preserve"> </w:t>
      </w:r>
      <w:r w:rsidRPr="00C05367">
        <w:t>imaging modality</w:t>
      </w:r>
      <w:r w:rsidR="00CA4E43" w:rsidRPr="00C05367">
        <w:t xml:space="preserve"> </w:t>
      </w:r>
      <w:r w:rsidRPr="00C05367">
        <w:t>that</w:t>
      </w:r>
      <w:r w:rsidR="00CA4E43" w:rsidRPr="00C05367">
        <w:t xml:space="preserve"> </w:t>
      </w:r>
      <w:r w:rsidRPr="00C05367">
        <w:t>allows</w:t>
      </w:r>
      <w:r w:rsidR="00CA4E43" w:rsidRPr="00C05367">
        <w:t xml:space="preserve"> </w:t>
      </w:r>
      <w:r w:rsidRPr="00C05367">
        <w:t>a</w:t>
      </w:r>
      <w:r w:rsidR="00CA4E43" w:rsidRPr="00C05367">
        <w:t xml:space="preserve"> </w:t>
      </w:r>
      <w:r w:rsidRPr="00C05367">
        <w:t>fast</w:t>
      </w:r>
      <w:r w:rsidR="00CA4E43" w:rsidRPr="00C05367">
        <w:t xml:space="preserve"> </w:t>
      </w:r>
      <w:r w:rsidRPr="00C05367">
        <w:t>and</w:t>
      </w:r>
      <w:r w:rsidR="00CA4E43" w:rsidRPr="00C05367">
        <w:t xml:space="preserve"> </w:t>
      </w:r>
      <w:r w:rsidRPr="00C05367">
        <w:t>accurate</w:t>
      </w:r>
      <w:r w:rsidR="00CA4E43" w:rsidRPr="00C05367">
        <w:t xml:space="preserve"> </w:t>
      </w:r>
      <w:r w:rsidRPr="00C05367">
        <w:t>assessment of</w:t>
      </w:r>
      <w:r w:rsidR="00CA4E43" w:rsidRPr="00C05367">
        <w:t xml:space="preserve"> </w:t>
      </w:r>
      <w:r w:rsidRPr="00C05367">
        <w:t>the</w:t>
      </w:r>
      <w:r w:rsidR="00CA4E43" w:rsidRPr="00C05367">
        <w:t xml:space="preserve"> </w:t>
      </w:r>
      <w:r w:rsidRPr="00C05367">
        <w:t>global</w:t>
      </w:r>
      <w:r w:rsidR="00CA4E43" w:rsidRPr="00C05367">
        <w:t xml:space="preserve"> </w:t>
      </w:r>
      <w:r w:rsidRPr="00C05367">
        <w:t xml:space="preserve">and </w:t>
      </w:r>
      <w:r w:rsidR="00C05367" w:rsidRPr="00C05367">
        <w:t>regional function</w:t>
      </w:r>
      <w:r w:rsidR="00CA4E43" w:rsidRPr="00C05367">
        <w:t xml:space="preserve"> </w:t>
      </w:r>
      <w:r w:rsidRPr="00C05367">
        <w:t>of</w:t>
      </w:r>
      <w:r w:rsidR="00CA4E43" w:rsidRPr="00C05367">
        <w:t xml:space="preserve"> both trial </w:t>
      </w:r>
      <w:r w:rsidRPr="00C05367">
        <w:t>and ventricular</w:t>
      </w:r>
      <w:r w:rsidR="00CA4E43" w:rsidRPr="00C05367">
        <w:t xml:space="preserve"> </w:t>
      </w:r>
      <w:r w:rsidRPr="00C05367">
        <w:t>chambers</w:t>
      </w:r>
      <w:r w:rsidR="00CA4E43" w:rsidRPr="00C05367">
        <w:t xml:space="preserve"> </w:t>
      </w:r>
      <w:r w:rsidRPr="00C05367">
        <w:t xml:space="preserve">with evaluation of chamber </w:t>
      </w:r>
      <w:r w:rsidR="00932DE9" w:rsidRPr="00C05367">
        <w:t>remodeling</w:t>
      </w:r>
      <w:r w:rsidRPr="00C05367">
        <w:t>, independently</w:t>
      </w:r>
      <w:r w:rsidR="00CA4E43" w:rsidRPr="00C05367">
        <w:t xml:space="preserve"> </w:t>
      </w:r>
      <w:r w:rsidRPr="00C05367">
        <w:t>from</w:t>
      </w:r>
      <w:r w:rsidR="00CA4E43" w:rsidRPr="00C05367">
        <w:t xml:space="preserve"> </w:t>
      </w:r>
      <w:r w:rsidRPr="00C05367">
        <w:t>the</w:t>
      </w:r>
      <w:r w:rsidR="00CA4E43" w:rsidRPr="00C05367">
        <w:t xml:space="preserve"> </w:t>
      </w:r>
      <w:r w:rsidRPr="00C05367">
        <w:t>angle</w:t>
      </w:r>
      <w:r w:rsidR="00CA4E43" w:rsidRPr="00C05367">
        <w:t xml:space="preserve"> </w:t>
      </w:r>
      <w:r w:rsidRPr="00C05367">
        <w:t xml:space="preserve">of </w:t>
      </w:r>
      <w:r w:rsidR="00CA4E43" w:rsidRPr="00C05367">
        <w:t>intonation and</w:t>
      </w:r>
      <w:r w:rsidRPr="00C05367">
        <w:t xml:space="preserve"> in-</w:t>
      </w:r>
      <w:r w:rsidR="00CA4E43" w:rsidRPr="00C05367">
        <w:t>plane translational</w:t>
      </w:r>
      <w:r w:rsidRPr="00C05367">
        <w:t xml:space="preserve"> motion</w:t>
      </w:r>
      <w:r w:rsidR="00932DE9" w:rsidRPr="00C05367">
        <w:t>1</w:t>
      </w:r>
      <w:r w:rsidRPr="00C05367">
        <w:t>.</w:t>
      </w:r>
    </w:p>
    <w:p w:rsidR="0062468B" w:rsidRPr="00C05367" w:rsidRDefault="0062468B" w:rsidP="001878B7">
      <w:pPr>
        <w:snapToGrid w:val="0"/>
        <w:ind w:firstLine="425"/>
        <w:jc w:val="both"/>
      </w:pPr>
    </w:p>
    <w:p w:rsidR="0062468B" w:rsidRPr="00C05367" w:rsidRDefault="00984F2D" w:rsidP="001878B7">
      <w:pPr>
        <w:snapToGrid w:val="0"/>
        <w:jc w:val="both"/>
      </w:pPr>
      <w:r w:rsidRPr="00C05367">
        <w:rPr>
          <w:b/>
        </w:rPr>
        <w:t xml:space="preserve">2. </w:t>
      </w:r>
      <w:r w:rsidR="007A1135" w:rsidRPr="00C05367">
        <w:rPr>
          <w:b/>
        </w:rPr>
        <w:t xml:space="preserve">Materials </w:t>
      </w:r>
      <w:r w:rsidR="00CA4E43" w:rsidRPr="00C05367">
        <w:rPr>
          <w:b/>
        </w:rPr>
        <w:t>and Methods</w:t>
      </w:r>
      <w:r w:rsidR="007A1135" w:rsidRPr="00C05367">
        <w:rPr>
          <w:b/>
        </w:rPr>
        <w:t>.</w:t>
      </w:r>
    </w:p>
    <w:p w:rsidR="0062468B" w:rsidRPr="00C05367" w:rsidRDefault="007A1135" w:rsidP="001878B7">
      <w:pPr>
        <w:snapToGrid w:val="0"/>
        <w:ind w:firstLine="425"/>
        <w:jc w:val="both"/>
      </w:pPr>
      <w:r w:rsidRPr="00C05367">
        <w:t>This</w:t>
      </w:r>
      <w:r w:rsidR="00CA4E43" w:rsidRPr="00C05367">
        <w:t xml:space="preserve"> </w:t>
      </w:r>
      <w:r w:rsidRPr="00C05367">
        <w:t>study</w:t>
      </w:r>
      <w:r w:rsidR="00CA4E43" w:rsidRPr="00C05367">
        <w:t xml:space="preserve"> </w:t>
      </w:r>
      <w:r w:rsidRPr="00C05367">
        <w:t>was</w:t>
      </w:r>
      <w:r w:rsidR="00CA4E43" w:rsidRPr="00C05367">
        <w:t xml:space="preserve"> </w:t>
      </w:r>
      <w:r w:rsidRPr="00C05367">
        <w:t>carried out</w:t>
      </w:r>
      <w:r w:rsidR="00CA4E43" w:rsidRPr="00C05367">
        <w:t xml:space="preserve"> </w:t>
      </w:r>
      <w:r w:rsidRPr="00C05367">
        <w:t>on</w:t>
      </w:r>
      <w:r w:rsidR="00CA4E43" w:rsidRPr="00C05367">
        <w:t xml:space="preserve"> </w:t>
      </w:r>
      <w:r w:rsidRPr="00C05367">
        <w:t>200</w:t>
      </w:r>
      <w:r w:rsidR="00CA4E43" w:rsidRPr="00C05367">
        <w:t xml:space="preserve"> </w:t>
      </w:r>
      <w:r w:rsidRPr="00C05367">
        <w:t>patients</w:t>
      </w:r>
      <w:r w:rsidR="00CA4E43" w:rsidRPr="00C05367">
        <w:t xml:space="preserve"> </w:t>
      </w:r>
      <w:r w:rsidRPr="00C05367">
        <w:t>who were</w:t>
      </w:r>
      <w:r w:rsidR="00CA4E43" w:rsidRPr="00C05367">
        <w:t xml:space="preserve"> </w:t>
      </w:r>
      <w:r w:rsidR="00091D04" w:rsidRPr="00C05367">
        <w:t>diagnosed with</w:t>
      </w:r>
      <w:r w:rsidR="00CA4E43" w:rsidRPr="00C05367">
        <w:t xml:space="preserve"> </w:t>
      </w:r>
      <w:r w:rsidRPr="00C05367">
        <w:t>first</w:t>
      </w:r>
      <w:r w:rsidR="00CA4E43" w:rsidRPr="00C05367">
        <w:t xml:space="preserve"> </w:t>
      </w:r>
      <w:r w:rsidRPr="00C05367">
        <w:t>time</w:t>
      </w:r>
      <w:r w:rsidR="00CA4E43" w:rsidRPr="00C05367">
        <w:t xml:space="preserve"> </w:t>
      </w:r>
      <w:r w:rsidRPr="00C05367">
        <w:t>STEMI at</w:t>
      </w:r>
      <w:r w:rsidR="00CA4E43" w:rsidRPr="00C05367">
        <w:t xml:space="preserve"> </w:t>
      </w:r>
      <w:r w:rsidRPr="00C05367">
        <w:t xml:space="preserve">The </w:t>
      </w:r>
      <w:r w:rsidR="00CC6629" w:rsidRPr="00C05367">
        <w:t>Cardiology Department</w:t>
      </w:r>
      <w:r w:rsidR="00CA4E43" w:rsidRPr="00C05367">
        <w:t xml:space="preserve"> </w:t>
      </w:r>
      <w:r w:rsidR="00CC6629" w:rsidRPr="00C05367">
        <w:t>at</w:t>
      </w:r>
      <w:r w:rsidR="00CA4E43" w:rsidRPr="00C05367">
        <w:t xml:space="preserve"> </w:t>
      </w:r>
      <w:r w:rsidR="00CC6629" w:rsidRPr="00C05367">
        <w:t>Tanta University</w:t>
      </w:r>
      <w:r w:rsidR="00CA4E43" w:rsidRPr="00C05367">
        <w:t xml:space="preserve"> </w:t>
      </w:r>
      <w:r w:rsidRPr="00C05367">
        <w:t>Hospital,</w:t>
      </w:r>
      <w:r w:rsidR="00CA4E43" w:rsidRPr="00C05367">
        <w:t xml:space="preserve"> </w:t>
      </w:r>
      <w:r w:rsidR="00091D04" w:rsidRPr="00C05367">
        <w:t>in a</w:t>
      </w:r>
      <w:r w:rsidR="00CC6629" w:rsidRPr="00C05367">
        <w:t xml:space="preserve"> period</w:t>
      </w:r>
      <w:r w:rsidR="00CA4E43" w:rsidRPr="00C05367">
        <w:t xml:space="preserve"> </w:t>
      </w:r>
      <w:r w:rsidRPr="00C05367">
        <w:t>of</w:t>
      </w:r>
      <w:r w:rsidR="00CA4E43" w:rsidRPr="00C05367">
        <w:t xml:space="preserve"> </w:t>
      </w:r>
      <w:r w:rsidRPr="00C05367">
        <w:t>six</w:t>
      </w:r>
      <w:r w:rsidR="00CA4E43" w:rsidRPr="00C05367">
        <w:t xml:space="preserve"> </w:t>
      </w:r>
      <w:r w:rsidRPr="00C05367">
        <w:t>months</w:t>
      </w:r>
      <w:r w:rsidR="00CA4E43" w:rsidRPr="00C05367">
        <w:t xml:space="preserve"> </w:t>
      </w:r>
      <w:r w:rsidRPr="00C05367">
        <w:t>starting</w:t>
      </w:r>
      <w:r w:rsidR="00CA4E43" w:rsidRPr="00C05367">
        <w:t xml:space="preserve"> </w:t>
      </w:r>
      <w:r w:rsidRPr="00C05367">
        <w:t>from June2018</w:t>
      </w:r>
      <w:r w:rsidR="0087612C" w:rsidRPr="00C05367">
        <w:t>. T</w:t>
      </w:r>
      <w:r w:rsidRPr="00C05367">
        <w:t>he</w:t>
      </w:r>
      <w:r w:rsidR="00CA4E43" w:rsidRPr="00C05367">
        <w:t xml:space="preserve"> </w:t>
      </w:r>
      <w:r w:rsidRPr="00C05367">
        <w:t>diagnosis</w:t>
      </w:r>
      <w:r w:rsidR="00CA4E43" w:rsidRPr="00C05367">
        <w:t xml:space="preserve"> </w:t>
      </w:r>
      <w:r w:rsidRPr="00C05367">
        <w:t>of</w:t>
      </w:r>
      <w:r w:rsidR="00CA4E43" w:rsidRPr="00C05367">
        <w:t xml:space="preserve"> </w:t>
      </w:r>
      <w:r w:rsidRPr="00C05367">
        <w:t>STEMI was</w:t>
      </w:r>
      <w:r w:rsidR="00CA4E43" w:rsidRPr="00C05367">
        <w:t xml:space="preserve"> </w:t>
      </w:r>
      <w:r w:rsidRPr="00C05367">
        <w:t>made according</w:t>
      </w:r>
      <w:r w:rsidR="00C05367" w:rsidRPr="00C05367">
        <w:rPr>
          <w:rFonts w:hint="eastAsia"/>
          <w:lang w:eastAsia="zh-CN"/>
        </w:rPr>
        <w:t xml:space="preserve"> </w:t>
      </w:r>
      <w:r w:rsidRPr="00C05367">
        <w:t>to</w:t>
      </w:r>
      <w:r w:rsidR="00C05367" w:rsidRPr="00C05367">
        <w:rPr>
          <w:rFonts w:hint="eastAsia"/>
          <w:lang w:eastAsia="zh-CN"/>
        </w:rPr>
        <w:t xml:space="preserve"> </w:t>
      </w:r>
      <w:r w:rsidRPr="00C05367">
        <w:t>recent</w:t>
      </w:r>
      <w:r w:rsidR="0087612C" w:rsidRPr="00C05367">
        <w:rPr>
          <w:rFonts w:hint="eastAsia"/>
          <w:lang w:eastAsia="zh-CN"/>
        </w:rPr>
        <w:t xml:space="preserve"> </w:t>
      </w:r>
      <w:r w:rsidRPr="00C05367">
        <w:t>2017</w:t>
      </w:r>
      <w:r w:rsidR="0087612C" w:rsidRPr="00C05367">
        <w:rPr>
          <w:rFonts w:hint="eastAsia"/>
          <w:lang w:eastAsia="zh-CN"/>
        </w:rPr>
        <w:t xml:space="preserve"> </w:t>
      </w:r>
      <w:r w:rsidRPr="00C05367">
        <w:t>European</w:t>
      </w:r>
      <w:r w:rsidR="0087612C" w:rsidRPr="00C05367">
        <w:rPr>
          <w:rFonts w:hint="eastAsia"/>
          <w:lang w:eastAsia="zh-CN"/>
        </w:rPr>
        <w:t xml:space="preserve"> </w:t>
      </w:r>
      <w:r w:rsidRPr="00C05367">
        <w:t>Society of cardiology</w:t>
      </w:r>
      <w:r w:rsidR="00CA4E43" w:rsidRPr="00C05367">
        <w:t xml:space="preserve"> </w:t>
      </w:r>
      <w:r w:rsidRPr="00C05367">
        <w:t>guidelines</w:t>
      </w:r>
      <w:r w:rsidR="00091D04" w:rsidRPr="00C05367">
        <w:rPr>
          <w:vertAlign w:val="superscript"/>
        </w:rPr>
        <w:t>3</w:t>
      </w:r>
      <w:r w:rsidR="0087612C" w:rsidRPr="00C05367">
        <w:t>. T</w:t>
      </w:r>
      <w:r w:rsidRPr="00C05367">
        <w:t>he</w:t>
      </w:r>
      <w:r w:rsidR="0087612C" w:rsidRPr="00C05367">
        <w:rPr>
          <w:rFonts w:hint="eastAsia"/>
          <w:lang w:eastAsia="zh-CN"/>
        </w:rPr>
        <w:t xml:space="preserve"> </w:t>
      </w:r>
      <w:r w:rsidRPr="00C05367">
        <w:t>onset</w:t>
      </w:r>
      <w:r w:rsidR="0087612C" w:rsidRPr="00C05367">
        <w:rPr>
          <w:rFonts w:hint="eastAsia"/>
          <w:lang w:eastAsia="zh-CN"/>
        </w:rPr>
        <w:t xml:space="preserve"> </w:t>
      </w:r>
      <w:r w:rsidRPr="00C05367">
        <w:t>of</w:t>
      </w:r>
      <w:r w:rsidR="0087612C" w:rsidRPr="00C05367">
        <w:rPr>
          <w:rFonts w:hint="eastAsia"/>
          <w:lang w:eastAsia="zh-CN"/>
        </w:rPr>
        <w:t xml:space="preserve"> </w:t>
      </w:r>
      <w:r w:rsidRPr="00C05367">
        <w:t>chest</w:t>
      </w:r>
      <w:r w:rsidR="0087612C" w:rsidRPr="00C05367">
        <w:rPr>
          <w:rFonts w:hint="eastAsia"/>
          <w:lang w:eastAsia="zh-CN"/>
        </w:rPr>
        <w:t xml:space="preserve"> </w:t>
      </w:r>
      <w:r w:rsidRPr="00C05367">
        <w:t>pain</w:t>
      </w:r>
      <w:r w:rsidR="00C05367" w:rsidRPr="00C05367">
        <w:rPr>
          <w:rFonts w:hint="eastAsia"/>
          <w:lang w:eastAsia="zh-CN"/>
        </w:rPr>
        <w:t xml:space="preserve"> </w:t>
      </w:r>
      <w:r w:rsidRPr="00C05367">
        <w:t>to first</w:t>
      </w:r>
      <w:r w:rsidR="00CA4E43" w:rsidRPr="00C05367">
        <w:t xml:space="preserve"> medical contact</w:t>
      </w:r>
      <w:r w:rsidRPr="00C05367">
        <w:t xml:space="preserve"> (FMC)</w:t>
      </w:r>
      <w:r w:rsidR="00091D04" w:rsidRPr="00C05367">
        <w:t xml:space="preserve"> did not </w:t>
      </w:r>
      <w:r w:rsidRPr="00C05367">
        <w:t>exceed 12hrs. They</w:t>
      </w:r>
      <w:r w:rsidR="00CA4E43" w:rsidRPr="00C05367">
        <w:t xml:space="preserve"> </w:t>
      </w:r>
      <w:r w:rsidRPr="00C05367">
        <w:t>were</w:t>
      </w:r>
      <w:r w:rsidR="00CA4E43" w:rsidRPr="00C05367">
        <w:t xml:space="preserve"> </w:t>
      </w:r>
      <w:r w:rsidRPr="00C05367">
        <w:t>divided into two</w:t>
      </w:r>
      <w:r w:rsidR="00CA4E43" w:rsidRPr="00C05367">
        <w:t xml:space="preserve"> </w:t>
      </w:r>
      <w:r w:rsidRPr="00C05367">
        <w:t>groups. Group 1 comprised</w:t>
      </w:r>
      <w:r w:rsidR="00CA4E43" w:rsidRPr="00C05367">
        <w:t xml:space="preserve"> </w:t>
      </w:r>
      <w:r w:rsidRPr="00C05367">
        <w:t>of</w:t>
      </w:r>
      <w:r w:rsidR="00CA4E43" w:rsidRPr="00C05367">
        <w:t xml:space="preserve"> </w:t>
      </w:r>
      <w:r w:rsidRPr="00C05367">
        <w:t>100patients who</w:t>
      </w:r>
      <w:r w:rsidR="00CA4E43" w:rsidRPr="00C05367">
        <w:t xml:space="preserve"> had primary </w:t>
      </w:r>
      <w:r w:rsidRPr="00C05367">
        <w:t>PCI as</w:t>
      </w:r>
      <w:r w:rsidR="00CA4E43" w:rsidRPr="00C05367">
        <w:t xml:space="preserve"> </w:t>
      </w:r>
      <w:r w:rsidRPr="00C05367">
        <w:t xml:space="preserve">a </w:t>
      </w:r>
      <w:r w:rsidR="00CA4E43" w:rsidRPr="00C05367">
        <w:t>reperfusion strategy</w:t>
      </w:r>
      <w:r w:rsidRPr="00C05367">
        <w:t>, group</w:t>
      </w:r>
      <w:r w:rsidR="00CA4E43" w:rsidRPr="00C05367">
        <w:t xml:space="preserve"> </w:t>
      </w:r>
      <w:r w:rsidRPr="00C05367">
        <w:t>II comprised of</w:t>
      </w:r>
      <w:r w:rsidR="00CA4E43" w:rsidRPr="00C05367">
        <w:t xml:space="preserve"> </w:t>
      </w:r>
      <w:r w:rsidRPr="00C05367">
        <w:t>100 patients</w:t>
      </w:r>
      <w:r w:rsidR="00CA4E43" w:rsidRPr="00C05367">
        <w:t xml:space="preserve"> </w:t>
      </w:r>
      <w:r w:rsidRPr="00C05367">
        <w:t>who</w:t>
      </w:r>
      <w:r w:rsidR="00CA4E43" w:rsidRPr="00C05367">
        <w:t xml:space="preserve"> </w:t>
      </w:r>
      <w:r w:rsidRPr="00C05367">
        <w:t>had</w:t>
      </w:r>
      <w:r w:rsidR="00CA4E43" w:rsidRPr="00C05367">
        <w:t xml:space="preserve"> </w:t>
      </w:r>
      <w:r w:rsidRPr="00C05367">
        <w:t>pharmacoinvasive</w:t>
      </w:r>
      <w:r w:rsidR="00CA4E43" w:rsidRPr="00C05367">
        <w:t xml:space="preserve"> </w:t>
      </w:r>
      <w:r w:rsidRPr="00C05367">
        <w:t>technique</w:t>
      </w:r>
      <w:r w:rsidR="00CA4E43" w:rsidRPr="00C05367">
        <w:t xml:space="preserve"> </w:t>
      </w:r>
      <w:r w:rsidRPr="00C05367">
        <w:t>(PI) as</w:t>
      </w:r>
      <w:r w:rsidR="00CA4E43" w:rsidRPr="00C05367">
        <w:t xml:space="preserve"> </w:t>
      </w:r>
      <w:r w:rsidRPr="00C05367">
        <w:t>a</w:t>
      </w:r>
      <w:r w:rsidR="00CA4E43" w:rsidRPr="00C05367">
        <w:t xml:space="preserve"> reperfusion strategy</w:t>
      </w:r>
      <w:r w:rsidRPr="00C05367">
        <w:t xml:space="preserve"> in</w:t>
      </w:r>
      <w:r w:rsidR="00CA4E43" w:rsidRPr="00C05367">
        <w:t xml:space="preserve"> </w:t>
      </w:r>
      <w:r w:rsidRPr="00C05367">
        <w:t>which</w:t>
      </w:r>
      <w:r w:rsidR="00CA4E43" w:rsidRPr="00C05367">
        <w:t xml:space="preserve"> patients received</w:t>
      </w:r>
      <w:r w:rsidRPr="00C05367">
        <w:t xml:space="preserve"> streptokinase</w:t>
      </w:r>
      <w:r w:rsidR="00CA4E43" w:rsidRPr="00C05367">
        <w:t xml:space="preserve"> </w:t>
      </w:r>
      <w:r w:rsidRPr="00C05367">
        <w:t>IV</w:t>
      </w:r>
      <w:r w:rsidR="00CA4E43" w:rsidRPr="00C05367">
        <w:t xml:space="preserve"> </w:t>
      </w:r>
      <w:r w:rsidRPr="00C05367">
        <w:t>infusion followed</w:t>
      </w:r>
      <w:r w:rsidR="00CA4E43" w:rsidRPr="00C05367">
        <w:t xml:space="preserve"> </w:t>
      </w:r>
      <w:r w:rsidRPr="00C05367">
        <w:t>by</w:t>
      </w:r>
      <w:r w:rsidR="00CA4E43" w:rsidRPr="00C05367">
        <w:t xml:space="preserve"> </w:t>
      </w:r>
      <w:r w:rsidRPr="00C05367">
        <w:t>coronary angiography, either</w:t>
      </w:r>
      <w:r w:rsidR="00CA4E43" w:rsidRPr="00C05367">
        <w:t xml:space="preserve"> </w:t>
      </w:r>
      <w:r w:rsidRPr="00C05367">
        <w:t>immediately or</w:t>
      </w:r>
      <w:r w:rsidR="00807E85" w:rsidRPr="00C05367">
        <w:t>within</w:t>
      </w:r>
      <w:r w:rsidRPr="00C05367">
        <w:t>3-24 hrs. Successful thrombolysis</w:t>
      </w:r>
      <w:r w:rsidR="00CA4E43" w:rsidRPr="00C05367">
        <w:t xml:space="preserve"> </w:t>
      </w:r>
      <w:r w:rsidRPr="00C05367">
        <w:t>was</w:t>
      </w:r>
      <w:r w:rsidR="00CA4E43" w:rsidRPr="00C05367">
        <w:t xml:space="preserve"> </w:t>
      </w:r>
      <w:r w:rsidRPr="00C05367">
        <w:t>assessed</w:t>
      </w:r>
      <w:r w:rsidR="00CA4E43" w:rsidRPr="00C05367">
        <w:t xml:space="preserve"> </w:t>
      </w:r>
      <w:r w:rsidRPr="00C05367">
        <w:t>by chest</w:t>
      </w:r>
      <w:r w:rsidR="00CA4E43" w:rsidRPr="00C05367">
        <w:t xml:space="preserve"> </w:t>
      </w:r>
      <w:r w:rsidRPr="00C05367">
        <w:t>pain relief,</w:t>
      </w:r>
      <w:r w:rsidR="00CA4E43" w:rsidRPr="00C05367">
        <w:t xml:space="preserve"> </w:t>
      </w:r>
      <w:r w:rsidRPr="00C05367">
        <w:t>decrease in ST</w:t>
      </w:r>
      <w:r w:rsidR="00CA4E43" w:rsidRPr="00C05367">
        <w:t xml:space="preserve"> </w:t>
      </w:r>
      <w:r w:rsidRPr="00C05367">
        <w:t>segment</w:t>
      </w:r>
      <w:r w:rsidR="00CA4E43" w:rsidRPr="00C05367">
        <w:t xml:space="preserve"> </w:t>
      </w:r>
      <w:r w:rsidRPr="00C05367">
        <w:t>elevation</w:t>
      </w:r>
      <w:r w:rsidR="00CA4E43" w:rsidRPr="00C05367">
        <w:t xml:space="preserve"> </w:t>
      </w:r>
      <w:r w:rsidRPr="00C05367">
        <w:t>by&gt; 50% compared to the initial</w:t>
      </w:r>
      <w:r w:rsidR="00CA4E43" w:rsidRPr="00C05367">
        <w:t xml:space="preserve"> </w:t>
      </w:r>
      <w:r w:rsidRPr="00C05367">
        <w:t>electrocardiogram (ECG), appearance</w:t>
      </w:r>
      <w:r w:rsidR="00CA4E43" w:rsidRPr="00C05367">
        <w:t xml:space="preserve"> </w:t>
      </w:r>
      <w:r w:rsidRPr="00C05367">
        <w:t>of</w:t>
      </w:r>
      <w:r w:rsidR="00CA4E43" w:rsidRPr="00C05367">
        <w:t xml:space="preserve"> reperfusion arrhythmia </w:t>
      </w:r>
      <w:r w:rsidRPr="00C05367">
        <w:t>and</w:t>
      </w:r>
      <w:r w:rsidR="00CA4E43" w:rsidRPr="00C05367">
        <w:t xml:space="preserve"> </w:t>
      </w:r>
      <w:r w:rsidRPr="00C05367">
        <w:t>shooting of</w:t>
      </w:r>
      <w:r w:rsidR="00CA4E43" w:rsidRPr="00C05367">
        <w:t xml:space="preserve"> </w:t>
      </w:r>
      <w:r w:rsidRPr="00C05367">
        <w:t>cardiac</w:t>
      </w:r>
      <w:r w:rsidR="00CA4E43" w:rsidRPr="00C05367">
        <w:t xml:space="preserve"> </w:t>
      </w:r>
      <w:r w:rsidRPr="00C05367">
        <w:t>enzymes.</w:t>
      </w:r>
      <w:r w:rsidR="00CA4E43" w:rsidRPr="00C05367">
        <w:t xml:space="preserve"> </w:t>
      </w:r>
      <w:r w:rsidRPr="00C05367">
        <w:t>Reperfusion success in</w:t>
      </w:r>
      <w:r w:rsidR="00CA4E43" w:rsidRPr="00C05367">
        <w:t xml:space="preserve"> </w:t>
      </w:r>
      <w:r w:rsidRPr="00C05367">
        <w:t xml:space="preserve">coronary </w:t>
      </w:r>
      <w:r w:rsidR="00302733" w:rsidRPr="00C05367">
        <w:t>angiography</w:t>
      </w:r>
      <w:r w:rsidR="00CA4E43" w:rsidRPr="00C05367">
        <w:t xml:space="preserve"> </w:t>
      </w:r>
      <w:r w:rsidR="00302733" w:rsidRPr="00C05367">
        <w:t>is</w:t>
      </w:r>
      <w:r w:rsidR="00CA4E43" w:rsidRPr="00C05367">
        <w:t xml:space="preserve"> </w:t>
      </w:r>
      <w:r w:rsidRPr="00C05367">
        <w:t>measured by</w:t>
      </w:r>
      <w:r w:rsidR="00CA4E43" w:rsidRPr="00C05367">
        <w:t xml:space="preserve"> </w:t>
      </w:r>
      <w:r w:rsidRPr="00C05367">
        <w:t xml:space="preserve">the thrombolysis in </w:t>
      </w:r>
      <w:r w:rsidR="00302733" w:rsidRPr="00C05367">
        <w:t>myocardial</w:t>
      </w:r>
      <w:r w:rsidR="00CA4E43" w:rsidRPr="00C05367">
        <w:t xml:space="preserve"> </w:t>
      </w:r>
      <w:r w:rsidR="00302733" w:rsidRPr="00C05367">
        <w:t>in</w:t>
      </w:r>
      <w:r w:rsidR="00CA4E43" w:rsidRPr="00C05367">
        <w:t xml:space="preserve"> </w:t>
      </w:r>
      <w:r w:rsidR="00302733" w:rsidRPr="00C05367">
        <w:t>farction</w:t>
      </w:r>
      <w:r w:rsidR="00CA4E43" w:rsidRPr="00C05367">
        <w:t xml:space="preserve"> </w:t>
      </w:r>
      <w:r w:rsidRPr="00C05367">
        <w:t>(TIMI)</w:t>
      </w:r>
      <w:r w:rsidR="00CA4E43" w:rsidRPr="00C05367">
        <w:t xml:space="preserve"> </w:t>
      </w:r>
      <w:r w:rsidRPr="00C05367">
        <w:t>blood</w:t>
      </w:r>
      <w:r w:rsidR="00CA4E43" w:rsidRPr="00C05367">
        <w:t xml:space="preserve"> </w:t>
      </w:r>
      <w:r w:rsidRPr="00C05367">
        <w:t>flow</w:t>
      </w:r>
      <w:r w:rsidR="00CA4E43" w:rsidRPr="00C05367">
        <w:t xml:space="preserve"> </w:t>
      </w:r>
      <w:r w:rsidRPr="00C05367">
        <w:t>grade; reperfusion</w:t>
      </w:r>
      <w:r w:rsidR="00CA4E43" w:rsidRPr="00C05367">
        <w:t xml:space="preserve"> </w:t>
      </w:r>
      <w:r w:rsidRPr="00C05367">
        <w:t xml:space="preserve">was </w:t>
      </w:r>
      <w:r w:rsidR="00CA4E43" w:rsidRPr="00C05367">
        <w:t>considered successful (</w:t>
      </w:r>
      <w:r w:rsidRPr="00C05367">
        <w:t>TIMI 3) or abnorma</w:t>
      </w:r>
      <w:r w:rsidR="00E06019" w:rsidRPr="00C05367">
        <w:t>l (</w:t>
      </w:r>
      <w:r w:rsidRPr="00C05367">
        <w:t>TIMI0-1-2</w:t>
      </w:r>
      <w:r w:rsidR="0087612C" w:rsidRPr="00C05367">
        <w:t>) a</w:t>
      </w:r>
      <w:r w:rsidRPr="00C05367">
        <w:t>ccording</w:t>
      </w:r>
      <w:r w:rsidR="0087612C" w:rsidRPr="00C05367">
        <w:rPr>
          <w:rFonts w:hint="eastAsia"/>
          <w:lang w:eastAsia="zh-CN"/>
        </w:rPr>
        <w:t xml:space="preserve"> </w:t>
      </w:r>
      <w:r w:rsidRPr="00C05367">
        <w:t>to</w:t>
      </w:r>
      <w:r w:rsidR="0087612C" w:rsidRPr="00C05367">
        <w:rPr>
          <w:rFonts w:hint="eastAsia"/>
          <w:lang w:eastAsia="zh-CN"/>
        </w:rPr>
        <w:t xml:space="preserve"> </w:t>
      </w:r>
      <w:r w:rsidRPr="00C05367">
        <w:t>the</w:t>
      </w:r>
      <w:r w:rsidR="0087612C" w:rsidRPr="00C05367">
        <w:rPr>
          <w:rFonts w:hint="eastAsia"/>
          <w:lang w:eastAsia="zh-CN"/>
        </w:rPr>
        <w:t xml:space="preserve"> </w:t>
      </w:r>
      <w:r w:rsidRPr="00C05367">
        <w:t>TIMI</w:t>
      </w:r>
      <w:r w:rsidR="0087612C" w:rsidRPr="00C05367">
        <w:rPr>
          <w:rFonts w:hint="eastAsia"/>
          <w:lang w:eastAsia="zh-CN"/>
        </w:rPr>
        <w:t xml:space="preserve"> </w:t>
      </w:r>
      <w:r w:rsidRPr="00C05367">
        <w:t>blood</w:t>
      </w:r>
      <w:r w:rsidR="00C05367" w:rsidRPr="00C05367">
        <w:rPr>
          <w:rFonts w:hint="eastAsia"/>
          <w:lang w:eastAsia="zh-CN"/>
        </w:rPr>
        <w:t xml:space="preserve"> </w:t>
      </w:r>
      <w:r w:rsidRPr="00C05367">
        <w:t>flow</w:t>
      </w:r>
      <w:r w:rsidR="00C05367" w:rsidRPr="00C05367">
        <w:rPr>
          <w:rFonts w:hint="eastAsia"/>
          <w:lang w:eastAsia="zh-CN"/>
        </w:rPr>
        <w:t xml:space="preserve"> </w:t>
      </w:r>
      <w:r w:rsidRPr="00C05367">
        <w:t>grade</w:t>
      </w:r>
      <w:r w:rsidR="00807E85" w:rsidRPr="00C05367">
        <w:rPr>
          <w:vertAlign w:val="superscript"/>
        </w:rPr>
        <w:t>3</w:t>
      </w:r>
      <w:r w:rsidR="0087612C" w:rsidRPr="00C05367">
        <w:t>. T</w:t>
      </w:r>
      <w:r w:rsidRPr="00C05367">
        <w:t>he</w:t>
      </w:r>
      <w:r w:rsidR="00C05367" w:rsidRPr="00C05367">
        <w:rPr>
          <w:rFonts w:hint="eastAsia"/>
          <w:lang w:eastAsia="zh-CN"/>
        </w:rPr>
        <w:t xml:space="preserve"> </w:t>
      </w:r>
      <w:r w:rsidRPr="00C05367">
        <w:t>primary PCI was</w:t>
      </w:r>
      <w:r w:rsidR="00CA4E43" w:rsidRPr="00C05367">
        <w:t xml:space="preserve"> </w:t>
      </w:r>
      <w:r w:rsidRPr="00C05367">
        <w:t>done with</w:t>
      </w:r>
      <w:r w:rsidR="00CA4E43" w:rsidRPr="00C05367">
        <w:t xml:space="preserve"> </w:t>
      </w:r>
      <w:r w:rsidRPr="00C05367">
        <w:t>or without</w:t>
      </w:r>
      <w:r w:rsidR="00CA4E43" w:rsidRPr="00C05367">
        <w:t xml:space="preserve"> </w:t>
      </w:r>
      <w:r w:rsidRPr="00C05367">
        <w:t>stenting.</w:t>
      </w:r>
    </w:p>
    <w:p w:rsidR="0062468B" w:rsidRPr="00C05367" w:rsidRDefault="007A1135" w:rsidP="001878B7">
      <w:pPr>
        <w:snapToGrid w:val="0"/>
        <w:ind w:firstLine="425"/>
        <w:jc w:val="both"/>
      </w:pPr>
      <w:r w:rsidRPr="00C05367">
        <w:t>Exclusion criteria included</w:t>
      </w:r>
      <w:r w:rsidR="00CA4E43" w:rsidRPr="00C05367">
        <w:t xml:space="preserve"> </w:t>
      </w:r>
      <w:r w:rsidRPr="00C05367">
        <w:t>Presentation after12 hours of onset of chest pai</w:t>
      </w:r>
      <w:r w:rsidR="00302733" w:rsidRPr="00C05367">
        <w:t xml:space="preserve">n, </w:t>
      </w:r>
      <w:r w:rsidRPr="00C05367">
        <w:t>history or ECG evidence</w:t>
      </w:r>
      <w:r w:rsidR="00CA4E43" w:rsidRPr="00C05367">
        <w:t xml:space="preserve"> </w:t>
      </w:r>
      <w:r w:rsidRPr="00C05367">
        <w:t>of</w:t>
      </w:r>
      <w:r w:rsidR="00CA4E43" w:rsidRPr="00C05367">
        <w:t xml:space="preserve"> </w:t>
      </w:r>
      <w:r w:rsidR="00302733" w:rsidRPr="00C05367">
        <w:t>prior revolved</w:t>
      </w:r>
      <w:r w:rsidRPr="00C05367">
        <w:t xml:space="preserve"> myocardial infarction, past history of documented LV dysfunction or history</w:t>
      </w:r>
      <w:r w:rsidR="00EF2FE9" w:rsidRPr="00C05367">
        <w:t xml:space="preserve"> </w:t>
      </w:r>
      <w:r w:rsidRPr="00C05367">
        <w:t>of</w:t>
      </w:r>
      <w:r w:rsidR="00EF2FE9" w:rsidRPr="00C05367">
        <w:t xml:space="preserve"> </w:t>
      </w:r>
      <w:r w:rsidRPr="00C05367">
        <w:t>cardiac</w:t>
      </w:r>
      <w:r w:rsidR="00CA4E43" w:rsidRPr="00C05367">
        <w:t xml:space="preserve"> </w:t>
      </w:r>
      <w:r w:rsidRPr="00C05367">
        <w:t>failure,</w:t>
      </w:r>
      <w:r w:rsidR="00CA4E43" w:rsidRPr="00C05367">
        <w:t xml:space="preserve"> </w:t>
      </w:r>
      <w:r w:rsidRPr="00C05367">
        <w:t>Killipclass</w:t>
      </w:r>
      <w:r w:rsidR="00CA4E43" w:rsidRPr="00C05367">
        <w:t xml:space="preserve"> </w:t>
      </w:r>
      <w:r w:rsidRPr="00C05367">
        <w:t>III</w:t>
      </w:r>
      <w:r w:rsidR="00CA4E43" w:rsidRPr="00C05367">
        <w:t xml:space="preserve"> </w:t>
      </w:r>
      <w:r w:rsidRPr="00C05367">
        <w:t>or</w:t>
      </w:r>
      <w:r w:rsidR="00CA4E43" w:rsidRPr="00C05367">
        <w:t xml:space="preserve"> </w:t>
      </w:r>
      <w:r w:rsidRPr="00C05367">
        <w:t>IV</w:t>
      </w:r>
      <w:r w:rsidR="00CA4E43" w:rsidRPr="00C05367">
        <w:t xml:space="preserve"> </w:t>
      </w:r>
      <w:r w:rsidRPr="00C05367">
        <w:t>at time</w:t>
      </w:r>
      <w:r w:rsidR="00CA4E43" w:rsidRPr="00C05367">
        <w:t xml:space="preserve"> </w:t>
      </w:r>
      <w:r w:rsidRPr="00C05367">
        <w:t>of</w:t>
      </w:r>
      <w:r w:rsidR="00CA4E43" w:rsidRPr="00C05367">
        <w:t xml:space="preserve"> </w:t>
      </w:r>
      <w:r w:rsidRPr="00C05367">
        <w:t>presentation and</w:t>
      </w:r>
      <w:r w:rsidR="00CA4E43" w:rsidRPr="00C05367">
        <w:t xml:space="preserve"> </w:t>
      </w:r>
      <w:r w:rsidRPr="00C05367">
        <w:t>patients</w:t>
      </w:r>
      <w:r w:rsidR="00CA4E43" w:rsidRPr="00C05367">
        <w:t xml:space="preserve"> </w:t>
      </w:r>
      <w:r w:rsidRPr="00C05367">
        <w:t>with</w:t>
      </w:r>
      <w:r w:rsidR="00CA4E43" w:rsidRPr="00C05367">
        <w:t xml:space="preserve"> </w:t>
      </w:r>
      <w:r w:rsidRPr="00C05367">
        <w:t>failed</w:t>
      </w:r>
      <w:r w:rsidR="00CA4E43" w:rsidRPr="00C05367">
        <w:t xml:space="preserve"> </w:t>
      </w:r>
      <w:r w:rsidRPr="00C05367">
        <w:t>PCI</w:t>
      </w:r>
      <w:r w:rsidR="00CA4E43" w:rsidRPr="00C05367">
        <w:t xml:space="preserve"> </w:t>
      </w:r>
      <w:r w:rsidRPr="00C05367">
        <w:t>or failed</w:t>
      </w:r>
      <w:r w:rsidR="00CA4E43" w:rsidRPr="00C05367">
        <w:t xml:space="preserve"> </w:t>
      </w:r>
      <w:r w:rsidR="00302733" w:rsidRPr="00C05367">
        <w:t>fibrinolytic</w:t>
      </w:r>
      <w:r w:rsidR="00CA4E43" w:rsidRPr="00C05367">
        <w:t xml:space="preserve"> </w:t>
      </w:r>
      <w:r w:rsidR="00302733" w:rsidRPr="00C05367">
        <w:t>therapy</w:t>
      </w:r>
      <w:r w:rsidRPr="00C05367">
        <w:t>.</w:t>
      </w:r>
    </w:p>
    <w:p w:rsidR="0062468B" w:rsidRPr="00C05367" w:rsidRDefault="007A1135" w:rsidP="001878B7">
      <w:pPr>
        <w:snapToGrid w:val="0"/>
        <w:ind w:firstLine="425"/>
        <w:jc w:val="both"/>
      </w:pPr>
      <w:r w:rsidRPr="00C05367">
        <w:t xml:space="preserve">The study compared between the two </w:t>
      </w:r>
      <w:r w:rsidR="00302733" w:rsidRPr="00C05367">
        <w:t>groups during</w:t>
      </w:r>
      <w:r w:rsidRPr="00C05367">
        <w:t xml:space="preserve"> hospitalization</w:t>
      </w:r>
      <w:r w:rsidR="00CA4E43" w:rsidRPr="00C05367">
        <w:t xml:space="preserve"> </w:t>
      </w:r>
      <w:r w:rsidRPr="00C05367">
        <w:t>according to</w:t>
      </w:r>
      <w:r w:rsidR="00CA4E43" w:rsidRPr="00C05367">
        <w:t xml:space="preserve"> </w:t>
      </w:r>
      <w:r w:rsidRPr="00C05367">
        <w:t>the</w:t>
      </w:r>
      <w:r w:rsidR="00CA4E43" w:rsidRPr="00C05367">
        <w:t xml:space="preserve"> </w:t>
      </w:r>
      <w:r w:rsidR="00302733" w:rsidRPr="00C05367">
        <w:t xml:space="preserve">clinical </w:t>
      </w:r>
      <w:r w:rsidR="00EF2FE9" w:rsidRPr="00C05367">
        <w:t>outcomes (</w:t>
      </w:r>
      <w:r w:rsidRPr="00C05367">
        <w:t xml:space="preserve">mortality, </w:t>
      </w:r>
      <w:r w:rsidR="00CA4E43" w:rsidRPr="00C05367">
        <w:t>majored verse cardiac</w:t>
      </w:r>
      <w:r w:rsidR="00302733" w:rsidRPr="00C05367">
        <w:t xml:space="preserve"> events</w:t>
      </w:r>
      <w:r w:rsidR="00CA4E43" w:rsidRPr="00C05367">
        <w:t xml:space="preserve"> </w:t>
      </w:r>
      <w:r w:rsidRPr="00C05367">
        <w:t>(MACE)</w:t>
      </w:r>
      <w:r w:rsidR="00CA4E43" w:rsidRPr="00C05367">
        <w:t xml:space="preserve"> </w:t>
      </w:r>
      <w:r w:rsidRPr="00C05367">
        <w:t>as heart failure symptoms, arrhythmias,</w:t>
      </w:r>
      <w:r w:rsidR="00EF2FE9" w:rsidRPr="00C05367">
        <w:t xml:space="preserve"> </w:t>
      </w:r>
      <w:r w:rsidRPr="00C05367">
        <w:t>bleeding complications)</w:t>
      </w:r>
      <w:r w:rsidR="00CC6629" w:rsidRPr="00C05367">
        <w:t>, angiographic findings (base line</w:t>
      </w:r>
      <w:r w:rsidRPr="00C05367">
        <w:t xml:space="preserve"> TIMI flow score</w:t>
      </w:r>
      <w:r w:rsidR="00EF2FE9" w:rsidRPr="00C05367">
        <w:t xml:space="preserve"> </w:t>
      </w:r>
      <w:r w:rsidRPr="00C05367">
        <w:t>and final</w:t>
      </w:r>
      <w:r w:rsidR="00EF2FE9" w:rsidRPr="00C05367">
        <w:t xml:space="preserve"> </w:t>
      </w:r>
      <w:r w:rsidRPr="00C05367">
        <w:t>TIMI score,</w:t>
      </w:r>
      <w:r w:rsidR="00EF2FE9" w:rsidRPr="00C05367">
        <w:t xml:space="preserve"> single or</w:t>
      </w:r>
      <w:r w:rsidRPr="00C05367">
        <w:t xml:space="preserve"> multi-</w:t>
      </w:r>
      <w:r w:rsidR="00CC6629" w:rsidRPr="00C05367">
        <w:t>vessel disease) and angiographic</w:t>
      </w:r>
      <w:r w:rsidR="00EF2FE9" w:rsidRPr="00C05367">
        <w:t xml:space="preserve"> </w:t>
      </w:r>
      <w:r w:rsidR="00302733" w:rsidRPr="00C05367">
        <w:t>complications as</w:t>
      </w:r>
      <w:r w:rsidRPr="00C05367">
        <w:t xml:space="preserve"> occurrence</w:t>
      </w:r>
      <w:r w:rsidR="00EF2FE9" w:rsidRPr="00C05367">
        <w:t xml:space="preserve"> </w:t>
      </w:r>
      <w:r w:rsidRPr="00C05367">
        <w:t>of</w:t>
      </w:r>
      <w:r w:rsidR="00EF2FE9" w:rsidRPr="00C05367">
        <w:t xml:space="preserve"> </w:t>
      </w:r>
      <w:r w:rsidRPr="00C05367">
        <w:t>contrast induced nephropathy (CIN</w:t>
      </w:r>
      <w:r w:rsidR="0087612C" w:rsidRPr="00C05367">
        <w:t>) a</w:t>
      </w:r>
      <w:r w:rsidRPr="00C05367">
        <w:t xml:space="preserve">nd cerebrovascular events. Left </w:t>
      </w:r>
      <w:r w:rsidR="00C05367" w:rsidRPr="00C05367">
        <w:t>ventricular systolic</w:t>
      </w:r>
      <w:r w:rsidR="00EF2FE9" w:rsidRPr="00C05367">
        <w:t xml:space="preserve"> </w:t>
      </w:r>
      <w:r w:rsidRPr="00C05367">
        <w:lastRenderedPageBreak/>
        <w:t>function was</w:t>
      </w:r>
      <w:r w:rsidR="00EF2FE9" w:rsidRPr="00C05367">
        <w:t xml:space="preserve"> </w:t>
      </w:r>
      <w:r w:rsidRPr="00C05367">
        <w:t>then</w:t>
      </w:r>
      <w:r w:rsidR="00EF2FE9" w:rsidRPr="00C05367">
        <w:t xml:space="preserve"> </w:t>
      </w:r>
      <w:r w:rsidRPr="00C05367">
        <w:t>assessed by measuring</w:t>
      </w:r>
      <w:r w:rsidR="00EF2FE9" w:rsidRPr="00C05367">
        <w:t xml:space="preserve"> </w:t>
      </w:r>
      <w:r w:rsidRPr="00C05367">
        <w:t>global longitudinal</w:t>
      </w:r>
      <w:r w:rsidR="00EF2FE9" w:rsidRPr="00C05367">
        <w:t xml:space="preserve"> </w:t>
      </w:r>
      <w:r w:rsidR="00302733" w:rsidRPr="00C05367">
        <w:t>strain</w:t>
      </w:r>
      <w:r w:rsidR="00EF2FE9" w:rsidRPr="00C05367">
        <w:t xml:space="preserve"> </w:t>
      </w:r>
      <w:r w:rsidR="00302733" w:rsidRPr="00C05367">
        <w:t>using</w:t>
      </w:r>
      <w:r w:rsidRPr="00C05367">
        <w:t xml:space="preserve"> 2D- speckle tracking echocardiography and ejection fraction measurement</w:t>
      </w:r>
      <w:r w:rsidR="00EF2FE9" w:rsidRPr="00C05367">
        <w:t xml:space="preserve"> </w:t>
      </w:r>
      <w:r w:rsidRPr="00C05367">
        <w:t>by</w:t>
      </w:r>
      <w:r w:rsidR="00EF2FE9" w:rsidRPr="00C05367">
        <w:t xml:space="preserve"> </w:t>
      </w:r>
      <w:r w:rsidRPr="00C05367">
        <w:t>traditional</w:t>
      </w:r>
      <w:r w:rsidR="00EF2FE9" w:rsidRPr="00C05367">
        <w:t xml:space="preserve"> </w:t>
      </w:r>
      <w:r w:rsidRPr="00C05367">
        <w:t xml:space="preserve">M-mode </w:t>
      </w:r>
      <w:r w:rsidR="00CC6629" w:rsidRPr="00C05367">
        <w:t>echocardiography and modified Simpson method</w:t>
      </w:r>
      <w:r w:rsidR="00EF2FE9" w:rsidRPr="00C05367">
        <w:t xml:space="preserve"> </w:t>
      </w:r>
      <w:r w:rsidRPr="00C05367">
        <w:t>then</w:t>
      </w:r>
      <w:r w:rsidR="00EF2FE9" w:rsidRPr="00C05367">
        <w:t xml:space="preserve"> </w:t>
      </w:r>
      <w:r w:rsidRPr="00C05367">
        <w:t>comparing</w:t>
      </w:r>
      <w:r w:rsidR="00EF2FE9" w:rsidRPr="00C05367">
        <w:t xml:space="preserve"> </w:t>
      </w:r>
      <w:r w:rsidRPr="00C05367">
        <w:t>between</w:t>
      </w:r>
      <w:r w:rsidR="00EF2FE9" w:rsidRPr="00C05367">
        <w:t xml:space="preserve"> </w:t>
      </w:r>
      <w:r w:rsidRPr="00C05367">
        <w:t>both</w:t>
      </w:r>
      <w:r w:rsidR="00EF2FE9" w:rsidRPr="00C05367">
        <w:t xml:space="preserve"> </w:t>
      </w:r>
      <w:r w:rsidRPr="00C05367">
        <w:t>groups</w:t>
      </w:r>
      <w:r w:rsidR="00EF2FE9" w:rsidRPr="00C05367">
        <w:t xml:space="preserve"> </w:t>
      </w:r>
      <w:r w:rsidRPr="00C05367">
        <w:t xml:space="preserve">regarding the </w:t>
      </w:r>
      <w:r w:rsidR="00CC6629" w:rsidRPr="00C05367">
        <w:t>results.</w:t>
      </w:r>
    </w:p>
    <w:p w:rsidR="0062468B" w:rsidRPr="00C05367" w:rsidRDefault="007A1135" w:rsidP="001878B7">
      <w:pPr>
        <w:snapToGrid w:val="0"/>
        <w:ind w:firstLine="425"/>
        <w:jc w:val="both"/>
      </w:pPr>
      <w:r w:rsidRPr="00C05367">
        <w:t>The study protocol</w:t>
      </w:r>
      <w:r w:rsidR="00EF2FE9" w:rsidRPr="00C05367">
        <w:t xml:space="preserve"> </w:t>
      </w:r>
      <w:r w:rsidRPr="00C05367">
        <w:t>was reviewed and approved</w:t>
      </w:r>
      <w:r w:rsidR="00EF2FE9" w:rsidRPr="00C05367">
        <w:t xml:space="preserve"> </w:t>
      </w:r>
      <w:r w:rsidRPr="00C05367">
        <w:t>by</w:t>
      </w:r>
      <w:bookmarkStart w:id="0" w:name="_GoBack"/>
      <w:bookmarkEnd w:id="0"/>
      <w:r w:rsidR="00EF2FE9" w:rsidRPr="00C05367">
        <w:t xml:space="preserve"> </w:t>
      </w:r>
      <w:r w:rsidRPr="00C05367">
        <w:t>the</w:t>
      </w:r>
      <w:r w:rsidR="00EF2FE9" w:rsidRPr="00C05367">
        <w:t xml:space="preserve"> </w:t>
      </w:r>
      <w:r w:rsidRPr="00C05367">
        <w:t>Ethics</w:t>
      </w:r>
      <w:r w:rsidR="00EF2FE9" w:rsidRPr="00C05367">
        <w:t xml:space="preserve"> </w:t>
      </w:r>
      <w:r w:rsidRPr="00C05367">
        <w:t>Committee</w:t>
      </w:r>
      <w:r w:rsidR="00EF2FE9" w:rsidRPr="00C05367">
        <w:t xml:space="preserve"> </w:t>
      </w:r>
      <w:r w:rsidRPr="00C05367">
        <w:t>(at</w:t>
      </w:r>
      <w:r w:rsidR="00EF2FE9" w:rsidRPr="00C05367">
        <w:t xml:space="preserve"> </w:t>
      </w:r>
      <w:r w:rsidRPr="00C05367">
        <w:t>Tanta</w:t>
      </w:r>
      <w:r w:rsidR="00EF2FE9" w:rsidRPr="00C05367">
        <w:t xml:space="preserve"> F</w:t>
      </w:r>
      <w:r w:rsidRPr="00C05367">
        <w:t xml:space="preserve">aculty </w:t>
      </w:r>
      <w:r w:rsidR="00CC6629" w:rsidRPr="00C05367">
        <w:t>of medicine) All</w:t>
      </w:r>
      <w:r w:rsidR="00CA4E43" w:rsidRPr="00C05367">
        <w:t xml:space="preserve"> </w:t>
      </w:r>
      <w:r w:rsidR="00CC6629" w:rsidRPr="00C05367">
        <w:t>patients were verbally informed</w:t>
      </w:r>
      <w:r w:rsidRPr="00C05367">
        <w:t xml:space="preserve"> and agreed</w:t>
      </w:r>
      <w:r w:rsidR="00CA4E43" w:rsidRPr="00C05367">
        <w:t xml:space="preserve"> </w:t>
      </w:r>
      <w:r w:rsidRPr="00C05367">
        <w:t>to</w:t>
      </w:r>
      <w:r w:rsidR="00CA4E43" w:rsidRPr="00C05367">
        <w:t xml:space="preserve"> </w:t>
      </w:r>
      <w:r w:rsidRPr="00C05367">
        <w:t>share</w:t>
      </w:r>
      <w:r w:rsidR="00CA4E43" w:rsidRPr="00C05367">
        <w:t xml:space="preserve"> </w:t>
      </w:r>
      <w:r w:rsidRPr="00C05367">
        <w:t>in</w:t>
      </w:r>
      <w:r w:rsidR="00CA4E43" w:rsidRPr="00C05367">
        <w:t xml:space="preserve"> </w:t>
      </w:r>
      <w:r w:rsidRPr="00C05367">
        <w:t>the study.</w:t>
      </w:r>
    </w:p>
    <w:p w:rsidR="00C05367" w:rsidRPr="00C05367" w:rsidRDefault="00C05367" w:rsidP="001878B7">
      <w:pPr>
        <w:snapToGrid w:val="0"/>
        <w:jc w:val="both"/>
        <w:rPr>
          <w:rFonts w:hint="eastAsia"/>
          <w:b/>
          <w:lang w:eastAsia="zh-CN"/>
        </w:rPr>
      </w:pPr>
    </w:p>
    <w:p w:rsidR="0062468B" w:rsidRPr="00C05367" w:rsidRDefault="005C1F9E" w:rsidP="001878B7">
      <w:pPr>
        <w:snapToGrid w:val="0"/>
        <w:jc w:val="both"/>
      </w:pPr>
      <w:r w:rsidRPr="00C05367">
        <w:rPr>
          <w:b/>
        </w:rPr>
        <w:t>Statistical Analysis</w:t>
      </w:r>
      <w:r w:rsidR="007A1135" w:rsidRPr="00C05367">
        <w:rPr>
          <w:b/>
        </w:rPr>
        <w:t>:</w:t>
      </w:r>
    </w:p>
    <w:p w:rsidR="0062468B" w:rsidRPr="00C05367" w:rsidRDefault="007A1135" w:rsidP="001878B7">
      <w:pPr>
        <w:snapToGrid w:val="0"/>
        <w:ind w:firstLine="425"/>
        <w:jc w:val="both"/>
      </w:pPr>
      <w:r w:rsidRPr="00C05367">
        <w:t>Data</w:t>
      </w:r>
      <w:r w:rsidR="00CA4E43" w:rsidRPr="00C05367">
        <w:t xml:space="preserve"> </w:t>
      </w:r>
      <w:r w:rsidRPr="00C05367">
        <w:t>were</w:t>
      </w:r>
      <w:r w:rsidR="00CA4E43" w:rsidRPr="00C05367">
        <w:t xml:space="preserve"> </w:t>
      </w:r>
      <w:r w:rsidRPr="00C05367">
        <w:t>analyzed</w:t>
      </w:r>
      <w:r w:rsidR="00CA4E43" w:rsidRPr="00C05367">
        <w:t xml:space="preserve"> </w:t>
      </w:r>
      <w:r w:rsidRPr="00C05367">
        <w:t>using</w:t>
      </w:r>
      <w:r w:rsidR="005C1F9E" w:rsidRPr="00C05367">
        <w:t xml:space="preserve"> </w:t>
      </w:r>
      <w:r w:rsidRPr="00C05367">
        <w:t xml:space="preserve">IBMSPSS software </w:t>
      </w:r>
      <w:r w:rsidR="00CA4E43" w:rsidRPr="00C05367">
        <w:t>package version</w:t>
      </w:r>
      <w:r w:rsidRPr="00C05367">
        <w:t xml:space="preserve"> 20.0.</w:t>
      </w:r>
      <w:r w:rsidR="00CA4E43" w:rsidRPr="00C05367">
        <w:t xml:space="preserve"> </w:t>
      </w:r>
      <w:r w:rsidRPr="00C05367">
        <w:t>(Armonk, NY:</w:t>
      </w:r>
      <w:r w:rsidR="00EF2FE9" w:rsidRPr="00C05367">
        <w:t xml:space="preserve"> </w:t>
      </w:r>
      <w:r w:rsidRPr="00C05367">
        <w:t>IBM</w:t>
      </w:r>
      <w:r w:rsidR="00FA4916" w:rsidRPr="00C05367">
        <w:t xml:space="preserve"> </w:t>
      </w:r>
      <w:r w:rsidRPr="00C05367">
        <w:t>Corp). Qualitative data were described using number</w:t>
      </w:r>
      <w:r w:rsidR="00EF2FE9" w:rsidRPr="00C05367">
        <w:t xml:space="preserve"> </w:t>
      </w:r>
      <w:r w:rsidRPr="00C05367">
        <w:t>and percent. The</w:t>
      </w:r>
      <w:r w:rsidR="00EF2FE9" w:rsidRPr="00C05367">
        <w:t xml:space="preserve"> </w:t>
      </w:r>
      <w:r w:rsidRPr="00C05367">
        <w:t>Kolmogorov-Smirnov</w:t>
      </w:r>
      <w:r w:rsidR="00EF2FE9" w:rsidRPr="00C05367">
        <w:t xml:space="preserve"> </w:t>
      </w:r>
      <w:r w:rsidRPr="00C05367">
        <w:t>test</w:t>
      </w:r>
      <w:r w:rsidR="00EF2FE9" w:rsidRPr="00C05367">
        <w:t xml:space="preserve"> </w:t>
      </w:r>
      <w:r w:rsidRPr="00C05367">
        <w:t>was</w:t>
      </w:r>
      <w:r w:rsidR="00EF2FE9" w:rsidRPr="00C05367">
        <w:t xml:space="preserve"> </w:t>
      </w:r>
      <w:r w:rsidRPr="00C05367">
        <w:t>used</w:t>
      </w:r>
      <w:r w:rsidR="00EF2FE9" w:rsidRPr="00C05367">
        <w:t xml:space="preserve"> </w:t>
      </w:r>
      <w:r w:rsidRPr="00C05367">
        <w:t>to</w:t>
      </w:r>
      <w:r w:rsidR="0087612C" w:rsidRPr="00C05367">
        <w:rPr>
          <w:rFonts w:hint="eastAsia"/>
          <w:lang w:eastAsia="zh-CN"/>
        </w:rPr>
        <w:t xml:space="preserve"> </w:t>
      </w:r>
      <w:r w:rsidRPr="00C05367">
        <w:t>verify</w:t>
      </w:r>
      <w:r w:rsidR="0087612C" w:rsidRPr="00C05367">
        <w:rPr>
          <w:rFonts w:hint="eastAsia"/>
          <w:lang w:eastAsia="zh-CN"/>
        </w:rPr>
        <w:t xml:space="preserve"> </w:t>
      </w:r>
      <w:r w:rsidRPr="00C05367">
        <w:t>the</w:t>
      </w:r>
      <w:r w:rsidR="0087612C" w:rsidRPr="00C05367">
        <w:rPr>
          <w:rFonts w:hint="eastAsia"/>
          <w:lang w:eastAsia="zh-CN"/>
        </w:rPr>
        <w:t xml:space="preserve"> </w:t>
      </w:r>
      <w:r w:rsidRPr="00C05367">
        <w:t>normality</w:t>
      </w:r>
      <w:r w:rsidR="0087612C" w:rsidRPr="00C05367">
        <w:rPr>
          <w:rFonts w:hint="eastAsia"/>
          <w:lang w:eastAsia="zh-CN"/>
        </w:rPr>
        <w:t xml:space="preserve"> </w:t>
      </w:r>
      <w:r w:rsidRPr="00C05367">
        <w:t>of</w:t>
      </w:r>
      <w:r w:rsidR="0087612C" w:rsidRPr="00C05367">
        <w:rPr>
          <w:rFonts w:hint="eastAsia"/>
          <w:lang w:eastAsia="zh-CN"/>
        </w:rPr>
        <w:t xml:space="preserve"> </w:t>
      </w:r>
      <w:r w:rsidRPr="00C05367">
        <w:t>distributio</w:t>
      </w:r>
      <w:r w:rsidR="0087612C" w:rsidRPr="00C05367">
        <w:t>n Q</w:t>
      </w:r>
      <w:r w:rsidRPr="00C05367">
        <w:t>uantitative</w:t>
      </w:r>
      <w:r w:rsidR="0087612C" w:rsidRPr="00C05367">
        <w:rPr>
          <w:rFonts w:hint="eastAsia"/>
          <w:lang w:eastAsia="zh-CN"/>
        </w:rPr>
        <w:t xml:space="preserve"> </w:t>
      </w:r>
      <w:r w:rsidRPr="00C05367">
        <w:t>data</w:t>
      </w:r>
      <w:r w:rsidR="0087612C" w:rsidRPr="00C05367">
        <w:rPr>
          <w:rFonts w:hint="eastAsia"/>
          <w:lang w:eastAsia="zh-CN"/>
        </w:rPr>
        <w:t xml:space="preserve"> </w:t>
      </w:r>
      <w:r w:rsidRPr="00C05367">
        <w:t>were</w:t>
      </w:r>
      <w:r w:rsidR="0087612C" w:rsidRPr="00C05367">
        <w:rPr>
          <w:rFonts w:hint="eastAsia"/>
          <w:lang w:eastAsia="zh-CN"/>
        </w:rPr>
        <w:t xml:space="preserve"> </w:t>
      </w:r>
      <w:r w:rsidRPr="00C05367">
        <w:t>described</w:t>
      </w:r>
      <w:r w:rsidR="0087612C" w:rsidRPr="00C05367">
        <w:rPr>
          <w:rFonts w:hint="eastAsia"/>
          <w:lang w:eastAsia="zh-CN"/>
        </w:rPr>
        <w:t xml:space="preserve"> </w:t>
      </w:r>
      <w:r w:rsidRPr="00C05367">
        <w:t>using range (minimum</w:t>
      </w:r>
      <w:r w:rsidR="00EF2FE9" w:rsidRPr="00C05367">
        <w:t xml:space="preserve"> </w:t>
      </w:r>
      <w:r w:rsidRPr="00C05367">
        <w:t>and</w:t>
      </w:r>
      <w:r w:rsidR="00EF2FE9" w:rsidRPr="00C05367">
        <w:t xml:space="preserve"> </w:t>
      </w:r>
      <w:r w:rsidRPr="00C05367">
        <w:t>maximum),</w:t>
      </w:r>
      <w:r w:rsidR="00EF2FE9" w:rsidRPr="00C05367">
        <w:t xml:space="preserve"> </w:t>
      </w:r>
      <w:r w:rsidRPr="00C05367">
        <w:t>mean, standard</w:t>
      </w:r>
      <w:r w:rsidR="00EF2FE9" w:rsidRPr="00C05367">
        <w:t xml:space="preserve"> </w:t>
      </w:r>
      <w:r w:rsidRPr="00C05367">
        <w:t>deviation</w:t>
      </w:r>
      <w:r w:rsidR="00EF2FE9" w:rsidRPr="00C05367">
        <w:t xml:space="preserve"> </w:t>
      </w:r>
      <w:r w:rsidRPr="00C05367">
        <w:t>and median. Significance</w:t>
      </w:r>
      <w:r w:rsidR="0087612C" w:rsidRPr="00C05367">
        <w:rPr>
          <w:rFonts w:hint="eastAsia"/>
          <w:lang w:eastAsia="zh-CN"/>
        </w:rPr>
        <w:t xml:space="preserve"> </w:t>
      </w:r>
      <w:r w:rsidRPr="00C05367">
        <w:t>of</w:t>
      </w:r>
      <w:r w:rsidR="0087612C" w:rsidRPr="00C05367">
        <w:rPr>
          <w:rFonts w:hint="eastAsia"/>
          <w:lang w:eastAsia="zh-CN"/>
        </w:rPr>
        <w:t xml:space="preserve"> </w:t>
      </w:r>
      <w:r w:rsidRPr="00C05367">
        <w:t>the</w:t>
      </w:r>
      <w:r w:rsidR="0087612C" w:rsidRPr="00C05367">
        <w:rPr>
          <w:rFonts w:hint="eastAsia"/>
          <w:lang w:eastAsia="zh-CN"/>
        </w:rPr>
        <w:t xml:space="preserve"> </w:t>
      </w:r>
      <w:r w:rsidRPr="00C05367">
        <w:t>obtained</w:t>
      </w:r>
      <w:r w:rsidR="0087612C" w:rsidRPr="00C05367">
        <w:rPr>
          <w:rFonts w:hint="eastAsia"/>
          <w:lang w:eastAsia="zh-CN"/>
        </w:rPr>
        <w:t xml:space="preserve"> </w:t>
      </w:r>
      <w:r w:rsidRPr="00C05367">
        <w:t>results</w:t>
      </w:r>
      <w:r w:rsidR="0087612C" w:rsidRPr="00C05367">
        <w:rPr>
          <w:rFonts w:hint="eastAsia"/>
          <w:lang w:eastAsia="zh-CN"/>
        </w:rPr>
        <w:t xml:space="preserve"> </w:t>
      </w:r>
      <w:r w:rsidRPr="00C05367">
        <w:t>was</w:t>
      </w:r>
      <w:r w:rsidR="0087612C" w:rsidRPr="00C05367">
        <w:rPr>
          <w:rFonts w:hint="eastAsia"/>
          <w:lang w:eastAsia="zh-CN"/>
        </w:rPr>
        <w:t xml:space="preserve"> </w:t>
      </w:r>
      <w:r w:rsidRPr="00C05367">
        <w:t>judged</w:t>
      </w:r>
      <w:r w:rsidR="0087612C" w:rsidRPr="00C05367">
        <w:rPr>
          <w:rFonts w:hint="eastAsia"/>
          <w:lang w:eastAsia="zh-CN"/>
        </w:rPr>
        <w:t xml:space="preserve"> </w:t>
      </w:r>
      <w:r w:rsidRPr="00C05367">
        <w:t>at</w:t>
      </w:r>
      <w:r w:rsidR="0087612C" w:rsidRPr="00C05367">
        <w:rPr>
          <w:rFonts w:hint="eastAsia"/>
          <w:lang w:eastAsia="zh-CN"/>
        </w:rPr>
        <w:t xml:space="preserve"> </w:t>
      </w:r>
      <w:r w:rsidRPr="00C05367">
        <w:t>the5%level</w:t>
      </w:r>
      <w:r w:rsidR="0087612C" w:rsidRPr="00C05367">
        <w:t>. T</w:t>
      </w:r>
      <w:r w:rsidRPr="00C05367">
        <w:t>he</w:t>
      </w:r>
      <w:r w:rsidR="0087612C" w:rsidRPr="00C05367">
        <w:rPr>
          <w:rFonts w:hint="eastAsia"/>
          <w:lang w:eastAsia="zh-CN"/>
        </w:rPr>
        <w:t xml:space="preserve"> </w:t>
      </w:r>
      <w:r w:rsidRPr="00C05367">
        <w:t>used</w:t>
      </w:r>
      <w:r w:rsidR="0087612C" w:rsidRPr="00C05367">
        <w:rPr>
          <w:rFonts w:hint="eastAsia"/>
          <w:lang w:eastAsia="zh-CN"/>
        </w:rPr>
        <w:t xml:space="preserve"> </w:t>
      </w:r>
      <w:r w:rsidRPr="00C05367">
        <w:t>tests</w:t>
      </w:r>
      <w:r w:rsidR="0087612C" w:rsidRPr="00C05367">
        <w:rPr>
          <w:rFonts w:hint="eastAsia"/>
          <w:lang w:eastAsia="zh-CN"/>
        </w:rPr>
        <w:t xml:space="preserve"> </w:t>
      </w:r>
      <w:r w:rsidRPr="00C05367">
        <w:t>wer</w:t>
      </w:r>
      <w:r w:rsidR="0087612C" w:rsidRPr="00C05367">
        <w:t>e C</w:t>
      </w:r>
      <w:r w:rsidRPr="00C05367">
        <w:t>hi-square</w:t>
      </w:r>
      <w:r w:rsidR="00C05367" w:rsidRPr="00C05367">
        <w:rPr>
          <w:rFonts w:hint="eastAsia"/>
          <w:lang w:eastAsia="zh-CN"/>
        </w:rPr>
        <w:t xml:space="preserve"> </w:t>
      </w:r>
      <w:r w:rsidRPr="00C05367">
        <w:t>test (</w:t>
      </w:r>
      <w:r w:rsidRPr="00C05367">
        <w:rPr>
          <w:rFonts w:eastAsia="Calibri"/>
        </w:rPr>
        <w:t>2</w:t>
      </w:r>
      <w:r w:rsidRPr="00C05367">
        <w:t>)</w:t>
      </w:r>
      <w:r w:rsidR="00CA4E43" w:rsidRPr="00C05367">
        <w:t>, Fisher’s</w:t>
      </w:r>
      <w:r w:rsidRPr="00C05367">
        <w:t xml:space="preserve"> Exact or </w:t>
      </w:r>
      <w:r w:rsidR="00EF2FE9" w:rsidRPr="00C05367">
        <w:t>Monte Carlo correction</w:t>
      </w:r>
      <w:r w:rsidRPr="00C05367">
        <w:t xml:space="preserve">, </w:t>
      </w:r>
      <w:r w:rsidR="00EF2FE9" w:rsidRPr="00C05367">
        <w:t>Student t</w:t>
      </w:r>
      <w:r w:rsidRPr="00C05367">
        <w:t xml:space="preserve">-test, </w:t>
      </w:r>
      <w:r w:rsidR="00EF2FE9" w:rsidRPr="00C05367">
        <w:t>Mann Whitney test</w:t>
      </w:r>
      <w:r w:rsidRPr="00C05367">
        <w:t xml:space="preserve"> </w:t>
      </w:r>
      <w:r w:rsidR="00EF2FE9" w:rsidRPr="00C05367">
        <w:t>and Kruskal</w:t>
      </w:r>
      <w:r w:rsidRPr="00C05367">
        <w:t xml:space="preserve"> Wallis test.</w:t>
      </w:r>
    </w:p>
    <w:p w:rsidR="0062468B" w:rsidRPr="00C05367" w:rsidRDefault="0062468B" w:rsidP="001878B7">
      <w:pPr>
        <w:snapToGrid w:val="0"/>
        <w:ind w:firstLine="425"/>
        <w:jc w:val="both"/>
      </w:pPr>
    </w:p>
    <w:p w:rsidR="0062468B" w:rsidRPr="00C05367" w:rsidRDefault="00984F2D" w:rsidP="001878B7">
      <w:pPr>
        <w:snapToGrid w:val="0"/>
        <w:jc w:val="both"/>
      </w:pPr>
      <w:r w:rsidRPr="00C05367">
        <w:rPr>
          <w:b/>
        </w:rPr>
        <w:t xml:space="preserve">3. </w:t>
      </w:r>
      <w:r w:rsidR="007A1135" w:rsidRPr="00C05367">
        <w:rPr>
          <w:b/>
        </w:rPr>
        <w:t>Results:</w:t>
      </w:r>
    </w:p>
    <w:p w:rsidR="00EF2FE9" w:rsidRPr="00C05367" w:rsidRDefault="007A1135" w:rsidP="001878B7">
      <w:pPr>
        <w:snapToGrid w:val="0"/>
        <w:jc w:val="both"/>
      </w:pPr>
      <w:r w:rsidRPr="00C05367">
        <w:rPr>
          <w:b/>
        </w:rPr>
        <w:t>Patient</w:t>
      </w:r>
      <w:r w:rsidR="00EF2FE9" w:rsidRPr="00C05367">
        <w:rPr>
          <w:b/>
        </w:rPr>
        <w:t xml:space="preserve"> </w:t>
      </w:r>
      <w:r w:rsidRPr="00C05367">
        <w:rPr>
          <w:b/>
        </w:rPr>
        <w:t>demographics:</w:t>
      </w:r>
    </w:p>
    <w:p w:rsidR="0062468B" w:rsidRPr="00C05367" w:rsidRDefault="007A1135" w:rsidP="001878B7">
      <w:pPr>
        <w:snapToGrid w:val="0"/>
        <w:ind w:firstLine="425"/>
        <w:jc w:val="both"/>
        <w:rPr>
          <w:lang w:eastAsia="zh-CN"/>
        </w:rPr>
      </w:pPr>
      <w:r w:rsidRPr="00C05367">
        <w:t>The</w:t>
      </w:r>
      <w:r w:rsidR="00EF2FE9" w:rsidRPr="00C05367">
        <w:t xml:space="preserve"> </w:t>
      </w:r>
      <w:r w:rsidRPr="00C05367">
        <w:t>mean</w:t>
      </w:r>
      <w:r w:rsidR="00EF2FE9" w:rsidRPr="00C05367">
        <w:t xml:space="preserve"> </w:t>
      </w:r>
      <w:r w:rsidRPr="00C05367">
        <w:t>age</w:t>
      </w:r>
      <w:r w:rsidR="00EF2FE9" w:rsidRPr="00C05367">
        <w:t xml:space="preserve"> </w:t>
      </w:r>
      <w:r w:rsidRPr="00C05367">
        <w:t>in</w:t>
      </w:r>
      <w:r w:rsidR="00EF2FE9" w:rsidRPr="00C05367">
        <w:t xml:space="preserve"> </w:t>
      </w:r>
      <w:r w:rsidRPr="00C05367">
        <w:t>group</w:t>
      </w:r>
      <w:r w:rsidR="00EF2FE9" w:rsidRPr="00C05367">
        <w:t xml:space="preserve"> </w:t>
      </w:r>
      <w:r w:rsidRPr="00C05367">
        <w:t>I</w:t>
      </w:r>
      <w:r w:rsidR="00EF2FE9" w:rsidRPr="00C05367">
        <w:t xml:space="preserve"> </w:t>
      </w:r>
      <w:r w:rsidRPr="00C05367">
        <w:t>was</w:t>
      </w:r>
      <w:r w:rsidR="00EF2FE9" w:rsidRPr="00C05367">
        <w:t xml:space="preserve"> </w:t>
      </w:r>
      <w:r w:rsidRPr="00C05367">
        <w:t>56±10.735</w:t>
      </w:r>
      <w:r w:rsidR="00EF2FE9" w:rsidRPr="00C05367">
        <w:t xml:space="preserve"> </w:t>
      </w:r>
      <w:r w:rsidRPr="00C05367">
        <w:t>years</w:t>
      </w:r>
      <w:r w:rsidR="00EF2FE9" w:rsidRPr="00C05367">
        <w:t xml:space="preserve"> </w:t>
      </w:r>
      <w:r w:rsidRPr="00C05367">
        <w:t>and</w:t>
      </w:r>
      <w:r w:rsidR="00EF2FE9" w:rsidRPr="00C05367">
        <w:t xml:space="preserve"> </w:t>
      </w:r>
      <w:r w:rsidRPr="00C05367">
        <w:t>55.24 ±9.22</w:t>
      </w:r>
      <w:r w:rsidR="00EF2FE9" w:rsidRPr="00C05367">
        <w:t xml:space="preserve"> </w:t>
      </w:r>
      <w:r w:rsidRPr="00C05367">
        <w:t>years</w:t>
      </w:r>
      <w:r w:rsidR="00EF2FE9" w:rsidRPr="00C05367">
        <w:t xml:space="preserve"> </w:t>
      </w:r>
      <w:r w:rsidRPr="00C05367">
        <w:t>in group</w:t>
      </w:r>
      <w:r w:rsidR="00EF2FE9" w:rsidRPr="00C05367">
        <w:t xml:space="preserve"> </w:t>
      </w:r>
      <w:r w:rsidRPr="00C05367">
        <w:t>II</w:t>
      </w:r>
      <w:r w:rsidR="00EF2FE9" w:rsidRPr="00C05367">
        <w:t xml:space="preserve"> </w:t>
      </w:r>
      <w:r w:rsidRPr="00C05367">
        <w:t>without</w:t>
      </w:r>
      <w:r w:rsidR="00EF2FE9" w:rsidRPr="00C05367">
        <w:t xml:space="preserve"> </w:t>
      </w:r>
      <w:r w:rsidRPr="00C05367">
        <w:t>statistical</w:t>
      </w:r>
      <w:r w:rsidR="00EF2FE9" w:rsidRPr="00C05367">
        <w:t xml:space="preserve"> </w:t>
      </w:r>
      <w:r w:rsidRPr="00C05367">
        <w:t>significant</w:t>
      </w:r>
      <w:r w:rsidR="00EF2FE9" w:rsidRPr="00C05367">
        <w:t xml:space="preserve"> </w:t>
      </w:r>
      <w:r w:rsidRPr="00C05367">
        <w:t>difference</w:t>
      </w:r>
      <w:r w:rsidR="00EF2FE9" w:rsidRPr="00C05367">
        <w:t xml:space="preserve"> </w:t>
      </w:r>
      <w:r w:rsidRPr="00C05367">
        <w:t>(p=0.107).</w:t>
      </w:r>
      <w:r w:rsidR="00E06019" w:rsidRPr="00C05367">
        <w:t xml:space="preserve"> </w:t>
      </w:r>
      <w:r w:rsidRPr="00C05367">
        <w:t>No</w:t>
      </w:r>
      <w:r w:rsidR="00EF2FE9" w:rsidRPr="00C05367">
        <w:t xml:space="preserve"> </w:t>
      </w:r>
      <w:r w:rsidRPr="00C05367">
        <w:t>statistical</w:t>
      </w:r>
      <w:r w:rsidR="00EF2FE9" w:rsidRPr="00C05367">
        <w:t xml:space="preserve"> </w:t>
      </w:r>
      <w:r w:rsidRPr="00C05367">
        <w:t>significant</w:t>
      </w:r>
      <w:r w:rsidR="00EF2FE9" w:rsidRPr="00C05367">
        <w:t xml:space="preserve"> </w:t>
      </w:r>
      <w:r w:rsidRPr="00C05367">
        <w:t>differences</w:t>
      </w:r>
      <w:r w:rsidR="00EF2FE9" w:rsidRPr="00C05367">
        <w:t xml:space="preserve"> </w:t>
      </w:r>
      <w:r w:rsidRPr="00C05367">
        <w:t>between</w:t>
      </w:r>
      <w:r w:rsidR="00EF2FE9" w:rsidRPr="00C05367">
        <w:t xml:space="preserve"> </w:t>
      </w:r>
      <w:r w:rsidRPr="00C05367">
        <w:t>the</w:t>
      </w:r>
      <w:r w:rsidR="00EF2FE9" w:rsidRPr="00C05367">
        <w:t xml:space="preserve"> </w:t>
      </w:r>
      <w:r w:rsidRPr="00C05367">
        <w:t>two</w:t>
      </w:r>
      <w:r w:rsidR="00EF2FE9" w:rsidRPr="00C05367">
        <w:t xml:space="preserve"> </w:t>
      </w:r>
      <w:r w:rsidRPr="00C05367">
        <w:t>group</w:t>
      </w:r>
      <w:r w:rsidR="00EF2FE9" w:rsidRPr="00C05367">
        <w:t xml:space="preserve"> </w:t>
      </w:r>
      <w:r w:rsidRPr="00C05367">
        <w:t>sin</w:t>
      </w:r>
      <w:r w:rsidR="00EF2FE9" w:rsidRPr="00C05367">
        <w:t xml:space="preserve"> </w:t>
      </w:r>
      <w:r w:rsidRPr="00C05367">
        <w:t>regarding</w:t>
      </w:r>
      <w:r w:rsidR="00EF2FE9" w:rsidRPr="00C05367">
        <w:t xml:space="preserve"> </w:t>
      </w:r>
      <w:r w:rsidRPr="00C05367">
        <w:t>to</w:t>
      </w:r>
      <w:r w:rsidR="00EF2FE9" w:rsidRPr="00C05367">
        <w:t xml:space="preserve"> </w:t>
      </w:r>
      <w:r w:rsidRPr="00C05367">
        <w:t>gender</w:t>
      </w:r>
      <w:r w:rsidR="00EF2FE9" w:rsidRPr="00C05367">
        <w:t xml:space="preserve"> </w:t>
      </w:r>
      <w:r w:rsidR="0087612C" w:rsidRPr="00C05367">
        <w:t>(p=0.107)</w:t>
      </w:r>
    </w:p>
    <w:p w:rsidR="0062468B" w:rsidRPr="00C05367" w:rsidRDefault="007A1135" w:rsidP="001878B7">
      <w:pPr>
        <w:snapToGrid w:val="0"/>
        <w:ind w:firstLine="425"/>
        <w:jc w:val="both"/>
      </w:pPr>
      <w:r w:rsidRPr="00C05367">
        <w:t>Prevalence</w:t>
      </w:r>
      <w:r w:rsidR="00EF2FE9" w:rsidRPr="00C05367">
        <w:t xml:space="preserve"> </w:t>
      </w:r>
      <w:r w:rsidRPr="00C05367">
        <w:t>of</w:t>
      </w:r>
      <w:r w:rsidR="00EF2FE9" w:rsidRPr="00C05367">
        <w:t xml:space="preserve"> </w:t>
      </w:r>
      <w:r w:rsidRPr="00C05367">
        <w:t>risk</w:t>
      </w:r>
      <w:r w:rsidR="00EF2FE9" w:rsidRPr="00C05367">
        <w:t xml:space="preserve"> </w:t>
      </w:r>
      <w:r w:rsidRPr="00C05367">
        <w:t>factors: there</w:t>
      </w:r>
      <w:r w:rsidR="00EF2FE9" w:rsidRPr="00C05367">
        <w:t xml:space="preserve"> </w:t>
      </w:r>
      <w:r w:rsidRPr="00C05367">
        <w:t>was</w:t>
      </w:r>
      <w:r w:rsidR="00EF2FE9" w:rsidRPr="00C05367">
        <w:t xml:space="preserve"> </w:t>
      </w:r>
      <w:r w:rsidRPr="00C05367">
        <w:t>no</w:t>
      </w:r>
      <w:r w:rsidR="00EF2FE9" w:rsidRPr="00C05367">
        <w:t xml:space="preserve"> </w:t>
      </w:r>
      <w:r w:rsidRPr="00C05367">
        <w:t>statistically significant difference between the two groups regarding</w:t>
      </w:r>
      <w:r w:rsidR="00E06019" w:rsidRPr="00C05367">
        <w:t xml:space="preserve"> </w:t>
      </w:r>
      <w:r w:rsidR="00EF2FE9" w:rsidRPr="00C05367">
        <w:t>coronary artery</w:t>
      </w:r>
      <w:r w:rsidR="00E06019" w:rsidRPr="00C05367">
        <w:t xml:space="preserve"> </w:t>
      </w:r>
      <w:r w:rsidRPr="00C05367">
        <w:t>disease</w:t>
      </w:r>
      <w:r w:rsidR="00E06019" w:rsidRPr="00C05367">
        <w:t xml:space="preserve"> </w:t>
      </w:r>
      <w:r w:rsidRPr="00C05367">
        <w:t>risk</w:t>
      </w:r>
      <w:r w:rsidR="00E06019" w:rsidRPr="00C05367">
        <w:t xml:space="preserve"> </w:t>
      </w:r>
      <w:r w:rsidRPr="00C05367">
        <w:t>factor (diabetes mellitus, hypertension,</w:t>
      </w:r>
      <w:r w:rsidR="00FA4916" w:rsidRPr="00C05367">
        <w:t xml:space="preserve"> </w:t>
      </w:r>
      <w:r w:rsidRPr="00C05367">
        <w:t>dyslipidemia</w:t>
      </w:r>
      <w:r w:rsidR="00FA4916" w:rsidRPr="00C05367">
        <w:t xml:space="preserve"> </w:t>
      </w:r>
      <w:r w:rsidRPr="00C05367">
        <w:t>and</w:t>
      </w:r>
      <w:r w:rsidR="00FA4916" w:rsidRPr="00C05367">
        <w:t xml:space="preserve"> </w:t>
      </w:r>
      <w:r w:rsidRPr="00C05367">
        <w:t>smoking</w:t>
      </w:r>
      <w:r w:rsidR="00FA4916" w:rsidRPr="00C05367">
        <w:t xml:space="preserve"> </w:t>
      </w:r>
      <w:r w:rsidRPr="00C05367">
        <w:t>status)</w:t>
      </w:r>
      <w:r w:rsidR="00EF2FE9" w:rsidRPr="00C05367">
        <w:t xml:space="preserve"> </w:t>
      </w:r>
      <w:r w:rsidRPr="00C05367">
        <w:t>(Table 1)</w:t>
      </w:r>
    </w:p>
    <w:p w:rsidR="00C05367" w:rsidRPr="00C05367" w:rsidRDefault="00C05367" w:rsidP="001878B7">
      <w:pPr>
        <w:snapToGrid w:val="0"/>
        <w:jc w:val="both"/>
        <w:rPr>
          <w:rFonts w:hint="eastAsia"/>
          <w:b/>
          <w:lang w:eastAsia="zh-CN"/>
        </w:rPr>
      </w:pPr>
    </w:p>
    <w:p w:rsidR="00FA4916" w:rsidRPr="00C05367" w:rsidRDefault="007A1135" w:rsidP="001878B7">
      <w:pPr>
        <w:snapToGrid w:val="0"/>
        <w:jc w:val="both"/>
      </w:pPr>
      <w:r w:rsidRPr="00C05367">
        <w:rPr>
          <w:b/>
        </w:rPr>
        <w:t>Clinical</w:t>
      </w:r>
      <w:r w:rsidR="00FA4916" w:rsidRPr="00C05367">
        <w:rPr>
          <w:b/>
        </w:rPr>
        <w:t xml:space="preserve"> </w:t>
      </w:r>
      <w:r w:rsidRPr="00C05367">
        <w:rPr>
          <w:b/>
        </w:rPr>
        <w:t>presentation:</w:t>
      </w:r>
      <w:r w:rsidR="00FA4916" w:rsidRPr="00C05367">
        <w:t xml:space="preserve"> </w:t>
      </w:r>
    </w:p>
    <w:p w:rsidR="0062468B" w:rsidRPr="00C05367" w:rsidRDefault="00FA4916" w:rsidP="001878B7">
      <w:pPr>
        <w:snapToGrid w:val="0"/>
        <w:ind w:firstLine="425"/>
        <w:jc w:val="both"/>
      </w:pPr>
      <w:r w:rsidRPr="00C05367">
        <w:t xml:space="preserve">According to </w:t>
      </w:r>
      <w:r w:rsidR="007A1135" w:rsidRPr="00C05367">
        <w:t>time from</w:t>
      </w:r>
      <w:r w:rsidRPr="00C05367">
        <w:t xml:space="preserve"> </w:t>
      </w:r>
      <w:r w:rsidR="007A1135" w:rsidRPr="00C05367">
        <w:t>onset</w:t>
      </w:r>
      <w:r w:rsidRPr="00C05367">
        <w:t xml:space="preserve"> </w:t>
      </w:r>
      <w:r w:rsidR="007A1135" w:rsidRPr="00C05367">
        <w:t>of</w:t>
      </w:r>
      <w:r w:rsidRPr="00C05367">
        <w:t xml:space="preserve"> </w:t>
      </w:r>
      <w:r w:rsidR="007A1135" w:rsidRPr="00C05367">
        <w:t>symptoms</w:t>
      </w:r>
      <w:r w:rsidRPr="00C05367">
        <w:t xml:space="preserve"> </w:t>
      </w:r>
      <w:r w:rsidR="007A1135" w:rsidRPr="00C05367">
        <w:t>to</w:t>
      </w:r>
      <w:r w:rsidRPr="00C05367">
        <w:t xml:space="preserve"> </w:t>
      </w:r>
      <w:r w:rsidR="007A1135" w:rsidRPr="00C05367">
        <w:t>first</w:t>
      </w:r>
      <w:r w:rsidRPr="00C05367">
        <w:t xml:space="preserve"> </w:t>
      </w:r>
      <w:r w:rsidR="007A1135" w:rsidRPr="00C05367">
        <w:t>medical</w:t>
      </w:r>
      <w:r w:rsidRPr="00C05367">
        <w:t xml:space="preserve"> </w:t>
      </w:r>
      <w:r w:rsidR="007A1135" w:rsidRPr="00C05367">
        <w:t>contact (FMC), the symptoms</w:t>
      </w:r>
      <w:r w:rsidRPr="00C05367">
        <w:t xml:space="preserve"> </w:t>
      </w:r>
      <w:r w:rsidR="007A1135" w:rsidRPr="00C05367">
        <w:t>duration</w:t>
      </w:r>
      <w:r w:rsidRPr="00C05367">
        <w:t xml:space="preserve"> </w:t>
      </w:r>
      <w:r w:rsidR="007A1135" w:rsidRPr="00C05367">
        <w:t>of</w:t>
      </w:r>
      <w:r w:rsidRPr="00C05367">
        <w:t xml:space="preserve"> </w:t>
      </w:r>
      <w:r w:rsidR="007A1135" w:rsidRPr="00C05367">
        <w:t>the</w:t>
      </w:r>
      <w:r w:rsidRPr="00C05367">
        <w:t xml:space="preserve"> </w:t>
      </w:r>
      <w:r w:rsidR="007A1135" w:rsidRPr="00C05367">
        <w:t>study</w:t>
      </w:r>
      <w:r w:rsidRPr="00C05367">
        <w:t xml:space="preserve"> </w:t>
      </w:r>
      <w:r w:rsidR="007A1135" w:rsidRPr="00C05367">
        <w:t>population</w:t>
      </w:r>
      <w:r w:rsidRPr="00C05367">
        <w:t xml:space="preserve"> </w:t>
      </w:r>
      <w:r w:rsidR="007A1135" w:rsidRPr="00C05367">
        <w:t>ranged from</w:t>
      </w:r>
      <w:r w:rsidR="00C05367" w:rsidRPr="00C05367">
        <w:rPr>
          <w:rFonts w:hint="eastAsia"/>
          <w:lang w:eastAsia="zh-CN"/>
        </w:rPr>
        <w:t xml:space="preserve"> </w:t>
      </w:r>
      <w:r w:rsidR="007A1135" w:rsidRPr="00C05367">
        <w:t>30</w:t>
      </w:r>
      <w:r w:rsidR="00C05367" w:rsidRPr="00C05367">
        <w:rPr>
          <w:rFonts w:hint="eastAsia"/>
          <w:lang w:eastAsia="zh-CN"/>
        </w:rPr>
        <w:t xml:space="preserve"> </w:t>
      </w:r>
      <w:r w:rsidR="007A1135" w:rsidRPr="00C05367">
        <w:t>minutes to</w:t>
      </w:r>
      <w:r w:rsidR="00C05367" w:rsidRPr="00C05367">
        <w:rPr>
          <w:rFonts w:hint="eastAsia"/>
          <w:lang w:eastAsia="zh-CN"/>
        </w:rPr>
        <w:t xml:space="preserve"> </w:t>
      </w:r>
      <w:r w:rsidR="007A1135" w:rsidRPr="00C05367">
        <w:t>12 hours with</w:t>
      </w:r>
      <w:r w:rsidR="00C05367" w:rsidRPr="00C05367">
        <w:rPr>
          <w:rFonts w:hint="eastAsia"/>
          <w:lang w:eastAsia="zh-CN"/>
        </w:rPr>
        <w:t xml:space="preserve"> </w:t>
      </w:r>
      <w:r w:rsidR="007A1135" w:rsidRPr="00C05367">
        <w:t>median</w:t>
      </w:r>
      <w:r w:rsidR="00C05367" w:rsidRPr="00C05367">
        <w:rPr>
          <w:rFonts w:hint="eastAsia"/>
          <w:lang w:eastAsia="zh-CN"/>
        </w:rPr>
        <w:t xml:space="preserve"> </w:t>
      </w:r>
      <w:r w:rsidR="007A1135" w:rsidRPr="00C05367">
        <w:t>5.5 hrs</w:t>
      </w:r>
      <w:r w:rsidRPr="00C05367">
        <w:t xml:space="preserve"> </w:t>
      </w:r>
      <w:r w:rsidR="007A1135" w:rsidRPr="00C05367">
        <w:t>and</w:t>
      </w:r>
      <w:r w:rsidRPr="00C05367">
        <w:t xml:space="preserve"> </w:t>
      </w:r>
      <w:r w:rsidR="007A1135" w:rsidRPr="00C05367">
        <w:t>4hrs</w:t>
      </w:r>
      <w:r w:rsidRPr="00C05367">
        <w:t xml:space="preserve"> </w:t>
      </w:r>
      <w:r w:rsidR="007A1135" w:rsidRPr="00C05367">
        <w:t>in</w:t>
      </w:r>
      <w:r w:rsidRPr="00C05367">
        <w:t xml:space="preserve"> </w:t>
      </w:r>
      <w:r w:rsidR="007A1135" w:rsidRPr="00C05367">
        <w:t>group</w:t>
      </w:r>
      <w:r w:rsidRPr="00C05367">
        <w:t xml:space="preserve"> </w:t>
      </w:r>
      <w:r w:rsidR="007A1135" w:rsidRPr="00C05367">
        <w:t>I</w:t>
      </w:r>
      <w:r w:rsidRPr="00C05367">
        <w:t xml:space="preserve"> </w:t>
      </w:r>
      <w:r w:rsidR="007A1135" w:rsidRPr="00C05367">
        <w:t>and</w:t>
      </w:r>
      <w:r w:rsidRPr="00C05367">
        <w:t xml:space="preserve"> </w:t>
      </w:r>
      <w:r w:rsidR="007A1135" w:rsidRPr="00C05367">
        <w:t>II</w:t>
      </w:r>
      <w:r w:rsidRPr="00C05367">
        <w:t xml:space="preserve"> </w:t>
      </w:r>
      <w:r w:rsidR="007A1135" w:rsidRPr="00C05367">
        <w:t>respectively</w:t>
      </w:r>
      <w:r w:rsidRPr="00C05367">
        <w:t xml:space="preserve"> </w:t>
      </w:r>
      <w:r w:rsidR="007A1135" w:rsidRPr="00C05367">
        <w:t>(P=0.132), (Table 2).</w:t>
      </w:r>
    </w:p>
    <w:p w:rsidR="0062468B" w:rsidRPr="00C05367" w:rsidRDefault="007A1135" w:rsidP="001878B7">
      <w:pPr>
        <w:snapToGrid w:val="0"/>
        <w:ind w:firstLine="425"/>
        <w:jc w:val="both"/>
      </w:pPr>
      <w:r w:rsidRPr="00C05367">
        <w:t>Most</w:t>
      </w:r>
      <w:r w:rsidR="00FA4916" w:rsidRPr="00C05367">
        <w:t xml:space="preserve"> cases presented</w:t>
      </w:r>
      <w:r w:rsidRPr="00C05367">
        <w:t xml:space="preserve"> by anterior</w:t>
      </w:r>
      <w:r w:rsidR="00FA4916" w:rsidRPr="00C05367">
        <w:t xml:space="preserve"> </w:t>
      </w:r>
      <w:r w:rsidRPr="00C05367">
        <w:t>STEMI,</w:t>
      </w:r>
      <w:r w:rsidR="00FA4916" w:rsidRPr="00C05367">
        <w:t xml:space="preserve"> </w:t>
      </w:r>
      <w:r w:rsidRPr="00C05367">
        <w:t>69 patients (69%)</w:t>
      </w:r>
      <w:r w:rsidR="00FA4916" w:rsidRPr="00C05367">
        <w:t xml:space="preserve"> </w:t>
      </w:r>
      <w:r w:rsidRPr="00C05367">
        <w:t>of</w:t>
      </w:r>
      <w:r w:rsidR="00FA4916" w:rsidRPr="00C05367">
        <w:t xml:space="preserve"> </w:t>
      </w:r>
      <w:r w:rsidRPr="00C05367">
        <w:t>group I</w:t>
      </w:r>
      <w:r w:rsidR="00FA4916" w:rsidRPr="00C05367">
        <w:t xml:space="preserve"> </w:t>
      </w:r>
      <w:r w:rsidRPr="00C05367">
        <w:t>and</w:t>
      </w:r>
      <w:r w:rsidR="00FA4916" w:rsidRPr="00C05367">
        <w:t xml:space="preserve"> </w:t>
      </w:r>
      <w:r w:rsidRPr="00C05367">
        <w:t>60</w:t>
      </w:r>
      <w:r w:rsidR="00FA4916" w:rsidRPr="00C05367">
        <w:t xml:space="preserve"> </w:t>
      </w:r>
      <w:r w:rsidRPr="00C05367">
        <w:t>patients</w:t>
      </w:r>
      <w:r w:rsidR="00FA4916" w:rsidRPr="00C05367">
        <w:t xml:space="preserve"> </w:t>
      </w:r>
      <w:r w:rsidRPr="00C05367">
        <w:t>(60%)</w:t>
      </w:r>
      <w:r w:rsidR="00FA4916" w:rsidRPr="00C05367">
        <w:t xml:space="preserve"> </w:t>
      </w:r>
      <w:r w:rsidRPr="00C05367">
        <w:t>of</w:t>
      </w:r>
      <w:r w:rsidR="00FA4916" w:rsidRPr="00C05367">
        <w:t xml:space="preserve"> </w:t>
      </w:r>
      <w:r w:rsidRPr="00C05367">
        <w:t>group</w:t>
      </w:r>
      <w:r w:rsidR="00FA4916" w:rsidRPr="00C05367">
        <w:t xml:space="preserve"> </w:t>
      </w:r>
      <w:r w:rsidRPr="00C05367">
        <w:t>II. Sixty-</w:t>
      </w:r>
      <w:r w:rsidR="00FA4916" w:rsidRPr="00C05367">
        <w:t>sex patients were diagnosed by</w:t>
      </w:r>
      <w:r w:rsidR="00E06019" w:rsidRPr="00C05367">
        <w:t xml:space="preserve"> </w:t>
      </w:r>
      <w:r w:rsidRPr="00C05367">
        <w:t>inferior STEMI,</w:t>
      </w:r>
      <w:r w:rsidR="00FA4916" w:rsidRPr="00C05367">
        <w:t xml:space="preserve"> </w:t>
      </w:r>
      <w:r w:rsidRPr="00C05367">
        <w:t>28patients (28%)</w:t>
      </w:r>
      <w:r w:rsidR="00FA4916" w:rsidRPr="00C05367">
        <w:t xml:space="preserve"> </w:t>
      </w:r>
      <w:r w:rsidRPr="00C05367">
        <w:t>of</w:t>
      </w:r>
      <w:r w:rsidR="00FA4916" w:rsidRPr="00C05367">
        <w:t xml:space="preserve"> </w:t>
      </w:r>
      <w:r w:rsidRPr="00C05367">
        <w:t>group</w:t>
      </w:r>
      <w:r w:rsidR="00FA4916" w:rsidRPr="00C05367">
        <w:t xml:space="preserve"> </w:t>
      </w:r>
      <w:r w:rsidRPr="00C05367">
        <w:t>I</w:t>
      </w:r>
      <w:r w:rsidR="00FA4916" w:rsidRPr="00C05367">
        <w:t xml:space="preserve"> </w:t>
      </w:r>
      <w:r w:rsidRPr="00C05367">
        <w:t>and</w:t>
      </w:r>
      <w:r w:rsidR="00FA4916" w:rsidRPr="00C05367">
        <w:t xml:space="preserve"> </w:t>
      </w:r>
      <w:r w:rsidRPr="00C05367">
        <w:t>37</w:t>
      </w:r>
      <w:r w:rsidR="00FA4916" w:rsidRPr="00C05367">
        <w:t xml:space="preserve"> </w:t>
      </w:r>
      <w:r w:rsidRPr="00C05367">
        <w:t>patients (37%)</w:t>
      </w:r>
      <w:r w:rsidR="00FA4916" w:rsidRPr="00C05367">
        <w:t xml:space="preserve"> </w:t>
      </w:r>
      <w:r w:rsidRPr="00C05367">
        <w:t>of group</w:t>
      </w:r>
      <w:r w:rsidR="00FA4916" w:rsidRPr="00C05367">
        <w:t xml:space="preserve"> </w:t>
      </w:r>
      <w:r w:rsidRPr="00C05367">
        <w:t>II.</w:t>
      </w:r>
      <w:r w:rsidR="00FA4916" w:rsidRPr="00C05367">
        <w:t xml:space="preserve"> </w:t>
      </w:r>
      <w:r w:rsidRPr="00C05367">
        <w:t>Six</w:t>
      </w:r>
      <w:r w:rsidR="00FA4916" w:rsidRPr="00C05367">
        <w:t xml:space="preserve"> </w:t>
      </w:r>
      <w:r w:rsidRPr="00C05367">
        <w:t>patients</w:t>
      </w:r>
      <w:r w:rsidR="00FA4916" w:rsidRPr="00C05367">
        <w:t xml:space="preserve"> </w:t>
      </w:r>
      <w:r w:rsidRPr="00C05367">
        <w:t>were</w:t>
      </w:r>
      <w:r w:rsidR="00FA4916" w:rsidRPr="00C05367">
        <w:t xml:space="preserve"> </w:t>
      </w:r>
      <w:r w:rsidRPr="00C05367">
        <w:t>diagnosed</w:t>
      </w:r>
      <w:r w:rsidR="00FA4916" w:rsidRPr="00C05367">
        <w:t xml:space="preserve"> </w:t>
      </w:r>
      <w:r w:rsidRPr="00C05367">
        <w:t>by lateral</w:t>
      </w:r>
      <w:r w:rsidR="00FA4916" w:rsidRPr="00C05367">
        <w:t xml:space="preserve"> </w:t>
      </w:r>
      <w:r w:rsidRPr="00C05367">
        <w:t>STEMI,</w:t>
      </w:r>
      <w:r w:rsidR="00FA4916" w:rsidRPr="00C05367">
        <w:t xml:space="preserve"> </w:t>
      </w:r>
      <w:r w:rsidRPr="00C05367">
        <w:t>3</w:t>
      </w:r>
      <w:r w:rsidR="00FA4916" w:rsidRPr="00C05367">
        <w:t xml:space="preserve"> </w:t>
      </w:r>
      <w:r w:rsidRPr="00C05367">
        <w:t>patient</w:t>
      </w:r>
      <w:r w:rsidR="00E06019" w:rsidRPr="00C05367">
        <w:t>s (</w:t>
      </w:r>
      <w:r w:rsidRPr="00C05367">
        <w:t>3%)</w:t>
      </w:r>
      <w:r w:rsidR="00FA4916" w:rsidRPr="00C05367">
        <w:t xml:space="preserve"> </w:t>
      </w:r>
      <w:r w:rsidRPr="00C05367">
        <w:t>of</w:t>
      </w:r>
      <w:r w:rsidR="00FA4916" w:rsidRPr="00C05367">
        <w:t xml:space="preserve"> </w:t>
      </w:r>
      <w:r w:rsidRPr="00C05367">
        <w:t>both</w:t>
      </w:r>
      <w:r w:rsidR="00FA4916" w:rsidRPr="00C05367">
        <w:t xml:space="preserve"> </w:t>
      </w:r>
      <w:r w:rsidRPr="00C05367">
        <w:t>group</w:t>
      </w:r>
      <w:r w:rsidR="00FA4916" w:rsidRPr="00C05367">
        <w:t xml:space="preserve"> </w:t>
      </w:r>
      <w:r w:rsidRPr="00C05367">
        <w:t>I and group II (Table 2).</w:t>
      </w:r>
    </w:p>
    <w:p w:rsidR="0062468B" w:rsidRPr="00C05367" w:rsidRDefault="007A1135" w:rsidP="001878B7">
      <w:pPr>
        <w:snapToGrid w:val="0"/>
        <w:ind w:firstLine="425"/>
        <w:jc w:val="both"/>
      </w:pPr>
      <w:r w:rsidRPr="00C05367">
        <w:t>In</w:t>
      </w:r>
      <w:r w:rsidR="00FA4916" w:rsidRPr="00C05367">
        <w:t xml:space="preserve"> </w:t>
      </w:r>
      <w:r w:rsidRPr="00C05367">
        <w:t>group I,69</w:t>
      </w:r>
      <w:r w:rsidR="00FA4916" w:rsidRPr="00C05367">
        <w:t xml:space="preserve"> </w:t>
      </w:r>
      <w:r w:rsidRPr="00C05367">
        <w:t>patients</w:t>
      </w:r>
      <w:r w:rsidR="00FA4916" w:rsidRPr="00C05367">
        <w:t xml:space="preserve"> </w:t>
      </w:r>
      <w:r w:rsidRPr="00C05367">
        <w:t>presented with</w:t>
      </w:r>
      <w:r w:rsidR="00FA4916" w:rsidRPr="00C05367">
        <w:t xml:space="preserve"> </w:t>
      </w:r>
      <w:r w:rsidRPr="00C05367">
        <w:t>Killip</w:t>
      </w:r>
      <w:r w:rsidR="00CC6629" w:rsidRPr="00C05367">
        <w:t>class</w:t>
      </w:r>
      <w:r w:rsidR="00FA4916" w:rsidRPr="00C05367">
        <w:t xml:space="preserve"> </w:t>
      </w:r>
      <w:r w:rsidR="00CC6629" w:rsidRPr="00C05367">
        <w:t>I (69 %</w:t>
      </w:r>
      <w:r w:rsidRPr="00C05367">
        <w:t>)</w:t>
      </w:r>
      <w:r w:rsidR="00CC6629" w:rsidRPr="00C05367">
        <w:t>, 27</w:t>
      </w:r>
      <w:r w:rsidR="00FA4916" w:rsidRPr="00C05367">
        <w:t xml:space="preserve"> </w:t>
      </w:r>
      <w:r w:rsidR="00CC6629" w:rsidRPr="00C05367">
        <w:t>patients</w:t>
      </w:r>
      <w:r w:rsidR="00FA4916" w:rsidRPr="00C05367">
        <w:t xml:space="preserve"> </w:t>
      </w:r>
      <w:r w:rsidR="00CC6629" w:rsidRPr="00C05367">
        <w:t>presented</w:t>
      </w:r>
      <w:r w:rsidR="00FA4916" w:rsidRPr="00C05367">
        <w:t xml:space="preserve"> </w:t>
      </w:r>
      <w:r w:rsidR="00CC6629" w:rsidRPr="00C05367">
        <w:t>with</w:t>
      </w:r>
      <w:r w:rsidR="00FA4916" w:rsidRPr="00C05367">
        <w:t xml:space="preserve"> </w:t>
      </w:r>
      <w:r w:rsidR="00CC6629" w:rsidRPr="00C05367">
        <w:t>Killip</w:t>
      </w:r>
      <w:r w:rsidRPr="00C05367">
        <w:t xml:space="preserve"> class</w:t>
      </w:r>
      <w:r w:rsidR="00FA4916" w:rsidRPr="00C05367">
        <w:t xml:space="preserve"> </w:t>
      </w:r>
      <w:r w:rsidRPr="00C05367">
        <w:t>II</w:t>
      </w:r>
      <w:r w:rsidR="00FA4916" w:rsidRPr="00C05367">
        <w:t xml:space="preserve"> </w:t>
      </w:r>
      <w:r w:rsidRPr="00C05367">
        <w:t>(27%)</w:t>
      </w:r>
      <w:r w:rsidR="00FA4916" w:rsidRPr="00C05367">
        <w:t xml:space="preserve"> </w:t>
      </w:r>
      <w:r w:rsidRPr="00C05367">
        <w:t>and</w:t>
      </w:r>
      <w:r w:rsidR="00FA4916" w:rsidRPr="00C05367">
        <w:t xml:space="preserve"> </w:t>
      </w:r>
      <w:r w:rsidRPr="00C05367">
        <w:t>4</w:t>
      </w:r>
      <w:r w:rsidR="00FA4916" w:rsidRPr="00C05367">
        <w:t xml:space="preserve"> </w:t>
      </w:r>
      <w:r w:rsidRPr="00C05367">
        <w:t>patients</w:t>
      </w:r>
      <w:r w:rsidR="00FA4916" w:rsidRPr="00C05367">
        <w:t xml:space="preserve"> </w:t>
      </w:r>
      <w:r w:rsidRPr="00C05367">
        <w:t>presented</w:t>
      </w:r>
      <w:r w:rsidR="00FA4916" w:rsidRPr="00C05367">
        <w:t xml:space="preserve"> </w:t>
      </w:r>
      <w:r w:rsidRPr="00C05367">
        <w:t>with</w:t>
      </w:r>
      <w:r w:rsidR="00FA4916" w:rsidRPr="00C05367">
        <w:t xml:space="preserve"> </w:t>
      </w:r>
      <w:r w:rsidRPr="00C05367">
        <w:t>Killipclass II</w:t>
      </w:r>
      <w:r w:rsidR="00E06019" w:rsidRPr="00C05367">
        <w:t>I (</w:t>
      </w:r>
      <w:r w:rsidRPr="00C05367">
        <w:t>4.0%),</w:t>
      </w:r>
      <w:r w:rsidR="00FA4916" w:rsidRPr="00C05367">
        <w:t xml:space="preserve"> </w:t>
      </w:r>
      <w:r w:rsidRPr="00C05367">
        <w:t>while</w:t>
      </w:r>
      <w:r w:rsidR="00FA4916" w:rsidRPr="00C05367">
        <w:t xml:space="preserve"> </w:t>
      </w:r>
      <w:r w:rsidRPr="00C05367">
        <w:t>in</w:t>
      </w:r>
      <w:r w:rsidR="00E06019" w:rsidRPr="00C05367">
        <w:t xml:space="preserve"> </w:t>
      </w:r>
      <w:r w:rsidRPr="00C05367">
        <w:t>group</w:t>
      </w:r>
      <w:r w:rsidR="00FA4916" w:rsidRPr="00C05367">
        <w:t xml:space="preserve"> </w:t>
      </w:r>
      <w:r w:rsidRPr="00C05367">
        <w:t>II,</w:t>
      </w:r>
      <w:r w:rsidR="00E06019" w:rsidRPr="00C05367">
        <w:t xml:space="preserve"> </w:t>
      </w:r>
      <w:r w:rsidRPr="00C05367">
        <w:t>87</w:t>
      </w:r>
      <w:r w:rsidR="00FA4916" w:rsidRPr="00C05367">
        <w:t xml:space="preserve"> </w:t>
      </w:r>
      <w:r w:rsidRPr="00C05367">
        <w:t>patients presented</w:t>
      </w:r>
      <w:r w:rsidR="00FA4916" w:rsidRPr="00C05367">
        <w:t xml:space="preserve"> </w:t>
      </w:r>
      <w:r w:rsidRPr="00C05367">
        <w:t>with</w:t>
      </w:r>
      <w:r w:rsidR="00FA4916" w:rsidRPr="00C05367">
        <w:t xml:space="preserve"> </w:t>
      </w:r>
      <w:r w:rsidRPr="00C05367">
        <w:t>Killipclass</w:t>
      </w:r>
      <w:r w:rsidR="00FA4916" w:rsidRPr="00C05367">
        <w:t xml:space="preserve"> </w:t>
      </w:r>
      <w:r w:rsidRPr="00C05367">
        <w:t>I (87%),</w:t>
      </w:r>
      <w:r w:rsidR="00FA4916" w:rsidRPr="00C05367">
        <w:t xml:space="preserve"> </w:t>
      </w:r>
      <w:r w:rsidRPr="00C05367">
        <w:t>10 patients presented wit</w:t>
      </w:r>
      <w:r w:rsidR="0087612C" w:rsidRPr="00C05367">
        <w:t>h K</w:t>
      </w:r>
      <w:r w:rsidRPr="00C05367">
        <w:t>illip class</w:t>
      </w:r>
      <w:r w:rsidR="00C340D0" w:rsidRPr="00C05367">
        <w:t xml:space="preserve"> </w:t>
      </w:r>
      <w:r w:rsidRPr="00C05367">
        <w:t>II (10%</w:t>
      </w:r>
      <w:r w:rsidR="0087612C" w:rsidRPr="00C05367">
        <w:t>) a</w:t>
      </w:r>
      <w:r w:rsidRPr="00C05367">
        <w:t>nd3patients presented</w:t>
      </w:r>
      <w:r w:rsidR="00FA4916" w:rsidRPr="00C05367">
        <w:t xml:space="preserve"> </w:t>
      </w:r>
      <w:r w:rsidRPr="00C05367">
        <w:t>with Killipclass</w:t>
      </w:r>
      <w:r w:rsidR="00FA4916" w:rsidRPr="00C05367">
        <w:t xml:space="preserve"> </w:t>
      </w:r>
      <w:r w:rsidRPr="00C05367">
        <w:lastRenderedPageBreak/>
        <w:t>III (3%</w:t>
      </w:r>
      <w:r w:rsidR="0087612C" w:rsidRPr="00C05367">
        <w:t>) t</w:t>
      </w:r>
      <w:r w:rsidRPr="00C05367">
        <w:t>hat</w:t>
      </w:r>
      <w:r w:rsidR="00FA4916" w:rsidRPr="00C05367">
        <w:t xml:space="preserve"> </w:t>
      </w:r>
      <w:r w:rsidRPr="00C05367">
        <w:t>were statistically</w:t>
      </w:r>
      <w:r w:rsidR="00FA4916" w:rsidRPr="00C05367">
        <w:t xml:space="preserve"> </w:t>
      </w:r>
      <w:r w:rsidRPr="00C05367">
        <w:t>significance (P= 0.004),</w:t>
      </w:r>
      <w:r w:rsidR="00FA4916" w:rsidRPr="00C05367">
        <w:t xml:space="preserve"> </w:t>
      </w:r>
      <w:r w:rsidRPr="00C05367">
        <w:t>(Table</w:t>
      </w:r>
      <w:r w:rsidR="00A86FB4">
        <w:rPr>
          <w:rFonts w:hint="eastAsia"/>
          <w:lang w:eastAsia="zh-CN"/>
        </w:rPr>
        <w:t xml:space="preserve"> </w:t>
      </w:r>
      <w:r w:rsidRPr="00C05367">
        <w:t>2).</w:t>
      </w:r>
    </w:p>
    <w:p w:rsidR="0062468B" w:rsidRPr="00C05367" w:rsidRDefault="007A1135" w:rsidP="001878B7">
      <w:pPr>
        <w:snapToGrid w:val="0"/>
        <w:ind w:firstLine="425"/>
        <w:jc w:val="both"/>
      </w:pPr>
      <w:r w:rsidRPr="00C05367">
        <w:t>Regarding</w:t>
      </w:r>
      <w:r w:rsidR="00E06019" w:rsidRPr="00C05367">
        <w:t xml:space="preserve"> </w:t>
      </w:r>
      <w:r w:rsidR="00FA4916" w:rsidRPr="00C05367">
        <w:t>the systolic blood pressure</w:t>
      </w:r>
      <w:r w:rsidRPr="00C05367">
        <w:t xml:space="preserve"> (SBP), in</w:t>
      </w:r>
      <w:r w:rsidR="00C340D0" w:rsidRPr="00C05367">
        <w:t xml:space="preserve"> </w:t>
      </w:r>
      <w:r w:rsidRPr="00C05367">
        <w:t>group</w:t>
      </w:r>
      <w:r w:rsidR="00FA4916" w:rsidRPr="00C05367">
        <w:t xml:space="preserve"> </w:t>
      </w:r>
      <w:r w:rsidRPr="00C05367">
        <w:t>I,</w:t>
      </w:r>
      <w:r w:rsidR="00FA4916" w:rsidRPr="00C05367">
        <w:t xml:space="preserve"> </w:t>
      </w:r>
      <w:r w:rsidRPr="00C05367">
        <w:t>SBP</w:t>
      </w:r>
      <w:r w:rsidR="00C340D0" w:rsidRPr="00C05367">
        <w:t xml:space="preserve"> </w:t>
      </w:r>
      <w:r w:rsidRPr="00C05367">
        <w:t>ranged</w:t>
      </w:r>
      <w:r w:rsidR="00FA4916" w:rsidRPr="00C05367">
        <w:t xml:space="preserve"> </w:t>
      </w:r>
      <w:r w:rsidRPr="00C05367">
        <w:t>from</w:t>
      </w:r>
      <w:r w:rsidR="00FA4916" w:rsidRPr="00C05367">
        <w:t xml:space="preserve"> </w:t>
      </w:r>
      <w:r w:rsidRPr="00C05367">
        <w:t>100.0–180.0 mmHg</w:t>
      </w:r>
      <w:r w:rsidR="00FA4916" w:rsidRPr="00C05367">
        <w:t xml:space="preserve"> </w:t>
      </w:r>
      <w:r w:rsidRPr="00C05367">
        <w:t>with a meanof127.4±19.0.</w:t>
      </w:r>
      <w:r w:rsidR="00C340D0" w:rsidRPr="00C05367">
        <w:t xml:space="preserve"> </w:t>
      </w:r>
      <w:r w:rsidRPr="00C05367">
        <w:t>In</w:t>
      </w:r>
      <w:r w:rsidR="00C340D0" w:rsidRPr="00C05367">
        <w:t xml:space="preserve"> </w:t>
      </w:r>
      <w:r w:rsidRPr="00C05367">
        <w:t>group</w:t>
      </w:r>
      <w:r w:rsidR="00C340D0" w:rsidRPr="00C05367">
        <w:t xml:space="preserve"> </w:t>
      </w:r>
      <w:r w:rsidRPr="00C05367">
        <w:t>II</w:t>
      </w:r>
      <w:r w:rsidR="00C340D0" w:rsidRPr="00C05367">
        <w:t>, it</w:t>
      </w:r>
      <w:r w:rsidRPr="00C05367">
        <w:t xml:space="preserve"> ranged</w:t>
      </w:r>
      <w:r w:rsidR="00C340D0" w:rsidRPr="00C05367">
        <w:t xml:space="preserve"> </w:t>
      </w:r>
      <w:r w:rsidRPr="00C05367">
        <w:t>from</w:t>
      </w:r>
      <w:r w:rsidR="00C340D0" w:rsidRPr="00C05367">
        <w:t xml:space="preserve"> </w:t>
      </w:r>
      <w:r w:rsidRPr="00C05367">
        <w:t>100.0–150.0mm</w:t>
      </w:r>
      <w:r w:rsidR="00C340D0" w:rsidRPr="00C05367">
        <w:t xml:space="preserve"> </w:t>
      </w:r>
      <w:r w:rsidRPr="00C05367">
        <w:t>Hg</w:t>
      </w:r>
      <w:r w:rsidR="00C340D0" w:rsidRPr="00C05367">
        <w:t xml:space="preserve"> </w:t>
      </w:r>
      <w:r w:rsidRPr="00C05367">
        <w:t>with</w:t>
      </w:r>
      <w:r w:rsidR="00C340D0" w:rsidRPr="00C05367">
        <w:t xml:space="preserve"> </w:t>
      </w:r>
      <w:r w:rsidRPr="00C05367">
        <w:t>a</w:t>
      </w:r>
      <w:r w:rsidR="00C340D0" w:rsidRPr="00C05367">
        <w:t xml:space="preserve"> </w:t>
      </w:r>
      <w:r w:rsidRPr="00C05367">
        <w:t>mean</w:t>
      </w:r>
      <w:r w:rsidR="00C340D0" w:rsidRPr="00C05367">
        <w:t xml:space="preserve"> </w:t>
      </w:r>
      <w:r w:rsidRPr="00C05367">
        <w:t>of</w:t>
      </w:r>
      <w:r w:rsidR="00C340D0" w:rsidRPr="00C05367">
        <w:t xml:space="preserve"> </w:t>
      </w:r>
      <w:r w:rsidR="00CC6629" w:rsidRPr="00C05367">
        <w:t>135.0±12.10</w:t>
      </w:r>
      <w:r w:rsidRPr="00C05367">
        <w:t>.</w:t>
      </w:r>
      <w:r w:rsidR="00C340D0" w:rsidRPr="00C05367">
        <w:t xml:space="preserve"> </w:t>
      </w:r>
      <w:r w:rsidRPr="00C05367">
        <w:t>(</w:t>
      </w:r>
      <w:r w:rsidR="00CC6629" w:rsidRPr="00C05367">
        <w:t>P =</w:t>
      </w:r>
      <w:r w:rsidRPr="00C05367">
        <w:t>0.001</w:t>
      </w:r>
      <w:r w:rsidR="00CC6629" w:rsidRPr="00C05367">
        <w:t>) with</w:t>
      </w:r>
      <w:r w:rsidR="00FA4916" w:rsidRPr="00C05367">
        <w:t xml:space="preserve"> </w:t>
      </w:r>
      <w:r w:rsidR="00CC6629" w:rsidRPr="00C05367">
        <w:t>statistical</w:t>
      </w:r>
      <w:r w:rsidRPr="00C05367">
        <w:t xml:space="preserve"> significance.</w:t>
      </w:r>
      <w:r w:rsidR="00C340D0" w:rsidRPr="00C05367">
        <w:t xml:space="preserve"> The diastolic</w:t>
      </w:r>
      <w:r w:rsidRPr="00C05367">
        <w:t xml:space="preserve"> blood</w:t>
      </w:r>
      <w:r w:rsidR="00C340D0" w:rsidRPr="00C05367">
        <w:t xml:space="preserve"> </w:t>
      </w:r>
      <w:r w:rsidRPr="00C05367">
        <w:t>pressure (DBP)</w:t>
      </w:r>
      <w:r w:rsidR="00C340D0" w:rsidRPr="00C05367">
        <w:t xml:space="preserve"> </w:t>
      </w:r>
      <w:r w:rsidRPr="00C05367">
        <w:t>of the</w:t>
      </w:r>
      <w:r w:rsidR="00C340D0" w:rsidRPr="00C05367">
        <w:t xml:space="preserve"> </w:t>
      </w:r>
      <w:r w:rsidRPr="00C05367">
        <w:t>study</w:t>
      </w:r>
      <w:r w:rsidR="00C340D0" w:rsidRPr="00C05367">
        <w:t xml:space="preserve"> </w:t>
      </w:r>
      <w:r w:rsidRPr="00C05367">
        <w:t>population,</w:t>
      </w:r>
      <w:r w:rsidR="00C340D0" w:rsidRPr="00C05367">
        <w:t xml:space="preserve"> </w:t>
      </w:r>
      <w:r w:rsidRPr="00C05367">
        <w:t>in</w:t>
      </w:r>
      <w:r w:rsidR="00C340D0" w:rsidRPr="00C05367">
        <w:t xml:space="preserve"> </w:t>
      </w:r>
      <w:r w:rsidRPr="00C05367">
        <w:t>group</w:t>
      </w:r>
      <w:r w:rsidR="00C340D0" w:rsidRPr="00C05367">
        <w:t xml:space="preserve"> </w:t>
      </w:r>
      <w:r w:rsidRPr="00C05367">
        <w:t>I,</w:t>
      </w:r>
      <w:r w:rsidR="00C340D0" w:rsidRPr="00C05367">
        <w:t xml:space="preserve"> </w:t>
      </w:r>
      <w:r w:rsidRPr="00C05367">
        <w:t>DBP</w:t>
      </w:r>
      <w:r w:rsidR="00C340D0" w:rsidRPr="00C05367">
        <w:t xml:space="preserve"> </w:t>
      </w:r>
      <w:r w:rsidRPr="00C05367">
        <w:t>ranged</w:t>
      </w:r>
      <w:r w:rsidR="00C340D0" w:rsidRPr="00C05367">
        <w:t xml:space="preserve"> </w:t>
      </w:r>
      <w:r w:rsidRPr="00C05367">
        <w:t>from</w:t>
      </w:r>
      <w:r w:rsidR="0087612C" w:rsidRPr="00C05367">
        <w:rPr>
          <w:rFonts w:hint="eastAsia"/>
          <w:lang w:eastAsia="zh-CN"/>
        </w:rPr>
        <w:t xml:space="preserve"> </w:t>
      </w:r>
      <w:r w:rsidRPr="00C05367">
        <w:t>60.0–110.0mm</w:t>
      </w:r>
      <w:r w:rsidR="00C340D0" w:rsidRPr="00C05367">
        <w:t xml:space="preserve"> </w:t>
      </w:r>
      <w:r w:rsidRPr="00C05367">
        <w:t>Hg</w:t>
      </w:r>
      <w:r w:rsidR="00C340D0" w:rsidRPr="00C05367">
        <w:t xml:space="preserve"> </w:t>
      </w:r>
      <w:r w:rsidRPr="00C05367">
        <w:t>with</w:t>
      </w:r>
      <w:r w:rsidR="00C340D0" w:rsidRPr="00C05367">
        <w:t xml:space="preserve"> </w:t>
      </w:r>
      <w:r w:rsidRPr="00C05367">
        <w:t>a</w:t>
      </w:r>
      <w:r w:rsidR="00C340D0" w:rsidRPr="00C05367">
        <w:t xml:space="preserve"> </w:t>
      </w:r>
      <w:r w:rsidRPr="00C05367">
        <w:t>mean</w:t>
      </w:r>
      <w:r w:rsidR="00C340D0" w:rsidRPr="00C05367">
        <w:t xml:space="preserve"> </w:t>
      </w:r>
      <w:r w:rsidRPr="00C05367">
        <w:t>of</w:t>
      </w:r>
      <w:r w:rsidR="00C340D0" w:rsidRPr="00C05367">
        <w:t xml:space="preserve"> </w:t>
      </w:r>
      <w:r w:rsidRPr="00C05367">
        <w:t>76.70±11.01.</w:t>
      </w:r>
      <w:r w:rsidR="00C340D0" w:rsidRPr="00C05367">
        <w:t xml:space="preserve"> </w:t>
      </w:r>
      <w:r w:rsidRPr="00C05367">
        <w:t>In</w:t>
      </w:r>
      <w:r w:rsidR="00C340D0" w:rsidRPr="00C05367">
        <w:t xml:space="preserve"> </w:t>
      </w:r>
      <w:r w:rsidRPr="00C05367">
        <w:t>group</w:t>
      </w:r>
      <w:r w:rsidR="00C340D0" w:rsidRPr="00C05367">
        <w:t xml:space="preserve"> </w:t>
      </w:r>
      <w:r w:rsidRPr="00C05367">
        <w:t>II,</w:t>
      </w:r>
      <w:r w:rsidR="00C340D0" w:rsidRPr="00C05367">
        <w:t xml:space="preserve"> it ranged </w:t>
      </w:r>
      <w:r w:rsidRPr="00C05367">
        <w:t>from</w:t>
      </w:r>
      <w:r w:rsidR="00C340D0" w:rsidRPr="00C05367">
        <w:t xml:space="preserve"> </w:t>
      </w:r>
      <w:r w:rsidRPr="00C05367">
        <w:t>60.0–100.0mm</w:t>
      </w:r>
      <w:r w:rsidR="00C340D0" w:rsidRPr="00C05367">
        <w:t xml:space="preserve"> </w:t>
      </w:r>
      <w:r w:rsidRPr="00C05367">
        <w:t>Hg</w:t>
      </w:r>
      <w:r w:rsidR="00C340D0" w:rsidRPr="00C05367">
        <w:t xml:space="preserve"> </w:t>
      </w:r>
      <w:r w:rsidRPr="00C05367">
        <w:t>with a mean of</w:t>
      </w:r>
      <w:r w:rsidR="00C340D0" w:rsidRPr="00C05367">
        <w:t xml:space="preserve"> </w:t>
      </w:r>
      <w:r w:rsidRPr="00C05367">
        <w:t>74.80±10.10</w:t>
      </w:r>
      <w:r w:rsidR="00E06019" w:rsidRPr="00C05367">
        <w:t>. (</w:t>
      </w:r>
      <w:r w:rsidRPr="00C05367">
        <w:t>P=0.205),</w:t>
      </w:r>
      <w:r w:rsidR="00C340D0" w:rsidRPr="00C05367">
        <w:t xml:space="preserve"> </w:t>
      </w:r>
      <w:r w:rsidRPr="00C05367">
        <w:t>(Table2)</w:t>
      </w:r>
    </w:p>
    <w:p w:rsidR="0062468B" w:rsidRPr="00C05367" w:rsidRDefault="007A1135" w:rsidP="001878B7">
      <w:pPr>
        <w:snapToGrid w:val="0"/>
        <w:ind w:firstLine="425"/>
        <w:jc w:val="both"/>
      </w:pPr>
      <w:r w:rsidRPr="00C05367">
        <w:t>The pulse</w:t>
      </w:r>
      <w:r w:rsidR="00C340D0" w:rsidRPr="00C05367">
        <w:t xml:space="preserve"> </w:t>
      </w:r>
      <w:r w:rsidRPr="00C05367">
        <w:t>of the</w:t>
      </w:r>
      <w:r w:rsidR="00C340D0" w:rsidRPr="00C05367">
        <w:t xml:space="preserve"> </w:t>
      </w:r>
      <w:r w:rsidRPr="00C05367">
        <w:t>study</w:t>
      </w:r>
      <w:r w:rsidR="00C340D0" w:rsidRPr="00C05367">
        <w:t xml:space="preserve"> </w:t>
      </w:r>
      <w:r w:rsidRPr="00C05367">
        <w:t>population ranged from40–120beatsperminute (bpm).</w:t>
      </w:r>
      <w:r w:rsidR="00C340D0" w:rsidRPr="00C05367">
        <w:t xml:space="preserve"> </w:t>
      </w:r>
      <w:r w:rsidRPr="00C05367">
        <w:t>In</w:t>
      </w:r>
      <w:r w:rsidR="00C340D0" w:rsidRPr="00C05367">
        <w:t xml:space="preserve"> </w:t>
      </w:r>
      <w:r w:rsidRPr="00C05367">
        <w:t>group</w:t>
      </w:r>
      <w:r w:rsidR="00C340D0" w:rsidRPr="00C05367">
        <w:t xml:space="preserve"> </w:t>
      </w:r>
      <w:r w:rsidRPr="00C05367">
        <w:t>I,</w:t>
      </w:r>
      <w:r w:rsidR="00C340D0" w:rsidRPr="00C05367">
        <w:t xml:space="preserve"> </w:t>
      </w:r>
      <w:r w:rsidRPr="00C05367">
        <w:t xml:space="preserve">the </w:t>
      </w:r>
      <w:r w:rsidR="00932DE9" w:rsidRPr="00C05367">
        <w:t>pulse</w:t>
      </w:r>
      <w:r w:rsidR="00C340D0" w:rsidRPr="00C05367">
        <w:t xml:space="preserve"> </w:t>
      </w:r>
      <w:r w:rsidR="00932DE9" w:rsidRPr="00C05367">
        <w:t>ranged</w:t>
      </w:r>
      <w:r w:rsidR="00C340D0" w:rsidRPr="00C05367">
        <w:t xml:space="preserve"> </w:t>
      </w:r>
      <w:r w:rsidRPr="00C05367">
        <w:t>from</w:t>
      </w:r>
      <w:r w:rsidR="00C340D0" w:rsidRPr="00C05367">
        <w:t xml:space="preserve"> </w:t>
      </w:r>
      <w:r w:rsidRPr="00C05367">
        <w:t>40.0–120.0bpm</w:t>
      </w:r>
      <w:r w:rsidR="00C340D0" w:rsidRPr="00C05367">
        <w:t xml:space="preserve"> </w:t>
      </w:r>
      <w:r w:rsidRPr="00C05367">
        <w:t>with</w:t>
      </w:r>
      <w:r w:rsidR="00C340D0" w:rsidRPr="00C05367">
        <w:t xml:space="preserve"> </w:t>
      </w:r>
      <w:r w:rsidRPr="00C05367">
        <w:t>a</w:t>
      </w:r>
      <w:r w:rsidR="00C340D0" w:rsidRPr="00C05367">
        <w:t xml:space="preserve"> </w:t>
      </w:r>
      <w:r w:rsidRPr="00C05367">
        <w:t>mean</w:t>
      </w:r>
      <w:r w:rsidR="00C340D0" w:rsidRPr="00C05367">
        <w:t xml:space="preserve"> </w:t>
      </w:r>
      <w:r w:rsidRPr="00C05367">
        <w:t>of</w:t>
      </w:r>
      <w:r w:rsidR="00C340D0" w:rsidRPr="00C05367">
        <w:t xml:space="preserve"> </w:t>
      </w:r>
      <w:r w:rsidRPr="00C05367">
        <w:t>82.40±17.41.</w:t>
      </w:r>
      <w:r w:rsidR="00C340D0" w:rsidRPr="00C05367">
        <w:t xml:space="preserve"> </w:t>
      </w:r>
      <w:r w:rsidRPr="00C05367">
        <w:t>In</w:t>
      </w:r>
      <w:r w:rsidR="00C340D0" w:rsidRPr="00C05367">
        <w:t xml:space="preserve"> </w:t>
      </w:r>
      <w:r w:rsidRPr="00C05367">
        <w:t>group</w:t>
      </w:r>
      <w:r w:rsidR="00C340D0" w:rsidRPr="00C05367">
        <w:t xml:space="preserve"> </w:t>
      </w:r>
      <w:r w:rsidRPr="00C05367">
        <w:t>II,</w:t>
      </w:r>
      <w:r w:rsidR="00C340D0" w:rsidRPr="00C05367">
        <w:t xml:space="preserve"> </w:t>
      </w:r>
      <w:r w:rsidRPr="00C05367">
        <w:t>it</w:t>
      </w:r>
      <w:r w:rsidR="00C340D0" w:rsidRPr="00C05367">
        <w:t xml:space="preserve"> </w:t>
      </w:r>
      <w:r w:rsidRPr="00C05367">
        <w:t>ranged</w:t>
      </w:r>
      <w:r w:rsidR="00C340D0" w:rsidRPr="00C05367">
        <w:t xml:space="preserve"> </w:t>
      </w:r>
      <w:r w:rsidRPr="00C05367">
        <w:t>from</w:t>
      </w:r>
      <w:r w:rsidR="00C340D0" w:rsidRPr="00C05367">
        <w:t xml:space="preserve"> </w:t>
      </w:r>
      <w:r w:rsidRPr="00C05367">
        <w:t>50.0–100.0bpm</w:t>
      </w:r>
      <w:r w:rsidR="00C340D0" w:rsidRPr="00C05367">
        <w:t xml:space="preserve"> </w:t>
      </w:r>
      <w:r w:rsidRPr="00C05367">
        <w:t>with a meanof77.55 ±11.67. (P=0.022). According to the</w:t>
      </w:r>
      <w:r w:rsidR="00C340D0" w:rsidRPr="00C05367">
        <w:t xml:space="preserve"> </w:t>
      </w:r>
      <w:r w:rsidRPr="00C05367">
        <w:t>presenting</w:t>
      </w:r>
      <w:r w:rsidR="00C340D0" w:rsidRPr="00C05367">
        <w:t xml:space="preserve"> </w:t>
      </w:r>
      <w:r w:rsidRPr="00C05367">
        <w:t>rhythm,</w:t>
      </w:r>
      <w:r w:rsidR="00C340D0" w:rsidRPr="00C05367">
        <w:t xml:space="preserve"> </w:t>
      </w:r>
      <w:r w:rsidRPr="00C05367">
        <w:t>in group</w:t>
      </w:r>
      <w:r w:rsidR="00C340D0" w:rsidRPr="00C05367">
        <w:t xml:space="preserve"> </w:t>
      </w:r>
      <w:r w:rsidRPr="00C05367">
        <w:t>I,</w:t>
      </w:r>
      <w:r w:rsidR="00C340D0" w:rsidRPr="00C05367">
        <w:t xml:space="preserve"> </w:t>
      </w:r>
      <w:r w:rsidRPr="00C05367">
        <w:t>96 patients</w:t>
      </w:r>
      <w:r w:rsidR="00C340D0" w:rsidRPr="00C05367">
        <w:t xml:space="preserve"> </w:t>
      </w:r>
      <w:r w:rsidRPr="00C05367">
        <w:t>presented</w:t>
      </w:r>
      <w:r w:rsidR="00C340D0" w:rsidRPr="00C05367">
        <w:t xml:space="preserve"> </w:t>
      </w:r>
      <w:r w:rsidRPr="00C05367">
        <w:t xml:space="preserve">with </w:t>
      </w:r>
      <w:r w:rsidR="00C05367" w:rsidRPr="00C05367">
        <w:t>sinus rhythm</w:t>
      </w:r>
      <w:r w:rsidR="00C340D0" w:rsidRPr="00C05367">
        <w:t xml:space="preserve"> </w:t>
      </w:r>
      <w:r w:rsidRPr="00C05367">
        <w:t>(96%),</w:t>
      </w:r>
      <w:r w:rsidR="00C340D0" w:rsidRPr="00C05367">
        <w:t xml:space="preserve"> </w:t>
      </w:r>
      <w:r w:rsidRPr="00C05367">
        <w:t>two patients</w:t>
      </w:r>
      <w:r w:rsidR="00C340D0" w:rsidRPr="00C05367">
        <w:t xml:space="preserve"> </w:t>
      </w:r>
      <w:r w:rsidRPr="00C05367">
        <w:t>presented</w:t>
      </w:r>
      <w:r w:rsidR="00C340D0" w:rsidRPr="00C05367">
        <w:t xml:space="preserve"> </w:t>
      </w:r>
      <w:r w:rsidRPr="00C05367">
        <w:t>by a</w:t>
      </w:r>
      <w:r w:rsidR="00C340D0" w:rsidRPr="00C05367">
        <w:t xml:space="preserve"> </w:t>
      </w:r>
      <w:r w:rsidRPr="00C05367">
        <w:t>trial</w:t>
      </w:r>
      <w:r w:rsidR="00C340D0" w:rsidRPr="00C05367">
        <w:t xml:space="preserve"> </w:t>
      </w:r>
      <w:r w:rsidRPr="00C05367">
        <w:t>fibrillation</w:t>
      </w:r>
      <w:r w:rsidR="00C340D0" w:rsidRPr="00C05367">
        <w:t xml:space="preserve"> </w:t>
      </w:r>
      <w:r w:rsidRPr="00C05367">
        <w:t>and two patients</w:t>
      </w:r>
      <w:r w:rsidR="00C340D0" w:rsidRPr="00C05367">
        <w:t xml:space="preserve"> </w:t>
      </w:r>
      <w:r w:rsidRPr="00C05367">
        <w:t>by</w:t>
      </w:r>
      <w:r w:rsidR="00C340D0" w:rsidRPr="00C05367">
        <w:t xml:space="preserve"> </w:t>
      </w:r>
      <w:r w:rsidRPr="00C05367">
        <w:t>complete</w:t>
      </w:r>
      <w:r w:rsidR="00C340D0" w:rsidRPr="00C05367">
        <w:t xml:space="preserve"> </w:t>
      </w:r>
      <w:r w:rsidRPr="00C05367">
        <w:t>heart</w:t>
      </w:r>
      <w:r w:rsidR="00C340D0" w:rsidRPr="00C05367">
        <w:t xml:space="preserve"> </w:t>
      </w:r>
      <w:r w:rsidRPr="00C05367">
        <w:t>block</w:t>
      </w:r>
      <w:r w:rsidR="00C340D0" w:rsidRPr="00C05367">
        <w:t xml:space="preserve"> </w:t>
      </w:r>
      <w:r w:rsidRPr="00C05367">
        <w:t>(4.0%).</w:t>
      </w:r>
    </w:p>
    <w:p w:rsidR="0062468B" w:rsidRPr="00C05367" w:rsidRDefault="007A1135" w:rsidP="001878B7">
      <w:pPr>
        <w:snapToGrid w:val="0"/>
        <w:ind w:firstLine="425"/>
        <w:jc w:val="both"/>
      </w:pPr>
      <w:r w:rsidRPr="00C05367">
        <w:t>In</w:t>
      </w:r>
      <w:r w:rsidR="00C340D0" w:rsidRPr="00C05367">
        <w:t xml:space="preserve"> </w:t>
      </w:r>
      <w:r w:rsidRPr="00C05367">
        <w:t>group</w:t>
      </w:r>
      <w:r w:rsidR="00C340D0" w:rsidRPr="00C05367">
        <w:t xml:space="preserve"> </w:t>
      </w:r>
      <w:r w:rsidRPr="00C05367">
        <w:t>II,</w:t>
      </w:r>
      <w:r w:rsidR="00C340D0" w:rsidRPr="00C05367">
        <w:t xml:space="preserve"> </w:t>
      </w:r>
      <w:r w:rsidRPr="00C05367">
        <w:t>95patients presented</w:t>
      </w:r>
      <w:r w:rsidR="00C340D0" w:rsidRPr="00C05367">
        <w:t xml:space="preserve"> </w:t>
      </w:r>
      <w:r w:rsidRPr="00C05367">
        <w:t>with</w:t>
      </w:r>
      <w:r w:rsidR="00C340D0" w:rsidRPr="00C05367">
        <w:t xml:space="preserve"> </w:t>
      </w:r>
      <w:r w:rsidRPr="00C05367">
        <w:t>sinus rhythm</w:t>
      </w:r>
      <w:r w:rsidR="00C340D0" w:rsidRPr="00C05367">
        <w:t xml:space="preserve"> </w:t>
      </w:r>
      <w:r w:rsidRPr="00C05367">
        <w:t>(95%),</w:t>
      </w:r>
      <w:r w:rsidR="00C340D0" w:rsidRPr="00C05367">
        <w:t xml:space="preserve"> </w:t>
      </w:r>
      <w:r w:rsidRPr="00C05367">
        <w:t>2patients</w:t>
      </w:r>
      <w:r w:rsidR="00C340D0" w:rsidRPr="00C05367">
        <w:t xml:space="preserve"> </w:t>
      </w:r>
      <w:r w:rsidRPr="00C05367">
        <w:t>by</w:t>
      </w:r>
      <w:r w:rsidR="00C340D0" w:rsidRPr="00C05367">
        <w:t xml:space="preserve"> </w:t>
      </w:r>
      <w:r w:rsidRPr="00C05367">
        <w:t>a</w:t>
      </w:r>
      <w:r w:rsidR="00C340D0" w:rsidRPr="00C05367">
        <w:t xml:space="preserve"> </w:t>
      </w:r>
      <w:r w:rsidRPr="00C05367">
        <w:t>trial fibrillation</w:t>
      </w:r>
      <w:r w:rsidR="00C340D0" w:rsidRPr="00C05367">
        <w:t xml:space="preserve"> </w:t>
      </w:r>
      <w:r w:rsidRPr="00C05367">
        <w:t>and</w:t>
      </w:r>
      <w:r w:rsidR="00C340D0" w:rsidRPr="00C05367">
        <w:t xml:space="preserve"> </w:t>
      </w:r>
      <w:r w:rsidRPr="00C05367">
        <w:t>3 by</w:t>
      </w:r>
      <w:r w:rsidR="00C340D0" w:rsidRPr="00C05367">
        <w:t xml:space="preserve"> </w:t>
      </w:r>
      <w:r w:rsidR="00304D61" w:rsidRPr="00C05367">
        <w:t>complete heart</w:t>
      </w:r>
      <w:r w:rsidR="00C340D0" w:rsidRPr="00C05367">
        <w:t xml:space="preserve"> </w:t>
      </w:r>
      <w:r w:rsidRPr="00C05367">
        <w:t>block</w:t>
      </w:r>
      <w:r w:rsidR="00C340D0" w:rsidRPr="00C05367">
        <w:t xml:space="preserve"> </w:t>
      </w:r>
      <w:r w:rsidRPr="00C05367">
        <w:t>(5.0%)</w:t>
      </w:r>
      <w:r w:rsidR="00E06019" w:rsidRPr="00C05367">
        <w:t>. (</w:t>
      </w:r>
      <w:r w:rsidRPr="00C05367">
        <w:t>P=1.000)</w:t>
      </w:r>
      <w:r w:rsidR="00E06019" w:rsidRPr="00C05367">
        <w:t>, (</w:t>
      </w:r>
      <w:r w:rsidRPr="00C05367">
        <w:t>Table2).</w:t>
      </w:r>
    </w:p>
    <w:p w:rsidR="0062468B" w:rsidRPr="00C05367" w:rsidRDefault="007A1135" w:rsidP="001878B7">
      <w:pPr>
        <w:snapToGrid w:val="0"/>
        <w:jc w:val="both"/>
        <w:rPr>
          <w:b/>
          <w:bCs/>
        </w:rPr>
      </w:pPr>
      <w:r w:rsidRPr="00C05367">
        <w:rPr>
          <w:b/>
          <w:bCs/>
        </w:rPr>
        <w:t>Door to</w:t>
      </w:r>
      <w:r w:rsidR="00C05367" w:rsidRPr="00C05367">
        <w:rPr>
          <w:rFonts w:hint="eastAsia"/>
          <w:b/>
          <w:bCs/>
          <w:lang w:eastAsia="zh-CN"/>
        </w:rPr>
        <w:t xml:space="preserve"> </w:t>
      </w:r>
      <w:r w:rsidRPr="00C05367">
        <w:rPr>
          <w:b/>
          <w:bCs/>
        </w:rPr>
        <w:t>reperfusion</w:t>
      </w:r>
      <w:r w:rsidR="00C340D0" w:rsidRPr="00C05367">
        <w:rPr>
          <w:b/>
          <w:bCs/>
        </w:rPr>
        <w:t xml:space="preserve"> </w:t>
      </w:r>
      <w:r w:rsidRPr="00C05367">
        <w:rPr>
          <w:b/>
          <w:bCs/>
        </w:rPr>
        <w:t>method:</w:t>
      </w:r>
    </w:p>
    <w:p w:rsidR="0062468B" w:rsidRPr="00C05367" w:rsidRDefault="007A1135" w:rsidP="001878B7">
      <w:pPr>
        <w:snapToGrid w:val="0"/>
        <w:ind w:firstLine="425"/>
        <w:jc w:val="both"/>
      </w:pPr>
      <w:r w:rsidRPr="00C05367">
        <w:t>For group I, door to balloon time ranged from 15-120 minutes with mean duration 61.15 ± 20.07 minutes. For group II, time to IV bolus of thrombolytic ranged from 5-20 minutes with mean duration 14.22 ± 3.51 minutes, and time from end of thrombolytic therapy to PCI ranged from 2- 120 minutes with mean duration 18.51 ± 16.25 minutes.</w:t>
      </w:r>
    </w:p>
    <w:p w:rsidR="0062468B" w:rsidRPr="00C05367" w:rsidRDefault="007A1135" w:rsidP="001878B7">
      <w:pPr>
        <w:snapToGrid w:val="0"/>
        <w:ind w:firstLine="425"/>
        <w:jc w:val="both"/>
        <w:rPr>
          <w:rFonts w:hint="eastAsia"/>
          <w:lang w:eastAsia="zh-CN"/>
        </w:rPr>
      </w:pPr>
      <w:r w:rsidRPr="00C05367">
        <w:t>Angiographic finding: There was no statistical significant difference regarding PCI access (</w:t>
      </w:r>
      <w:r w:rsidR="00CC6629" w:rsidRPr="00C05367">
        <w:t>P = 0.269) and number of diseased vessel (P =</w:t>
      </w:r>
      <w:r w:rsidRPr="00C05367">
        <w:t>1.000). In group I, the infarcted related artery (IRA) was the left anterior descending coronary artery (LAD) in 74 patients (74%), the left circumflex coronary artery (LCX) in 11 patients (11%) and the right coronary artery (RCA) in 15 patients (15%). In group II, the IRA was the LAD in 65 patients (65%), the LCX in 10 patients (10%) and the RCA in 25 patients (25%). There was no statistically significant difference between the two groups (P =0.209)</w:t>
      </w:r>
      <w:r w:rsidR="00C05367">
        <w:rPr>
          <w:rFonts w:hint="eastAsia"/>
          <w:lang w:eastAsia="zh-CN"/>
        </w:rPr>
        <w:t>.</w:t>
      </w:r>
    </w:p>
    <w:p w:rsidR="0062468B" w:rsidRPr="00C05367" w:rsidRDefault="007A1135" w:rsidP="001878B7">
      <w:pPr>
        <w:snapToGrid w:val="0"/>
        <w:ind w:firstLine="425"/>
        <w:jc w:val="both"/>
      </w:pPr>
      <w:r w:rsidRPr="00C05367">
        <w:t xml:space="preserve">According to type on intervention, percutaneous transluminal coronary angioplasty (PTCA) was used in </w:t>
      </w:r>
      <w:r w:rsidRPr="00C05367">
        <w:lastRenderedPageBreak/>
        <w:t>71 patients of group I (71%) and in 58 patients of group II (58%). There was no statistically significant difference between the two groups (P value =0.055).</w:t>
      </w:r>
    </w:p>
    <w:p w:rsidR="00CA42D7" w:rsidRDefault="007A1135" w:rsidP="001878B7">
      <w:pPr>
        <w:snapToGrid w:val="0"/>
        <w:ind w:firstLine="425"/>
        <w:jc w:val="both"/>
        <w:rPr>
          <w:rFonts w:hint="eastAsia"/>
          <w:lang w:eastAsia="zh-CN"/>
        </w:rPr>
      </w:pPr>
      <w:r w:rsidRPr="00C05367">
        <w:t>Stents were used in 180 patients. In group I bare metal stents (BMS) were used in 25 patients (25%) and drug eluting stents (DES) in 60 patients (60%). In group II, BMS were used in 7 patients (7%) and DES in 88 patients (88%). There was statistically significant difference between the two groups (P value&lt; 0.001).</w:t>
      </w:r>
    </w:p>
    <w:p w:rsidR="00A86FB4" w:rsidRPr="00C05367" w:rsidRDefault="00A86FB4" w:rsidP="001878B7">
      <w:pPr>
        <w:snapToGrid w:val="0"/>
        <w:ind w:firstLine="425"/>
        <w:jc w:val="both"/>
        <w:rPr>
          <w:rFonts w:hint="eastAsia"/>
          <w:lang w:eastAsia="zh-CN"/>
        </w:rPr>
      </w:pPr>
      <w:r w:rsidRPr="00C05367">
        <w:t xml:space="preserve">TIMI= </w:t>
      </w:r>
      <w:r w:rsidRPr="00C05367">
        <w:rPr>
          <w:b/>
        </w:rPr>
        <w:t>thrombolysis in myocardial infarction, CHF</w:t>
      </w:r>
      <w:r w:rsidRPr="00C05367">
        <w:t xml:space="preserve"> = Congestive heart failure, LAD=left anterior disending. LCX= left circumflex. RCA=right coronary artery, NS= non-significant Base line TIMI flow, in group I, 91 patients (91%) had TIMI flow &lt; 3, and 9 patients had TIMI III flow (9%). While in group II 50 patients had TIMI flow &lt; 3 (50%), and 50 patients had TIMI III flow (50%) with statistical significant difference (P &lt;0.001) (</w:t>
      </w:r>
      <w:r>
        <w:rPr>
          <w:rFonts w:hint="eastAsia"/>
          <w:lang w:eastAsia="zh-CN"/>
        </w:rPr>
        <w:t>F</w:t>
      </w:r>
      <w:r w:rsidRPr="00C05367">
        <w:t>igure</w:t>
      </w:r>
      <w:r>
        <w:rPr>
          <w:rFonts w:hint="eastAsia"/>
          <w:lang w:eastAsia="zh-CN"/>
        </w:rPr>
        <w:t xml:space="preserve"> </w:t>
      </w:r>
      <w:r w:rsidRPr="00C05367">
        <w:t>1). While final TIMI flow showed no statistical significant difference, final TIMI III was achieved in 90 patients (90%) in group I and 95 patients (95%) in group II (P = 0.179), (Table 3</w:t>
      </w:r>
      <w:r>
        <w:rPr>
          <w:rFonts w:hint="eastAsia"/>
          <w:lang w:eastAsia="zh-CN"/>
        </w:rPr>
        <w:t>,</w:t>
      </w:r>
      <w:r w:rsidRPr="00C05367">
        <w:t xml:space="preserve"> </w:t>
      </w:r>
      <w:r>
        <w:rPr>
          <w:rFonts w:hint="eastAsia"/>
          <w:lang w:eastAsia="zh-CN"/>
        </w:rPr>
        <w:t>F</w:t>
      </w:r>
      <w:r w:rsidRPr="00C05367">
        <w:t>igure</w:t>
      </w:r>
      <w:r>
        <w:rPr>
          <w:rFonts w:hint="eastAsia"/>
          <w:lang w:eastAsia="zh-CN"/>
        </w:rPr>
        <w:t>s</w:t>
      </w:r>
      <w:r w:rsidRPr="00C05367">
        <w:t xml:space="preserve"> 2,3)</w:t>
      </w:r>
      <w:r>
        <w:rPr>
          <w:rFonts w:hint="eastAsia"/>
          <w:lang w:eastAsia="zh-CN"/>
        </w:rPr>
        <w:t>.</w:t>
      </w:r>
    </w:p>
    <w:p w:rsidR="00A86FB4" w:rsidRDefault="00A86FB4" w:rsidP="00A86FB4">
      <w:pPr>
        <w:snapToGrid w:val="0"/>
        <w:jc w:val="both"/>
        <w:rPr>
          <w:rFonts w:hint="eastAsia"/>
          <w:b/>
          <w:bCs/>
          <w:color w:val="000000"/>
          <w:lang w:eastAsia="zh-CN"/>
        </w:rPr>
      </w:pPr>
      <w:r w:rsidRPr="00C05367">
        <w:rPr>
          <w:b/>
          <w:bCs/>
          <w:color w:val="000000"/>
        </w:rPr>
        <w:t xml:space="preserve">Major adverse cardiac events: </w:t>
      </w:r>
    </w:p>
    <w:p w:rsidR="00A86FB4" w:rsidRDefault="00A86FB4" w:rsidP="00A86FB4">
      <w:pPr>
        <w:snapToGrid w:val="0"/>
        <w:ind w:firstLine="720"/>
        <w:jc w:val="both"/>
        <w:rPr>
          <w:rFonts w:hint="eastAsia"/>
          <w:lang w:eastAsia="zh-CN"/>
        </w:rPr>
      </w:pPr>
      <w:r w:rsidRPr="00C05367">
        <w:rPr>
          <w:color w:val="000000"/>
        </w:rPr>
        <w:t>During hospital admission, mortality occurred in 4 patients (4%) in group I versus 7 patients (7%) in group II with no statistical significant difference. (p=0.352), congestive heart failure 9% versus 13% (p=0.366) respectively. No cases of re-infarction were recorded during hospital admission. Bleeding complications were more significant in group II</w:t>
      </w:r>
      <w:r w:rsidRPr="00C05367">
        <w:rPr>
          <w:rFonts w:hint="eastAsia"/>
          <w:color w:val="000000"/>
          <w:lang w:eastAsia="zh-CN"/>
        </w:rPr>
        <w:t xml:space="preserve"> </w:t>
      </w:r>
      <w:r w:rsidRPr="00C05367">
        <w:t>than group I, 19 patients (19%) in group II versus 6 patients (6%) of group I (P = 0.005), (Table 3). After 30-days follow up, mortality occurred in 3patients (3%) of both group I and group II (p = 0.635), congestive heart failure occurred in 8patients (8%) in group I versus 3 patients (3%) in group II (p = 0.211). Reinfarction occurred only in3 patients (3%) of group II and did not occur in group I patients (p = 0.139), (Table 3) Echocardiographic findings: The assessment of LV systolic function shows median ejection fraction (EF) 50% and 45% in group I and group II respectively (P =0.682), while after 30-days follow up median EF was 50% in both groups (P = 0.488) with no statistical significant difference.</w:t>
      </w:r>
    </w:p>
    <w:p w:rsidR="00A86FB4" w:rsidRPr="00C05367" w:rsidRDefault="00A86FB4" w:rsidP="001878B7">
      <w:pPr>
        <w:snapToGrid w:val="0"/>
        <w:jc w:val="center"/>
        <w:rPr>
          <w:rFonts w:hint="eastAsia"/>
          <w:lang w:eastAsia="zh-CN"/>
        </w:rPr>
        <w:sectPr w:rsidR="00A86FB4" w:rsidRPr="00C05367" w:rsidSect="00216C80">
          <w:headerReference w:type="default" r:id="rId13"/>
          <w:pgSz w:w="12242" w:h="15842" w:code="1"/>
          <w:pgMar w:top="1440" w:right="1440" w:bottom="1440" w:left="1440" w:header="720" w:footer="720" w:gutter="0"/>
          <w:cols w:num="2" w:space="500"/>
          <w:docGrid w:linePitch="272"/>
        </w:sectPr>
      </w:pPr>
    </w:p>
    <w:p w:rsidR="00A86FB4" w:rsidRDefault="00A86FB4" w:rsidP="001878B7">
      <w:pPr>
        <w:snapToGrid w:val="0"/>
        <w:jc w:val="center"/>
        <w:rPr>
          <w:rFonts w:hint="eastAsia"/>
          <w:lang w:eastAsia="zh-CN"/>
        </w:rPr>
      </w:pPr>
    </w:p>
    <w:p w:rsidR="00FA1397" w:rsidRPr="00C05367" w:rsidRDefault="00FA1397" w:rsidP="001878B7">
      <w:pPr>
        <w:snapToGrid w:val="0"/>
        <w:jc w:val="center"/>
      </w:pPr>
      <w:r w:rsidRPr="00C05367">
        <w:t>Table</w:t>
      </w:r>
      <w:r w:rsidR="00C340D0" w:rsidRPr="00C05367">
        <w:t xml:space="preserve"> </w:t>
      </w:r>
      <w:r w:rsidRPr="00C05367">
        <w:t>(1)</w:t>
      </w:r>
      <w:r w:rsidR="001878B7" w:rsidRPr="00C05367">
        <w:rPr>
          <w:lang w:eastAsia="zh-CN"/>
        </w:rPr>
        <w:t xml:space="preserve"> </w:t>
      </w:r>
      <w:r w:rsidRPr="00C05367">
        <w:t>Baseline clinical,</w:t>
      </w:r>
      <w:r w:rsidR="00C340D0" w:rsidRPr="00C05367">
        <w:t xml:space="preserve"> </w:t>
      </w:r>
      <w:r w:rsidRPr="00C05367">
        <w:t>demographic</w:t>
      </w:r>
      <w:r w:rsidR="00C340D0" w:rsidRPr="00C05367">
        <w:t xml:space="preserve"> </w:t>
      </w:r>
      <w:r w:rsidRPr="00C05367">
        <w:t>characteristics</w:t>
      </w:r>
      <w:r w:rsidR="00C340D0" w:rsidRPr="00C05367">
        <w:t xml:space="preserve"> </w:t>
      </w:r>
      <w:r w:rsidRPr="00C05367">
        <w:t>of</w:t>
      </w:r>
      <w:r w:rsidR="00C340D0" w:rsidRPr="00C05367">
        <w:t xml:space="preserve"> </w:t>
      </w:r>
      <w:r w:rsidRPr="00C05367">
        <w:t>studied</w:t>
      </w:r>
      <w:r w:rsidR="00C340D0" w:rsidRPr="00C05367">
        <w:t xml:space="preserve"> </w:t>
      </w:r>
      <w:r w:rsidRPr="00C05367">
        <w:t>groups</w:t>
      </w:r>
    </w:p>
    <w:tbl>
      <w:tblPr>
        <w:tblW w:w="5000" w:type="pct"/>
        <w:jc w:val="center"/>
        <w:tblCellMar>
          <w:left w:w="57" w:type="dxa"/>
          <w:right w:w="57" w:type="dxa"/>
        </w:tblCellMar>
        <w:tblLook w:val="01E0"/>
      </w:tblPr>
      <w:tblGrid>
        <w:gridCol w:w="3548"/>
        <w:gridCol w:w="2142"/>
        <w:gridCol w:w="2248"/>
        <w:gridCol w:w="769"/>
        <w:gridCol w:w="769"/>
      </w:tblGrid>
      <w:tr w:rsidR="00FA1397" w:rsidRPr="00C05367" w:rsidTr="00E06019">
        <w:trPr>
          <w:jc w:val="center"/>
        </w:trPr>
        <w:tc>
          <w:tcPr>
            <w:tcW w:w="1872"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b/>
              </w:rPr>
              <w:t>Risk Factors</w:t>
            </w:r>
          </w:p>
        </w:tc>
        <w:tc>
          <w:tcPr>
            <w:tcW w:w="1130"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b/>
              </w:rPr>
              <w:t>Group I (n =100)</w:t>
            </w:r>
          </w:p>
        </w:tc>
        <w:tc>
          <w:tcPr>
            <w:tcW w:w="118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b/>
              </w:rPr>
              <w:t>Group II (n =100</w:t>
            </w:r>
            <w:r w:rsidRPr="00C05367">
              <w:rPr>
                <w:rFonts w:eastAsiaTheme="minorEastAsia"/>
              </w:rPr>
              <w:t>)</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b/>
              </w:rPr>
              <w:t>χ2</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b/>
              </w:rPr>
              <w:t>p</w:t>
            </w:r>
          </w:p>
        </w:tc>
      </w:tr>
      <w:tr w:rsidR="00FA1397" w:rsidRPr="00C05367" w:rsidTr="00E06019">
        <w:trPr>
          <w:jc w:val="center"/>
        </w:trPr>
        <w:tc>
          <w:tcPr>
            <w:tcW w:w="1872"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Diabetes</w:t>
            </w:r>
            <w:r w:rsidR="00C340D0" w:rsidRPr="00C05367">
              <w:rPr>
                <w:rFonts w:eastAsiaTheme="minorEastAsia"/>
              </w:rPr>
              <w:t xml:space="preserve"> </w:t>
            </w:r>
            <w:r w:rsidRPr="00C05367">
              <w:rPr>
                <w:rFonts w:eastAsiaTheme="minorEastAsia"/>
              </w:rPr>
              <w:t>Mellitus (</w:t>
            </w:r>
            <w:r w:rsidRPr="00C05367">
              <w:rPr>
                <w:rFonts w:eastAsiaTheme="minorEastAsia"/>
                <w:b/>
              </w:rPr>
              <w:t>No.%)</w:t>
            </w:r>
          </w:p>
        </w:tc>
        <w:tc>
          <w:tcPr>
            <w:tcW w:w="1130"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37(37%)</w:t>
            </w:r>
          </w:p>
        </w:tc>
        <w:tc>
          <w:tcPr>
            <w:tcW w:w="118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33(33%)</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0.32</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0.571</w:t>
            </w:r>
          </w:p>
        </w:tc>
      </w:tr>
      <w:tr w:rsidR="00FA1397" w:rsidRPr="00C05367" w:rsidTr="00E06019">
        <w:trPr>
          <w:jc w:val="center"/>
        </w:trPr>
        <w:tc>
          <w:tcPr>
            <w:tcW w:w="1872"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Hypertension (</w:t>
            </w:r>
            <w:r w:rsidRPr="00C05367">
              <w:rPr>
                <w:rFonts w:eastAsiaTheme="minorEastAsia"/>
                <w:b/>
              </w:rPr>
              <w:t>No.%)</w:t>
            </w:r>
          </w:p>
        </w:tc>
        <w:tc>
          <w:tcPr>
            <w:tcW w:w="1130"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36(36%)</w:t>
            </w:r>
          </w:p>
        </w:tc>
        <w:tc>
          <w:tcPr>
            <w:tcW w:w="118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36(36%)</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1</w:t>
            </w:r>
          </w:p>
        </w:tc>
      </w:tr>
      <w:tr w:rsidR="00FA1397" w:rsidRPr="00C05367" w:rsidTr="00E06019">
        <w:trPr>
          <w:jc w:val="center"/>
        </w:trPr>
        <w:tc>
          <w:tcPr>
            <w:tcW w:w="1872"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Smoking (</w:t>
            </w:r>
            <w:r w:rsidRPr="00C05367">
              <w:rPr>
                <w:rFonts w:eastAsiaTheme="minorEastAsia"/>
                <w:b/>
              </w:rPr>
              <w:t>No.%)</w:t>
            </w:r>
          </w:p>
        </w:tc>
        <w:tc>
          <w:tcPr>
            <w:tcW w:w="1130"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56 (56%)</w:t>
            </w:r>
          </w:p>
        </w:tc>
        <w:tc>
          <w:tcPr>
            <w:tcW w:w="118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52(52%)</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1.47</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0.225</w:t>
            </w:r>
          </w:p>
        </w:tc>
      </w:tr>
      <w:tr w:rsidR="00FA1397" w:rsidRPr="00C05367" w:rsidTr="00E06019">
        <w:trPr>
          <w:jc w:val="center"/>
        </w:trPr>
        <w:tc>
          <w:tcPr>
            <w:tcW w:w="1872"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FH</w:t>
            </w:r>
            <w:r w:rsidR="00C340D0" w:rsidRPr="00C05367">
              <w:rPr>
                <w:rFonts w:eastAsiaTheme="minorEastAsia"/>
              </w:rPr>
              <w:t xml:space="preserve"> </w:t>
            </w:r>
            <w:r w:rsidRPr="00C05367">
              <w:rPr>
                <w:rFonts w:eastAsiaTheme="minorEastAsia"/>
              </w:rPr>
              <w:t>of</w:t>
            </w:r>
            <w:r w:rsidR="00C340D0" w:rsidRPr="00C05367">
              <w:rPr>
                <w:rFonts w:eastAsiaTheme="minorEastAsia"/>
              </w:rPr>
              <w:t xml:space="preserve"> </w:t>
            </w:r>
            <w:r w:rsidRPr="00C05367">
              <w:rPr>
                <w:rFonts w:eastAsiaTheme="minorEastAsia"/>
              </w:rPr>
              <w:t>premature</w:t>
            </w:r>
            <w:r w:rsidR="00C340D0" w:rsidRPr="00C05367">
              <w:rPr>
                <w:rFonts w:eastAsiaTheme="minorEastAsia"/>
              </w:rPr>
              <w:t xml:space="preserve"> </w:t>
            </w:r>
            <w:r w:rsidRPr="00C05367">
              <w:rPr>
                <w:rFonts w:eastAsiaTheme="minorEastAsia"/>
              </w:rPr>
              <w:t>CA</w:t>
            </w:r>
            <w:r w:rsidR="00E06019" w:rsidRPr="00C05367">
              <w:rPr>
                <w:rFonts w:eastAsiaTheme="minorEastAsia"/>
              </w:rPr>
              <w:t>D (</w:t>
            </w:r>
            <w:r w:rsidRPr="00C05367">
              <w:rPr>
                <w:rFonts w:eastAsiaTheme="minorEastAsia"/>
                <w:b/>
              </w:rPr>
              <w:t>No.%)</w:t>
            </w:r>
          </w:p>
        </w:tc>
        <w:tc>
          <w:tcPr>
            <w:tcW w:w="1130"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10(10%)</w:t>
            </w:r>
          </w:p>
        </w:tc>
        <w:tc>
          <w:tcPr>
            <w:tcW w:w="118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18(18%)</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0.417</w:t>
            </w:r>
          </w:p>
        </w:tc>
      </w:tr>
      <w:tr w:rsidR="00FA1397" w:rsidRPr="00C05367" w:rsidTr="00E06019">
        <w:trPr>
          <w:jc w:val="center"/>
        </w:trPr>
        <w:tc>
          <w:tcPr>
            <w:tcW w:w="1872"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Dyslipidaemia</w:t>
            </w:r>
          </w:p>
        </w:tc>
        <w:tc>
          <w:tcPr>
            <w:tcW w:w="1130"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66(66%)</w:t>
            </w:r>
          </w:p>
        </w:tc>
        <w:tc>
          <w:tcPr>
            <w:tcW w:w="118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40(40%)</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1.587</w:t>
            </w:r>
          </w:p>
        </w:tc>
        <w:tc>
          <w:tcPr>
            <w:tcW w:w="406" w:type="pct"/>
            <w:tcBorders>
              <w:top w:val="single" w:sz="5" w:space="0" w:color="000000"/>
              <w:left w:val="single" w:sz="5" w:space="0" w:color="000000"/>
              <w:bottom w:val="single" w:sz="5" w:space="0" w:color="000000"/>
              <w:right w:val="single" w:sz="5" w:space="0" w:color="000000"/>
            </w:tcBorders>
            <w:vAlign w:val="center"/>
          </w:tcPr>
          <w:p w:rsidR="00FA1397" w:rsidRPr="00C05367" w:rsidRDefault="00FA1397" w:rsidP="001878B7">
            <w:pPr>
              <w:snapToGrid w:val="0"/>
              <w:jc w:val="both"/>
              <w:rPr>
                <w:rFonts w:eastAsiaTheme="minorEastAsia"/>
              </w:rPr>
            </w:pPr>
            <w:r w:rsidRPr="00C05367">
              <w:rPr>
                <w:rFonts w:eastAsiaTheme="minorEastAsia"/>
              </w:rPr>
              <w:t>0.208</w:t>
            </w:r>
          </w:p>
        </w:tc>
      </w:tr>
    </w:tbl>
    <w:p w:rsidR="00FA1397" w:rsidRPr="00C05367" w:rsidRDefault="00FA1397" w:rsidP="001878B7">
      <w:pPr>
        <w:snapToGrid w:val="0"/>
        <w:jc w:val="center"/>
      </w:pPr>
    </w:p>
    <w:p w:rsidR="0062468B" w:rsidRPr="00C05367" w:rsidRDefault="007A1135" w:rsidP="001878B7">
      <w:pPr>
        <w:snapToGrid w:val="0"/>
        <w:jc w:val="center"/>
      </w:pPr>
      <w:r w:rsidRPr="00C05367">
        <w:lastRenderedPageBreak/>
        <w:t xml:space="preserve">Table </w:t>
      </w:r>
      <w:r w:rsidR="00CC6629" w:rsidRPr="00C05367">
        <w:t>(</w:t>
      </w:r>
      <w:r w:rsidRPr="00C05367">
        <w:t>2</w:t>
      </w:r>
      <w:r w:rsidR="00CC6629" w:rsidRPr="00C05367">
        <w:t>)</w:t>
      </w:r>
      <w:r w:rsidRPr="00C05367">
        <w:t xml:space="preserve"> Clinical characteristics of the studied groups.</w:t>
      </w:r>
    </w:p>
    <w:tbl>
      <w:tblPr>
        <w:tblW w:w="5000" w:type="pct"/>
        <w:jc w:val="center"/>
        <w:tblCellMar>
          <w:left w:w="57" w:type="dxa"/>
          <w:right w:w="57" w:type="dxa"/>
        </w:tblCellMar>
        <w:tblLook w:val="01E0"/>
      </w:tblPr>
      <w:tblGrid>
        <w:gridCol w:w="3091"/>
        <w:gridCol w:w="853"/>
        <w:gridCol w:w="965"/>
        <w:gridCol w:w="887"/>
        <w:gridCol w:w="1008"/>
        <w:gridCol w:w="1660"/>
        <w:gridCol w:w="1012"/>
      </w:tblGrid>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958"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w:t>
            </w:r>
          </w:p>
        </w:tc>
        <w:tc>
          <w:tcPr>
            <w:tcW w:w="1000"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II</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Test</w:t>
            </w:r>
            <w:r w:rsidR="00F42CE9" w:rsidRPr="00A86FB4">
              <w:rPr>
                <w:rFonts w:eastAsiaTheme="minorEastAsia"/>
                <w:b/>
                <w:sz w:val="18"/>
                <w:szCs w:val="18"/>
              </w:rPr>
              <w:t xml:space="preserve"> </w:t>
            </w:r>
            <w:r w:rsidRPr="00A86FB4">
              <w:rPr>
                <w:rFonts w:eastAsiaTheme="minorEastAsia"/>
                <w:b/>
                <w:sz w:val="18"/>
                <w:szCs w:val="18"/>
              </w:rPr>
              <w:t>of</w:t>
            </w:r>
            <w:r w:rsidR="00C340D0" w:rsidRPr="00A86FB4">
              <w:rPr>
                <w:rFonts w:eastAsiaTheme="minorEastAsia"/>
                <w:b/>
                <w:sz w:val="18"/>
                <w:szCs w:val="18"/>
              </w:rPr>
              <w:t xml:space="preserve"> </w:t>
            </w:r>
            <w:r w:rsidRPr="00A86FB4">
              <w:rPr>
                <w:rFonts w:eastAsiaTheme="minorEastAsia"/>
                <w:b/>
                <w:sz w:val="18"/>
                <w:szCs w:val="18"/>
              </w:rPr>
              <w:t>Sig.</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p</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5000" w:type="pct"/>
            <w:gridSpan w:val="7"/>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Time from onset</w:t>
            </w:r>
            <w:r w:rsidR="00F42CE9" w:rsidRPr="00A86FB4">
              <w:rPr>
                <w:rFonts w:eastAsia="Cambria"/>
                <w:b/>
                <w:sz w:val="18"/>
                <w:szCs w:val="18"/>
              </w:rPr>
              <w:t xml:space="preserve"> </w:t>
            </w:r>
            <w:r w:rsidRPr="00A86FB4">
              <w:rPr>
                <w:rFonts w:eastAsia="Cambria"/>
                <w:b/>
                <w:sz w:val="18"/>
                <w:szCs w:val="18"/>
              </w:rPr>
              <w:t>of</w:t>
            </w:r>
            <w:r w:rsidR="00F42CE9" w:rsidRPr="00A86FB4">
              <w:rPr>
                <w:rFonts w:eastAsia="Cambria"/>
                <w:b/>
                <w:sz w:val="18"/>
                <w:szCs w:val="18"/>
              </w:rPr>
              <w:t xml:space="preserve"> </w:t>
            </w:r>
            <w:r w:rsidRPr="00A86FB4">
              <w:rPr>
                <w:rFonts w:eastAsia="Cambria"/>
                <w:b/>
                <w:sz w:val="18"/>
                <w:szCs w:val="18"/>
              </w:rPr>
              <w:t>symptoms</w:t>
            </w:r>
            <w:r w:rsidR="00F42CE9" w:rsidRPr="00A86FB4">
              <w:rPr>
                <w:rFonts w:eastAsia="Cambria"/>
                <w:b/>
                <w:sz w:val="18"/>
                <w:szCs w:val="18"/>
              </w:rPr>
              <w:t xml:space="preserve"> </w:t>
            </w:r>
            <w:r w:rsidRPr="00A86FB4">
              <w:rPr>
                <w:rFonts w:eastAsia="Cambria"/>
                <w:b/>
                <w:sz w:val="18"/>
                <w:szCs w:val="18"/>
              </w:rPr>
              <w:t>to</w:t>
            </w:r>
            <w:r w:rsidR="00F42CE9" w:rsidRPr="00A86FB4">
              <w:rPr>
                <w:rFonts w:eastAsia="Cambria"/>
                <w:b/>
                <w:sz w:val="18"/>
                <w:szCs w:val="18"/>
              </w:rPr>
              <w:t xml:space="preserve"> </w:t>
            </w:r>
            <w:r w:rsidRPr="00A86FB4">
              <w:rPr>
                <w:rFonts w:eastAsia="Cambria"/>
                <w:b/>
                <w:sz w:val="18"/>
                <w:szCs w:val="18"/>
              </w:rPr>
              <w:t>FMC</w:t>
            </w:r>
            <w:r w:rsidR="00F42CE9" w:rsidRPr="00A86FB4">
              <w:rPr>
                <w:rFonts w:eastAsia="Cambria"/>
                <w:b/>
                <w:sz w:val="18"/>
                <w:szCs w:val="18"/>
              </w:rPr>
              <w:t xml:space="preserve"> </w:t>
            </w:r>
            <w:r w:rsidRPr="00A86FB4">
              <w:rPr>
                <w:rFonts w:eastAsia="Cambria"/>
                <w:b/>
                <w:sz w:val="18"/>
                <w:szCs w:val="18"/>
              </w:rPr>
              <w:t>(Hours)</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Min.– Max.</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0.50 –12.0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 – 12.0</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U=</w:t>
            </w:r>
          </w:p>
          <w:p w:rsidR="0062468B" w:rsidRPr="00A86FB4" w:rsidRDefault="007A1135" w:rsidP="001878B7">
            <w:pPr>
              <w:snapToGrid w:val="0"/>
              <w:jc w:val="both"/>
              <w:rPr>
                <w:rFonts w:eastAsiaTheme="minorEastAsia"/>
                <w:sz w:val="18"/>
                <w:szCs w:val="18"/>
              </w:rPr>
            </w:pPr>
            <w:r w:rsidRPr="00A86FB4">
              <w:rPr>
                <w:rFonts w:eastAsiaTheme="minorEastAsia"/>
                <w:sz w:val="18"/>
                <w:szCs w:val="18"/>
              </w:rPr>
              <w:t>4390.0</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0.132</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Mean±SD.</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5.97 ±4.05</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4.63 ±2.54</w:t>
            </w:r>
          </w:p>
        </w:tc>
        <w:tc>
          <w:tcPr>
            <w:tcW w:w="87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Median</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5.50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4.0</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Pulse (beat/min.)</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Min.– Max.</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40.0 – 120.0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50.0 – 100.0</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t=</w:t>
            </w:r>
          </w:p>
          <w:p w:rsidR="0062468B" w:rsidRPr="00A86FB4" w:rsidRDefault="007A1135" w:rsidP="001878B7">
            <w:pPr>
              <w:snapToGrid w:val="0"/>
              <w:jc w:val="both"/>
              <w:rPr>
                <w:rFonts w:eastAsiaTheme="minorEastAsia"/>
                <w:sz w:val="18"/>
                <w:szCs w:val="18"/>
              </w:rPr>
            </w:pPr>
            <w:r w:rsidRPr="00A86FB4">
              <w:rPr>
                <w:rFonts w:eastAsiaTheme="minorEastAsia"/>
                <w:sz w:val="18"/>
                <w:szCs w:val="18"/>
              </w:rPr>
              <w:t>2.314</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0.022</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Mean±SD.</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17.41±82.40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11.67±77.55</w:t>
            </w:r>
          </w:p>
        </w:tc>
        <w:tc>
          <w:tcPr>
            <w:tcW w:w="87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Median</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80.0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77.50</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5000" w:type="pct"/>
            <w:gridSpan w:val="7"/>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Killip Class</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69</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69.0</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87</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87.0</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χ2=10.158</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MCP=0.004</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2</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27</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27.0</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10.0</w:t>
            </w:r>
          </w:p>
        </w:tc>
        <w:tc>
          <w:tcPr>
            <w:tcW w:w="87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4.0</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5000" w:type="pct"/>
            <w:gridSpan w:val="7"/>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Systolic blood pressure (mmHg)</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Min.– Max.</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100.0 –180.0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100.0 – 150.0</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t=</w:t>
            </w:r>
            <w:r w:rsidR="00A86FB4" w:rsidRPr="00A86FB4">
              <w:rPr>
                <w:rFonts w:eastAsiaTheme="minorEastAsia" w:hint="eastAsia"/>
                <w:sz w:val="18"/>
                <w:szCs w:val="18"/>
                <w:lang w:eastAsia="zh-CN"/>
              </w:rPr>
              <w:t xml:space="preserve"> </w:t>
            </w:r>
            <w:r w:rsidRPr="00A86FB4">
              <w:rPr>
                <w:rFonts w:eastAsiaTheme="minorEastAsia"/>
                <w:sz w:val="18"/>
                <w:szCs w:val="18"/>
              </w:rPr>
              <w:t>3.374</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0.001</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Mean±SD.</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19.0±127.4</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12.10±135.0</w:t>
            </w:r>
          </w:p>
        </w:tc>
        <w:tc>
          <w:tcPr>
            <w:tcW w:w="87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Median</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125.0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140.0</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5000" w:type="pct"/>
            <w:gridSpan w:val="7"/>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Diastolic blood pressure (mmHg)</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Min.– Max.</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60.0 – 110.0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60.0 – 100.0</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t=1.271</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0.205</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Mean±SD.</w:t>
            </w:r>
          </w:p>
        </w:tc>
        <w:tc>
          <w:tcPr>
            <w:tcW w:w="958"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11.01±76.70</w:t>
            </w:r>
          </w:p>
        </w:tc>
        <w:tc>
          <w:tcPr>
            <w:tcW w:w="1000"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10.10±74.80</w:t>
            </w:r>
          </w:p>
        </w:tc>
        <w:tc>
          <w:tcPr>
            <w:tcW w:w="87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Median</w:t>
            </w:r>
          </w:p>
        </w:tc>
        <w:tc>
          <w:tcPr>
            <w:tcW w:w="958"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70.0</w:t>
            </w:r>
          </w:p>
        </w:tc>
        <w:tc>
          <w:tcPr>
            <w:tcW w:w="1000"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70.0</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Location of infarction</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Anterio</w:t>
            </w:r>
            <w:r w:rsidR="0087612C" w:rsidRPr="00A86FB4">
              <w:rPr>
                <w:rFonts w:eastAsiaTheme="minorEastAsia"/>
                <w:sz w:val="18"/>
                <w:szCs w:val="18"/>
              </w:rPr>
              <w:t>r S</w:t>
            </w:r>
            <w:r w:rsidRPr="00A86FB4">
              <w:rPr>
                <w:rFonts w:eastAsiaTheme="minorEastAsia"/>
                <w:sz w:val="18"/>
                <w:szCs w:val="18"/>
              </w:rPr>
              <w:t>TEMI</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69</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69.0</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60</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60.0</w:t>
            </w:r>
          </w:p>
        </w:tc>
        <w:tc>
          <w:tcPr>
            <w:tcW w:w="876"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χ2=1.947</w:t>
            </w:r>
          </w:p>
        </w:tc>
        <w:tc>
          <w:tcPr>
            <w:tcW w:w="535"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MCp=0.414</w:t>
            </w: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Inferio</w:t>
            </w:r>
            <w:r w:rsidR="0087612C" w:rsidRPr="00A86FB4">
              <w:rPr>
                <w:rFonts w:eastAsiaTheme="minorEastAsia"/>
                <w:sz w:val="18"/>
                <w:szCs w:val="18"/>
              </w:rPr>
              <w:t>r S</w:t>
            </w:r>
            <w:r w:rsidRPr="00A86FB4">
              <w:rPr>
                <w:rFonts w:eastAsiaTheme="minorEastAsia"/>
                <w:sz w:val="18"/>
                <w:szCs w:val="18"/>
              </w:rPr>
              <w:t>TEMI</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28</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28.0</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37</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37.0</w:t>
            </w:r>
          </w:p>
        </w:tc>
        <w:tc>
          <w:tcPr>
            <w:tcW w:w="87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jc w:val="center"/>
        </w:trPr>
        <w:tc>
          <w:tcPr>
            <w:tcW w:w="16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Latera</w:t>
            </w:r>
            <w:r w:rsidR="0087612C" w:rsidRPr="00A86FB4">
              <w:rPr>
                <w:rFonts w:eastAsiaTheme="minorEastAsia"/>
                <w:sz w:val="18"/>
                <w:szCs w:val="18"/>
              </w:rPr>
              <w:t>l S</w:t>
            </w:r>
            <w:r w:rsidRPr="00A86FB4">
              <w:rPr>
                <w:rFonts w:eastAsiaTheme="minorEastAsia"/>
                <w:sz w:val="18"/>
                <w:szCs w:val="18"/>
              </w:rPr>
              <w:t>TEMI</w:t>
            </w:r>
          </w:p>
        </w:tc>
        <w:tc>
          <w:tcPr>
            <w:tcW w:w="450"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50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468"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53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87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35"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bl>
    <w:p w:rsidR="00F42CE9" w:rsidRPr="00C05367" w:rsidRDefault="00F42CE9" w:rsidP="001878B7">
      <w:pPr>
        <w:snapToGrid w:val="0"/>
        <w:ind w:firstLine="425"/>
        <w:jc w:val="both"/>
        <w:rPr>
          <w:bCs/>
        </w:rPr>
      </w:pPr>
    </w:p>
    <w:p w:rsidR="0062468B" w:rsidRPr="00C05367" w:rsidRDefault="007A1135" w:rsidP="001878B7">
      <w:pPr>
        <w:snapToGrid w:val="0"/>
        <w:jc w:val="both"/>
        <w:rPr>
          <w:bCs/>
        </w:rPr>
      </w:pPr>
      <w:r w:rsidRPr="00C05367">
        <w:rPr>
          <w:bCs/>
        </w:rPr>
        <w:t>Tabl</w:t>
      </w:r>
      <w:r w:rsidR="00E06019" w:rsidRPr="00C05367">
        <w:rPr>
          <w:bCs/>
        </w:rPr>
        <w:t>e (</w:t>
      </w:r>
      <w:r w:rsidR="00CC6629" w:rsidRPr="00C05367">
        <w:rPr>
          <w:bCs/>
        </w:rPr>
        <w:t xml:space="preserve">3) Comparison </w:t>
      </w:r>
      <w:r w:rsidR="00F42CE9" w:rsidRPr="00C05367">
        <w:rPr>
          <w:bCs/>
        </w:rPr>
        <w:t>between the</w:t>
      </w:r>
      <w:r w:rsidRPr="00C05367">
        <w:rPr>
          <w:bCs/>
        </w:rPr>
        <w:t xml:space="preserve"> two studied groups </w:t>
      </w:r>
      <w:r w:rsidR="00F42CE9" w:rsidRPr="00C05367">
        <w:rPr>
          <w:bCs/>
        </w:rPr>
        <w:t xml:space="preserve">according to </w:t>
      </w:r>
      <w:r w:rsidRPr="00C05367">
        <w:rPr>
          <w:bCs/>
        </w:rPr>
        <w:t>TIMI</w:t>
      </w:r>
      <w:r w:rsidR="00F42CE9" w:rsidRPr="00C05367">
        <w:rPr>
          <w:bCs/>
        </w:rPr>
        <w:t xml:space="preserve"> </w:t>
      </w:r>
      <w:r w:rsidRPr="00C05367">
        <w:rPr>
          <w:bCs/>
        </w:rPr>
        <w:t>flow</w:t>
      </w:r>
      <w:r w:rsidR="00F42CE9" w:rsidRPr="00C05367">
        <w:rPr>
          <w:bCs/>
        </w:rPr>
        <w:t xml:space="preserve"> </w:t>
      </w:r>
      <w:r w:rsidRPr="00C05367">
        <w:rPr>
          <w:bCs/>
        </w:rPr>
        <w:t>score</w:t>
      </w:r>
      <w:r w:rsidR="00F42CE9" w:rsidRPr="00C05367">
        <w:rPr>
          <w:bCs/>
        </w:rPr>
        <w:t xml:space="preserve"> </w:t>
      </w:r>
      <w:r w:rsidRPr="00C05367">
        <w:rPr>
          <w:bCs/>
        </w:rPr>
        <w:t>(base line and</w:t>
      </w:r>
      <w:r w:rsidR="00F42CE9" w:rsidRPr="00C05367">
        <w:rPr>
          <w:bCs/>
        </w:rPr>
        <w:t xml:space="preserve"> </w:t>
      </w:r>
      <w:r w:rsidRPr="00C05367">
        <w:rPr>
          <w:bCs/>
        </w:rPr>
        <w:t>final)</w:t>
      </w:r>
      <w:r w:rsidR="00F42CE9" w:rsidRPr="00C05367">
        <w:rPr>
          <w:bCs/>
        </w:rPr>
        <w:t xml:space="preserve"> </w:t>
      </w:r>
      <w:r w:rsidRPr="00C05367">
        <w:rPr>
          <w:bCs/>
        </w:rPr>
        <w:t>and MACE</w:t>
      </w:r>
      <w:r w:rsidR="00F42CE9" w:rsidRPr="00C05367">
        <w:rPr>
          <w:bCs/>
        </w:rPr>
        <w:t xml:space="preserve"> </w:t>
      </w:r>
      <w:r w:rsidRPr="00C05367">
        <w:rPr>
          <w:bCs/>
        </w:rPr>
        <w:t>during</w:t>
      </w:r>
      <w:r w:rsidR="00F42CE9" w:rsidRPr="00C05367">
        <w:rPr>
          <w:bCs/>
        </w:rPr>
        <w:t xml:space="preserve"> hospital stay</w:t>
      </w:r>
      <w:r w:rsidRPr="00C05367">
        <w:rPr>
          <w:bCs/>
        </w:rPr>
        <w:t xml:space="preserve"> and during30 days </w:t>
      </w:r>
      <w:r w:rsidR="00F42CE9" w:rsidRPr="00C05367">
        <w:rPr>
          <w:bCs/>
        </w:rPr>
        <w:t>follow-up</w:t>
      </w:r>
      <w:r w:rsidRPr="00C05367">
        <w:rPr>
          <w:bCs/>
        </w:rPr>
        <w:t>.</w:t>
      </w:r>
    </w:p>
    <w:tbl>
      <w:tblPr>
        <w:tblW w:w="5000" w:type="pct"/>
        <w:jc w:val="center"/>
        <w:tblCellMar>
          <w:left w:w="57" w:type="dxa"/>
          <w:right w:w="57" w:type="dxa"/>
        </w:tblCellMar>
        <w:tblLook w:val="01E0"/>
      </w:tblPr>
      <w:tblGrid>
        <w:gridCol w:w="1085"/>
        <w:gridCol w:w="1505"/>
        <w:gridCol w:w="371"/>
        <w:gridCol w:w="661"/>
        <w:gridCol w:w="743"/>
        <w:gridCol w:w="747"/>
        <w:gridCol w:w="1059"/>
        <w:gridCol w:w="1198"/>
        <w:gridCol w:w="987"/>
        <w:gridCol w:w="959"/>
        <w:gridCol w:w="161"/>
      </w:tblGrid>
      <w:tr w:rsidR="0062468B" w:rsidRPr="00A86FB4" w:rsidTr="00E06019">
        <w:trPr>
          <w:cantSplit/>
          <w:jc w:val="center"/>
        </w:trPr>
        <w:tc>
          <w:tcPr>
            <w:tcW w:w="57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1330" w:type="pct"/>
            <w:gridSpan w:val="4"/>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w:t>
            </w:r>
            <w:r w:rsidR="0087612C" w:rsidRPr="00A86FB4">
              <w:rPr>
                <w:rFonts w:eastAsiaTheme="minorEastAsia"/>
                <w:b/>
                <w:sz w:val="18"/>
                <w:szCs w:val="18"/>
              </w:rPr>
              <w:t>p I</w:t>
            </w:r>
          </w:p>
        </w:tc>
        <w:tc>
          <w:tcPr>
            <w:tcW w:w="1191"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II</w:t>
            </w:r>
          </w:p>
        </w:tc>
        <w:tc>
          <w:tcPr>
            <w:tcW w:w="521"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rPr>
                <w:rFonts w:eastAsiaTheme="minorEastAsia"/>
                <w:sz w:val="18"/>
                <w:szCs w:val="18"/>
              </w:rPr>
            </w:pPr>
            <w:r w:rsidRPr="00A86FB4">
              <w:rPr>
                <w:rFonts w:eastAsiaTheme="minorEastAsia"/>
                <w:b/>
                <w:sz w:val="18"/>
                <w:szCs w:val="18"/>
              </w:rPr>
              <w:t>Test</w:t>
            </w:r>
            <w:r w:rsidR="00F42CE9" w:rsidRPr="00A86FB4">
              <w:rPr>
                <w:rFonts w:eastAsiaTheme="minorEastAsia"/>
                <w:b/>
                <w:sz w:val="18"/>
                <w:szCs w:val="18"/>
              </w:rPr>
              <w:t xml:space="preserve"> </w:t>
            </w:r>
            <w:r w:rsidRPr="00A86FB4">
              <w:rPr>
                <w:rFonts w:eastAsiaTheme="minorEastAsia"/>
                <w:b/>
                <w:sz w:val="18"/>
                <w:szCs w:val="18"/>
              </w:rPr>
              <w:t>of</w:t>
            </w:r>
            <w:r w:rsidR="00A86FB4" w:rsidRPr="00A86FB4">
              <w:rPr>
                <w:rFonts w:eastAsiaTheme="minorEastAsia" w:hint="eastAsia"/>
                <w:b/>
                <w:sz w:val="18"/>
                <w:szCs w:val="18"/>
                <w:lang w:eastAsia="zh-CN"/>
              </w:rPr>
              <w:t xml:space="preserve"> </w:t>
            </w:r>
            <w:r w:rsidRPr="00A86FB4">
              <w:rPr>
                <w:rFonts w:eastAsiaTheme="minorEastAsia"/>
                <w:b/>
                <w:sz w:val="18"/>
                <w:szCs w:val="18"/>
              </w:rPr>
              <w:t>Sig.</w:t>
            </w:r>
          </w:p>
        </w:tc>
        <w:tc>
          <w:tcPr>
            <w:tcW w:w="50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p</w:t>
            </w:r>
          </w:p>
        </w:tc>
        <w:tc>
          <w:tcPr>
            <w:tcW w:w="87" w:type="pct"/>
            <w:vMerge w:val="restart"/>
            <w:tcBorders>
              <w:top w:val="nil"/>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521"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vMerge w:val="restart"/>
            <w:tcBorders>
              <w:top w:val="single" w:sz="5" w:space="0" w:color="000000"/>
              <w:left w:val="single" w:sz="5" w:space="0" w:color="000000"/>
              <w:right w:val="single" w:sz="5" w:space="0" w:color="000000"/>
            </w:tcBorders>
            <w:textDirection w:val="btLr"/>
            <w:vAlign w:val="center"/>
          </w:tcPr>
          <w:p w:rsidR="0062468B" w:rsidRPr="00A86FB4" w:rsidRDefault="0062468B" w:rsidP="001878B7">
            <w:pPr>
              <w:snapToGrid w:val="0"/>
              <w:jc w:val="both"/>
              <w:rPr>
                <w:rFonts w:eastAsiaTheme="minorEastAsia"/>
                <w:sz w:val="18"/>
                <w:szCs w:val="18"/>
              </w:rPr>
            </w:pPr>
          </w:p>
          <w:p w:rsidR="0062468B" w:rsidRPr="00A86FB4" w:rsidRDefault="007A1135" w:rsidP="00A86FB4">
            <w:pPr>
              <w:snapToGrid w:val="0"/>
              <w:jc w:val="center"/>
              <w:rPr>
                <w:rFonts w:eastAsiaTheme="minorEastAsia"/>
                <w:sz w:val="18"/>
                <w:szCs w:val="18"/>
              </w:rPr>
            </w:pPr>
            <w:r w:rsidRPr="00A86FB4">
              <w:rPr>
                <w:rFonts w:eastAsiaTheme="minorEastAsia"/>
                <w:b/>
                <w:sz w:val="18"/>
                <w:szCs w:val="18"/>
              </w:rPr>
              <w:t>TIMI</w:t>
            </w: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Baseline</w:t>
            </w: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vMerge/>
            <w:tcBorders>
              <w:left w:val="single" w:sz="5" w:space="0" w:color="000000"/>
              <w:right w:val="single" w:sz="5" w:space="0" w:color="000000"/>
            </w:tcBorders>
            <w:textDirection w:val="btLr"/>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&lt;3</w:t>
            </w: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91</w:t>
            </w: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91.0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50</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50.0</w:t>
            </w:r>
          </w:p>
        </w:tc>
        <w:tc>
          <w:tcPr>
            <w:tcW w:w="521"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χ2=40.414</w:t>
            </w:r>
          </w:p>
        </w:tc>
        <w:tc>
          <w:tcPr>
            <w:tcW w:w="50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&lt;0.001</w:t>
            </w: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vMerge/>
            <w:tcBorders>
              <w:left w:val="single" w:sz="5" w:space="0" w:color="000000"/>
              <w:right w:val="single" w:sz="5" w:space="0" w:color="000000"/>
            </w:tcBorders>
            <w:textDirection w:val="btLr"/>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w:t>
            </w: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50</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50.0</w:t>
            </w:r>
          </w:p>
        </w:tc>
        <w:tc>
          <w:tcPr>
            <w:tcW w:w="521"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vMerge/>
            <w:tcBorders>
              <w:left w:val="single" w:sz="5" w:space="0" w:color="000000"/>
              <w:right w:val="single" w:sz="5" w:space="0" w:color="000000"/>
            </w:tcBorders>
            <w:textDirection w:val="btLr"/>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Final</w:t>
            </w: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vMerge/>
            <w:tcBorders>
              <w:left w:val="single" w:sz="5" w:space="0" w:color="000000"/>
              <w:right w:val="single" w:sz="5" w:space="0" w:color="000000"/>
            </w:tcBorders>
            <w:textDirection w:val="btLr"/>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&lt;3</w:t>
            </w: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w:t>
            </w: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10.0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5.0</w:t>
            </w:r>
          </w:p>
        </w:tc>
        <w:tc>
          <w:tcPr>
            <w:tcW w:w="521" w:type="pct"/>
            <w:vMerge w:val="restart"/>
            <w:tcBorders>
              <w:top w:val="single" w:sz="5" w:space="0" w:color="000000"/>
              <w:left w:val="single" w:sz="5" w:space="0" w:color="000000"/>
              <w:right w:val="single" w:sz="5" w:space="0" w:color="000000"/>
            </w:tcBorders>
            <w:vAlign w:val="center"/>
          </w:tcPr>
          <w:p w:rsidR="0062468B" w:rsidRPr="00A86FB4" w:rsidRDefault="007A1135" w:rsidP="00A86FB4">
            <w:pPr>
              <w:snapToGrid w:val="0"/>
              <w:jc w:val="both"/>
              <w:rPr>
                <w:rFonts w:eastAsiaTheme="minorEastAsia"/>
                <w:sz w:val="18"/>
                <w:szCs w:val="18"/>
              </w:rPr>
            </w:pPr>
            <w:r w:rsidRPr="00A86FB4">
              <w:rPr>
                <w:rFonts w:eastAsiaTheme="minorEastAsia"/>
                <w:sz w:val="18"/>
                <w:szCs w:val="18"/>
              </w:rPr>
              <w:t>χ2=1.802</w:t>
            </w:r>
          </w:p>
        </w:tc>
        <w:tc>
          <w:tcPr>
            <w:tcW w:w="50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0.179</w:t>
            </w: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E06019" w:rsidRPr="00A86FB4" w:rsidTr="00E06019">
        <w:trPr>
          <w:cantSplit/>
          <w:jc w:val="center"/>
        </w:trPr>
        <w:tc>
          <w:tcPr>
            <w:tcW w:w="572" w:type="pct"/>
            <w:vMerge/>
            <w:tcBorders>
              <w:left w:val="single" w:sz="5" w:space="0" w:color="000000"/>
              <w:bottom w:val="single" w:sz="5" w:space="0" w:color="000000"/>
              <w:right w:val="single" w:sz="5" w:space="0" w:color="000000"/>
            </w:tcBorders>
            <w:textDirection w:val="btLr"/>
            <w:vAlign w:val="center"/>
          </w:tcPr>
          <w:p w:rsidR="0062468B" w:rsidRPr="00A86FB4" w:rsidRDefault="0062468B" w:rsidP="001878B7">
            <w:pPr>
              <w:snapToGrid w:val="0"/>
              <w:jc w:val="both"/>
              <w:rPr>
                <w:rFonts w:eastAsiaTheme="minorEastAsia"/>
                <w:sz w:val="18"/>
                <w:szCs w:val="18"/>
              </w:rPr>
            </w:pPr>
          </w:p>
        </w:tc>
        <w:tc>
          <w:tcPr>
            <w:tcW w:w="794"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545"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90</w:t>
            </w:r>
          </w:p>
        </w:tc>
        <w:tc>
          <w:tcPr>
            <w:tcW w:w="786"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90.0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95</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95.0</w:t>
            </w:r>
          </w:p>
        </w:tc>
        <w:tc>
          <w:tcPr>
            <w:tcW w:w="521"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87" w:type="pct"/>
            <w:vMerge/>
            <w:tcBorders>
              <w:left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cantSplit/>
          <w:jc w:val="center"/>
        </w:trPr>
        <w:tc>
          <w:tcPr>
            <w:tcW w:w="4913" w:type="pct"/>
            <w:gridSpan w:val="10"/>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 xml:space="preserve">Angiographic finding </w:t>
            </w:r>
            <w:r w:rsidR="00F42CE9" w:rsidRPr="00A86FB4">
              <w:rPr>
                <w:rFonts w:eastAsia="Cambria"/>
                <w:b/>
                <w:sz w:val="18"/>
                <w:szCs w:val="18"/>
              </w:rPr>
              <w:t xml:space="preserve">in the </w:t>
            </w:r>
            <w:r w:rsidRPr="00A86FB4">
              <w:rPr>
                <w:rFonts w:eastAsia="Cambria"/>
                <w:b/>
                <w:sz w:val="18"/>
                <w:szCs w:val="18"/>
              </w:rPr>
              <w:t>two studied groups</w:t>
            </w:r>
          </w:p>
        </w:tc>
        <w:tc>
          <w:tcPr>
            <w:tcW w:w="87" w:type="pct"/>
            <w:vMerge/>
            <w:tcBorders>
              <w:left w:val="single" w:sz="5" w:space="0" w:color="000000"/>
              <w:bottom w:val="single" w:sz="5" w:space="0" w:color="000000"/>
              <w:right w:val="nil"/>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1134"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00E06019" w:rsidRPr="00A86FB4">
              <w:rPr>
                <w:rFonts w:eastAsiaTheme="minorEastAsia"/>
                <w:b/>
                <w:sz w:val="18"/>
                <w:szCs w:val="18"/>
              </w:rPr>
              <w:t>I (</w:t>
            </w:r>
            <w:r w:rsidRPr="00A86FB4">
              <w:rPr>
                <w:rFonts w:eastAsiaTheme="minorEastAsia"/>
                <w:b/>
                <w:sz w:val="18"/>
                <w:szCs w:val="18"/>
              </w:rPr>
              <w:t>n=100)</w:t>
            </w:r>
          </w:p>
        </w:tc>
        <w:tc>
          <w:tcPr>
            <w:tcW w:w="119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II</w:t>
            </w:r>
            <w:r w:rsidR="00F42CE9" w:rsidRPr="00A86FB4">
              <w:rPr>
                <w:rFonts w:eastAsiaTheme="minorEastAsia"/>
                <w:b/>
                <w:sz w:val="18"/>
                <w:szCs w:val="18"/>
              </w:rPr>
              <w:t xml:space="preserve"> </w:t>
            </w:r>
            <w:r w:rsidRPr="00A86FB4">
              <w:rPr>
                <w:rFonts w:eastAsiaTheme="minorEastAsia"/>
                <w:b/>
                <w:sz w:val="18"/>
                <w:szCs w:val="18"/>
              </w:rPr>
              <w:t>(n=100)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p</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Multivessel</w:t>
            </w:r>
            <w:r w:rsidR="00F42CE9" w:rsidRPr="00A86FB4">
              <w:rPr>
                <w:rFonts w:eastAsiaTheme="minorEastAsia"/>
                <w:b/>
                <w:sz w:val="18"/>
                <w:szCs w:val="18"/>
              </w:rPr>
              <w:t xml:space="preserve"> </w:t>
            </w:r>
            <w:r w:rsidRPr="00A86FB4">
              <w:rPr>
                <w:rFonts w:eastAsiaTheme="minorEastAsia"/>
                <w:b/>
                <w:sz w:val="18"/>
                <w:szCs w:val="18"/>
              </w:rPr>
              <w:t>disease</w:t>
            </w:r>
          </w:p>
        </w:tc>
        <w:tc>
          <w:tcPr>
            <w:tcW w:w="1134"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44(44%)</w:t>
            </w:r>
          </w:p>
        </w:tc>
        <w:tc>
          <w:tcPr>
            <w:tcW w:w="119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46(46%)</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Ns</w:t>
            </w:r>
          </w:p>
        </w:tc>
      </w:tr>
      <w:tr w:rsidR="0062468B" w:rsidRPr="00A86FB4" w:rsidTr="00E06019">
        <w:trPr>
          <w:gridAfter w:val="1"/>
          <w:wAfter w:w="87" w:type="pct"/>
          <w:cantSplit/>
          <w:jc w:val="center"/>
        </w:trPr>
        <w:tc>
          <w:tcPr>
            <w:tcW w:w="4913" w:type="pct"/>
            <w:gridSpan w:val="10"/>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Infarct-related artery</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LAD</w:t>
            </w:r>
          </w:p>
        </w:tc>
        <w:tc>
          <w:tcPr>
            <w:tcW w:w="1134"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70(70%)</w:t>
            </w:r>
          </w:p>
        </w:tc>
        <w:tc>
          <w:tcPr>
            <w:tcW w:w="119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62(62%)</w:t>
            </w:r>
          </w:p>
        </w:tc>
        <w:tc>
          <w:tcPr>
            <w:tcW w:w="521" w:type="pct"/>
            <w:vMerge w:val="restart"/>
            <w:tcBorders>
              <w:top w:val="single" w:sz="5" w:space="0" w:color="000000"/>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Ns</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LCX</w:t>
            </w:r>
          </w:p>
        </w:tc>
        <w:tc>
          <w:tcPr>
            <w:tcW w:w="1134"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9(9%)</w:t>
            </w:r>
          </w:p>
        </w:tc>
        <w:tc>
          <w:tcPr>
            <w:tcW w:w="119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10(10%)</w:t>
            </w:r>
          </w:p>
        </w:tc>
        <w:tc>
          <w:tcPr>
            <w:tcW w:w="521"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RCA</w:t>
            </w:r>
          </w:p>
        </w:tc>
        <w:tc>
          <w:tcPr>
            <w:tcW w:w="1134"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21(21%)</w:t>
            </w:r>
          </w:p>
        </w:tc>
        <w:tc>
          <w:tcPr>
            <w:tcW w:w="119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bCs/>
                <w:sz w:val="18"/>
                <w:szCs w:val="18"/>
              </w:rPr>
            </w:pPr>
            <w:r w:rsidRPr="00A86FB4">
              <w:rPr>
                <w:rFonts w:eastAsiaTheme="minorEastAsia"/>
                <w:bCs/>
                <w:sz w:val="18"/>
                <w:szCs w:val="18"/>
              </w:rPr>
              <w:t>26(26%)</w:t>
            </w:r>
          </w:p>
        </w:tc>
        <w:tc>
          <w:tcPr>
            <w:tcW w:w="521"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gridAfter w:val="1"/>
          <w:wAfter w:w="87" w:type="pct"/>
          <w:cantSplit/>
          <w:jc w:val="center"/>
        </w:trPr>
        <w:tc>
          <w:tcPr>
            <w:tcW w:w="4913" w:type="pct"/>
            <w:gridSpan w:val="10"/>
            <w:tcBorders>
              <w:top w:val="nil"/>
              <w:left w:val="single" w:sz="5" w:space="0" w:color="000000"/>
              <w:bottom w:val="nil"/>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Major adverse cardiacevents</w:t>
            </w:r>
            <w:r w:rsidR="00F42CE9" w:rsidRPr="00A86FB4">
              <w:rPr>
                <w:rFonts w:eastAsia="Cambria"/>
                <w:b/>
                <w:sz w:val="18"/>
                <w:szCs w:val="18"/>
              </w:rPr>
              <w:t xml:space="preserve"> </w:t>
            </w:r>
            <w:r w:rsidRPr="00A86FB4">
              <w:rPr>
                <w:rFonts w:eastAsia="Cambria"/>
                <w:b/>
                <w:sz w:val="18"/>
                <w:szCs w:val="18"/>
              </w:rPr>
              <w:t>during hospital stay in</w:t>
            </w:r>
            <w:r w:rsidR="00F42CE9" w:rsidRPr="00A86FB4">
              <w:rPr>
                <w:rFonts w:eastAsia="Cambria"/>
                <w:b/>
                <w:sz w:val="18"/>
                <w:szCs w:val="18"/>
              </w:rPr>
              <w:t xml:space="preserve"> </w:t>
            </w:r>
            <w:r w:rsidRPr="00A86FB4">
              <w:rPr>
                <w:rFonts w:eastAsia="Cambria"/>
                <w:b/>
                <w:sz w:val="18"/>
                <w:szCs w:val="18"/>
              </w:rPr>
              <w:t>the study population</w:t>
            </w:r>
          </w:p>
        </w:tc>
      </w:tr>
      <w:tr w:rsidR="0062468B" w:rsidRPr="00A86FB4" w:rsidTr="00E06019">
        <w:trPr>
          <w:gridAfter w:val="1"/>
          <w:wAfter w:w="87" w:type="pct"/>
          <w:cantSplit/>
          <w:jc w:val="center"/>
        </w:trPr>
        <w:tc>
          <w:tcPr>
            <w:tcW w:w="1562" w:type="pct"/>
            <w:gridSpan w:val="3"/>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Complication</w:t>
            </w:r>
          </w:p>
        </w:tc>
        <w:tc>
          <w:tcPr>
            <w:tcW w:w="1134" w:type="pct"/>
            <w:gridSpan w:val="3"/>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w:t>
            </w:r>
            <w:r w:rsidR="0087612C" w:rsidRPr="00A86FB4">
              <w:rPr>
                <w:rFonts w:eastAsiaTheme="minorEastAsia"/>
                <w:b/>
                <w:sz w:val="18"/>
                <w:szCs w:val="18"/>
              </w:rPr>
              <w:t>p I</w:t>
            </w:r>
            <w:r w:rsidR="00E06019" w:rsidRPr="00A86FB4">
              <w:rPr>
                <w:rFonts w:eastAsiaTheme="minorEastAsia"/>
                <w:b/>
                <w:sz w:val="18"/>
                <w:szCs w:val="18"/>
              </w:rPr>
              <w:t xml:space="preserve"> (</w:t>
            </w:r>
            <w:r w:rsidRPr="00A86FB4">
              <w:rPr>
                <w:rFonts w:eastAsiaTheme="minorEastAsia"/>
                <w:b/>
                <w:sz w:val="18"/>
                <w:szCs w:val="18"/>
              </w:rPr>
              <w:t>n=100)</w:t>
            </w:r>
          </w:p>
        </w:tc>
        <w:tc>
          <w:tcPr>
            <w:tcW w:w="1191"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w:t>
            </w:r>
            <w:r w:rsidR="00E06019" w:rsidRPr="00A86FB4">
              <w:rPr>
                <w:rFonts w:eastAsiaTheme="minorEastAsia"/>
                <w:b/>
                <w:sz w:val="18"/>
                <w:szCs w:val="18"/>
              </w:rPr>
              <w:t>I (</w:t>
            </w:r>
            <w:r w:rsidRPr="00A86FB4">
              <w:rPr>
                <w:rFonts w:eastAsiaTheme="minorEastAsia"/>
                <w:b/>
                <w:sz w:val="18"/>
                <w:szCs w:val="18"/>
              </w:rPr>
              <w:t>n=100)</w:t>
            </w:r>
          </w:p>
        </w:tc>
        <w:tc>
          <w:tcPr>
            <w:tcW w:w="521"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χ2</w:t>
            </w:r>
          </w:p>
        </w:tc>
        <w:tc>
          <w:tcPr>
            <w:tcW w:w="50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FEp</w:t>
            </w:r>
          </w:p>
        </w:tc>
      </w:tr>
      <w:tr w:rsidR="0062468B" w:rsidRPr="00A86FB4" w:rsidTr="00E06019">
        <w:trPr>
          <w:gridAfter w:val="1"/>
          <w:wAfter w:w="87" w:type="pct"/>
          <w:cantSplit/>
          <w:jc w:val="center"/>
        </w:trPr>
        <w:tc>
          <w:tcPr>
            <w:tcW w:w="1562" w:type="pct"/>
            <w:gridSpan w:val="3"/>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521"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In hospital</w:t>
            </w:r>
            <w:r w:rsidR="00F42CE9" w:rsidRPr="00A86FB4">
              <w:rPr>
                <w:rFonts w:eastAsiaTheme="minorEastAsia"/>
                <w:sz w:val="18"/>
                <w:szCs w:val="18"/>
              </w:rPr>
              <w:t xml:space="preserve"> </w:t>
            </w:r>
            <w:r w:rsidRPr="00A86FB4">
              <w:rPr>
                <w:rFonts w:eastAsiaTheme="minorEastAsia"/>
                <w:sz w:val="18"/>
                <w:szCs w:val="18"/>
              </w:rPr>
              <w:t>Mortality</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4.0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7</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7.0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0.866</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0.352</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Re-infarction</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Bleeding complication</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6.0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19</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19.0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7.726</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0.005</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CHF</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9.0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13</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13.0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0.817</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0.366</w:t>
            </w:r>
          </w:p>
        </w:tc>
      </w:tr>
      <w:tr w:rsidR="0062468B" w:rsidRPr="00A86FB4" w:rsidTr="00E06019">
        <w:trPr>
          <w:gridAfter w:val="1"/>
          <w:wAfter w:w="87" w:type="pct"/>
          <w:cantSplit/>
          <w:jc w:val="center"/>
        </w:trPr>
        <w:tc>
          <w:tcPr>
            <w:tcW w:w="4913" w:type="pct"/>
            <w:gridSpan w:val="10"/>
            <w:tcBorders>
              <w:top w:val="nil"/>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Cambria"/>
                <w:sz w:val="18"/>
                <w:szCs w:val="18"/>
              </w:rPr>
            </w:pPr>
            <w:r w:rsidRPr="00A86FB4">
              <w:rPr>
                <w:rFonts w:eastAsia="Cambria"/>
                <w:b/>
                <w:sz w:val="18"/>
                <w:szCs w:val="18"/>
              </w:rPr>
              <w:t>Major adverse cardiacevents during 30-daysfollowupinthe study population</w:t>
            </w:r>
          </w:p>
        </w:tc>
      </w:tr>
      <w:tr w:rsidR="0062468B" w:rsidRPr="00A86FB4" w:rsidTr="00E06019">
        <w:trPr>
          <w:gridAfter w:val="1"/>
          <w:wAfter w:w="87" w:type="pct"/>
          <w:cantSplit/>
          <w:jc w:val="center"/>
        </w:trPr>
        <w:tc>
          <w:tcPr>
            <w:tcW w:w="1562" w:type="pct"/>
            <w:gridSpan w:val="3"/>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Complication</w:t>
            </w:r>
          </w:p>
        </w:tc>
        <w:tc>
          <w:tcPr>
            <w:tcW w:w="1134" w:type="pct"/>
            <w:gridSpan w:val="3"/>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w:t>
            </w:r>
          </w:p>
        </w:tc>
        <w:tc>
          <w:tcPr>
            <w:tcW w:w="1191" w:type="pct"/>
            <w:gridSpan w:val="2"/>
            <w:tcBorders>
              <w:top w:val="single" w:sz="5" w:space="0" w:color="000000"/>
              <w:left w:val="single" w:sz="5" w:space="0" w:color="000000"/>
              <w:bottom w:val="nil"/>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Group</w:t>
            </w:r>
            <w:r w:rsidR="00F42CE9" w:rsidRPr="00A86FB4">
              <w:rPr>
                <w:rFonts w:eastAsiaTheme="minorEastAsia"/>
                <w:b/>
                <w:sz w:val="18"/>
                <w:szCs w:val="18"/>
              </w:rPr>
              <w:t xml:space="preserve"> </w:t>
            </w:r>
            <w:r w:rsidRPr="00A86FB4">
              <w:rPr>
                <w:rFonts w:eastAsiaTheme="minorEastAsia"/>
                <w:b/>
                <w:sz w:val="18"/>
                <w:szCs w:val="18"/>
              </w:rPr>
              <w:t>II</w:t>
            </w:r>
          </w:p>
        </w:tc>
        <w:tc>
          <w:tcPr>
            <w:tcW w:w="521"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χ2</w:t>
            </w:r>
          </w:p>
        </w:tc>
        <w:tc>
          <w:tcPr>
            <w:tcW w:w="506" w:type="pct"/>
            <w:vMerge w:val="restart"/>
            <w:tcBorders>
              <w:top w:val="single" w:sz="5" w:space="0" w:color="000000"/>
              <w:left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FEp</w:t>
            </w:r>
          </w:p>
        </w:tc>
      </w:tr>
      <w:tr w:rsidR="0062468B" w:rsidRPr="00A86FB4" w:rsidTr="00E06019">
        <w:trPr>
          <w:gridAfter w:val="1"/>
          <w:wAfter w:w="87" w:type="pct"/>
          <w:cantSplit/>
          <w:jc w:val="center"/>
        </w:trPr>
        <w:tc>
          <w:tcPr>
            <w:tcW w:w="1562" w:type="pct"/>
            <w:gridSpan w:val="3"/>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No.</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b/>
                <w:sz w:val="18"/>
                <w:szCs w:val="18"/>
              </w:rPr>
              <w:t>%</w:t>
            </w:r>
          </w:p>
        </w:tc>
        <w:tc>
          <w:tcPr>
            <w:tcW w:w="521"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c>
          <w:tcPr>
            <w:tcW w:w="506" w:type="pct"/>
            <w:vMerge/>
            <w:tcBorders>
              <w:left w:val="single" w:sz="5" w:space="0" w:color="000000"/>
              <w:bottom w:val="single" w:sz="5" w:space="0" w:color="000000"/>
              <w:right w:val="single" w:sz="5" w:space="0" w:color="000000"/>
            </w:tcBorders>
            <w:vAlign w:val="center"/>
          </w:tcPr>
          <w:p w:rsidR="0062468B" w:rsidRPr="00A86FB4" w:rsidRDefault="0062468B" w:rsidP="001878B7">
            <w:pPr>
              <w:snapToGrid w:val="0"/>
              <w:jc w:val="both"/>
              <w:rPr>
                <w:rFonts w:eastAsiaTheme="minorEastAsia"/>
                <w:sz w:val="18"/>
                <w:szCs w:val="18"/>
              </w:rPr>
            </w:pP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30daysfollowu</w:t>
            </w:r>
            <w:r w:rsidR="0087612C" w:rsidRPr="00A86FB4">
              <w:rPr>
                <w:rFonts w:eastAsiaTheme="minorEastAsia"/>
                <w:sz w:val="18"/>
                <w:szCs w:val="18"/>
              </w:rPr>
              <w:t>p M</w:t>
            </w:r>
            <w:r w:rsidRPr="00A86FB4">
              <w:rPr>
                <w:rFonts w:eastAsiaTheme="minorEastAsia"/>
                <w:sz w:val="18"/>
                <w:szCs w:val="18"/>
              </w:rPr>
              <w:t>ortality</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0.934</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0.635</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 day</w:t>
            </w:r>
            <w:r w:rsidR="0087612C" w:rsidRPr="00A86FB4">
              <w:rPr>
                <w:rFonts w:eastAsiaTheme="minorEastAsia"/>
                <w:sz w:val="18"/>
                <w:szCs w:val="18"/>
              </w:rPr>
              <w:t>s R</w:t>
            </w:r>
            <w:r w:rsidRPr="00A86FB4">
              <w:rPr>
                <w:rFonts w:eastAsiaTheme="minorEastAsia"/>
                <w:sz w:val="18"/>
                <w:szCs w:val="18"/>
              </w:rPr>
              <w:t>e-infarction</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3.603</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0.139</w:t>
            </w:r>
          </w:p>
        </w:tc>
      </w:tr>
      <w:tr w:rsidR="0062468B" w:rsidRPr="00A86FB4" w:rsidTr="00E06019">
        <w:trPr>
          <w:gridAfter w:val="1"/>
          <w:wAfter w:w="87" w:type="pct"/>
          <w:cantSplit/>
          <w:jc w:val="center"/>
        </w:trPr>
        <w:tc>
          <w:tcPr>
            <w:tcW w:w="1562" w:type="pct"/>
            <w:gridSpan w:val="3"/>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 day</w:t>
            </w:r>
            <w:r w:rsidR="0087612C" w:rsidRPr="00A86FB4">
              <w:rPr>
                <w:rFonts w:eastAsiaTheme="minorEastAsia"/>
                <w:sz w:val="18"/>
                <w:szCs w:val="18"/>
              </w:rPr>
              <w:t>s C</w:t>
            </w:r>
            <w:r w:rsidRPr="00A86FB4">
              <w:rPr>
                <w:rFonts w:eastAsiaTheme="minorEastAsia"/>
                <w:sz w:val="18"/>
                <w:szCs w:val="18"/>
              </w:rPr>
              <w:t>HF</w:t>
            </w:r>
          </w:p>
        </w:tc>
        <w:tc>
          <w:tcPr>
            <w:tcW w:w="741" w:type="pct"/>
            <w:gridSpan w:val="2"/>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8</w:t>
            </w:r>
          </w:p>
        </w:tc>
        <w:tc>
          <w:tcPr>
            <w:tcW w:w="393"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8.0</w:t>
            </w:r>
          </w:p>
        </w:tc>
        <w:tc>
          <w:tcPr>
            <w:tcW w:w="559"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w:t>
            </w:r>
          </w:p>
        </w:tc>
        <w:tc>
          <w:tcPr>
            <w:tcW w:w="632"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3.0</w:t>
            </w:r>
          </w:p>
        </w:tc>
        <w:tc>
          <w:tcPr>
            <w:tcW w:w="521"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3.113</w:t>
            </w:r>
          </w:p>
        </w:tc>
        <w:tc>
          <w:tcPr>
            <w:tcW w:w="506" w:type="pct"/>
            <w:tcBorders>
              <w:top w:val="single" w:sz="5" w:space="0" w:color="000000"/>
              <w:left w:val="single" w:sz="5" w:space="0" w:color="000000"/>
              <w:bottom w:val="single" w:sz="5" w:space="0" w:color="000000"/>
              <w:right w:val="single" w:sz="5" w:space="0" w:color="000000"/>
            </w:tcBorders>
            <w:vAlign w:val="center"/>
          </w:tcPr>
          <w:p w:rsidR="0062468B" w:rsidRPr="00A86FB4" w:rsidRDefault="007A1135" w:rsidP="001878B7">
            <w:pPr>
              <w:snapToGrid w:val="0"/>
              <w:jc w:val="both"/>
              <w:rPr>
                <w:rFonts w:eastAsiaTheme="minorEastAsia"/>
                <w:sz w:val="18"/>
                <w:szCs w:val="18"/>
              </w:rPr>
            </w:pPr>
            <w:r w:rsidRPr="00A86FB4">
              <w:rPr>
                <w:rFonts w:eastAsiaTheme="minorEastAsia"/>
                <w:sz w:val="18"/>
                <w:szCs w:val="18"/>
              </w:rPr>
              <w:t>0.211</w:t>
            </w:r>
          </w:p>
        </w:tc>
      </w:tr>
    </w:tbl>
    <w:p w:rsidR="007430E9" w:rsidRPr="00C05367" w:rsidRDefault="007430E9" w:rsidP="001878B7">
      <w:pPr>
        <w:snapToGrid w:val="0"/>
        <w:ind w:firstLine="425"/>
        <w:jc w:val="both"/>
      </w:pPr>
    </w:p>
    <w:p w:rsidR="001878B7" w:rsidRPr="00C05367" w:rsidRDefault="001878B7" w:rsidP="001878B7">
      <w:pPr>
        <w:snapToGrid w:val="0"/>
        <w:ind w:firstLine="425"/>
        <w:jc w:val="both"/>
        <w:sectPr w:rsidR="001878B7" w:rsidRPr="00C05367" w:rsidSect="00E06019">
          <w:type w:val="continuous"/>
          <w:pgSz w:w="12242" w:h="15842" w:code="1"/>
          <w:pgMar w:top="1440" w:right="1440" w:bottom="1440" w:left="1440" w:header="720" w:footer="720" w:gutter="0"/>
          <w:cols w:space="720"/>
          <w:docGrid w:linePitch="272"/>
        </w:sectPr>
      </w:pPr>
    </w:p>
    <w:p w:rsidR="000C3081" w:rsidRPr="00C05367" w:rsidRDefault="00A86FB4" w:rsidP="001878B7">
      <w:pPr>
        <w:snapToGrid w:val="0"/>
        <w:jc w:val="center"/>
        <w:rPr>
          <w:color w:val="000000"/>
        </w:rPr>
      </w:pPr>
      <w:r w:rsidRPr="00C05367">
        <w:rPr>
          <w:noProof/>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16.65pt;height:147.15pt;visibility:visible;mso-wrap-style:square">
            <v:imagedata r:id="rId14" o:title=""/>
          </v:shape>
        </w:pict>
      </w:r>
    </w:p>
    <w:p w:rsidR="00E06019" w:rsidRPr="00C05367" w:rsidRDefault="000C3081" w:rsidP="0087612C">
      <w:pPr>
        <w:snapToGrid w:val="0"/>
        <w:jc w:val="both"/>
        <w:rPr>
          <w:color w:val="000000"/>
        </w:rPr>
      </w:pPr>
      <w:r w:rsidRPr="00C05367">
        <w:rPr>
          <w:b/>
          <w:bCs/>
          <w:color w:val="000000"/>
        </w:rPr>
        <w:t>TIMI=thrombolysis in myocardial infarction</w:t>
      </w:r>
      <w:r w:rsidR="0087612C" w:rsidRPr="00C05367">
        <w:rPr>
          <w:rFonts w:hint="eastAsia"/>
          <w:b/>
          <w:bCs/>
          <w:color w:val="000000"/>
          <w:lang w:eastAsia="zh-CN"/>
        </w:rPr>
        <w:t xml:space="preserve">, </w:t>
      </w:r>
      <w:r w:rsidRPr="00C05367">
        <w:rPr>
          <w:b/>
          <w:bCs/>
          <w:color w:val="000000"/>
        </w:rPr>
        <w:t>PCI=primary percutaneous coronary intervention</w:t>
      </w:r>
    </w:p>
    <w:p w:rsidR="000C3081" w:rsidRPr="00C05367" w:rsidRDefault="00E06019" w:rsidP="0087612C">
      <w:pPr>
        <w:snapToGrid w:val="0"/>
        <w:jc w:val="both"/>
        <w:rPr>
          <w:color w:val="000000"/>
          <w:lang w:eastAsia="zh-CN"/>
        </w:rPr>
      </w:pPr>
      <w:r w:rsidRPr="00C05367">
        <w:rPr>
          <w:color w:val="000000"/>
        </w:rPr>
        <w:t>F</w:t>
      </w:r>
      <w:r w:rsidR="000C3081" w:rsidRPr="00C05367">
        <w:rPr>
          <w:color w:val="000000"/>
        </w:rPr>
        <w:t>igure (1) TIMI score in both groups</w:t>
      </w:r>
    </w:p>
    <w:p w:rsidR="00E06019" w:rsidRPr="00C05367" w:rsidRDefault="00E06019" w:rsidP="001878B7">
      <w:pPr>
        <w:snapToGrid w:val="0"/>
        <w:ind w:firstLine="425"/>
        <w:jc w:val="both"/>
        <w:rPr>
          <w:color w:val="000000"/>
          <w:lang w:eastAsia="zh-CN"/>
        </w:rPr>
      </w:pPr>
    </w:p>
    <w:p w:rsidR="000C3081" w:rsidRPr="00C05367" w:rsidRDefault="00A86FB4" w:rsidP="001878B7">
      <w:pPr>
        <w:snapToGrid w:val="0"/>
        <w:jc w:val="center"/>
        <w:rPr>
          <w:color w:val="000000"/>
        </w:rPr>
      </w:pPr>
      <w:r w:rsidRPr="00C05367">
        <w:rPr>
          <w:noProof/>
          <w:color w:val="000000"/>
          <w:lang w:eastAsia="zh-CN"/>
        </w:rPr>
        <w:pict>
          <v:shape id="Picture 4" o:spid="_x0000_i1026" type="#_x0000_t75" style="width:220.4pt;height:157.15pt;visibility:visible;mso-wrap-style:square">
            <v:imagedata r:id="rId15" o:title=""/>
          </v:shape>
        </w:pict>
      </w:r>
    </w:p>
    <w:p w:rsidR="00CA42D7" w:rsidRPr="00C05367" w:rsidRDefault="000C3081" w:rsidP="0087612C">
      <w:pPr>
        <w:snapToGrid w:val="0"/>
        <w:jc w:val="both"/>
        <w:rPr>
          <w:color w:val="000000"/>
        </w:rPr>
      </w:pPr>
      <w:r w:rsidRPr="00C05367">
        <w:rPr>
          <w:b/>
          <w:bCs/>
          <w:color w:val="000000"/>
        </w:rPr>
        <w:t>TIMI=thrombolysis in myocardial infarction</w:t>
      </w:r>
      <w:r w:rsidR="0087612C" w:rsidRPr="00C05367">
        <w:rPr>
          <w:rFonts w:hint="eastAsia"/>
          <w:b/>
          <w:bCs/>
          <w:color w:val="000000"/>
          <w:lang w:eastAsia="zh-CN"/>
        </w:rPr>
        <w:t xml:space="preserve">, </w:t>
      </w:r>
      <w:r w:rsidRPr="00C05367">
        <w:rPr>
          <w:b/>
          <w:bCs/>
          <w:color w:val="000000"/>
        </w:rPr>
        <w:t>PCI=primary percutaneous coronary intervention</w:t>
      </w:r>
    </w:p>
    <w:p w:rsidR="000C3081" w:rsidRPr="00C05367" w:rsidRDefault="000C3081" w:rsidP="0087612C">
      <w:pPr>
        <w:snapToGrid w:val="0"/>
        <w:jc w:val="both"/>
        <w:rPr>
          <w:b/>
          <w:bCs/>
          <w:color w:val="000000"/>
        </w:rPr>
      </w:pPr>
      <w:r w:rsidRPr="00C05367">
        <w:rPr>
          <w:b/>
          <w:bCs/>
          <w:color w:val="000000"/>
        </w:rPr>
        <w:t>Figure (2) TIMI flow pre PCI in both groups</w:t>
      </w:r>
    </w:p>
    <w:p w:rsidR="000C3081" w:rsidRPr="00C05367" w:rsidRDefault="000C3081" w:rsidP="001878B7">
      <w:pPr>
        <w:snapToGrid w:val="0"/>
        <w:ind w:firstLine="425"/>
        <w:jc w:val="both"/>
        <w:rPr>
          <w:color w:val="000000"/>
        </w:rPr>
      </w:pPr>
    </w:p>
    <w:p w:rsidR="000C3081" w:rsidRPr="00C05367" w:rsidRDefault="00A86FB4" w:rsidP="001878B7">
      <w:pPr>
        <w:snapToGrid w:val="0"/>
        <w:jc w:val="center"/>
        <w:rPr>
          <w:color w:val="000000"/>
        </w:rPr>
      </w:pPr>
      <w:r w:rsidRPr="00C05367">
        <w:rPr>
          <w:noProof/>
          <w:lang w:eastAsia="zh-CN"/>
        </w:rPr>
        <w:pict>
          <v:shape id="Picture 5" o:spid="_x0000_i1027" type="#_x0000_t75" style="width:226.65pt;height:163.4pt;visibility:visible;mso-wrap-style:square">
            <v:imagedata r:id="rId16" o:title=""/>
          </v:shape>
        </w:pict>
      </w:r>
    </w:p>
    <w:p w:rsidR="000C3081" w:rsidRPr="00C05367" w:rsidRDefault="000C3081" w:rsidP="0087612C">
      <w:pPr>
        <w:snapToGrid w:val="0"/>
        <w:jc w:val="center"/>
        <w:rPr>
          <w:b/>
          <w:bCs/>
          <w:color w:val="000000"/>
        </w:rPr>
      </w:pPr>
      <w:r w:rsidRPr="00C05367">
        <w:rPr>
          <w:b/>
          <w:bCs/>
          <w:color w:val="000000"/>
        </w:rPr>
        <w:t>Figure (3) TIMI flow post PCI in both groups</w:t>
      </w:r>
    </w:p>
    <w:p w:rsidR="00DA1AA3" w:rsidRPr="00C05367" w:rsidRDefault="00DA1AA3" w:rsidP="001878B7">
      <w:pPr>
        <w:snapToGrid w:val="0"/>
        <w:ind w:firstLine="425"/>
        <w:jc w:val="both"/>
      </w:pPr>
    </w:p>
    <w:p w:rsidR="000C3081" w:rsidRPr="00C05367" w:rsidRDefault="00C05367" w:rsidP="001878B7">
      <w:pPr>
        <w:snapToGrid w:val="0"/>
        <w:jc w:val="center"/>
      </w:pPr>
      <w:r w:rsidRPr="00C05367">
        <w:rPr>
          <w:noProof/>
          <w:lang w:eastAsia="zh-CN"/>
        </w:rPr>
        <w:lastRenderedPageBreak/>
        <w:pict>
          <v:shape id="Picture 6" o:spid="_x0000_i1028" type="#_x0000_t75" style="width:212.85pt;height:149.65pt;visibility:visible;mso-wrap-style:square">
            <v:imagedata r:id="rId17" o:title=""/>
          </v:shape>
        </w:pict>
      </w:r>
    </w:p>
    <w:p w:rsidR="000C3081" w:rsidRPr="00C05367" w:rsidRDefault="000C3081" w:rsidP="0087612C">
      <w:pPr>
        <w:snapToGrid w:val="0"/>
        <w:jc w:val="center"/>
        <w:rPr>
          <w:b/>
          <w:bCs/>
        </w:rPr>
      </w:pPr>
      <w:r w:rsidRPr="00C05367">
        <w:rPr>
          <w:b/>
          <w:bCs/>
        </w:rPr>
        <w:t>AKI= acute kidney injury HF=heart failure</w:t>
      </w:r>
    </w:p>
    <w:p w:rsidR="000C3081" w:rsidRPr="00C05367" w:rsidRDefault="000C3081" w:rsidP="0087612C">
      <w:pPr>
        <w:snapToGrid w:val="0"/>
        <w:jc w:val="center"/>
      </w:pPr>
      <w:r w:rsidRPr="00C05367">
        <w:t>Figure (4</w:t>
      </w:r>
      <w:r w:rsidR="00912022" w:rsidRPr="00C05367">
        <w:t>) Complications</w:t>
      </w:r>
      <w:r w:rsidRPr="00C05367">
        <w:t xml:space="preserve"> in both groups</w:t>
      </w:r>
    </w:p>
    <w:p w:rsidR="00912022" w:rsidRPr="00C05367" w:rsidRDefault="00912022" w:rsidP="001878B7">
      <w:pPr>
        <w:snapToGrid w:val="0"/>
        <w:ind w:firstLine="425"/>
        <w:jc w:val="both"/>
      </w:pPr>
    </w:p>
    <w:p w:rsidR="000C3081" w:rsidRPr="00C05367" w:rsidRDefault="000C3081" w:rsidP="001878B7">
      <w:pPr>
        <w:snapToGrid w:val="0"/>
        <w:jc w:val="both"/>
        <w:rPr>
          <w:b/>
          <w:bCs/>
        </w:rPr>
      </w:pPr>
      <w:r w:rsidRPr="00C05367">
        <w:rPr>
          <w:b/>
          <w:bCs/>
        </w:rPr>
        <w:t xml:space="preserve">Assessment of the left ventricular </w:t>
      </w:r>
      <w:r w:rsidR="00F42CE9" w:rsidRPr="00C05367">
        <w:rPr>
          <w:b/>
          <w:bCs/>
        </w:rPr>
        <w:t>systolic function</w:t>
      </w:r>
      <w:r w:rsidRPr="00C05367">
        <w:rPr>
          <w:b/>
          <w:bCs/>
        </w:rPr>
        <w:t xml:space="preserve"> by M-Mode echocardiography before</w:t>
      </w:r>
      <w:r w:rsidR="007C094C" w:rsidRPr="00C05367">
        <w:rPr>
          <w:b/>
          <w:bCs/>
        </w:rPr>
        <w:t xml:space="preserve"> </w:t>
      </w:r>
      <w:r w:rsidRPr="00C05367">
        <w:rPr>
          <w:b/>
          <w:bCs/>
        </w:rPr>
        <w:t>Discharge:</w:t>
      </w:r>
    </w:p>
    <w:p w:rsidR="000C3081" w:rsidRDefault="000C3081" w:rsidP="001878B7">
      <w:pPr>
        <w:snapToGrid w:val="0"/>
        <w:ind w:firstLine="425"/>
        <w:jc w:val="both"/>
        <w:rPr>
          <w:rFonts w:hint="eastAsia"/>
          <w:lang w:eastAsia="zh-CN"/>
        </w:rPr>
      </w:pPr>
      <w:r w:rsidRPr="00C05367">
        <w:t xml:space="preserve">EF of the study population ranged from30% to 71% with mean EF of 46.44% ± 8.42%. </w:t>
      </w:r>
      <w:r w:rsidR="00F42CE9" w:rsidRPr="00C05367">
        <w:t>In-group</w:t>
      </w:r>
      <w:r w:rsidRPr="00C05367">
        <w:t xml:space="preserve"> I, EF ranged from 37% to 65% with mean</w:t>
      </w:r>
      <w:r w:rsidR="00F42CE9" w:rsidRPr="00C05367">
        <w:t xml:space="preserve"> </w:t>
      </w:r>
      <w:r w:rsidRPr="00C05367">
        <w:t xml:space="preserve">EF of 48.44% ± 6.41%. In group II, EF </w:t>
      </w:r>
      <w:r w:rsidR="00F42CE9" w:rsidRPr="00C05367">
        <w:t>ranged from</w:t>
      </w:r>
      <w:r w:rsidRPr="00C05367">
        <w:t xml:space="preserve"> 30% to 71% with mean EF of 44.44% ±9.768%. There was no statistically </w:t>
      </w:r>
      <w:r w:rsidR="00C05367" w:rsidRPr="00C05367">
        <w:t>significant difference</w:t>
      </w:r>
      <w:r w:rsidRPr="00C05367">
        <w:t xml:space="preserve"> between the two groups (P value=0.094)</w:t>
      </w:r>
      <w:r w:rsidR="00A86FB4">
        <w:rPr>
          <w:rFonts w:hint="eastAsia"/>
          <w:lang w:eastAsia="zh-CN"/>
        </w:rPr>
        <w:t>.</w:t>
      </w:r>
    </w:p>
    <w:p w:rsidR="00A86FB4" w:rsidRPr="00C05367" w:rsidRDefault="00A86FB4" w:rsidP="001878B7">
      <w:pPr>
        <w:snapToGrid w:val="0"/>
        <w:ind w:firstLine="425"/>
        <w:jc w:val="both"/>
        <w:rPr>
          <w:rFonts w:hint="eastAsia"/>
          <w:lang w:eastAsia="zh-CN"/>
        </w:rPr>
      </w:pPr>
    </w:p>
    <w:p w:rsidR="000C3081" w:rsidRPr="00C05367" w:rsidRDefault="000C3081" w:rsidP="001878B7">
      <w:pPr>
        <w:snapToGrid w:val="0"/>
        <w:jc w:val="both"/>
        <w:rPr>
          <w:b/>
          <w:bCs/>
        </w:rPr>
      </w:pPr>
      <w:r w:rsidRPr="00C05367">
        <w:rPr>
          <w:b/>
          <w:bCs/>
        </w:rPr>
        <w:t xml:space="preserve">Assessment of the GLS (%) by 2D </w:t>
      </w:r>
      <w:r w:rsidR="00F42CE9" w:rsidRPr="00C05367">
        <w:rPr>
          <w:b/>
          <w:bCs/>
        </w:rPr>
        <w:t>speckle tracking</w:t>
      </w:r>
      <w:r w:rsidRPr="00C05367">
        <w:rPr>
          <w:b/>
          <w:bCs/>
        </w:rPr>
        <w:t xml:space="preserve"> echocardiography before discharge:</w:t>
      </w:r>
    </w:p>
    <w:p w:rsidR="000C3081" w:rsidRPr="00C05367" w:rsidRDefault="000C3081" w:rsidP="001878B7">
      <w:pPr>
        <w:snapToGrid w:val="0"/>
        <w:ind w:firstLine="425"/>
        <w:jc w:val="both"/>
      </w:pPr>
      <w:r w:rsidRPr="00C05367">
        <w:t>GLS of the study population ranged from17.2% to 7.25% with a mean GLS of 12.54 ±2.37%. In group I GLS ranged from 17.2% to11.7% with a mean GLS of 13.892 ± 1.656%. In</w:t>
      </w:r>
      <w:r w:rsidR="00F42CE9" w:rsidRPr="00C05367">
        <w:t xml:space="preserve"> </w:t>
      </w:r>
      <w:r w:rsidRPr="00C05367">
        <w:t xml:space="preserve">group II GLS ranged from 15.9% to 7.25% with </w:t>
      </w:r>
      <w:r w:rsidR="00C05367" w:rsidRPr="00C05367">
        <w:t>a mean</w:t>
      </w:r>
      <w:r w:rsidRPr="00C05367">
        <w:t xml:space="preserve"> GLS of 11.18 ± 2.207%. There was </w:t>
      </w:r>
      <w:r w:rsidR="00F42CE9" w:rsidRPr="00C05367">
        <w:t>a statistically</w:t>
      </w:r>
      <w:r w:rsidR="00912022" w:rsidRPr="00C05367">
        <w:t xml:space="preserve"> significant difference between both</w:t>
      </w:r>
      <w:r w:rsidR="0087612C" w:rsidRPr="00C05367">
        <w:rPr>
          <w:rFonts w:hint="eastAsia"/>
          <w:lang w:eastAsia="zh-CN"/>
        </w:rPr>
        <w:t xml:space="preserve"> </w:t>
      </w:r>
      <w:r w:rsidR="00912022" w:rsidRPr="00C05367">
        <w:t>groups (P value&lt;0.001) (Table 4).</w:t>
      </w:r>
    </w:p>
    <w:p w:rsidR="000C3081" w:rsidRPr="00C05367" w:rsidRDefault="000C3081" w:rsidP="001878B7">
      <w:pPr>
        <w:snapToGrid w:val="0"/>
        <w:ind w:firstLine="425"/>
        <w:jc w:val="both"/>
      </w:pPr>
    </w:p>
    <w:p w:rsidR="00912022" w:rsidRPr="00C05367" w:rsidRDefault="00C05367" w:rsidP="001878B7">
      <w:pPr>
        <w:snapToGrid w:val="0"/>
        <w:jc w:val="center"/>
      </w:pPr>
      <w:r w:rsidRPr="00C05367">
        <w:rPr>
          <w:noProof/>
          <w:lang w:eastAsia="zh-CN"/>
        </w:rPr>
        <w:pict>
          <v:shape id="Picture 7" o:spid="_x0000_i1029" type="#_x0000_t75" style="width:212.85pt;height:160.3pt;visibility:visible;mso-wrap-style:square">
            <v:imagedata r:id="rId18" o:title=""/>
          </v:shape>
        </w:pict>
      </w:r>
    </w:p>
    <w:p w:rsidR="00912022" w:rsidRPr="00C05367" w:rsidRDefault="00912022" w:rsidP="0087612C">
      <w:pPr>
        <w:snapToGrid w:val="0"/>
        <w:jc w:val="both"/>
        <w:rPr>
          <w:b/>
          <w:bCs/>
          <w:color w:val="000000"/>
        </w:rPr>
      </w:pPr>
      <w:r w:rsidRPr="00C05367">
        <w:rPr>
          <w:b/>
          <w:bCs/>
          <w:color w:val="000000"/>
        </w:rPr>
        <w:t>GLS= Global longitudinal strain, PCI= primary</w:t>
      </w:r>
      <w:r w:rsidR="00F42CE9" w:rsidRPr="00C05367">
        <w:rPr>
          <w:b/>
          <w:bCs/>
          <w:color w:val="000000"/>
        </w:rPr>
        <w:t xml:space="preserve"> </w:t>
      </w:r>
      <w:r w:rsidRPr="00C05367">
        <w:rPr>
          <w:b/>
          <w:bCs/>
          <w:color w:val="000000"/>
        </w:rPr>
        <w:t xml:space="preserve">percutaneous coronary intervention </w:t>
      </w:r>
    </w:p>
    <w:p w:rsidR="00912022" w:rsidRPr="00C05367" w:rsidRDefault="00912022" w:rsidP="0087612C">
      <w:pPr>
        <w:snapToGrid w:val="0"/>
        <w:jc w:val="both"/>
        <w:rPr>
          <w:b/>
          <w:bCs/>
          <w:color w:val="000000"/>
        </w:rPr>
      </w:pPr>
      <w:r w:rsidRPr="00C05367">
        <w:rPr>
          <w:b/>
          <w:bCs/>
          <w:color w:val="000000"/>
        </w:rPr>
        <w:t>Figure 5:</w:t>
      </w:r>
      <w:r w:rsidR="00E06019" w:rsidRPr="00C05367">
        <w:rPr>
          <w:b/>
          <w:bCs/>
          <w:color w:val="000000"/>
        </w:rPr>
        <w:t xml:space="preserve"> </w:t>
      </w:r>
      <w:r w:rsidRPr="00C05367">
        <w:rPr>
          <w:b/>
          <w:bCs/>
          <w:color w:val="000000"/>
        </w:rPr>
        <w:t>Comparison between GLS of group I and II</w:t>
      </w:r>
    </w:p>
    <w:p w:rsidR="001878B7" w:rsidRPr="00C05367" w:rsidRDefault="001878B7" w:rsidP="001878B7">
      <w:pPr>
        <w:snapToGrid w:val="0"/>
        <w:jc w:val="center"/>
        <w:rPr>
          <w:rFonts w:eastAsia="Calibri"/>
          <w:bCs/>
        </w:rPr>
        <w:sectPr w:rsidR="001878B7" w:rsidRPr="00C05367" w:rsidSect="001878B7">
          <w:type w:val="continuous"/>
          <w:pgSz w:w="12242" w:h="15842" w:code="1"/>
          <w:pgMar w:top="1440" w:right="1440" w:bottom="1440" w:left="1440" w:header="720" w:footer="720" w:gutter="0"/>
          <w:cols w:num="2" w:space="500"/>
          <w:docGrid w:linePitch="272"/>
        </w:sectPr>
      </w:pPr>
    </w:p>
    <w:p w:rsidR="00A86FB4" w:rsidRDefault="00A86FB4" w:rsidP="001878B7">
      <w:pPr>
        <w:snapToGrid w:val="0"/>
        <w:jc w:val="center"/>
        <w:rPr>
          <w:rFonts w:eastAsiaTheme="minorEastAsia" w:hint="eastAsia"/>
          <w:bCs/>
          <w:lang w:eastAsia="zh-CN"/>
        </w:rPr>
      </w:pPr>
    </w:p>
    <w:p w:rsidR="00A86FB4" w:rsidRDefault="00A86FB4" w:rsidP="001878B7">
      <w:pPr>
        <w:snapToGrid w:val="0"/>
        <w:jc w:val="center"/>
        <w:rPr>
          <w:rFonts w:eastAsiaTheme="minorEastAsia" w:hint="eastAsia"/>
          <w:bCs/>
          <w:lang w:eastAsia="zh-CN"/>
        </w:rPr>
      </w:pPr>
    </w:p>
    <w:p w:rsidR="00C36433" w:rsidRPr="00C05367" w:rsidRDefault="00C36433" w:rsidP="001878B7">
      <w:pPr>
        <w:snapToGrid w:val="0"/>
        <w:jc w:val="center"/>
        <w:rPr>
          <w:bCs/>
        </w:rPr>
      </w:pPr>
      <w:r w:rsidRPr="00C05367">
        <w:rPr>
          <w:rFonts w:eastAsia="Calibri"/>
          <w:bCs/>
        </w:rPr>
        <w:t>Table</w:t>
      </w:r>
      <w:r w:rsidR="00C05367" w:rsidRPr="00C05367">
        <w:rPr>
          <w:rFonts w:eastAsiaTheme="minorEastAsia" w:hint="eastAsia"/>
          <w:bCs/>
          <w:lang w:eastAsia="zh-CN"/>
        </w:rPr>
        <w:t xml:space="preserve"> </w:t>
      </w:r>
      <w:r w:rsidRPr="00C05367">
        <w:rPr>
          <w:rFonts w:eastAsia="Calibri"/>
          <w:bCs/>
        </w:rPr>
        <w:t>4</w:t>
      </w:r>
      <w:r w:rsidR="0087612C" w:rsidRPr="00C05367">
        <w:rPr>
          <w:rFonts w:eastAsia="Calibri"/>
          <w:bCs/>
        </w:rPr>
        <w:t xml:space="preserve">: </w:t>
      </w:r>
      <w:r w:rsidR="00C05367" w:rsidRPr="00C05367">
        <w:rPr>
          <w:rFonts w:eastAsia="Calibri"/>
          <w:bCs/>
        </w:rPr>
        <w:t>Compares</w:t>
      </w:r>
      <w:r w:rsidR="0087612C" w:rsidRPr="00C05367">
        <w:rPr>
          <w:rFonts w:eastAsiaTheme="minorEastAsia" w:hint="eastAsia"/>
          <w:bCs/>
          <w:lang w:eastAsia="zh-CN"/>
        </w:rPr>
        <w:t xml:space="preserve"> </w:t>
      </w:r>
      <w:r w:rsidRPr="00C05367">
        <w:rPr>
          <w:rFonts w:eastAsia="Calibri"/>
          <w:bCs/>
        </w:rPr>
        <w:t>on</w:t>
      </w:r>
      <w:r w:rsidR="0087612C" w:rsidRPr="00C05367">
        <w:rPr>
          <w:rFonts w:eastAsiaTheme="minorEastAsia" w:hint="eastAsia"/>
          <w:bCs/>
          <w:lang w:eastAsia="zh-CN"/>
        </w:rPr>
        <w:t xml:space="preserve"> </w:t>
      </w:r>
      <w:r w:rsidRPr="00C05367">
        <w:rPr>
          <w:rFonts w:eastAsia="Calibri"/>
          <w:bCs/>
        </w:rPr>
        <w:t>between</w:t>
      </w:r>
      <w:r w:rsidR="0087612C" w:rsidRPr="00C05367">
        <w:rPr>
          <w:rFonts w:eastAsiaTheme="minorEastAsia" w:hint="eastAsia"/>
          <w:bCs/>
          <w:lang w:eastAsia="zh-CN"/>
        </w:rPr>
        <w:t xml:space="preserve"> </w:t>
      </w:r>
      <w:r w:rsidRPr="00C05367">
        <w:rPr>
          <w:rFonts w:eastAsia="Calibri"/>
          <w:bCs/>
        </w:rPr>
        <w:t>the</w:t>
      </w:r>
      <w:r w:rsidR="0087612C" w:rsidRPr="00C05367">
        <w:rPr>
          <w:rFonts w:eastAsiaTheme="minorEastAsia" w:hint="eastAsia"/>
          <w:bCs/>
          <w:lang w:eastAsia="zh-CN"/>
        </w:rPr>
        <w:t xml:space="preserve"> </w:t>
      </w:r>
      <w:r w:rsidRPr="00C05367">
        <w:rPr>
          <w:rFonts w:eastAsia="Calibri"/>
          <w:bCs/>
        </w:rPr>
        <w:t>two</w:t>
      </w:r>
      <w:r w:rsidR="0087612C" w:rsidRPr="00C05367">
        <w:rPr>
          <w:rFonts w:eastAsiaTheme="minorEastAsia" w:hint="eastAsia"/>
          <w:bCs/>
          <w:lang w:eastAsia="zh-CN"/>
        </w:rPr>
        <w:t xml:space="preserve"> </w:t>
      </w:r>
      <w:r w:rsidRPr="00C05367">
        <w:rPr>
          <w:rFonts w:eastAsia="Calibri"/>
          <w:bCs/>
        </w:rPr>
        <w:t>studied</w:t>
      </w:r>
      <w:r w:rsidR="0087612C" w:rsidRPr="00C05367">
        <w:rPr>
          <w:rFonts w:eastAsiaTheme="minorEastAsia" w:hint="eastAsia"/>
          <w:bCs/>
          <w:lang w:eastAsia="zh-CN"/>
        </w:rPr>
        <w:t xml:space="preserve"> </w:t>
      </w:r>
      <w:r w:rsidRPr="00C05367">
        <w:rPr>
          <w:rFonts w:eastAsia="Calibri"/>
          <w:bCs/>
        </w:rPr>
        <w:t>groups</w:t>
      </w:r>
      <w:r w:rsidR="0087612C" w:rsidRPr="00C05367">
        <w:rPr>
          <w:rFonts w:eastAsiaTheme="minorEastAsia" w:hint="eastAsia"/>
          <w:bCs/>
          <w:lang w:eastAsia="zh-CN"/>
        </w:rPr>
        <w:t xml:space="preserve"> </w:t>
      </w:r>
      <w:r w:rsidRPr="00C05367">
        <w:rPr>
          <w:rFonts w:eastAsia="Calibri"/>
          <w:bCs/>
        </w:rPr>
        <w:t>according</w:t>
      </w:r>
      <w:r w:rsidR="0087612C" w:rsidRPr="00C05367">
        <w:rPr>
          <w:rFonts w:eastAsiaTheme="minorEastAsia" w:hint="eastAsia"/>
          <w:bCs/>
          <w:lang w:eastAsia="zh-CN"/>
        </w:rPr>
        <w:t xml:space="preserve"> </w:t>
      </w:r>
      <w:r w:rsidRPr="00C05367">
        <w:rPr>
          <w:rFonts w:eastAsia="Calibri"/>
          <w:bCs/>
        </w:rPr>
        <w:t>to</w:t>
      </w:r>
      <w:r w:rsidR="0087612C" w:rsidRPr="00C05367">
        <w:rPr>
          <w:rFonts w:eastAsiaTheme="minorEastAsia" w:hint="eastAsia"/>
          <w:bCs/>
          <w:lang w:eastAsia="zh-CN"/>
        </w:rPr>
        <w:t xml:space="preserve"> </w:t>
      </w:r>
      <w:r w:rsidRPr="00C05367">
        <w:rPr>
          <w:rFonts w:eastAsia="Calibri"/>
          <w:bCs/>
        </w:rPr>
        <w:t>GLS</w:t>
      </w:r>
    </w:p>
    <w:tbl>
      <w:tblPr>
        <w:tblW w:w="5000" w:type="pct"/>
        <w:jc w:val="center"/>
        <w:tblCellMar>
          <w:left w:w="57" w:type="dxa"/>
          <w:right w:w="57" w:type="dxa"/>
        </w:tblCellMar>
        <w:tblLook w:val="01E0"/>
      </w:tblPr>
      <w:tblGrid>
        <w:gridCol w:w="1386"/>
        <w:gridCol w:w="3102"/>
        <w:gridCol w:w="3201"/>
        <w:gridCol w:w="796"/>
        <w:gridCol w:w="991"/>
      </w:tblGrid>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GLS %(50)</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Primary PC</w:t>
            </w:r>
            <w:r w:rsidR="00E06019" w:rsidRPr="00C05367">
              <w:rPr>
                <w:rFonts w:eastAsiaTheme="minorEastAsia"/>
                <w:b/>
              </w:rPr>
              <w:t>I (</w:t>
            </w:r>
            <w:r w:rsidRPr="00C05367">
              <w:rPr>
                <w:rFonts w:eastAsiaTheme="minorEastAsia"/>
                <w:b/>
              </w:rPr>
              <w:t>n=100)</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Pharmacoinvasive</w:t>
            </w:r>
            <w:r w:rsidR="00F42CE9" w:rsidRPr="00C05367">
              <w:rPr>
                <w:rFonts w:eastAsiaTheme="minorEastAsia"/>
                <w:b/>
              </w:rPr>
              <w:t xml:space="preserve"> </w:t>
            </w:r>
            <w:r w:rsidRPr="00C05367">
              <w:rPr>
                <w:rFonts w:eastAsiaTheme="minorEastAsia"/>
                <w:b/>
              </w:rPr>
              <w:t>(n=100)</w:t>
            </w:r>
          </w:p>
        </w:tc>
        <w:tc>
          <w:tcPr>
            <w:tcW w:w="420"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T</w:t>
            </w:r>
            <w:r w:rsidR="00F42CE9" w:rsidRPr="00C05367">
              <w:rPr>
                <w:rFonts w:eastAsiaTheme="minorEastAsia"/>
                <w:b/>
              </w:rPr>
              <w:t xml:space="preserve"> </w:t>
            </w:r>
            <w:r w:rsidRPr="00C05367">
              <w:rPr>
                <w:rFonts w:eastAsiaTheme="minorEastAsia"/>
                <w:b/>
              </w:rPr>
              <w:t>test</w:t>
            </w:r>
          </w:p>
        </w:tc>
        <w:tc>
          <w:tcPr>
            <w:tcW w:w="524"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P Value</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Mean±SD</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13.892±1.656</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11.18±2.207</w:t>
            </w:r>
          </w:p>
        </w:tc>
        <w:tc>
          <w:tcPr>
            <w:tcW w:w="420"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-4.914</w:t>
            </w:r>
          </w:p>
        </w:tc>
        <w:tc>
          <w:tcPr>
            <w:tcW w:w="524"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&lt;0.001*</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Max.-Min</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(17.2-11.7)</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(15.9-7.25)</w:t>
            </w:r>
          </w:p>
        </w:tc>
        <w:tc>
          <w:tcPr>
            <w:tcW w:w="420"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c>
          <w:tcPr>
            <w:tcW w:w="524"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r>
      <w:tr w:rsidR="00C36433" w:rsidRPr="00C05367" w:rsidTr="00E06019">
        <w:trPr>
          <w:jc w:val="center"/>
        </w:trPr>
        <w:tc>
          <w:tcPr>
            <w:tcW w:w="5000" w:type="pct"/>
            <w:gridSpan w:val="5"/>
            <w:tcBorders>
              <w:top w:val="nil"/>
              <w:left w:val="single" w:sz="5" w:space="0" w:color="000000"/>
              <w:bottom w:val="nil"/>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Comparison</w:t>
            </w:r>
            <w:r w:rsidR="00F42CE9" w:rsidRPr="00C05367">
              <w:rPr>
                <w:rFonts w:eastAsia="Calibri"/>
                <w:b/>
              </w:rPr>
              <w:t xml:space="preserve"> </w:t>
            </w:r>
            <w:r w:rsidRPr="00C05367">
              <w:rPr>
                <w:rFonts w:eastAsia="Calibri"/>
                <w:b/>
              </w:rPr>
              <w:t>between</w:t>
            </w:r>
            <w:r w:rsidR="00F42CE9" w:rsidRPr="00C05367">
              <w:rPr>
                <w:rFonts w:eastAsia="Calibri"/>
                <w:b/>
              </w:rPr>
              <w:t xml:space="preserve"> </w:t>
            </w:r>
            <w:r w:rsidRPr="00C05367">
              <w:rPr>
                <w:rFonts w:eastAsia="Calibri"/>
                <w:b/>
              </w:rPr>
              <w:t>GLS of patients</w:t>
            </w:r>
            <w:r w:rsidR="00F42CE9" w:rsidRPr="00C05367">
              <w:rPr>
                <w:rFonts w:eastAsia="Calibri"/>
                <w:b/>
              </w:rPr>
              <w:t xml:space="preserve"> </w:t>
            </w:r>
            <w:r w:rsidRPr="00C05367">
              <w:rPr>
                <w:rFonts w:eastAsia="Calibri"/>
                <w:b/>
              </w:rPr>
              <w:t>with</w:t>
            </w:r>
            <w:r w:rsidR="00F42CE9" w:rsidRPr="00C05367">
              <w:rPr>
                <w:rFonts w:eastAsia="Calibri"/>
                <w:b/>
              </w:rPr>
              <w:t xml:space="preserve"> </w:t>
            </w:r>
            <w:r w:rsidRPr="00C05367">
              <w:rPr>
                <w:rFonts w:eastAsia="Calibri"/>
                <w:b/>
              </w:rPr>
              <w:t>anterior</w:t>
            </w:r>
            <w:r w:rsidR="00F42CE9" w:rsidRPr="00C05367">
              <w:rPr>
                <w:rFonts w:eastAsia="Calibri"/>
                <w:b/>
              </w:rPr>
              <w:t xml:space="preserve"> </w:t>
            </w:r>
            <w:r w:rsidRPr="00C05367">
              <w:rPr>
                <w:rFonts w:eastAsia="Calibri"/>
                <w:b/>
              </w:rPr>
              <w:t>STEMI</w:t>
            </w:r>
            <w:r w:rsidR="00F42CE9" w:rsidRPr="00C05367">
              <w:rPr>
                <w:rFonts w:eastAsia="Calibri"/>
                <w:b/>
              </w:rPr>
              <w:t xml:space="preserve"> </w:t>
            </w:r>
            <w:r w:rsidRPr="00C05367">
              <w:rPr>
                <w:rFonts w:eastAsia="Calibri"/>
                <w:b/>
              </w:rPr>
              <w:t>in</w:t>
            </w:r>
            <w:r w:rsidR="00F42CE9" w:rsidRPr="00C05367">
              <w:rPr>
                <w:rFonts w:eastAsia="Calibri"/>
                <w:b/>
              </w:rPr>
              <w:t xml:space="preserve"> </w:t>
            </w:r>
            <w:r w:rsidRPr="00C05367">
              <w:rPr>
                <w:rFonts w:eastAsia="Calibri"/>
                <w:b/>
              </w:rPr>
              <w:t>both</w:t>
            </w:r>
            <w:r w:rsidR="00F42CE9" w:rsidRPr="00C05367">
              <w:rPr>
                <w:rFonts w:eastAsia="Calibri"/>
                <w:b/>
              </w:rPr>
              <w:t xml:space="preserve"> </w:t>
            </w:r>
            <w:r w:rsidRPr="00C05367">
              <w:rPr>
                <w:rFonts w:eastAsia="Calibri"/>
                <w:b/>
              </w:rPr>
              <w:t>groups</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GLS %(36)</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Anterior STEMI in group I</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Anterior STEMI in group II</w:t>
            </w:r>
          </w:p>
        </w:tc>
        <w:tc>
          <w:tcPr>
            <w:tcW w:w="420"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T</w:t>
            </w:r>
            <w:r w:rsidR="00F42CE9" w:rsidRPr="00C05367">
              <w:rPr>
                <w:rFonts w:eastAsiaTheme="minorEastAsia"/>
                <w:b/>
              </w:rPr>
              <w:t xml:space="preserve"> </w:t>
            </w:r>
            <w:r w:rsidRPr="00C05367">
              <w:rPr>
                <w:rFonts w:eastAsiaTheme="minorEastAsia"/>
                <w:b/>
              </w:rPr>
              <w:t>test</w:t>
            </w:r>
          </w:p>
        </w:tc>
        <w:tc>
          <w:tcPr>
            <w:tcW w:w="524"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P Value</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Mean±SD</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-13.111±0.75</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-10.375±1.378</w:t>
            </w:r>
          </w:p>
        </w:tc>
        <w:tc>
          <w:tcPr>
            <w:tcW w:w="420"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-7.398</w:t>
            </w:r>
          </w:p>
        </w:tc>
        <w:tc>
          <w:tcPr>
            <w:tcW w:w="524"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&lt;0.001*</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Max.-Min</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(-14.2- -11.7)</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(-12.1--7.25)</w:t>
            </w:r>
          </w:p>
        </w:tc>
        <w:tc>
          <w:tcPr>
            <w:tcW w:w="420"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c>
          <w:tcPr>
            <w:tcW w:w="524"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r>
      <w:tr w:rsidR="00C36433" w:rsidRPr="00C05367" w:rsidTr="00E06019">
        <w:trPr>
          <w:jc w:val="center"/>
        </w:trPr>
        <w:tc>
          <w:tcPr>
            <w:tcW w:w="5000" w:type="pct"/>
            <w:gridSpan w:val="5"/>
            <w:tcBorders>
              <w:top w:val="nil"/>
              <w:left w:val="single" w:sz="5" w:space="0" w:color="000000"/>
              <w:bottom w:val="nil"/>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Comparison</w:t>
            </w:r>
            <w:r w:rsidR="00F42CE9" w:rsidRPr="00C05367">
              <w:rPr>
                <w:rFonts w:eastAsia="Calibri"/>
                <w:b/>
              </w:rPr>
              <w:t xml:space="preserve"> </w:t>
            </w:r>
            <w:r w:rsidRPr="00C05367">
              <w:rPr>
                <w:rFonts w:eastAsia="Calibri"/>
                <w:b/>
              </w:rPr>
              <w:t>between</w:t>
            </w:r>
            <w:r w:rsidR="00F42CE9" w:rsidRPr="00C05367">
              <w:rPr>
                <w:rFonts w:eastAsia="Calibri"/>
                <w:b/>
              </w:rPr>
              <w:t xml:space="preserve"> </w:t>
            </w:r>
            <w:r w:rsidRPr="00C05367">
              <w:rPr>
                <w:rFonts w:eastAsia="Calibri"/>
                <w:b/>
              </w:rPr>
              <w:t>GLS</w:t>
            </w:r>
            <w:r w:rsidR="00F42CE9" w:rsidRPr="00C05367">
              <w:rPr>
                <w:rFonts w:eastAsia="Calibri"/>
                <w:b/>
              </w:rPr>
              <w:t xml:space="preserve"> </w:t>
            </w:r>
            <w:r w:rsidRPr="00C05367">
              <w:rPr>
                <w:rFonts w:eastAsia="Calibri"/>
                <w:b/>
              </w:rPr>
              <w:t>of</w:t>
            </w:r>
            <w:r w:rsidR="00F42CE9" w:rsidRPr="00C05367">
              <w:rPr>
                <w:rFonts w:eastAsia="Calibri"/>
                <w:b/>
              </w:rPr>
              <w:t xml:space="preserve"> </w:t>
            </w:r>
            <w:r w:rsidRPr="00C05367">
              <w:rPr>
                <w:rFonts w:eastAsia="Calibri"/>
                <w:b/>
              </w:rPr>
              <w:t>patients</w:t>
            </w:r>
            <w:r w:rsidR="00F42CE9" w:rsidRPr="00C05367">
              <w:rPr>
                <w:rFonts w:eastAsia="Calibri"/>
                <w:b/>
              </w:rPr>
              <w:t xml:space="preserve"> </w:t>
            </w:r>
            <w:r w:rsidRPr="00C05367">
              <w:rPr>
                <w:rFonts w:eastAsia="Calibri"/>
                <w:b/>
              </w:rPr>
              <w:t>with</w:t>
            </w:r>
            <w:r w:rsidR="00F42CE9" w:rsidRPr="00C05367">
              <w:rPr>
                <w:rFonts w:eastAsia="Calibri"/>
                <w:b/>
              </w:rPr>
              <w:t xml:space="preserve"> </w:t>
            </w:r>
            <w:r w:rsidRPr="00C05367">
              <w:rPr>
                <w:rFonts w:eastAsia="Calibri"/>
                <w:b/>
              </w:rPr>
              <w:t>anterior</w:t>
            </w:r>
            <w:r w:rsidR="00F42CE9" w:rsidRPr="00C05367">
              <w:rPr>
                <w:rFonts w:eastAsia="Calibri"/>
                <w:b/>
              </w:rPr>
              <w:t xml:space="preserve"> </w:t>
            </w:r>
            <w:r w:rsidRPr="00C05367">
              <w:rPr>
                <w:rFonts w:eastAsia="Calibri"/>
                <w:b/>
              </w:rPr>
              <w:t>STEMI</w:t>
            </w:r>
            <w:r w:rsidR="00F42CE9" w:rsidRPr="00C05367">
              <w:rPr>
                <w:rFonts w:eastAsia="Calibri"/>
                <w:b/>
              </w:rPr>
              <w:t xml:space="preserve"> </w:t>
            </w:r>
            <w:r w:rsidRPr="00C05367">
              <w:rPr>
                <w:rFonts w:eastAsia="Calibri"/>
                <w:b/>
              </w:rPr>
              <w:t>in</w:t>
            </w:r>
            <w:r w:rsidR="00F42CE9" w:rsidRPr="00C05367">
              <w:rPr>
                <w:rFonts w:eastAsia="Calibri"/>
                <w:b/>
              </w:rPr>
              <w:t xml:space="preserve"> </w:t>
            </w:r>
            <w:r w:rsidRPr="00C05367">
              <w:rPr>
                <w:rFonts w:eastAsia="Calibri"/>
                <w:b/>
              </w:rPr>
              <w:t>both</w:t>
            </w:r>
            <w:r w:rsidR="00F42CE9" w:rsidRPr="00C05367">
              <w:rPr>
                <w:rFonts w:eastAsia="Calibri"/>
                <w:b/>
              </w:rPr>
              <w:t xml:space="preserve"> </w:t>
            </w:r>
            <w:r w:rsidRPr="00C05367">
              <w:rPr>
                <w:rFonts w:eastAsia="Calibri"/>
                <w:b/>
              </w:rPr>
              <w:t>groups</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GLS %(14)</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Inferior</w:t>
            </w:r>
            <w:r w:rsidR="00F42CE9" w:rsidRPr="00C05367">
              <w:rPr>
                <w:rFonts w:eastAsiaTheme="minorEastAsia"/>
                <w:b/>
              </w:rPr>
              <w:t xml:space="preserve"> </w:t>
            </w:r>
            <w:r w:rsidRPr="00C05367">
              <w:rPr>
                <w:rFonts w:eastAsiaTheme="minorEastAsia"/>
                <w:b/>
              </w:rPr>
              <w:t>STEMI</w:t>
            </w:r>
            <w:r w:rsidR="00F42CE9" w:rsidRPr="00C05367">
              <w:rPr>
                <w:rFonts w:eastAsiaTheme="minorEastAsia"/>
                <w:b/>
              </w:rPr>
              <w:t xml:space="preserve"> </w:t>
            </w:r>
            <w:r w:rsidRPr="00C05367">
              <w:rPr>
                <w:rFonts w:eastAsiaTheme="minorEastAsia"/>
                <w:b/>
              </w:rPr>
              <w:t>in group I</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Inferior</w:t>
            </w:r>
            <w:r w:rsidR="00F42CE9" w:rsidRPr="00C05367">
              <w:rPr>
                <w:rFonts w:eastAsiaTheme="minorEastAsia"/>
                <w:b/>
              </w:rPr>
              <w:t xml:space="preserve"> </w:t>
            </w:r>
            <w:r w:rsidRPr="00C05367">
              <w:rPr>
                <w:rFonts w:eastAsiaTheme="minorEastAsia"/>
                <w:b/>
              </w:rPr>
              <w:t>STEMI</w:t>
            </w:r>
            <w:r w:rsidR="00F42CE9" w:rsidRPr="00C05367">
              <w:rPr>
                <w:rFonts w:eastAsiaTheme="minorEastAsia"/>
                <w:b/>
              </w:rPr>
              <w:t xml:space="preserve"> </w:t>
            </w:r>
            <w:r w:rsidRPr="00C05367">
              <w:rPr>
                <w:rFonts w:eastAsiaTheme="minorEastAsia"/>
                <w:b/>
              </w:rPr>
              <w:t>in group II</w:t>
            </w:r>
          </w:p>
        </w:tc>
        <w:tc>
          <w:tcPr>
            <w:tcW w:w="420"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T</w:t>
            </w:r>
            <w:r w:rsidR="00F42CE9" w:rsidRPr="00C05367">
              <w:rPr>
                <w:rFonts w:eastAsiaTheme="minorEastAsia"/>
                <w:b/>
              </w:rPr>
              <w:t xml:space="preserve"> </w:t>
            </w:r>
            <w:r w:rsidRPr="00C05367">
              <w:rPr>
                <w:rFonts w:eastAsiaTheme="minorEastAsia"/>
                <w:b/>
              </w:rPr>
              <w:t>test</w:t>
            </w:r>
          </w:p>
        </w:tc>
        <w:tc>
          <w:tcPr>
            <w:tcW w:w="524"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P Value</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Mean±SD</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-15.9±1.685</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-13.251±2.674</w:t>
            </w:r>
          </w:p>
        </w:tc>
        <w:tc>
          <w:tcPr>
            <w:tcW w:w="420"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-2.217</w:t>
            </w:r>
          </w:p>
        </w:tc>
        <w:tc>
          <w:tcPr>
            <w:tcW w:w="524"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0.0506</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Max.-Min</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(-17.2 --12.4)</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(-15.9 --8.7)</w:t>
            </w:r>
          </w:p>
        </w:tc>
        <w:tc>
          <w:tcPr>
            <w:tcW w:w="420"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c>
          <w:tcPr>
            <w:tcW w:w="524"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r>
      <w:tr w:rsidR="00C36433" w:rsidRPr="00C05367" w:rsidTr="00E06019">
        <w:trPr>
          <w:jc w:val="center"/>
        </w:trPr>
        <w:tc>
          <w:tcPr>
            <w:tcW w:w="5000" w:type="pct"/>
            <w:gridSpan w:val="5"/>
            <w:tcBorders>
              <w:top w:val="nil"/>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Comparison</w:t>
            </w:r>
            <w:r w:rsidR="00F42CE9" w:rsidRPr="00C05367">
              <w:rPr>
                <w:rFonts w:eastAsia="Calibri"/>
                <w:b/>
              </w:rPr>
              <w:t xml:space="preserve"> </w:t>
            </w:r>
            <w:r w:rsidRPr="00C05367">
              <w:rPr>
                <w:rFonts w:eastAsia="Calibri"/>
                <w:b/>
              </w:rPr>
              <w:t>between</w:t>
            </w:r>
            <w:r w:rsidR="00F42CE9" w:rsidRPr="00C05367">
              <w:rPr>
                <w:rFonts w:eastAsia="Calibri"/>
                <w:b/>
              </w:rPr>
              <w:t xml:space="preserve"> </w:t>
            </w:r>
            <w:r w:rsidRPr="00C05367">
              <w:rPr>
                <w:rFonts w:eastAsia="Calibri"/>
                <w:b/>
              </w:rPr>
              <w:t>GLS</w:t>
            </w:r>
            <w:r w:rsidR="00F42CE9" w:rsidRPr="00C05367">
              <w:rPr>
                <w:rFonts w:eastAsia="Calibri"/>
                <w:b/>
              </w:rPr>
              <w:t xml:space="preserve"> </w:t>
            </w:r>
            <w:r w:rsidRPr="00C05367">
              <w:rPr>
                <w:rFonts w:eastAsia="Calibri"/>
                <w:b/>
              </w:rPr>
              <w:t>of</w:t>
            </w:r>
            <w:r w:rsidR="00F42CE9" w:rsidRPr="00C05367">
              <w:rPr>
                <w:rFonts w:eastAsia="Calibri"/>
                <w:b/>
              </w:rPr>
              <w:t xml:space="preserve"> </w:t>
            </w:r>
            <w:r w:rsidRPr="00C05367">
              <w:rPr>
                <w:rFonts w:eastAsia="Calibri"/>
                <w:b/>
              </w:rPr>
              <w:t>patients</w:t>
            </w:r>
            <w:r w:rsidR="00F42CE9" w:rsidRPr="00C05367">
              <w:rPr>
                <w:rFonts w:eastAsia="Calibri"/>
                <w:b/>
              </w:rPr>
              <w:t xml:space="preserve"> </w:t>
            </w:r>
            <w:r w:rsidRPr="00C05367">
              <w:rPr>
                <w:rFonts w:eastAsia="Calibri"/>
                <w:b/>
              </w:rPr>
              <w:t>with</w:t>
            </w:r>
            <w:r w:rsidR="00F42CE9" w:rsidRPr="00C05367">
              <w:rPr>
                <w:rFonts w:eastAsia="Calibri"/>
                <w:b/>
              </w:rPr>
              <w:t xml:space="preserve"> </w:t>
            </w:r>
            <w:r w:rsidRPr="00C05367">
              <w:rPr>
                <w:rFonts w:eastAsia="Calibri"/>
                <w:b/>
              </w:rPr>
              <w:t>single</w:t>
            </w:r>
            <w:r w:rsidR="00F42CE9" w:rsidRPr="00C05367">
              <w:rPr>
                <w:rFonts w:eastAsia="Calibri"/>
                <w:b/>
              </w:rPr>
              <w:t xml:space="preserve"> </w:t>
            </w:r>
            <w:r w:rsidRPr="00C05367">
              <w:rPr>
                <w:rFonts w:eastAsia="Calibri"/>
                <w:b/>
              </w:rPr>
              <w:t>vessel</w:t>
            </w:r>
            <w:r w:rsidR="00F42CE9" w:rsidRPr="00C05367">
              <w:rPr>
                <w:rFonts w:eastAsia="Calibri"/>
                <w:b/>
              </w:rPr>
              <w:t xml:space="preserve"> </w:t>
            </w:r>
            <w:r w:rsidRPr="00C05367">
              <w:rPr>
                <w:rFonts w:eastAsia="Calibri"/>
                <w:b/>
              </w:rPr>
              <w:t>disease</w:t>
            </w:r>
            <w:r w:rsidR="00F42CE9" w:rsidRPr="00C05367">
              <w:rPr>
                <w:rFonts w:eastAsia="Calibri"/>
                <w:b/>
              </w:rPr>
              <w:t xml:space="preserve"> </w:t>
            </w:r>
            <w:r w:rsidRPr="00C05367">
              <w:rPr>
                <w:rFonts w:eastAsia="Calibri"/>
                <w:b/>
              </w:rPr>
              <w:t>in</w:t>
            </w:r>
            <w:r w:rsidR="00F42CE9" w:rsidRPr="00C05367">
              <w:rPr>
                <w:rFonts w:eastAsia="Calibri"/>
                <w:b/>
              </w:rPr>
              <w:t xml:space="preserve"> </w:t>
            </w:r>
            <w:r w:rsidRPr="00C05367">
              <w:rPr>
                <w:rFonts w:eastAsia="Calibri"/>
                <w:b/>
              </w:rPr>
              <w:t>both</w:t>
            </w:r>
            <w:r w:rsidR="00F42CE9" w:rsidRPr="00C05367">
              <w:rPr>
                <w:rFonts w:eastAsia="Calibri"/>
                <w:b/>
              </w:rPr>
              <w:t xml:space="preserve"> </w:t>
            </w:r>
            <w:r w:rsidRPr="00C05367">
              <w:rPr>
                <w:rFonts w:eastAsia="Calibri"/>
                <w:b/>
              </w:rPr>
              <w:t>groups</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GLS %(40)</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Single vessel in</w:t>
            </w:r>
          </w:p>
          <w:p w:rsidR="00C36433" w:rsidRPr="00C05367" w:rsidRDefault="00C36433" w:rsidP="001878B7">
            <w:pPr>
              <w:snapToGrid w:val="0"/>
              <w:jc w:val="both"/>
              <w:rPr>
                <w:rFonts w:eastAsiaTheme="minorEastAsia"/>
              </w:rPr>
            </w:pPr>
            <w:r w:rsidRPr="00C05367">
              <w:rPr>
                <w:rFonts w:eastAsiaTheme="minorEastAsia"/>
                <w:b/>
              </w:rPr>
              <w:t>group I</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Single vessel in</w:t>
            </w:r>
          </w:p>
          <w:p w:rsidR="00C36433" w:rsidRPr="00C05367" w:rsidRDefault="00C36433" w:rsidP="001878B7">
            <w:pPr>
              <w:snapToGrid w:val="0"/>
              <w:jc w:val="both"/>
              <w:rPr>
                <w:rFonts w:eastAsiaTheme="minorEastAsia"/>
              </w:rPr>
            </w:pPr>
            <w:r w:rsidRPr="00C05367">
              <w:rPr>
                <w:rFonts w:eastAsiaTheme="minorEastAsia"/>
                <w:b/>
              </w:rPr>
              <w:t>group II</w:t>
            </w:r>
          </w:p>
        </w:tc>
        <w:tc>
          <w:tcPr>
            <w:tcW w:w="420"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T</w:t>
            </w:r>
            <w:r w:rsidR="00F42CE9" w:rsidRPr="00C05367">
              <w:rPr>
                <w:rFonts w:eastAsiaTheme="minorEastAsia"/>
                <w:b/>
              </w:rPr>
              <w:t xml:space="preserve"> </w:t>
            </w:r>
            <w:r w:rsidRPr="00C05367">
              <w:rPr>
                <w:rFonts w:eastAsiaTheme="minorEastAsia"/>
                <w:b/>
              </w:rPr>
              <w:t>test</w:t>
            </w:r>
          </w:p>
        </w:tc>
        <w:tc>
          <w:tcPr>
            <w:tcW w:w="524"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P Value</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Mean±SD</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-14.285±1.611</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-11.63±2.172</w:t>
            </w:r>
          </w:p>
        </w:tc>
        <w:tc>
          <w:tcPr>
            <w:tcW w:w="420"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-4.389</w:t>
            </w:r>
          </w:p>
        </w:tc>
        <w:tc>
          <w:tcPr>
            <w:tcW w:w="524"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0.0001*</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rPr>
            </w:pPr>
            <w:r w:rsidRPr="00C05367">
              <w:rPr>
                <w:rFonts w:eastAsiaTheme="minorEastAsia"/>
                <w:b/>
              </w:rPr>
              <w:t>Max.-Min</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(-17.2 --11.9)</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(-15.9 --7.25)</w:t>
            </w:r>
          </w:p>
        </w:tc>
        <w:tc>
          <w:tcPr>
            <w:tcW w:w="420"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c>
          <w:tcPr>
            <w:tcW w:w="524"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r>
      <w:tr w:rsidR="00C36433" w:rsidRPr="00C05367" w:rsidTr="00E06019">
        <w:trPr>
          <w:jc w:val="center"/>
        </w:trPr>
        <w:tc>
          <w:tcPr>
            <w:tcW w:w="5000" w:type="pct"/>
            <w:gridSpan w:val="5"/>
            <w:tcBorders>
              <w:top w:val="nil"/>
              <w:left w:val="single" w:sz="5" w:space="0" w:color="000000"/>
              <w:bottom w:val="nil"/>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Comparison</w:t>
            </w:r>
            <w:r w:rsidR="00F42CE9" w:rsidRPr="00C05367">
              <w:rPr>
                <w:rFonts w:eastAsia="Calibri"/>
                <w:b/>
              </w:rPr>
              <w:t xml:space="preserve"> </w:t>
            </w:r>
            <w:r w:rsidRPr="00C05367">
              <w:rPr>
                <w:rFonts w:eastAsia="Calibri"/>
                <w:b/>
              </w:rPr>
              <w:t>between</w:t>
            </w:r>
            <w:r w:rsidR="00F42CE9" w:rsidRPr="00C05367">
              <w:rPr>
                <w:rFonts w:eastAsia="Calibri"/>
                <w:b/>
              </w:rPr>
              <w:t xml:space="preserve"> </w:t>
            </w:r>
            <w:r w:rsidRPr="00C05367">
              <w:rPr>
                <w:rFonts w:eastAsia="Calibri"/>
                <w:b/>
              </w:rPr>
              <w:t>GLS of patients</w:t>
            </w:r>
            <w:r w:rsidR="00F42CE9" w:rsidRPr="00C05367">
              <w:rPr>
                <w:rFonts w:eastAsia="Calibri"/>
                <w:b/>
              </w:rPr>
              <w:t xml:space="preserve"> </w:t>
            </w:r>
            <w:r w:rsidRPr="00C05367">
              <w:rPr>
                <w:rFonts w:eastAsia="Calibri"/>
                <w:b/>
              </w:rPr>
              <w:t>with</w:t>
            </w:r>
            <w:r w:rsidR="00F42CE9" w:rsidRPr="00C05367">
              <w:rPr>
                <w:rFonts w:eastAsia="Calibri"/>
                <w:b/>
              </w:rPr>
              <w:t xml:space="preserve"> </w:t>
            </w:r>
            <w:r w:rsidRPr="00C05367">
              <w:rPr>
                <w:rFonts w:eastAsia="Calibri"/>
                <w:b/>
              </w:rPr>
              <w:t>multi</w:t>
            </w:r>
            <w:r w:rsidR="00F42CE9" w:rsidRPr="00C05367">
              <w:rPr>
                <w:rFonts w:eastAsia="Calibri"/>
                <w:b/>
              </w:rPr>
              <w:t xml:space="preserve"> </w:t>
            </w:r>
            <w:r w:rsidRPr="00C05367">
              <w:rPr>
                <w:rFonts w:eastAsia="Calibri"/>
                <w:b/>
              </w:rPr>
              <w:t>vessel</w:t>
            </w:r>
            <w:r w:rsidR="00F42CE9" w:rsidRPr="00C05367">
              <w:rPr>
                <w:rFonts w:eastAsia="Calibri"/>
                <w:b/>
              </w:rPr>
              <w:t xml:space="preserve"> </w:t>
            </w:r>
            <w:r w:rsidRPr="00C05367">
              <w:rPr>
                <w:rFonts w:eastAsia="Calibri"/>
                <w:b/>
              </w:rPr>
              <w:t>disease</w:t>
            </w:r>
            <w:r w:rsidR="00F42CE9" w:rsidRPr="00C05367">
              <w:rPr>
                <w:rFonts w:eastAsia="Calibri"/>
                <w:b/>
              </w:rPr>
              <w:t xml:space="preserve"> </w:t>
            </w:r>
            <w:r w:rsidRPr="00C05367">
              <w:rPr>
                <w:rFonts w:eastAsia="Calibri"/>
                <w:b/>
              </w:rPr>
              <w:t>in</w:t>
            </w:r>
            <w:r w:rsidR="00F42CE9" w:rsidRPr="00C05367">
              <w:rPr>
                <w:rFonts w:eastAsia="Calibri"/>
                <w:b/>
              </w:rPr>
              <w:t xml:space="preserve"> </w:t>
            </w:r>
            <w:r w:rsidRPr="00C05367">
              <w:rPr>
                <w:rFonts w:eastAsia="Calibri"/>
                <w:b/>
              </w:rPr>
              <w:t>both groups</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GLS% (10)</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Multivessel</w:t>
            </w:r>
            <w:r w:rsidR="00F42CE9" w:rsidRPr="00C05367">
              <w:rPr>
                <w:rFonts w:eastAsia="Calibri"/>
                <w:b/>
              </w:rPr>
              <w:t xml:space="preserve"> </w:t>
            </w:r>
            <w:r w:rsidRPr="00C05367">
              <w:rPr>
                <w:rFonts w:eastAsia="Calibri"/>
                <w:b/>
              </w:rPr>
              <w:t>in</w:t>
            </w:r>
            <w:r w:rsidR="00F42CE9" w:rsidRPr="00C05367">
              <w:rPr>
                <w:rFonts w:eastAsia="Calibri"/>
                <w:b/>
              </w:rPr>
              <w:t xml:space="preserve"> </w:t>
            </w:r>
            <w:r w:rsidRPr="00C05367">
              <w:rPr>
                <w:rFonts w:eastAsia="Calibri"/>
                <w:b/>
              </w:rPr>
              <w:t>group</w:t>
            </w:r>
            <w:r w:rsidR="00F42CE9" w:rsidRPr="00C05367">
              <w:rPr>
                <w:rFonts w:eastAsia="Calibri"/>
                <w:b/>
              </w:rPr>
              <w:t xml:space="preserve"> </w:t>
            </w:r>
            <w:r w:rsidRPr="00C05367">
              <w:rPr>
                <w:rFonts w:eastAsia="Calibri"/>
                <w:b/>
              </w:rPr>
              <w:t>I</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Single</w:t>
            </w:r>
            <w:r w:rsidR="00F42CE9" w:rsidRPr="00C05367">
              <w:rPr>
                <w:rFonts w:eastAsia="Calibri"/>
                <w:b/>
              </w:rPr>
              <w:t xml:space="preserve"> </w:t>
            </w:r>
            <w:r w:rsidRPr="00C05367">
              <w:rPr>
                <w:rFonts w:eastAsia="Calibri"/>
                <w:b/>
              </w:rPr>
              <w:t>vessel</w:t>
            </w:r>
            <w:r w:rsidR="00F42CE9" w:rsidRPr="00C05367">
              <w:rPr>
                <w:rFonts w:eastAsia="Calibri"/>
                <w:b/>
              </w:rPr>
              <w:t xml:space="preserve"> </w:t>
            </w:r>
            <w:r w:rsidRPr="00C05367">
              <w:rPr>
                <w:rFonts w:eastAsia="Calibri"/>
                <w:b/>
              </w:rPr>
              <w:t>in</w:t>
            </w:r>
            <w:r w:rsidR="00F42CE9" w:rsidRPr="00C05367">
              <w:rPr>
                <w:rFonts w:eastAsia="Calibri"/>
                <w:b/>
              </w:rPr>
              <w:t xml:space="preserve"> </w:t>
            </w:r>
            <w:r w:rsidRPr="00C05367">
              <w:rPr>
                <w:rFonts w:eastAsia="Calibri"/>
                <w:b/>
              </w:rPr>
              <w:t>group</w:t>
            </w:r>
            <w:r w:rsidR="00F42CE9" w:rsidRPr="00C05367">
              <w:rPr>
                <w:rFonts w:eastAsia="Calibri"/>
                <w:b/>
              </w:rPr>
              <w:t xml:space="preserve"> </w:t>
            </w:r>
            <w:r w:rsidRPr="00C05367">
              <w:rPr>
                <w:rFonts w:eastAsia="Calibri"/>
                <w:b/>
              </w:rPr>
              <w:t>II</w:t>
            </w:r>
          </w:p>
        </w:tc>
        <w:tc>
          <w:tcPr>
            <w:tcW w:w="420"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T</w:t>
            </w:r>
            <w:r w:rsidR="00F42CE9" w:rsidRPr="00C05367">
              <w:rPr>
                <w:rFonts w:eastAsia="Calibri"/>
                <w:b/>
              </w:rPr>
              <w:t xml:space="preserve"> </w:t>
            </w:r>
            <w:r w:rsidRPr="00C05367">
              <w:rPr>
                <w:rFonts w:eastAsia="Calibri"/>
                <w:b/>
              </w:rPr>
              <w:t>test</w:t>
            </w:r>
          </w:p>
        </w:tc>
        <w:tc>
          <w:tcPr>
            <w:tcW w:w="524"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P</w:t>
            </w:r>
            <w:r w:rsidR="00F42CE9" w:rsidRPr="00C05367">
              <w:rPr>
                <w:rFonts w:eastAsia="Calibri"/>
                <w:b/>
              </w:rPr>
              <w:t xml:space="preserve"> </w:t>
            </w:r>
            <w:r w:rsidRPr="00C05367">
              <w:rPr>
                <w:rFonts w:eastAsia="Calibri"/>
                <w:b/>
              </w:rPr>
              <w:t>Value</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Mean±SD</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12.32±0.512</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-9.38±1.322</w:t>
            </w:r>
          </w:p>
        </w:tc>
        <w:tc>
          <w:tcPr>
            <w:tcW w:w="420"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-4.638</w:t>
            </w:r>
          </w:p>
        </w:tc>
        <w:tc>
          <w:tcPr>
            <w:tcW w:w="524" w:type="pct"/>
            <w:vMerge w:val="restart"/>
            <w:tcBorders>
              <w:top w:val="single" w:sz="5" w:space="0" w:color="000000"/>
              <w:left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0.005*</w:t>
            </w:r>
          </w:p>
        </w:tc>
      </w:tr>
      <w:tr w:rsidR="00C36433" w:rsidRPr="00C05367" w:rsidTr="00E06019">
        <w:trPr>
          <w:jc w:val="center"/>
        </w:trPr>
        <w:tc>
          <w:tcPr>
            <w:tcW w:w="731"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Calibri"/>
              </w:rPr>
            </w:pPr>
            <w:r w:rsidRPr="00C05367">
              <w:rPr>
                <w:rFonts w:eastAsia="Calibri"/>
                <w:b/>
              </w:rPr>
              <w:t>Max.-Min</w:t>
            </w:r>
          </w:p>
        </w:tc>
        <w:tc>
          <w:tcPr>
            <w:tcW w:w="1637"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(12.9- -11.7)</w:t>
            </w:r>
          </w:p>
        </w:tc>
        <w:tc>
          <w:tcPr>
            <w:tcW w:w="1689" w:type="pct"/>
            <w:tcBorders>
              <w:top w:val="single" w:sz="5" w:space="0" w:color="000000"/>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r w:rsidRPr="00C05367">
              <w:rPr>
                <w:rFonts w:eastAsiaTheme="minorEastAsia"/>
                <w:bCs/>
              </w:rPr>
              <w:t>(-10.6 --7.5)</w:t>
            </w:r>
          </w:p>
        </w:tc>
        <w:tc>
          <w:tcPr>
            <w:tcW w:w="420"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c>
          <w:tcPr>
            <w:tcW w:w="524" w:type="pct"/>
            <w:vMerge/>
            <w:tcBorders>
              <w:left w:val="single" w:sz="5" w:space="0" w:color="000000"/>
              <w:bottom w:val="single" w:sz="5" w:space="0" w:color="000000"/>
              <w:right w:val="single" w:sz="5" w:space="0" w:color="000000"/>
            </w:tcBorders>
            <w:vAlign w:val="center"/>
          </w:tcPr>
          <w:p w:rsidR="00C36433" w:rsidRPr="00C05367" w:rsidRDefault="00C36433" w:rsidP="001878B7">
            <w:pPr>
              <w:snapToGrid w:val="0"/>
              <w:jc w:val="both"/>
              <w:rPr>
                <w:rFonts w:eastAsiaTheme="minorEastAsia"/>
                <w:bCs/>
              </w:rPr>
            </w:pPr>
          </w:p>
        </w:tc>
      </w:tr>
    </w:tbl>
    <w:p w:rsidR="00C36433" w:rsidRPr="00C05367" w:rsidRDefault="00C36433" w:rsidP="001878B7">
      <w:pPr>
        <w:snapToGrid w:val="0"/>
        <w:jc w:val="both"/>
      </w:pPr>
      <w:r w:rsidRPr="00C05367">
        <w:rPr>
          <w:b/>
        </w:rPr>
        <w:t>GLS=Global</w:t>
      </w:r>
      <w:r w:rsidR="00F42CE9" w:rsidRPr="00C05367">
        <w:rPr>
          <w:b/>
        </w:rPr>
        <w:t xml:space="preserve"> </w:t>
      </w:r>
      <w:r w:rsidRPr="00C05367">
        <w:rPr>
          <w:b/>
        </w:rPr>
        <w:t>longitudinal</w:t>
      </w:r>
      <w:r w:rsidR="00F42CE9" w:rsidRPr="00C05367">
        <w:rPr>
          <w:b/>
        </w:rPr>
        <w:t xml:space="preserve"> </w:t>
      </w:r>
      <w:r w:rsidRPr="00C05367">
        <w:rPr>
          <w:b/>
        </w:rPr>
        <w:t>strain</w:t>
      </w:r>
    </w:p>
    <w:p w:rsidR="00C36433" w:rsidRPr="00C05367" w:rsidRDefault="00C36433" w:rsidP="0087612C">
      <w:pPr>
        <w:snapToGrid w:val="0"/>
        <w:jc w:val="both"/>
      </w:pPr>
      <w:r w:rsidRPr="00C05367">
        <w:t>Signi</w:t>
      </w:r>
      <w:r w:rsidR="00F42CE9" w:rsidRPr="00C05367">
        <w:t xml:space="preserve">ficant difference between both </w:t>
      </w:r>
      <w:r w:rsidRPr="00C05367">
        <w:t>groups</w:t>
      </w:r>
      <w:r w:rsidR="00F42CE9" w:rsidRPr="00C05367">
        <w:t xml:space="preserve"> </w:t>
      </w:r>
      <w:r w:rsidRPr="00C05367">
        <w:t>(P value &lt;0.001</w:t>
      </w:r>
      <w:r w:rsidR="00E06019" w:rsidRPr="00C05367">
        <w:t>) (</w:t>
      </w:r>
      <w:r w:rsidRPr="00C05367">
        <w:t>Table4).</w:t>
      </w:r>
    </w:p>
    <w:p w:rsidR="00C36433" w:rsidRPr="00C05367" w:rsidRDefault="00C36433" w:rsidP="001878B7">
      <w:pPr>
        <w:snapToGrid w:val="0"/>
        <w:ind w:firstLine="425"/>
        <w:jc w:val="both"/>
      </w:pPr>
    </w:p>
    <w:p w:rsidR="001878B7" w:rsidRPr="00C05367" w:rsidRDefault="001878B7" w:rsidP="001878B7">
      <w:pPr>
        <w:snapToGrid w:val="0"/>
        <w:ind w:firstLine="425"/>
        <w:jc w:val="both"/>
        <w:sectPr w:rsidR="001878B7" w:rsidRPr="00C05367" w:rsidSect="00E06019">
          <w:type w:val="continuous"/>
          <w:pgSz w:w="12242" w:h="15842" w:code="1"/>
          <w:pgMar w:top="1440" w:right="1440" w:bottom="1440" w:left="1440" w:header="720" w:footer="720" w:gutter="0"/>
          <w:cols w:space="720"/>
          <w:docGrid w:linePitch="272"/>
        </w:sectPr>
      </w:pPr>
    </w:p>
    <w:p w:rsidR="0087612C" w:rsidRPr="00C05367" w:rsidRDefault="00A86FB4" w:rsidP="0087612C">
      <w:pPr>
        <w:snapToGrid w:val="0"/>
        <w:jc w:val="center"/>
      </w:pPr>
      <w:r w:rsidRPr="00C05367">
        <w:rPr>
          <w:noProof/>
          <w:lang w:eastAsia="zh-CN"/>
        </w:rPr>
        <w:lastRenderedPageBreak/>
        <w:pict>
          <v:shape id="Picture 8" o:spid="_x0000_i1030" type="#_x0000_t75" style="width:220.4pt;height:177.2pt;visibility:visible;mso-wrap-style:square">
            <v:imagedata r:id="rId19" o:title=""/>
          </v:shape>
        </w:pict>
      </w:r>
    </w:p>
    <w:p w:rsidR="0087612C" w:rsidRPr="00C05367" w:rsidRDefault="0087612C" w:rsidP="0087612C">
      <w:pPr>
        <w:snapToGrid w:val="0"/>
        <w:jc w:val="both"/>
        <w:rPr>
          <w:b/>
          <w:bCs/>
          <w:color w:val="000000"/>
        </w:rPr>
      </w:pPr>
      <w:r w:rsidRPr="00C05367">
        <w:rPr>
          <w:b/>
          <w:bCs/>
          <w:color w:val="000000"/>
        </w:rPr>
        <w:t>Strain of patients with anterior STEMI in both group</w:t>
      </w:r>
    </w:p>
    <w:p w:rsidR="0087612C" w:rsidRPr="00C05367" w:rsidRDefault="0087612C" w:rsidP="0087612C">
      <w:pPr>
        <w:snapToGrid w:val="0"/>
        <w:jc w:val="both"/>
        <w:rPr>
          <w:b/>
          <w:bCs/>
          <w:color w:val="000000"/>
        </w:rPr>
      </w:pPr>
      <w:r w:rsidRPr="00C05367">
        <w:rPr>
          <w:b/>
          <w:bCs/>
          <w:color w:val="000000"/>
        </w:rPr>
        <w:t>GLS= Global longitudinal strain, STEMI= ST elevation myocardial infarction</w:t>
      </w:r>
    </w:p>
    <w:p w:rsidR="0087612C" w:rsidRPr="00C05367" w:rsidRDefault="0087612C" w:rsidP="0087612C">
      <w:pPr>
        <w:snapToGrid w:val="0"/>
        <w:jc w:val="both"/>
      </w:pPr>
      <w:r w:rsidRPr="00C05367">
        <w:rPr>
          <w:b/>
          <w:bCs/>
          <w:color w:val="000000"/>
        </w:rPr>
        <w:t>Figure 6: Comparison between global longitudinal</w:t>
      </w:r>
    </w:p>
    <w:p w:rsidR="0087612C" w:rsidRPr="00C05367" w:rsidRDefault="0087612C" w:rsidP="0087612C">
      <w:pPr>
        <w:snapToGrid w:val="0"/>
        <w:jc w:val="both"/>
        <w:rPr>
          <w:b/>
          <w:bCs/>
          <w:color w:val="000000"/>
        </w:rPr>
      </w:pPr>
    </w:p>
    <w:p w:rsidR="0087612C" w:rsidRPr="00C05367" w:rsidRDefault="0087612C" w:rsidP="0087612C">
      <w:pPr>
        <w:snapToGrid w:val="0"/>
        <w:ind w:firstLine="425"/>
        <w:jc w:val="both"/>
        <w:rPr>
          <w:lang w:eastAsia="zh-CN"/>
        </w:rPr>
      </w:pPr>
      <w:r w:rsidRPr="00C05367">
        <w:t>In patients presenting with Anterior STEMI in group I (69 patients), GLS ranged from 14.2% to 11.7% with a mean GLS of 13.111 ± 0.75% while in those in group II (60 patients), GLS ranged from -12.1% to 7.25% with a mean GLS of 10.375 ± 1.378%. There was a statistically</w:t>
      </w:r>
      <w:r w:rsidRPr="00C05367">
        <w:rPr>
          <w:rFonts w:hint="eastAsia"/>
          <w:lang w:eastAsia="zh-CN"/>
        </w:rPr>
        <w:t>.</w:t>
      </w:r>
    </w:p>
    <w:p w:rsidR="00B27AFE" w:rsidRDefault="00B24B8E" w:rsidP="001878B7">
      <w:pPr>
        <w:snapToGrid w:val="0"/>
        <w:ind w:firstLine="425"/>
        <w:jc w:val="both"/>
        <w:rPr>
          <w:rFonts w:hint="eastAsia"/>
          <w:lang w:eastAsia="zh-CN"/>
        </w:rPr>
      </w:pPr>
      <w:r w:rsidRPr="00C05367">
        <w:t>Inpatients presenting</w:t>
      </w:r>
      <w:r w:rsidR="007C094C" w:rsidRPr="00C05367">
        <w:t xml:space="preserve"> </w:t>
      </w:r>
      <w:r w:rsidR="00B27AFE" w:rsidRPr="00C05367">
        <w:t>with Inferior</w:t>
      </w:r>
      <w:r w:rsidR="007C094C" w:rsidRPr="00C05367">
        <w:t xml:space="preserve"> </w:t>
      </w:r>
      <w:r w:rsidR="00B27AFE" w:rsidRPr="00C05367">
        <w:t>STEMI</w:t>
      </w:r>
      <w:r w:rsidR="00F42CE9" w:rsidRPr="00C05367">
        <w:t xml:space="preserve"> </w:t>
      </w:r>
      <w:r w:rsidR="00B27AFE" w:rsidRPr="00C05367">
        <w:t>in</w:t>
      </w:r>
      <w:r w:rsidR="007C094C" w:rsidRPr="00C05367">
        <w:t xml:space="preserve"> </w:t>
      </w:r>
      <w:r w:rsidR="00B27AFE" w:rsidRPr="00C05367">
        <w:t>group</w:t>
      </w:r>
      <w:r w:rsidRPr="00C05367">
        <w:t xml:space="preserve"> </w:t>
      </w:r>
      <w:r w:rsidR="00B27AFE" w:rsidRPr="00C05367">
        <w:t>I</w:t>
      </w:r>
      <w:r w:rsidR="007C094C" w:rsidRPr="00C05367">
        <w:t xml:space="preserve"> </w:t>
      </w:r>
      <w:r w:rsidR="00B27AFE" w:rsidRPr="00C05367">
        <w:t>(28</w:t>
      </w:r>
      <w:r w:rsidRPr="00C05367">
        <w:t xml:space="preserve"> </w:t>
      </w:r>
      <w:r w:rsidR="00B27AFE" w:rsidRPr="00C05367">
        <w:t>patients),</w:t>
      </w:r>
      <w:r w:rsidR="007C094C" w:rsidRPr="00C05367">
        <w:t xml:space="preserve"> </w:t>
      </w:r>
      <w:r w:rsidR="00B27AFE" w:rsidRPr="00C05367">
        <w:t>GLS</w:t>
      </w:r>
      <w:r w:rsidRPr="00C05367">
        <w:t xml:space="preserve"> </w:t>
      </w:r>
      <w:r w:rsidR="00B27AFE" w:rsidRPr="00C05367">
        <w:t>ranged</w:t>
      </w:r>
      <w:r w:rsidRPr="00C05367">
        <w:t xml:space="preserve"> </w:t>
      </w:r>
      <w:r w:rsidR="00B27AFE" w:rsidRPr="00C05367">
        <w:t>from</w:t>
      </w:r>
      <w:r w:rsidR="00C05367" w:rsidRPr="00C05367">
        <w:rPr>
          <w:rFonts w:hint="eastAsia"/>
          <w:lang w:eastAsia="zh-CN"/>
        </w:rPr>
        <w:t xml:space="preserve"> </w:t>
      </w:r>
      <w:r w:rsidR="00B27AFE" w:rsidRPr="00C05367">
        <w:t xml:space="preserve">17.2% to </w:t>
      </w:r>
      <w:r w:rsidR="00B27AFE" w:rsidRPr="00C05367">
        <w:lastRenderedPageBreak/>
        <w:t>12.4%</w:t>
      </w:r>
      <w:r w:rsidRPr="00C05367">
        <w:t xml:space="preserve"> </w:t>
      </w:r>
      <w:r w:rsidR="00B27AFE" w:rsidRPr="00C05367">
        <w:t>with</w:t>
      </w:r>
      <w:r w:rsidRPr="00C05367">
        <w:t xml:space="preserve"> </w:t>
      </w:r>
      <w:r w:rsidR="00B27AFE" w:rsidRPr="00C05367">
        <w:t>a</w:t>
      </w:r>
      <w:r w:rsidRPr="00C05367">
        <w:t xml:space="preserve"> </w:t>
      </w:r>
      <w:r w:rsidR="00B27AFE" w:rsidRPr="00C05367">
        <w:t>mean</w:t>
      </w:r>
      <w:r w:rsidRPr="00C05367">
        <w:t xml:space="preserve"> </w:t>
      </w:r>
      <w:r w:rsidR="00B27AFE" w:rsidRPr="00C05367">
        <w:t>GLS</w:t>
      </w:r>
      <w:r w:rsidR="00C05367" w:rsidRPr="00C05367">
        <w:rPr>
          <w:rFonts w:hint="eastAsia"/>
          <w:lang w:eastAsia="zh-CN"/>
        </w:rPr>
        <w:t xml:space="preserve"> </w:t>
      </w:r>
      <w:r w:rsidR="00B27AFE" w:rsidRPr="00C05367">
        <w:t>of</w:t>
      </w:r>
      <w:r w:rsidR="00C05367" w:rsidRPr="00C05367">
        <w:rPr>
          <w:rFonts w:hint="eastAsia"/>
          <w:lang w:eastAsia="zh-CN"/>
        </w:rPr>
        <w:t xml:space="preserve"> </w:t>
      </w:r>
      <w:r w:rsidR="00B27AFE" w:rsidRPr="00C05367">
        <w:t>15.9±1.685%</w:t>
      </w:r>
      <w:r w:rsidRPr="00C05367">
        <w:t xml:space="preserve"> </w:t>
      </w:r>
      <w:r w:rsidR="00B27AFE" w:rsidRPr="00C05367">
        <w:t>while</w:t>
      </w:r>
      <w:r w:rsidRPr="00C05367">
        <w:t xml:space="preserve"> </w:t>
      </w:r>
      <w:r w:rsidR="00B27AFE" w:rsidRPr="00C05367">
        <w:t>in</w:t>
      </w:r>
      <w:r w:rsidRPr="00C05367">
        <w:t xml:space="preserve"> </w:t>
      </w:r>
      <w:r w:rsidR="00B27AFE" w:rsidRPr="00C05367">
        <w:t>those</w:t>
      </w:r>
      <w:r w:rsidRPr="00C05367">
        <w:t xml:space="preserve"> </w:t>
      </w:r>
      <w:r w:rsidR="00B27AFE" w:rsidRPr="00C05367">
        <w:t>in</w:t>
      </w:r>
      <w:r w:rsidRPr="00C05367">
        <w:t xml:space="preserve"> </w:t>
      </w:r>
      <w:r w:rsidR="00B27AFE" w:rsidRPr="00C05367">
        <w:t>group</w:t>
      </w:r>
      <w:r w:rsidRPr="00C05367">
        <w:t xml:space="preserve"> </w:t>
      </w:r>
      <w:r w:rsidR="00B27AFE" w:rsidRPr="00C05367">
        <w:t>II</w:t>
      </w:r>
      <w:r w:rsidRPr="00C05367">
        <w:t xml:space="preserve"> </w:t>
      </w:r>
      <w:r w:rsidR="00B27AFE" w:rsidRPr="00C05367">
        <w:t>(37</w:t>
      </w:r>
      <w:r w:rsidR="00C05367" w:rsidRPr="00C05367">
        <w:rPr>
          <w:rFonts w:hint="eastAsia"/>
          <w:lang w:eastAsia="zh-CN"/>
        </w:rPr>
        <w:t xml:space="preserve"> </w:t>
      </w:r>
      <w:r w:rsidR="00B27AFE" w:rsidRPr="00C05367">
        <w:t>patients</w:t>
      </w:r>
      <w:r w:rsidR="0087612C" w:rsidRPr="00C05367">
        <w:t>) G</w:t>
      </w:r>
      <w:r w:rsidR="00B27AFE" w:rsidRPr="00C05367">
        <w:t>LS</w:t>
      </w:r>
      <w:r w:rsidR="00C05367" w:rsidRPr="00C05367">
        <w:rPr>
          <w:rFonts w:hint="eastAsia"/>
          <w:lang w:eastAsia="zh-CN"/>
        </w:rPr>
        <w:t xml:space="preserve"> </w:t>
      </w:r>
      <w:r w:rsidR="00B27AFE" w:rsidRPr="00C05367">
        <w:t>ranged</w:t>
      </w:r>
      <w:r w:rsidR="00C05367" w:rsidRPr="00C05367">
        <w:rPr>
          <w:rFonts w:hint="eastAsia"/>
          <w:lang w:eastAsia="zh-CN"/>
        </w:rPr>
        <w:t xml:space="preserve"> </w:t>
      </w:r>
      <w:r w:rsidR="00B27AFE" w:rsidRPr="00C05367">
        <w:t>from</w:t>
      </w:r>
      <w:r w:rsidR="00C05367" w:rsidRPr="00C05367">
        <w:rPr>
          <w:rFonts w:hint="eastAsia"/>
          <w:lang w:eastAsia="zh-CN"/>
        </w:rPr>
        <w:t xml:space="preserve"> </w:t>
      </w:r>
      <w:r w:rsidR="00B27AFE" w:rsidRPr="00C05367">
        <w:t>15.9%</w:t>
      </w:r>
      <w:r w:rsidR="00C05367" w:rsidRPr="00C05367">
        <w:rPr>
          <w:rFonts w:hint="eastAsia"/>
          <w:lang w:eastAsia="zh-CN"/>
        </w:rPr>
        <w:t xml:space="preserve"> </w:t>
      </w:r>
      <w:r w:rsidR="00B27AFE" w:rsidRPr="00C05367">
        <w:t>to</w:t>
      </w:r>
      <w:r w:rsidR="00C05367" w:rsidRPr="00C05367">
        <w:rPr>
          <w:rFonts w:hint="eastAsia"/>
          <w:lang w:eastAsia="zh-CN"/>
        </w:rPr>
        <w:t xml:space="preserve"> </w:t>
      </w:r>
      <w:r w:rsidR="00B27AFE" w:rsidRPr="00C05367">
        <w:t>8.7%</w:t>
      </w:r>
      <w:r w:rsidR="0087612C" w:rsidRPr="00C05367">
        <w:rPr>
          <w:rFonts w:hint="eastAsia"/>
          <w:lang w:eastAsia="zh-CN"/>
        </w:rPr>
        <w:t xml:space="preserve"> </w:t>
      </w:r>
      <w:r w:rsidR="00B27AFE" w:rsidRPr="00C05367">
        <w:t>with</w:t>
      </w:r>
      <w:r w:rsidR="00C05367" w:rsidRPr="00C05367">
        <w:rPr>
          <w:rFonts w:hint="eastAsia"/>
          <w:lang w:eastAsia="zh-CN"/>
        </w:rPr>
        <w:t xml:space="preserve"> </w:t>
      </w:r>
      <w:r w:rsidR="00B27AFE" w:rsidRPr="00C05367">
        <w:t>a</w:t>
      </w:r>
      <w:r w:rsidR="00C05367" w:rsidRPr="00C05367">
        <w:rPr>
          <w:rFonts w:hint="eastAsia"/>
          <w:lang w:eastAsia="zh-CN"/>
        </w:rPr>
        <w:t xml:space="preserve"> </w:t>
      </w:r>
      <w:r w:rsidR="00B27AFE" w:rsidRPr="00C05367">
        <w:t>mean</w:t>
      </w:r>
      <w:r w:rsidR="0087612C" w:rsidRPr="00C05367">
        <w:rPr>
          <w:rFonts w:hint="eastAsia"/>
          <w:lang w:eastAsia="zh-CN"/>
        </w:rPr>
        <w:t xml:space="preserve"> </w:t>
      </w:r>
      <w:r w:rsidR="00B27AFE" w:rsidRPr="00C05367">
        <w:t>GLS</w:t>
      </w:r>
      <w:r w:rsidR="00C05367" w:rsidRPr="00C05367">
        <w:rPr>
          <w:rFonts w:hint="eastAsia"/>
          <w:lang w:eastAsia="zh-CN"/>
        </w:rPr>
        <w:t xml:space="preserve"> </w:t>
      </w:r>
      <w:r w:rsidR="00B27AFE" w:rsidRPr="00C05367">
        <w:t>of</w:t>
      </w:r>
      <w:r w:rsidR="00C05367" w:rsidRPr="00C05367">
        <w:rPr>
          <w:rFonts w:hint="eastAsia"/>
          <w:lang w:eastAsia="zh-CN"/>
        </w:rPr>
        <w:t xml:space="preserve"> </w:t>
      </w:r>
      <w:r w:rsidR="00B27AFE" w:rsidRPr="00C05367">
        <w:t>13.251±2.674</w:t>
      </w:r>
      <w:r w:rsidR="00C05367" w:rsidRPr="00C05367">
        <w:rPr>
          <w:rFonts w:hint="eastAsia"/>
          <w:lang w:eastAsia="zh-CN"/>
        </w:rPr>
        <w:t>.</w:t>
      </w:r>
      <w:r w:rsidR="0087612C" w:rsidRPr="00C05367">
        <w:rPr>
          <w:rFonts w:hint="eastAsia"/>
          <w:lang w:eastAsia="zh-CN"/>
        </w:rPr>
        <w:t xml:space="preserve"> </w:t>
      </w:r>
      <w:r w:rsidR="00B27AFE" w:rsidRPr="00C05367">
        <w:t>There</w:t>
      </w:r>
      <w:r w:rsidR="0087612C" w:rsidRPr="00C05367">
        <w:rPr>
          <w:rFonts w:hint="eastAsia"/>
          <w:lang w:eastAsia="zh-CN"/>
        </w:rPr>
        <w:t xml:space="preserve"> </w:t>
      </w:r>
      <w:r w:rsidR="00B27AFE" w:rsidRPr="00C05367">
        <w:t>was</w:t>
      </w:r>
      <w:r w:rsidR="0087612C" w:rsidRPr="00C05367">
        <w:rPr>
          <w:rFonts w:hint="eastAsia"/>
          <w:lang w:eastAsia="zh-CN"/>
        </w:rPr>
        <w:t xml:space="preserve"> </w:t>
      </w:r>
      <w:r w:rsidR="00B27AFE" w:rsidRPr="00C05367">
        <w:t>no statistically significant difference</w:t>
      </w:r>
      <w:r w:rsidR="00F42CE9" w:rsidRPr="00C05367">
        <w:t xml:space="preserve"> </w:t>
      </w:r>
      <w:r w:rsidR="00B27AFE" w:rsidRPr="00C05367">
        <w:t>between</w:t>
      </w:r>
      <w:r w:rsidR="00F42CE9" w:rsidRPr="00C05367">
        <w:t xml:space="preserve"> </w:t>
      </w:r>
      <w:r w:rsidR="00B27AFE" w:rsidRPr="00C05367">
        <w:t>both</w:t>
      </w:r>
      <w:r w:rsidR="00F42CE9" w:rsidRPr="00C05367">
        <w:t xml:space="preserve"> </w:t>
      </w:r>
      <w:r w:rsidR="00B27AFE" w:rsidRPr="00C05367">
        <w:t>groups</w:t>
      </w:r>
      <w:r w:rsidR="00F42CE9" w:rsidRPr="00C05367">
        <w:t xml:space="preserve"> </w:t>
      </w:r>
      <w:r w:rsidR="00B27AFE" w:rsidRPr="00C05367">
        <w:t>(P</w:t>
      </w:r>
      <w:r w:rsidRPr="00C05367">
        <w:t xml:space="preserve"> </w:t>
      </w:r>
      <w:r w:rsidR="00B27AFE" w:rsidRPr="00C05367">
        <w:t>value=0.0506)</w:t>
      </w:r>
      <w:r w:rsidR="00E06019" w:rsidRPr="00C05367">
        <w:t xml:space="preserve"> </w:t>
      </w:r>
      <w:r w:rsidR="00B27AFE" w:rsidRPr="00C05367">
        <w:t>(Table</w:t>
      </w:r>
      <w:r w:rsidR="00C05367" w:rsidRPr="00C05367">
        <w:rPr>
          <w:rFonts w:hint="eastAsia"/>
          <w:lang w:eastAsia="zh-CN"/>
        </w:rPr>
        <w:t xml:space="preserve"> </w:t>
      </w:r>
      <w:r w:rsidR="00B27AFE" w:rsidRPr="00C05367">
        <w:t>4).</w:t>
      </w:r>
    </w:p>
    <w:p w:rsidR="00A86FB4" w:rsidRPr="00C05367" w:rsidRDefault="00A86FB4" w:rsidP="001878B7">
      <w:pPr>
        <w:snapToGrid w:val="0"/>
        <w:ind w:firstLine="425"/>
        <w:jc w:val="both"/>
        <w:rPr>
          <w:rFonts w:hint="eastAsia"/>
          <w:lang w:eastAsia="zh-CN"/>
        </w:rPr>
      </w:pPr>
    </w:p>
    <w:p w:rsidR="007C094C" w:rsidRPr="00C05367" w:rsidRDefault="007C094C" w:rsidP="001878B7">
      <w:pPr>
        <w:snapToGrid w:val="0"/>
        <w:jc w:val="both"/>
        <w:rPr>
          <w:b/>
          <w:bCs/>
        </w:rPr>
      </w:pPr>
    </w:p>
    <w:p w:rsidR="00B27AFE" w:rsidRPr="00C05367" w:rsidRDefault="00A86FB4" w:rsidP="001878B7">
      <w:pPr>
        <w:snapToGrid w:val="0"/>
        <w:jc w:val="center"/>
        <w:rPr>
          <w:b/>
          <w:bCs/>
        </w:rPr>
      </w:pPr>
      <w:r w:rsidRPr="00C05367">
        <w:rPr>
          <w:noProof/>
          <w:lang w:eastAsia="zh-CN"/>
        </w:rPr>
        <w:pict>
          <v:shape id="Picture 9" o:spid="_x0000_i1031" type="#_x0000_t75" style="width:223.5pt;height:185.95pt;visibility:visible;mso-wrap-style:square">
            <v:imagedata r:id="rId20" o:title=""/>
          </v:shape>
        </w:pict>
      </w:r>
    </w:p>
    <w:p w:rsidR="00B27AFE" w:rsidRPr="00C05367" w:rsidRDefault="00B27AFE" w:rsidP="001878B7">
      <w:pPr>
        <w:snapToGrid w:val="0"/>
        <w:jc w:val="both"/>
        <w:rPr>
          <w:b/>
          <w:bCs/>
        </w:rPr>
      </w:pPr>
      <w:r w:rsidRPr="00C05367">
        <w:rPr>
          <w:b/>
          <w:bCs/>
        </w:rPr>
        <w:t>GLS= Global longitudinal strain, STEMI= ST elevation myocardial infarction</w:t>
      </w:r>
    </w:p>
    <w:p w:rsidR="00B27AFE" w:rsidRPr="00C05367" w:rsidRDefault="00B27AFE" w:rsidP="001878B7">
      <w:pPr>
        <w:snapToGrid w:val="0"/>
        <w:jc w:val="both"/>
        <w:rPr>
          <w:b/>
          <w:bCs/>
          <w:lang w:eastAsia="zh-CN"/>
        </w:rPr>
      </w:pPr>
      <w:r w:rsidRPr="00C05367">
        <w:rPr>
          <w:b/>
          <w:bCs/>
        </w:rPr>
        <w:t>Figure 7: Comparison between global longitudinal strain of patients with inferior STEMI in both group</w:t>
      </w:r>
    </w:p>
    <w:p w:rsidR="0087612C" w:rsidRPr="00C05367" w:rsidRDefault="0087612C" w:rsidP="001878B7">
      <w:pPr>
        <w:snapToGrid w:val="0"/>
        <w:jc w:val="both"/>
        <w:rPr>
          <w:b/>
          <w:bCs/>
          <w:lang w:eastAsia="zh-CN"/>
        </w:rPr>
      </w:pPr>
    </w:p>
    <w:p w:rsidR="00B27AFE" w:rsidRPr="00C05367" w:rsidRDefault="00C05367" w:rsidP="001878B7">
      <w:pPr>
        <w:snapToGrid w:val="0"/>
        <w:jc w:val="center"/>
      </w:pPr>
      <w:r w:rsidRPr="00C05367">
        <w:rPr>
          <w:noProof/>
          <w:lang w:eastAsia="zh-CN"/>
        </w:rPr>
        <w:lastRenderedPageBreak/>
        <w:pict>
          <v:shape id="Picture 11" o:spid="_x0000_i1032" type="#_x0000_t75" style="width:212.85pt;height:190.95pt;visibility:visible;mso-wrap-style:square">
            <v:imagedata r:id="rId21" o:title=""/>
          </v:shape>
        </w:pict>
      </w:r>
    </w:p>
    <w:p w:rsidR="00B27AFE" w:rsidRPr="00C05367" w:rsidRDefault="00B27AFE" w:rsidP="001878B7">
      <w:pPr>
        <w:snapToGrid w:val="0"/>
        <w:jc w:val="both"/>
        <w:rPr>
          <w:b/>
          <w:bCs/>
        </w:rPr>
      </w:pPr>
      <w:r w:rsidRPr="00C05367">
        <w:rPr>
          <w:b/>
          <w:bCs/>
        </w:rPr>
        <w:t>Figure 8: Comparison between GLS of patients</w:t>
      </w:r>
      <w:r w:rsidR="00B24B8E" w:rsidRPr="00C05367">
        <w:rPr>
          <w:b/>
          <w:bCs/>
        </w:rPr>
        <w:t xml:space="preserve"> </w:t>
      </w:r>
      <w:r w:rsidRPr="00C05367">
        <w:rPr>
          <w:b/>
          <w:bCs/>
        </w:rPr>
        <w:t>with</w:t>
      </w:r>
      <w:r w:rsidR="00B24B8E" w:rsidRPr="00C05367">
        <w:rPr>
          <w:b/>
          <w:bCs/>
        </w:rPr>
        <w:t xml:space="preserve"> </w:t>
      </w:r>
      <w:r w:rsidRPr="00C05367">
        <w:rPr>
          <w:b/>
          <w:bCs/>
        </w:rPr>
        <w:t>single vessel disease in both groups.</w:t>
      </w:r>
    </w:p>
    <w:p w:rsidR="00B27AFE" w:rsidRPr="00C05367" w:rsidRDefault="00B27AFE" w:rsidP="001878B7">
      <w:pPr>
        <w:snapToGrid w:val="0"/>
        <w:jc w:val="both"/>
        <w:rPr>
          <w:b/>
          <w:bCs/>
        </w:rPr>
      </w:pPr>
      <w:r w:rsidRPr="00C05367">
        <w:rPr>
          <w:b/>
          <w:bCs/>
        </w:rPr>
        <w:t>GLS=Global</w:t>
      </w:r>
      <w:r w:rsidR="00B24B8E" w:rsidRPr="00C05367">
        <w:rPr>
          <w:b/>
          <w:bCs/>
        </w:rPr>
        <w:t xml:space="preserve"> </w:t>
      </w:r>
      <w:r w:rsidRPr="00C05367">
        <w:rPr>
          <w:b/>
          <w:bCs/>
        </w:rPr>
        <w:t>longitudinal strain</w:t>
      </w:r>
    </w:p>
    <w:p w:rsidR="00B27AFE" w:rsidRPr="00C05367" w:rsidRDefault="00B27AFE" w:rsidP="001878B7">
      <w:pPr>
        <w:snapToGrid w:val="0"/>
        <w:jc w:val="both"/>
        <w:rPr>
          <w:b/>
          <w:bCs/>
        </w:rPr>
      </w:pPr>
    </w:p>
    <w:p w:rsidR="00B27AFE" w:rsidRPr="00C05367" w:rsidRDefault="00C05367" w:rsidP="001878B7">
      <w:pPr>
        <w:snapToGrid w:val="0"/>
        <w:jc w:val="center"/>
        <w:rPr>
          <w:b/>
          <w:bCs/>
        </w:rPr>
      </w:pPr>
      <w:r w:rsidRPr="00C05367">
        <w:rPr>
          <w:b/>
          <w:noProof/>
          <w:lang w:eastAsia="zh-CN"/>
        </w:rPr>
        <w:pict>
          <v:shape id="Picture 12" o:spid="_x0000_i1033" type="#_x0000_t75" style="width:212.85pt;height:171.55pt;visibility:visible;mso-wrap-style:square">
            <v:imagedata r:id="rId22" o:title=""/>
          </v:shape>
        </w:pict>
      </w:r>
    </w:p>
    <w:p w:rsidR="00B27AFE" w:rsidRPr="00C05367" w:rsidRDefault="00B27AFE" w:rsidP="001878B7">
      <w:pPr>
        <w:snapToGrid w:val="0"/>
        <w:jc w:val="both"/>
        <w:rPr>
          <w:b/>
          <w:bCs/>
        </w:rPr>
      </w:pPr>
      <w:r w:rsidRPr="00C05367">
        <w:rPr>
          <w:b/>
          <w:bCs/>
        </w:rPr>
        <w:t>Figure 9: Comparison between GLS of patients with</w:t>
      </w:r>
      <w:r w:rsidR="00C05367" w:rsidRPr="00C05367">
        <w:rPr>
          <w:rFonts w:hint="eastAsia"/>
          <w:b/>
          <w:bCs/>
          <w:lang w:eastAsia="zh-CN"/>
        </w:rPr>
        <w:t xml:space="preserve"> </w:t>
      </w:r>
      <w:r w:rsidRPr="00C05367">
        <w:rPr>
          <w:b/>
          <w:bCs/>
        </w:rPr>
        <w:t xml:space="preserve">multivessel disease in both </w:t>
      </w:r>
      <w:r w:rsidR="00B24B8E" w:rsidRPr="00C05367">
        <w:rPr>
          <w:b/>
          <w:bCs/>
        </w:rPr>
        <w:t>groups.</w:t>
      </w:r>
    </w:p>
    <w:p w:rsidR="00B27AFE" w:rsidRPr="00C05367" w:rsidRDefault="00B27AFE" w:rsidP="001878B7">
      <w:pPr>
        <w:snapToGrid w:val="0"/>
        <w:jc w:val="both"/>
        <w:rPr>
          <w:b/>
          <w:bCs/>
          <w:lang w:eastAsia="zh-CN"/>
        </w:rPr>
      </w:pPr>
      <w:r w:rsidRPr="00C05367">
        <w:rPr>
          <w:b/>
          <w:bCs/>
        </w:rPr>
        <w:t>GLS= Global</w:t>
      </w:r>
      <w:r w:rsidR="00B24B8E" w:rsidRPr="00C05367">
        <w:rPr>
          <w:b/>
          <w:bCs/>
        </w:rPr>
        <w:t xml:space="preserve"> </w:t>
      </w:r>
      <w:r w:rsidRPr="00C05367">
        <w:rPr>
          <w:b/>
          <w:bCs/>
        </w:rPr>
        <w:t>longitudinal strain</w:t>
      </w:r>
    </w:p>
    <w:p w:rsidR="0087612C" w:rsidRPr="00C05367" w:rsidRDefault="0087612C" w:rsidP="001878B7">
      <w:pPr>
        <w:snapToGrid w:val="0"/>
        <w:jc w:val="both"/>
        <w:rPr>
          <w:b/>
          <w:bCs/>
          <w:lang w:eastAsia="zh-CN"/>
        </w:rPr>
      </w:pPr>
    </w:p>
    <w:p w:rsidR="007C094C" w:rsidRPr="00C05367" w:rsidRDefault="00B27AFE" w:rsidP="0087612C">
      <w:pPr>
        <w:snapToGrid w:val="0"/>
        <w:ind w:firstLine="425"/>
        <w:jc w:val="both"/>
        <w:rPr>
          <w:lang w:eastAsia="zh-CN"/>
        </w:rPr>
      </w:pPr>
      <w:r w:rsidRPr="00C05367">
        <w:t>In patients presenting with single vessel</w:t>
      </w:r>
      <w:r w:rsidR="001878B7" w:rsidRPr="00C05367">
        <w:t xml:space="preserve"> </w:t>
      </w:r>
      <w:r w:rsidRPr="00C05367">
        <w:t>disease in group I (20 patients), GLS ranged from</w:t>
      </w:r>
      <w:r w:rsidR="001878B7" w:rsidRPr="00C05367">
        <w:t xml:space="preserve"> </w:t>
      </w:r>
      <w:r w:rsidRPr="00C05367">
        <w:t>17.2% to -11.9% with a mean GLS of -14.285 ±</w:t>
      </w:r>
      <w:r w:rsidR="001878B7" w:rsidRPr="00C05367">
        <w:t xml:space="preserve"> </w:t>
      </w:r>
      <w:r w:rsidRPr="00C05367">
        <w:t>1.611% while in those in group II (20 patients also),</w:t>
      </w:r>
      <w:r w:rsidR="001878B7" w:rsidRPr="00C05367">
        <w:t xml:space="preserve"> </w:t>
      </w:r>
      <w:r w:rsidRPr="00C05367">
        <w:t>GLS ranged from 15.9% to 7.25% with a mean GLS</w:t>
      </w:r>
      <w:r w:rsidR="001878B7" w:rsidRPr="00C05367">
        <w:t xml:space="preserve"> </w:t>
      </w:r>
      <w:r w:rsidRPr="00C05367">
        <w:t>of 11.63±2.172%. There was a statistically</w:t>
      </w:r>
      <w:r w:rsidR="001878B7" w:rsidRPr="00C05367">
        <w:t xml:space="preserve"> </w:t>
      </w:r>
      <w:r w:rsidRPr="00C05367">
        <w:t>significant difference between both groups (P</w:t>
      </w:r>
      <w:r w:rsidR="001878B7" w:rsidRPr="00C05367">
        <w:t xml:space="preserve"> </w:t>
      </w:r>
      <w:r w:rsidRPr="00C05367">
        <w:t>value=0.0001) (Table 4).</w:t>
      </w:r>
      <w:r w:rsidR="001878B7" w:rsidRPr="00C05367">
        <w:t xml:space="preserve"> </w:t>
      </w:r>
      <w:r w:rsidRPr="00C05367">
        <w:t>In patients presenting with multivessel disease in group I (44 patients), GLS ranged from 12.9% to</w:t>
      </w:r>
      <w:r w:rsidR="001878B7" w:rsidRPr="00C05367">
        <w:t xml:space="preserve"> </w:t>
      </w:r>
      <w:r w:rsidRPr="00C05367">
        <w:t>11.7% with a mean GLS of 12.32 ± 0.512% while in</w:t>
      </w:r>
      <w:r w:rsidR="001878B7" w:rsidRPr="00C05367">
        <w:t xml:space="preserve"> </w:t>
      </w:r>
      <w:r w:rsidRPr="00C05367">
        <w:t>group II (46 patients), GLS ranged from -10.6% to</w:t>
      </w:r>
      <w:r w:rsidR="001878B7" w:rsidRPr="00C05367">
        <w:t xml:space="preserve"> </w:t>
      </w:r>
      <w:r w:rsidRPr="00C05367">
        <w:t>7.5% with a mean GLS of 9.38 ± 1.322%. There was</w:t>
      </w:r>
      <w:r w:rsidR="001878B7" w:rsidRPr="00C05367">
        <w:t xml:space="preserve"> </w:t>
      </w:r>
      <w:r w:rsidRPr="00C05367">
        <w:t>a statistically significant difference between both</w:t>
      </w:r>
      <w:r w:rsidR="001878B7" w:rsidRPr="00C05367">
        <w:t xml:space="preserve"> </w:t>
      </w:r>
      <w:r w:rsidRPr="00C05367">
        <w:t>groups (P value=0.005)</w:t>
      </w:r>
    </w:p>
    <w:p w:rsidR="0087612C" w:rsidRDefault="0087612C" w:rsidP="0087612C">
      <w:pPr>
        <w:snapToGrid w:val="0"/>
        <w:ind w:firstLine="425"/>
        <w:jc w:val="both"/>
        <w:rPr>
          <w:rFonts w:hint="eastAsia"/>
          <w:b/>
          <w:bCs/>
          <w:color w:val="000000"/>
          <w:lang w:eastAsia="zh-CN"/>
        </w:rPr>
      </w:pPr>
    </w:p>
    <w:p w:rsidR="00A86FB4" w:rsidRPr="00C05367" w:rsidRDefault="00A86FB4" w:rsidP="0087612C">
      <w:pPr>
        <w:snapToGrid w:val="0"/>
        <w:ind w:firstLine="425"/>
        <w:jc w:val="both"/>
        <w:rPr>
          <w:b/>
          <w:bCs/>
          <w:color w:val="000000"/>
          <w:lang w:eastAsia="zh-CN"/>
        </w:rPr>
      </w:pPr>
    </w:p>
    <w:p w:rsidR="00B27AFE" w:rsidRPr="00C05367" w:rsidRDefault="00B27AFE" w:rsidP="001878B7">
      <w:pPr>
        <w:snapToGrid w:val="0"/>
        <w:jc w:val="both"/>
        <w:rPr>
          <w:color w:val="000000"/>
        </w:rPr>
      </w:pPr>
      <w:r w:rsidRPr="00C05367">
        <w:rPr>
          <w:b/>
          <w:bCs/>
          <w:color w:val="000000"/>
        </w:rPr>
        <w:lastRenderedPageBreak/>
        <w:t>4. Discussion</w:t>
      </w:r>
    </w:p>
    <w:p w:rsidR="00B27AFE" w:rsidRPr="00C05367" w:rsidRDefault="00B27AFE" w:rsidP="001878B7">
      <w:pPr>
        <w:snapToGrid w:val="0"/>
        <w:ind w:firstLine="425"/>
        <w:jc w:val="both"/>
        <w:rPr>
          <w:color w:val="000000"/>
        </w:rPr>
      </w:pPr>
      <w:r w:rsidRPr="00C05367">
        <w:rPr>
          <w:color w:val="000000"/>
        </w:rPr>
        <w:t>Reperfusion treatment in acute myocardial</w:t>
      </w:r>
      <w:r w:rsidR="001878B7" w:rsidRPr="00C05367">
        <w:rPr>
          <w:color w:val="000000"/>
        </w:rPr>
        <w:t xml:space="preserve"> </w:t>
      </w:r>
      <w:r w:rsidRPr="00C05367">
        <w:rPr>
          <w:color w:val="000000"/>
        </w:rPr>
        <w:t>infarction aims at early and sustained reperfusion of</w:t>
      </w:r>
      <w:r w:rsidR="001878B7" w:rsidRPr="00C05367">
        <w:rPr>
          <w:color w:val="000000"/>
        </w:rPr>
        <w:t xml:space="preserve"> </w:t>
      </w:r>
      <w:r w:rsidRPr="00C05367">
        <w:rPr>
          <w:color w:val="000000"/>
        </w:rPr>
        <w:t>the myocardium at risk. Traditionally, reperfusion</w:t>
      </w:r>
      <w:r w:rsidR="001878B7" w:rsidRPr="00C05367">
        <w:rPr>
          <w:color w:val="000000"/>
        </w:rPr>
        <w:t xml:space="preserve"> </w:t>
      </w:r>
      <w:r w:rsidRPr="00C05367">
        <w:rPr>
          <w:color w:val="000000"/>
        </w:rPr>
        <w:t>can be obtained by thrombolysis or by pPCI5.</w:t>
      </w:r>
      <w:r w:rsidR="001878B7" w:rsidRPr="00C05367">
        <w:rPr>
          <w:color w:val="000000"/>
        </w:rPr>
        <w:t xml:space="preserve"> </w:t>
      </w:r>
      <w:r w:rsidRPr="00C05367">
        <w:rPr>
          <w:color w:val="000000"/>
        </w:rPr>
        <w:t>Although pPCI is the preferred reperfusion method</w:t>
      </w:r>
      <w:r w:rsidR="001878B7" w:rsidRPr="00C05367">
        <w:rPr>
          <w:color w:val="000000"/>
        </w:rPr>
        <w:t xml:space="preserve"> </w:t>
      </w:r>
      <w:r w:rsidRPr="00C05367">
        <w:rPr>
          <w:color w:val="000000"/>
        </w:rPr>
        <w:t>for STEMI, it remains difficult to implement in</w:t>
      </w:r>
      <w:r w:rsidR="001878B7" w:rsidRPr="00C05367">
        <w:rPr>
          <w:color w:val="000000"/>
        </w:rPr>
        <w:t xml:space="preserve"> </w:t>
      </w:r>
      <w:r w:rsidRPr="00C05367">
        <w:rPr>
          <w:color w:val="000000"/>
        </w:rPr>
        <w:t>many areas, and fibrinolytic therapy is still widely</w:t>
      </w:r>
      <w:r w:rsidR="001878B7" w:rsidRPr="00C05367">
        <w:rPr>
          <w:color w:val="000000"/>
        </w:rPr>
        <w:t xml:space="preserve"> </w:t>
      </w:r>
      <w:r w:rsidRPr="00C05367">
        <w:rPr>
          <w:color w:val="000000"/>
        </w:rPr>
        <w:t>used. In the past 10 years, evidence has been brought</w:t>
      </w:r>
      <w:r w:rsidR="001878B7" w:rsidRPr="00C05367">
        <w:rPr>
          <w:color w:val="000000"/>
        </w:rPr>
        <w:t xml:space="preserve"> </w:t>
      </w:r>
      <w:r w:rsidRPr="00C05367">
        <w:rPr>
          <w:color w:val="000000"/>
        </w:rPr>
        <w:t>that fibrinolytic treatment should not be used as</w:t>
      </w:r>
      <w:r w:rsidR="001878B7" w:rsidRPr="00C05367">
        <w:rPr>
          <w:color w:val="000000"/>
        </w:rPr>
        <w:t xml:space="preserve"> </w:t>
      </w:r>
      <w:r w:rsidRPr="00C05367">
        <w:rPr>
          <w:color w:val="000000"/>
        </w:rPr>
        <w:t>stand-alone therapy, but rather as part of a</w:t>
      </w:r>
      <w:r w:rsidR="001878B7" w:rsidRPr="00C05367">
        <w:rPr>
          <w:color w:val="000000"/>
        </w:rPr>
        <w:t xml:space="preserve"> </w:t>
      </w:r>
      <w:r w:rsidRPr="00C05367">
        <w:rPr>
          <w:color w:val="000000"/>
        </w:rPr>
        <w:t>pharmacoinvasive strategy, with the patients brought to PCI capable facilities after fibrinolysis, to perform semiurgent coronary angiography and secondary PCI, when necessary</w:t>
      </w:r>
      <w:r w:rsidR="00A86FB4">
        <w:rPr>
          <w:rFonts w:hint="eastAsia"/>
          <w:color w:val="000000"/>
          <w:lang w:eastAsia="zh-CN"/>
        </w:rPr>
        <w:t xml:space="preserve"> </w:t>
      </w:r>
      <w:r w:rsidRPr="00C05367">
        <w:rPr>
          <w:color w:val="000000"/>
        </w:rPr>
        <w:t>6.</w:t>
      </w:r>
    </w:p>
    <w:p w:rsidR="0087612C" w:rsidRDefault="00B27AFE" w:rsidP="00A86FB4">
      <w:pPr>
        <w:snapToGrid w:val="0"/>
        <w:ind w:firstLine="425"/>
        <w:jc w:val="both"/>
        <w:rPr>
          <w:rFonts w:hint="eastAsia"/>
          <w:color w:val="000000"/>
          <w:lang w:eastAsia="zh-CN"/>
        </w:rPr>
      </w:pPr>
      <w:r w:rsidRPr="00C05367">
        <w:rPr>
          <w:color w:val="000000"/>
        </w:rPr>
        <w:t>In daily clinical practice, thrombolytic therapy is still used to manage STEMI due to logistical issues and lack of pPCI capable centres in developing countries. The Cardiology Department in Tanta University Hospital (TUH) is a primary PCI</w:t>
      </w:r>
      <w:r w:rsidR="00C05367" w:rsidRPr="00C05367">
        <w:rPr>
          <w:rFonts w:hint="eastAsia"/>
          <w:color w:val="000000"/>
          <w:lang w:eastAsia="zh-CN"/>
        </w:rPr>
        <w:t xml:space="preserve"> </w:t>
      </w:r>
      <w:r w:rsidRPr="00C05367">
        <w:rPr>
          <w:color w:val="000000"/>
        </w:rPr>
        <w:t>capable center; however, thrombolytic therapy is still being used for reasons as financial issues,</w:t>
      </w:r>
      <w:r w:rsidR="001878B7" w:rsidRPr="00C05367">
        <w:rPr>
          <w:color w:val="000000"/>
        </w:rPr>
        <w:t xml:space="preserve"> </w:t>
      </w:r>
      <w:r w:rsidRPr="00C05367">
        <w:rPr>
          <w:color w:val="000000"/>
        </w:rPr>
        <w:t>insurance coverage, reimbursement. In addition,</w:t>
      </w:r>
      <w:r w:rsidR="001878B7" w:rsidRPr="00C05367">
        <w:rPr>
          <w:color w:val="000000"/>
        </w:rPr>
        <w:t xml:space="preserve"> </w:t>
      </w:r>
      <w:r w:rsidRPr="00C05367">
        <w:rPr>
          <w:color w:val="000000"/>
        </w:rPr>
        <w:t>many cases receive thrombolytic therapy in other</w:t>
      </w:r>
      <w:r w:rsidR="001878B7" w:rsidRPr="00C05367">
        <w:rPr>
          <w:color w:val="000000"/>
        </w:rPr>
        <w:t xml:space="preserve"> </w:t>
      </w:r>
      <w:r w:rsidRPr="00C05367">
        <w:rPr>
          <w:color w:val="000000"/>
        </w:rPr>
        <w:t>centres before being transported to TUH. Based on</w:t>
      </w:r>
      <w:r w:rsidR="001878B7" w:rsidRPr="00C05367">
        <w:rPr>
          <w:color w:val="000000"/>
        </w:rPr>
        <w:t xml:space="preserve"> </w:t>
      </w:r>
      <w:r w:rsidRPr="00C05367">
        <w:rPr>
          <w:color w:val="000000"/>
        </w:rPr>
        <w:t>this pharmacoinvasive protocol is being used for</w:t>
      </w:r>
      <w:r w:rsidR="001878B7" w:rsidRPr="00C05367">
        <w:rPr>
          <w:color w:val="000000"/>
        </w:rPr>
        <w:t xml:space="preserve"> </w:t>
      </w:r>
      <w:r w:rsidRPr="00C05367">
        <w:rPr>
          <w:color w:val="000000"/>
        </w:rPr>
        <w:t>many cases.</w:t>
      </w:r>
      <w:r w:rsidR="001878B7" w:rsidRPr="00C05367">
        <w:rPr>
          <w:color w:val="000000"/>
        </w:rPr>
        <w:t xml:space="preserve"> </w:t>
      </w:r>
      <w:r w:rsidRPr="00C05367">
        <w:rPr>
          <w:color w:val="000000"/>
        </w:rPr>
        <w:t>In the current study 70 patients were</w:t>
      </w:r>
      <w:r w:rsidR="001878B7" w:rsidRPr="00C05367">
        <w:rPr>
          <w:color w:val="000000"/>
        </w:rPr>
        <w:t xml:space="preserve"> </w:t>
      </w:r>
      <w:r w:rsidRPr="00C05367">
        <w:rPr>
          <w:color w:val="000000"/>
        </w:rPr>
        <w:t>diabetics (35%), and 87 were hypertensive (36.0%),</w:t>
      </w:r>
      <w:r w:rsidR="001878B7" w:rsidRPr="00C05367">
        <w:rPr>
          <w:color w:val="000000"/>
        </w:rPr>
        <w:t xml:space="preserve"> </w:t>
      </w:r>
      <w:r w:rsidRPr="00C05367">
        <w:rPr>
          <w:color w:val="000000"/>
        </w:rPr>
        <w:t>while 108 were active smokers (54%) this came in</w:t>
      </w:r>
      <w:r w:rsidR="001878B7" w:rsidRPr="00C05367">
        <w:rPr>
          <w:color w:val="000000"/>
        </w:rPr>
        <w:t xml:space="preserve"> </w:t>
      </w:r>
      <w:r w:rsidRPr="00C05367">
        <w:rPr>
          <w:color w:val="000000"/>
        </w:rPr>
        <w:t>agreement with a study conducted by Chow et al.</w:t>
      </w:r>
      <w:r w:rsidR="001878B7" w:rsidRPr="00C05367">
        <w:rPr>
          <w:color w:val="000000"/>
        </w:rPr>
        <w:t xml:space="preserve"> </w:t>
      </w:r>
      <w:r w:rsidRPr="00C05367">
        <w:rPr>
          <w:color w:val="000000"/>
        </w:rPr>
        <w:t>Smoking has a strong pro-thrombotic effect, and</w:t>
      </w:r>
      <w:r w:rsidR="001878B7" w:rsidRPr="00C05367">
        <w:rPr>
          <w:color w:val="000000"/>
        </w:rPr>
        <w:t xml:space="preserve"> </w:t>
      </w:r>
      <w:r w:rsidRPr="00C05367">
        <w:rPr>
          <w:color w:val="000000"/>
        </w:rPr>
        <w:t>smoking cessation is potentially the most cost</w:t>
      </w:r>
      <w:r w:rsidR="001878B7" w:rsidRPr="00C05367">
        <w:rPr>
          <w:color w:val="000000"/>
        </w:rPr>
        <w:t xml:space="preserve"> </w:t>
      </w:r>
      <w:r w:rsidRPr="00C05367">
        <w:rPr>
          <w:color w:val="000000"/>
        </w:rPr>
        <w:t>effective of all secondary prevention measures.7</w:t>
      </w:r>
      <w:r w:rsidR="001878B7" w:rsidRPr="00C05367">
        <w:rPr>
          <w:color w:val="000000"/>
        </w:rPr>
        <w:t xml:space="preserve"> </w:t>
      </w:r>
      <w:r w:rsidRPr="00C05367">
        <w:rPr>
          <w:color w:val="000000"/>
        </w:rPr>
        <w:t>The majority of cases presented by anterior</w:t>
      </w:r>
      <w:r w:rsidR="001878B7" w:rsidRPr="00C05367">
        <w:rPr>
          <w:color w:val="000000"/>
        </w:rPr>
        <w:t xml:space="preserve"> </w:t>
      </w:r>
      <w:r w:rsidRPr="00C05367">
        <w:rPr>
          <w:color w:val="000000"/>
        </w:rPr>
        <w:t>STEMI and patients presenting by Killip class I</w:t>
      </w:r>
      <w:r w:rsidR="001878B7" w:rsidRPr="00C05367">
        <w:rPr>
          <w:color w:val="000000"/>
        </w:rPr>
        <w:t xml:space="preserve"> </w:t>
      </w:r>
      <w:r w:rsidRPr="00C05367">
        <w:rPr>
          <w:color w:val="000000"/>
        </w:rPr>
        <w:t>represented majority of the study population, This</w:t>
      </w:r>
      <w:r w:rsidR="001878B7" w:rsidRPr="00C05367">
        <w:rPr>
          <w:color w:val="000000"/>
        </w:rPr>
        <w:t xml:space="preserve"> </w:t>
      </w:r>
      <w:r w:rsidRPr="00C05367">
        <w:rPr>
          <w:color w:val="000000"/>
        </w:rPr>
        <w:t>came in agreement by the STREAM trial in which</w:t>
      </w:r>
      <w:r w:rsidR="001878B7" w:rsidRPr="00C05367">
        <w:rPr>
          <w:color w:val="000000"/>
        </w:rPr>
        <w:t xml:space="preserve"> </w:t>
      </w:r>
      <w:r w:rsidRPr="00C05367">
        <w:rPr>
          <w:color w:val="000000"/>
        </w:rPr>
        <w:t>the majority of cases presented by anterior STEMI</w:t>
      </w:r>
      <w:r w:rsidR="001878B7" w:rsidRPr="00C05367">
        <w:rPr>
          <w:color w:val="000000"/>
        </w:rPr>
        <w:t xml:space="preserve"> </w:t>
      </w:r>
      <w:r w:rsidRPr="00C05367">
        <w:rPr>
          <w:color w:val="000000"/>
        </w:rPr>
        <w:t>and patients presenting by Killip class I represented</w:t>
      </w:r>
      <w:r w:rsidR="001878B7" w:rsidRPr="00C05367">
        <w:rPr>
          <w:color w:val="000000"/>
        </w:rPr>
        <w:t xml:space="preserve"> </w:t>
      </w:r>
      <w:r w:rsidRPr="00C05367">
        <w:rPr>
          <w:color w:val="000000"/>
        </w:rPr>
        <w:t>majority of their study population8.</w:t>
      </w:r>
      <w:r w:rsidR="001878B7" w:rsidRPr="00C05367">
        <w:rPr>
          <w:color w:val="000000"/>
        </w:rPr>
        <w:t xml:space="preserve"> </w:t>
      </w:r>
      <w:r w:rsidRPr="00C05367">
        <w:rPr>
          <w:color w:val="000000"/>
        </w:rPr>
        <w:t>Both study groups were compared regarding</w:t>
      </w:r>
      <w:r w:rsidR="001878B7" w:rsidRPr="00C05367">
        <w:rPr>
          <w:color w:val="000000"/>
        </w:rPr>
        <w:t xml:space="preserve"> </w:t>
      </w:r>
      <w:r w:rsidRPr="00C05367">
        <w:rPr>
          <w:color w:val="000000"/>
        </w:rPr>
        <w:t>base line TIMI flow in coronary angiography. In</w:t>
      </w:r>
      <w:r w:rsidR="001878B7" w:rsidRPr="00C05367">
        <w:rPr>
          <w:color w:val="000000"/>
        </w:rPr>
        <w:t xml:space="preserve"> </w:t>
      </w:r>
      <w:r w:rsidRPr="00C05367">
        <w:rPr>
          <w:color w:val="000000"/>
        </w:rPr>
        <w:t>group II, treated with fibrinolytic agents 50% of</w:t>
      </w:r>
      <w:r w:rsidR="001878B7" w:rsidRPr="00C05367">
        <w:rPr>
          <w:color w:val="000000"/>
        </w:rPr>
        <w:t xml:space="preserve"> </w:t>
      </w:r>
      <w:r w:rsidRPr="00C05367">
        <w:rPr>
          <w:color w:val="000000"/>
        </w:rPr>
        <w:t>cases achieved TIMI III flow. While 50 patients</w:t>
      </w:r>
      <w:r w:rsidR="001878B7" w:rsidRPr="00C05367">
        <w:rPr>
          <w:color w:val="000000"/>
        </w:rPr>
        <w:t xml:space="preserve"> </w:t>
      </w:r>
      <w:r w:rsidRPr="00C05367">
        <w:rPr>
          <w:color w:val="000000"/>
        </w:rPr>
        <w:t>achieved either TIMI flow 0, 1 or 2 (50%) of which</w:t>
      </w:r>
      <w:r w:rsidR="001878B7" w:rsidRPr="00C05367">
        <w:rPr>
          <w:color w:val="000000"/>
        </w:rPr>
        <w:t xml:space="preserve"> </w:t>
      </w:r>
      <w:r w:rsidRPr="00C05367">
        <w:rPr>
          <w:color w:val="000000"/>
        </w:rPr>
        <w:t>urgent angiography and PCI was required in 19</w:t>
      </w:r>
      <w:r w:rsidR="001878B7" w:rsidRPr="00C05367">
        <w:rPr>
          <w:color w:val="000000"/>
        </w:rPr>
        <w:t xml:space="preserve"> </w:t>
      </w:r>
      <w:r w:rsidRPr="00C05367">
        <w:rPr>
          <w:color w:val="000000"/>
        </w:rPr>
        <w:t>patients who didn’t meet criteria of successful</w:t>
      </w:r>
      <w:r w:rsidR="001878B7" w:rsidRPr="00C05367">
        <w:rPr>
          <w:color w:val="000000"/>
        </w:rPr>
        <w:t xml:space="preserve"> </w:t>
      </w:r>
      <w:r w:rsidRPr="00C05367">
        <w:rPr>
          <w:color w:val="000000"/>
        </w:rPr>
        <w:t>reperfusion by thrombolytic therapy (19%), the</w:t>
      </w:r>
      <w:r w:rsidR="001878B7" w:rsidRPr="00C05367">
        <w:rPr>
          <w:color w:val="000000"/>
        </w:rPr>
        <w:t xml:space="preserve"> </w:t>
      </w:r>
      <w:r w:rsidRPr="00C05367">
        <w:rPr>
          <w:color w:val="000000"/>
        </w:rPr>
        <w:t>remainder cases underwent timely arranged coronary angiography and PCI within 24 hours. But as would be expected in group I, only 10 cases achieved base line TIMI III flow (10%) and remainder patients of the study group achieved either TIMI 0, 1 or 2 (90%), (P &lt; 0.001).</w:t>
      </w:r>
      <w:r w:rsidR="001878B7" w:rsidRPr="00C05367">
        <w:rPr>
          <w:color w:val="000000"/>
        </w:rPr>
        <w:t xml:space="preserve"> </w:t>
      </w:r>
      <w:r w:rsidRPr="00C05367">
        <w:rPr>
          <w:color w:val="000000"/>
        </w:rPr>
        <w:t>After PCI, patency rates were high in the</w:t>
      </w:r>
      <w:r w:rsidR="001878B7" w:rsidRPr="00C05367">
        <w:rPr>
          <w:color w:val="000000"/>
        </w:rPr>
        <w:t xml:space="preserve"> </w:t>
      </w:r>
      <w:r w:rsidRPr="00C05367">
        <w:rPr>
          <w:color w:val="000000"/>
        </w:rPr>
        <w:t>two study groups with final TIMI III achieved in</w:t>
      </w:r>
      <w:r w:rsidR="001878B7" w:rsidRPr="00C05367">
        <w:rPr>
          <w:color w:val="000000"/>
        </w:rPr>
        <w:t xml:space="preserve"> </w:t>
      </w:r>
      <w:r w:rsidRPr="00C05367">
        <w:rPr>
          <w:color w:val="000000"/>
        </w:rPr>
        <w:t>90% and 95% of patients in group I and II</w:t>
      </w:r>
      <w:r w:rsidR="001878B7" w:rsidRPr="00C05367">
        <w:rPr>
          <w:color w:val="000000"/>
        </w:rPr>
        <w:t xml:space="preserve"> </w:t>
      </w:r>
      <w:r w:rsidRPr="00C05367">
        <w:rPr>
          <w:color w:val="000000"/>
        </w:rPr>
        <w:t>respectively. Of those undergoing PCI, stenting was</w:t>
      </w:r>
      <w:r w:rsidR="001878B7" w:rsidRPr="00C05367">
        <w:rPr>
          <w:color w:val="000000"/>
        </w:rPr>
        <w:t xml:space="preserve"> </w:t>
      </w:r>
      <w:r w:rsidRPr="00C05367">
        <w:rPr>
          <w:color w:val="000000"/>
        </w:rPr>
        <w:t>required in 85 cases of group I (85%) and 95 cases</w:t>
      </w:r>
      <w:r w:rsidR="001878B7" w:rsidRPr="00C05367">
        <w:rPr>
          <w:color w:val="000000"/>
        </w:rPr>
        <w:t xml:space="preserve"> </w:t>
      </w:r>
      <w:r w:rsidRPr="00C05367">
        <w:rPr>
          <w:color w:val="000000"/>
        </w:rPr>
        <w:t>of group II (95%) while no stenting required for 15</w:t>
      </w:r>
      <w:r w:rsidR="001878B7" w:rsidRPr="00C05367">
        <w:rPr>
          <w:color w:val="000000"/>
        </w:rPr>
        <w:t xml:space="preserve"> </w:t>
      </w:r>
      <w:r w:rsidRPr="00C05367">
        <w:rPr>
          <w:color w:val="000000"/>
        </w:rPr>
        <w:t xml:space="preserve">cases </w:t>
      </w:r>
      <w:r w:rsidRPr="00C05367">
        <w:rPr>
          <w:color w:val="000000"/>
        </w:rPr>
        <w:lastRenderedPageBreak/>
        <w:t>of group I (15%) and 5 cases of group II (5%).</w:t>
      </w:r>
      <w:r w:rsidR="001878B7" w:rsidRPr="00C05367">
        <w:rPr>
          <w:color w:val="000000"/>
        </w:rPr>
        <w:t xml:space="preserve"> </w:t>
      </w:r>
      <w:r w:rsidRPr="00C05367">
        <w:rPr>
          <w:color w:val="000000"/>
        </w:rPr>
        <w:t>(P &lt; 0.179). This came in concordance with the</w:t>
      </w:r>
      <w:r w:rsidR="001878B7" w:rsidRPr="00C05367">
        <w:rPr>
          <w:color w:val="000000"/>
        </w:rPr>
        <w:t xml:space="preserve"> </w:t>
      </w:r>
      <w:r w:rsidRPr="00C05367">
        <w:rPr>
          <w:color w:val="000000"/>
        </w:rPr>
        <w:t>STREAM trial, in the group treated by fibrinolysis</w:t>
      </w:r>
      <w:r w:rsidR="001878B7" w:rsidRPr="00C05367">
        <w:rPr>
          <w:color w:val="000000"/>
        </w:rPr>
        <w:t xml:space="preserve"> </w:t>
      </w:r>
      <w:r w:rsidRPr="00C05367">
        <w:rPr>
          <w:color w:val="000000"/>
        </w:rPr>
        <w:t>most patients presented by base line TIMI III 58.5%</w:t>
      </w:r>
      <w:r w:rsidR="001878B7" w:rsidRPr="00C05367">
        <w:rPr>
          <w:color w:val="000000"/>
        </w:rPr>
        <w:t xml:space="preserve"> </w:t>
      </w:r>
      <w:r w:rsidRPr="00C05367">
        <w:rPr>
          <w:color w:val="000000"/>
        </w:rPr>
        <w:t>while in the group treated by primary PCI most</w:t>
      </w:r>
      <w:r w:rsidR="001878B7" w:rsidRPr="00C05367">
        <w:rPr>
          <w:color w:val="000000"/>
        </w:rPr>
        <w:t xml:space="preserve"> </w:t>
      </w:r>
      <w:r w:rsidRPr="00C05367">
        <w:rPr>
          <w:color w:val="000000"/>
        </w:rPr>
        <w:t>patients achieved base line TIMI 0 (59.3%). but the</w:t>
      </w:r>
      <w:r w:rsidR="001878B7" w:rsidRPr="00C05367">
        <w:rPr>
          <w:color w:val="000000"/>
        </w:rPr>
        <w:t xml:space="preserve"> </w:t>
      </w:r>
      <w:r w:rsidRPr="00C05367">
        <w:rPr>
          <w:color w:val="000000"/>
        </w:rPr>
        <w:t>final TIMI III flow was achieved similarly in the</w:t>
      </w:r>
      <w:r w:rsidR="001878B7" w:rsidRPr="00C05367">
        <w:rPr>
          <w:color w:val="000000"/>
        </w:rPr>
        <w:t xml:space="preserve"> </w:t>
      </w:r>
      <w:r w:rsidRPr="00C05367">
        <w:rPr>
          <w:color w:val="000000"/>
        </w:rPr>
        <w:t>group treated by pharmacoinvasive technique and</w:t>
      </w:r>
      <w:r w:rsidR="001878B7" w:rsidRPr="00C05367">
        <w:rPr>
          <w:color w:val="000000"/>
        </w:rPr>
        <w:t xml:space="preserve"> </w:t>
      </w:r>
      <w:r w:rsidRPr="00C05367">
        <w:rPr>
          <w:color w:val="000000"/>
        </w:rPr>
        <w:t>group treated by primary PCI 91% and 92%</w:t>
      </w:r>
      <w:r w:rsidR="001878B7" w:rsidRPr="00C05367">
        <w:rPr>
          <w:color w:val="000000"/>
        </w:rPr>
        <w:t xml:space="preserve"> </w:t>
      </w:r>
      <w:r w:rsidRPr="00C05367">
        <w:rPr>
          <w:color w:val="000000"/>
        </w:rPr>
        <w:t>respectively.8</w:t>
      </w:r>
      <w:r w:rsidR="001878B7" w:rsidRPr="00C05367">
        <w:rPr>
          <w:color w:val="000000"/>
        </w:rPr>
        <w:t xml:space="preserve"> </w:t>
      </w:r>
      <w:r w:rsidRPr="00C05367">
        <w:rPr>
          <w:color w:val="000000"/>
        </w:rPr>
        <w:t>Also, in the FAST-MI trial initial TIMI flow</w:t>
      </w:r>
      <w:r w:rsidR="001878B7" w:rsidRPr="00C05367">
        <w:rPr>
          <w:color w:val="000000"/>
        </w:rPr>
        <w:t xml:space="preserve"> </w:t>
      </w:r>
      <w:r w:rsidRPr="00C05367">
        <w:rPr>
          <w:color w:val="000000"/>
        </w:rPr>
        <w:t>for group treated by primary PCI in 18% of patients.</w:t>
      </w:r>
      <w:r w:rsidR="001878B7" w:rsidRPr="00C05367">
        <w:rPr>
          <w:color w:val="000000"/>
        </w:rPr>
        <w:t xml:space="preserve"> </w:t>
      </w:r>
      <w:r w:rsidRPr="00C05367">
        <w:rPr>
          <w:color w:val="000000"/>
        </w:rPr>
        <w:t>And 37% of patients treated by fibrinolysis. While</w:t>
      </w:r>
      <w:r w:rsidR="001878B7" w:rsidRPr="00C05367">
        <w:rPr>
          <w:color w:val="000000"/>
        </w:rPr>
        <w:t xml:space="preserve"> </w:t>
      </w:r>
      <w:r w:rsidRPr="00C05367">
        <w:rPr>
          <w:color w:val="000000"/>
        </w:rPr>
        <w:t>the final TIMI flow was 89% in group treated by</w:t>
      </w:r>
      <w:r w:rsidR="001878B7" w:rsidRPr="00C05367">
        <w:rPr>
          <w:color w:val="000000"/>
        </w:rPr>
        <w:t xml:space="preserve"> </w:t>
      </w:r>
      <w:r w:rsidRPr="00C05367">
        <w:rPr>
          <w:color w:val="000000"/>
        </w:rPr>
        <w:t>primary PCI and 84% in patients treated by</w:t>
      </w:r>
      <w:r w:rsidR="001878B7" w:rsidRPr="00C05367">
        <w:rPr>
          <w:color w:val="000000"/>
        </w:rPr>
        <w:t xml:space="preserve"> </w:t>
      </w:r>
      <w:r w:rsidRPr="00C05367">
        <w:rPr>
          <w:color w:val="000000"/>
        </w:rPr>
        <w:t>fibrinolysis.6</w:t>
      </w:r>
      <w:r w:rsidR="001878B7" w:rsidRPr="00C05367">
        <w:rPr>
          <w:color w:val="000000"/>
        </w:rPr>
        <w:t xml:space="preserve"> </w:t>
      </w:r>
      <w:r w:rsidRPr="00C05367">
        <w:rPr>
          <w:b/>
          <w:bCs/>
          <w:color w:val="000000"/>
        </w:rPr>
        <w:t>Regarding in-hospital MACE</w:t>
      </w:r>
      <w:r w:rsidRPr="00C05367">
        <w:rPr>
          <w:color w:val="000000"/>
        </w:rPr>
        <w:t>: 4 cases of</w:t>
      </w:r>
      <w:r w:rsidR="001878B7" w:rsidRPr="00C05367">
        <w:rPr>
          <w:color w:val="000000"/>
        </w:rPr>
        <w:t xml:space="preserve"> </w:t>
      </w:r>
      <w:r w:rsidRPr="00C05367">
        <w:rPr>
          <w:color w:val="000000"/>
        </w:rPr>
        <w:t>group I, died during admission (4%) compared to 7</w:t>
      </w:r>
      <w:r w:rsidR="001878B7" w:rsidRPr="00C05367">
        <w:rPr>
          <w:color w:val="000000"/>
        </w:rPr>
        <w:t xml:space="preserve"> </w:t>
      </w:r>
      <w:r w:rsidRPr="00C05367">
        <w:rPr>
          <w:color w:val="000000"/>
        </w:rPr>
        <w:t>cases (7%) of group II, (P=0.352). and regarding</w:t>
      </w:r>
      <w:r w:rsidR="001878B7" w:rsidRPr="00C05367">
        <w:rPr>
          <w:color w:val="000000"/>
        </w:rPr>
        <w:t xml:space="preserve"> </w:t>
      </w:r>
      <w:r w:rsidRPr="00C05367">
        <w:rPr>
          <w:color w:val="000000"/>
        </w:rPr>
        <w:t>angiographic complication there were no significant</w:t>
      </w:r>
      <w:r w:rsidR="001878B7" w:rsidRPr="00C05367">
        <w:rPr>
          <w:color w:val="000000"/>
        </w:rPr>
        <w:t xml:space="preserve"> </w:t>
      </w:r>
      <w:r w:rsidRPr="00C05367">
        <w:rPr>
          <w:color w:val="000000"/>
        </w:rPr>
        <w:t>difference in both groups. Bleeding complication</w:t>
      </w:r>
      <w:r w:rsidR="001878B7" w:rsidRPr="00C05367">
        <w:rPr>
          <w:color w:val="000000"/>
        </w:rPr>
        <w:t xml:space="preserve"> </w:t>
      </w:r>
      <w:r w:rsidRPr="00C05367">
        <w:rPr>
          <w:color w:val="000000"/>
        </w:rPr>
        <w:t>occurred more in the pharmacoinvasive arm</w:t>
      </w:r>
      <w:r w:rsidR="001878B7" w:rsidRPr="00C05367">
        <w:rPr>
          <w:color w:val="000000"/>
        </w:rPr>
        <w:t xml:space="preserve"> </w:t>
      </w:r>
      <w:r w:rsidRPr="00C05367">
        <w:rPr>
          <w:color w:val="000000"/>
        </w:rPr>
        <w:t>compared with primary PCI arm with 19 patients</w:t>
      </w:r>
      <w:r w:rsidR="001878B7" w:rsidRPr="00C05367">
        <w:rPr>
          <w:color w:val="000000"/>
        </w:rPr>
        <w:t xml:space="preserve"> </w:t>
      </w:r>
      <w:r w:rsidRPr="00C05367">
        <w:rPr>
          <w:color w:val="000000"/>
        </w:rPr>
        <w:t>suffered from different types of bleeding</w:t>
      </w:r>
      <w:r w:rsidR="001878B7" w:rsidRPr="00C05367">
        <w:rPr>
          <w:color w:val="000000"/>
        </w:rPr>
        <w:t xml:space="preserve"> </w:t>
      </w:r>
      <w:r w:rsidRPr="00C05367">
        <w:rPr>
          <w:color w:val="000000"/>
        </w:rPr>
        <w:t>complication (19%) compared to 6 patients of group</w:t>
      </w:r>
      <w:r w:rsidR="001878B7" w:rsidRPr="00C05367">
        <w:rPr>
          <w:color w:val="000000"/>
        </w:rPr>
        <w:t xml:space="preserve"> </w:t>
      </w:r>
      <w:r w:rsidRPr="00C05367">
        <w:rPr>
          <w:color w:val="000000"/>
        </w:rPr>
        <w:t>I (6%).</w:t>
      </w:r>
      <w:r w:rsidR="001878B7" w:rsidRPr="00C05367">
        <w:rPr>
          <w:color w:val="000000"/>
        </w:rPr>
        <w:t xml:space="preserve"> </w:t>
      </w:r>
    </w:p>
    <w:p w:rsidR="00A86FB4" w:rsidRPr="00C05367" w:rsidRDefault="00A86FB4" w:rsidP="00A86FB4">
      <w:pPr>
        <w:snapToGrid w:val="0"/>
        <w:ind w:firstLine="425"/>
        <w:jc w:val="both"/>
        <w:rPr>
          <w:rFonts w:hint="eastAsia"/>
          <w:color w:val="000000"/>
          <w:lang w:eastAsia="zh-CN"/>
        </w:rPr>
      </w:pPr>
    </w:p>
    <w:p w:rsidR="00B27AFE" w:rsidRPr="00C05367" w:rsidRDefault="00B27AFE" w:rsidP="001878B7">
      <w:pPr>
        <w:snapToGrid w:val="0"/>
        <w:jc w:val="both"/>
        <w:rPr>
          <w:color w:val="000000"/>
        </w:rPr>
      </w:pPr>
      <w:r w:rsidRPr="00C05367">
        <w:rPr>
          <w:b/>
          <w:bCs/>
          <w:color w:val="000000"/>
        </w:rPr>
        <w:t>Regarding major adverse outcome during 30</w:t>
      </w:r>
      <w:r w:rsidR="0087612C" w:rsidRPr="00C05367">
        <w:rPr>
          <w:rFonts w:hint="eastAsia"/>
          <w:b/>
          <w:bCs/>
          <w:color w:val="000000"/>
          <w:lang w:eastAsia="zh-CN"/>
        </w:rPr>
        <w:t xml:space="preserve"> </w:t>
      </w:r>
      <w:r w:rsidRPr="00C05367">
        <w:rPr>
          <w:b/>
          <w:bCs/>
          <w:color w:val="000000"/>
        </w:rPr>
        <w:t>days follow up:</w:t>
      </w:r>
    </w:p>
    <w:p w:rsidR="00B27AFE" w:rsidRPr="00C05367" w:rsidRDefault="00B27AFE" w:rsidP="001878B7">
      <w:pPr>
        <w:snapToGrid w:val="0"/>
        <w:jc w:val="both"/>
        <w:rPr>
          <w:b/>
          <w:bCs/>
          <w:color w:val="000000"/>
        </w:rPr>
      </w:pPr>
      <w:r w:rsidRPr="00C05367">
        <w:rPr>
          <w:color w:val="000000"/>
        </w:rPr>
        <w:t>During follow up visit, there were</w:t>
      </w:r>
      <w:r w:rsidR="001878B7" w:rsidRPr="00C05367">
        <w:rPr>
          <w:color w:val="000000"/>
        </w:rPr>
        <w:t xml:space="preserve"> </w:t>
      </w:r>
      <w:r w:rsidRPr="00C05367">
        <w:rPr>
          <w:color w:val="000000"/>
        </w:rPr>
        <w:t>similarities in both groups regarding all-cause</w:t>
      </w:r>
      <w:r w:rsidR="00C05367" w:rsidRPr="00C05367">
        <w:rPr>
          <w:rFonts w:hint="eastAsia"/>
          <w:color w:val="000000"/>
          <w:lang w:eastAsia="zh-CN"/>
        </w:rPr>
        <w:t xml:space="preserve"> </w:t>
      </w:r>
      <w:r w:rsidRPr="00C05367">
        <w:rPr>
          <w:color w:val="000000"/>
        </w:rPr>
        <w:t>mortality 3 patients of group I and 3 of group II died during one month follow up, (P = 0.635). Also,</w:t>
      </w:r>
      <w:r w:rsidR="001878B7" w:rsidRPr="00C05367">
        <w:rPr>
          <w:color w:val="000000"/>
        </w:rPr>
        <w:t xml:space="preserve"> </w:t>
      </w:r>
      <w:r w:rsidRPr="00C05367">
        <w:rPr>
          <w:color w:val="000000"/>
        </w:rPr>
        <w:t>MACE (congestive heart failure and re-infarction) P</w:t>
      </w:r>
      <w:r w:rsidR="001878B7" w:rsidRPr="00C05367">
        <w:rPr>
          <w:color w:val="000000"/>
        </w:rPr>
        <w:t xml:space="preserve"> </w:t>
      </w:r>
      <w:r w:rsidRPr="00C05367">
        <w:rPr>
          <w:color w:val="000000"/>
        </w:rPr>
        <w:t>= 0.211 and P = 0.139 respectively. This came in</w:t>
      </w:r>
      <w:r w:rsidR="001878B7" w:rsidRPr="00C05367">
        <w:rPr>
          <w:color w:val="000000"/>
        </w:rPr>
        <w:t xml:space="preserve"> </w:t>
      </w:r>
      <w:r w:rsidRPr="00C05367">
        <w:rPr>
          <w:color w:val="000000"/>
        </w:rPr>
        <w:t>agreement with the STREAM trial, which compared</w:t>
      </w:r>
      <w:r w:rsidR="001878B7" w:rsidRPr="00C05367">
        <w:rPr>
          <w:color w:val="000000"/>
        </w:rPr>
        <w:t xml:space="preserve"> </w:t>
      </w:r>
      <w:r w:rsidRPr="00C05367">
        <w:rPr>
          <w:color w:val="000000"/>
        </w:rPr>
        <w:t>outcomes in patients treated with Pharmacoinvasive</w:t>
      </w:r>
      <w:r w:rsidR="001878B7" w:rsidRPr="00C05367">
        <w:rPr>
          <w:color w:val="000000"/>
        </w:rPr>
        <w:t xml:space="preserve"> </w:t>
      </w:r>
      <w:r w:rsidRPr="00C05367">
        <w:rPr>
          <w:color w:val="000000"/>
        </w:rPr>
        <w:t>therapy or Primary PCI presenting within 3 h after</w:t>
      </w:r>
      <w:r w:rsidR="001878B7" w:rsidRPr="00C05367">
        <w:rPr>
          <w:color w:val="000000"/>
        </w:rPr>
        <w:t xml:space="preserve"> </w:t>
      </w:r>
      <w:r w:rsidRPr="00C05367">
        <w:rPr>
          <w:color w:val="000000"/>
        </w:rPr>
        <w:t>symptom onset, unable to undergo Primary PCI</w:t>
      </w:r>
      <w:r w:rsidR="001878B7" w:rsidRPr="00C05367">
        <w:rPr>
          <w:color w:val="000000"/>
        </w:rPr>
        <w:t xml:space="preserve"> </w:t>
      </w:r>
      <w:r w:rsidRPr="00C05367">
        <w:rPr>
          <w:color w:val="000000"/>
        </w:rPr>
        <w:t>within 1 hr. The primary end point was a composite</w:t>
      </w:r>
      <w:r w:rsidR="001878B7" w:rsidRPr="00C05367">
        <w:rPr>
          <w:color w:val="000000"/>
        </w:rPr>
        <w:t xml:space="preserve"> </w:t>
      </w:r>
      <w:r w:rsidRPr="00C05367">
        <w:rPr>
          <w:color w:val="000000"/>
        </w:rPr>
        <w:t>of death, shock, congestive heart failure, or</w:t>
      </w:r>
      <w:r w:rsidR="001878B7" w:rsidRPr="00C05367">
        <w:rPr>
          <w:color w:val="000000"/>
        </w:rPr>
        <w:t xml:space="preserve"> </w:t>
      </w:r>
      <w:r w:rsidRPr="00C05367">
        <w:rPr>
          <w:color w:val="000000"/>
        </w:rPr>
        <w:t>reinfarction up to 30 days, the primary end point</w:t>
      </w:r>
      <w:r w:rsidR="001878B7" w:rsidRPr="00C05367">
        <w:rPr>
          <w:color w:val="000000"/>
        </w:rPr>
        <w:t xml:space="preserve"> </w:t>
      </w:r>
      <w:r w:rsidRPr="00C05367">
        <w:rPr>
          <w:color w:val="000000"/>
        </w:rPr>
        <w:t>occurred in (12.4%) in the fibrinolysis group and in</w:t>
      </w:r>
      <w:r w:rsidR="001878B7" w:rsidRPr="00C05367">
        <w:rPr>
          <w:color w:val="000000"/>
        </w:rPr>
        <w:t xml:space="preserve"> </w:t>
      </w:r>
      <w:r w:rsidRPr="00C05367">
        <w:rPr>
          <w:color w:val="000000"/>
        </w:rPr>
        <w:t>(14.3%) in the primary PCI group. More intracranial</w:t>
      </w:r>
      <w:r w:rsidR="001878B7" w:rsidRPr="00C05367">
        <w:rPr>
          <w:color w:val="000000"/>
        </w:rPr>
        <w:t xml:space="preserve"> </w:t>
      </w:r>
      <w:r w:rsidRPr="00C05367">
        <w:rPr>
          <w:color w:val="000000"/>
        </w:rPr>
        <w:t>haemorrhages occurred in the fibrinolysis group than in the primary PCI group.8</w:t>
      </w:r>
      <w:r w:rsidR="001878B7" w:rsidRPr="00C05367">
        <w:rPr>
          <w:color w:val="000000"/>
        </w:rPr>
        <w:t xml:space="preserve"> </w:t>
      </w:r>
      <w:r w:rsidRPr="00C05367">
        <w:rPr>
          <w:color w:val="000000"/>
        </w:rPr>
        <w:t>Also, Larson et al conducted a prospective</w:t>
      </w:r>
      <w:r w:rsidR="001878B7" w:rsidRPr="00C05367">
        <w:rPr>
          <w:color w:val="000000"/>
        </w:rPr>
        <w:t xml:space="preserve"> </w:t>
      </w:r>
      <w:r w:rsidRPr="00C05367">
        <w:rPr>
          <w:color w:val="000000"/>
        </w:rPr>
        <w:t>registry data from a large regional STEMI system</w:t>
      </w:r>
      <w:r w:rsidR="001878B7" w:rsidRPr="00C05367">
        <w:rPr>
          <w:color w:val="000000"/>
        </w:rPr>
        <w:t xml:space="preserve"> </w:t>
      </w:r>
      <w:r w:rsidRPr="00C05367">
        <w:rPr>
          <w:color w:val="000000"/>
        </w:rPr>
        <w:t>(the Minneapolis Heart Institute Foundation),</w:t>
      </w:r>
      <w:r w:rsidR="001878B7" w:rsidRPr="00C05367">
        <w:rPr>
          <w:color w:val="000000"/>
        </w:rPr>
        <w:t xml:space="preserve"> </w:t>
      </w:r>
      <w:r w:rsidRPr="00C05367">
        <w:rPr>
          <w:color w:val="000000"/>
        </w:rPr>
        <w:t>involving 2624 consecutive STEMI patients and 31</w:t>
      </w:r>
      <w:r w:rsidR="001878B7" w:rsidRPr="00C05367">
        <w:rPr>
          <w:color w:val="000000"/>
        </w:rPr>
        <w:t xml:space="preserve"> </w:t>
      </w:r>
      <w:r w:rsidRPr="00C05367">
        <w:rPr>
          <w:color w:val="000000"/>
        </w:rPr>
        <w:t>referring non-PCI hospitals demonstrated the safety</w:t>
      </w:r>
      <w:r w:rsidR="001878B7" w:rsidRPr="00C05367">
        <w:rPr>
          <w:color w:val="000000"/>
        </w:rPr>
        <w:t xml:space="preserve"> </w:t>
      </w:r>
      <w:r w:rsidRPr="00C05367">
        <w:rPr>
          <w:color w:val="000000"/>
        </w:rPr>
        <w:t>and efficacy of a pharmacoinvasive reperfusion</w:t>
      </w:r>
      <w:r w:rsidR="001878B7" w:rsidRPr="00C05367">
        <w:rPr>
          <w:color w:val="000000"/>
        </w:rPr>
        <w:t xml:space="preserve"> </w:t>
      </w:r>
      <w:r w:rsidRPr="00C05367">
        <w:rPr>
          <w:color w:val="000000"/>
        </w:rPr>
        <w:t>strategy in rural patients who had expected delays to</w:t>
      </w:r>
      <w:r w:rsidR="001878B7" w:rsidRPr="00C05367">
        <w:rPr>
          <w:color w:val="000000"/>
        </w:rPr>
        <w:t xml:space="preserve"> </w:t>
      </w:r>
      <w:r w:rsidRPr="00C05367">
        <w:rPr>
          <w:color w:val="000000"/>
        </w:rPr>
        <w:t>PCI owing to long-distance transfers. STEMI</w:t>
      </w:r>
      <w:r w:rsidR="001878B7" w:rsidRPr="00C05367">
        <w:rPr>
          <w:color w:val="000000"/>
        </w:rPr>
        <w:t xml:space="preserve"> </w:t>
      </w:r>
      <w:r w:rsidRPr="00C05367">
        <w:rPr>
          <w:color w:val="000000"/>
        </w:rPr>
        <w:t>patients who were transferred from hospitals more</w:t>
      </w:r>
      <w:r w:rsidR="001878B7" w:rsidRPr="00C05367">
        <w:rPr>
          <w:color w:val="000000"/>
        </w:rPr>
        <w:t xml:space="preserve"> </w:t>
      </w:r>
      <w:r w:rsidRPr="00C05367">
        <w:rPr>
          <w:color w:val="000000"/>
        </w:rPr>
        <w:t>than 60 miles from the PCI hospital received</w:t>
      </w:r>
      <w:r w:rsidR="001878B7" w:rsidRPr="00C05367">
        <w:rPr>
          <w:color w:val="000000"/>
        </w:rPr>
        <w:t xml:space="preserve"> </w:t>
      </w:r>
      <w:r w:rsidRPr="00C05367">
        <w:rPr>
          <w:color w:val="000000"/>
        </w:rPr>
        <w:t>fibrinolytic therapy were transferred for immediate</w:t>
      </w:r>
      <w:r w:rsidR="001878B7" w:rsidRPr="00C05367">
        <w:rPr>
          <w:color w:val="000000"/>
        </w:rPr>
        <w:t xml:space="preserve"> </w:t>
      </w:r>
      <w:r w:rsidRPr="00C05367">
        <w:rPr>
          <w:color w:val="000000"/>
        </w:rPr>
        <w:t>PCI. There were no differences in 30-day mortality</w:t>
      </w:r>
      <w:r w:rsidR="001878B7" w:rsidRPr="00C05367">
        <w:rPr>
          <w:color w:val="000000"/>
        </w:rPr>
        <w:t xml:space="preserve"> </w:t>
      </w:r>
      <w:r w:rsidRPr="00C05367">
        <w:rPr>
          <w:color w:val="000000"/>
        </w:rPr>
        <w:t>(5.5% vs 5.6%; P = 0.94), stroke (1.1% vs 1.3%; P = 0.66), major bleeding (1.5% vs 1.8%; P = 0.65), or</w:t>
      </w:r>
      <w:r w:rsidR="001878B7" w:rsidRPr="00C05367">
        <w:rPr>
          <w:color w:val="000000"/>
        </w:rPr>
        <w:t xml:space="preserve"> </w:t>
      </w:r>
      <w:r w:rsidRPr="00C05367">
        <w:rPr>
          <w:color w:val="000000"/>
        </w:rPr>
        <w:t xml:space="preserve">reinfarction ischemia </w:t>
      </w:r>
      <w:r w:rsidRPr="00C05367">
        <w:rPr>
          <w:color w:val="000000"/>
        </w:rPr>
        <w:lastRenderedPageBreak/>
        <w:t>(1.2% vs 2.5%; P = 0.088) in</w:t>
      </w:r>
      <w:r w:rsidR="001878B7" w:rsidRPr="00C05367">
        <w:rPr>
          <w:color w:val="000000"/>
        </w:rPr>
        <w:t xml:space="preserve"> </w:t>
      </w:r>
      <w:r w:rsidRPr="00C05367">
        <w:rPr>
          <w:color w:val="000000"/>
        </w:rPr>
        <w:t>patients receiving a pharmacoinvasive strategy</w:t>
      </w:r>
      <w:r w:rsidR="001878B7" w:rsidRPr="00C05367">
        <w:rPr>
          <w:color w:val="000000"/>
        </w:rPr>
        <w:t xml:space="preserve"> </w:t>
      </w:r>
      <w:r w:rsidRPr="00C05367">
        <w:rPr>
          <w:color w:val="000000"/>
        </w:rPr>
        <w:t>compared with patients presenting directly to the</w:t>
      </w:r>
      <w:r w:rsidR="001878B7" w:rsidRPr="00C05367">
        <w:rPr>
          <w:color w:val="000000"/>
        </w:rPr>
        <w:t xml:space="preserve"> </w:t>
      </w:r>
      <w:r w:rsidRPr="00C05367">
        <w:rPr>
          <w:color w:val="000000"/>
        </w:rPr>
        <w:t>PCI center for primary PCI, despite a 93 minute</w:t>
      </w:r>
      <w:r w:rsidR="001878B7" w:rsidRPr="00C05367">
        <w:rPr>
          <w:color w:val="000000"/>
        </w:rPr>
        <w:t xml:space="preserve"> </w:t>
      </w:r>
      <w:r w:rsidRPr="00C05367">
        <w:rPr>
          <w:color w:val="000000"/>
        </w:rPr>
        <w:t>longer door to balloon time.9</w:t>
      </w:r>
      <w:r w:rsidR="001878B7" w:rsidRPr="00C05367">
        <w:rPr>
          <w:color w:val="000000"/>
        </w:rPr>
        <w:t xml:space="preserve"> </w:t>
      </w:r>
      <w:r w:rsidRPr="00C05367">
        <w:rPr>
          <w:color w:val="000000"/>
        </w:rPr>
        <w:t>In the FAST-MI trial, they assessed 5-year</w:t>
      </w:r>
      <w:r w:rsidR="001878B7" w:rsidRPr="00C05367">
        <w:rPr>
          <w:color w:val="000000"/>
        </w:rPr>
        <w:t xml:space="preserve"> </w:t>
      </w:r>
      <w:r w:rsidRPr="00C05367">
        <w:rPr>
          <w:color w:val="000000"/>
        </w:rPr>
        <w:t>mortality in STEMI patients from the French</w:t>
      </w:r>
      <w:r w:rsidR="001878B7" w:rsidRPr="00C05367">
        <w:rPr>
          <w:color w:val="000000"/>
        </w:rPr>
        <w:t xml:space="preserve"> </w:t>
      </w:r>
      <w:r w:rsidRPr="00C05367">
        <w:rPr>
          <w:color w:val="000000"/>
        </w:rPr>
        <w:t>registry of Acute ST-elevation or non-ST elevatio</w:t>
      </w:r>
      <w:r w:rsidR="0087612C" w:rsidRPr="00C05367">
        <w:rPr>
          <w:color w:val="000000"/>
        </w:rPr>
        <w:t>n M</w:t>
      </w:r>
      <w:r w:rsidRPr="00C05367">
        <w:rPr>
          <w:color w:val="000000"/>
        </w:rPr>
        <w:t>yocardial Infarction (FAST-MI) in 2005 according to use and type of reperfusion therapy. Of 1492 STEMI patients with first call &lt;12 hours from onset, 447 (30%) received fibrinolysis (66% pre-hospital; 97% with subsequent angiography, 84% with subsequent PCI), 583 (39%) had pPCI and 462</w:t>
      </w:r>
      <w:r w:rsidR="001878B7" w:rsidRPr="00C05367">
        <w:rPr>
          <w:color w:val="000000"/>
        </w:rPr>
        <w:t xml:space="preserve"> </w:t>
      </w:r>
      <w:r w:rsidRPr="00C05367">
        <w:rPr>
          <w:color w:val="000000"/>
        </w:rPr>
        <w:t>(31%) received no reperfusion. There was a</w:t>
      </w:r>
      <w:r w:rsidR="001878B7" w:rsidRPr="00C05367">
        <w:rPr>
          <w:color w:val="000000"/>
        </w:rPr>
        <w:t xml:space="preserve"> </w:t>
      </w:r>
      <w:r w:rsidRPr="00C05367">
        <w:rPr>
          <w:color w:val="000000"/>
        </w:rPr>
        <w:t>numerical excess of reinfarction, stroke, and</w:t>
      </w:r>
      <w:r w:rsidR="001878B7" w:rsidRPr="00C05367">
        <w:rPr>
          <w:color w:val="000000"/>
        </w:rPr>
        <w:t xml:space="preserve"> </w:t>
      </w:r>
      <w:r w:rsidRPr="00C05367">
        <w:rPr>
          <w:color w:val="000000"/>
        </w:rPr>
        <w:t>ventricular fibrillation with the fibrinolytic-based</w:t>
      </w:r>
      <w:r w:rsidR="001878B7" w:rsidRPr="00C05367">
        <w:rPr>
          <w:color w:val="000000"/>
        </w:rPr>
        <w:t xml:space="preserve"> </w:t>
      </w:r>
      <w:r w:rsidRPr="00C05367">
        <w:rPr>
          <w:color w:val="000000"/>
        </w:rPr>
        <w:t>strategy, and an excess of cardiogenic shock with</w:t>
      </w:r>
      <w:r w:rsidR="001878B7" w:rsidRPr="00C05367">
        <w:rPr>
          <w:color w:val="000000"/>
        </w:rPr>
        <w:t xml:space="preserve"> </w:t>
      </w:r>
      <w:r w:rsidRPr="00C05367">
        <w:rPr>
          <w:color w:val="000000"/>
        </w:rPr>
        <w:t>primary PCI. However, none of the in-hospital</w:t>
      </w:r>
      <w:r w:rsidR="001878B7" w:rsidRPr="00C05367">
        <w:rPr>
          <w:color w:val="000000"/>
        </w:rPr>
        <w:t xml:space="preserve"> </w:t>
      </w:r>
      <w:r w:rsidRPr="00C05367">
        <w:rPr>
          <w:color w:val="000000"/>
        </w:rPr>
        <w:t>complications differed significantly for the two</w:t>
      </w:r>
      <w:r w:rsidR="001878B7" w:rsidRPr="00C05367">
        <w:rPr>
          <w:color w:val="000000"/>
        </w:rPr>
        <w:t xml:space="preserve"> </w:t>
      </w:r>
      <w:r w:rsidRPr="00C05367">
        <w:rPr>
          <w:color w:val="000000"/>
        </w:rPr>
        <w:t>reperfusion strategies. In the FAST-MI trial major</w:t>
      </w:r>
      <w:r w:rsidR="001878B7" w:rsidRPr="00C05367">
        <w:rPr>
          <w:color w:val="000000"/>
        </w:rPr>
        <w:t xml:space="preserve"> </w:t>
      </w:r>
      <w:r w:rsidRPr="00C05367">
        <w:rPr>
          <w:color w:val="000000"/>
        </w:rPr>
        <w:t>bleeding complication occurred more with the</w:t>
      </w:r>
      <w:r w:rsidR="001878B7" w:rsidRPr="00C05367">
        <w:rPr>
          <w:color w:val="000000"/>
        </w:rPr>
        <w:t xml:space="preserve"> </w:t>
      </w:r>
      <w:r w:rsidRPr="00C05367">
        <w:rPr>
          <w:color w:val="000000"/>
        </w:rPr>
        <w:t>primary PCI arm with no statistical difference (P =</w:t>
      </w:r>
      <w:r w:rsidR="001878B7" w:rsidRPr="00C05367">
        <w:rPr>
          <w:color w:val="000000"/>
        </w:rPr>
        <w:t xml:space="preserve"> </w:t>
      </w:r>
      <w:r w:rsidRPr="00C05367">
        <w:rPr>
          <w:color w:val="000000"/>
        </w:rPr>
        <w:t>0.29).10</w:t>
      </w:r>
      <w:r w:rsidR="001878B7" w:rsidRPr="00C05367">
        <w:rPr>
          <w:color w:val="000000"/>
        </w:rPr>
        <w:t xml:space="preserve"> </w:t>
      </w:r>
      <w:r w:rsidRPr="00C05367">
        <w:rPr>
          <w:color w:val="000000"/>
        </w:rPr>
        <w:t>The Comparison of Angioplasty and Prehospital Thrombolysis in Acute Myocardial Infarction (CAPTIM) trial, has suggested that prehospital</w:t>
      </w:r>
      <w:r w:rsidR="00C05367" w:rsidRPr="00C05367">
        <w:rPr>
          <w:rFonts w:hint="eastAsia"/>
          <w:color w:val="000000"/>
          <w:lang w:eastAsia="zh-CN"/>
        </w:rPr>
        <w:t xml:space="preserve"> </w:t>
      </w:r>
      <w:r w:rsidRPr="00C05367">
        <w:rPr>
          <w:color w:val="000000"/>
        </w:rPr>
        <w:t xml:space="preserve">fibrinolytic therapy with the patients brought to PCI-capable centers and with one third undergoing rescue angioplasty, could do at least as well as primary PCI up to 5 years after the initial episode. </w:t>
      </w:r>
      <w:r w:rsidR="001878B7" w:rsidRPr="00C05367">
        <w:rPr>
          <w:color w:val="000000"/>
        </w:rPr>
        <w:t xml:space="preserve"> </w:t>
      </w:r>
      <w:r w:rsidRPr="00C05367">
        <w:rPr>
          <w:color w:val="000000"/>
        </w:rPr>
        <w:t>Also a pooled analysis of the CAPTIM and</w:t>
      </w:r>
      <w:r w:rsidR="001878B7" w:rsidRPr="00C05367">
        <w:rPr>
          <w:color w:val="000000"/>
        </w:rPr>
        <w:t xml:space="preserve"> </w:t>
      </w:r>
      <w:r w:rsidRPr="00C05367">
        <w:rPr>
          <w:color w:val="000000"/>
        </w:rPr>
        <w:t>Which Early ST-Elevation Myocardial Infarction</w:t>
      </w:r>
      <w:r w:rsidR="001878B7" w:rsidRPr="00C05367">
        <w:rPr>
          <w:color w:val="000000"/>
        </w:rPr>
        <w:t xml:space="preserve"> </w:t>
      </w:r>
      <w:r w:rsidRPr="00C05367">
        <w:rPr>
          <w:color w:val="000000"/>
        </w:rPr>
        <w:t>Therapy (WEST) trials found a reduction in one</w:t>
      </w:r>
      <w:r w:rsidR="00C05367" w:rsidRPr="00C05367">
        <w:rPr>
          <w:rFonts w:hint="eastAsia"/>
          <w:color w:val="000000"/>
          <w:lang w:eastAsia="zh-CN"/>
        </w:rPr>
        <w:t xml:space="preserve"> </w:t>
      </w:r>
      <w:r w:rsidRPr="00C05367">
        <w:rPr>
          <w:color w:val="000000"/>
        </w:rPr>
        <w:t>year mortality with fibrinolysis in patients seen early.11</w:t>
      </w:r>
      <w:r w:rsidR="001878B7" w:rsidRPr="00C05367">
        <w:rPr>
          <w:color w:val="000000"/>
        </w:rPr>
        <w:t xml:space="preserve"> </w:t>
      </w:r>
      <w:r w:rsidRPr="00C05367">
        <w:rPr>
          <w:b/>
          <w:bCs/>
          <w:color w:val="000000"/>
        </w:rPr>
        <w:t>Regarding difference between the two</w:t>
      </w:r>
      <w:r w:rsidR="0087612C" w:rsidRPr="00C05367">
        <w:rPr>
          <w:rFonts w:hint="eastAsia"/>
          <w:b/>
          <w:bCs/>
          <w:color w:val="000000"/>
          <w:lang w:eastAsia="zh-CN"/>
        </w:rPr>
        <w:t xml:space="preserve"> </w:t>
      </w:r>
      <w:r w:rsidRPr="00C05367">
        <w:rPr>
          <w:b/>
          <w:bCs/>
          <w:color w:val="000000"/>
        </w:rPr>
        <w:t>groups regarding M-mode assessment of left</w:t>
      </w:r>
      <w:r w:rsidR="0087612C" w:rsidRPr="00C05367">
        <w:rPr>
          <w:rFonts w:hint="eastAsia"/>
          <w:b/>
          <w:bCs/>
          <w:color w:val="000000"/>
          <w:lang w:eastAsia="zh-CN"/>
        </w:rPr>
        <w:t xml:space="preserve"> </w:t>
      </w:r>
      <w:r w:rsidRPr="00C05367">
        <w:rPr>
          <w:b/>
          <w:bCs/>
          <w:color w:val="000000"/>
        </w:rPr>
        <w:t>ventricular ejection fraction (LVEF):</w:t>
      </w:r>
    </w:p>
    <w:p w:rsidR="00B27AFE" w:rsidRPr="00C05367" w:rsidRDefault="00B27AFE" w:rsidP="001878B7">
      <w:pPr>
        <w:snapToGrid w:val="0"/>
        <w:ind w:firstLine="425"/>
        <w:jc w:val="both"/>
        <w:rPr>
          <w:color w:val="000000"/>
          <w:lang w:eastAsia="zh-CN"/>
        </w:rPr>
      </w:pPr>
      <w:r w:rsidRPr="00C05367">
        <w:rPr>
          <w:color w:val="000000"/>
        </w:rPr>
        <w:t>It was found that M-mode echocardiographic assessment of LVEF showed non-significant differences between the two groups with a mean ejection fraction 48.84 ± 6.41 SD % and 44.44 ±</w:t>
      </w:r>
      <w:r w:rsidR="001878B7" w:rsidRPr="00C05367">
        <w:rPr>
          <w:color w:val="000000"/>
        </w:rPr>
        <w:t xml:space="preserve"> </w:t>
      </w:r>
      <w:r w:rsidRPr="00C05367">
        <w:rPr>
          <w:color w:val="000000"/>
        </w:rPr>
        <w:t>9.768 SD % in group I and group II respectively (P value= 0.094).</w:t>
      </w:r>
      <w:r w:rsidR="001878B7" w:rsidRPr="00C05367">
        <w:rPr>
          <w:color w:val="000000"/>
        </w:rPr>
        <w:t xml:space="preserve"> </w:t>
      </w:r>
      <w:r w:rsidRPr="00C05367">
        <w:rPr>
          <w:b/>
          <w:bCs/>
          <w:color w:val="000000"/>
        </w:rPr>
        <w:t>Regarding difference in left ventricular</w:t>
      </w:r>
      <w:r w:rsidR="001878B7" w:rsidRPr="00C05367">
        <w:rPr>
          <w:color w:val="000000"/>
        </w:rPr>
        <w:t xml:space="preserve"> </w:t>
      </w:r>
      <w:r w:rsidRPr="00C05367">
        <w:rPr>
          <w:b/>
          <w:bCs/>
          <w:color w:val="000000"/>
        </w:rPr>
        <w:t>global longitudinal strain (GLS) (%):</w:t>
      </w:r>
      <w:r w:rsidR="001878B7" w:rsidRPr="00C05367">
        <w:rPr>
          <w:b/>
          <w:bCs/>
          <w:color w:val="000000"/>
        </w:rPr>
        <w:t xml:space="preserve"> </w:t>
      </w:r>
      <w:r w:rsidRPr="00C05367">
        <w:rPr>
          <w:color w:val="000000"/>
        </w:rPr>
        <w:t>In contrast to LVEF, there was a statistically</w:t>
      </w:r>
      <w:r w:rsidR="001878B7" w:rsidRPr="00C05367">
        <w:rPr>
          <w:color w:val="000000"/>
        </w:rPr>
        <w:t xml:space="preserve"> </w:t>
      </w:r>
      <w:r w:rsidRPr="00C05367">
        <w:rPr>
          <w:color w:val="000000"/>
        </w:rPr>
        <w:t>significant difference between both groups with</w:t>
      </w:r>
      <w:r w:rsidR="001878B7" w:rsidRPr="00C05367">
        <w:rPr>
          <w:color w:val="000000"/>
        </w:rPr>
        <w:t xml:space="preserve"> </w:t>
      </w:r>
      <w:r w:rsidRPr="00C05367">
        <w:rPr>
          <w:color w:val="000000"/>
        </w:rPr>
        <w:t>mean GLS of -13.892 ± 1.656 in patients of group I</w:t>
      </w:r>
      <w:r w:rsidR="001878B7" w:rsidRPr="00C05367">
        <w:rPr>
          <w:color w:val="000000"/>
        </w:rPr>
        <w:t xml:space="preserve"> </w:t>
      </w:r>
      <w:r w:rsidRPr="00C05367">
        <w:rPr>
          <w:color w:val="000000"/>
        </w:rPr>
        <w:t>and -11.18 ± 2.207 in patients of group II in favor of</w:t>
      </w:r>
      <w:r w:rsidR="001878B7" w:rsidRPr="00C05367">
        <w:rPr>
          <w:color w:val="000000"/>
        </w:rPr>
        <w:t xml:space="preserve"> </w:t>
      </w:r>
      <w:r w:rsidRPr="00C05367">
        <w:rPr>
          <w:color w:val="000000"/>
        </w:rPr>
        <w:t>group I.</w:t>
      </w:r>
      <w:r w:rsidR="001878B7" w:rsidRPr="00C05367">
        <w:rPr>
          <w:color w:val="000000"/>
        </w:rPr>
        <w:t xml:space="preserve"> </w:t>
      </w:r>
      <w:r w:rsidRPr="00C05367">
        <w:rPr>
          <w:color w:val="000000"/>
        </w:rPr>
        <w:t xml:space="preserve">A study conducted by </w:t>
      </w:r>
      <w:r w:rsidRPr="00C05367">
        <w:rPr>
          <w:b/>
          <w:bCs/>
          <w:color w:val="000000"/>
        </w:rPr>
        <w:t>Elizabeth Potter et</w:t>
      </w:r>
      <w:r w:rsidR="001878B7" w:rsidRPr="00C05367">
        <w:rPr>
          <w:color w:val="000000"/>
        </w:rPr>
        <w:t xml:space="preserve"> </w:t>
      </w:r>
      <w:r w:rsidRPr="00C05367">
        <w:rPr>
          <w:b/>
          <w:bCs/>
          <w:color w:val="000000"/>
        </w:rPr>
        <w:t xml:space="preserve">al </w:t>
      </w:r>
      <w:r w:rsidRPr="00C05367">
        <w:rPr>
          <w:color w:val="000000"/>
        </w:rPr>
        <w:t>suggested that normal values ranged from 15.9%</w:t>
      </w:r>
      <w:r w:rsidR="001878B7" w:rsidRPr="00C05367">
        <w:rPr>
          <w:color w:val="000000"/>
        </w:rPr>
        <w:t xml:space="preserve"> </w:t>
      </w:r>
      <w:r w:rsidRPr="00C05367">
        <w:rPr>
          <w:color w:val="000000"/>
        </w:rPr>
        <w:t>to 22.1% (mean 19.7%; 95% CI: 20.4 to 18.9%),</w:t>
      </w:r>
      <w:r w:rsidR="001878B7" w:rsidRPr="00C05367">
        <w:rPr>
          <w:color w:val="000000"/>
        </w:rPr>
        <w:t xml:space="preserve"> </w:t>
      </w:r>
      <w:r w:rsidRPr="00C05367">
        <w:rPr>
          <w:color w:val="000000"/>
        </w:rPr>
        <w:t>Strain declines with age (without a significant drop</w:t>
      </w:r>
      <w:r w:rsidR="001878B7" w:rsidRPr="00C05367">
        <w:rPr>
          <w:color w:val="000000"/>
        </w:rPr>
        <w:t xml:space="preserve"> </w:t>
      </w:r>
      <w:r w:rsidRPr="00C05367">
        <w:rPr>
          <w:color w:val="000000"/>
        </w:rPr>
        <w:t>in LVEF) but sex has a more significant impact on</w:t>
      </w:r>
      <w:r w:rsidR="001878B7" w:rsidRPr="00C05367">
        <w:rPr>
          <w:color w:val="000000"/>
        </w:rPr>
        <w:t xml:space="preserve"> </w:t>
      </w:r>
      <w:r w:rsidRPr="00C05367">
        <w:rPr>
          <w:color w:val="000000"/>
        </w:rPr>
        <w:t>normal strain values. In the general population</w:t>
      </w:r>
      <w:r w:rsidR="001878B7" w:rsidRPr="00C05367">
        <w:rPr>
          <w:color w:val="000000"/>
        </w:rPr>
        <w:t xml:space="preserve"> </w:t>
      </w:r>
      <w:r w:rsidRPr="00C05367">
        <w:rPr>
          <w:color w:val="000000"/>
        </w:rPr>
        <w:t>(without cardiovascular disease or traditional risk</w:t>
      </w:r>
      <w:r w:rsidR="001878B7" w:rsidRPr="00C05367">
        <w:rPr>
          <w:color w:val="000000"/>
        </w:rPr>
        <w:t xml:space="preserve"> </w:t>
      </w:r>
      <w:r w:rsidRPr="00C05367">
        <w:rPr>
          <w:color w:val="000000"/>
        </w:rPr>
        <w:t>factors), the absolute GLS difference between men</w:t>
      </w:r>
      <w:r w:rsidR="001878B7" w:rsidRPr="00C05367">
        <w:rPr>
          <w:color w:val="000000"/>
        </w:rPr>
        <w:t xml:space="preserve"> </w:t>
      </w:r>
      <w:r w:rsidRPr="00C05367">
        <w:rPr>
          <w:color w:val="000000"/>
        </w:rPr>
        <w:t>and women is &gt;1%.12</w:t>
      </w:r>
      <w:r w:rsidR="001878B7" w:rsidRPr="00C05367">
        <w:rPr>
          <w:color w:val="000000"/>
        </w:rPr>
        <w:t xml:space="preserve"> </w:t>
      </w:r>
      <w:r w:rsidRPr="00C05367">
        <w:rPr>
          <w:color w:val="000000"/>
        </w:rPr>
        <w:t>The same study had showed that GLS</w:t>
      </w:r>
      <w:r w:rsidR="001878B7" w:rsidRPr="00C05367">
        <w:rPr>
          <w:color w:val="000000"/>
        </w:rPr>
        <w:t xml:space="preserve"> </w:t>
      </w:r>
      <w:r w:rsidRPr="00C05367">
        <w:rPr>
          <w:color w:val="000000"/>
        </w:rPr>
        <w:t>improves detection of systolic dysfunction beyond</w:t>
      </w:r>
      <w:r w:rsidR="001878B7" w:rsidRPr="00C05367">
        <w:rPr>
          <w:color w:val="000000"/>
        </w:rPr>
        <w:t xml:space="preserve"> </w:t>
      </w:r>
      <w:r w:rsidRPr="00C05367">
        <w:rPr>
          <w:color w:val="000000"/>
        </w:rPr>
        <w:t xml:space="preserve">LVEF and has revealed additional </w:t>
      </w:r>
      <w:r w:rsidRPr="00C05367">
        <w:rPr>
          <w:color w:val="000000"/>
        </w:rPr>
        <w:lastRenderedPageBreak/>
        <w:t>pathological</w:t>
      </w:r>
      <w:r w:rsidR="001878B7" w:rsidRPr="00C05367">
        <w:rPr>
          <w:color w:val="000000"/>
        </w:rPr>
        <w:t xml:space="preserve"> </w:t>
      </w:r>
      <w:r w:rsidRPr="00C05367">
        <w:rPr>
          <w:color w:val="000000"/>
        </w:rPr>
        <w:t>features in scenarios where diastolic dysfunction has</w:t>
      </w:r>
      <w:r w:rsidR="001878B7" w:rsidRPr="00C05367">
        <w:rPr>
          <w:color w:val="000000"/>
        </w:rPr>
        <w:t xml:space="preserve"> </w:t>
      </w:r>
      <w:r w:rsidRPr="00C05367">
        <w:rPr>
          <w:color w:val="000000"/>
        </w:rPr>
        <w:t>been considered the singular or defining</w:t>
      </w:r>
      <w:r w:rsidR="001878B7" w:rsidRPr="00C05367">
        <w:rPr>
          <w:color w:val="000000"/>
        </w:rPr>
        <w:t xml:space="preserve"> </w:t>
      </w:r>
      <w:r w:rsidRPr="00C05367">
        <w:rPr>
          <w:color w:val="000000"/>
        </w:rPr>
        <w:t>abnormality.12</w:t>
      </w:r>
      <w:r w:rsidR="001878B7" w:rsidRPr="00C05367">
        <w:rPr>
          <w:color w:val="000000"/>
        </w:rPr>
        <w:t xml:space="preserve"> </w:t>
      </w:r>
      <w:r w:rsidRPr="00C05367">
        <w:rPr>
          <w:b/>
          <w:bCs/>
          <w:color w:val="000000"/>
        </w:rPr>
        <w:t xml:space="preserve">Vartdal et al </w:t>
      </w:r>
      <w:r w:rsidRPr="00C05367">
        <w:rPr>
          <w:color w:val="000000"/>
        </w:rPr>
        <w:t>demonstrated that LV global</w:t>
      </w:r>
      <w:r w:rsidR="001878B7" w:rsidRPr="00C05367">
        <w:rPr>
          <w:color w:val="000000"/>
        </w:rPr>
        <w:t xml:space="preserve"> </w:t>
      </w:r>
      <w:r w:rsidRPr="00C05367">
        <w:rPr>
          <w:color w:val="000000"/>
        </w:rPr>
        <w:t>peak negative strain by Doppler predicts infarct size</w:t>
      </w:r>
      <w:r w:rsidR="001878B7" w:rsidRPr="00C05367">
        <w:rPr>
          <w:color w:val="000000"/>
        </w:rPr>
        <w:t xml:space="preserve"> </w:t>
      </w:r>
      <w:r w:rsidRPr="00C05367">
        <w:rPr>
          <w:color w:val="000000"/>
        </w:rPr>
        <w:t>better than LVEF by echocardiography in patients</w:t>
      </w:r>
      <w:r w:rsidR="001878B7" w:rsidRPr="00C05367">
        <w:rPr>
          <w:color w:val="000000"/>
        </w:rPr>
        <w:t xml:space="preserve"> </w:t>
      </w:r>
      <w:r w:rsidRPr="00C05367">
        <w:rPr>
          <w:color w:val="000000"/>
        </w:rPr>
        <w:t>with acute anterior myocardial infarction 1.5 hours</w:t>
      </w:r>
      <w:r w:rsidR="001878B7" w:rsidRPr="00C05367">
        <w:rPr>
          <w:color w:val="000000"/>
        </w:rPr>
        <w:t xml:space="preserve"> </w:t>
      </w:r>
      <w:r w:rsidRPr="00C05367">
        <w:rPr>
          <w:color w:val="000000"/>
        </w:rPr>
        <w:t>after primary percutaneous coronary intervention.13</w:t>
      </w:r>
      <w:r w:rsidR="001878B7" w:rsidRPr="00C05367">
        <w:rPr>
          <w:color w:val="000000"/>
        </w:rPr>
        <w:t xml:space="preserve"> </w:t>
      </w:r>
      <w:r w:rsidRPr="00C05367">
        <w:rPr>
          <w:color w:val="000000"/>
        </w:rPr>
        <w:t xml:space="preserve">This came in agreement with the study conducted by </w:t>
      </w:r>
      <w:r w:rsidRPr="00C05367">
        <w:rPr>
          <w:b/>
          <w:bCs/>
          <w:color w:val="000000"/>
        </w:rPr>
        <w:t>Benth</w:t>
      </w:r>
      <w:r w:rsidR="0087612C" w:rsidRPr="00C05367">
        <w:rPr>
          <w:b/>
          <w:bCs/>
          <w:color w:val="000000"/>
        </w:rPr>
        <w:t>e S</w:t>
      </w:r>
      <w:r w:rsidRPr="00C05367">
        <w:rPr>
          <w:b/>
          <w:bCs/>
          <w:color w:val="000000"/>
        </w:rPr>
        <w:t xml:space="preserve">jøli et al </w:t>
      </w:r>
      <w:r w:rsidRPr="00C05367">
        <w:rPr>
          <w:color w:val="000000"/>
        </w:rPr>
        <w:t>that compared Left Ventricular Ejection Fraction and Left Ventricular Global Strain as Determinants of Infarct Size in Patients with Acute Myocardial Infarction using contrast-enhanced cardiac magnetic resonance (ceCMR) as the reference method and confirmed these results and that LV global strain measured in</w:t>
      </w:r>
      <w:r w:rsidR="001878B7" w:rsidRPr="00C05367">
        <w:rPr>
          <w:color w:val="000000"/>
        </w:rPr>
        <w:t xml:space="preserve"> </w:t>
      </w:r>
      <w:r w:rsidRPr="00C05367">
        <w:rPr>
          <w:color w:val="000000"/>
        </w:rPr>
        <w:t>the acute phase of AMI predicts infarct size better</w:t>
      </w:r>
      <w:r w:rsidR="001878B7" w:rsidRPr="00C05367">
        <w:rPr>
          <w:color w:val="000000"/>
        </w:rPr>
        <w:t xml:space="preserve"> </w:t>
      </w:r>
      <w:r w:rsidRPr="00C05367">
        <w:rPr>
          <w:color w:val="000000"/>
        </w:rPr>
        <w:t>than LVEF.14</w:t>
      </w:r>
      <w:r w:rsidR="001878B7" w:rsidRPr="00C05367">
        <w:rPr>
          <w:color w:val="000000"/>
        </w:rPr>
        <w:t xml:space="preserve"> </w:t>
      </w:r>
      <w:r w:rsidRPr="00C05367">
        <w:rPr>
          <w:color w:val="000000"/>
        </w:rPr>
        <w:t>Thus, LV global strain seems to have</w:t>
      </w:r>
      <w:r w:rsidR="001878B7" w:rsidRPr="00C05367">
        <w:rPr>
          <w:color w:val="000000"/>
        </w:rPr>
        <w:t xml:space="preserve"> </w:t>
      </w:r>
      <w:r w:rsidRPr="00C05367">
        <w:rPr>
          <w:color w:val="000000"/>
        </w:rPr>
        <w:t>several advantages over LVEF by echocardiography</w:t>
      </w:r>
      <w:r w:rsidR="001878B7" w:rsidRPr="00C05367">
        <w:rPr>
          <w:color w:val="000000"/>
        </w:rPr>
        <w:t xml:space="preserve"> </w:t>
      </w:r>
      <w:r w:rsidRPr="00C05367">
        <w:rPr>
          <w:color w:val="000000"/>
        </w:rPr>
        <w:t>in the evaluation of infarct size and LV function in</w:t>
      </w:r>
      <w:r w:rsidR="001878B7" w:rsidRPr="00C05367">
        <w:rPr>
          <w:color w:val="000000"/>
        </w:rPr>
        <w:t xml:space="preserve"> </w:t>
      </w:r>
      <w:r w:rsidRPr="00C05367">
        <w:rPr>
          <w:color w:val="000000"/>
        </w:rPr>
        <w:t>patients with AMI.14</w:t>
      </w:r>
      <w:r w:rsidR="001878B7" w:rsidRPr="00C05367">
        <w:rPr>
          <w:color w:val="000000"/>
        </w:rPr>
        <w:t xml:space="preserve"> </w:t>
      </w:r>
      <w:r w:rsidRPr="00C05367">
        <w:rPr>
          <w:color w:val="000000"/>
        </w:rPr>
        <w:t>Additionally, comparing GLS between</w:t>
      </w:r>
      <w:r w:rsidR="001878B7" w:rsidRPr="00C05367">
        <w:rPr>
          <w:color w:val="000000"/>
        </w:rPr>
        <w:t xml:space="preserve"> </w:t>
      </w:r>
      <w:r w:rsidRPr="00C05367">
        <w:rPr>
          <w:color w:val="000000"/>
        </w:rPr>
        <w:t>subgroups of both group I and II such as between</w:t>
      </w:r>
      <w:r w:rsidR="001878B7" w:rsidRPr="00C05367">
        <w:rPr>
          <w:color w:val="000000"/>
        </w:rPr>
        <w:t xml:space="preserve"> </w:t>
      </w:r>
      <w:r w:rsidRPr="00C05367">
        <w:rPr>
          <w:color w:val="000000"/>
        </w:rPr>
        <w:t>patients with anterior STEMI of both groups or</w:t>
      </w:r>
      <w:r w:rsidR="001878B7" w:rsidRPr="00C05367">
        <w:rPr>
          <w:color w:val="000000"/>
        </w:rPr>
        <w:t xml:space="preserve"> </w:t>
      </w:r>
      <w:r w:rsidRPr="00C05367">
        <w:rPr>
          <w:color w:val="000000"/>
        </w:rPr>
        <w:t>those with single vessel disease or multivessel</w:t>
      </w:r>
      <w:r w:rsidR="001878B7" w:rsidRPr="00C05367">
        <w:rPr>
          <w:color w:val="000000"/>
        </w:rPr>
        <w:t xml:space="preserve"> </w:t>
      </w:r>
      <w:r w:rsidRPr="00C05367">
        <w:rPr>
          <w:color w:val="000000"/>
        </w:rPr>
        <w:t>disease was in favor of subgroups belonging to</w:t>
      </w:r>
      <w:r w:rsidR="001878B7" w:rsidRPr="00C05367">
        <w:rPr>
          <w:color w:val="000000"/>
        </w:rPr>
        <w:t xml:space="preserve"> </w:t>
      </w:r>
      <w:r w:rsidRPr="00C05367">
        <w:rPr>
          <w:color w:val="000000"/>
        </w:rPr>
        <w:t>group I (Anterior STEMI, single vessel and</w:t>
      </w:r>
      <w:r w:rsidR="001878B7" w:rsidRPr="00C05367">
        <w:rPr>
          <w:color w:val="000000"/>
        </w:rPr>
        <w:t xml:space="preserve"> </w:t>
      </w:r>
      <w:r w:rsidRPr="00C05367">
        <w:rPr>
          <w:color w:val="000000"/>
        </w:rPr>
        <w:t>multivessel disease patients of group I had GLS</w:t>
      </w:r>
      <w:r w:rsidR="001878B7" w:rsidRPr="00C05367">
        <w:rPr>
          <w:color w:val="000000"/>
        </w:rPr>
        <w:t xml:space="preserve"> </w:t>
      </w:r>
      <w:r w:rsidRPr="00C05367">
        <w:rPr>
          <w:color w:val="000000"/>
        </w:rPr>
        <w:t>better than that of Anterior STEMI, single vessel and</w:t>
      </w:r>
      <w:r w:rsidR="001878B7" w:rsidRPr="00C05367">
        <w:rPr>
          <w:color w:val="000000"/>
        </w:rPr>
        <w:t xml:space="preserve"> </w:t>
      </w:r>
      <w:r w:rsidRPr="00C05367">
        <w:rPr>
          <w:color w:val="000000"/>
        </w:rPr>
        <w:t>multivessel disease patients of group II</w:t>
      </w:r>
      <w:r w:rsidR="001878B7" w:rsidRPr="00C05367">
        <w:rPr>
          <w:color w:val="000000"/>
        </w:rPr>
        <w:t xml:space="preserve"> </w:t>
      </w:r>
      <w:r w:rsidRPr="00C05367">
        <w:rPr>
          <w:color w:val="000000"/>
        </w:rPr>
        <w:t>respectively).</w:t>
      </w:r>
      <w:r w:rsidR="001878B7" w:rsidRPr="00C05367">
        <w:rPr>
          <w:color w:val="000000"/>
        </w:rPr>
        <w:t xml:space="preserve"> </w:t>
      </w:r>
      <w:r w:rsidRPr="00C05367">
        <w:rPr>
          <w:color w:val="000000"/>
        </w:rPr>
        <w:t>As is demonstrated in this study, primary</w:t>
      </w:r>
      <w:r w:rsidR="001878B7" w:rsidRPr="00C05367">
        <w:rPr>
          <w:color w:val="000000"/>
        </w:rPr>
        <w:t xml:space="preserve"> </w:t>
      </w:r>
      <w:r w:rsidRPr="00C05367">
        <w:rPr>
          <w:color w:val="000000"/>
        </w:rPr>
        <w:t>angioplasty appears better than streptokinase-based</w:t>
      </w:r>
      <w:r w:rsidR="001878B7" w:rsidRPr="00C05367">
        <w:rPr>
          <w:color w:val="000000"/>
        </w:rPr>
        <w:t xml:space="preserve"> </w:t>
      </w:r>
      <w:r w:rsidRPr="00C05367">
        <w:rPr>
          <w:color w:val="000000"/>
        </w:rPr>
        <w:t>pharmacoinvasive strategy in terms of post</w:t>
      </w:r>
      <w:r w:rsidR="001878B7" w:rsidRPr="00C05367">
        <w:rPr>
          <w:color w:val="000000"/>
        </w:rPr>
        <w:t xml:space="preserve"> </w:t>
      </w:r>
      <w:r w:rsidRPr="00C05367">
        <w:rPr>
          <w:color w:val="000000"/>
        </w:rPr>
        <w:t>revascularization LV function, even in patients</w:t>
      </w:r>
      <w:r w:rsidR="001878B7" w:rsidRPr="00C05367">
        <w:rPr>
          <w:color w:val="000000"/>
        </w:rPr>
        <w:t xml:space="preserve"> </w:t>
      </w:r>
      <w:r w:rsidRPr="00C05367">
        <w:rPr>
          <w:color w:val="000000"/>
        </w:rPr>
        <w:t>without heart failure or shock at presentation.</w:t>
      </w:r>
    </w:p>
    <w:p w:rsidR="0087612C" w:rsidRPr="00C05367" w:rsidRDefault="0087612C" w:rsidP="001878B7">
      <w:pPr>
        <w:snapToGrid w:val="0"/>
        <w:ind w:firstLine="425"/>
        <w:jc w:val="both"/>
        <w:rPr>
          <w:color w:val="000000"/>
          <w:lang w:eastAsia="zh-CN"/>
        </w:rPr>
      </w:pPr>
    </w:p>
    <w:p w:rsidR="00B27AFE" w:rsidRPr="00C05367" w:rsidRDefault="00B27AFE" w:rsidP="001878B7">
      <w:pPr>
        <w:snapToGrid w:val="0"/>
        <w:jc w:val="both"/>
        <w:rPr>
          <w:b/>
          <w:bCs/>
          <w:color w:val="000000"/>
        </w:rPr>
      </w:pPr>
      <w:r w:rsidRPr="00C05367">
        <w:rPr>
          <w:b/>
          <w:bCs/>
          <w:color w:val="000000"/>
        </w:rPr>
        <w:t>Limitations of the Study</w:t>
      </w:r>
    </w:p>
    <w:p w:rsidR="00B27AFE" w:rsidRPr="00C05367" w:rsidRDefault="00B27AFE" w:rsidP="001878B7">
      <w:pPr>
        <w:snapToGrid w:val="0"/>
        <w:ind w:firstLine="425"/>
        <w:jc w:val="both"/>
        <w:rPr>
          <w:color w:val="000000"/>
        </w:rPr>
      </w:pPr>
      <w:r w:rsidRPr="00C05367">
        <w:rPr>
          <w:color w:val="000000"/>
        </w:rPr>
        <w:t>First, small numbers of study population,</w:t>
      </w:r>
      <w:r w:rsidR="001878B7" w:rsidRPr="00C05367">
        <w:rPr>
          <w:color w:val="000000"/>
        </w:rPr>
        <w:t xml:space="preserve"> </w:t>
      </w:r>
      <w:r w:rsidRPr="00C05367">
        <w:rPr>
          <w:color w:val="000000"/>
        </w:rPr>
        <w:t>due to most patients who receive thrombolytic</w:t>
      </w:r>
      <w:r w:rsidR="001878B7" w:rsidRPr="00C05367">
        <w:rPr>
          <w:color w:val="000000"/>
        </w:rPr>
        <w:t xml:space="preserve"> </w:t>
      </w:r>
      <w:r w:rsidRPr="00C05367">
        <w:rPr>
          <w:color w:val="000000"/>
        </w:rPr>
        <w:t>therapy with signs of successful reperfusion undergo</w:t>
      </w:r>
      <w:r w:rsidR="001878B7" w:rsidRPr="00C05367">
        <w:rPr>
          <w:color w:val="000000"/>
        </w:rPr>
        <w:t xml:space="preserve"> </w:t>
      </w:r>
      <w:r w:rsidRPr="00C05367">
        <w:rPr>
          <w:color w:val="000000"/>
        </w:rPr>
        <w:t>coronary angiography later after discharging due to</w:t>
      </w:r>
      <w:r w:rsidR="001878B7" w:rsidRPr="00C05367">
        <w:rPr>
          <w:color w:val="000000"/>
        </w:rPr>
        <w:t xml:space="preserve"> </w:t>
      </w:r>
      <w:r w:rsidRPr="00C05367">
        <w:rPr>
          <w:color w:val="000000"/>
        </w:rPr>
        <w:t>financial reasons.</w:t>
      </w:r>
      <w:r w:rsidR="001878B7" w:rsidRPr="00C05367">
        <w:rPr>
          <w:color w:val="000000"/>
        </w:rPr>
        <w:t xml:space="preserve"> </w:t>
      </w:r>
      <w:r w:rsidRPr="00C05367">
        <w:rPr>
          <w:color w:val="000000"/>
        </w:rPr>
        <w:t>Second limitation was the short period</w:t>
      </w:r>
      <w:r w:rsidR="001878B7" w:rsidRPr="00C05367">
        <w:rPr>
          <w:color w:val="000000"/>
        </w:rPr>
        <w:t xml:space="preserve"> </w:t>
      </w:r>
      <w:r w:rsidRPr="00C05367">
        <w:rPr>
          <w:color w:val="000000"/>
        </w:rPr>
        <w:t>assigned for follow up which didn’t allow the</w:t>
      </w:r>
      <w:r w:rsidR="001878B7" w:rsidRPr="00C05367">
        <w:rPr>
          <w:color w:val="000000"/>
        </w:rPr>
        <w:t xml:space="preserve"> </w:t>
      </w:r>
      <w:r w:rsidRPr="00C05367">
        <w:rPr>
          <w:color w:val="000000"/>
        </w:rPr>
        <w:t>appearance of results for mortality, re-infarction</w:t>
      </w:r>
      <w:r w:rsidR="00E06019" w:rsidRPr="00C05367">
        <w:rPr>
          <w:color w:val="000000"/>
        </w:rPr>
        <w:t xml:space="preserve"> &amp; </w:t>
      </w:r>
      <w:r w:rsidR="001878B7" w:rsidRPr="00C05367">
        <w:rPr>
          <w:color w:val="000000"/>
        </w:rPr>
        <w:t xml:space="preserve"> </w:t>
      </w:r>
      <w:r w:rsidRPr="00C05367">
        <w:rPr>
          <w:color w:val="000000"/>
        </w:rPr>
        <w:t xml:space="preserve">re-hospitalization. The chosen period was one </w:t>
      </w:r>
      <w:r w:rsidR="00C05367" w:rsidRPr="00C05367">
        <w:rPr>
          <w:color w:val="000000"/>
        </w:rPr>
        <w:t>month only</w:t>
      </w:r>
      <w:r w:rsidRPr="00C05367">
        <w:rPr>
          <w:color w:val="000000"/>
        </w:rPr>
        <w:t xml:space="preserve"> to prevent fallacies in the results because mostly after one month the patients underwent elective PCI for other coronary lesions, so this may affect the results.</w:t>
      </w:r>
      <w:r w:rsidR="001878B7" w:rsidRPr="00C05367">
        <w:rPr>
          <w:color w:val="000000"/>
        </w:rPr>
        <w:t xml:space="preserve"> </w:t>
      </w:r>
      <w:r w:rsidRPr="00C05367">
        <w:rPr>
          <w:color w:val="000000"/>
        </w:rPr>
        <w:t>Third, the use of M-mode, Simpson’s method might not be of the same accuracy in assessment the global</w:t>
      </w:r>
      <w:r w:rsidR="00E06019" w:rsidRPr="00C05367">
        <w:rPr>
          <w:color w:val="000000"/>
        </w:rPr>
        <w:t xml:space="preserve"> &amp; </w:t>
      </w:r>
      <w:r w:rsidRPr="00C05367">
        <w:rPr>
          <w:color w:val="000000"/>
        </w:rPr>
        <w:t>regional LV systolic function as the newest techniques such as speckle tracking</w:t>
      </w:r>
      <w:r w:rsidR="00E06019" w:rsidRPr="00C05367">
        <w:rPr>
          <w:color w:val="000000"/>
        </w:rPr>
        <w:t xml:space="preserve"> &amp; </w:t>
      </w:r>
      <w:r w:rsidRPr="00C05367">
        <w:rPr>
          <w:color w:val="000000"/>
        </w:rPr>
        <w:t>strain and strain rate.</w:t>
      </w:r>
    </w:p>
    <w:p w:rsidR="00B27AFE" w:rsidRPr="00C05367" w:rsidRDefault="00B27AFE" w:rsidP="001878B7">
      <w:pPr>
        <w:snapToGrid w:val="0"/>
        <w:jc w:val="both"/>
        <w:rPr>
          <w:b/>
          <w:bCs/>
          <w:color w:val="000000"/>
        </w:rPr>
      </w:pPr>
    </w:p>
    <w:p w:rsidR="00B27AFE" w:rsidRPr="00C05367" w:rsidRDefault="00B27AFE" w:rsidP="001878B7">
      <w:pPr>
        <w:snapToGrid w:val="0"/>
        <w:jc w:val="both"/>
        <w:rPr>
          <w:color w:val="000000"/>
        </w:rPr>
      </w:pPr>
      <w:r w:rsidRPr="00C05367">
        <w:rPr>
          <w:b/>
          <w:bCs/>
          <w:color w:val="000000"/>
        </w:rPr>
        <w:t>Conclusion</w:t>
      </w:r>
    </w:p>
    <w:p w:rsidR="00B27AFE" w:rsidRPr="00C05367" w:rsidRDefault="00B27AFE" w:rsidP="001878B7">
      <w:pPr>
        <w:snapToGrid w:val="0"/>
        <w:ind w:firstLine="425"/>
        <w:jc w:val="both"/>
        <w:rPr>
          <w:color w:val="000000"/>
        </w:rPr>
      </w:pPr>
      <w:r w:rsidRPr="00C05367">
        <w:rPr>
          <w:color w:val="000000"/>
        </w:rPr>
        <w:t xml:space="preserve">It was shown that primary angioplasty fares better than streptokinase-based pharmacoinvasive strategy in terms of post revascularization LV function which is a </w:t>
      </w:r>
      <w:r w:rsidRPr="00C05367">
        <w:rPr>
          <w:color w:val="000000"/>
        </w:rPr>
        <w:lastRenderedPageBreak/>
        <w:t xml:space="preserve">strong predictor of adverse outcomes, even in patients without failure or shock at presentation. </w:t>
      </w:r>
    </w:p>
    <w:p w:rsidR="00B27AFE" w:rsidRPr="00C05367" w:rsidRDefault="00B27AFE" w:rsidP="001878B7">
      <w:pPr>
        <w:snapToGrid w:val="0"/>
        <w:ind w:firstLine="425"/>
        <w:jc w:val="both"/>
        <w:rPr>
          <w:color w:val="000000"/>
        </w:rPr>
      </w:pPr>
      <w:r w:rsidRPr="00C05367">
        <w:rPr>
          <w:color w:val="000000"/>
        </w:rPr>
        <w:t xml:space="preserve">Given the fact that 80% of the patients in the pharmacoinvasive arm had patent culprit vessel with TIMI III 3 flow at the time of angiogram, it is possible that the benefits of primary angioplasty extend beyond those attributable to the re-establishment of flow in the culprit vessel. </w:t>
      </w:r>
    </w:p>
    <w:p w:rsidR="00B27AFE" w:rsidRPr="00C05367" w:rsidRDefault="00B27AFE" w:rsidP="001878B7">
      <w:pPr>
        <w:snapToGrid w:val="0"/>
        <w:ind w:firstLine="425"/>
        <w:jc w:val="both"/>
        <w:rPr>
          <w:color w:val="000000"/>
        </w:rPr>
      </w:pPr>
      <w:r w:rsidRPr="00C05367">
        <w:rPr>
          <w:color w:val="000000"/>
        </w:rPr>
        <w:t xml:space="preserve">During hospital stay, mortality and major adverse events were nil due to the strict inclusion and exclusion criteria of the study. </w:t>
      </w:r>
    </w:p>
    <w:p w:rsidR="00B27AFE" w:rsidRPr="00C05367" w:rsidRDefault="00B27AFE" w:rsidP="001878B7">
      <w:pPr>
        <w:snapToGrid w:val="0"/>
        <w:ind w:firstLine="425"/>
        <w:jc w:val="both"/>
        <w:rPr>
          <w:color w:val="000000"/>
          <w:lang w:eastAsia="zh-CN"/>
        </w:rPr>
      </w:pPr>
      <w:r w:rsidRPr="00C05367">
        <w:rPr>
          <w:color w:val="000000"/>
        </w:rPr>
        <w:t>The myocardial salvage, and thereby the post infarction LV function indicated by global longitudinal strain which is a more sensitive measure of LV systolic function following Streptokinase based pharmacoinvasive strategy in acute ST elevation myocardial infarction, fares inferior to primary angioplasty with the positive impact of primary angioplasty in the recovery of myocardial function possibly extends beyond the benefits achieved by the establishment of epicardial coronary arterial flow. Primary angioplasty should remain the reperfusion strategy of choice in acute STEMI wherever feasible with the pharmacoinvasive strategy used as a safe alternative.</w:t>
      </w:r>
    </w:p>
    <w:p w:rsidR="00E06019" w:rsidRPr="00C05367" w:rsidRDefault="00E06019" w:rsidP="001878B7">
      <w:pPr>
        <w:snapToGrid w:val="0"/>
        <w:ind w:firstLine="425"/>
        <w:jc w:val="both"/>
        <w:rPr>
          <w:color w:val="000000"/>
          <w:lang w:eastAsia="zh-CN"/>
        </w:rPr>
      </w:pPr>
    </w:p>
    <w:p w:rsidR="00E06019" w:rsidRPr="00C05367" w:rsidRDefault="00E06019" w:rsidP="001878B7">
      <w:pPr>
        <w:snapToGrid w:val="0"/>
        <w:ind w:left="425" w:hanging="425"/>
        <w:jc w:val="both"/>
        <w:rPr>
          <w:b/>
          <w:bCs/>
          <w:color w:val="000000"/>
        </w:rPr>
      </w:pPr>
      <w:r w:rsidRPr="00C05367">
        <w:rPr>
          <w:b/>
          <w:bCs/>
          <w:color w:val="000000"/>
        </w:rPr>
        <w:t>References:</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Cameli M, Mandoli GE, Sciaccaluga C, Mondillo S. More than 10 years of speckle tracking echocardiography: Still a novel technique or a definite tool for clinical practice? Echocardiography. 2019; 36(5):958–70.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Hammoudeh AJ, Alhaddad IA, Khader Y, Tabbalat R, Al-Mousa E, Saleh A, Jarrah M, Nammas A, Izraiq M. Cardiovascular risk factors in Middle Eastern patients undergoing percutaneous coronary intervention: Results Rangari M, Sinha S, Kapoor D, Mohan JC, Sarin SK. Prevalence of autonomic dysfunction in cirrhotic and noncirrhotic portal hypertension. </w:t>
      </w:r>
      <w:r w:rsidRPr="00C05367">
        <w:rPr>
          <w:bCs/>
          <w:color w:val="000000"/>
        </w:rPr>
        <w:t>Am J Gastroenterol</w:t>
      </w:r>
      <w:r w:rsidRPr="00C05367">
        <w:rPr>
          <w:color w:val="000000"/>
        </w:rPr>
        <w:t xml:space="preserve">. 2002; 97:707–713.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Ibanez B, James S, Agewall S, Antunes MJ, Bucciarelli-Ducci C, Bueno H, Caforio ALP, Crea F, Goudevenos JA, Halvorsen S, Hindricks G, Kastrati A, Lenzen MJ, Prescott E, Roffi M, Valgimigli M, Varenhorst C, Vranckx P, Widimský P, Baumbach A, Bugiardini R, Coman IM, Delgado V, Fitzsimons D, Gaemperli O, Gershlick AH, Gielen S, Harjola VP, Katus HA, Knuuti J, Kolh P, Leclercq C, Lip GYH, Morais J, Neskovic AN, Neumann FJ, Niessner A, Piepoli MF, Richter DJ, Shlyakhto E, Simpson IA, Steg PG, Terkelsen CJ, Thygesen K, Windecker S, Zamorano JL, Zeymer U. 2017 ESC Guidelines for the management of acute myocardial infarction in patients presenting with </w:t>
      </w:r>
      <w:r w:rsidRPr="00C05367">
        <w:rPr>
          <w:color w:val="000000"/>
        </w:rPr>
        <w:lastRenderedPageBreak/>
        <w:t xml:space="preserve">ST-segment elevation. Eur Heart J. 2018; 39(2):119–77.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Appleby MA, Angeja BG, Dauterman K, Gibson CM. Angiographic assessment of myocardial perfusion: TIMI myocardial perfusion (TMP) grading system. Heart. 2001; 86:485–6.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Mega JL, Morrow DA. 52 - ST-Elevation Myocardial Infarction: Management. In: Braunwald’s Heart Disease, 10/e. Eleventh E. Elsevier Inc.; 2015. p. 1095–154.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Hanssen M, Cottin Y, Khalife K, Hammer L, Goldstein P, Puymirat E, Mulak G, Drouet E, Pace B, Schultz E, Bataille V, Ferrières J, Simon T, Danchin N. French Registry on Acute S</w:t>
      </w:r>
      <w:r w:rsidR="00C05367" w:rsidRPr="00C05367">
        <w:rPr>
          <w:rFonts w:hint="eastAsia"/>
          <w:color w:val="000000"/>
          <w:lang w:eastAsia="zh-CN"/>
        </w:rPr>
        <w:t xml:space="preserve"> </w:t>
      </w:r>
      <w:r w:rsidR="00C05367" w:rsidRPr="00C05367">
        <w:rPr>
          <w:color w:val="000000"/>
        </w:rPr>
        <w:t>Television</w:t>
      </w:r>
      <w:r w:rsidRPr="00C05367">
        <w:rPr>
          <w:color w:val="000000"/>
        </w:rPr>
        <w:t xml:space="preserve"> and non ST-elevation Myocardial Infarction 2010. FAST-MI 2010. Heart. 2012; 98(9):699–705.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Chow CK, Jolly S, Rao-Melacini P, Fox KAA, Anand SS, Yusuf S. Association of diet, exercise, and smoking modification with risk of early cardiovascular events after acute coronary syndromes. Circulation. 2010; 121(6):750–8.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Armstrong PW, Gershlick AH, Goldstein P, Wilcox R, Danays T, Lambert Y, Sulimov V, Rosell Ortiz F, Ostojic M, Welsh RC, Carvalho AC, Nanas J, Arntz H-R, Halvorsen S, Huber K, Grajek S, Fresco C, Bluhmki E, Regelin A, Vandenberghe K, Bogaerts K, Van de Werf F, STREAM Investigative Team. Fibrinolysis or primary PCI in ST-segment elevation myocardial infarction. N Engl J Med. 2013;368(15):1379–87.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Larson DM, M</w:t>
      </w:r>
      <w:r w:rsidR="0087612C" w:rsidRPr="00C05367">
        <w:rPr>
          <w:color w:val="000000"/>
        </w:rPr>
        <w:t>c K</w:t>
      </w:r>
      <w:r w:rsidRPr="00C05367">
        <w:rPr>
          <w:color w:val="000000"/>
        </w:rPr>
        <w:t xml:space="preserve">avanagh P, Henry TD, Cantor WJ. Reperfusion Options for ST Elevation Myocardial Infarction Patients with Expected </w:t>
      </w:r>
      <w:r w:rsidRPr="00C05367">
        <w:rPr>
          <w:color w:val="000000"/>
        </w:rPr>
        <w:lastRenderedPageBreak/>
        <w:t xml:space="preserve">Delays to Percutaneous Coronary Intervention. Vol. 5, Interventional Cardiology Clinics. 2016. p. 439–50.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Danchin N, Puymirat E, Steg PG, Goldstein P, Schiele F, Belle L, Cottin Y, Fajadet J, Khalife K, Coste P, Ferrières J, Simon T. Five-Year survival in patients with ST-Segment-elevation myocardial infarction according to modalities of reperfusion therapy: The French registry on acute ST-elevation and non-ST-Elevation myocardial infarction (FAST-MI) 2005 cohort. Circulation.2014; 129(16):1629–36.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Bonnefoy E, Steg PG, Boutitie F, Dubien PY, Lapostolle F, Roncalli J, Dissait F, Vanzetto G, Leizorowicz A, Kirkorian G. Comparison of primary angioplasty and pre-hospital fibrinolysis in acute myocardial infarction (CAPTIM) trial: a 5-year follow-up. Eur Heart J. 2009; 30 (13): 1598–606. </w:t>
      </w:r>
    </w:p>
    <w:p w:rsidR="00E06019" w:rsidRPr="00C05367" w:rsidRDefault="00E06019" w:rsidP="001878B7">
      <w:pPr>
        <w:pStyle w:val="ListParagraph"/>
        <w:numPr>
          <w:ilvl w:val="0"/>
          <w:numId w:val="5"/>
        </w:numPr>
        <w:snapToGrid w:val="0"/>
        <w:ind w:left="425" w:hanging="425"/>
        <w:jc w:val="both"/>
        <w:rPr>
          <w:color w:val="000000"/>
          <w:lang w:eastAsia="zh-CN"/>
        </w:rPr>
      </w:pPr>
      <w:r w:rsidRPr="00C05367">
        <w:rPr>
          <w:color w:val="000000"/>
        </w:rPr>
        <w:t xml:space="preserve">Potter E, Marwick TH. Assessment of Left Ventricular Function by Echocardiography. JACC Cardiovasc Imaging. 2019; 11(2):260–74. 13- Vartdal T, Brunvand H, Pettersen E, Smith H-J, Lyseggen E, Helle-Valle T, Skulstad H, Ihlen H, Edvardsen T. Early prediction of infarct size by strain Doppler echocardiography after coronary reperfusion. J Am CollCardiol. 2007; 49 (16):1715–21. </w:t>
      </w:r>
    </w:p>
    <w:p w:rsidR="00C36433" w:rsidRPr="00C05367" w:rsidRDefault="00E06019" w:rsidP="001878B7">
      <w:pPr>
        <w:pStyle w:val="ListParagraph"/>
        <w:numPr>
          <w:ilvl w:val="0"/>
          <w:numId w:val="5"/>
        </w:numPr>
        <w:snapToGrid w:val="0"/>
        <w:ind w:left="425" w:hanging="425"/>
        <w:jc w:val="both"/>
        <w:rPr>
          <w:color w:val="000000"/>
        </w:rPr>
      </w:pPr>
      <w:r w:rsidRPr="00C05367">
        <w:rPr>
          <w:color w:val="000000"/>
        </w:rPr>
        <w:t>Sjøli B, Ørn S, Grenne B, Vartdal T, Smiseth OA, Edvardsen T, Brunvand H. Comparison of left ventricular ejection fraction and left ventricular global strain as determinants of infarct size in patients with acute myocardial infarction. J Am SocEchocardiogr. 2009; 22 (11):1232–8.</w:t>
      </w:r>
      <w:r w:rsidRPr="00C05367">
        <w:t xml:space="preserve"> </w:t>
      </w:r>
    </w:p>
    <w:p w:rsidR="001878B7" w:rsidRPr="00C05367" w:rsidRDefault="001878B7" w:rsidP="001878B7">
      <w:pPr>
        <w:snapToGrid w:val="0"/>
        <w:ind w:left="425" w:hanging="425"/>
        <w:jc w:val="both"/>
        <w:rPr>
          <w:color w:val="000000"/>
        </w:rPr>
        <w:sectPr w:rsidR="001878B7" w:rsidRPr="00C05367" w:rsidSect="001878B7">
          <w:type w:val="continuous"/>
          <w:pgSz w:w="12242" w:h="15842" w:code="1"/>
          <w:pgMar w:top="1440" w:right="1440" w:bottom="1440" w:left="1440" w:header="720" w:footer="720" w:gutter="0"/>
          <w:cols w:num="2" w:space="500"/>
          <w:docGrid w:linePitch="272"/>
        </w:sectPr>
      </w:pPr>
    </w:p>
    <w:p w:rsidR="00E06019" w:rsidRPr="00C05367" w:rsidRDefault="00E06019" w:rsidP="001878B7">
      <w:pPr>
        <w:snapToGrid w:val="0"/>
        <w:ind w:firstLine="425"/>
        <w:jc w:val="both"/>
        <w:rPr>
          <w:color w:val="000000"/>
          <w:lang w:eastAsia="zh-CN"/>
        </w:rPr>
      </w:pPr>
    </w:p>
    <w:p w:rsidR="001878B7" w:rsidRPr="00C05367" w:rsidRDefault="0087612C" w:rsidP="001878B7">
      <w:pPr>
        <w:snapToGrid w:val="0"/>
        <w:ind w:firstLine="425"/>
        <w:jc w:val="both"/>
        <w:rPr>
          <w:color w:val="000000"/>
          <w:lang w:eastAsia="zh-CN"/>
        </w:rPr>
      </w:pPr>
      <w:r w:rsidRPr="00C05367">
        <w:rPr>
          <w:rFonts w:hint="eastAsia"/>
          <w:color w:val="000000"/>
          <w:lang w:eastAsia="zh-CN"/>
        </w:rPr>
        <w:t xml:space="preserve"> </w:t>
      </w:r>
    </w:p>
    <w:p w:rsidR="001878B7" w:rsidRPr="00C05367" w:rsidRDefault="001878B7" w:rsidP="001878B7">
      <w:pPr>
        <w:snapToGrid w:val="0"/>
        <w:ind w:firstLine="425"/>
        <w:jc w:val="both"/>
        <w:rPr>
          <w:color w:val="000000"/>
          <w:lang w:eastAsia="zh-CN"/>
        </w:rPr>
      </w:pPr>
    </w:p>
    <w:p w:rsidR="00B737B4" w:rsidRPr="00C05367" w:rsidRDefault="00E06019" w:rsidP="001878B7">
      <w:pPr>
        <w:snapToGrid w:val="0"/>
        <w:jc w:val="both"/>
        <w:rPr>
          <w:color w:val="000000"/>
        </w:rPr>
      </w:pPr>
      <w:r w:rsidRPr="00C05367">
        <w:rPr>
          <w:color w:val="000000"/>
        </w:rPr>
        <w:t>12/23/2019</w:t>
      </w:r>
    </w:p>
    <w:sectPr w:rsidR="00B737B4" w:rsidRPr="00C05367" w:rsidSect="00E06019">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B7" w:rsidRDefault="000F44B7">
      <w:r>
        <w:separator/>
      </w:r>
    </w:p>
  </w:endnote>
  <w:endnote w:type="continuationSeparator" w:id="0">
    <w:p w:rsidR="000F44B7" w:rsidRDefault="000F4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67" w:rsidRPr="00BF6313" w:rsidRDefault="00C05367" w:rsidP="00BF6313">
    <w:pPr>
      <w:jc w:val="center"/>
    </w:pPr>
    <w:fldSimple w:instr=" page ">
      <w:r w:rsidR="00A86FB4">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B7" w:rsidRDefault="000F44B7">
      <w:r>
        <w:separator/>
      </w:r>
    </w:p>
  </w:footnote>
  <w:footnote w:type="continuationSeparator" w:id="0">
    <w:p w:rsidR="000F44B7" w:rsidRDefault="000F4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67" w:rsidRPr="00BF6313" w:rsidRDefault="00C05367" w:rsidP="00BF6313">
    <w:pPr>
      <w:tabs>
        <w:tab w:val="left" w:pos="851"/>
        <w:tab w:val="left" w:pos="7200"/>
        <w:tab w:val="right" w:pos="8364"/>
      </w:tabs>
      <w:adjustRightInd w:val="0"/>
      <w:snapToGrid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67" w:rsidRPr="00BF6313" w:rsidRDefault="00C05367" w:rsidP="00BF6313">
    <w:pPr>
      <w:pBdr>
        <w:bottom w:val="thinThickMediumGap" w:sz="12" w:space="1" w:color="auto"/>
      </w:pBdr>
      <w:tabs>
        <w:tab w:val="left" w:pos="851"/>
        <w:tab w:val="right" w:pos="8364"/>
      </w:tabs>
      <w:adjustRightInd w:val="0"/>
      <w:snapToGrid w:val="0"/>
      <w:jc w:val="both"/>
      <w:rPr>
        <w:iCs/>
      </w:rPr>
    </w:pPr>
    <w:r w:rsidRPr="00BF6313">
      <w:rPr>
        <w:rFonts w:hint="eastAsia"/>
      </w:rPr>
      <w:tab/>
    </w:r>
    <w:r w:rsidRPr="00BF6313">
      <w:t>New York Science Journal 20</w:t>
    </w:r>
    <w:r w:rsidRPr="00BF6313">
      <w:rPr>
        <w:rFonts w:hint="eastAsia"/>
      </w:rPr>
      <w:t>20</w:t>
    </w:r>
    <w:r w:rsidRPr="00BF6313">
      <w:t>;</w:t>
    </w:r>
    <w:r w:rsidRPr="00BF6313">
      <w:rPr>
        <w:rFonts w:hint="eastAsia"/>
      </w:rPr>
      <w:t>13</w:t>
    </w:r>
    <w:r w:rsidRPr="00BF6313">
      <w:t>(</w:t>
    </w:r>
    <w:r w:rsidRPr="00BF6313">
      <w:rPr>
        <w:rFonts w:hint="eastAsia"/>
      </w:rPr>
      <w:t>1</w:t>
    </w:r>
    <w:r w:rsidRPr="00BF6313">
      <w:t>)</w:t>
    </w:r>
    <w:r w:rsidRPr="00BF6313">
      <w:rPr>
        <w:iCs/>
      </w:rPr>
      <w:t xml:space="preserve"> </w:t>
    </w:r>
    <w:r w:rsidRPr="00BF6313">
      <w:rPr>
        <w:rFonts w:hint="eastAsia"/>
        <w:iCs/>
      </w:rPr>
      <w:tab/>
    </w:r>
    <w:r w:rsidRPr="00BF6313">
      <w:rPr>
        <w:iCs/>
      </w:rPr>
      <w:t xml:space="preserve">  </w:t>
    </w:r>
    <w:hyperlink r:id="rId1" w:history="1">
      <w:r w:rsidRPr="00BF6313">
        <w:rPr>
          <w:rStyle w:val="Hyperlink"/>
        </w:rPr>
        <w:t>http://www.sciencepub.net/newyork</w:t>
      </w:r>
    </w:hyperlink>
    <w:r w:rsidRPr="00BF6313">
      <w:rPr>
        <w:rFonts w:hint="eastAsia"/>
      </w:rPr>
      <w:t xml:space="preserve">   </w:t>
    </w:r>
    <w:r w:rsidRPr="00BF6313">
      <w:rPr>
        <w:rFonts w:hint="eastAsia"/>
        <w:b/>
        <w:i/>
        <w:color w:val="FF0000"/>
        <w:bdr w:val="single" w:sz="4" w:space="0" w:color="FF0000"/>
      </w:rPr>
      <w:t>NYJ</w:t>
    </w:r>
  </w:p>
  <w:p w:rsidR="00C05367" w:rsidRPr="00BF6313" w:rsidRDefault="00C05367" w:rsidP="00BF6313">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290"/>
    <w:multiLevelType w:val="hybridMultilevel"/>
    <w:tmpl w:val="A56A4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D1223"/>
    <w:multiLevelType w:val="hybridMultilevel"/>
    <w:tmpl w:val="29CA9FBE"/>
    <w:lvl w:ilvl="0" w:tplc="0409000F">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EC650C"/>
    <w:multiLevelType w:val="hybridMultilevel"/>
    <w:tmpl w:val="83246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45137"/>
    <w:multiLevelType w:val="hybridMultilevel"/>
    <w:tmpl w:val="C2EC4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ED5AED"/>
    <w:multiLevelType w:val="hybridMultilevel"/>
    <w:tmpl w:val="EB14DB4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nsid w:val="764C012D"/>
    <w:multiLevelType w:val="multilevel"/>
    <w:tmpl w:val="A5C63A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00"/>
  <w:displayHorizontalDrawingGridEvery w:val="2"/>
  <w:characterSpacingControl w:val="doNotCompress"/>
  <w:hdrShapeDefaults>
    <o:shapedefaults v:ext="edit" spidmax="5017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68B"/>
    <w:rsid w:val="00006B85"/>
    <w:rsid w:val="00023EC9"/>
    <w:rsid w:val="00063D8C"/>
    <w:rsid w:val="00075B9D"/>
    <w:rsid w:val="0008072B"/>
    <w:rsid w:val="00081095"/>
    <w:rsid w:val="00087A70"/>
    <w:rsid w:val="00087AE6"/>
    <w:rsid w:val="00091D04"/>
    <w:rsid w:val="000C3081"/>
    <w:rsid w:val="000F44B7"/>
    <w:rsid w:val="00133782"/>
    <w:rsid w:val="00167BAF"/>
    <w:rsid w:val="001878B7"/>
    <w:rsid w:val="001D0B7E"/>
    <w:rsid w:val="001E5AB6"/>
    <w:rsid w:val="001E5B00"/>
    <w:rsid w:val="00202998"/>
    <w:rsid w:val="00213316"/>
    <w:rsid w:val="00216C80"/>
    <w:rsid w:val="00231E38"/>
    <w:rsid w:val="00287EC5"/>
    <w:rsid w:val="00302733"/>
    <w:rsid w:val="00304D61"/>
    <w:rsid w:val="00313CBB"/>
    <w:rsid w:val="004248CC"/>
    <w:rsid w:val="004449B6"/>
    <w:rsid w:val="00455C62"/>
    <w:rsid w:val="004F7EC7"/>
    <w:rsid w:val="005C1F9E"/>
    <w:rsid w:val="005E693A"/>
    <w:rsid w:val="00620D7D"/>
    <w:rsid w:val="0062468B"/>
    <w:rsid w:val="006C4F96"/>
    <w:rsid w:val="006E2B3F"/>
    <w:rsid w:val="006E4970"/>
    <w:rsid w:val="006E5FAC"/>
    <w:rsid w:val="007430E9"/>
    <w:rsid w:val="007A1135"/>
    <w:rsid w:val="007A153C"/>
    <w:rsid w:val="007C094C"/>
    <w:rsid w:val="0080644B"/>
    <w:rsid w:val="00807E85"/>
    <w:rsid w:val="00833111"/>
    <w:rsid w:val="0087612C"/>
    <w:rsid w:val="008A4177"/>
    <w:rsid w:val="008D2D6F"/>
    <w:rsid w:val="00904EC9"/>
    <w:rsid w:val="00912022"/>
    <w:rsid w:val="0092233B"/>
    <w:rsid w:val="00932DE9"/>
    <w:rsid w:val="0094096B"/>
    <w:rsid w:val="00967811"/>
    <w:rsid w:val="009766B0"/>
    <w:rsid w:val="00982596"/>
    <w:rsid w:val="00984F2D"/>
    <w:rsid w:val="009B40BA"/>
    <w:rsid w:val="00A76288"/>
    <w:rsid w:val="00A86FB4"/>
    <w:rsid w:val="00AC769E"/>
    <w:rsid w:val="00B24B8E"/>
    <w:rsid w:val="00B27AFE"/>
    <w:rsid w:val="00B737B4"/>
    <w:rsid w:val="00BB7AB4"/>
    <w:rsid w:val="00BD5EF2"/>
    <w:rsid w:val="00BF6313"/>
    <w:rsid w:val="00C016CC"/>
    <w:rsid w:val="00C05367"/>
    <w:rsid w:val="00C320E2"/>
    <w:rsid w:val="00C340D0"/>
    <w:rsid w:val="00C36433"/>
    <w:rsid w:val="00C86AF6"/>
    <w:rsid w:val="00CA42D7"/>
    <w:rsid w:val="00CA4E43"/>
    <w:rsid w:val="00CA7C43"/>
    <w:rsid w:val="00CC0684"/>
    <w:rsid w:val="00CC6629"/>
    <w:rsid w:val="00CE6255"/>
    <w:rsid w:val="00D83550"/>
    <w:rsid w:val="00DA1AA3"/>
    <w:rsid w:val="00E06019"/>
    <w:rsid w:val="00EA19CF"/>
    <w:rsid w:val="00ED2D4E"/>
    <w:rsid w:val="00EF2FE9"/>
    <w:rsid w:val="00F42CE9"/>
    <w:rsid w:val="00F43E62"/>
    <w:rsid w:val="00F91F61"/>
    <w:rsid w:val="00FA0EB7"/>
    <w:rsid w:val="00FA1397"/>
    <w:rsid w:val="00FA491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Cambria" w:eastAsia="宋体" w:hAnsi="Cambria" w:cs="Times New Roman"/>
      <w:b/>
      <w:bCs/>
      <w:kern w:val="32"/>
      <w:sz w:val="32"/>
      <w:szCs w:val="32"/>
    </w:rPr>
  </w:style>
  <w:style w:type="character" w:customStyle="1" w:styleId="Heading2Char">
    <w:name w:val="Heading 2 Char"/>
    <w:basedOn w:val="DefaultParagraphFont"/>
    <w:link w:val="Heading2"/>
    <w:uiPriority w:val="9"/>
    <w:semiHidden/>
    <w:rsid w:val="001B3490"/>
    <w:rPr>
      <w:rFonts w:ascii="Cambria" w:eastAsia="宋体" w:hAnsi="Cambria" w:cs="Times New Roman"/>
      <w:b/>
      <w:bCs/>
      <w:i/>
      <w:iCs/>
      <w:sz w:val="28"/>
      <w:szCs w:val="28"/>
    </w:rPr>
  </w:style>
  <w:style w:type="character" w:customStyle="1" w:styleId="Heading3Char">
    <w:name w:val="Heading 3 Char"/>
    <w:basedOn w:val="DefaultParagraphFont"/>
    <w:link w:val="Heading3"/>
    <w:uiPriority w:val="9"/>
    <w:semiHidden/>
    <w:rsid w:val="001B3490"/>
    <w:rPr>
      <w:rFonts w:ascii="Cambria" w:eastAsia="宋体" w:hAnsi="Cambria" w:cs="Times New Roman"/>
      <w:b/>
      <w:bCs/>
      <w:sz w:val="26"/>
      <w:szCs w:val="26"/>
    </w:rPr>
  </w:style>
  <w:style w:type="character" w:customStyle="1" w:styleId="Heading4Char">
    <w:name w:val="Heading 4 Char"/>
    <w:basedOn w:val="DefaultParagraphFont"/>
    <w:link w:val="Heading4"/>
    <w:uiPriority w:val="9"/>
    <w:semiHidden/>
    <w:rsid w:val="001B3490"/>
    <w:rPr>
      <w:rFonts w:ascii="Calibri" w:eastAsia="宋体" w:hAnsi="Calibri" w:cs="Times New Roman"/>
      <w:b/>
      <w:bCs/>
      <w:sz w:val="28"/>
      <w:szCs w:val="28"/>
    </w:rPr>
  </w:style>
  <w:style w:type="character" w:customStyle="1" w:styleId="Heading5Char">
    <w:name w:val="Heading 5 Char"/>
    <w:basedOn w:val="DefaultParagraphFont"/>
    <w:link w:val="Heading5"/>
    <w:uiPriority w:val="9"/>
    <w:semiHidden/>
    <w:rsid w:val="001B3490"/>
    <w:rPr>
      <w:rFonts w:ascii="Calibri" w:eastAsia="宋体" w:hAnsi="Calibri" w:cs="Times New Roman"/>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Calibri" w:eastAsia="宋体" w:hAnsi="Calibri" w:cs="Times New Roman"/>
      <w:sz w:val="24"/>
      <w:szCs w:val="24"/>
    </w:rPr>
  </w:style>
  <w:style w:type="character" w:customStyle="1" w:styleId="Heading8Char">
    <w:name w:val="Heading 8 Char"/>
    <w:basedOn w:val="DefaultParagraphFont"/>
    <w:link w:val="Heading8"/>
    <w:uiPriority w:val="9"/>
    <w:semiHidden/>
    <w:rsid w:val="001B3490"/>
    <w:rPr>
      <w:rFonts w:ascii="Calibri" w:eastAsia="宋体" w:hAnsi="Calibri" w:cs="Times New Roman"/>
      <w:i/>
      <w:iCs/>
      <w:sz w:val="24"/>
      <w:szCs w:val="24"/>
    </w:rPr>
  </w:style>
  <w:style w:type="character" w:customStyle="1" w:styleId="Heading9Char">
    <w:name w:val="Heading 9 Char"/>
    <w:basedOn w:val="DefaultParagraphFont"/>
    <w:link w:val="Heading9"/>
    <w:uiPriority w:val="9"/>
    <w:semiHidden/>
    <w:rsid w:val="001B3490"/>
    <w:rPr>
      <w:rFonts w:ascii="Cambria" w:eastAsia="宋体" w:hAnsi="Cambria" w:cs="Times New Roman"/>
      <w:sz w:val="22"/>
      <w:szCs w:val="22"/>
    </w:rPr>
  </w:style>
  <w:style w:type="paragraph" w:styleId="ListParagraph">
    <w:name w:val="List Paragraph"/>
    <w:basedOn w:val="Normal"/>
    <w:uiPriority w:val="34"/>
    <w:qFormat/>
    <w:rsid w:val="00C320E2"/>
    <w:pPr>
      <w:ind w:left="720"/>
      <w:contextualSpacing/>
    </w:pPr>
  </w:style>
  <w:style w:type="character" w:styleId="Hyperlink">
    <w:name w:val="Hyperlink"/>
    <w:basedOn w:val="DefaultParagraphFont"/>
    <w:uiPriority w:val="99"/>
    <w:unhideWhenUsed/>
    <w:rsid w:val="00C016CC"/>
    <w:rPr>
      <w:color w:val="0000FF"/>
      <w:u w:val="single"/>
    </w:rPr>
  </w:style>
  <w:style w:type="paragraph" w:styleId="Header">
    <w:name w:val="header"/>
    <w:basedOn w:val="Normal"/>
    <w:link w:val="HeaderChar"/>
    <w:uiPriority w:val="99"/>
    <w:unhideWhenUsed/>
    <w:rsid w:val="00CA42D7"/>
    <w:pPr>
      <w:tabs>
        <w:tab w:val="center" w:pos="4153"/>
        <w:tab w:val="right" w:pos="8306"/>
      </w:tabs>
    </w:pPr>
  </w:style>
  <w:style w:type="character" w:customStyle="1" w:styleId="HeaderChar">
    <w:name w:val="Header Char"/>
    <w:basedOn w:val="DefaultParagraphFont"/>
    <w:link w:val="Header"/>
    <w:uiPriority w:val="99"/>
    <w:rsid w:val="00CA42D7"/>
  </w:style>
  <w:style w:type="paragraph" w:styleId="Footer">
    <w:name w:val="footer"/>
    <w:basedOn w:val="Normal"/>
    <w:link w:val="FooterChar"/>
    <w:uiPriority w:val="99"/>
    <w:unhideWhenUsed/>
    <w:rsid w:val="00CA42D7"/>
    <w:pPr>
      <w:tabs>
        <w:tab w:val="center" w:pos="4153"/>
        <w:tab w:val="right" w:pos="8306"/>
      </w:tabs>
    </w:pPr>
  </w:style>
  <w:style w:type="character" w:customStyle="1" w:styleId="FooterChar">
    <w:name w:val="Footer Char"/>
    <w:basedOn w:val="DefaultParagraphFont"/>
    <w:link w:val="Footer"/>
    <w:uiPriority w:val="99"/>
    <w:rsid w:val="00CA42D7"/>
  </w:style>
  <w:style w:type="paragraph" w:styleId="BalloonText">
    <w:name w:val="Balloon Text"/>
    <w:basedOn w:val="Normal"/>
    <w:link w:val="BalloonTextChar"/>
    <w:uiPriority w:val="99"/>
    <w:semiHidden/>
    <w:unhideWhenUsed/>
    <w:rsid w:val="00304D61"/>
    <w:rPr>
      <w:rFonts w:ascii="Tahoma" w:hAnsi="Tahoma" w:cs="Tahoma"/>
      <w:sz w:val="16"/>
      <w:szCs w:val="16"/>
    </w:rPr>
  </w:style>
  <w:style w:type="character" w:customStyle="1" w:styleId="BalloonTextChar">
    <w:name w:val="Balloon Text Char"/>
    <w:basedOn w:val="DefaultParagraphFont"/>
    <w:link w:val="BalloonText"/>
    <w:uiPriority w:val="99"/>
    <w:semiHidden/>
    <w:rsid w:val="00304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bouomar@gmail.com" TargetMode="Externa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dx.doi.org/10.7537/marsnys130120.03"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382F-3A58-4B39-9AF3-BB1F898A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3</dc:creator>
  <cp:lastModifiedBy>Administrator</cp:lastModifiedBy>
  <cp:revision>3</cp:revision>
  <cp:lastPrinted>2019-12-15T20:22:00Z</cp:lastPrinted>
  <dcterms:created xsi:type="dcterms:W3CDTF">2019-12-26T14:36:00Z</dcterms:created>
  <dcterms:modified xsi:type="dcterms:W3CDTF">2019-12-27T02:06:00Z</dcterms:modified>
</cp:coreProperties>
</file>