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48" w:rsidRDefault="004F1448" w:rsidP="00DA3DF4">
      <w:pPr>
        <w:snapToGrid w:val="0"/>
        <w:spacing w:after="0" w:line="240" w:lineRule="auto"/>
        <w:jc w:val="center"/>
        <w:rPr>
          <w:rFonts w:ascii="Times New Roman" w:hAnsi="Times New Roman" w:cs="Times New Roman"/>
          <w:b/>
          <w:bCs/>
          <w:sz w:val="20"/>
          <w:szCs w:val="20"/>
          <w:lang w:eastAsia="zh-CN"/>
        </w:rPr>
      </w:pPr>
      <w:bookmarkStart w:id="0" w:name="_GoBack"/>
    </w:p>
    <w:p w:rsidR="004F1448" w:rsidRDefault="00AB3F74" w:rsidP="00DA3DF4">
      <w:pPr>
        <w:snapToGrid w:val="0"/>
        <w:spacing w:after="0" w:line="240" w:lineRule="auto"/>
        <w:jc w:val="center"/>
        <w:rPr>
          <w:rFonts w:ascii="Times New Roman" w:hAnsi="Times New Roman" w:cs="Times New Roman"/>
          <w:b/>
          <w:bCs/>
          <w:sz w:val="20"/>
          <w:szCs w:val="20"/>
        </w:rPr>
      </w:pPr>
      <w:r w:rsidRPr="00DA3DF4">
        <w:rPr>
          <w:rFonts w:ascii="Times New Roman" w:hAnsi="Times New Roman" w:cs="Times New Roman"/>
          <w:b/>
          <w:bCs/>
          <w:sz w:val="20"/>
          <w:szCs w:val="20"/>
        </w:rPr>
        <w:t>Functional and Structural Correlation in Wet Age Related Macular Degeneration after Ranibizumab Injection</w:t>
      </w:r>
    </w:p>
    <w:p w:rsidR="004F1448" w:rsidRDefault="004F1448" w:rsidP="00DA3DF4">
      <w:pPr>
        <w:snapToGrid w:val="0"/>
        <w:spacing w:after="0" w:line="240" w:lineRule="auto"/>
        <w:jc w:val="center"/>
        <w:rPr>
          <w:rFonts w:ascii="Times New Roman" w:hAnsi="Times New Roman" w:cs="Times New Roman"/>
          <w:b/>
          <w:bCs/>
          <w:sz w:val="20"/>
          <w:szCs w:val="20"/>
        </w:rPr>
      </w:pPr>
    </w:p>
    <w:p w:rsidR="004F1448" w:rsidRDefault="001774A6" w:rsidP="00DA3DF4">
      <w:pPr>
        <w:snapToGrid w:val="0"/>
        <w:spacing w:after="0" w:line="240" w:lineRule="auto"/>
        <w:jc w:val="center"/>
        <w:rPr>
          <w:rFonts w:ascii="Times New Roman" w:hAnsi="Times New Roman" w:cs="Times New Roman"/>
          <w:sz w:val="20"/>
          <w:szCs w:val="20"/>
          <w:lang w:eastAsia="zh-CN"/>
        </w:rPr>
      </w:pPr>
      <w:r w:rsidRPr="00DA3DF4">
        <w:rPr>
          <w:rFonts w:ascii="Times New Roman" w:hAnsi="Times New Roman" w:cs="Times New Roman"/>
          <w:sz w:val="20"/>
          <w:szCs w:val="20"/>
        </w:rPr>
        <w:t>Mai Barakat Al Helal</w:t>
      </w:r>
      <w:r w:rsidR="00D846C4" w:rsidRPr="00DA3DF4">
        <w:rPr>
          <w:rFonts w:ascii="Times New Roman" w:hAnsi="Times New Roman" w:cs="Times New Roman"/>
          <w:sz w:val="20"/>
          <w:szCs w:val="20"/>
        </w:rPr>
        <w:t>y (</w:t>
      </w:r>
      <w:r w:rsidRPr="00DA3DF4">
        <w:rPr>
          <w:rFonts w:ascii="Times New Roman" w:hAnsi="Times New Roman" w:cs="Times New Roman"/>
          <w:sz w:val="20"/>
          <w:szCs w:val="20"/>
        </w:rPr>
        <w:t>MSCH)</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T</w:t>
      </w:r>
      <w:r w:rsidRPr="00DA3DF4">
        <w:rPr>
          <w:rFonts w:ascii="Times New Roman" w:hAnsi="Times New Roman" w:cs="Times New Roman"/>
          <w:sz w:val="20"/>
          <w:szCs w:val="20"/>
        </w:rPr>
        <w:t>amer El-Saye</w:t>
      </w:r>
      <w:r w:rsidR="004F1448" w:rsidRPr="00DA3DF4">
        <w:rPr>
          <w:rFonts w:ascii="Times New Roman" w:hAnsi="Times New Roman" w:cs="Times New Roman"/>
          <w:sz w:val="20"/>
          <w:szCs w:val="20"/>
        </w:rPr>
        <w:t>d</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W</w:t>
      </w:r>
      <w:r w:rsidRPr="00DA3DF4">
        <w:rPr>
          <w:rFonts w:ascii="Times New Roman" w:hAnsi="Times New Roman" w:cs="Times New Roman"/>
          <w:sz w:val="20"/>
          <w:szCs w:val="20"/>
        </w:rPr>
        <w:t>asf</w:t>
      </w:r>
      <w:r w:rsidR="00D846C4" w:rsidRPr="00DA3DF4">
        <w:rPr>
          <w:rFonts w:ascii="Times New Roman" w:hAnsi="Times New Roman" w:cs="Times New Roman"/>
          <w:sz w:val="20"/>
          <w:szCs w:val="20"/>
        </w:rPr>
        <w:t>y (</w:t>
      </w:r>
      <w:r w:rsidRPr="00DA3DF4">
        <w:rPr>
          <w:rFonts w:ascii="Times New Roman" w:hAnsi="Times New Roman" w:cs="Times New Roman"/>
          <w:sz w:val="20"/>
          <w:szCs w:val="20"/>
        </w:rPr>
        <w:t>MD)</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M</w:t>
      </w:r>
      <w:r w:rsidR="00B0200A" w:rsidRPr="00DA3DF4">
        <w:rPr>
          <w:rFonts w:ascii="Times New Roman" w:hAnsi="Times New Roman" w:cs="Times New Roman"/>
          <w:sz w:val="20"/>
          <w:szCs w:val="20"/>
        </w:rPr>
        <w:t>agdy Salah Mouss</w:t>
      </w:r>
      <w:r w:rsidR="00D846C4" w:rsidRPr="00DA3DF4">
        <w:rPr>
          <w:rFonts w:ascii="Times New Roman" w:hAnsi="Times New Roman" w:cs="Times New Roman"/>
          <w:sz w:val="20"/>
          <w:szCs w:val="20"/>
        </w:rPr>
        <w:t>a (</w:t>
      </w:r>
      <w:r w:rsidR="00B0200A" w:rsidRPr="00DA3DF4">
        <w:rPr>
          <w:rFonts w:ascii="Times New Roman" w:hAnsi="Times New Roman" w:cs="Times New Roman"/>
          <w:sz w:val="20"/>
          <w:szCs w:val="20"/>
        </w:rPr>
        <w:t>MD)</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Y</w:t>
      </w:r>
      <w:r w:rsidR="00B0200A" w:rsidRPr="00DA3DF4">
        <w:rPr>
          <w:rFonts w:ascii="Times New Roman" w:hAnsi="Times New Roman" w:cs="Times New Roman"/>
          <w:sz w:val="20"/>
          <w:szCs w:val="20"/>
        </w:rPr>
        <w:t>asser Raga</w:t>
      </w:r>
      <w:r w:rsidR="004F1448" w:rsidRPr="00DA3DF4">
        <w:rPr>
          <w:rFonts w:ascii="Times New Roman" w:hAnsi="Times New Roman" w:cs="Times New Roman"/>
          <w:sz w:val="20"/>
          <w:szCs w:val="20"/>
        </w:rPr>
        <w:t>b</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S</w:t>
      </w:r>
      <w:r w:rsidR="00B0200A" w:rsidRPr="00DA3DF4">
        <w:rPr>
          <w:rFonts w:ascii="Times New Roman" w:hAnsi="Times New Roman" w:cs="Times New Roman"/>
          <w:sz w:val="20"/>
          <w:szCs w:val="20"/>
        </w:rPr>
        <w:t>era</w:t>
      </w:r>
      <w:r w:rsidR="00D846C4" w:rsidRPr="00DA3DF4">
        <w:rPr>
          <w:rFonts w:ascii="Times New Roman" w:hAnsi="Times New Roman" w:cs="Times New Roman"/>
          <w:sz w:val="20"/>
          <w:szCs w:val="20"/>
        </w:rPr>
        <w:t>g (</w:t>
      </w:r>
      <w:r w:rsidR="00B0200A" w:rsidRPr="00DA3DF4">
        <w:rPr>
          <w:rFonts w:ascii="Times New Roman" w:hAnsi="Times New Roman" w:cs="Times New Roman"/>
          <w:sz w:val="20"/>
          <w:szCs w:val="20"/>
        </w:rPr>
        <w:t>MD).</w:t>
      </w:r>
    </w:p>
    <w:p w:rsidR="004F1448" w:rsidRDefault="004F1448" w:rsidP="00DA3DF4">
      <w:pPr>
        <w:snapToGrid w:val="0"/>
        <w:spacing w:after="0" w:line="240" w:lineRule="auto"/>
        <w:jc w:val="center"/>
        <w:rPr>
          <w:rFonts w:ascii="Times New Roman" w:hAnsi="Times New Roman" w:cs="Times New Roman"/>
          <w:sz w:val="20"/>
          <w:szCs w:val="20"/>
          <w:lang w:eastAsia="zh-CN"/>
        </w:rPr>
      </w:pPr>
    </w:p>
    <w:p w:rsidR="004F1448" w:rsidRDefault="008374A3" w:rsidP="00DA3DF4">
      <w:pPr>
        <w:snapToGrid w:val="0"/>
        <w:spacing w:after="0" w:line="240" w:lineRule="auto"/>
        <w:jc w:val="center"/>
        <w:rPr>
          <w:rFonts w:ascii="Times New Roman" w:hAnsi="Times New Roman" w:cs="Times New Roman"/>
          <w:sz w:val="20"/>
          <w:szCs w:val="20"/>
        </w:rPr>
      </w:pPr>
      <w:r w:rsidRPr="00DA3DF4">
        <w:rPr>
          <w:rFonts w:ascii="Times New Roman" w:hAnsi="Times New Roman" w:cs="Times New Roman"/>
          <w:sz w:val="20"/>
          <w:szCs w:val="20"/>
        </w:rPr>
        <w:t xml:space="preserve">Ophthalmology </w:t>
      </w:r>
      <w:r w:rsidR="00652AC5" w:rsidRPr="00DA3DF4">
        <w:rPr>
          <w:rFonts w:ascii="Times New Roman" w:hAnsi="Times New Roman" w:cs="Times New Roman"/>
          <w:sz w:val="20"/>
          <w:szCs w:val="20"/>
        </w:rPr>
        <w:t>Department, Faculty of Medicine, Tanta University, Tanta, Egypt</w:t>
      </w:r>
    </w:p>
    <w:p w:rsidR="004F1448" w:rsidRDefault="004F1448" w:rsidP="00DA3DF4">
      <w:pPr>
        <w:snapToGrid w:val="0"/>
        <w:spacing w:after="0" w:line="240" w:lineRule="auto"/>
        <w:jc w:val="center"/>
        <w:rPr>
          <w:rFonts w:ascii="Times New Roman" w:hAnsi="Times New Roman" w:cs="Times New Roman"/>
          <w:sz w:val="20"/>
          <w:szCs w:val="20"/>
        </w:rPr>
      </w:pPr>
    </w:p>
    <w:p w:rsidR="004F1448" w:rsidRDefault="00652AC5" w:rsidP="00DA3DF4">
      <w:pPr>
        <w:snapToGrid w:val="0"/>
        <w:spacing w:after="0" w:line="240" w:lineRule="auto"/>
        <w:jc w:val="both"/>
        <w:rPr>
          <w:rFonts w:ascii="Times New Roman" w:hAnsi="Times New Roman" w:cs="Times New Roman"/>
          <w:sz w:val="20"/>
          <w:szCs w:val="20"/>
        </w:rPr>
      </w:pPr>
      <w:r w:rsidRPr="00DA3DF4">
        <w:rPr>
          <w:rFonts w:ascii="Times New Roman" w:hAnsi="Times New Roman" w:cs="Times New Roman"/>
          <w:b/>
          <w:bCs/>
          <w:sz w:val="20"/>
          <w:szCs w:val="20"/>
        </w:rPr>
        <w:t xml:space="preserve">Abstract: </w:t>
      </w:r>
      <w:r w:rsidR="00974AE5" w:rsidRPr="00DA3DF4">
        <w:rPr>
          <w:rFonts w:ascii="Times New Roman" w:hAnsi="Times New Roman" w:cs="Times New Roman"/>
          <w:b/>
          <w:bCs/>
          <w:sz w:val="20"/>
          <w:szCs w:val="20"/>
        </w:rPr>
        <w:t>Background</w:t>
      </w:r>
      <w:r w:rsidR="00E77D61" w:rsidRPr="00DA3DF4">
        <w:rPr>
          <w:rFonts w:ascii="Times New Roman" w:hAnsi="Times New Roman" w:cs="Times New Roman"/>
          <w:b/>
          <w:bCs/>
          <w:sz w:val="20"/>
          <w:szCs w:val="20"/>
        </w:rPr>
        <w:t xml:space="preserve"> and aim</w:t>
      </w:r>
      <w:r w:rsidR="004F1448" w:rsidRPr="00DA3DF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A3DF4">
        <w:rPr>
          <w:rFonts w:ascii="Times New Roman" w:hAnsi="Times New Roman" w:cs="Times New Roman"/>
          <w:sz w:val="20"/>
          <w:szCs w:val="20"/>
          <w:lang w:bidi="ar-EG"/>
        </w:rPr>
        <w:t>A</w:t>
      </w:r>
      <w:r w:rsidR="00B333B5" w:rsidRPr="00DA3DF4">
        <w:rPr>
          <w:rFonts w:ascii="Times New Roman" w:hAnsi="Times New Roman" w:cs="Times New Roman"/>
          <w:sz w:val="20"/>
          <w:szCs w:val="20"/>
          <w:lang w:bidi="ar-EG"/>
        </w:rPr>
        <w:t>ge related macular degeneration (AMD) is a major cause of visual impairment in</w:t>
      </w:r>
      <w:r w:rsidR="00555289" w:rsidRPr="00DA3DF4">
        <w:rPr>
          <w:rFonts w:ascii="Times New Roman" w:hAnsi="Times New Roman" w:cs="Times New Roman"/>
          <w:sz w:val="20"/>
          <w:szCs w:val="20"/>
          <w:lang w:bidi="ar-EG"/>
        </w:rPr>
        <w:t xml:space="preserve"> the</w:t>
      </w:r>
      <w:r w:rsidR="00B333B5" w:rsidRPr="00DA3DF4">
        <w:rPr>
          <w:rFonts w:ascii="Times New Roman" w:hAnsi="Times New Roman" w:cs="Times New Roman"/>
          <w:sz w:val="20"/>
          <w:szCs w:val="20"/>
          <w:lang w:bidi="ar-EG"/>
        </w:rPr>
        <w:t xml:space="preserve"> elderly in developed countries. Choroidal Neovascular Membrane</w:t>
      </w:r>
      <w:r w:rsidR="00ED67F2" w:rsidRPr="00DA3DF4">
        <w:rPr>
          <w:rFonts w:ascii="Times New Roman" w:hAnsi="Times New Roman" w:cs="Times New Roman"/>
          <w:sz w:val="20"/>
          <w:szCs w:val="20"/>
          <w:lang w:bidi="ar-EG"/>
        </w:rPr>
        <w:t xml:space="preserve"> (CNV)</w:t>
      </w:r>
      <w:r w:rsidR="00B333B5" w:rsidRPr="00DA3DF4">
        <w:rPr>
          <w:rFonts w:ascii="Times New Roman" w:hAnsi="Times New Roman" w:cs="Times New Roman"/>
          <w:sz w:val="20"/>
          <w:szCs w:val="20"/>
          <w:lang w:bidi="ar-EG"/>
        </w:rPr>
        <w:t xml:space="preserve"> accounts for about 80% of severe vision loss</w:t>
      </w:r>
      <w:r w:rsidR="00D846C4" w:rsidRPr="00DA3DF4">
        <w:rPr>
          <w:rFonts w:ascii="Times New Roman" w:hAnsi="Times New Roman" w:cs="Times New Roman"/>
          <w:sz w:val="20"/>
          <w:szCs w:val="20"/>
          <w:lang w:bidi="ar-EG"/>
        </w:rPr>
        <w:t xml:space="preserve"> </w:t>
      </w:r>
      <w:r w:rsidR="00B333B5" w:rsidRPr="00DA3DF4">
        <w:rPr>
          <w:rFonts w:ascii="Times New Roman" w:hAnsi="Times New Roman" w:cs="Times New Roman"/>
          <w:sz w:val="20"/>
          <w:szCs w:val="20"/>
          <w:lang w:bidi="ar-EG"/>
        </w:rPr>
        <w:t>in AMD patients</w:t>
      </w:r>
      <w:r w:rsidR="00E77D61" w:rsidRPr="00DA3DF4">
        <w:rPr>
          <w:rFonts w:ascii="Times New Roman" w:hAnsi="Times New Roman" w:cs="Times New Roman"/>
          <w:sz w:val="20"/>
          <w:szCs w:val="20"/>
        </w:rPr>
        <w:t xml:space="preserve">. The </w:t>
      </w:r>
      <w:r w:rsidR="00D02B28" w:rsidRPr="00DA3DF4">
        <w:rPr>
          <w:rFonts w:ascii="Times New Roman" w:hAnsi="Times New Roman" w:cs="Times New Roman"/>
          <w:sz w:val="20"/>
          <w:szCs w:val="20"/>
        </w:rPr>
        <w:t>aim</w:t>
      </w:r>
      <w:r w:rsidR="00E77D61" w:rsidRPr="00DA3DF4">
        <w:rPr>
          <w:rFonts w:ascii="Times New Roman" w:hAnsi="Times New Roman" w:cs="Times New Roman"/>
          <w:sz w:val="20"/>
          <w:szCs w:val="20"/>
        </w:rPr>
        <w:t xml:space="preserve"> of this study is to </w:t>
      </w:r>
      <w:r w:rsidR="00006A91" w:rsidRPr="00DA3DF4">
        <w:rPr>
          <w:rFonts w:ascii="Times New Roman" w:hAnsi="Times New Roman" w:cs="Times New Roman"/>
          <w:sz w:val="20"/>
          <w:szCs w:val="20"/>
          <w:lang w:bidi="ar-EG"/>
        </w:rPr>
        <w:t xml:space="preserve">correlate macular structure </w:t>
      </w:r>
      <w:r w:rsidR="00E72DCF" w:rsidRPr="00DA3DF4">
        <w:rPr>
          <w:rFonts w:ascii="Times New Roman" w:hAnsi="Times New Roman" w:cs="Times New Roman"/>
          <w:sz w:val="20"/>
          <w:szCs w:val="20"/>
          <w:lang w:bidi="ar-EG"/>
        </w:rPr>
        <w:t>assessed</w:t>
      </w:r>
      <w:r w:rsidR="00006A91" w:rsidRPr="00DA3DF4">
        <w:rPr>
          <w:rFonts w:ascii="Times New Roman" w:hAnsi="Times New Roman" w:cs="Times New Roman"/>
          <w:sz w:val="20"/>
          <w:szCs w:val="20"/>
          <w:lang w:bidi="ar-EG"/>
        </w:rPr>
        <w:t xml:space="preserve"> by optical coherence tomograph</w:t>
      </w:r>
      <w:r w:rsidR="00D846C4" w:rsidRPr="00DA3DF4">
        <w:rPr>
          <w:rFonts w:ascii="Times New Roman" w:hAnsi="Times New Roman" w:cs="Times New Roman"/>
          <w:sz w:val="20"/>
          <w:szCs w:val="20"/>
          <w:lang w:bidi="ar-EG"/>
        </w:rPr>
        <w:t>y (</w:t>
      </w:r>
      <w:r w:rsidR="008D33C4" w:rsidRPr="00DA3DF4">
        <w:rPr>
          <w:rFonts w:ascii="Times New Roman" w:hAnsi="Times New Roman" w:cs="Times New Roman"/>
          <w:sz w:val="20"/>
          <w:szCs w:val="20"/>
          <w:lang w:bidi="ar-EG"/>
        </w:rPr>
        <w:t>OCT)</w:t>
      </w:r>
      <w:r w:rsidR="00006A91" w:rsidRPr="00DA3DF4">
        <w:rPr>
          <w:rFonts w:ascii="Times New Roman" w:hAnsi="Times New Roman" w:cs="Times New Roman"/>
          <w:sz w:val="20"/>
          <w:szCs w:val="20"/>
          <w:lang w:bidi="ar-EG"/>
        </w:rPr>
        <w:t xml:space="preserve"> with</w:t>
      </w:r>
      <w:r w:rsidR="00A961FC" w:rsidRPr="00DA3DF4">
        <w:rPr>
          <w:rFonts w:ascii="Times New Roman" w:hAnsi="Times New Roman" w:cs="Times New Roman"/>
          <w:sz w:val="20"/>
          <w:szCs w:val="20"/>
          <w:lang w:bidi="ar-EG"/>
        </w:rPr>
        <w:t xml:space="preserve"> macular</w:t>
      </w:r>
      <w:r w:rsidR="00006A91" w:rsidRPr="00DA3DF4">
        <w:rPr>
          <w:rFonts w:ascii="Times New Roman" w:hAnsi="Times New Roman" w:cs="Times New Roman"/>
          <w:sz w:val="20"/>
          <w:szCs w:val="20"/>
          <w:lang w:bidi="ar-EG"/>
        </w:rPr>
        <w:t xml:space="preserve"> function assessed by multifocal electroretinograph</w:t>
      </w:r>
      <w:r w:rsidR="00D846C4" w:rsidRPr="00DA3DF4">
        <w:rPr>
          <w:rFonts w:ascii="Times New Roman" w:hAnsi="Times New Roman" w:cs="Times New Roman"/>
          <w:sz w:val="20"/>
          <w:szCs w:val="20"/>
          <w:lang w:bidi="ar-EG"/>
        </w:rPr>
        <w:t>y (</w:t>
      </w:r>
      <w:r w:rsidR="008D33C4" w:rsidRPr="00DA3DF4">
        <w:rPr>
          <w:rFonts w:ascii="Times New Roman" w:hAnsi="Times New Roman" w:cs="Times New Roman"/>
          <w:sz w:val="20"/>
          <w:szCs w:val="20"/>
          <w:lang w:bidi="ar-EG"/>
        </w:rPr>
        <w:t>mfERG)</w:t>
      </w:r>
      <w:r w:rsidR="00006A91" w:rsidRPr="00DA3DF4">
        <w:rPr>
          <w:rFonts w:ascii="Times New Roman" w:hAnsi="Times New Roman" w:cs="Times New Roman"/>
          <w:sz w:val="20"/>
          <w:szCs w:val="20"/>
          <w:lang w:bidi="ar-EG"/>
        </w:rPr>
        <w:t xml:space="preserve"> and best corrected visual acuit</w:t>
      </w:r>
      <w:r w:rsidR="00D846C4" w:rsidRPr="00DA3DF4">
        <w:rPr>
          <w:rFonts w:ascii="Times New Roman" w:hAnsi="Times New Roman" w:cs="Times New Roman"/>
          <w:sz w:val="20"/>
          <w:szCs w:val="20"/>
          <w:lang w:bidi="ar-EG"/>
        </w:rPr>
        <w:t>y (</w:t>
      </w:r>
      <w:r w:rsidR="008D33C4" w:rsidRPr="00DA3DF4">
        <w:rPr>
          <w:rFonts w:ascii="Times New Roman" w:hAnsi="Times New Roman" w:cs="Times New Roman"/>
          <w:sz w:val="20"/>
          <w:szCs w:val="20"/>
          <w:lang w:bidi="ar-EG"/>
        </w:rPr>
        <w:t>BCVA)</w:t>
      </w:r>
      <w:r w:rsidR="00006A91" w:rsidRPr="00DA3DF4">
        <w:rPr>
          <w:rFonts w:ascii="Times New Roman" w:hAnsi="Times New Roman" w:cs="Times New Roman"/>
          <w:sz w:val="20"/>
          <w:szCs w:val="20"/>
          <w:lang w:bidi="ar-EG"/>
        </w:rPr>
        <w:t xml:space="preserve"> in cases </w:t>
      </w:r>
      <w:r w:rsidR="001D74CD" w:rsidRPr="00DA3DF4">
        <w:rPr>
          <w:rFonts w:ascii="Times New Roman" w:hAnsi="Times New Roman" w:cs="Times New Roman"/>
          <w:sz w:val="20"/>
          <w:szCs w:val="20"/>
          <w:lang w:bidi="ar-EG"/>
        </w:rPr>
        <w:t>of</w:t>
      </w:r>
      <w:r w:rsidR="00006A91" w:rsidRPr="00DA3DF4">
        <w:rPr>
          <w:rFonts w:ascii="Times New Roman" w:hAnsi="Times New Roman" w:cs="Times New Roman"/>
          <w:sz w:val="20"/>
          <w:szCs w:val="20"/>
          <w:lang w:bidi="ar-EG"/>
        </w:rPr>
        <w:t xml:space="preserve"> neovascular age related macular degeneratio</w:t>
      </w:r>
      <w:r w:rsidR="00D846C4" w:rsidRPr="00DA3DF4">
        <w:rPr>
          <w:rFonts w:ascii="Times New Roman" w:hAnsi="Times New Roman" w:cs="Times New Roman"/>
          <w:sz w:val="20"/>
          <w:szCs w:val="20"/>
          <w:lang w:bidi="ar-EG"/>
        </w:rPr>
        <w:t>n (</w:t>
      </w:r>
      <w:r w:rsidR="008D33C4" w:rsidRPr="00DA3DF4">
        <w:rPr>
          <w:rFonts w:ascii="Times New Roman" w:hAnsi="Times New Roman" w:cs="Times New Roman"/>
          <w:sz w:val="20"/>
          <w:szCs w:val="20"/>
          <w:lang w:bidi="ar-EG"/>
        </w:rPr>
        <w:t>nvAMD)</w:t>
      </w:r>
      <w:r w:rsidR="00006A91" w:rsidRPr="00DA3DF4">
        <w:rPr>
          <w:rFonts w:ascii="Times New Roman" w:hAnsi="Times New Roman" w:cs="Times New Roman"/>
          <w:sz w:val="20"/>
          <w:szCs w:val="20"/>
          <w:lang w:bidi="ar-EG"/>
        </w:rPr>
        <w:t xml:space="preserve"> before and after intravitreal injection of Ranibazumab</w:t>
      </w:r>
      <w:r w:rsidR="004F1448" w:rsidRPr="00DA3DF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A3DF4">
        <w:rPr>
          <w:rFonts w:ascii="Times New Roman" w:hAnsi="Times New Roman" w:cs="Times New Roman"/>
          <w:b/>
          <w:bCs/>
          <w:sz w:val="20"/>
          <w:szCs w:val="20"/>
        </w:rPr>
        <w:t>P</w:t>
      </w:r>
      <w:r w:rsidR="009F5026" w:rsidRPr="00DA3DF4">
        <w:rPr>
          <w:rFonts w:ascii="Times New Roman" w:hAnsi="Times New Roman" w:cs="Times New Roman"/>
          <w:b/>
          <w:bCs/>
          <w:sz w:val="20"/>
          <w:szCs w:val="20"/>
        </w:rPr>
        <w:t>atient and methods</w:t>
      </w:r>
      <w:r w:rsidR="004F1448" w:rsidRPr="00DA3DF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A3DF4">
        <w:rPr>
          <w:rFonts w:ascii="Times New Roman" w:hAnsi="Times New Roman" w:cs="Times New Roman"/>
          <w:sz w:val="20"/>
          <w:szCs w:val="20"/>
        </w:rPr>
        <w:t>A</w:t>
      </w:r>
      <w:r w:rsidR="00656C36" w:rsidRPr="00DA3DF4">
        <w:rPr>
          <w:rFonts w:ascii="Times New Roman" w:hAnsi="Times New Roman" w:cs="Times New Roman"/>
          <w:sz w:val="20"/>
          <w:szCs w:val="20"/>
        </w:rPr>
        <w:t xml:space="preserve"> pr</w:t>
      </w:r>
      <w:r w:rsidR="00876E9E" w:rsidRPr="00DA3DF4">
        <w:rPr>
          <w:rFonts w:ascii="Times New Roman" w:hAnsi="Times New Roman" w:cs="Times New Roman"/>
          <w:sz w:val="20"/>
          <w:szCs w:val="20"/>
        </w:rPr>
        <w:t>ospective</w:t>
      </w:r>
      <w:r w:rsidR="00656C36" w:rsidRPr="00DA3DF4">
        <w:rPr>
          <w:rFonts w:ascii="Times New Roman" w:hAnsi="Times New Roman" w:cs="Times New Roman"/>
          <w:sz w:val="20"/>
          <w:szCs w:val="20"/>
        </w:rPr>
        <w:t xml:space="preserve"> study was carried out on 30 eyes of 27 patients</w:t>
      </w:r>
      <w:r w:rsidR="008D33C4" w:rsidRPr="00DA3DF4">
        <w:rPr>
          <w:rFonts w:ascii="Times New Roman" w:hAnsi="Times New Roman" w:cs="Times New Roman"/>
          <w:sz w:val="20"/>
          <w:szCs w:val="20"/>
        </w:rPr>
        <w:t xml:space="preserve"> with nvAMD</w:t>
      </w:r>
      <w:r w:rsidR="00753314" w:rsidRPr="00DA3DF4">
        <w:rPr>
          <w:rFonts w:ascii="Times New Roman" w:hAnsi="Times New Roman" w:cs="Times New Roman"/>
          <w:sz w:val="20"/>
          <w:szCs w:val="20"/>
        </w:rPr>
        <w:t xml:space="preserve"> who</w:t>
      </w:r>
      <w:r w:rsidR="00B73E81" w:rsidRPr="00DA3DF4">
        <w:rPr>
          <w:rFonts w:ascii="Times New Roman" w:hAnsi="Times New Roman" w:cs="Times New Roman"/>
          <w:sz w:val="20"/>
          <w:szCs w:val="20"/>
        </w:rPr>
        <w:t xml:space="preserve"> underwent full ophthalmological evaluation including BCVA,</w:t>
      </w:r>
      <w:r w:rsidR="009C7F02" w:rsidRPr="00DA3DF4">
        <w:rPr>
          <w:rFonts w:ascii="Times New Roman" w:hAnsi="Times New Roman" w:cs="Times New Roman"/>
          <w:sz w:val="20"/>
          <w:szCs w:val="20"/>
        </w:rPr>
        <w:t xml:space="preserve"> macular</w:t>
      </w:r>
      <w:r w:rsidR="00B73E81" w:rsidRPr="00DA3DF4">
        <w:rPr>
          <w:rFonts w:ascii="Times New Roman" w:hAnsi="Times New Roman" w:cs="Times New Roman"/>
          <w:sz w:val="20"/>
          <w:szCs w:val="20"/>
        </w:rPr>
        <w:t xml:space="preserve"> SD-OCT and mfERG. </w:t>
      </w:r>
      <w:r w:rsidR="00200936" w:rsidRPr="00DA3DF4">
        <w:rPr>
          <w:rFonts w:ascii="Times New Roman" w:hAnsi="Times New Roman" w:cs="Times New Roman"/>
          <w:sz w:val="20"/>
          <w:szCs w:val="20"/>
        </w:rPr>
        <w:t>Ellipsoid zone (</w:t>
      </w:r>
      <w:r w:rsidR="00B73E81" w:rsidRPr="00DA3DF4">
        <w:rPr>
          <w:rFonts w:ascii="Times New Roman" w:hAnsi="Times New Roman" w:cs="Times New Roman"/>
          <w:sz w:val="20"/>
          <w:szCs w:val="20"/>
        </w:rPr>
        <w:t>EZ</w:t>
      </w:r>
      <w:r w:rsidR="00200936" w:rsidRPr="00DA3DF4">
        <w:rPr>
          <w:rFonts w:ascii="Times New Roman" w:hAnsi="Times New Roman" w:cs="Times New Roman"/>
          <w:sz w:val="20"/>
          <w:szCs w:val="20"/>
        </w:rPr>
        <w:t>)</w:t>
      </w:r>
      <w:r w:rsidR="00B73E81" w:rsidRPr="00DA3DF4">
        <w:rPr>
          <w:rFonts w:ascii="Times New Roman" w:hAnsi="Times New Roman" w:cs="Times New Roman"/>
          <w:sz w:val="20"/>
          <w:szCs w:val="20"/>
        </w:rPr>
        <w:t xml:space="preserve"> was assessed at the fovea and 500µ temporal</w:t>
      </w:r>
      <w:r w:rsidR="00D846C4" w:rsidRPr="00DA3DF4">
        <w:rPr>
          <w:rFonts w:ascii="Times New Roman" w:hAnsi="Times New Roman" w:cs="Times New Roman"/>
          <w:sz w:val="20"/>
          <w:szCs w:val="20"/>
        </w:rPr>
        <w:t>,</w:t>
      </w:r>
      <w:r w:rsidR="00B73E81" w:rsidRPr="00DA3DF4">
        <w:rPr>
          <w:rFonts w:ascii="Times New Roman" w:hAnsi="Times New Roman" w:cs="Times New Roman"/>
          <w:sz w:val="20"/>
          <w:szCs w:val="20"/>
        </w:rPr>
        <w:t xml:space="preserve"> superior</w:t>
      </w:r>
      <w:r w:rsidR="00D846C4" w:rsidRPr="00DA3DF4">
        <w:rPr>
          <w:rFonts w:ascii="Times New Roman" w:hAnsi="Times New Roman" w:cs="Times New Roman"/>
          <w:sz w:val="20"/>
          <w:szCs w:val="20"/>
        </w:rPr>
        <w:t>,</w:t>
      </w:r>
      <w:r w:rsidR="00B73E81" w:rsidRPr="00DA3DF4">
        <w:rPr>
          <w:rFonts w:ascii="Times New Roman" w:hAnsi="Times New Roman" w:cs="Times New Roman"/>
          <w:sz w:val="20"/>
          <w:szCs w:val="20"/>
        </w:rPr>
        <w:t xml:space="preserve"> nasal and inferior.</w:t>
      </w:r>
      <w:r w:rsidR="00800669">
        <w:rPr>
          <w:rFonts w:ascii="Times New Roman" w:hAnsi="Times New Roman" w:cs="Times New Roman" w:hint="eastAsia"/>
          <w:sz w:val="20"/>
          <w:szCs w:val="20"/>
          <w:lang w:eastAsia="zh-CN"/>
        </w:rPr>
        <w:t xml:space="preserve"> </w:t>
      </w:r>
      <w:r w:rsidR="00F467CA" w:rsidRPr="00DA3DF4">
        <w:rPr>
          <w:rFonts w:ascii="Times New Roman" w:hAnsi="Times New Roman" w:cs="Times New Roman"/>
          <w:sz w:val="20"/>
          <w:szCs w:val="20"/>
        </w:rPr>
        <w:t>mfERG respo</w:t>
      </w:r>
      <w:r w:rsidR="00266BF3" w:rsidRPr="00DA3DF4">
        <w:rPr>
          <w:rFonts w:ascii="Times New Roman" w:hAnsi="Times New Roman" w:cs="Times New Roman"/>
          <w:sz w:val="20"/>
          <w:szCs w:val="20"/>
        </w:rPr>
        <w:t>nses were</w:t>
      </w:r>
      <w:r w:rsidR="00F467CA" w:rsidRPr="00DA3DF4">
        <w:rPr>
          <w:rFonts w:ascii="Times New Roman" w:hAnsi="Times New Roman" w:cs="Times New Roman"/>
          <w:sz w:val="20"/>
          <w:szCs w:val="20"/>
        </w:rPr>
        <w:t xml:space="preserve"> recorded in R1 and R2</w:t>
      </w:r>
      <w:r w:rsidR="006078C3" w:rsidRPr="00DA3DF4">
        <w:rPr>
          <w:rFonts w:ascii="Times New Roman" w:hAnsi="Times New Roman" w:cs="Times New Roman"/>
          <w:sz w:val="20"/>
          <w:szCs w:val="20"/>
        </w:rPr>
        <w:t xml:space="preserve">. </w:t>
      </w:r>
      <w:r w:rsidR="003F0712" w:rsidRPr="00DA3DF4">
        <w:rPr>
          <w:rFonts w:ascii="Times New Roman" w:hAnsi="Times New Roman" w:cs="Times New Roman"/>
          <w:sz w:val="20"/>
          <w:szCs w:val="20"/>
        </w:rPr>
        <w:t>BCVA, SD-OCT and mfERG were compared before and 1 month after 3 loading doses of intravitrea</w:t>
      </w:r>
      <w:r w:rsidR="004F1448" w:rsidRPr="00DA3DF4">
        <w:rPr>
          <w:rFonts w:ascii="Times New Roman" w:hAnsi="Times New Roman" w:cs="Times New Roman"/>
          <w:sz w:val="20"/>
          <w:szCs w:val="20"/>
        </w:rPr>
        <w:t>l</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R</w:t>
      </w:r>
      <w:r w:rsidR="003F0712" w:rsidRPr="00DA3DF4">
        <w:rPr>
          <w:rFonts w:ascii="Times New Roman" w:hAnsi="Times New Roman" w:cs="Times New Roman"/>
          <w:sz w:val="20"/>
          <w:szCs w:val="20"/>
        </w:rPr>
        <w:t>anibizumab injection</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b/>
          <w:bCs/>
          <w:sz w:val="20"/>
          <w:szCs w:val="20"/>
        </w:rPr>
        <w:t>R</w:t>
      </w:r>
      <w:r w:rsidR="00400AB5" w:rsidRPr="00DA3DF4">
        <w:rPr>
          <w:rFonts w:ascii="Times New Roman" w:hAnsi="Times New Roman" w:cs="Times New Roman"/>
          <w:b/>
          <w:bCs/>
          <w:sz w:val="20"/>
          <w:szCs w:val="20"/>
        </w:rPr>
        <w:t>esults</w:t>
      </w:r>
      <w:r w:rsidR="00090DA5" w:rsidRPr="00DA3DF4">
        <w:rPr>
          <w:rFonts w:ascii="Times New Roman" w:hAnsi="Times New Roman" w:cs="Times New Roman"/>
          <w:b/>
          <w:bCs/>
          <w:sz w:val="20"/>
          <w:szCs w:val="20"/>
        </w:rPr>
        <w:t>:</w:t>
      </w:r>
      <w:r w:rsidR="00A43F03" w:rsidRPr="00DA3DF4">
        <w:rPr>
          <w:rFonts w:ascii="Times New Roman" w:hAnsi="Times New Roman" w:cs="Times New Roman"/>
          <w:sz w:val="20"/>
          <w:szCs w:val="20"/>
          <w:lang w:bidi="ar-EG"/>
        </w:rPr>
        <w:t xml:space="preserve"> BCVA improvement and EZ restoration</w:t>
      </w:r>
      <w:r w:rsidR="00DE4226" w:rsidRPr="00DA3DF4">
        <w:rPr>
          <w:rFonts w:ascii="Times New Roman" w:hAnsi="Times New Roman" w:cs="Times New Roman"/>
          <w:sz w:val="20"/>
          <w:szCs w:val="20"/>
          <w:lang w:bidi="ar-EG"/>
        </w:rPr>
        <w:t xml:space="preserve"> were positively correlated but not statistically significant.</w:t>
      </w:r>
      <w:r w:rsidR="00B8125D" w:rsidRPr="00DA3DF4">
        <w:rPr>
          <w:rFonts w:ascii="Times New Roman" w:hAnsi="Times New Roman" w:cs="Times New Roman"/>
          <w:sz w:val="20"/>
          <w:szCs w:val="20"/>
          <w:lang w:bidi="ar-EG"/>
        </w:rPr>
        <w:t xml:space="preserve"> I</w:t>
      </w:r>
      <w:r w:rsidR="00FA7AF9" w:rsidRPr="00DA3DF4">
        <w:rPr>
          <w:rFonts w:ascii="Times New Roman" w:hAnsi="Times New Roman" w:cs="Times New Roman"/>
          <w:sz w:val="20"/>
          <w:szCs w:val="20"/>
          <w:lang w:bidi="ar-EG"/>
        </w:rPr>
        <w:t>mprovement</w:t>
      </w:r>
      <w:r w:rsidR="00B8125D" w:rsidRPr="00DA3DF4">
        <w:rPr>
          <w:rFonts w:ascii="Times New Roman" w:hAnsi="Times New Roman" w:cs="Times New Roman"/>
          <w:sz w:val="20"/>
          <w:szCs w:val="20"/>
          <w:lang w:bidi="ar-EG"/>
        </w:rPr>
        <w:t xml:space="preserve"> of BCVA</w:t>
      </w:r>
      <w:r w:rsidR="00800669">
        <w:rPr>
          <w:rFonts w:ascii="Times New Roman" w:hAnsi="Times New Roman" w:cs="Times New Roman" w:hint="eastAsia"/>
          <w:sz w:val="20"/>
          <w:szCs w:val="20"/>
          <w:lang w:eastAsia="zh-CN" w:bidi="ar-EG"/>
        </w:rPr>
        <w:t xml:space="preserve"> </w:t>
      </w:r>
      <w:r w:rsidR="008A5529" w:rsidRPr="00DA3DF4">
        <w:rPr>
          <w:rFonts w:ascii="Times New Roman" w:hAnsi="Times New Roman" w:cs="Times New Roman"/>
          <w:sz w:val="20"/>
          <w:szCs w:val="20"/>
          <w:lang w:bidi="ar-EG"/>
        </w:rPr>
        <w:t>was</w:t>
      </w:r>
      <w:r w:rsidR="00800669">
        <w:rPr>
          <w:rFonts w:ascii="Times New Roman" w:hAnsi="Times New Roman" w:cs="Times New Roman" w:hint="eastAsia"/>
          <w:sz w:val="20"/>
          <w:szCs w:val="20"/>
          <w:lang w:eastAsia="zh-CN" w:bidi="ar-EG"/>
        </w:rPr>
        <w:t xml:space="preserve"> </w:t>
      </w:r>
      <w:r w:rsidR="008A5529" w:rsidRPr="00DA3DF4">
        <w:rPr>
          <w:rFonts w:ascii="Times New Roman" w:hAnsi="Times New Roman" w:cs="Times New Roman"/>
          <w:sz w:val="20"/>
          <w:szCs w:val="20"/>
          <w:lang w:bidi="ar-EG"/>
        </w:rPr>
        <w:t>correlated with</w:t>
      </w:r>
      <w:r w:rsidR="00800669">
        <w:rPr>
          <w:rFonts w:ascii="Times New Roman" w:hAnsi="Times New Roman" w:cs="Times New Roman" w:hint="eastAsia"/>
          <w:sz w:val="20"/>
          <w:szCs w:val="20"/>
          <w:lang w:eastAsia="zh-CN" w:bidi="ar-EG"/>
        </w:rPr>
        <w:t xml:space="preserve"> </w:t>
      </w:r>
      <w:r w:rsidR="00670C57" w:rsidRPr="00DA3DF4">
        <w:rPr>
          <w:rFonts w:ascii="Times New Roman" w:hAnsi="Times New Roman" w:cs="Times New Roman"/>
          <w:sz w:val="20"/>
          <w:szCs w:val="20"/>
          <w:lang w:bidi="ar-EG"/>
        </w:rPr>
        <w:t xml:space="preserve">the </w:t>
      </w:r>
      <w:r w:rsidR="00FA7AF9" w:rsidRPr="00DA3DF4">
        <w:rPr>
          <w:rFonts w:ascii="Times New Roman" w:hAnsi="Times New Roman" w:cs="Times New Roman"/>
          <w:sz w:val="20"/>
          <w:szCs w:val="20"/>
          <w:lang w:bidi="ar-EG"/>
        </w:rPr>
        <w:t>improvement in</w:t>
      </w:r>
      <w:r w:rsidR="00D846C4" w:rsidRPr="00DA3DF4">
        <w:rPr>
          <w:rFonts w:ascii="Times New Roman" w:hAnsi="Times New Roman" w:cs="Times New Roman"/>
          <w:sz w:val="20"/>
          <w:szCs w:val="20"/>
          <w:lang w:bidi="ar-EG"/>
        </w:rPr>
        <w:t xml:space="preserve"> </w:t>
      </w:r>
      <w:r w:rsidR="001A3BF0" w:rsidRPr="00DA3DF4">
        <w:rPr>
          <w:rFonts w:ascii="Times New Roman" w:hAnsi="Times New Roman" w:cs="Times New Roman"/>
          <w:sz w:val="20"/>
          <w:szCs w:val="20"/>
          <w:lang w:bidi="ar-EG"/>
        </w:rPr>
        <w:t>P1 respo</w:t>
      </w:r>
      <w:r w:rsidR="008A5529" w:rsidRPr="00DA3DF4">
        <w:rPr>
          <w:rFonts w:ascii="Times New Roman" w:hAnsi="Times New Roman" w:cs="Times New Roman"/>
          <w:sz w:val="20"/>
          <w:szCs w:val="20"/>
          <w:lang w:bidi="ar-EG"/>
        </w:rPr>
        <w:t xml:space="preserve">nse density and </w:t>
      </w:r>
      <w:r w:rsidR="001A3BF0" w:rsidRPr="00DA3DF4">
        <w:rPr>
          <w:rFonts w:ascii="Times New Roman" w:hAnsi="Times New Roman" w:cs="Times New Roman"/>
          <w:sz w:val="20"/>
          <w:szCs w:val="20"/>
          <w:lang w:bidi="ar-EG"/>
        </w:rPr>
        <w:t>Avg P1+P2 amplitude in R1+R2</w:t>
      </w:r>
      <w:r w:rsidR="004F1448" w:rsidRPr="00DA3DF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A3DF4">
        <w:rPr>
          <w:rFonts w:ascii="Times New Roman" w:hAnsi="Times New Roman" w:cs="Times New Roman"/>
          <w:sz w:val="20"/>
          <w:szCs w:val="20"/>
          <w:lang w:bidi="ar-EG"/>
        </w:rPr>
        <w:t>E</w:t>
      </w:r>
      <w:r w:rsidR="00A53910" w:rsidRPr="00DA3DF4">
        <w:rPr>
          <w:rFonts w:ascii="Times New Roman" w:hAnsi="Times New Roman" w:cs="Times New Roman"/>
          <w:sz w:val="20"/>
          <w:szCs w:val="20"/>
          <w:lang w:bidi="ar-EG"/>
        </w:rPr>
        <w:t>Z</w:t>
      </w:r>
      <w:r w:rsidR="00D846C4" w:rsidRPr="00DA3DF4">
        <w:rPr>
          <w:rFonts w:ascii="Times New Roman" w:hAnsi="Times New Roman" w:cs="Times New Roman"/>
          <w:sz w:val="20"/>
          <w:szCs w:val="20"/>
          <w:lang w:bidi="ar-EG"/>
        </w:rPr>
        <w:t xml:space="preserve"> </w:t>
      </w:r>
      <w:r w:rsidR="00531434" w:rsidRPr="00DA3DF4">
        <w:rPr>
          <w:rFonts w:ascii="Times New Roman" w:hAnsi="Times New Roman" w:cs="Times New Roman"/>
          <w:sz w:val="20"/>
          <w:szCs w:val="20"/>
          <w:lang w:bidi="ar-EG"/>
        </w:rPr>
        <w:t>restoration was associated with increased</w:t>
      </w:r>
      <w:r w:rsidR="00D846C4" w:rsidRPr="00DA3DF4">
        <w:rPr>
          <w:rFonts w:ascii="Times New Roman" w:hAnsi="Times New Roman" w:cs="Times New Roman"/>
          <w:sz w:val="20"/>
          <w:szCs w:val="20"/>
          <w:lang w:bidi="ar-EG"/>
        </w:rPr>
        <w:t xml:space="preserve"> </w:t>
      </w:r>
      <w:r w:rsidR="00A53910" w:rsidRPr="00DA3DF4">
        <w:rPr>
          <w:rFonts w:ascii="Times New Roman" w:hAnsi="Times New Roman" w:cs="Times New Roman"/>
          <w:sz w:val="20"/>
          <w:szCs w:val="20"/>
          <w:lang w:bidi="ar-EG"/>
        </w:rPr>
        <w:t>N1 amplitude in R1 and with</w:t>
      </w:r>
      <w:r w:rsidR="00CB1012" w:rsidRPr="00DA3DF4">
        <w:rPr>
          <w:rFonts w:ascii="Times New Roman" w:hAnsi="Times New Roman" w:cs="Times New Roman"/>
          <w:sz w:val="20"/>
          <w:szCs w:val="20"/>
          <w:lang w:bidi="ar-EG"/>
        </w:rPr>
        <w:t xml:space="preserve"> increased</w:t>
      </w:r>
      <w:r w:rsidR="00A53910" w:rsidRPr="00DA3DF4">
        <w:rPr>
          <w:rFonts w:ascii="Times New Roman" w:hAnsi="Times New Roman" w:cs="Times New Roman"/>
          <w:sz w:val="20"/>
          <w:szCs w:val="20"/>
          <w:lang w:bidi="ar-EG"/>
        </w:rPr>
        <w:t xml:space="preserve"> Avg P1+P2 amplitude.</w:t>
      </w:r>
      <w:r w:rsidR="006B730B" w:rsidRPr="00DA3DF4">
        <w:rPr>
          <w:rFonts w:ascii="Times New Roman" w:hAnsi="Times New Roman" w:cs="Times New Roman"/>
          <w:sz w:val="20"/>
          <w:szCs w:val="20"/>
          <w:lang w:bidi="ar-EG"/>
        </w:rPr>
        <w:t xml:space="preserve"> BCVA and EZ were not correlated with P1 amplitude or P1 latency. </w:t>
      </w:r>
      <w:r w:rsidR="001E4F2B" w:rsidRPr="00DA3DF4">
        <w:rPr>
          <w:rFonts w:ascii="Times New Roman" w:hAnsi="Times New Roman" w:cs="Times New Roman"/>
          <w:b/>
          <w:bCs/>
          <w:sz w:val="20"/>
          <w:szCs w:val="20"/>
        </w:rPr>
        <w:t>Conclusion</w:t>
      </w:r>
      <w:r w:rsidR="00090DA5" w:rsidRPr="00DA3DF4">
        <w:rPr>
          <w:rFonts w:ascii="Times New Roman" w:hAnsi="Times New Roman" w:cs="Times New Roman"/>
          <w:sz w:val="20"/>
          <w:szCs w:val="20"/>
        </w:rPr>
        <w:t xml:space="preserve">: </w:t>
      </w:r>
      <w:r w:rsidR="00C27DC2" w:rsidRPr="00DA3DF4">
        <w:rPr>
          <w:rFonts w:ascii="Times New Roman" w:hAnsi="Times New Roman" w:cs="Times New Roman"/>
          <w:sz w:val="20"/>
          <w:szCs w:val="20"/>
        </w:rPr>
        <w:t>mfERG is an objective test that has the potential to be used in the</w:t>
      </w:r>
      <w:r w:rsidR="00D846C4" w:rsidRPr="00DA3DF4">
        <w:rPr>
          <w:rFonts w:ascii="Times New Roman" w:hAnsi="Times New Roman" w:cs="Times New Roman"/>
          <w:sz w:val="20"/>
          <w:szCs w:val="20"/>
        </w:rPr>
        <w:t xml:space="preserve"> </w:t>
      </w:r>
      <w:r w:rsidR="00C27DC2" w:rsidRPr="00DA3DF4">
        <w:rPr>
          <w:rFonts w:ascii="Times New Roman" w:hAnsi="Times New Roman" w:cs="Times New Roman"/>
          <w:sz w:val="20"/>
          <w:szCs w:val="20"/>
        </w:rPr>
        <w:t>follow up of nvAMD cases after Ranibizumab injection</w:t>
      </w:r>
      <w:r w:rsidR="0036021F" w:rsidRPr="00DA3DF4">
        <w:rPr>
          <w:rFonts w:ascii="Times New Roman" w:hAnsi="Times New Roman" w:cs="Times New Roman"/>
          <w:sz w:val="20"/>
          <w:szCs w:val="20"/>
        </w:rPr>
        <w:t>.</w:t>
      </w:r>
    </w:p>
    <w:p w:rsidR="004F1448" w:rsidRDefault="00072C1F" w:rsidP="00072C1F">
      <w:pPr>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sz w:val="20"/>
          <w:szCs w:val="20"/>
          <w:lang w:eastAsia="zh-CN"/>
        </w:rPr>
        <w:t>[</w:t>
      </w:r>
      <w:r w:rsidR="00090DA5" w:rsidRPr="00DA3DF4">
        <w:rPr>
          <w:rFonts w:ascii="Times New Roman" w:hAnsi="Times New Roman" w:cs="Times New Roman"/>
          <w:sz w:val="20"/>
          <w:szCs w:val="20"/>
        </w:rPr>
        <w:t>Mai Barakat Al Helaly</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T</w:t>
      </w:r>
      <w:r w:rsidR="00090DA5" w:rsidRPr="00DA3DF4">
        <w:rPr>
          <w:rFonts w:ascii="Times New Roman" w:hAnsi="Times New Roman" w:cs="Times New Roman"/>
          <w:sz w:val="20"/>
          <w:szCs w:val="20"/>
        </w:rPr>
        <w:t>amer El-Saye</w:t>
      </w:r>
      <w:r w:rsidR="004F1448" w:rsidRPr="00DA3DF4">
        <w:rPr>
          <w:rFonts w:ascii="Times New Roman" w:hAnsi="Times New Roman" w:cs="Times New Roman"/>
          <w:sz w:val="20"/>
          <w:szCs w:val="20"/>
        </w:rPr>
        <w:t>d</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W</w:t>
      </w:r>
      <w:r w:rsidR="00090DA5" w:rsidRPr="00DA3DF4">
        <w:rPr>
          <w:rFonts w:ascii="Times New Roman" w:hAnsi="Times New Roman" w:cs="Times New Roman"/>
          <w:sz w:val="20"/>
          <w:szCs w:val="20"/>
        </w:rPr>
        <w:t>asfy</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M</w:t>
      </w:r>
      <w:r w:rsidR="00090DA5" w:rsidRPr="00DA3DF4">
        <w:rPr>
          <w:rFonts w:ascii="Times New Roman" w:hAnsi="Times New Roman" w:cs="Times New Roman"/>
          <w:sz w:val="20"/>
          <w:szCs w:val="20"/>
        </w:rPr>
        <w:t>agdy Salah Moussa</w:t>
      </w:r>
      <w:r w:rsidR="004F1448" w:rsidRPr="00DA3DF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Y</w:t>
      </w:r>
      <w:r w:rsidR="00090DA5" w:rsidRPr="00DA3DF4">
        <w:rPr>
          <w:rFonts w:ascii="Times New Roman" w:hAnsi="Times New Roman" w:cs="Times New Roman"/>
          <w:sz w:val="20"/>
          <w:szCs w:val="20"/>
        </w:rPr>
        <w:t>asser Raga</w:t>
      </w:r>
      <w:r w:rsidR="004F1448" w:rsidRPr="00DA3DF4">
        <w:rPr>
          <w:rFonts w:ascii="Times New Roman" w:hAnsi="Times New Roman" w:cs="Times New Roman"/>
          <w:sz w:val="20"/>
          <w:szCs w:val="20"/>
        </w:rPr>
        <w:t>b</w:t>
      </w:r>
      <w:r w:rsidR="004F1448">
        <w:rPr>
          <w:rFonts w:ascii="Times New Roman" w:hAnsi="Times New Roman" w:cs="Times New Roman"/>
          <w:sz w:val="20"/>
          <w:szCs w:val="20"/>
        </w:rPr>
        <w:t xml:space="preserve"> </w:t>
      </w:r>
      <w:r w:rsidR="004F1448" w:rsidRPr="00DA3DF4">
        <w:rPr>
          <w:rFonts w:ascii="Times New Roman" w:hAnsi="Times New Roman" w:cs="Times New Roman"/>
          <w:sz w:val="20"/>
          <w:szCs w:val="20"/>
        </w:rPr>
        <w:t>S</w:t>
      </w:r>
      <w:r w:rsidR="00090DA5" w:rsidRPr="00DA3DF4">
        <w:rPr>
          <w:rFonts w:ascii="Times New Roman" w:hAnsi="Times New Roman" w:cs="Times New Roman"/>
          <w:sz w:val="20"/>
          <w:szCs w:val="20"/>
        </w:rPr>
        <w:t>erag</w:t>
      </w:r>
      <w:r>
        <w:rPr>
          <w:rFonts w:ascii="Times New Roman" w:hAnsi="Times New Roman" w:cs="Times New Roman" w:hint="eastAsia"/>
          <w:sz w:val="20"/>
          <w:szCs w:val="20"/>
          <w:lang w:eastAsia="zh-CN"/>
        </w:rPr>
        <w:t xml:space="preserve">. </w:t>
      </w:r>
      <w:r w:rsidR="00090DA5" w:rsidRPr="00DA3DF4">
        <w:rPr>
          <w:rFonts w:ascii="Times New Roman" w:hAnsi="Times New Roman" w:cs="Times New Roman"/>
          <w:b/>
          <w:bCs/>
          <w:sz w:val="20"/>
          <w:szCs w:val="20"/>
        </w:rPr>
        <w:t>Functional and Structural Correlation in Wet Age Related Macular Degeneration after Ranibizumab Injection</w:t>
      </w:r>
      <w:r>
        <w:rPr>
          <w:rFonts w:ascii="Times New Roman" w:hAnsi="Times New Roman" w:cs="Times New Roman" w:hint="eastAsia"/>
          <w:b/>
          <w:bCs/>
          <w:sz w:val="20"/>
          <w:szCs w:val="20"/>
          <w:lang w:eastAsia="zh-CN"/>
        </w:rPr>
        <w:t xml:space="preserve">. </w:t>
      </w:r>
      <w:bookmarkEnd w:id="0"/>
      <w:r w:rsidR="00DA3DF4" w:rsidRPr="00DA3DF4">
        <w:rPr>
          <w:rFonts w:ascii="Times New Roman" w:hAnsi="Times New Roman" w:cs="Times New Roman"/>
          <w:bCs/>
          <w:i/>
          <w:sz w:val="20"/>
          <w:szCs w:val="20"/>
        </w:rPr>
        <w:t>N Y Sci J</w:t>
      </w:r>
      <w:r w:rsidR="00DA3DF4" w:rsidRPr="00DA3DF4">
        <w:rPr>
          <w:rFonts w:ascii="Times New Roman" w:hAnsi="Times New Roman" w:cs="Times New Roman"/>
          <w:bCs/>
          <w:sz w:val="20"/>
          <w:szCs w:val="20"/>
        </w:rPr>
        <w:t xml:space="preserve"> </w:t>
      </w:r>
      <w:r w:rsidR="00DA3DF4" w:rsidRPr="00DA3DF4">
        <w:rPr>
          <w:rFonts w:ascii="Times New Roman" w:hAnsi="Times New Roman" w:cs="Times New Roman"/>
          <w:sz w:val="20"/>
          <w:szCs w:val="20"/>
        </w:rPr>
        <w:t>20</w:t>
      </w:r>
      <w:r w:rsidR="00DA3DF4" w:rsidRPr="00DA3DF4">
        <w:rPr>
          <w:rFonts w:ascii="Times New Roman" w:hAnsi="Times New Roman" w:cs="Times New Roman" w:hint="eastAsia"/>
          <w:sz w:val="20"/>
          <w:szCs w:val="20"/>
        </w:rPr>
        <w:t>20</w:t>
      </w:r>
      <w:r w:rsidR="00DA3DF4" w:rsidRPr="00DA3DF4">
        <w:rPr>
          <w:rFonts w:ascii="Times New Roman" w:hAnsi="Times New Roman" w:cs="Times New Roman"/>
          <w:sz w:val="20"/>
          <w:szCs w:val="20"/>
        </w:rPr>
        <w:t>;</w:t>
      </w:r>
      <w:r w:rsidR="00DA3DF4" w:rsidRPr="00DA3DF4">
        <w:rPr>
          <w:rFonts w:ascii="Times New Roman" w:hAnsi="Times New Roman" w:cs="Times New Roman" w:hint="eastAsia"/>
          <w:sz w:val="20"/>
          <w:szCs w:val="20"/>
        </w:rPr>
        <w:t>13</w:t>
      </w:r>
      <w:r w:rsidR="00DA3DF4" w:rsidRPr="00DA3DF4">
        <w:rPr>
          <w:rFonts w:ascii="Times New Roman" w:hAnsi="Times New Roman" w:cs="Times New Roman"/>
          <w:sz w:val="20"/>
          <w:szCs w:val="20"/>
        </w:rPr>
        <w:t>(</w:t>
      </w:r>
      <w:r w:rsidR="00DA3DF4" w:rsidRPr="00DA3DF4">
        <w:rPr>
          <w:rFonts w:ascii="Times New Roman" w:hAnsi="Times New Roman" w:cs="Times New Roman" w:hint="eastAsia"/>
          <w:sz w:val="20"/>
          <w:szCs w:val="20"/>
        </w:rPr>
        <w:t>1</w:t>
      </w:r>
      <w:r w:rsidR="00DA3DF4" w:rsidRPr="00DA3DF4">
        <w:rPr>
          <w:rFonts w:ascii="Times New Roman" w:hAnsi="Times New Roman" w:cs="Times New Roman"/>
          <w:sz w:val="20"/>
          <w:szCs w:val="20"/>
        </w:rPr>
        <w:t>):</w:t>
      </w:r>
      <w:r w:rsidR="00F02740">
        <w:rPr>
          <w:rFonts w:ascii="Times New Roman" w:hAnsi="Times New Roman" w:cs="Times New Roman"/>
          <w:noProof/>
          <w:color w:val="000000"/>
          <w:sz w:val="20"/>
          <w:szCs w:val="20"/>
        </w:rPr>
        <w:t>74-79</w:t>
      </w:r>
      <w:r w:rsidR="00DA3DF4" w:rsidRPr="00DA3DF4">
        <w:rPr>
          <w:rFonts w:ascii="Times New Roman" w:hAnsi="Times New Roman" w:cs="Times New Roman"/>
          <w:sz w:val="20"/>
          <w:szCs w:val="20"/>
        </w:rPr>
        <w:t xml:space="preserve">]. </w:t>
      </w:r>
      <w:r w:rsidR="00DA3DF4" w:rsidRPr="00DA3DF4">
        <w:rPr>
          <w:rFonts w:ascii="Times New Roman" w:hAnsi="Times New Roman" w:cs="Times New Roman"/>
          <w:iCs/>
          <w:color w:val="000000"/>
          <w:sz w:val="20"/>
          <w:szCs w:val="20"/>
        </w:rPr>
        <w:t>ISSN 1554-0200 (print); ISSN 2375-723X (online)</w:t>
      </w:r>
      <w:r w:rsidR="00DA3DF4" w:rsidRPr="00DA3DF4">
        <w:rPr>
          <w:rFonts w:ascii="Times New Roman" w:hAnsi="Times New Roman" w:cs="Times New Roman"/>
          <w:sz w:val="20"/>
          <w:szCs w:val="20"/>
        </w:rPr>
        <w:t xml:space="preserve">. </w:t>
      </w:r>
      <w:hyperlink r:id="rId7" w:history="1">
        <w:r w:rsidR="00DA3DF4" w:rsidRPr="00DA3DF4">
          <w:rPr>
            <w:rStyle w:val="Hyperlink"/>
            <w:rFonts w:ascii="Times New Roman" w:hAnsi="Times New Roman" w:cs="Times New Roman"/>
            <w:color w:val="0000FF"/>
            <w:sz w:val="20"/>
            <w:szCs w:val="20"/>
          </w:rPr>
          <w:t>http://www.sciencepub.net/newyork</w:t>
        </w:r>
      </w:hyperlink>
      <w:r w:rsidR="00DA3DF4" w:rsidRPr="00DA3DF4">
        <w:rPr>
          <w:rFonts w:ascii="Times New Roman" w:hAnsi="Times New Roman" w:cs="Times New Roman"/>
          <w:sz w:val="20"/>
          <w:szCs w:val="20"/>
        </w:rPr>
        <w:t xml:space="preserve">. </w:t>
      </w:r>
      <w:r>
        <w:rPr>
          <w:rFonts w:ascii="Times New Roman" w:hAnsi="Times New Roman" w:cs="Times New Roman" w:hint="eastAsia"/>
          <w:sz w:val="20"/>
          <w:szCs w:val="20"/>
          <w:lang w:eastAsia="zh-CN"/>
        </w:rPr>
        <w:t>10</w:t>
      </w:r>
      <w:r w:rsidR="00DA3DF4" w:rsidRPr="00DA3DF4">
        <w:rPr>
          <w:rFonts w:ascii="Times New Roman" w:hAnsi="Times New Roman" w:cs="Times New Roman" w:hint="eastAsia"/>
          <w:sz w:val="20"/>
          <w:szCs w:val="20"/>
        </w:rPr>
        <w:t xml:space="preserve">. </w:t>
      </w:r>
      <w:r w:rsidR="00DA3DF4" w:rsidRPr="00DA3DF4">
        <w:rPr>
          <w:rFonts w:ascii="Times New Roman" w:hAnsi="Times New Roman" w:cs="Times New Roman"/>
          <w:color w:val="000000"/>
          <w:sz w:val="20"/>
          <w:szCs w:val="20"/>
          <w:shd w:val="clear" w:color="auto" w:fill="FFFFFF"/>
        </w:rPr>
        <w:t>doi:</w:t>
      </w:r>
      <w:hyperlink r:id="rId8" w:history="1">
        <w:r w:rsidR="00DA3DF4" w:rsidRPr="00DA3DF4">
          <w:rPr>
            <w:rStyle w:val="Hyperlink"/>
            <w:rFonts w:ascii="Times New Roman" w:hAnsi="Times New Roman" w:cs="Times New Roman"/>
            <w:color w:val="0000FF"/>
            <w:sz w:val="20"/>
            <w:szCs w:val="20"/>
            <w:shd w:val="clear" w:color="auto" w:fill="FFFFFF"/>
          </w:rPr>
          <w:t>10.7537/mars</w:t>
        </w:r>
        <w:r w:rsidR="00DA3DF4" w:rsidRPr="00DA3DF4">
          <w:rPr>
            <w:rStyle w:val="Hyperlink"/>
            <w:rFonts w:ascii="Times New Roman" w:hAnsi="Times New Roman" w:cs="Times New Roman" w:hint="eastAsia"/>
            <w:color w:val="0000FF"/>
            <w:sz w:val="20"/>
            <w:szCs w:val="20"/>
            <w:shd w:val="clear" w:color="auto" w:fill="FFFFFF"/>
          </w:rPr>
          <w:t>nys130120.</w:t>
        </w:r>
        <w:r>
          <w:rPr>
            <w:rStyle w:val="Hyperlink"/>
            <w:rFonts w:ascii="Times New Roman" w:hAnsi="Times New Roman" w:cs="Times New Roman" w:hint="eastAsia"/>
            <w:color w:val="0000FF"/>
            <w:sz w:val="20"/>
            <w:szCs w:val="20"/>
            <w:shd w:val="clear" w:color="auto" w:fill="FFFFFF"/>
            <w:lang w:eastAsia="zh-CN"/>
          </w:rPr>
          <w:t>1</w:t>
        </w:r>
        <w:r w:rsidR="00DA3DF4" w:rsidRPr="00DA3DF4">
          <w:rPr>
            <w:rStyle w:val="Hyperlink"/>
            <w:rFonts w:ascii="Times New Roman" w:hAnsi="Times New Roman" w:cs="Times New Roman"/>
            <w:color w:val="0000FF"/>
            <w:sz w:val="20"/>
            <w:szCs w:val="20"/>
            <w:shd w:val="clear" w:color="auto" w:fill="FFFFFF"/>
          </w:rPr>
          <w:t>0</w:t>
        </w:r>
      </w:hyperlink>
      <w:r w:rsidR="00DA3DF4" w:rsidRPr="00DA3DF4">
        <w:rPr>
          <w:rFonts w:ascii="Times New Roman" w:hAnsi="Times New Roman" w:cs="Times New Roman"/>
          <w:color w:val="000000"/>
          <w:sz w:val="20"/>
          <w:szCs w:val="20"/>
          <w:shd w:val="clear" w:color="auto" w:fill="FFFFFF"/>
        </w:rPr>
        <w:t>.</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D71E30" w:rsidP="00DA3DF4">
      <w:pPr>
        <w:snapToGrid w:val="0"/>
        <w:spacing w:after="0" w:line="240" w:lineRule="auto"/>
        <w:jc w:val="both"/>
        <w:rPr>
          <w:rFonts w:ascii="Times New Roman" w:hAnsi="Times New Roman" w:cs="Times New Roman"/>
          <w:sz w:val="20"/>
          <w:szCs w:val="20"/>
        </w:rPr>
      </w:pPr>
      <w:r w:rsidRPr="00D846C4">
        <w:rPr>
          <w:rFonts w:ascii="Times New Roman" w:hAnsi="Times New Roman" w:cs="Times New Roman"/>
          <w:b/>
          <w:bCs/>
          <w:sz w:val="20"/>
          <w:szCs w:val="20"/>
        </w:rPr>
        <w:t>Key words</w:t>
      </w:r>
      <w:r w:rsidR="004F1448" w:rsidRPr="00D846C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846C4">
        <w:rPr>
          <w:rFonts w:ascii="Times New Roman" w:hAnsi="Times New Roman" w:cs="Times New Roman"/>
          <w:sz w:val="20"/>
          <w:szCs w:val="20"/>
          <w:lang w:bidi="ar-EG"/>
        </w:rPr>
        <w:t>n</w:t>
      </w:r>
      <w:r w:rsidR="00AF6E0C" w:rsidRPr="00D846C4">
        <w:rPr>
          <w:rFonts w:ascii="Times New Roman" w:hAnsi="Times New Roman" w:cs="Times New Roman"/>
          <w:sz w:val="20"/>
          <w:szCs w:val="20"/>
          <w:lang w:bidi="ar-EG"/>
        </w:rPr>
        <w:t>eovascular age related macular degeneration</w:t>
      </w:r>
      <w:r w:rsidR="00B64CFA" w:rsidRPr="00D846C4">
        <w:rPr>
          <w:rFonts w:ascii="Times New Roman" w:hAnsi="Times New Roman" w:cs="Times New Roman"/>
          <w:sz w:val="20"/>
          <w:szCs w:val="20"/>
        </w:rPr>
        <w:t>,</w:t>
      </w:r>
      <w:r w:rsidR="006655B7" w:rsidRPr="00D846C4">
        <w:rPr>
          <w:rFonts w:ascii="Times New Roman" w:hAnsi="Times New Roman" w:cs="Times New Roman"/>
          <w:sz w:val="20"/>
          <w:szCs w:val="20"/>
        </w:rPr>
        <w:t xml:space="preserve"> Ellipsoid zone, mfERG, BCVA</w:t>
      </w:r>
    </w:p>
    <w:p w:rsidR="004F1448" w:rsidRPr="00F02740" w:rsidRDefault="004F1448" w:rsidP="00DA3DF4">
      <w:pPr>
        <w:snapToGrid w:val="0"/>
        <w:spacing w:after="0" w:line="240" w:lineRule="auto"/>
        <w:ind w:firstLine="425"/>
        <w:jc w:val="both"/>
        <w:rPr>
          <w:rFonts w:ascii="Times New Roman" w:hAnsi="Times New Roman" w:cs="Times New Roman"/>
        </w:rPr>
      </w:pPr>
    </w:p>
    <w:p w:rsidR="00072C1F" w:rsidRDefault="00072C1F" w:rsidP="00072C1F">
      <w:pPr>
        <w:snapToGrid w:val="0"/>
        <w:spacing w:after="0" w:line="240" w:lineRule="auto"/>
        <w:jc w:val="both"/>
        <w:rPr>
          <w:rFonts w:ascii="Times New Roman" w:hAnsi="Times New Roman" w:cs="Times New Roman"/>
          <w:b/>
          <w:sz w:val="20"/>
          <w:szCs w:val="20"/>
        </w:rPr>
        <w:sectPr w:rsidR="00072C1F" w:rsidSect="00F02740">
          <w:headerReference w:type="default" r:id="rId9"/>
          <w:footerReference w:type="default" r:id="rId10"/>
          <w:type w:val="continuous"/>
          <w:pgSz w:w="12240" w:h="15840"/>
          <w:pgMar w:top="1440" w:right="1440" w:bottom="1440" w:left="1440" w:header="720" w:footer="720" w:gutter="0"/>
          <w:pgNumType w:start="74"/>
          <w:cols w:space="720"/>
          <w:bidi/>
          <w:rtlGutter/>
          <w:docGrid w:linePitch="360"/>
        </w:sectPr>
      </w:pPr>
    </w:p>
    <w:p w:rsidR="004F1448" w:rsidRDefault="00090DA5" w:rsidP="00072C1F">
      <w:pPr>
        <w:snapToGrid w:val="0"/>
        <w:spacing w:after="0" w:line="240" w:lineRule="auto"/>
        <w:jc w:val="both"/>
        <w:rPr>
          <w:rFonts w:ascii="Times New Roman" w:hAnsi="Times New Roman" w:cs="Times New Roman"/>
          <w:b/>
          <w:bCs/>
          <w:sz w:val="20"/>
          <w:szCs w:val="20"/>
        </w:rPr>
      </w:pPr>
      <w:r w:rsidRPr="00072C1F">
        <w:rPr>
          <w:rFonts w:ascii="Times New Roman" w:hAnsi="Times New Roman" w:cs="Times New Roman"/>
          <w:b/>
          <w:sz w:val="20"/>
          <w:szCs w:val="20"/>
        </w:rPr>
        <w:lastRenderedPageBreak/>
        <w:t xml:space="preserve">1. </w:t>
      </w:r>
      <w:r w:rsidR="00846BF6" w:rsidRPr="00D846C4">
        <w:rPr>
          <w:rFonts w:ascii="Times New Roman" w:hAnsi="Times New Roman" w:cs="Times New Roman"/>
          <w:b/>
          <w:bCs/>
          <w:sz w:val="20"/>
          <w:szCs w:val="20"/>
        </w:rPr>
        <w:t xml:space="preserve">Introduction </w:t>
      </w:r>
    </w:p>
    <w:p w:rsidR="004F1448" w:rsidRDefault="000D3868" w:rsidP="00DA3DF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Age-related macular degeneration (AMD) is a degenerative disorder affecting the macula</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I</w:t>
      </w:r>
      <w:r w:rsidRPr="00D846C4">
        <w:rPr>
          <w:rFonts w:ascii="Times New Roman" w:hAnsi="Times New Roman" w:cs="Times New Roman"/>
          <w:sz w:val="20"/>
          <w:szCs w:val="20"/>
        </w:rPr>
        <w:t>t was estimated that nearly 3 million people in the United States will suffer from AMD by 2020.</w:t>
      </w:r>
      <w:r w:rsidR="0096696A" w:rsidRPr="00D846C4">
        <w:rPr>
          <w:rFonts w:ascii="Times New Roman" w:hAnsi="Times New Roman" w:cs="Times New Roman"/>
          <w:sz w:val="20"/>
          <w:szCs w:val="20"/>
        </w:rPr>
        <w:t xml:space="preserve"> AMD is classified into</w:t>
      </w:r>
      <w:r w:rsidR="00D846C4" w:rsidRPr="00D846C4">
        <w:rPr>
          <w:rFonts w:ascii="Times New Roman" w:hAnsi="Times New Roman" w:cs="Times New Roman"/>
          <w:sz w:val="20"/>
          <w:szCs w:val="20"/>
        </w:rPr>
        <w:t xml:space="preserve"> </w:t>
      </w:r>
      <w:r w:rsidR="0096696A" w:rsidRPr="00D846C4">
        <w:rPr>
          <w:rFonts w:ascii="Times New Roman" w:hAnsi="Times New Roman" w:cs="Times New Roman"/>
          <w:sz w:val="20"/>
          <w:szCs w:val="20"/>
        </w:rPr>
        <w:t>two general subgroups:</w:t>
      </w:r>
      <w:r w:rsidR="00D846C4" w:rsidRPr="00D846C4">
        <w:rPr>
          <w:rFonts w:ascii="Times New Roman" w:hAnsi="Times New Roman" w:cs="Times New Roman"/>
          <w:sz w:val="20"/>
          <w:szCs w:val="20"/>
        </w:rPr>
        <w:t xml:space="preserve"> </w:t>
      </w:r>
      <w:r w:rsidR="0096696A" w:rsidRPr="00D846C4">
        <w:rPr>
          <w:rFonts w:ascii="Times New Roman" w:hAnsi="Times New Roman" w:cs="Times New Roman"/>
          <w:sz w:val="20"/>
          <w:szCs w:val="20"/>
        </w:rPr>
        <w:t>non exudative and exudative form</w:t>
      </w:r>
      <w:r w:rsidR="008B2898" w:rsidRPr="00D846C4">
        <w:rPr>
          <w:rFonts w:ascii="Times New Roman" w:hAnsi="Times New Roman" w:cs="Times New Roman"/>
          <w:sz w:val="20"/>
          <w:szCs w:val="20"/>
        </w:rPr>
        <w:t>s</w:t>
      </w:r>
      <w:r w:rsidR="0096696A" w:rsidRPr="00D846C4">
        <w:rPr>
          <w:rFonts w:ascii="Times New Roman" w:hAnsi="Times New Roman" w:cs="Times New Roman"/>
          <w:sz w:val="20"/>
          <w:szCs w:val="20"/>
        </w:rPr>
        <w:t xml:space="preserve"> of the disease. Although nvAMD is less prevalent than dry </w:t>
      </w:r>
      <w:r w:rsidR="00D8481B" w:rsidRPr="00D846C4">
        <w:rPr>
          <w:rFonts w:ascii="Times New Roman" w:hAnsi="Times New Roman" w:cs="Times New Roman"/>
          <w:sz w:val="20"/>
          <w:szCs w:val="20"/>
        </w:rPr>
        <w:t>type</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i</w:t>
      </w:r>
      <w:r w:rsidR="00E45BB4" w:rsidRPr="00D846C4">
        <w:rPr>
          <w:rFonts w:ascii="Times New Roman" w:hAnsi="Times New Roman" w:cs="Times New Roman"/>
          <w:sz w:val="20"/>
          <w:szCs w:val="20"/>
        </w:rPr>
        <w:t>t</w:t>
      </w:r>
      <w:r w:rsidR="00D846C4" w:rsidRPr="00D846C4">
        <w:rPr>
          <w:rFonts w:ascii="Times New Roman" w:hAnsi="Times New Roman" w:cs="Times New Roman"/>
          <w:sz w:val="20"/>
          <w:szCs w:val="20"/>
        </w:rPr>
        <w:t xml:space="preserve"> </w:t>
      </w:r>
      <w:r w:rsidR="0096696A" w:rsidRPr="00D846C4">
        <w:rPr>
          <w:rFonts w:ascii="Times New Roman" w:hAnsi="Times New Roman" w:cs="Times New Roman"/>
          <w:sz w:val="20"/>
          <w:szCs w:val="20"/>
        </w:rPr>
        <w:t>is responsible for most cases of severe vision loss</w:t>
      </w:r>
      <w:r w:rsidR="00E45BB4" w:rsidRPr="00D846C4">
        <w:rPr>
          <w:rFonts w:ascii="Times New Roman" w:hAnsi="Times New Roman" w:cs="Times New Roman"/>
          <w:sz w:val="20"/>
          <w:szCs w:val="20"/>
        </w:rPr>
        <w:t xml:space="preserve"> in AM</w:t>
      </w:r>
      <w:r w:rsidR="00D846C4" w:rsidRPr="00D846C4">
        <w:rPr>
          <w:rFonts w:ascii="Times New Roman" w:hAnsi="Times New Roman" w:cs="Times New Roman"/>
          <w:sz w:val="20"/>
          <w:szCs w:val="20"/>
        </w:rPr>
        <w:t xml:space="preserve">D </w:t>
      </w:r>
      <w:r w:rsidR="00D846C4" w:rsidRPr="00D846C4">
        <w:rPr>
          <w:rFonts w:ascii="Times New Roman" w:hAnsi="Times New Roman" w:cs="Times New Roman"/>
          <w:sz w:val="20"/>
          <w:szCs w:val="20"/>
          <w:vertAlign w:val="superscript"/>
        </w:rPr>
        <w:t>(</w:t>
      </w:r>
      <w:r w:rsidR="00972B37" w:rsidRPr="00D846C4">
        <w:rPr>
          <w:rFonts w:ascii="Times New Roman" w:hAnsi="Times New Roman" w:cs="Times New Roman"/>
          <w:sz w:val="20"/>
          <w:szCs w:val="20"/>
          <w:vertAlign w:val="superscript"/>
        </w:rPr>
        <w:t>1)</w:t>
      </w:r>
      <w:r w:rsidR="0096696A" w:rsidRPr="00D846C4">
        <w:rPr>
          <w:rFonts w:ascii="Times New Roman" w:hAnsi="Times New Roman" w:cs="Times New Roman"/>
          <w:sz w:val="20"/>
          <w:szCs w:val="20"/>
        </w:rPr>
        <w:t>.</w:t>
      </w:r>
    </w:p>
    <w:p w:rsidR="004F1448" w:rsidRDefault="00792B19" w:rsidP="00DA3DF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The treatment of nvAMD has undergone major changes during the past decade.</w:t>
      </w:r>
      <w:r w:rsidR="00BF4072" w:rsidRPr="00D846C4">
        <w:rPr>
          <w:rFonts w:ascii="Times New Roman" w:hAnsi="Times New Roman" w:cs="Times New Roman"/>
          <w:b/>
          <w:bCs/>
          <w:sz w:val="20"/>
          <w:szCs w:val="20"/>
          <w:lang w:bidi="ar-DZ"/>
        </w:rPr>
        <w:t xml:space="preserve"> The VEGF Inhibition Study in Ocular Neovascularization (VISION)</w:t>
      </w:r>
      <w:r w:rsidR="00BF4072" w:rsidRPr="00D846C4">
        <w:rPr>
          <w:rFonts w:ascii="Times New Roman" w:hAnsi="Times New Roman" w:cs="Times New Roman"/>
          <w:sz w:val="20"/>
          <w:szCs w:val="20"/>
          <w:lang w:bidi="ar-DZ"/>
        </w:rPr>
        <w:t xml:space="preserve"> completed at the end of 2004 marked a new era for the treatment of nvAM</w:t>
      </w:r>
      <w:r w:rsidR="00D846C4" w:rsidRPr="00D846C4">
        <w:rPr>
          <w:rFonts w:ascii="Times New Roman" w:hAnsi="Times New Roman" w:cs="Times New Roman"/>
          <w:sz w:val="20"/>
          <w:szCs w:val="20"/>
          <w:lang w:bidi="ar-DZ"/>
        </w:rPr>
        <w:t xml:space="preserve">D </w:t>
      </w:r>
      <w:r w:rsidR="00D846C4" w:rsidRPr="00D846C4">
        <w:rPr>
          <w:rFonts w:ascii="Times New Roman" w:hAnsi="Times New Roman" w:cs="Times New Roman"/>
          <w:sz w:val="20"/>
          <w:szCs w:val="20"/>
          <w:vertAlign w:val="superscript"/>
          <w:lang w:bidi="ar-DZ"/>
        </w:rPr>
        <w:t>(</w:t>
      </w:r>
      <w:r w:rsidR="00E20060" w:rsidRPr="00D846C4">
        <w:rPr>
          <w:rFonts w:ascii="Times New Roman" w:hAnsi="Times New Roman" w:cs="Times New Roman"/>
          <w:sz w:val="20"/>
          <w:szCs w:val="20"/>
          <w:vertAlign w:val="superscript"/>
          <w:lang w:bidi="ar-DZ"/>
        </w:rPr>
        <w:t>2)</w:t>
      </w:r>
      <w:r w:rsidR="004F1448" w:rsidRPr="00D846C4">
        <w:rPr>
          <w:rFonts w:ascii="Times New Roman" w:hAnsi="Times New Roman" w:cs="Times New Roman"/>
          <w:sz w:val="20"/>
          <w:szCs w:val="20"/>
          <w:lang w:bidi="ar-DZ"/>
        </w:rPr>
        <w:t>.</w:t>
      </w:r>
      <w:r w:rsidR="004F1448">
        <w:rPr>
          <w:rFonts w:ascii="Times New Roman" w:hAnsi="Times New Roman" w:cs="Times New Roman"/>
          <w:sz w:val="20"/>
          <w:szCs w:val="20"/>
          <w:lang w:bidi="ar-DZ"/>
        </w:rPr>
        <w:t xml:space="preserve"> </w:t>
      </w:r>
      <w:r w:rsidR="004F1448" w:rsidRPr="00D846C4">
        <w:rPr>
          <w:rFonts w:ascii="Times New Roman" w:hAnsi="Times New Roman" w:cs="Times New Roman"/>
          <w:sz w:val="20"/>
          <w:szCs w:val="20"/>
        </w:rPr>
        <w:t>R</w:t>
      </w:r>
      <w:r w:rsidR="00EA6A80" w:rsidRPr="00D846C4">
        <w:rPr>
          <w:rFonts w:ascii="Times New Roman" w:hAnsi="Times New Roman" w:cs="Times New Roman"/>
          <w:sz w:val="20"/>
          <w:szCs w:val="20"/>
        </w:rPr>
        <w:t>anibizumab is a humanized antigen-binding fra</w:t>
      </w:r>
      <w:r w:rsidR="00326289" w:rsidRPr="00D846C4">
        <w:rPr>
          <w:rFonts w:ascii="Times New Roman" w:hAnsi="Times New Roman" w:cs="Times New Roman"/>
          <w:sz w:val="20"/>
          <w:szCs w:val="20"/>
        </w:rPr>
        <w:t>gment (Fab) monoclonal antibody that</w:t>
      </w:r>
      <w:r w:rsidR="00D846C4" w:rsidRPr="00D846C4">
        <w:rPr>
          <w:rFonts w:ascii="Times New Roman" w:hAnsi="Times New Roman" w:cs="Times New Roman"/>
          <w:sz w:val="20"/>
          <w:szCs w:val="20"/>
        </w:rPr>
        <w:t xml:space="preserve"> </w:t>
      </w:r>
      <w:r w:rsidR="00EA6A80" w:rsidRPr="00D846C4">
        <w:rPr>
          <w:rFonts w:ascii="Times New Roman" w:hAnsi="Times New Roman" w:cs="Times New Roman"/>
          <w:sz w:val="20"/>
          <w:szCs w:val="20"/>
        </w:rPr>
        <w:t xml:space="preserve">binds VEGF-A </w:t>
      </w:r>
      <w:r w:rsidR="000E1077" w:rsidRPr="00D846C4">
        <w:rPr>
          <w:rFonts w:ascii="Times New Roman" w:hAnsi="Times New Roman" w:cs="Times New Roman"/>
          <w:sz w:val="20"/>
          <w:szCs w:val="20"/>
        </w:rPr>
        <w:t xml:space="preserve">its </w:t>
      </w:r>
      <w:r w:rsidR="00EA6A80" w:rsidRPr="00D846C4">
        <w:rPr>
          <w:rFonts w:ascii="Times New Roman" w:hAnsi="Times New Roman" w:cs="Times New Roman"/>
          <w:sz w:val="20"/>
          <w:szCs w:val="20"/>
        </w:rPr>
        <w:t>all isoforms and breakdown products.</w:t>
      </w:r>
      <w:r w:rsidR="00EA6A80" w:rsidRPr="00D846C4">
        <w:rPr>
          <w:rFonts w:ascii="Times New Roman" w:hAnsi="Times New Roman" w:cs="Times New Roman"/>
          <w:sz w:val="20"/>
          <w:szCs w:val="20"/>
          <w:lang w:bidi="ar-EG"/>
        </w:rPr>
        <w:t xml:space="preserve"> Ranibizumab was established as the first FDA-approved drug that prevents vision loss and improves vision in different</w:t>
      </w:r>
      <w:r w:rsidR="00D846C4" w:rsidRPr="00D846C4">
        <w:rPr>
          <w:rFonts w:ascii="Times New Roman" w:hAnsi="Times New Roman" w:cs="Times New Roman"/>
          <w:sz w:val="20"/>
          <w:szCs w:val="20"/>
          <w:lang w:bidi="ar-EG"/>
        </w:rPr>
        <w:t xml:space="preserve"> </w:t>
      </w:r>
      <w:r w:rsidR="00EA6A80" w:rsidRPr="00D846C4">
        <w:rPr>
          <w:rFonts w:ascii="Times New Roman" w:hAnsi="Times New Roman" w:cs="Times New Roman"/>
          <w:sz w:val="20"/>
          <w:szCs w:val="20"/>
          <w:lang w:bidi="ar-EG"/>
        </w:rPr>
        <w:t>subtypes of neovascular AM</w:t>
      </w:r>
      <w:r w:rsidR="00D846C4" w:rsidRPr="00D846C4">
        <w:rPr>
          <w:rFonts w:ascii="Times New Roman" w:hAnsi="Times New Roman" w:cs="Times New Roman"/>
          <w:sz w:val="20"/>
          <w:szCs w:val="20"/>
          <w:lang w:bidi="ar-EG"/>
        </w:rPr>
        <w:t xml:space="preserve">D </w:t>
      </w:r>
      <w:r w:rsidR="00D846C4" w:rsidRPr="00D846C4">
        <w:rPr>
          <w:rFonts w:ascii="Times New Roman" w:hAnsi="Times New Roman" w:cs="Times New Roman"/>
          <w:sz w:val="20"/>
          <w:szCs w:val="20"/>
          <w:vertAlign w:val="superscript"/>
          <w:lang w:bidi="ar-EG"/>
        </w:rPr>
        <w:t>(</w:t>
      </w:r>
      <w:r w:rsidR="00E20060" w:rsidRPr="00D846C4">
        <w:rPr>
          <w:rFonts w:ascii="Times New Roman" w:hAnsi="Times New Roman" w:cs="Times New Roman"/>
          <w:sz w:val="20"/>
          <w:szCs w:val="20"/>
          <w:vertAlign w:val="superscript"/>
          <w:lang w:bidi="ar-EG"/>
        </w:rPr>
        <w:t>3)</w:t>
      </w:r>
      <w:r w:rsidR="00EA6A80" w:rsidRPr="00D846C4">
        <w:rPr>
          <w:rFonts w:ascii="Times New Roman" w:hAnsi="Times New Roman" w:cs="Times New Roman"/>
          <w:sz w:val="20"/>
          <w:szCs w:val="20"/>
          <w:lang w:bidi="ar-EG"/>
        </w:rPr>
        <w:t>.</w:t>
      </w:r>
    </w:p>
    <w:p w:rsidR="004F1448" w:rsidRDefault="00192BC1" w:rsidP="00DA3DF4">
      <w:pPr>
        <w:autoSpaceDE w:val="0"/>
        <w:autoSpaceDN w:val="0"/>
        <w:adjustRightInd w:val="0"/>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 xml:space="preserve">Optical coherence tomography (OCT) is one of the most commonly used imaging modalities in </w:t>
      </w:r>
      <w:r w:rsidRPr="00D846C4">
        <w:rPr>
          <w:rFonts w:ascii="Times New Roman" w:hAnsi="Times New Roman" w:cs="Times New Roman"/>
          <w:sz w:val="20"/>
          <w:szCs w:val="20"/>
          <w:lang w:bidi="ar-EG"/>
        </w:rPr>
        <w:lastRenderedPageBreak/>
        <w:t>ophthalmology. Since its appearance in 1991, OCT has developed greatly from Time domain (TD) OCT to spectral domain (SD) OCT. New techniques was developed to achieve better visualization of choroid</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T</w:t>
      </w:r>
      <w:r w:rsidRPr="00D846C4">
        <w:rPr>
          <w:rFonts w:ascii="Times New Roman" w:hAnsi="Times New Roman" w:cs="Times New Roman"/>
          <w:sz w:val="20"/>
          <w:szCs w:val="20"/>
          <w:lang w:bidi="ar-EG"/>
        </w:rPr>
        <w:t>hus, enhanced depth imaging (EDI) appeared to increase choroidal signal penetratio</w:t>
      </w:r>
      <w:r w:rsidR="00D846C4" w:rsidRPr="00D846C4">
        <w:rPr>
          <w:rFonts w:ascii="Times New Roman" w:hAnsi="Times New Roman" w:cs="Times New Roman"/>
          <w:sz w:val="20"/>
          <w:szCs w:val="20"/>
          <w:lang w:bidi="ar-EG"/>
        </w:rPr>
        <w:t xml:space="preserve">n </w:t>
      </w:r>
      <w:r w:rsidR="00D846C4" w:rsidRPr="00D846C4">
        <w:rPr>
          <w:rFonts w:ascii="Times New Roman" w:hAnsi="Times New Roman" w:cs="Times New Roman"/>
          <w:sz w:val="20"/>
          <w:szCs w:val="20"/>
          <w:vertAlign w:val="superscript"/>
          <w:lang w:bidi="ar-EG"/>
        </w:rPr>
        <w:t>(</w:t>
      </w:r>
      <w:r w:rsidR="00D90890" w:rsidRPr="00D846C4">
        <w:rPr>
          <w:rFonts w:ascii="Times New Roman" w:hAnsi="Times New Roman" w:cs="Times New Roman"/>
          <w:sz w:val="20"/>
          <w:szCs w:val="20"/>
          <w:vertAlign w:val="superscript"/>
          <w:lang w:bidi="ar-EG"/>
        </w:rPr>
        <w:t>4)</w:t>
      </w:r>
      <w:r w:rsidRPr="00D846C4">
        <w:rPr>
          <w:rFonts w:ascii="Times New Roman" w:hAnsi="Times New Roman" w:cs="Times New Roman"/>
          <w:sz w:val="20"/>
          <w:szCs w:val="20"/>
          <w:lang w:bidi="ar-EG"/>
        </w:rPr>
        <w:t>.</w:t>
      </w:r>
    </w:p>
    <w:p w:rsidR="004F1448" w:rsidRDefault="005B2B8F" w:rsidP="00DA3DF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As OCT shows highly detailed information regarding the macula, it has become a cornerstone in decision making for the treatment and follow up of CNV in AMD cases.</w:t>
      </w:r>
      <w:r w:rsidR="00207940" w:rsidRPr="00D846C4">
        <w:rPr>
          <w:rFonts w:ascii="Times New Roman" w:hAnsi="Times New Roman" w:cs="Times New Roman"/>
          <w:sz w:val="20"/>
          <w:szCs w:val="20"/>
        </w:rPr>
        <w:t xml:space="preserve"> OCT also has a prognostic value as both severity of edema and photoreceptor integrity are correlated with final visual outcome.</w:t>
      </w:r>
      <w:r w:rsidR="006331D7" w:rsidRPr="00D846C4">
        <w:rPr>
          <w:rFonts w:ascii="Times New Roman" w:hAnsi="Times New Roman" w:cs="Times New Roman"/>
          <w:sz w:val="20"/>
          <w:szCs w:val="20"/>
        </w:rPr>
        <w:t xml:space="preserve"> The central retinal thickness (CRT)</w:t>
      </w:r>
      <w:r w:rsidR="00D846C4" w:rsidRPr="00D846C4">
        <w:rPr>
          <w:rFonts w:ascii="Times New Roman" w:hAnsi="Times New Roman" w:cs="Times New Roman"/>
          <w:sz w:val="20"/>
          <w:szCs w:val="20"/>
        </w:rPr>
        <w:t xml:space="preserve"> </w:t>
      </w:r>
      <w:r w:rsidR="006331D7" w:rsidRPr="00D846C4">
        <w:rPr>
          <w:rFonts w:ascii="Times New Roman" w:hAnsi="Times New Roman" w:cs="Times New Roman"/>
          <w:sz w:val="20"/>
          <w:szCs w:val="20"/>
        </w:rPr>
        <w:t>has been widely used as a retreatment criteria in many clinical trials. However, reviews showed the poor reproducibility of CRT values. This aroused the need for other parameters in OCT for disease activit</w:t>
      </w:r>
      <w:r w:rsidR="00D846C4" w:rsidRPr="00D846C4">
        <w:rPr>
          <w:rFonts w:ascii="Times New Roman" w:hAnsi="Times New Roman" w:cs="Times New Roman"/>
          <w:sz w:val="20"/>
          <w:szCs w:val="20"/>
        </w:rPr>
        <w:t xml:space="preserve">y </w:t>
      </w:r>
      <w:r w:rsidR="00D846C4" w:rsidRPr="00D846C4">
        <w:rPr>
          <w:rFonts w:ascii="Times New Roman" w:hAnsi="Times New Roman" w:cs="Times New Roman"/>
          <w:sz w:val="20"/>
          <w:szCs w:val="20"/>
          <w:vertAlign w:val="superscript"/>
        </w:rPr>
        <w:t>(</w:t>
      </w:r>
      <w:r w:rsidR="00C47B09" w:rsidRPr="00D846C4">
        <w:rPr>
          <w:rFonts w:ascii="Times New Roman" w:hAnsi="Times New Roman" w:cs="Times New Roman"/>
          <w:sz w:val="20"/>
          <w:szCs w:val="20"/>
          <w:vertAlign w:val="superscript"/>
        </w:rPr>
        <w:t>5)</w:t>
      </w:r>
      <w:r w:rsidR="006331D7" w:rsidRPr="00D846C4">
        <w:rPr>
          <w:rFonts w:ascii="Times New Roman" w:hAnsi="Times New Roman" w:cs="Times New Roman"/>
          <w:sz w:val="20"/>
          <w:szCs w:val="20"/>
        </w:rPr>
        <w:t>.</w:t>
      </w:r>
    </w:p>
    <w:p w:rsidR="00F02740" w:rsidRDefault="00605CF8" w:rsidP="00DA3DF4">
      <w:pPr>
        <w:snapToGrid w:val="0"/>
        <w:spacing w:after="0" w:line="240" w:lineRule="auto"/>
        <w:ind w:firstLine="425"/>
        <w:jc w:val="both"/>
        <w:rPr>
          <w:rFonts w:ascii="Times New Roman" w:hAnsi="Times New Roman" w:cs="Times New Roman"/>
          <w:sz w:val="20"/>
          <w:szCs w:val="20"/>
          <w:lang w:bidi="ar-EG"/>
        </w:rPr>
        <w:sectPr w:rsidR="00F02740" w:rsidSect="00072C1F">
          <w:type w:val="continuous"/>
          <w:pgSz w:w="12240" w:h="15840"/>
          <w:pgMar w:top="1440" w:right="1440" w:bottom="1440" w:left="1440" w:header="720" w:footer="720" w:gutter="0"/>
          <w:cols w:num="2" w:space="550"/>
          <w:rtlGutter/>
          <w:docGrid w:linePitch="360"/>
        </w:sectPr>
      </w:pPr>
      <w:r w:rsidRPr="00D846C4">
        <w:rPr>
          <w:rFonts w:ascii="Times New Roman" w:hAnsi="Times New Roman" w:cs="Times New Roman"/>
          <w:sz w:val="20"/>
          <w:szCs w:val="20"/>
          <w:lang w:bidi="ar-EG"/>
        </w:rPr>
        <w:t>mfERG is one of the electrophysiological test used to asses retinal function</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m</w:t>
      </w:r>
      <w:r w:rsidRPr="00D846C4">
        <w:rPr>
          <w:rFonts w:ascii="Times New Roman" w:hAnsi="Times New Roman" w:cs="Times New Roman"/>
          <w:sz w:val="20"/>
          <w:szCs w:val="20"/>
          <w:lang w:bidi="ar-EG"/>
        </w:rPr>
        <w:t>fERG was first developed by Sutter and Tran. mfERG allows topographic mapping of global retinal function</w:t>
      </w:r>
      <w:r w:rsidR="00FD57AB" w:rsidRPr="00D846C4">
        <w:rPr>
          <w:rFonts w:ascii="Times New Roman" w:hAnsi="Times New Roman" w:cs="Times New Roman"/>
          <w:b/>
          <w:bCs/>
          <w:sz w:val="20"/>
          <w:szCs w:val="20"/>
          <w:vertAlign w:val="superscript"/>
          <w:lang w:bidi="ar-EG"/>
        </w:rPr>
        <w:fldChar w:fldCharType="begin"/>
      </w:r>
      <w:r w:rsidRPr="00D846C4">
        <w:rPr>
          <w:rFonts w:ascii="Times New Roman" w:hAnsi="Times New Roman" w:cs="Times New Roman"/>
          <w:b/>
          <w:bCs/>
          <w:sz w:val="20"/>
          <w:szCs w:val="20"/>
          <w:vertAlign w:val="superscript"/>
          <w:lang w:bidi="ar-EG"/>
        </w:rPr>
        <w:instrText xml:space="preserve"> ADDIN EN.CITE &lt;EndNote&gt;&lt;Cite&gt;&lt;Author&gt;Marmor&lt;/Author&gt;&lt;Year&gt;2003&lt;/Year&gt;&lt;RecNum&gt;85&lt;/RecNum&gt;&lt;DisplayText&gt;(128)&lt;/DisplayText&gt;&lt;record&gt;&lt;rec-number&gt;85&lt;/rec-number&gt;&lt;foreign-keys&gt;&lt;key app="EN" db-id="sdtvae5p49parfer00ovx9d0v9tfrvdvadrt" timestamp="1554763753"&gt;85&lt;/key&gt;&lt;/foreign-keys&gt;&lt;ref-type name="Journal Article"&gt;17&lt;/ref-type&gt;&lt;contributors&gt;&lt;authors&gt;&lt;author&gt;Marmor, M. F.&lt;/author&gt;&lt;author&gt;Hood, D. C.&lt;/author&gt;&lt;author&gt;Keating, D.&lt;/author&gt;&lt;author&gt;Kondo, M.&lt;/author&gt;&lt;author&gt;Seeliger, M. W.&lt;/author&gt;&lt;author&gt;Miyake, Y.&lt;/author&gt;&lt;/authors&gt;&lt;/contributors&gt;&lt;auth-address&gt;Department of Ophthalmology, Stanford University School of Medicine, Stanford, California, USA. marmor@stanford.edu&lt;/auth-address&gt;&lt;titles&gt;&lt;title&gt;Guidelines for basic multifocal electroretinography (mfERG)&lt;/title&gt;&lt;secondary-title&gt;Doc Ophthalmol&lt;/secondary-title&gt;&lt;alt-title&gt;Documenta ophthalmologica. Advances in ophthalmology&lt;/alt-title&gt;&lt;/titles&gt;&lt;periodical&gt;&lt;full-title&gt;Doc Ophthalmol&lt;/full-title&gt;&lt;abbr-1&gt;Documenta ophthalmologica. Advances in ophthalmology&lt;/abbr-1&gt;&lt;/periodical&gt;&lt;alt-periodical&gt;&lt;full-title&gt;Doc Ophthalmol&lt;/full-title&gt;&lt;abbr-1&gt;Documenta ophthalmologica. Advances in ophthalmology&lt;/abbr-1&gt;&lt;/alt-periodical&gt;&lt;pages&gt;105-15&lt;/pages&gt;&lt;volume&gt;106&lt;/volume&gt;&lt;number&gt;2&lt;/number&gt;&lt;edition&gt;2003/04/08&lt;/edition&gt;&lt;keywords&gt;&lt;keyword&gt;Adaptation, Ocular&lt;/keyword&gt;&lt;keyword&gt;Artifacts&lt;/keyword&gt;&lt;keyword&gt;Electroretinography/*standards&lt;/keyword&gt;&lt;keyword&gt;Fixation, Ocular&lt;/keyword&gt;&lt;keyword&gt;Humans&lt;/keyword&gt;&lt;keyword&gt;Microelectrodes&lt;/keyword&gt;&lt;keyword&gt;Photic Stimulation&lt;/keyword&gt;&lt;keyword&gt;Refraction, Ocular&lt;/keyword&gt;&lt;/keywords&gt;&lt;dates&gt;&lt;year&gt;2003&lt;/year&gt;&lt;pub-dates&gt;&lt;date&gt;Mar&lt;/date&gt;&lt;/pub-dates&gt;&lt;/dates&gt;&lt;isbn&gt;0012-4486 (Print)&amp;#xD;0012-4486&lt;/isbn&gt;&lt;accession-num&gt;12678274&lt;/accession-num&gt;&lt;urls&gt;&lt;/urls&gt;&lt;remote-database-provider&gt;NLM&lt;/remote-database-provider&gt;&lt;language&gt;eng&lt;/language&gt;&lt;/record&gt;&lt;/Cite&gt;&lt;/EndNote&gt;</w:instrText>
      </w:r>
      <w:r w:rsidR="00FD57AB" w:rsidRPr="00D846C4">
        <w:rPr>
          <w:rFonts w:ascii="Times New Roman" w:hAnsi="Times New Roman" w:cs="Times New Roman"/>
          <w:b/>
          <w:bCs/>
          <w:sz w:val="20"/>
          <w:szCs w:val="20"/>
          <w:vertAlign w:val="superscript"/>
          <w:lang w:bidi="ar-EG"/>
        </w:rPr>
        <w:fldChar w:fldCharType="end"/>
      </w:r>
      <w:r w:rsidRPr="00D846C4">
        <w:rPr>
          <w:rFonts w:ascii="Times New Roman" w:hAnsi="Times New Roman" w:cs="Times New Roman"/>
          <w:sz w:val="20"/>
          <w:szCs w:val="20"/>
          <w:lang w:bidi="ar-EG"/>
        </w:rPr>
        <w:t>.</w:t>
      </w:r>
      <w:r w:rsidR="00C64D8A" w:rsidRPr="00D846C4">
        <w:rPr>
          <w:rFonts w:ascii="Times New Roman" w:hAnsi="Times New Roman" w:cs="Times New Roman"/>
          <w:sz w:val="20"/>
          <w:szCs w:val="20"/>
          <w:lang w:bidi="ar-EG"/>
        </w:rPr>
        <w:t xml:space="preserve"> It allows studying disorders that affects the outer retinal </w:t>
      </w:r>
    </w:p>
    <w:p w:rsidR="004F1448" w:rsidRDefault="00C64D8A" w:rsidP="00F02740">
      <w:pPr>
        <w:snapToGrid w:val="0"/>
        <w:spacing w:after="0" w:line="240" w:lineRule="auto"/>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lastRenderedPageBreak/>
        <w:t>layer</w:t>
      </w:r>
      <w:r w:rsidR="00D846C4" w:rsidRPr="00D846C4">
        <w:rPr>
          <w:rFonts w:ascii="Times New Roman" w:hAnsi="Times New Roman" w:cs="Times New Roman"/>
          <w:sz w:val="20"/>
          <w:szCs w:val="20"/>
          <w:lang w:bidi="ar-EG"/>
        </w:rPr>
        <w:t xml:space="preserve">s </w:t>
      </w:r>
      <w:r w:rsidR="00D846C4" w:rsidRPr="00D846C4">
        <w:rPr>
          <w:rFonts w:ascii="Times New Roman" w:hAnsi="Times New Roman" w:cs="Times New Roman"/>
          <w:sz w:val="20"/>
          <w:szCs w:val="20"/>
          <w:vertAlign w:val="superscript"/>
          <w:lang w:bidi="ar-EG"/>
        </w:rPr>
        <w:t>(</w:t>
      </w:r>
      <w:r w:rsidR="00271F0F" w:rsidRPr="00D846C4">
        <w:rPr>
          <w:rFonts w:ascii="Times New Roman" w:hAnsi="Times New Roman" w:cs="Times New Roman"/>
          <w:sz w:val="20"/>
          <w:szCs w:val="20"/>
          <w:vertAlign w:val="superscript"/>
          <w:lang w:bidi="ar-EG"/>
        </w:rPr>
        <w:t>6)</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b/>
          <w:bCs/>
          <w:sz w:val="20"/>
          <w:szCs w:val="20"/>
          <w:lang w:bidi="ar-EG"/>
        </w:rPr>
        <w:t>H</w:t>
      </w:r>
      <w:r w:rsidRPr="00D846C4">
        <w:rPr>
          <w:rFonts w:ascii="Times New Roman" w:hAnsi="Times New Roman" w:cs="Times New Roman"/>
          <w:b/>
          <w:bCs/>
          <w:sz w:val="20"/>
          <w:szCs w:val="20"/>
          <w:lang w:bidi="ar-EG"/>
        </w:rPr>
        <w:t>ood et al</w:t>
      </w:r>
      <w:r w:rsidRPr="00D846C4">
        <w:rPr>
          <w:rFonts w:ascii="Times New Roman" w:hAnsi="Times New Roman" w:cs="Times New Roman"/>
          <w:sz w:val="20"/>
          <w:szCs w:val="20"/>
          <w:lang w:bidi="ar-EG"/>
        </w:rPr>
        <w:t>. showed that the first-order response of the mfERG originates from photoreceptor and bipolar cell</w:t>
      </w:r>
      <w:r w:rsidR="00D846C4" w:rsidRPr="00D846C4">
        <w:rPr>
          <w:rFonts w:ascii="Times New Roman" w:hAnsi="Times New Roman" w:cs="Times New Roman"/>
          <w:sz w:val="20"/>
          <w:szCs w:val="20"/>
          <w:lang w:bidi="ar-EG"/>
        </w:rPr>
        <w:t xml:space="preserve">s </w:t>
      </w:r>
      <w:r w:rsidR="00D846C4" w:rsidRPr="00D846C4">
        <w:rPr>
          <w:rFonts w:ascii="Times New Roman" w:hAnsi="Times New Roman" w:cs="Times New Roman"/>
          <w:sz w:val="20"/>
          <w:szCs w:val="20"/>
          <w:vertAlign w:val="superscript"/>
          <w:lang w:bidi="ar-EG"/>
        </w:rPr>
        <w:t>(</w:t>
      </w:r>
      <w:r w:rsidR="00BC0483" w:rsidRPr="00D846C4">
        <w:rPr>
          <w:rFonts w:ascii="Times New Roman" w:hAnsi="Times New Roman" w:cs="Times New Roman"/>
          <w:sz w:val="20"/>
          <w:szCs w:val="20"/>
          <w:vertAlign w:val="superscript"/>
          <w:lang w:bidi="ar-EG"/>
        </w:rPr>
        <w:t>7)</w:t>
      </w:r>
      <w:r w:rsidRPr="00D846C4">
        <w:rPr>
          <w:rFonts w:ascii="Times New Roman" w:hAnsi="Times New Roman" w:cs="Times New Roman"/>
          <w:sz w:val="20"/>
          <w:szCs w:val="20"/>
          <w:lang w:bidi="ar-EG"/>
        </w:rPr>
        <w:t>.</w:t>
      </w:r>
      <w:r w:rsidR="006E1801" w:rsidRPr="00D846C4">
        <w:rPr>
          <w:rFonts w:ascii="Times New Roman" w:hAnsi="Times New Roman" w:cs="Times New Roman"/>
          <w:sz w:val="20"/>
          <w:szCs w:val="20"/>
          <w:lang w:bidi="ar-EG"/>
        </w:rPr>
        <w:t xml:space="preserve"> Studies performed in early AMD showed no significant affection of retinal function</w:t>
      </w:r>
      <w:r w:rsidR="006E1801" w:rsidRPr="00D846C4">
        <w:rPr>
          <w:rFonts w:ascii="Times New Roman" w:hAnsi="Times New Roman" w:cs="Times New Roman"/>
          <w:b/>
          <w:bCs/>
          <w:sz w:val="20"/>
          <w:szCs w:val="20"/>
          <w:lang w:bidi="ar-EG"/>
        </w:rPr>
        <w:t>,</w:t>
      </w:r>
      <w:r w:rsidR="006E1801" w:rsidRPr="00D846C4">
        <w:rPr>
          <w:rFonts w:ascii="Times New Roman" w:hAnsi="Times New Roman" w:cs="Times New Roman"/>
          <w:sz w:val="20"/>
          <w:szCs w:val="20"/>
          <w:lang w:bidi="ar-EG"/>
        </w:rPr>
        <w:t xml:space="preserve"> while those performed in</w:t>
      </w:r>
      <w:r w:rsidR="00D846C4" w:rsidRPr="00D846C4">
        <w:rPr>
          <w:rFonts w:ascii="Times New Roman" w:hAnsi="Times New Roman" w:cs="Times New Roman"/>
          <w:sz w:val="20"/>
          <w:szCs w:val="20"/>
          <w:lang w:bidi="ar-EG"/>
        </w:rPr>
        <w:t xml:space="preserve"> </w:t>
      </w:r>
      <w:r w:rsidR="006E1801" w:rsidRPr="00D846C4">
        <w:rPr>
          <w:rFonts w:ascii="Times New Roman" w:hAnsi="Times New Roman" w:cs="Times New Roman"/>
          <w:sz w:val="20"/>
          <w:szCs w:val="20"/>
          <w:lang w:bidi="ar-EG"/>
        </w:rPr>
        <w:t>wet AMD showed reduced mfERG responses in AMD cases</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m</w:t>
      </w:r>
      <w:r w:rsidR="00E56B60" w:rsidRPr="00D846C4">
        <w:rPr>
          <w:rFonts w:ascii="Times New Roman" w:hAnsi="Times New Roman" w:cs="Times New Roman"/>
          <w:sz w:val="20"/>
          <w:szCs w:val="20"/>
          <w:lang w:bidi="ar-EG"/>
        </w:rPr>
        <w:t>fERG responses remained largely unchanged in nvAMD cases after photodynamic therap</w:t>
      </w:r>
      <w:r w:rsidR="00D846C4" w:rsidRPr="00D846C4">
        <w:rPr>
          <w:rFonts w:ascii="Times New Roman" w:hAnsi="Times New Roman" w:cs="Times New Roman"/>
          <w:sz w:val="20"/>
          <w:szCs w:val="20"/>
          <w:lang w:bidi="ar-EG"/>
        </w:rPr>
        <w:t xml:space="preserve">y </w:t>
      </w:r>
      <w:r w:rsidR="00D846C4" w:rsidRPr="00D846C4">
        <w:rPr>
          <w:rFonts w:ascii="Times New Roman" w:hAnsi="Times New Roman" w:cs="Times New Roman"/>
          <w:sz w:val="20"/>
          <w:szCs w:val="20"/>
          <w:vertAlign w:val="superscript"/>
          <w:lang w:bidi="ar-EG"/>
        </w:rPr>
        <w:t>(</w:t>
      </w:r>
      <w:r w:rsidR="00BC0483" w:rsidRPr="00D846C4">
        <w:rPr>
          <w:rFonts w:ascii="Times New Roman" w:hAnsi="Times New Roman" w:cs="Times New Roman"/>
          <w:sz w:val="20"/>
          <w:szCs w:val="20"/>
          <w:vertAlign w:val="superscript"/>
          <w:lang w:bidi="ar-EG"/>
        </w:rPr>
        <w:t>8)</w:t>
      </w:r>
      <w:r w:rsidR="00E56B60" w:rsidRPr="00D846C4">
        <w:rPr>
          <w:rFonts w:ascii="Times New Roman" w:hAnsi="Times New Roman" w:cs="Times New Roman"/>
          <w:sz w:val="20"/>
          <w:szCs w:val="20"/>
          <w:lang w:bidi="ar-EG"/>
        </w:rPr>
        <w:t>.</w:t>
      </w:r>
    </w:p>
    <w:p w:rsidR="004F1448" w:rsidRDefault="00492586"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Previous studies correlated the use of Ranibazumab in wet AMD patients with best corrected visual acuity (BCVA) as a subjective assessment of retinal functio</w:t>
      </w:r>
      <w:r w:rsidR="00D846C4" w:rsidRPr="00D846C4">
        <w:rPr>
          <w:rFonts w:ascii="Times New Roman" w:hAnsi="Times New Roman" w:cs="Times New Roman"/>
          <w:sz w:val="20"/>
          <w:szCs w:val="20"/>
          <w:lang w:bidi="ar-EG"/>
        </w:rPr>
        <w:t xml:space="preserve">n </w:t>
      </w:r>
      <w:r w:rsidR="00D846C4" w:rsidRPr="00D846C4">
        <w:rPr>
          <w:rFonts w:ascii="Times New Roman" w:hAnsi="Times New Roman" w:cs="Times New Roman"/>
          <w:sz w:val="20"/>
          <w:szCs w:val="20"/>
          <w:vertAlign w:val="superscript"/>
          <w:lang w:bidi="ar-EG"/>
        </w:rPr>
        <w:t>(</w:t>
      </w:r>
      <w:r w:rsidR="00DF1E58" w:rsidRPr="00D846C4">
        <w:rPr>
          <w:rFonts w:ascii="Times New Roman" w:hAnsi="Times New Roman" w:cs="Times New Roman"/>
          <w:sz w:val="20"/>
          <w:szCs w:val="20"/>
          <w:vertAlign w:val="superscript"/>
          <w:lang w:bidi="ar-EG"/>
        </w:rPr>
        <w:t>9)</w:t>
      </w:r>
      <w:r w:rsidRPr="00D846C4">
        <w:rPr>
          <w:rFonts w:ascii="Times New Roman" w:hAnsi="Times New Roman" w:cs="Times New Roman"/>
          <w:sz w:val="20"/>
          <w:szCs w:val="20"/>
          <w:vertAlign w:val="superscript"/>
          <w:lang w:bidi="ar-EG"/>
        </w:rPr>
        <w:t xml:space="preserve">. </w:t>
      </w:r>
      <w:r w:rsidRPr="00D846C4">
        <w:rPr>
          <w:rFonts w:ascii="Times New Roman" w:hAnsi="Times New Roman" w:cs="Times New Roman"/>
          <w:sz w:val="20"/>
          <w:szCs w:val="20"/>
          <w:lang w:bidi="ar-EG"/>
        </w:rPr>
        <w:t>The use of</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mfERG was introduced recently</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for better objective study of retinal function.</w:t>
      </w:r>
    </w:p>
    <w:p w:rsidR="004F1448" w:rsidRDefault="00B075E9" w:rsidP="00DA3DF4">
      <w:pPr>
        <w:pStyle w:val="Default"/>
        <w:snapToGrid w:val="0"/>
        <w:jc w:val="both"/>
        <w:rPr>
          <w:b/>
          <w:bCs/>
          <w:sz w:val="20"/>
          <w:szCs w:val="20"/>
        </w:rPr>
      </w:pPr>
      <w:r w:rsidRPr="00D846C4">
        <w:rPr>
          <w:b/>
          <w:bCs/>
          <w:sz w:val="20"/>
          <w:szCs w:val="20"/>
        </w:rPr>
        <w:t xml:space="preserve">Aim </w:t>
      </w:r>
    </w:p>
    <w:p w:rsidR="004F1448" w:rsidRDefault="004037FD" w:rsidP="00DA3DF4">
      <w:pPr>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The aim of this study is to correlate macular structur</w:t>
      </w:r>
      <w:r w:rsidR="00D846C4" w:rsidRPr="00D846C4">
        <w:rPr>
          <w:rFonts w:ascii="Times New Roman" w:hAnsi="Times New Roman" w:cs="Times New Roman"/>
          <w:sz w:val="20"/>
          <w:szCs w:val="20"/>
        </w:rPr>
        <w:t>e (</w:t>
      </w:r>
      <w:r w:rsidRPr="00D846C4">
        <w:rPr>
          <w:rFonts w:ascii="Times New Roman" w:hAnsi="Times New Roman" w:cs="Times New Roman"/>
          <w:sz w:val="20"/>
          <w:szCs w:val="20"/>
        </w:rPr>
        <w:t>ellipsoid zone (EZ)) asses</w:t>
      </w:r>
      <w:r w:rsidR="00D468AD" w:rsidRPr="00D846C4">
        <w:rPr>
          <w:rFonts w:ascii="Times New Roman" w:hAnsi="Times New Roman" w:cs="Times New Roman"/>
          <w:sz w:val="20"/>
          <w:szCs w:val="20"/>
        </w:rPr>
        <w:t>s</w:t>
      </w:r>
      <w:r w:rsidRPr="00D846C4">
        <w:rPr>
          <w:rFonts w:ascii="Times New Roman" w:hAnsi="Times New Roman" w:cs="Times New Roman"/>
          <w:sz w:val="20"/>
          <w:szCs w:val="20"/>
        </w:rPr>
        <w:t>ed by optical coherence tomography (OCT) with function assessed by multifocal electroretinography (mfERG) and best corrected visual acuity (BCVA) in cases with neovascular age related macular degeneration (nvAMD) before and after intravitreal injection of Ranibazumab (antiVEGF).</w:t>
      </w:r>
      <w:r w:rsidR="00D846C4" w:rsidRPr="00D846C4">
        <w:rPr>
          <w:rFonts w:ascii="Times New Roman" w:hAnsi="Times New Roman" w:cs="Times New Roman"/>
          <w:sz w:val="20"/>
          <w:szCs w:val="20"/>
        </w:rPr>
        <w:t xml:space="preserve"> </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090DA5"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t xml:space="preserve">2. </w:t>
      </w:r>
      <w:r w:rsidR="001A2817" w:rsidRPr="00D846C4">
        <w:rPr>
          <w:rFonts w:ascii="Times New Roman" w:hAnsi="Times New Roman" w:cs="Times New Roman"/>
          <w:b/>
          <w:bCs/>
          <w:sz w:val="20"/>
          <w:szCs w:val="20"/>
        </w:rPr>
        <w:t>Patient and methods</w:t>
      </w:r>
    </w:p>
    <w:p w:rsidR="004F1448" w:rsidRDefault="001A423F" w:rsidP="00DA3DF4">
      <w:pPr>
        <w:snapToGrid w:val="0"/>
        <w:spacing w:after="0" w:line="240" w:lineRule="auto"/>
        <w:ind w:firstLine="425"/>
        <w:jc w:val="both"/>
        <w:rPr>
          <w:rFonts w:ascii="Times New Roman" w:hAnsi="Times New Roman" w:cs="Times New Roman"/>
          <w:b/>
          <w:bCs/>
          <w:sz w:val="20"/>
          <w:szCs w:val="20"/>
        </w:rPr>
      </w:pPr>
      <w:r w:rsidRPr="00D846C4">
        <w:rPr>
          <w:rFonts w:ascii="Times New Roman" w:hAnsi="Times New Roman" w:cs="Times New Roman"/>
          <w:sz w:val="20"/>
          <w:szCs w:val="20"/>
          <w:lang w:bidi="ar-EG"/>
        </w:rPr>
        <w:t>A prospective study was carried out on 30 eyes of 27 patients attending ophthalmology outpatient clinic in Tanta University Hospital</w:t>
      </w:r>
      <w:r w:rsidR="00D846C4" w:rsidRPr="00D846C4">
        <w:rPr>
          <w:rFonts w:ascii="Times New Roman" w:hAnsi="Times New Roman" w:cs="Times New Roman"/>
          <w:sz w:val="20"/>
          <w:szCs w:val="20"/>
          <w:lang w:bidi="ar-EG"/>
        </w:rPr>
        <w:t xml:space="preserve"> </w:t>
      </w:r>
      <w:r w:rsidR="00464AC6" w:rsidRPr="00D846C4">
        <w:rPr>
          <w:rFonts w:ascii="Times New Roman" w:hAnsi="Times New Roman" w:cs="Times New Roman"/>
          <w:sz w:val="20"/>
          <w:szCs w:val="20"/>
        </w:rPr>
        <w:t>during the period of this study</w:t>
      </w:r>
      <w:r w:rsidR="00D65DFF" w:rsidRPr="00D846C4">
        <w:rPr>
          <w:rFonts w:ascii="Times New Roman" w:hAnsi="Times New Roman" w:cs="Times New Roman"/>
          <w:sz w:val="20"/>
          <w:szCs w:val="20"/>
        </w:rPr>
        <w:t>. Patients were diagnosed clinically as</w:t>
      </w:r>
      <w:r w:rsidR="00FC60C9" w:rsidRPr="00D846C4">
        <w:rPr>
          <w:rFonts w:ascii="Times New Roman" w:hAnsi="Times New Roman" w:cs="Times New Roman"/>
          <w:sz w:val="20"/>
          <w:szCs w:val="20"/>
        </w:rPr>
        <w:t xml:space="preserve"> having</w:t>
      </w:r>
      <w:r w:rsidR="00800669">
        <w:rPr>
          <w:rFonts w:ascii="Times New Roman" w:hAnsi="Times New Roman" w:cs="Times New Roman" w:hint="eastAsia"/>
          <w:sz w:val="20"/>
          <w:szCs w:val="20"/>
          <w:lang w:eastAsia="zh-CN"/>
        </w:rPr>
        <w:t xml:space="preserve"> </w:t>
      </w:r>
      <w:r w:rsidR="00FB480D" w:rsidRPr="00D846C4">
        <w:rPr>
          <w:rFonts w:ascii="Times New Roman" w:hAnsi="Times New Roman" w:cs="Times New Roman"/>
          <w:sz w:val="20"/>
          <w:szCs w:val="20"/>
        </w:rPr>
        <w:t xml:space="preserve">neovascular AMD </w:t>
      </w:r>
      <w:r w:rsidR="00D65DFF" w:rsidRPr="00D846C4">
        <w:rPr>
          <w:rFonts w:ascii="Times New Roman" w:hAnsi="Times New Roman" w:cs="Times New Roman"/>
          <w:sz w:val="20"/>
          <w:szCs w:val="20"/>
        </w:rPr>
        <w:t>and confirmed by a recent fundus fluorescein angiography</w:t>
      </w:r>
      <w:r w:rsidR="00E35BB4" w:rsidRPr="00D846C4">
        <w:rPr>
          <w:rFonts w:ascii="Times New Roman" w:hAnsi="Times New Roman" w:cs="Times New Roman"/>
          <w:sz w:val="20"/>
          <w:szCs w:val="20"/>
        </w:rPr>
        <w:t>. Patients who have</w:t>
      </w:r>
      <w:r w:rsidR="009D4D1B" w:rsidRPr="00D846C4">
        <w:rPr>
          <w:rFonts w:ascii="Times New Roman" w:hAnsi="Times New Roman" w:cs="Times New Roman"/>
          <w:sz w:val="20"/>
          <w:szCs w:val="20"/>
        </w:rPr>
        <w:t xml:space="preserve"> any other retinal diseases as </w:t>
      </w:r>
      <w:r w:rsidR="00FB480D" w:rsidRPr="00D846C4">
        <w:rPr>
          <w:rFonts w:ascii="Times New Roman" w:hAnsi="Times New Roman" w:cs="Times New Roman"/>
          <w:sz w:val="20"/>
          <w:szCs w:val="20"/>
        </w:rPr>
        <w:t>diabetic retinopathy</w:t>
      </w:r>
      <w:r w:rsidR="00EB47D1" w:rsidRPr="00D846C4">
        <w:rPr>
          <w:rFonts w:ascii="Times New Roman" w:hAnsi="Times New Roman" w:cs="Times New Roman"/>
          <w:sz w:val="20"/>
          <w:szCs w:val="20"/>
        </w:rPr>
        <w:t>, performed previous intraocular intervention as intravi</w:t>
      </w:r>
      <w:r w:rsidR="00FB480D" w:rsidRPr="00D846C4">
        <w:rPr>
          <w:rFonts w:ascii="Times New Roman" w:hAnsi="Times New Roman" w:cs="Times New Roman"/>
          <w:sz w:val="20"/>
          <w:szCs w:val="20"/>
        </w:rPr>
        <w:t>t</w:t>
      </w:r>
      <w:r w:rsidR="00EB47D1" w:rsidRPr="00D846C4">
        <w:rPr>
          <w:rFonts w:ascii="Times New Roman" w:hAnsi="Times New Roman" w:cs="Times New Roman"/>
          <w:sz w:val="20"/>
          <w:szCs w:val="20"/>
        </w:rPr>
        <w:t xml:space="preserve">real injection or laser, suffered from </w:t>
      </w:r>
      <w:r w:rsidR="00FB480D" w:rsidRPr="00D846C4">
        <w:rPr>
          <w:rFonts w:ascii="Times New Roman" w:hAnsi="Times New Roman" w:cs="Times New Roman"/>
          <w:sz w:val="20"/>
          <w:szCs w:val="20"/>
        </w:rPr>
        <w:t>media opacity as</w:t>
      </w:r>
      <w:r w:rsidR="00BE178A" w:rsidRPr="00D846C4">
        <w:rPr>
          <w:rFonts w:ascii="Times New Roman" w:hAnsi="Times New Roman" w:cs="Times New Roman"/>
          <w:sz w:val="20"/>
          <w:szCs w:val="20"/>
        </w:rPr>
        <w:t xml:space="preserve"> dense cataract that could prevent imaging</w:t>
      </w:r>
      <w:r w:rsidR="005219EE" w:rsidRPr="00D846C4">
        <w:rPr>
          <w:rFonts w:ascii="Times New Roman" w:hAnsi="Times New Roman" w:cs="Times New Roman"/>
          <w:sz w:val="20"/>
          <w:szCs w:val="20"/>
        </w:rPr>
        <w:t xml:space="preserve"> and those with BCVA</w:t>
      </w:r>
      <w:r w:rsidR="00800669">
        <w:rPr>
          <w:rFonts w:ascii="Times New Roman" w:hAnsi="Times New Roman" w:cs="Times New Roman" w:hint="eastAsia"/>
          <w:sz w:val="20"/>
          <w:szCs w:val="20"/>
          <w:lang w:eastAsia="zh-CN"/>
        </w:rPr>
        <w:t xml:space="preserve"> </w:t>
      </w:r>
      <w:r w:rsidR="005219EE" w:rsidRPr="00D846C4">
        <w:rPr>
          <w:rFonts w:ascii="Times New Roman" w:hAnsi="Times New Roman" w:cs="Times New Roman"/>
          <w:sz w:val="20"/>
          <w:szCs w:val="20"/>
        </w:rPr>
        <w:t>less than 1/60 Patients or</w:t>
      </w:r>
      <w:r w:rsidR="00D846C4" w:rsidRPr="00D846C4">
        <w:rPr>
          <w:rFonts w:ascii="Times New Roman" w:hAnsi="Times New Roman" w:cs="Times New Roman"/>
          <w:sz w:val="20"/>
          <w:szCs w:val="20"/>
        </w:rPr>
        <w:t xml:space="preserve"> </w:t>
      </w:r>
      <w:r w:rsidR="005219EE" w:rsidRPr="00D846C4">
        <w:rPr>
          <w:rFonts w:ascii="Times New Roman" w:hAnsi="Times New Roman" w:cs="Times New Roman"/>
          <w:sz w:val="20"/>
          <w:szCs w:val="20"/>
        </w:rPr>
        <w:t xml:space="preserve">with macular scar following </w:t>
      </w:r>
      <w:r w:rsidR="008B4D6E" w:rsidRPr="00D846C4">
        <w:rPr>
          <w:rFonts w:ascii="Times New Roman" w:hAnsi="Times New Roman" w:cs="Times New Roman"/>
          <w:sz w:val="20"/>
          <w:szCs w:val="20"/>
        </w:rPr>
        <w:t>nv</w:t>
      </w:r>
      <w:r w:rsidR="005219EE" w:rsidRPr="00D846C4">
        <w:rPr>
          <w:rFonts w:ascii="Times New Roman" w:hAnsi="Times New Roman" w:cs="Times New Roman"/>
          <w:sz w:val="20"/>
          <w:szCs w:val="20"/>
        </w:rPr>
        <w:t>AMD were excluded from study</w:t>
      </w:r>
      <w:r w:rsidR="004F1448">
        <w:rPr>
          <w:rFonts w:ascii="Times New Roman" w:hAnsi="Times New Roman" w:cs="Times New Roman" w:hint="eastAsia"/>
          <w:sz w:val="20"/>
          <w:szCs w:val="20"/>
          <w:lang w:eastAsia="zh-CN"/>
        </w:rPr>
        <w:t>.</w:t>
      </w:r>
      <w:r w:rsidR="005F53D7" w:rsidRPr="00D846C4">
        <w:rPr>
          <w:rFonts w:ascii="Times New Roman" w:hAnsi="Times New Roman" w:cs="Times New Roman"/>
          <w:sz w:val="20"/>
          <w:szCs w:val="20"/>
        </w:rPr>
        <w:t xml:space="preserve"> the study was performed in accordance with the declaration of Helsinki and its last amendment and was approved by the ethical committee of Faculty of medicine</w:t>
      </w:r>
      <w:r w:rsidR="00D846C4" w:rsidRPr="00D846C4">
        <w:rPr>
          <w:rFonts w:ascii="Times New Roman" w:hAnsi="Times New Roman" w:cs="Times New Roman"/>
          <w:sz w:val="20"/>
          <w:szCs w:val="20"/>
        </w:rPr>
        <w:t>,</w:t>
      </w:r>
      <w:r w:rsidR="005F53D7" w:rsidRPr="00D846C4">
        <w:rPr>
          <w:rFonts w:ascii="Times New Roman" w:hAnsi="Times New Roman" w:cs="Times New Roman"/>
          <w:sz w:val="20"/>
          <w:szCs w:val="20"/>
        </w:rPr>
        <w:t xml:space="preserve"> Tanta university.</w:t>
      </w:r>
    </w:p>
    <w:p w:rsidR="004F1448" w:rsidRDefault="004874AF" w:rsidP="00DA3DF4">
      <w:pPr>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All patients received complete explanation of the nature and purpose of the study. An informed written consent was obtained from all participants in the research before inclusion. Names of the participants were hidden and replaced by a code number to maintain data privacy.</w:t>
      </w:r>
    </w:p>
    <w:p w:rsidR="004F1448" w:rsidRDefault="00643177"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rPr>
        <w:t>All participants were subject</w:t>
      </w:r>
      <w:r w:rsidR="006C2CC3" w:rsidRPr="00D846C4">
        <w:rPr>
          <w:rFonts w:ascii="Times New Roman" w:hAnsi="Times New Roman" w:cs="Times New Roman"/>
          <w:sz w:val="20"/>
          <w:szCs w:val="20"/>
        </w:rPr>
        <w:t>ed to complete history taking</w:t>
      </w:r>
      <w:r w:rsidR="00A77914" w:rsidRPr="00D846C4">
        <w:rPr>
          <w:rFonts w:ascii="Times New Roman" w:hAnsi="Times New Roman" w:cs="Times New Roman"/>
          <w:sz w:val="20"/>
          <w:szCs w:val="20"/>
        </w:rPr>
        <w:t xml:space="preserve">. Also complete ophthalmological </w:t>
      </w:r>
      <w:r w:rsidR="003C78E8" w:rsidRPr="00D846C4">
        <w:rPr>
          <w:rFonts w:ascii="Times New Roman" w:hAnsi="Times New Roman" w:cs="Times New Roman"/>
          <w:sz w:val="20"/>
          <w:szCs w:val="20"/>
        </w:rPr>
        <w:t>examination included</w:t>
      </w:r>
      <w:r w:rsidR="00DC130E" w:rsidRPr="00D846C4">
        <w:rPr>
          <w:rFonts w:ascii="Times New Roman" w:hAnsi="Times New Roman" w:cs="Times New Roman"/>
          <w:sz w:val="20"/>
          <w:szCs w:val="20"/>
        </w:rPr>
        <w:t xml:space="preserve"> measurement </w:t>
      </w:r>
      <w:r w:rsidR="00783C93" w:rsidRPr="00D846C4">
        <w:rPr>
          <w:rFonts w:ascii="Times New Roman" w:hAnsi="Times New Roman" w:cs="Times New Roman"/>
          <w:sz w:val="20"/>
          <w:szCs w:val="20"/>
        </w:rPr>
        <w:t>of best</w:t>
      </w:r>
      <w:r w:rsidR="00A77914" w:rsidRPr="00D846C4">
        <w:rPr>
          <w:rFonts w:ascii="Times New Roman" w:hAnsi="Times New Roman" w:cs="Times New Roman"/>
          <w:sz w:val="20"/>
          <w:szCs w:val="20"/>
        </w:rPr>
        <w:t xml:space="preserve"> corrected</w:t>
      </w:r>
      <w:r w:rsidR="008E5DDA" w:rsidRPr="00D846C4">
        <w:rPr>
          <w:rFonts w:ascii="Times New Roman" w:hAnsi="Times New Roman" w:cs="Times New Roman"/>
          <w:sz w:val="20"/>
          <w:szCs w:val="20"/>
        </w:rPr>
        <w:t xml:space="preserve"> visual acuity (BCVA) in logMAR</w:t>
      </w:r>
      <w:r w:rsidR="00A77914" w:rsidRPr="00D846C4">
        <w:rPr>
          <w:rFonts w:ascii="Times New Roman" w:hAnsi="Times New Roman" w:cs="Times New Roman"/>
          <w:sz w:val="20"/>
          <w:szCs w:val="20"/>
        </w:rPr>
        <w:t xml:space="preserve"> notation, anterior segment examination using slit lamp biomicroscopy and posterior segment examination using indirect ophthalmoscopy and slit lam</w:t>
      </w:r>
      <w:r w:rsidR="00D02857" w:rsidRPr="00D846C4">
        <w:rPr>
          <w:rFonts w:ascii="Times New Roman" w:hAnsi="Times New Roman" w:cs="Times New Roman"/>
          <w:sz w:val="20"/>
          <w:szCs w:val="20"/>
        </w:rPr>
        <w:t>p biomicroscopy using +78.00 D V</w:t>
      </w:r>
      <w:r w:rsidR="00EA0799" w:rsidRPr="00D846C4">
        <w:rPr>
          <w:rFonts w:ascii="Times New Roman" w:hAnsi="Times New Roman" w:cs="Times New Roman"/>
          <w:sz w:val="20"/>
          <w:szCs w:val="20"/>
        </w:rPr>
        <w:t>olk</w:t>
      </w:r>
      <w:r w:rsidR="00A77914" w:rsidRPr="00D846C4">
        <w:rPr>
          <w:rFonts w:ascii="Times New Roman" w:hAnsi="Times New Roman" w:cs="Times New Roman"/>
          <w:sz w:val="20"/>
          <w:szCs w:val="20"/>
        </w:rPr>
        <w:t xml:space="preserve"> lens. </w:t>
      </w:r>
      <w:r w:rsidR="00222042" w:rsidRPr="00D846C4">
        <w:rPr>
          <w:rFonts w:ascii="Times New Roman" w:hAnsi="Times New Roman" w:cs="Times New Roman"/>
          <w:sz w:val="20"/>
          <w:szCs w:val="20"/>
        </w:rPr>
        <w:t xml:space="preserve">Finally, adequate pharmacological mydriasis using a combination of cyclopentolate 1%, and phenylephrine 10%, </w:t>
      </w:r>
      <w:r w:rsidR="00800669" w:rsidRPr="00D846C4">
        <w:rPr>
          <w:rFonts w:ascii="Times New Roman" w:hAnsi="Times New Roman" w:cs="Times New Roman"/>
          <w:sz w:val="20"/>
          <w:szCs w:val="20"/>
        </w:rPr>
        <w:t>was done</w:t>
      </w:r>
      <w:r w:rsidR="00222042" w:rsidRPr="00D846C4">
        <w:rPr>
          <w:rFonts w:ascii="Times New Roman" w:hAnsi="Times New Roman" w:cs="Times New Roman"/>
          <w:sz w:val="20"/>
          <w:szCs w:val="20"/>
        </w:rPr>
        <w:t xml:space="preserve"> </w:t>
      </w:r>
      <w:r w:rsidR="00222042" w:rsidRPr="00D846C4">
        <w:rPr>
          <w:rFonts w:ascii="Times New Roman" w:hAnsi="Times New Roman" w:cs="Times New Roman"/>
          <w:sz w:val="20"/>
          <w:szCs w:val="20"/>
        </w:rPr>
        <w:lastRenderedPageBreak/>
        <w:t xml:space="preserve">to perform fundus fluorescein angiography </w:t>
      </w:r>
      <w:r w:rsidR="007576EA" w:rsidRPr="00D846C4">
        <w:rPr>
          <w:rFonts w:ascii="Times New Roman" w:hAnsi="Times New Roman" w:cs="Times New Roman"/>
          <w:sz w:val="20"/>
          <w:szCs w:val="20"/>
        </w:rPr>
        <w:t xml:space="preserve">(FFA) </w:t>
      </w:r>
      <w:r w:rsidR="00222042" w:rsidRPr="00D846C4">
        <w:rPr>
          <w:rFonts w:ascii="Times New Roman" w:hAnsi="Times New Roman" w:cs="Times New Roman"/>
          <w:sz w:val="20"/>
          <w:szCs w:val="20"/>
        </w:rPr>
        <w:t xml:space="preserve">imaging on </w:t>
      </w:r>
      <w:r w:rsidR="00901966" w:rsidRPr="00D846C4">
        <w:rPr>
          <w:rFonts w:ascii="Times New Roman" w:hAnsi="Times New Roman" w:cs="Times New Roman"/>
          <w:sz w:val="20"/>
          <w:szCs w:val="20"/>
        </w:rPr>
        <w:t xml:space="preserve">Zeiss Visucam </w:t>
      </w:r>
      <w:r w:rsidR="00901966" w:rsidRPr="00D846C4">
        <w:rPr>
          <w:rFonts w:ascii="Times New Roman" w:hAnsi="Times New Roman" w:cs="Times New Roman"/>
          <w:sz w:val="20"/>
          <w:szCs w:val="20"/>
          <w:lang w:bidi="ar-EG"/>
        </w:rPr>
        <w:t>fundus camera (Carl Zeiss Meditec, Germany)</w:t>
      </w:r>
      <w:r w:rsidR="00C3083F" w:rsidRPr="00D846C4">
        <w:rPr>
          <w:rFonts w:ascii="Times New Roman" w:hAnsi="Times New Roman" w:cs="Times New Roman"/>
          <w:sz w:val="20"/>
          <w:szCs w:val="20"/>
        </w:rPr>
        <w:t>, and Optical Coher</w:t>
      </w:r>
      <w:r w:rsidR="004F20F9" w:rsidRPr="00D846C4">
        <w:rPr>
          <w:rFonts w:ascii="Times New Roman" w:hAnsi="Times New Roman" w:cs="Times New Roman"/>
          <w:sz w:val="20"/>
          <w:szCs w:val="20"/>
        </w:rPr>
        <w:t>ence Tomography (OCT</w:t>
      </w:r>
      <w:r w:rsidR="00C3083F" w:rsidRPr="00D846C4">
        <w:rPr>
          <w:rFonts w:ascii="Times New Roman" w:hAnsi="Times New Roman" w:cs="Times New Roman"/>
          <w:sz w:val="20"/>
          <w:szCs w:val="20"/>
        </w:rPr>
        <w:t>)</w:t>
      </w:r>
      <w:r w:rsidR="004F20F9" w:rsidRPr="00D846C4">
        <w:rPr>
          <w:rFonts w:ascii="Times New Roman" w:hAnsi="Times New Roman" w:cs="Times New Roman"/>
          <w:sz w:val="20"/>
          <w:szCs w:val="20"/>
          <w:lang w:bidi="ar-EG"/>
        </w:rPr>
        <w:t xml:space="preserve"> was done using a spectral domain OCT device Spectralis (Heidelberg Engineering, Heidelberg Germany). </w:t>
      </w:r>
      <w:r w:rsidR="00D840D2" w:rsidRPr="00D846C4">
        <w:rPr>
          <w:rFonts w:ascii="Times New Roman" w:hAnsi="Times New Roman" w:cs="Times New Roman"/>
          <w:sz w:val="20"/>
          <w:szCs w:val="20"/>
          <w:lang w:bidi="ar-EG"/>
        </w:rPr>
        <w:t>Horizontal and vertical line scans were performed using spectral domain OCT scan at macular region centered on the fovea. Macular ETDRS map analysis was used to measure Central foveal thickness (CFT). Ellipsoid zone (EZ) was determined at 5 regions including; fovea, 500µm</w:t>
      </w:r>
      <w:r w:rsidR="00D846C4" w:rsidRPr="00D846C4">
        <w:rPr>
          <w:rFonts w:ascii="Times New Roman" w:hAnsi="Times New Roman" w:cs="Times New Roman"/>
          <w:sz w:val="20"/>
          <w:szCs w:val="20"/>
          <w:lang w:bidi="ar-EG"/>
        </w:rPr>
        <w:t xml:space="preserve"> </w:t>
      </w:r>
      <w:r w:rsidR="00C6342D" w:rsidRPr="00D846C4">
        <w:rPr>
          <w:rFonts w:ascii="Times New Roman" w:hAnsi="Times New Roman" w:cs="Times New Roman"/>
          <w:sz w:val="20"/>
          <w:szCs w:val="20"/>
          <w:lang w:bidi="ar-EG"/>
        </w:rPr>
        <w:t>superior</w:t>
      </w:r>
      <w:r w:rsidR="00D846C4" w:rsidRPr="00D846C4">
        <w:rPr>
          <w:rFonts w:ascii="Times New Roman" w:hAnsi="Times New Roman" w:cs="Times New Roman"/>
          <w:sz w:val="20"/>
          <w:szCs w:val="20"/>
          <w:lang w:bidi="ar-EG"/>
        </w:rPr>
        <w:t>,</w:t>
      </w:r>
      <w:r w:rsidR="00D840D2" w:rsidRPr="00D846C4">
        <w:rPr>
          <w:rFonts w:ascii="Times New Roman" w:hAnsi="Times New Roman" w:cs="Times New Roman"/>
          <w:sz w:val="20"/>
          <w:szCs w:val="20"/>
          <w:lang w:bidi="ar-EG"/>
        </w:rPr>
        <w:t xml:space="preserve"> 500µm</w:t>
      </w:r>
      <w:r w:rsidR="00D846C4" w:rsidRPr="00D846C4">
        <w:rPr>
          <w:rFonts w:ascii="Times New Roman" w:hAnsi="Times New Roman" w:cs="Times New Roman"/>
          <w:sz w:val="20"/>
          <w:szCs w:val="20"/>
          <w:lang w:bidi="ar-EG"/>
        </w:rPr>
        <w:t xml:space="preserve"> </w:t>
      </w:r>
      <w:r w:rsidR="00D840D2" w:rsidRPr="00D846C4">
        <w:rPr>
          <w:rFonts w:ascii="Times New Roman" w:hAnsi="Times New Roman" w:cs="Times New Roman"/>
          <w:sz w:val="20"/>
          <w:szCs w:val="20"/>
          <w:lang w:bidi="ar-EG"/>
        </w:rPr>
        <w:t>nasal, 500µm</w:t>
      </w:r>
      <w:r w:rsidR="00D846C4" w:rsidRPr="00D846C4">
        <w:rPr>
          <w:rFonts w:ascii="Times New Roman" w:hAnsi="Times New Roman" w:cs="Times New Roman"/>
          <w:sz w:val="20"/>
          <w:szCs w:val="20"/>
          <w:lang w:bidi="ar-EG"/>
        </w:rPr>
        <w:t xml:space="preserve"> </w:t>
      </w:r>
      <w:r w:rsidR="00C6342D" w:rsidRPr="00D846C4">
        <w:rPr>
          <w:rFonts w:ascii="Times New Roman" w:hAnsi="Times New Roman" w:cs="Times New Roman"/>
          <w:sz w:val="20"/>
          <w:szCs w:val="20"/>
          <w:lang w:bidi="ar-EG"/>
        </w:rPr>
        <w:t>inferior</w:t>
      </w:r>
      <w:r w:rsidR="00D840D2" w:rsidRPr="00D846C4">
        <w:rPr>
          <w:rFonts w:ascii="Times New Roman" w:hAnsi="Times New Roman" w:cs="Times New Roman"/>
          <w:sz w:val="20"/>
          <w:szCs w:val="20"/>
          <w:lang w:bidi="ar-EG"/>
        </w:rPr>
        <w:t xml:space="preserve"> and</w:t>
      </w:r>
      <w:r w:rsidR="00D846C4" w:rsidRPr="00D846C4">
        <w:rPr>
          <w:rFonts w:ascii="Times New Roman" w:hAnsi="Times New Roman" w:cs="Times New Roman"/>
          <w:sz w:val="20"/>
          <w:szCs w:val="20"/>
          <w:lang w:bidi="ar-EG"/>
        </w:rPr>
        <w:t xml:space="preserve"> </w:t>
      </w:r>
      <w:r w:rsidR="00D840D2" w:rsidRPr="00D846C4">
        <w:rPr>
          <w:rFonts w:ascii="Times New Roman" w:hAnsi="Times New Roman" w:cs="Times New Roman"/>
          <w:sz w:val="20"/>
          <w:szCs w:val="20"/>
          <w:lang w:bidi="ar-EG"/>
        </w:rPr>
        <w:t xml:space="preserve">500µm temporal parafoveal regions. Areas with intact EZ were described as X while others with absent EZ were described as Y. Data from 5 zones were analyzed and EZ was divided into 3groups </w:t>
      </w:r>
      <w:r w:rsidR="00D840D2" w:rsidRPr="00D846C4">
        <w:rPr>
          <w:rFonts w:ascii="Times New Roman" w:hAnsi="Times New Roman" w:cs="Times New Roman"/>
          <w:b/>
          <w:bCs/>
          <w:sz w:val="20"/>
          <w:szCs w:val="20"/>
          <w:lang w:bidi="ar-EG"/>
        </w:rPr>
        <w:t>I</w:t>
      </w:r>
      <w:r w:rsidR="00D846C4" w:rsidRPr="00D846C4">
        <w:rPr>
          <w:rFonts w:ascii="Times New Roman" w:hAnsi="Times New Roman" w:cs="Times New Roman"/>
          <w:b/>
          <w:bCs/>
          <w:sz w:val="20"/>
          <w:szCs w:val="20"/>
          <w:lang w:bidi="ar-EG"/>
        </w:rPr>
        <w:t xml:space="preserve"> </w:t>
      </w:r>
      <w:r w:rsidR="00D840D2" w:rsidRPr="00D846C4">
        <w:rPr>
          <w:rFonts w:ascii="Times New Roman" w:hAnsi="Times New Roman" w:cs="Times New Roman"/>
          <w:sz w:val="20"/>
          <w:szCs w:val="20"/>
          <w:lang w:bidi="ar-EG"/>
        </w:rPr>
        <w:t xml:space="preserve">for intact, </w:t>
      </w:r>
      <w:r w:rsidR="00D840D2" w:rsidRPr="00D846C4">
        <w:rPr>
          <w:rFonts w:ascii="Times New Roman" w:hAnsi="Times New Roman" w:cs="Times New Roman"/>
          <w:b/>
          <w:bCs/>
          <w:sz w:val="20"/>
          <w:szCs w:val="20"/>
          <w:lang w:bidi="ar-EG"/>
        </w:rPr>
        <w:t>D</w:t>
      </w:r>
      <w:r w:rsidR="00D840D2" w:rsidRPr="00D846C4">
        <w:rPr>
          <w:rFonts w:ascii="Times New Roman" w:hAnsi="Times New Roman" w:cs="Times New Roman"/>
          <w:sz w:val="20"/>
          <w:szCs w:val="20"/>
          <w:lang w:bidi="ar-EG"/>
        </w:rPr>
        <w:t xml:space="preserve"> for interrupted and </w:t>
      </w:r>
      <w:r w:rsidR="00D840D2" w:rsidRPr="00D846C4">
        <w:rPr>
          <w:rFonts w:ascii="Times New Roman" w:hAnsi="Times New Roman" w:cs="Times New Roman"/>
          <w:b/>
          <w:bCs/>
          <w:sz w:val="20"/>
          <w:szCs w:val="20"/>
          <w:lang w:bidi="ar-EG"/>
        </w:rPr>
        <w:t>A</w:t>
      </w:r>
      <w:r w:rsidR="00D840D2" w:rsidRPr="00D846C4">
        <w:rPr>
          <w:rFonts w:ascii="Times New Roman" w:hAnsi="Times New Roman" w:cs="Times New Roman"/>
          <w:sz w:val="20"/>
          <w:szCs w:val="20"/>
          <w:lang w:bidi="ar-EG"/>
        </w:rPr>
        <w:t xml:space="preserve"> for absent EZ</w:t>
      </w:r>
      <w:r w:rsidR="00EB4CFF" w:rsidRPr="00D846C4">
        <w:rPr>
          <w:rFonts w:ascii="Times New Roman" w:hAnsi="Times New Roman" w:cs="Times New Roman"/>
          <w:sz w:val="20"/>
          <w:szCs w:val="20"/>
        </w:rPr>
        <w:t>.</w:t>
      </w:r>
      <w:r w:rsidR="002101F6" w:rsidRPr="00D846C4">
        <w:rPr>
          <w:rFonts w:ascii="Times New Roman" w:hAnsi="Times New Roman" w:cs="Times New Roman"/>
          <w:sz w:val="20"/>
          <w:szCs w:val="20"/>
          <w:lang w:bidi="ar-EG"/>
        </w:rPr>
        <w:t xml:space="preserve"> Tracking technology was used in follow up images. Pre injection images were set as reference to insure precise follow up location.</w:t>
      </w:r>
    </w:p>
    <w:p w:rsidR="004F1448" w:rsidRDefault="005564B5"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rPr>
        <w:t>mfERG</w:t>
      </w:r>
      <w:r w:rsidR="00E91740" w:rsidRPr="00D846C4">
        <w:rPr>
          <w:rFonts w:ascii="Times New Roman" w:hAnsi="Times New Roman" w:cs="Times New Roman"/>
          <w:sz w:val="20"/>
          <w:szCs w:val="20"/>
        </w:rPr>
        <w:t xml:space="preserve"> was</w:t>
      </w:r>
      <w:r w:rsidRPr="00D846C4">
        <w:rPr>
          <w:rFonts w:ascii="Times New Roman" w:hAnsi="Times New Roman" w:cs="Times New Roman"/>
          <w:sz w:val="20"/>
          <w:szCs w:val="20"/>
          <w:lang w:bidi="ar-EG"/>
        </w:rPr>
        <w:t xml:space="preserve"> performed using Retimax System for Ocular</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Electrophysiology (RETIMAX advanced plus, C.S.O. srl (Firenze) – Italy</w:t>
      </w:r>
      <w:r w:rsidR="00D26E56" w:rsidRPr="00D846C4">
        <w:rPr>
          <w:rFonts w:ascii="Times New Roman" w:hAnsi="Times New Roman" w:cs="Times New Roman"/>
          <w:sz w:val="20"/>
          <w:szCs w:val="20"/>
          <w:lang w:bidi="ar-EG"/>
        </w:rPr>
        <w:t xml:space="preserve"> according to the International Society for Clinical Electrophysiology of Vision (ISCEV) guideline</w:t>
      </w:r>
      <w:r w:rsidR="00D846C4" w:rsidRPr="00D846C4">
        <w:rPr>
          <w:rFonts w:ascii="Times New Roman" w:hAnsi="Times New Roman" w:cs="Times New Roman"/>
          <w:sz w:val="20"/>
          <w:szCs w:val="20"/>
          <w:lang w:bidi="ar-EG"/>
        </w:rPr>
        <w:t xml:space="preserve">s </w:t>
      </w:r>
      <w:r w:rsidR="00D846C4" w:rsidRPr="00D846C4">
        <w:rPr>
          <w:rFonts w:ascii="Times New Roman" w:hAnsi="Times New Roman" w:cs="Times New Roman"/>
          <w:sz w:val="20"/>
          <w:szCs w:val="20"/>
          <w:vertAlign w:val="superscript"/>
          <w:lang w:bidi="ar-EG"/>
        </w:rPr>
        <w:t>(</w:t>
      </w:r>
      <w:r w:rsidR="00F36E08" w:rsidRPr="00D846C4">
        <w:rPr>
          <w:rFonts w:ascii="Times New Roman" w:hAnsi="Times New Roman" w:cs="Times New Roman"/>
          <w:sz w:val="20"/>
          <w:szCs w:val="20"/>
          <w:vertAlign w:val="superscript"/>
          <w:lang w:bidi="ar-EG"/>
        </w:rPr>
        <w:t>10)</w:t>
      </w:r>
      <w:r w:rsidR="00D26E56" w:rsidRPr="00D846C4">
        <w:rPr>
          <w:rFonts w:ascii="Times New Roman" w:hAnsi="Times New Roman" w:cs="Times New Roman"/>
          <w:sz w:val="20"/>
          <w:szCs w:val="20"/>
          <w:lang w:bidi="ar-EG"/>
        </w:rPr>
        <w:t>.</w:t>
      </w:r>
      <w:r w:rsidR="00074240" w:rsidRPr="00D846C4">
        <w:rPr>
          <w:rFonts w:ascii="Times New Roman" w:hAnsi="Times New Roman" w:cs="Times New Roman"/>
          <w:sz w:val="20"/>
          <w:szCs w:val="20"/>
          <w:lang w:bidi="ar-EG"/>
        </w:rPr>
        <w:t xml:space="preserve"> The stimulus consisted of 61 hexagonal elements, which switched on and off according to pseudorandom binary sequence. </w:t>
      </w:r>
      <w:r w:rsidR="00AE3BB4" w:rsidRPr="00D846C4">
        <w:rPr>
          <w:rFonts w:ascii="Times New Roman" w:hAnsi="Times New Roman" w:cs="Times New Roman"/>
          <w:sz w:val="20"/>
          <w:szCs w:val="20"/>
          <w:lang w:bidi="ar-EG"/>
        </w:rPr>
        <w:t>The procedure</w:t>
      </w:r>
      <w:r w:rsidR="00074240" w:rsidRPr="00D846C4">
        <w:rPr>
          <w:rFonts w:ascii="Times New Roman" w:hAnsi="Times New Roman" w:cs="Times New Roman"/>
          <w:sz w:val="20"/>
          <w:szCs w:val="20"/>
          <w:lang w:bidi="ar-EG"/>
        </w:rPr>
        <w:t xml:space="preserve"> was explained clearly to all patients before testing. Pupil dilatation ≥6mm was insured. All</w:t>
      </w:r>
      <w:r w:rsidR="00B14811" w:rsidRPr="00D846C4">
        <w:rPr>
          <w:rFonts w:ascii="Times New Roman" w:hAnsi="Times New Roman" w:cs="Times New Roman"/>
          <w:sz w:val="20"/>
          <w:szCs w:val="20"/>
          <w:lang w:bidi="ar-EG"/>
        </w:rPr>
        <w:t xml:space="preserve"> the</w:t>
      </w:r>
      <w:r w:rsidR="00074240" w:rsidRPr="00D846C4">
        <w:rPr>
          <w:rFonts w:ascii="Times New Roman" w:hAnsi="Times New Roman" w:cs="Times New Roman"/>
          <w:sz w:val="20"/>
          <w:szCs w:val="20"/>
          <w:lang w:bidi="ar-EG"/>
        </w:rPr>
        <w:t xml:space="preserve"> patient</w:t>
      </w:r>
      <w:r w:rsidR="00B14811" w:rsidRPr="00D846C4">
        <w:rPr>
          <w:rFonts w:ascii="Times New Roman" w:hAnsi="Times New Roman" w:cs="Times New Roman"/>
          <w:sz w:val="20"/>
          <w:szCs w:val="20"/>
          <w:lang w:bidi="ar-EG"/>
        </w:rPr>
        <w:t>s were</w:t>
      </w:r>
      <w:r w:rsidR="00074240" w:rsidRPr="00D846C4">
        <w:rPr>
          <w:rFonts w:ascii="Times New Roman" w:hAnsi="Times New Roman" w:cs="Times New Roman"/>
          <w:sz w:val="20"/>
          <w:szCs w:val="20"/>
          <w:lang w:bidi="ar-EG"/>
        </w:rPr>
        <w:t xml:space="preserve"> exposed to ordinary room lighting 15 min prior to test and full optical correction is used. The eye not under test was covered. The distance of examination was set at 30 cm. Under local anesthesia, activity of retina was recorded using HKLOOP Electrodes. Test was performed under dim light</w:t>
      </w:r>
      <w:r w:rsidR="0008248A" w:rsidRPr="00D846C4">
        <w:rPr>
          <w:rFonts w:ascii="Times New Roman" w:hAnsi="Times New Roman" w:cs="Times New Roman"/>
          <w:sz w:val="20"/>
          <w:szCs w:val="20"/>
          <w:lang w:bidi="ar-EG"/>
        </w:rPr>
        <w:t xml:space="preserve"> and</w:t>
      </w:r>
      <w:r w:rsidR="00074240" w:rsidRPr="00D846C4">
        <w:rPr>
          <w:rFonts w:ascii="Times New Roman" w:hAnsi="Times New Roman" w:cs="Times New Roman"/>
          <w:sz w:val="20"/>
          <w:szCs w:val="20"/>
          <w:lang w:bidi="ar-EG"/>
        </w:rPr>
        <w:t xml:space="preserve"> repeated twice to insure that reproducible measures could be obtained. Data from mfERG was obtained from 2 central rings, R1</w:t>
      </w:r>
      <w:r w:rsidR="00D846C4" w:rsidRPr="00D846C4">
        <w:rPr>
          <w:rFonts w:ascii="Times New Roman" w:hAnsi="Times New Roman" w:cs="Times New Roman"/>
          <w:sz w:val="20"/>
          <w:szCs w:val="20"/>
          <w:lang w:bidi="ar-EG"/>
        </w:rPr>
        <w:t xml:space="preserve"> </w:t>
      </w:r>
      <w:r w:rsidR="00074240" w:rsidRPr="00D846C4">
        <w:rPr>
          <w:rFonts w:ascii="Times New Roman" w:hAnsi="Times New Roman" w:cs="Times New Roman"/>
          <w:sz w:val="20"/>
          <w:szCs w:val="20"/>
          <w:lang w:bidi="ar-EG"/>
        </w:rPr>
        <w:t>corresponding to the central 8° of the retina; R2 corresponding to area</w:t>
      </w:r>
      <w:r w:rsidR="00D846C4" w:rsidRPr="00D846C4">
        <w:rPr>
          <w:rFonts w:ascii="Times New Roman" w:hAnsi="Times New Roman" w:cs="Times New Roman"/>
          <w:sz w:val="20"/>
          <w:szCs w:val="20"/>
          <w:lang w:bidi="ar-EG"/>
        </w:rPr>
        <w:t xml:space="preserve"> </w:t>
      </w:r>
      <w:r w:rsidR="00074240" w:rsidRPr="00D846C4">
        <w:rPr>
          <w:rFonts w:ascii="Times New Roman" w:hAnsi="Times New Roman" w:cs="Times New Roman"/>
          <w:sz w:val="20"/>
          <w:szCs w:val="20"/>
          <w:lang w:bidi="ar-EG"/>
        </w:rPr>
        <w:t>located between 8° and 24° representing fovea and parafoveal zone respectively.</w:t>
      </w:r>
      <w:r w:rsidR="00D903A1" w:rsidRPr="00D846C4">
        <w:rPr>
          <w:rFonts w:ascii="Times New Roman" w:hAnsi="Times New Roman" w:cs="Times New Roman"/>
          <w:sz w:val="20"/>
          <w:szCs w:val="20"/>
          <w:lang w:bidi="ar-EG"/>
        </w:rPr>
        <w:t xml:space="preserve"> mfERG parameters including P1 amplitude, P1 implicit time, N1 amplitude, P1 response density and Average P1+P2 amplitude in R1+R2respectively were correlated with OCT and BCVA.</w:t>
      </w:r>
    </w:p>
    <w:p w:rsidR="004F1448" w:rsidRDefault="00D846C4"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A</w:t>
      </w:r>
      <w:r w:rsidR="0077145E" w:rsidRPr="00D846C4">
        <w:rPr>
          <w:rFonts w:ascii="Times New Roman" w:hAnsi="Times New Roman" w:cs="Times New Roman"/>
          <w:sz w:val="20"/>
          <w:szCs w:val="20"/>
          <w:lang w:bidi="ar-EG"/>
        </w:rPr>
        <w:t>ll the p</w:t>
      </w:r>
      <w:r w:rsidR="00496BCB" w:rsidRPr="00D846C4">
        <w:rPr>
          <w:rFonts w:ascii="Times New Roman" w:hAnsi="Times New Roman" w:cs="Times New Roman"/>
          <w:sz w:val="20"/>
          <w:szCs w:val="20"/>
          <w:lang w:bidi="ar-EG"/>
        </w:rPr>
        <w:t xml:space="preserve">atients received 3 loading doses of intravitreal injection of 0.5 mg Ranibizumab (Lucentis) 4weeks </w:t>
      </w:r>
      <w:r w:rsidR="00D17FCD" w:rsidRPr="00D846C4">
        <w:rPr>
          <w:rFonts w:ascii="Times New Roman" w:hAnsi="Times New Roman" w:cs="Times New Roman"/>
          <w:sz w:val="20"/>
          <w:szCs w:val="20"/>
          <w:lang w:bidi="ar-EG"/>
        </w:rPr>
        <w:t>apart</w:t>
      </w:r>
      <w:r w:rsidR="00496BCB" w:rsidRPr="00D846C4">
        <w:rPr>
          <w:rFonts w:ascii="Times New Roman" w:hAnsi="Times New Roman" w:cs="Times New Roman"/>
          <w:sz w:val="20"/>
          <w:szCs w:val="20"/>
          <w:lang w:bidi="ar-EG"/>
        </w:rPr>
        <w:t xml:space="preserve"> as a part of their treatment protocol followed</w:t>
      </w:r>
      <w:r w:rsidR="00A57664" w:rsidRPr="00D846C4">
        <w:rPr>
          <w:rFonts w:ascii="Times New Roman" w:hAnsi="Times New Roman" w:cs="Times New Roman"/>
          <w:sz w:val="20"/>
          <w:szCs w:val="20"/>
          <w:lang w:bidi="ar-EG"/>
        </w:rPr>
        <w:t xml:space="preserve"> in Tanta university hospital. They were </w:t>
      </w:r>
      <w:r w:rsidR="00496BCB" w:rsidRPr="00D846C4">
        <w:rPr>
          <w:rFonts w:ascii="Times New Roman" w:hAnsi="Times New Roman" w:cs="Times New Roman"/>
          <w:sz w:val="20"/>
          <w:szCs w:val="20"/>
          <w:lang w:bidi="ar-EG"/>
        </w:rPr>
        <w:t>observed 1month later following last injection and BCVA, OCT and mfERG were repeated.</w:t>
      </w:r>
    </w:p>
    <w:p w:rsidR="004F1448" w:rsidRDefault="007C350E" w:rsidP="00DA3DF4">
      <w:pPr>
        <w:snapToGrid w:val="0"/>
        <w:spacing w:after="0" w:line="240" w:lineRule="auto"/>
        <w:jc w:val="both"/>
        <w:rPr>
          <w:rFonts w:ascii="Times New Roman" w:hAnsi="Times New Roman" w:cs="Times New Roman"/>
          <w:b/>
          <w:bCs/>
          <w:sz w:val="20"/>
          <w:szCs w:val="20"/>
          <w:vertAlign w:val="superscript"/>
        </w:rPr>
      </w:pPr>
      <w:r w:rsidRPr="00D846C4">
        <w:rPr>
          <w:rFonts w:ascii="Times New Roman" w:hAnsi="Times New Roman" w:cs="Times New Roman"/>
          <w:b/>
          <w:bCs/>
          <w:sz w:val="20"/>
          <w:szCs w:val="20"/>
        </w:rPr>
        <w:t>Statistical analysis</w:t>
      </w:r>
    </w:p>
    <w:p w:rsidR="004F1448" w:rsidRDefault="00BB2492" w:rsidP="00DA3DF4">
      <w:pPr>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Data were analyzed using IBM SPSS version 20.0. (Armonk, NY: IBM Corp)</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Q</w:t>
      </w:r>
      <w:r w:rsidRPr="00D846C4">
        <w:rPr>
          <w:rFonts w:ascii="Times New Roman" w:hAnsi="Times New Roman" w:cs="Times New Roman"/>
          <w:sz w:val="20"/>
          <w:szCs w:val="20"/>
        </w:rPr>
        <w:t>ualitative data were described using number and percent</w:t>
      </w:r>
      <w:r w:rsidR="00B338B1" w:rsidRPr="00D846C4">
        <w:rPr>
          <w:rFonts w:ascii="Times New Roman" w:hAnsi="Times New Roman" w:cs="Times New Roman"/>
          <w:sz w:val="20"/>
          <w:szCs w:val="20"/>
        </w:rPr>
        <w:t>age</w:t>
      </w:r>
      <w:r w:rsidRPr="00D846C4">
        <w:rPr>
          <w:rFonts w:ascii="Times New Roman" w:hAnsi="Times New Roman" w:cs="Times New Roman"/>
          <w:sz w:val="20"/>
          <w:szCs w:val="20"/>
        </w:rPr>
        <w:t xml:space="preserve">. The Kolmogorov-Smirnov test </w:t>
      </w:r>
      <w:r w:rsidR="00CA58AB" w:rsidRPr="00D846C4">
        <w:rPr>
          <w:rFonts w:ascii="Times New Roman" w:hAnsi="Times New Roman" w:cs="Times New Roman"/>
          <w:sz w:val="20"/>
          <w:szCs w:val="20"/>
        </w:rPr>
        <w:t>was</w:t>
      </w:r>
      <w:r w:rsidRPr="00D846C4">
        <w:rPr>
          <w:rFonts w:ascii="Times New Roman" w:hAnsi="Times New Roman" w:cs="Times New Roman"/>
          <w:sz w:val="20"/>
          <w:szCs w:val="20"/>
        </w:rPr>
        <w:t xml:space="preserve"> used to verify the </w:t>
      </w:r>
      <w:r w:rsidRPr="00D846C4">
        <w:rPr>
          <w:rFonts w:ascii="Times New Roman" w:hAnsi="Times New Roman" w:cs="Times New Roman"/>
          <w:sz w:val="20"/>
          <w:szCs w:val="20"/>
        </w:rPr>
        <w:lastRenderedPageBreak/>
        <w:t xml:space="preserve">normality of distribution. Quantitative data were described using range (minimum and maximum), mean, standard deviation </w:t>
      </w:r>
      <w:r w:rsidR="00CB55A5" w:rsidRPr="00D846C4">
        <w:rPr>
          <w:rFonts w:ascii="Times New Roman" w:hAnsi="Times New Roman" w:cs="Times New Roman"/>
          <w:sz w:val="20"/>
          <w:szCs w:val="20"/>
        </w:rPr>
        <w:t xml:space="preserve">(SD) </w:t>
      </w:r>
      <w:r w:rsidRPr="00D846C4">
        <w:rPr>
          <w:rFonts w:ascii="Times New Roman" w:hAnsi="Times New Roman" w:cs="Times New Roman"/>
          <w:sz w:val="20"/>
          <w:szCs w:val="20"/>
        </w:rPr>
        <w:t>and median. Significance of the obtained results was judged at the 5% level.</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090DA5"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t xml:space="preserve">3. </w:t>
      </w:r>
      <w:r w:rsidR="005666E6" w:rsidRPr="00D846C4">
        <w:rPr>
          <w:rFonts w:ascii="Times New Roman" w:hAnsi="Times New Roman" w:cs="Times New Roman"/>
          <w:b/>
          <w:bCs/>
          <w:sz w:val="20"/>
          <w:szCs w:val="20"/>
        </w:rPr>
        <w:t>Results</w:t>
      </w:r>
    </w:p>
    <w:p w:rsidR="004F1448" w:rsidRDefault="009E5501" w:rsidP="00DA3DF4">
      <w:pPr>
        <w:snapToGrid w:val="0"/>
        <w:spacing w:after="0" w:line="240" w:lineRule="auto"/>
        <w:ind w:firstLine="425"/>
        <w:jc w:val="both"/>
        <w:rPr>
          <w:rFonts w:ascii="Times New Roman" w:hAnsi="Times New Roman" w:cs="Times New Roman"/>
          <w:sz w:val="20"/>
          <w:szCs w:val="20"/>
          <w:lang w:bidi="ar-EG"/>
        </w:rPr>
      </w:pPr>
      <w:r w:rsidRPr="00D846C4">
        <w:rPr>
          <w:rStyle w:val="apple-style-span"/>
          <w:rFonts w:ascii="Times New Roman" w:hAnsi="Times New Roman" w:cs="Times New Roman"/>
          <w:sz w:val="20"/>
          <w:szCs w:val="20"/>
        </w:rPr>
        <w:t>The</w:t>
      </w:r>
      <w:r w:rsidR="009A1BBC" w:rsidRPr="00D846C4">
        <w:rPr>
          <w:rFonts w:ascii="Times New Roman" w:hAnsi="Times New Roman" w:cs="Times New Roman"/>
          <w:sz w:val="20"/>
          <w:szCs w:val="20"/>
        </w:rPr>
        <w:t xml:space="preserve"> mean age</w:t>
      </w:r>
      <w:r w:rsidRPr="00D846C4">
        <w:rPr>
          <w:rFonts w:ascii="Times New Roman" w:hAnsi="Times New Roman" w:cs="Times New Roman"/>
          <w:sz w:val="20"/>
          <w:szCs w:val="20"/>
        </w:rPr>
        <w:t xml:space="preserve"> of the </w:t>
      </w:r>
      <w:r w:rsidR="00800669" w:rsidRPr="00D846C4">
        <w:rPr>
          <w:rFonts w:ascii="Times New Roman" w:hAnsi="Times New Roman" w:cs="Times New Roman"/>
          <w:sz w:val="20"/>
          <w:szCs w:val="20"/>
        </w:rPr>
        <w:t>participants was</w:t>
      </w:r>
      <w:r w:rsidR="00B62CDD" w:rsidRPr="00D846C4">
        <w:rPr>
          <w:rFonts w:ascii="Times New Roman" w:hAnsi="Times New Roman" w:cs="Times New Roman"/>
          <w:sz w:val="20"/>
          <w:szCs w:val="20"/>
        </w:rPr>
        <w:t xml:space="preserve"> </w:t>
      </w:r>
      <w:r w:rsidR="00677F86" w:rsidRPr="00D846C4">
        <w:rPr>
          <w:rFonts w:ascii="Times New Roman" w:hAnsi="Times New Roman" w:cs="Times New Roman"/>
          <w:sz w:val="20"/>
          <w:szCs w:val="20"/>
          <w:lang w:bidi="ar-EG"/>
        </w:rPr>
        <w:t>70.27 ± 8.0</w:t>
      </w:r>
      <w:r w:rsidR="003B6ADE" w:rsidRPr="00D846C4">
        <w:rPr>
          <w:rFonts w:ascii="Times New Roman" w:hAnsi="Times New Roman" w:cs="Times New Roman"/>
          <w:sz w:val="20"/>
          <w:szCs w:val="20"/>
        </w:rPr>
        <w:t>0</w:t>
      </w:r>
      <w:r w:rsidRPr="00D846C4">
        <w:rPr>
          <w:rFonts w:ascii="Times New Roman" w:hAnsi="Times New Roman" w:cs="Times New Roman"/>
          <w:sz w:val="20"/>
          <w:szCs w:val="20"/>
        </w:rPr>
        <w:t>ys</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O</w:t>
      </w:r>
      <w:r w:rsidR="00637F02" w:rsidRPr="00D846C4">
        <w:rPr>
          <w:rFonts w:ascii="Times New Roman" w:hAnsi="Times New Roman" w:cs="Times New Roman"/>
          <w:sz w:val="20"/>
          <w:szCs w:val="20"/>
        </w:rPr>
        <w:t>f them,</w:t>
      </w:r>
      <w:r w:rsidR="00800669">
        <w:rPr>
          <w:rFonts w:ascii="Times New Roman" w:hAnsi="Times New Roman" w:cs="Times New Roman" w:hint="eastAsia"/>
          <w:sz w:val="20"/>
          <w:szCs w:val="20"/>
          <w:lang w:eastAsia="zh-CN"/>
        </w:rPr>
        <w:t xml:space="preserve"> </w:t>
      </w:r>
      <w:r w:rsidR="00EF1411" w:rsidRPr="00D846C4">
        <w:rPr>
          <w:rFonts w:ascii="Times New Roman" w:hAnsi="Times New Roman" w:cs="Times New Roman"/>
          <w:sz w:val="20"/>
          <w:szCs w:val="20"/>
        </w:rPr>
        <w:t>40.8</w:t>
      </w:r>
      <w:r w:rsidR="00D23338" w:rsidRPr="00D846C4">
        <w:rPr>
          <w:rFonts w:ascii="Times New Roman" w:hAnsi="Times New Roman" w:cs="Times New Roman"/>
          <w:sz w:val="20"/>
          <w:szCs w:val="20"/>
        </w:rPr>
        <w:t xml:space="preserve">% were males and </w:t>
      </w:r>
      <w:r w:rsidR="00EF1411" w:rsidRPr="00D846C4">
        <w:rPr>
          <w:rFonts w:ascii="Times New Roman" w:hAnsi="Times New Roman" w:cs="Times New Roman"/>
          <w:sz w:val="20"/>
          <w:szCs w:val="20"/>
        </w:rPr>
        <w:t>59.2</w:t>
      </w:r>
      <w:r w:rsidR="00D23338" w:rsidRPr="00D846C4">
        <w:rPr>
          <w:rFonts w:ascii="Times New Roman" w:hAnsi="Times New Roman" w:cs="Times New Roman"/>
          <w:sz w:val="20"/>
          <w:szCs w:val="20"/>
        </w:rPr>
        <w:t>% were females</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Style w:val="apple-style-span"/>
          <w:rFonts w:ascii="Times New Roman" w:hAnsi="Times New Roman" w:cs="Times New Roman"/>
          <w:sz w:val="20"/>
          <w:szCs w:val="20"/>
        </w:rPr>
        <w:t>T</w:t>
      </w:r>
      <w:r w:rsidR="000D6B71" w:rsidRPr="00D846C4">
        <w:rPr>
          <w:rStyle w:val="apple-style-span"/>
          <w:rFonts w:ascii="Times New Roman" w:hAnsi="Times New Roman" w:cs="Times New Roman"/>
          <w:sz w:val="20"/>
          <w:szCs w:val="20"/>
        </w:rPr>
        <w:t>hree patients had bilateral nvAMD. Seventeen</w:t>
      </w:r>
      <w:r w:rsidR="00D846C4" w:rsidRPr="00D846C4">
        <w:rPr>
          <w:rStyle w:val="apple-style-span"/>
          <w:rFonts w:ascii="Times New Roman" w:hAnsi="Times New Roman" w:cs="Times New Roman"/>
          <w:sz w:val="20"/>
          <w:szCs w:val="20"/>
        </w:rPr>
        <w:t xml:space="preserve"> </w:t>
      </w:r>
      <w:r w:rsidR="000D6B71" w:rsidRPr="00D846C4">
        <w:rPr>
          <w:rStyle w:val="apple-style-span"/>
          <w:rFonts w:ascii="Times New Roman" w:hAnsi="Times New Roman" w:cs="Times New Roman"/>
          <w:sz w:val="20"/>
          <w:szCs w:val="20"/>
        </w:rPr>
        <w:t xml:space="preserve">patients had the Rt eye affected, while </w:t>
      </w:r>
      <w:r w:rsidR="000D6B71" w:rsidRPr="00D846C4">
        <w:rPr>
          <w:rStyle w:val="apple-style-span"/>
          <w:rFonts w:ascii="Times New Roman" w:hAnsi="Times New Roman" w:cs="Times New Roman"/>
          <w:sz w:val="20"/>
          <w:szCs w:val="20"/>
        </w:rPr>
        <w:lastRenderedPageBreak/>
        <w:t>seven patients had the Lt eye affected</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lang w:bidi="ar-EG"/>
        </w:rPr>
        <w:t>A</w:t>
      </w:r>
      <w:r w:rsidR="00F706BD" w:rsidRPr="00D846C4">
        <w:rPr>
          <w:rFonts w:ascii="Times New Roman" w:hAnsi="Times New Roman" w:cs="Times New Roman"/>
          <w:sz w:val="20"/>
          <w:szCs w:val="20"/>
          <w:lang w:bidi="ar-EG"/>
        </w:rPr>
        <w:t>ccording to CNV site based on FFA</w:t>
      </w:r>
      <w:r w:rsidR="00D846C4" w:rsidRPr="00D846C4">
        <w:rPr>
          <w:rFonts w:ascii="Times New Roman" w:hAnsi="Times New Roman" w:cs="Times New Roman"/>
          <w:sz w:val="20"/>
          <w:szCs w:val="20"/>
          <w:lang w:bidi="ar-EG"/>
        </w:rPr>
        <w:t>:</w:t>
      </w:r>
      <w:r w:rsidR="00F706BD" w:rsidRPr="00D846C4">
        <w:rPr>
          <w:rFonts w:ascii="Times New Roman" w:hAnsi="Times New Roman" w:cs="Times New Roman"/>
          <w:sz w:val="20"/>
          <w:szCs w:val="20"/>
          <w:lang w:bidi="ar-EG"/>
        </w:rPr>
        <w:t xml:space="preserve"> 15 eyes had subfoveal,12 eyes had juxtafoveal and 3 eyes had extrafoveal CNV.</w:t>
      </w:r>
    </w:p>
    <w:p w:rsidR="004F1448" w:rsidRDefault="00AA3D89" w:rsidP="00DA3DF4">
      <w:pPr>
        <w:snapToGrid w:val="0"/>
        <w:spacing w:after="0" w:line="240" w:lineRule="auto"/>
        <w:ind w:firstLine="425"/>
        <w:jc w:val="both"/>
        <w:rPr>
          <w:rFonts w:ascii="Times New Roman" w:hAnsi="Times New Roman" w:cs="Times New Roman"/>
          <w:b/>
          <w:bCs/>
          <w:sz w:val="20"/>
          <w:szCs w:val="20"/>
          <w:lang w:bidi="ar-EG"/>
        </w:rPr>
      </w:pPr>
      <w:r w:rsidRPr="00D846C4">
        <w:rPr>
          <w:rFonts w:ascii="Times New Roman" w:hAnsi="Times New Roman" w:cs="Times New Roman"/>
          <w:sz w:val="20"/>
          <w:szCs w:val="20"/>
          <w:lang w:bidi="ar-EG"/>
        </w:rPr>
        <w:t>After intravitreal Anti-VEGF, BCVA (LogMAR)</w:t>
      </w:r>
      <w:r w:rsidR="00CB2C64" w:rsidRPr="00D846C4">
        <w:rPr>
          <w:rFonts w:ascii="Times New Roman" w:hAnsi="Times New Roman" w:cs="Times New Roman"/>
          <w:sz w:val="20"/>
          <w:szCs w:val="20"/>
          <w:lang w:bidi="ar-EG"/>
        </w:rPr>
        <w:t xml:space="preserve"> showed a statistically significant improvement </w:t>
      </w:r>
      <w:r w:rsidR="003F7705" w:rsidRPr="00D846C4">
        <w:rPr>
          <w:rFonts w:ascii="Times New Roman" w:hAnsi="Times New Roman" w:cs="Times New Roman"/>
          <w:sz w:val="20"/>
          <w:szCs w:val="20"/>
          <w:lang w:bidi="ar-EG"/>
        </w:rPr>
        <w:t>(</w:t>
      </w:r>
      <w:r w:rsidR="00CB2C64" w:rsidRPr="00D846C4">
        <w:rPr>
          <w:rFonts w:ascii="Times New Roman" w:hAnsi="Times New Roman" w:cs="Times New Roman"/>
          <w:sz w:val="20"/>
          <w:szCs w:val="20"/>
          <w:lang w:bidi="ar-EG"/>
        </w:rPr>
        <w:t>P value &lt;0.001</w:t>
      </w:r>
      <w:r w:rsidR="003F7705" w:rsidRPr="00D846C4">
        <w:rPr>
          <w:rFonts w:ascii="Times New Roman" w:hAnsi="Times New Roman" w:cs="Times New Roman"/>
          <w:sz w:val="20"/>
          <w:szCs w:val="20"/>
          <w:lang w:bidi="ar-EG"/>
        </w:rPr>
        <w:t>)</w:t>
      </w:r>
      <w:r w:rsidR="00CB2C64" w:rsidRPr="00D846C4">
        <w:rPr>
          <w:rFonts w:ascii="Times New Roman" w:hAnsi="Times New Roman" w:cs="Times New Roman"/>
          <w:sz w:val="20"/>
          <w:szCs w:val="20"/>
          <w:lang w:bidi="ar-EG"/>
        </w:rPr>
        <w:t xml:space="preserve"> with mean improvement (0.21 ± 0.20).</w:t>
      </w:r>
      <w:r w:rsidR="007B4377" w:rsidRPr="00D846C4">
        <w:rPr>
          <w:rFonts w:ascii="Times New Roman" w:hAnsi="Times New Roman" w:cs="Times New Roman"/>
          <w:sz w:val="20"/>
          <w:szCs w:val="20"/>
          <w:lang w:bidi="ar-EG"/>
        </w:rPr>
        <w:t xml:space="preserve"> Central foveal thickness (CFT) measured by SD-OCT showed also a statistically significant reduction (p &lt;0.001) and mean reduction of CF</w:t>
      </w:r>
      <w:r w:rsidR="00D846C4" w:rsidRPr="00D846C4">
        <w:rPr>
          <w:rFonts w:ascii="Times New Roman" w:hAnsi="Times New Roman" w:cs="Times New Roman"/>
          <w:sz w:val="20"/>
          <w:szCs w:val="20"/>
          <w:lang w:bidi="ar-EG"/>
        </w:rPr>
        <w:t>T (</w:t>
      </w:r>
      <w:r w:rsidR="007B4377" w:rsidRPr="00D846C4">
        <w:rPr>
          <w:rFonts w:ascii="Times New Roman" w:hAnsi="Times New Roman" w:cs="Times New Roman"/>
          <w:sz w:val="20"/>
          <w:szCs w:val="20"/>
          <w:lang w:bidi="ar-EG"/>
        </w:rPr>
        <w:t xml:space="preserve">-146.0 ± 148.78). </w:t>
      </w:r>
      <w:r w:rsidR="00E51D5A" w:rsidRPr="00D846C4">
        <w:rPr>
          <w:rFonts w:ascii="Times New Roman" w:hAnsi="Times New Roman" w:cs="Times New Roman"/>
          <w:sz w:val="20"/>
          <w:szCs w:val="20"/>
        </w:rPr>
        <w:t xml:space="preserve">(Table </w:t>
      </w:r>
      <w:r w:rsidR="004758B1" w:rsidRPr="00D846C4">
        <w:rPr>
          <w:rFonts w:ascii="Times New Roman" w:hAnsi="Times New Roman" w:cs="Times New Roman"/>
          <w:sz w:val="20"/>
          <w:szCs w:val="20"/>
        </w:rPr>
        <w:t>1</w:t>
      </w:r>
      <w:r w:rsidR="00E51D5A" w:rsidRPr="00D846C4">
        <w:rPr>
          <w:rFonts w:ascii="Times New Roman" w:hAnsi="Times New Roman" w:cs="Times New Roman"/>
          <w:sz w:val="20"/>
          <w:szCs w:val="20"/>
        </w:rPr>
        <w:t>).</w:t>
      </w:r>
    </w:p>
    <w:p w:rsidR="00072C1F" w:rsidRDefault="00072C1F" w:rsidP="00DA3DF4">
      <w:pPr>
        <w:snapToGrid w:val="0"/>
        <w:spacing w:after="0" w:line="240" w:lineRule="auto"/>
        <w:jc w:val="center"/>
        <w:rPr>
          <w:rFonts w:ascii="Times New Roman" w:hAnsi="Times New Roman" w:cs="Times New Roman"/>
          <w:b/>
          <w:bCs/>
          <w:sz w:val="20"/>
          <w:szCs w:val="20"/>
        </w:rPr>
        <w:sectPr w:rsidR="00072C1F" w:rsidSect="00F02740">
          <w:headerReference w:type="default" r:id="rId11"/>
          <w:pgSz w:w="12240" w:h="15840"/>
          <w:pgMar w:top="1440" w:right="1440" w:bottom="1440" w:left="1440" w:header="720" w:footer="720" w:gutter="0"/>
          <w:cols w:num="2" w:space="550"/>
          <w:rtlGutter/>
          <w:docGrid w:linePitch="360"/>
        </w:sectPr>
      </w:pPr>
    </w:p>
    <w:p w:rsidR="004F1448" w:rsidRDefault="004F1448" w:rsidP="00DA3DF4">
      <w:pPr>
        <w:snapToGrid w:val="0"/>
        <w:spacing w:after="0" w:line="240" w:lineRule="auto"/>
        <w:jc w:val="center"/>
        <w:rPr>
          <w:rFonts w:ascii="Times New Roman" w:hAnsi="Times New Roman" w:cs="Times New Roman"/>
          <w:b/>
          <w:bCs/>
          <w:sz w:val="20"/>
          <w:szCs w:val="20"/>
        </w:rPr>
      </w:pPr>
    </w:p>
    <w:p w:rsidR="00F720DC" w:rsidRPr="00D846C4" w:rsidRDefault="00F720DC" w:rsidP="00DA3DF4">
      <w:pPr>
        <w:snapToGrid w:val="0"/>
        <w:spacing w:after="0" w:line="240" w:lineRule="auto"/>
        <w:jc w:val="center"/>
        <w:rPr>
          <w:rFonts w:ascii="Times New Roman" w:hAnsi="Times New Roman" w:cs="Times New Roman"/>
          <w:sz w:val="20"/>
          <w:szCs w:val="18"/>
        </w:rPr>
      </w:pPr>
      <w:r w:rsidRPr="00D846C4">
        <w:rPr>
          <w:rFonts w:ascii="Times New Roman" w:hAnsi="Times New Roman" w:cs="Times New Roman"/>
          <w:b/>
          <w:bCs/>
          <w:sz w:val="20"/>
          <w:szCs w:val="18"/>
        </w:rPr>
        <w:t>Table 1</w:t>
      </w:r>
      <w:r w:rsidR="004F1448" w:rsidRPr="00D846C4">
        <w:rPr>
          <w:rFonts w:ascii="Times New Roman" w:hAnsi="Times New Roman" w:cs="Times New Roman"/>
          <w:b/>
          <w:bCs/>
          <w:sz w:val="20"/>
          <w:szCs w:val="18"/>
        </w:rPr>
        <w:t>:</w:t>
      </w:r>
      <w:r w:rsidR="004F1448">
        <w:rPr>
          <w:rFonts w:ascii="Times New Roman" w:hAnsi="Times New Roman" w:cs="Times New Roman"/>
          <w:b/>
          <w:bCs/>
          <w:sz w:val="20"/>
          <w:szCs w:val="18"/>
        </w:rPr>
        <w:t xml:space="preserve"> </w:t>
      </w:r>
      <w:r w:rsidR="004F1448" w:rsidRPr="00D846C4">
        <w:rPr>
          <w:rFonts w:ascii="Times New Roman" w:hAnsi="Times New Roman" w:cs="Times New Roman"/>
          <w:b/>
          <w:bCs/>
          <w:sz w:val="20"/>
          <w:szCs w:val="18"/>
        </w:rPr>
        <w:t>C</w:t>
      </w:r>
      <w:r w:rsidR="0035581C" w:rsidRPr="00D846C4">
        <w:rPr>
          <w:rFonts w:ascii="Times New Roman" w:hAnsi="Times New Roman" w:cs="Times New Roman"/>
          <w:b/>
          <w:bCs/>
          <w:sz w:val="20"/>
          <w:szCs w:val="18"/>
        </w:rPr>
        <w:t xml:space="preserve">omparison between pre injection and 1 month post 3rd injection </w:t>
      </w:r>
      <w:r w:rsidR="007D7925" w:rsidRPr="00D846C4">
        <w:rPr>
          <w:rFonts w:ascii="Times New Roman" w:hAnsi="Times New Roman" w:cs="Times New Roman"/>
          <w:b/>
          <w:bCs/>
          <w:sz w:val="20"/>
          <w:szCs w:val="18"/>
        </w:rPr>
        <w:t>regarding</w:t>
      </w:r>
      <w:r w:rsidR="0035581C" w:rsidRPr="00D846C4">
        <w:rPr>
          <w:rFonts w:ascii="Times New Roman" w:hAnsi="Times New Roman" w:cs="Times New Roman"/>
          <w:b/>
          <w:bCs/>
          <w:sz w:val="20"/>
          <w:szCs w:val="18"/>
        </w:rPr>
        <w:t xml:space="preserve"> BCVA</w:t>
      </w:r>
      <w:r w:rsidR="00D846C4" w:rsidRPr="00D846C4">
        <w:rPr>
          <w:rFonts w:ascii="Times New Roman" w:hAnsi="Times New Roman" w:cs="Times New Roman"/>
          <w:b/>
          <w:bCs/>
          <w:sz w:val="20"/>
          <w:szCs w:val="18"/>
        </w:rPr>
        <w:t xml:space="preserve"> &amp; </w:t>
      </w:r>
      <w:r w:rsidR="0035581C" w:rsidRPr="00D846C4">
        <w:rPr>
          <w:rFonts w:ascii="Times New Roman" w:hAnsi="Times New Roman" w:cs="Times New Roman"/>
          <w:b/>
          <w:bCs/>
          <w:sz w:val="20"/>
          <w:szCs w:val="18"/>
        </w:rPr>
        <w:t>CFT (n = 30)</w:t>
      </w:r>
    </w:p>
    <w:tbl>
      <w:tblPr>
        <w:tblStyle w:val="TableGrid"/>
        <w:tblW w:w="5000" w:type="pct"/>
        <w:jc w:val="center"/>
        <w:tblCellMar>
          <w:left w:w="57" w:type="dxa"/>
          <w:right w:w="57" w:type="dxa"/>
        </w:tblCellMar>
        <w:tblLook w:val="04A0"/>
      </w:tblPr>
      <w:tblGrid>
        <w:gridCol w:w="1493"/>
        <w:gridCol w:w="1431"/>
        <w:gridCol w:w="872"/>
        <w:gridCol w:w="1758"/>
        <w:gridCol w:w="1082"/>
        <w:gridCol w:w="1082"/>
        <w:gridCol w:w="1756"/>
      </w:tblGrid>
      <w:tr w:rsidR="005F5DA2" w:rsidRPr="00D846C4" w:rsidTr="004F1448">
        <w:trPr>
          <w:jc w:val="center"/>
        </w:trPr>
        <w:tc>
          <w:tcPr>
            <w:tcW w:w="788" w:type="pct"/>
            <w:vMerge w:val="restart"/>
            <w:shd w:val="clear" w:color="auto" w:fill="auto"/>
            <w:vAlign w:val="center"/>
          </w:tcPr>
          <w:p w:rsidR="002B26A5" w:rsidRPr="00D846C4" w:rsidRDefault="002B26A5" w:rsidP="00DA3DF4">
            <w:pPr>
              <w:pStyle w:val="ListParagraph"/>
              <w:bidi w:val="0"/>
              <w:snapToGrid w:val="0"/>
              <w:spacing w:after="0" w:line="240" w:lineRule="auto"/>
              <w:ind w:left="0"/>
              <w:jc w:val="both"/>
              <w:rPr>
                <w:rFonts w:ascii="Times New Roman" w:hAnsi="Times New Roman" w:cs="Times New Roman"/>
                <w:b/>
                <w:bCs/>
                <w:sz w:val="20"/>
                <w:szCs w:val="18"/>
                <w:lang w:bidi="ar-EG"/>
              </w:rPr>
            </w:pPr>
          </w:p>
        </w:tc>
        <w:tc>
          <w:tcPr>
            <w:tcW w:w="2143" w:type="pct"/>
            <w:gridSpan w:val="3"/>
            <w:vAlign w:val="center"/>
          </w:tcPr>
          <w:p w:rsidR="002B26A5" w:rsidRPr="00D846C4" w:rsidRDefault="002B26A5"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BCVA</w:t>
            </w:r>
          </w:p>
        </w:tc>
        <w:tc>
          <w:tcPr>
            <w:tcW w:w="2069" w:type="pct"/>
            <w:gridSpan w:val="3"/>
            <w:vAlign w:val="center"/>
          </w:tcPr>
          <w:p w:rsidR="002B26A5" w:rsidRPr="00D846C4" w:rsidRDefault="002B26A5"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CFT</w:t>
            </w:r>
          </w:p>
        </w:tc>
      </w:tr>
      <w:tr w:rsidR="00601DFB" w:rsidRPr="00D846C4" w:rsidTr="004F1448">
        <w:trPr>
          <w:jc w:val="center"/>
        </w:trPr>
        <w:tc>
          <w:tcPr>
            <w:tcW w:w="788" w:type="pct"/>
            <w:vMerge/>
            <w:shd w:val="clear" w:color="auto" w:fill="auto"/>
            <w:vAlign w:val="center"/>
          </w:tcPr>
          <w:p w:rsidR="00A45B44" w:rsidRPr="00D846C4" w:rsidRDefault="00A45B44" w:rsidP="00DA3DF4">
            <w:pPr>
              <w:pStyle w:val="ListParagraph"/>
              <w:bidi w:val="0"/>
              <w:snapToGrid w:val="0"/>
              <w:spacing w:after="0" w:line="240" w:lineRule="auto"/>
              <w:ind w:left="0"/>
              <w:jc w:val="both"/>
              <w:rPr>
                <w:rFonts w:ascii="Times New Roman" w:hAnsi="Times New Roman" w:cs="Times New Roman"/>
                <w:b/>
                <w:bCs/>
                <w:sz w:val="20"/>
                <w:szCs w:val="18"/>
              </w:rPr>
            </w:pPr>
          </w:p>
        </w:tc>
        <w:tc>
          <w:tcPr>
            <w:tcW w:w="755" w:type="pct"/>
            <w:vAlign w:val="center"/>
          </w:tcPr>
          <w:p w:rsidR="00A45B44" w:rsidRPr="00D846C4" w:rsidRDefault="00C67952"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pre</w:t>
            </w:r>
          </w:p>
        </w:tc>
        <w:tc>
          <w:tcPr>
            <w:tcW w:w="460" w:type="pct"/>
            <w:vAlign w:val="center"/>
          </w:tcPr>
          <w:p w:rsidR="00A45B44" w:rsidRPr="00D846C4" w:rsidRDefault="00C67952"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post</w:t>
            </w:r>
          </w:p>
        </w:tc>
        <w:tc>
          <w:tcPr>
            <w:tcW w:w="928" w:type="pct"/>
            <w:vAlign w:val="center"/>
          </w:tcPr>
          <w:p w:rsidR="00A45B44" w:rsidRPr="00D846C4" w:rsidRDefault="00C67952"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improvement</w:t>
            </w:r>
          </w:p>
        </w:tc>
        <w:tc>
          <w:tcPr>
            <w:tcW w:w="571" w:type="pct"/>
            <w:vAlign w:val="center"/>
          </w:tcPr>
          <w:p w:rsidR="00A45B44" w:rsidRPr="00D846C4" w:rsidRDefault="00C67952"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pr</w:t>
            </w:r>
            <w:r w:rsidR="005F5DA2" w:rsidRPr="00D846C4">
              <w:rPr>
                <w:rFonts w:ascii="Times New Roman" w:hAnsi="Times New Roman" w:cs="Times New Roman"/>
                <w:b/>
                <w:bCs/>
                <w:sz w:val="20"/>
                <w:szCs w:val="18"/>
              </w:rPr>
              <w:t>e</w:t>
            </w:r>
          </w:p>
        </w:tc>
        <w:tc>
          <w:tcPr>
            <w:tcW w:w="571" w:type="pct"/>
            <w:vAlign w:val="center"/>
          </w:tcPr>
          <w:p w:rsidR="00A45B44" w:rsidRPr="00D846C4" w:rsidRDefault="00C67952"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post</w:t>
            </w:r>
          </w:p>
        </w:tc>
        <w:tc>
          <w:tcPr>
            <w:tcW w:w="928" w:type="pct"/>
            <w:vAlign w:val="center"/>
          </w:tcPr>
          <w:p w:rsidR="00A45B44" w:rsidRPr="00D846C4" w:rsidRDefault="00C67952" w:rsidP="00DA3DF4">
            <w:pPr>
              <w:pStyle w:val="ListParagraph"/>
              <w:bidi w:val="0"/>
              <w:snapToGrid w:val="0"/>
              <w:spacing w:after="0" w:line="240" w:lineRule="auto"/>
              <w:ind w:left="0"/>
              <w:jc w:val="both"/>
              <w:rPr>
                <w:rFonts w:ascii="Times New Roman" w:hAnsi="Times New Roman" w:cs="Times New Roman"/>
                <w:b/>
                <w:bCs/>
                <w:sz w:val="20"/>
                <w:szCs w:val="18"/>
              </w:rPr>
            </w:pPr>
            <w:r w:rsidRPr="00D846C4">
              <w:rPr>
                <w:rFonts w:ascii="Times New Roman" w:hAnsi="Times New Roman" w:cs="Times New Roman"/>
                <w:b/>
                <w:bCs/>
                <w:sz w:val="20"/>
                <w:szCs w:val="18"/>
              </w:rPr>
              <w:t>improvement</w:t>
            </w:r>
          </w:p>
        </w:tc>
      </w:tr>
      <w:tr w:rsidR="007C13F5" w:rsidRPr="00D846C4" w:rsidTr="004F1448">
        <w:trPr>
          <w:jc w:val="center"/>
        </w:trPr>
        <w:tc>
          <w:tcPr>
            <w:tcW w:w="788" w:type="pct"/>
            <w:shd w:val="clear" w:color="auto" w:fill="auto"/>
            <w:vAlign w:val="center"/>
          </w:tcPr>
          <w:p w:rsidR="005F5DA2" w:rsidRPr="00D846C4" w:rsidRDefault="005F5DA2"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Min – Max</w:t>
            </w:r>
          </w:p>
        </w:tc>
        <w:tc>
          <w:tcPr>
            <w:tcW w:w="755" w:type="pct"/>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2.0 – 0.3</w:t>
            </w:r>
          </w:p>
        </w:tc>
        <w:tc>
          <w:tcPr>
            <w:tcW w:w="460"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2.0 –</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w:t>
            </w:r>
            <w:r w:rsidR="005F5DA2" w:rsidRPr="00D846C4">
              <w:rPr>
                <w:rFonts w:ascii="Times New Roman" w:hAnsi="Times New Roman" w:cs="Times New Roman"/>
                <w:sz w:val="20"/>
                <w:szCs w:val="18"/>
                <w:lang w:bidi="ar-EG"/>
              </w:rPr>
              <w:t>.2</w:t>
            </w:r>
          </w:p>
        </w:tc>
        <w:tc>
          <w:tcPr>
            <w:tcW w:w="928"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0.70 –</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w:t>
            </w:r>
            <w:r w:rsidR="005F5DA2" w:rsidRPr="00D846C4">
              <w:rPr>
                <w:rFonts w:ascii="Times New Roman" w:hAnsi="Times New Roman" w:cs="Times New Roman"/>
                <w:sz w:val="20"/>
                <w:szCs w:val="18"/>
                <w:lang w:bidi="ar-EG"/>
              </w:rPr>
              <w:t>.0</w:t>
            </w:r>
          </w:p>
        </w:tc>
        <w:tc>
          <w:tcPr>
            <w:tcW w:w="571"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178.0–</w:t>
            </w:r>
          </w:p>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1101.0</w:t>
            </w:r>
          </w:p>
        </w:tc>
        <w:tc>
          <w:tcPr>
            <w:tcW w:w="571"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173.0 –</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5</w:t>
            </w:r>
            <w:r w:rsidR="005F5DA2" w:rsidRPr="00D846C4">
              <w:rPr>
                <w:rFonts w:ascii="Times New Roman" w:hAnsi="Times New Roman" w:cs="Times New Roman"/>
                <w:sz w:val="20"/>
                <w:szCs w:val="18"/>
                <w:lang w:bidi="ar-EG"/>
              </w:rPr>
              <w:t>93.0</w:t>
            </w:r>
          </w:p>
        </w:tc>
        <w:tc>
          <w:tcPr>
            <w:tcW w:w="928"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-591.0 –</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w:t>
            </w:r>
            <w:r w:rsidR="005F5DA2" w:rsidRPr="00D846C4">
              <w:rPr>
                <w:rFonts w:ascii="Times New Roman" w:hAnsi="Times New Roman" w:cs="Times New Roman"/>
                <w:sz w:val="20"/>
                <w:szCs w:val="18"/>
                <w:lang w:bidi="ar-EG"/>
              </w:rPr>
              <w:t>5.0</w:t>
            </w:r>
          </w:p>
        </w:tc>
      </w:tr>
      <w:tr w:rsidR="007C13F5" w:rsidRPr="00D846C4" w:rsidTr="004F1448">
        <w:trPr>
          <w:jc w:val="center"/>
        </w:trPr>
        <w:tc>
          <w:tcPr>
            <w:tcW w:w="788" w:type="pct"/>
            <w:shd w:val="clear" w:color="auto" w:fill="auto"/>
            <w:vAlign w:val="center"/>
          </w:tcPr>
          <w:p w:rsidR="005F5DA2" w:rsidRPr="00D846C4" w:rsidRDefault="005F5DA2"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Mean ± SD</w:t>
            </w:r>
          </w:p>
        </w:tc>
        <w:tc>
          <w:tcPr>
            <w:tcW w:w="755" w:type="pct"/>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1.39 ± 0.65</w:t>
            </w:r>
          </w:p>
        </w:tc>
        <w:tc>
          <w:tcPr>
            <w:tcW w:w="460"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1.18 ±</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w:t>
            </w:r>
            <w:r w:rsidR="005F5DA2" w:rsidRPr="00D846C4">
              <w:rPr>
                <w:rFonts w:ascii="Times New Roman" w:hAnsi="Times New Roman" w:cs="Times New Roman"/>
                <w:sz w:val="20"/>
                <w:szCs w:val="18"/>
                <w:lang w:bidi="ar-EG"/>
              </w:rPr>
              <w:t>.70</w:t>
            </w:r>
          </w:p>
        </w:tc>
        <w:tc>
          <w:tcPr>
            <w:tcW w:w="928"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 xml:space="preserve"> 0.21 ±</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w:t>
            </w:r>
            <w:r w:rsidR="005F5DA2" w:rsidRPr="00D846C4">
              <w:rPr>
                <w:rFonts w:ascii="Times New Roman" w:hAnsi="Times New Roman" w:cs="Times New Roman"/>
                <w:sz w:val="20"/>
                <w:szCs w:val="18"/>
                <w:lang w:bidi="ar-EG"/>
              </w:rPr>
              <w:t>.20</w:t>
            </w:r>
          </w:p>
        </w:tc>
        <w:tc>
          <w:tcPr>
            <w:tcW w:w="571"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492.07±</w:t>
            </w:r>
          </w:p>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221.76</w:t>
            </w:r>
          </w:p>
        </w:tc>
        <w:tc>
          <w:tcPr>
            <w:tcW w:w="571"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346.07±</w:t>
            </w:r>
          </w:p>
          <w:p w:rsidR="005F5DA2" w:rsidRPr="00D846C4" w:rsidRDefault="00D846C4"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w:t>
            </w:r>
            <w:r w:rsidR="005F5DA2" w:rsidRPr="00D846C4">
              <w:rPr>
                <w:rFonts w:ascii="Times New Roman" w:hAnsi="Times New Roman" w:cs="Times New Roman"/>
                <w:sz w:val="20"/>
                <w:szCs w:val="18"/>
                <w:lang w:bidi="ar-EG"/>
              </w:rPr>
              <w:t>39.32</w:t>
            </w:r>
          </w:p>
        </w:tc>
        <w:tc>
          <w:tcPr>
            <w:tcW w:w="928" w:type="pct"/>
            <w:shd w:val="clear" w:color="auto" w:fill="FFFFFF" w:themeFill="background1"/>
            <w:vAlign w:val="center"/>
          </w:tcPr>
          <w:p w:rsidR="004F1448"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 xml:space="preserve">-146.0± </w:t>
            </w:r>
          </w:p>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148.78</w:t>
            </w:r>
          </w:p>
        </w:tc>
      </w:tr>
      <w:tr w:rsidR="007C13F5" w:rsidRPr="00D846C4" w:rsidTr="004F1448">
        <w:trPr>
          <w:jc w:val="center"/>
        </w:trPr>
        <w:tc>
          <w:tcPr>
            <w:tcW w:w="788" w:type="pct"/>
            <w:shd w:val="clear" w:color="auto" w:fill="auto"/>
            <w:vAlign w:val="center"/>
          </w:tcPr>
          <w:p w:rsidR="005F5DA2" w:rsidRPr="00D846C4" w:rsidRDefault="005F5DA2"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Median</w:t>
            </w:r>
          </w:p>
        </w:tc>
        <w:tc>
          <w:tcPr>
            <w:tcW w:w="755" w:type="pct"/>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1.30</w:t>
            </w:r>
          </w:p>
        </w:tc>
        <w:tc>
          <w:tcPr>
            <w:tcW w:w="460" w:type="pct"/>
            <w:shd w:val="clear" w:color="auto" w:fill="FFFFFF" w:themeFill="background1"/>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1.10</w:t>
            </w:r>
          </w:p>
        </w:tc>
        <w:tc>
          <w:tcPr>
            <w:tcW w:w="928" w:type="pct"/>
            <w:shd w:val="clear" w:color="auto" w:fill="FFFFFF" w:themeFill="background1"/>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0.20</w:t>
            </w:r>
          </w:p>
        </w:tc>
        <w:tc>
          <w:tcPr>
            <w:tcW w:w="571" w:type="pct"/>
            <w:shd w:val="clear" w:color="auto" w:fill="FFFFFF" w:themeFill="background1"/>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452.0</w:t>
            </w:r>
          </w:p>
        </w:tc>
        <w:tc>
          <w:tcPr>
            <w:tcW w:w="571" w:type="pct"/>
            <w:shd w:val="clear" w:color="auto" w:fill="FFFFFF" w:themeFill="background1"/>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282.0</w:t>
            </w:r>
          </w:p>
        </w:tc>
        <w:tc>
          <w:tcPr>
            <w:tcW w:w="928" w:type="pct"/>
            <w:shd w:val="clear" w:color="auto" w:fill="FFFFFF" w:themeFill="background1"/>
            <w:vAlign w:val="center"/>
          </w:tcPr>
          <w:p w:rsidR="005F5DA2" w:rsidRPr="00D846C4" w:rsidRDefault="005F5DA2"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-108.0</w:t>
            </w:r>
          </w:p>
        </w:tc>
      </w:tr>
      <w:tr w:rsidR="005F5DA2" w:rsidRPr="00D846C4" w:rsidTr="004F1448">
        <w:trPr>
          <w:jc w:val="center"/>
        </w:trPr>
        <w:tc>
          <w:tcPr>
            <w:tcW w:w="788" w:type="pct"/>
            <w:shd w:val="clear" w:color="auto" w:fill="auto"/>
            <w:vAlign w:val="center"/>
          </w:tcPr>
          <w:p w:rsidR="005F5DA2" w:rsidRPr="00D846C4" w:rsidRDefault="00D846C4"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Z (</w:t>
            </w:r>
            <w:r w:rsidR="005F5DA2" w:rsidRPr="00D846C4">
              <w:rPr>
                <w:rFonts w:ascii="Times New Roman" w:hAnsi="Times New Roman" w:cs="Times New Roman"/>
                <w:b/>
                <w:bCs/>
                <w:sz w:val="20"/>
                <w:szCs w:val="18"/>
                <w:lang w:bidi="ar-EG"/>
              </w:rPr>
              <w:t>p)</w:t>
            </w:r>
          </w:p>
        </w:tc>
        <w:tc>
          <w:tcPr>
            <w:tcW w:w="2143" w:type="pct"/>
            <w:gridSpan w:val="3"/>
            <w:vAlign w:val="center"/>
          </w:tcPr>
          <w:p w:rsidR="005F5DA2" w:rsidRPr="00D846C4" w:rsidRDefault="005F5DA2" w:rsidP="00DA3DF4">
            <w:pPr>
              <w:tabs>
                <w:tab w:val="left" w:pos="1169"/>
              </w:tabs>
              <w:snapToGrid w:val="0"/>
              <w:jc w:val="both"/>
              <w:rPr>
                <w:rFonts w:ascii="Times New Roman" w:hAnsi="Times New Roman" w:cs="Times New Roman"/>
                <w:sz w:val="20"/>
                <w:szCs w:val="18"/>
              </w:rPr>
            </w:pPr>
            <w:r w:rsidRPr="00D846C4">
              <w:rPr>
                <w:rFonts w:ascii="Times New Roman" w:hAnsi="Times New Roman" w:cs="Times New Roman"/>
                <w:sz w:val="20"/>
                <w:szCs w:val="18"/>
              </w:rPr>
              <w:t>3.962*(&lt;0.001*)</w:t>
            </w:r>
          </w:p>
        </w:tc>
        <w:tc>
          <w:tcPr>
            <w:tcW w:w="2069" w:type="pct"/>
            <w:gridSpan w:val="3"/>
            <w:shd w:val="clear" w:color="auto" w:fill="FFFFFF" w:themeFill="background1"/>
            <w:vAlign w:val="center"/>
          </w:tcPr>
          <w:p w:rsidR="005F5DA2" w:rsidRPr="00D846C4" w:rsidRDefault="007C13F5" w:rsidP="00DA3DF4">
            <w:pPr>
              <w:tabs>
                <w:tab w:val="left" w:pos="1169"/>
              </w:tabs>
              <w:snapToGrid w:val="0"/>
              <w:jc w:val="both"/>
              <w:rPr>
                <w:rFonts w:ascii="Times New Roman" w:hAnsi="Times New Roman" w:cs="Times New Roman"/>
                <w:sz w:val="20"/>
                <w:szCs w:val="18"/>
              </w:rPr>
            </w:pPr>
            <w:r w:rsidRPr="00D846C4">
              <w:rPr>
                <w:rFonts w:ascii="Times New Roman" w:hAnsi="Times New Roman" w:cs="Times New Roman"/>
                <w:sz w:val="20"/>
                <w:szCs w:val="18"/>
              </w:rPr>
              <w:t>4.784</w:t>
            </w:r>
            <w:r w:rsidRPr="00D846C4">
              <w:rPr>
                <w:rFonts w:ascii="Times New Roman" w:hAnsi="Times New Roman" w:cs="Times New Roman"/>
                <w:sz w:val="20"/>
                <w:szCs w:val="18"/>
                <w:vertAlign w:val="superscript"/>
              </w:rPr>
              <w:t>*</w:t>
            </w:r>
            <w:r w:rsidRPr="00D846C4">
              <w:rPr>
                <w:rFonts w:ascii="Times New Roman" w:hAnsi="Times New Roman" w:cs="Times New Roman"/>
                <w:sz w:val="20"/>
                <w:szCs w:val="18"/>
              </w:rPr>
              <w:t>(&lt;0.001</w:t>
            </w:r>
            <w:r w:rsidRPr="00D846C4">
              <w:rPr>
                <w:rFonts w:ascii="Times New Roman" w:hAnsi="Times New Roman" w:cs="Times New Roman"/>
                <w:sz w:val="20"/>
                <w:szCs w:val="18"/>
                <w:vertAlign w:val="superscript"/>
              </w:rPr>
              <w:t>*</w:t>
            </w:r>
            <w:r w:rsidRPr="00D846C4">
              <w:rPr>
                <w:rFonts w:ascii="Times New Roman" w:hAnsi="Times New Roman" w:cs="Times New Roman"/>
                <w:sz w:val="20"/>
                <w:szCs w:val="18"/>
              </w:rPr>
              <w:t>)</w:t>
            </w:r>
          </w:p>
        </w:tc>
      </w:tr>
    </w:tbl>
    <w:p w:rsidR="004F1448" w:rsidRDefault="00364C2E" w:rsidP="00072C1F">
      <w:pPr>
        <w:snapToGrid w:val="0"/>
        <w:spacing w:after="0" w:line="240" w:lineRule="auto"/>
        <w:jc w:val="both"/>
        <w:rPr>
          <w:rFonts w:ascii="Times New Roman" w:hAnsi="Times New Roman" w:cs="Times New Roman"/>
          <w:sz w:val="20"/>
          <w:szCs w:val="18"/>
        </w:rPr>
      </w:pPr>
      <w:r w:rsidRPr="00D846C4">
        <w:rPr>
          <w:rFonts w:ascii="Times New Roman" w:hAnsi="Times New Roman" w:cs="Times New Roman"/>
          <w:sz w:val="20"/>
          <w:szCs w:val="18"/>
        </w:rPr>
        <w:t>t: Paired t-test</w:t>
      </w:r>
      <w:r w:rsidR="00D846C4" w:rsidRPr="00D846C4">
        <w:rPr>
          <w:rFonts w:ascii="Times New Roman" w:hAnsi="Times New Roman" w:cs="Times New Roman"/>
          <w:sz w:val="20"/>
          <w:szCs w:val="18"/>
        </w:rPr>
        <w:t xml:space="preserve"> </w:t>
      </w:r>
      <w:r w:rsidRPr="00D846C4">
        <w:rPr>
          <w:rFonts w:ascii="Times New Roman" w:hAnsi="Times New Roman" w:cs="Times New Roman"/>
          <w:sz w:val="20"/>
          <w:szCs w:val="18"/>
        </w:rPr>
        <w:t>p: p value for comparing between pre and post*: Statistically significant at p ≤ 0.05</w:t>
      </w:r>
    </w:p>
    <w:p w:rsidR="004F1448" w:rsidRDefault="004F1448" w:rsidP="00DA3DF4">
      <w:pPr>
        <w:snapToGrid w:val="0"/>
        <w:spacing w:after="0" w:line="240" w:lineRule="auto"/>
        <w:ind w:firstLine="425"/>
        <w:jc w:val="both"/>
        <w:rPr>
          <w:rFonts w:ascii="Times New Roman" w:hAnsi="Times New Roman" w:cs="Times New Roman"/>
          <w:sz w:val="20"/>
          <w:szCs w:val="20"/>
        </w:rPr>
      </w:pPr>
    </w:p>
    <w:p w:rsidR="00072C1F" w:rsidRDefault="00072C1F" w:rsidP="00DA3DF4">
      <w:pPr>
        <w:snapToGrid w:val="0"/>
        <w:spacing w:after="0" w:line="240" w:lineRule="auto"/>
        <w:ind w:firstLine="425"/>
        <w:jc w:val="both"/>
        <w:rPr>
          <w:rFonts w:ascii="Times New Roman" w:hAnsi="Times New Roman" w:cs="Times New Roman"/>
          <w:sz w:val="20"/>
          <w:szCs w:val="20"/>
          <w:lang w:bidi="ar-EG"/>
        </w:rPr>
        <w:sectPr w:rsidR="00072C1F" w:rsidSect="00D846C4">
          <w:type w:val="continuous"/>
          <w:pgSz w:w="12240" w:h="15840"/>
          <w:pgMar w:top="1440" w:right="1440" w:bottom="1440" w:left="1440" w:header="720" w:footer="720" w:gutter="0"/>
          <w:cols w:space="720"/>
          <w:bidi/>
          <w:rtlGutter/>
          <w:docGrid w:linePitch="360"/>
        </w:sectPr>
      </w:pPr>
    </w:p>
    <w:p w:rsidR="004F1448" w:rsidRDefault="00921A00" w:rsidP="00DA3DF4">
      <w:pPr>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lang w:bidi="ar-EG"/>
        </w:rPr>
        <w:lastRenderedPageBreak/>
        <w:t xml:space="preserve">The </w:t>
      </w:r>
      <w:r w:rsidR="00C610E8" w:rsidRPr="00D846C4">
        <w:rPr>
          <w:rFonts w:ascii="Times New Roman" w:hAnsi="Times New Roman" w:cs="Times New Roman"/>
          <w:sz w:val="20"/>
          <w:szCs w:val="20"/>
          <w:lang w:bidi="ar-EG"/>
        </w:rPr>
        <w:t xml:space="preserve">EZ </w:t>
      </w:r>
      <w:r w:rsidRPr="00D846C4">
        <w:rPr>
          <w:rFonts w:ascii="Times New Roman" w:hAnsi="Times New Roman" w:cs="Times New Roman"/>
          <w:sz w:val="20"/>
          <w:szCs w:val="20"/>
          <w:lang w:bidi="ar-EG"/>
        </w:rPr>
        <w:t>showed significant changes after the injection</w:t>
      </w:r>
      <w:r w:rsidR="00C610E8" w:rsidRPr="00D846C4">
        <w:rPr>
          <w:rFonts w:ascii="Times New Roman" w:hAnsi="Times New Roman" w:cs="Times New Roman"/>
          <w:sz w:val="20"/>
          <w:szCs w:val="20"/>
          <w:lang w:bidi="ar-EG"/>
        </w:rPr>
        <w:t xml:space="preserve">. EZ was intact in 8 patients (26.7%), interrupted in 18 (60.0%) and absent in 4 (13.3%) with P value of improvement in comparison with Pre </w:t>
      </w:r>
      <w:r w:rsidR="00C610E8" w:rsidRPr="00D846C4">
        <w:rPr>
          <w:rFonts w:ascii="Times New Roman" w:hAnsi="Times New Roman" w:cs="Times New Roman"/>
          <w:sz w:val="20"/>
          <w:szCs w:val="20"/>
          <w:lang w:bidi="ar-EG"/>
        </w:rPr>
        <w:lastRenderedPageBreak/>
        <w:t>injection &lt;0.001</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E</w:t>
      </w:r>
      <w:r w:rsidR="00C610E8" w:rsidRPr="00D846C4">
        <w:rPr>
          <w:rFonts w:ascii="Times New Roman" w:hAnsi="Times New Roman" w:cs="Times New Roman"/>
          <w:sz w:val="20"/>
          <w:szCs w:val="20"/>
          <w:lang w:bidi="ar-EG"/>
        </w:rPr>
        <w:t xml:space="preserve">Z analysis in 5 different zones showed statistically significant improvement of EZ at fovea (zone 1) with </w:t>
      </w:r>
      <w:r w:rsidR="00C610E8" w:rsidRPr="00D846C4">
        <w:rPr>
          <w:rFonts w:ascii="Times New Roman" w:hAnsi="Times New Roman" w:cs="Times New Roman"/>
          <w:b/>
          <w:bCs/>
          <w:sz w:val="20"/>
          <w:szCs w:val="20"/>
          <w:lang w:bidi="ar-EG"/>
        </w:rPr>
        <w:t xml:space="preserve">p </w:t>
      </w:r>
      <w:r w:rsidR="00C610E8" w:rsidRPr="00D846C4">
        <w:rPr>
          <w:rFonts w:ascii="Times New Roman" w:hAnsi="Times New Roman" w:cs="Times New Roman"/>
          <w:sz w:val="20"/>
          <w:szCs w:val="20"/>
          <w:lang w:bidi="ar-EG"/>
        </w:rPr>
        <w:t xml:space="preserve">value&lt;0.001 denoting restoration of EZ at fovea. </w:t>
      </w:r>
      <w:r w:rsidR="0095571F" w:rsidRPr="00D846C4">
        <w:rPr>
          <w:rFonts w:ascii="Times New Roman" w:hAnsi="Times New Roman" w:cs="Times New Roman"/>
          <w:sz w:val="20"/>
          <w:szCs w:val="20"/>
        </w:rPr>
        <w:t>(Table 2</w:t>
      </w:r>
      <w:r w:rsidR="006F6012" w:rsidRPr="00D846C4">
        <w:rPr>
          <w:rFonts w:ascii="Times New Roman" w:hAnsi="Times New Roman" w:cs="Times New Roman"/>
          <w:sz w:val="20"/>
          <w:szCs w:val="20"/>
        </w:rPr>
        <w:t xml:space="preserve">, p value </w:t>
      </w:r>
      <w:r w:rsidR="006F6012" w:rsidRPr="00D846C4">
        <w:rPr>
          <w:rFonts w:ascii="Times New Roman" w:hAnsi="Times New Roman" w:cs="Times New Roman"/>
          <w:sz w:val="20"/>
          <w:szCs w:val="20"/>
          <w:lang w:bidi="ar-EG"/>
        </w:rPr>
        <w:t>&lt;</w:t>
      </w:r>
      <w:r w:rsidR="006F6012" w:rsidRPr="00D846C4">
        <w:rPr>
          <w:rFonts w:ascii="Times New Roman" w:hAnsi="Times New Roman" w:cs="Times New Roman"/>
          <w:sz w:val="20"/>
          <w:szCs w:val="20"/>
        </w:rPr>
        <w:t>0.001</w:t>
      </w:r>
      <w:r w:rsidR="0095571F" w:rsidRPr="00D846C4">
        <w:rPr>
          <w:rFonts w:ascii="Times New Roman" w:hAnsi="Times New Roman" w:cs="Times New Roman"/>
          <w:sz w:val="20"/>
          <w:szCs w:val="20"/>
        </w:rPr>
        <w:t>).</w:t>
      </w:r>
    </w:p>
    <w:p w:rsidR="00072C1F" w:rsidRDefault="00072C1F" w:rsidP="00DA3DF4">
      <w:pPr>
        <w:snapToGrid w:val="0"/>
        <w:spacing w:after="0" w:line="240" w:lineRule="auto"/>
        <w:ind w:firstLine="425"/>
        <w:jc w:val="both"/>
        <w:rPr>
          <w:rFonts w:ascii="Times New Roman" w:hAnsi="Times New Roman" w:cs="Times New Roman"/>
          <w:sz w:val="20"/>
          <w:szCs w:val="20"/>
        </w:rPr>
        <w:sectPr w:rsidR="00072C1F" w:rsidSect="00072C1F">
          <w:type w:val="continuous"/>
          <w:pgSz w:w="12240" w:h="15840"/>
          <w:pgMar w:top="1440" w:right="1440" w:bottom="1440" w:left="1440" w:header="720" w:footer="720" w:gutter="0"/>
          <w:cols w:num="2" w:space="550"/>
          <w:rtlGutter/>
          <w:docGrid w:linePitch="360"/>
        </w:sectPr>
      </w:pPr>
    </w:p>
    <w:p w:rsidR="004F1448" w:rsidRDefault="004F1448" w:rsidP="00DA3DF4">
      <w:pPr>
        <w:snapToGrid w:val="0"/>
        <w:spacing w:after="0" w:line="240" w:lineRule="auto"/>
        <w:ind w:firstLine="425"/>
        <w:jc w:val="both"/>
        <w:rPr>
          <w:rFonts w:ascii="Times New Roman" w:hAnsi="Times New Roman" w:cs="Times New Roman"/>
          <w:sz w:val="20"/>
          <w:szCs w:val="20"/>
        </w:rPr>
      </w:pPr>
    </w:p>
    <w:p w:rsidR="006250FD" w:rsidRPr="00D846C4" w:rsidRDefault="006250FD" w:rsidP="00DA3DF4">
      <w:pPr>
        <w:snapToGrid w:val="0"/>
        <w:spacing w:after="0" w:line="240" w:lineRule="auto"/>
        <w:jc w:val="center"/>
        <w:rPr>
          <w:rFonts w:ascii="Times New Roman" w:hAnsi="Times New Roman" w:cs="Times New Roman"/>
          <w:sz w:val="20"/>
          <w:szCs w:val="18"/>
        </w:rPr>
      </w:pPr>
      <w:r w:rsidRPr="00D846C4">
        <w:rPr>
          <w:rFonts w:ascii="Times New Roman" w:hAnsi="Times New Roman" w:cs="Times New Roman"/>
          <w:b/>
          <w:bCs/>
          <w:sz w:val="20"/>
          <w:szCs w:val="18"/>
        </w:rPr>
        <w:t>Table 2</w:t>
      </w:r>
      <w:r w:rsidR="004F1448" w:rsidRPr="00D846C4">
        <w:rPr>
          <w:rFonts w:ascii="Times New Roman" w:hAnsi="Times New Roman" w:cs="Times New Roman"/>
          <w:b/>
          <w:bCs/>
          <w:sz w:val="20"/>
          <w:szCs w:val="18"/>
        </w:rPr>
        <w:t>:</w:t>
      </w:r>
      <w:r w:rsidR="004F1448">
        <w:rPr>
          <w:rFonts w:ascii="Times New Roman" w:hAnsi="Times New Roman" w:cs="Times New Roman"/>
          <w:b/>
          <w:bCs/>
          <w:sz w:val="20"/>
          <w:szCs w:val="18"/>
        </w:rPr>
        <w:t xml:space="preserve"> </w:t>
      </w:r>
      <w:r w:rsidR="004F1448" w:rsidRPr="00D846C4">
        <w:rPr>
          <w:rFonts w:ascii="Times New Roman" w:hAnsi="Times New Roman" w:cs="Times New Roman"/>
          <w:b/>
          <w:bCs/>
          <w:sz w:val="20"/>
          <w:szCs w:val="18"/>
        </w:rPr>
        <w:t>D</w:t>
      </w:r>
      <w:r w:rsidR="008C1317" w:rsidRPr="00D846C4">
        <w:rPr>
          <w:rFonts w:ascii="Times New Roman" w:hAnsi="Times New Roman" w:cs="Times New Roman"/>
          <w:b/>
          <w:bCs/>
          <w:sz w:val="20"/>
          <w:szCs w:val="18"/>
        </w:rPr>
        <w:t>istribution of the studied cases according to total Ellipsoid zone change. (n = 30)</w:t>
      </w:r>
    </w:p>
    <w:tbl>
      <w:tblPr>
        <w:tblStyle w:val="TableGrid"/>
        <w:tblW w:w="5000" w:type="pct"/>
        <w:jc w:val="center"/>
        <w:tblCellMar>
          <w:left w:w="57" w:type="dxa"/>
          <w:right w:w="57" w:type="dxa"/>
        </w:tblCellMar>
        <w:tblLook w:val="04A0"/>
      </w:tblPr>
      <w:tblGrid>
        <w:gridCol w:w="3404"/>
        <w:gridCol w:w="796"/>
        <w:gridCol w:w="904"/>
        <w:gridCol w:w="796"/>
        <w:gridCol w:w="904"/>
        <w:gridCol w:w="1224"/>
        <w:gridCol w:w="1446"/>
      </w:tblGrid>
      <w:tr w:rsidR="00190BBE" w:rsidRPr="00D846C4" w:rsidTr="004F1448">
        <w:trPr>
          <w:jc w:val="center"/>
        </w:trPr>
        <w:tc>
          <w:tcPr>
            <w:tcW w:w="1797" w:type="pct"/>
            <w:vMerge w:val="restar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OCT ellipsoid zone</w:t>
            </w:r>
          </w:p>
        </w:tc>
        <w:tc>
          <w:tcPr>
            <w:tcW w:w="897" w:type="pct"/>
            <w:gridSpan w:val="2"/>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Pre</w:t>
            </w:r>
          </w:p>
        </w:tc>
        <w:tc>
          <w:tcPr>
            <w:tcW w:w="897" w:type="pct"/>
            <w:gridSpan w:val="2"/>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Post</w:t>
            </w:r>
          </w:p>
        </w:tc>
        <w:tc>
          <w:tcPr>
            <w:tcW w:w="646" w:type="pct"/>
            <w:vMerge w:val="restar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MH</w:t>
            </w:r>
          </w:p>
        </w:tc>
        <w:tc>
          <w:tcPr>
            <w:tcW w:w="763" w:type="pct"/>
            <w:vMerge w:val="restar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p</w:t>
            </w:r>
          </w:p>
        </w:tc>
      </w:tr>
      <w:tr w:rsidR="00190BBE" w:rsidRPr="00D846C4" w:rsidTr="004F1448">
        <w:trPr>
          <w:jc w:val="center"/>
        </w:trPr>
        <w:tc>
          <w:tcPr>
            <w:tcW w:w="1797" w:type="pct"/>
            <w:vMerge/>
            <w:vAlign w:val="center"/>
          </w:tcPr>
          <w:p w:rsidR="00190BBE" w:rsidRPr="00D846C4" w:rsidRDefault="00190BBE" w:rsidP="00DA3DF4">
            <w:pPr>
              <w:snapToGrid w:val="0"/>
              <w:jc w:val="both"/>
              <w:rPr>
                <w:rFonts w:ascii="Times New Roman" w:hAnsi="Times New Roman" w:cs="Times New Roman"/>
                <w:sz w:val="20"/>
                <w:szCs w:val="18"/>
                <w:lang w:bidi="ar-EG"/>
              </w:rPr>
            </w:pPr>
          </w:p>
        </w:tc>
        <w:tc>
          <w:tcPr>
            <w:tcW w:w="420" w:type="pc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No.</w:t>
            </w:r>
          </w:p>
        </w:tc>
        <w:tc>
          <w:tcPr>
            <w:tcW w:w="477" w:type="pc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w:t>
            </w:r>
          </w:p>
        </w:tc>
        <w:tc>
          <w:tcPr>
            <w:tcW w:w="420" w:type="pc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No.</w:t>
            </w:r>
          </w:p>
        </w:tc>
        <w:tc>
          <w:tcPr>
            <w:tcW w:w="477" w:type="pct"/>
            <w:vAlign w:val="center"/>
          </w:tcPr>
          <w:p w:rsidR="00190BBE" w:rsidRPr="00D846C4" w:rsidRDefault="00190BBE" w:rsidP="00DA3DF4">
            <w:pPr>
              <w:snapToGrid w:val="0"/>
              <w:jc w:val="both"/>
              <w:rPr>
                <w:rFonts w:ascii="Times New Roman" w:hAnsi="Times New Roman" w:cs="Times New Roman"/>
                <w:b/>
                <w:bCs/>
                <w:sz w:val="20"/>
                <w:szCs w:val="18"/>
                <w:lang w:bidi="ar-EG"/>
              </w:rPr>
            </w:pPr>
            <w:r w:rsidRPr="00D846C4">
              <w:rPr>
                <w:rFonts w:ascii="Times New Roman" w:hAnsi="Times New Roman" w:cs="Times New Roman"/>
                <w:b/>
                <w:bCs/>
                <w:sz w:val="20"/>
                <w:szCs w:val="18"/>
                <w:lang w:bidi="ar-EG"/>
              </w:rPr>
              <w:t>%</w:t>
            </w:r>
          </w:p>
        </w:tc>
        <w:tc>
          <w:tcPr>
            <w:tcW w:w="646" w:type="pct"/>
            <w:vMerge/>
            <w:vAlign w:val="center"/>
          </w:tcPr>
          <w:p w:rsidR="00190BBE" w:rsidRPr="00D846C4" w:rsidRDefault="00190BBE" w:rsidP="00DA3DF4">
            <w:pPr>
              <w:snapToGrid w:val="0"/>
              <w:jc w:val="both"/>
              <w:rPr>
                <w:rFonts w:ascii="Times New Roman" w:hAnsi="Times New Roman" w:cs="Times New Roman"/>
                <w:b/>
                <w:bCs/>
                <w:sz w:val="20"/>
                <w:szCs w:val="18"/>
                <w:lang w:bidi="ar-EG"/>
              </w:rPr>
            </w:pPr>
          </w:p>
        </w:tc>
        <w:tc>
          <w:tcPr>
            <w:tcW w:w="763" w:type="pct"/>
            <w:vMerge/>
            <w:vAlign w:val="center"/>
          </w:tcPr>
          <w:p w:rsidR="00190BBE" w:rsidRPr="00D846C4" w:rsidRDefault="00190BBE" w:rsidP="00DA3DF4">
            <w:pPr>
              <w:snapToGrid w:val="0"/>
              <w:jc w:val="both"/>
              <w:rPr>
                <w:rFonts w:ascii="Times New Roman" w:hAnsi="Times New Roman" w:cs="Times New Roman"/>
                <w:b/>
                <w:bCs/>
                <w:sz w:val="20"/>
                <w:szCs w:val="18"/>
                <w:lang w:bidi="ar-EG"/>
              </w:rPr>
            </w:pPr>
          </w:p>
        </w:tc>
      </w:tr>
      <w:tr w:rsidR="00190BBE" w:rsidRPr="00D846C4" w:rsidTr="004F1448">
        <w:trPr>
          <w:jc w:val="center"/>
        </w:trPr>
        <w:tc>
          <w:tcPr>
            <w:tcW w:w="179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Intact</w:t>
            </w:r>
          </w:p>
        </w:tc>
        <w:tc>
          <w:tcPr>
            <w:tcW w:w="420"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w:t>
            </w:r>
          </w:p>
        </w:tc>
        <w:tc>
          <w:tcPr>
            <w:tcW w:w="47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0.0</w:t>
            </w:r>
          </w:p>
        </w:tc>
        <w:tc>
          <w:tcPr>
            <w:tcW w:w="420"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8</w:t>
            </w:r>
          </w:p>
        </w:tc>
        <w:tc>
          <w:tcPr>
            <w:tcW w:w="47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26.7</w:t>
            </w:r>
          </w:p>
        </w:tc>
        <w:tc>
          <w:tcPr>
            <w:tcW w:w="646" w:type="pct"/>
            <w:vAlign w:val="center"/>
          </w:tcPr>
          <w:p w:rsidR="00190BBE" w:rsidRPr="00D846C4" w:rsidRDefault="00190BBE" w:rsidP="00DA3DF4">
            <w:pPr>
              <w:snapToGrid w:val="0"/>
              <w:jc w:val="both"/>
              <w:rPr>
                <w:rFonts w:ascii="Times New Roman" w:hAnsi="Times New Roman" w:cs="Times New Roman"/>
                <w:sz w:val="20"/>
                <w:szCs w:val="18"/>
                <w:lang w:bidi="ar-EG"/>
              </w:rPr>
            </w:pPr>
          </w:p>
        </w:tc>
        <w:tc>
          <w:tcPr>
            <w:tcW w:w="763" w:type="pct"/>
            <w:vAlign w:val="center"/>
          </w:tcPr>
          <w:p w:rsidR="00190BBE" w:rsidRPr="00D846C4" w:rsidRDefault="00190BBE" w:rsidP="00DA3DF4">
            <w:pPr>
              <w:snapToGrid w:val="0"/>
              <w:jc w:val="both"/>
              <w:rPr>
                <w:rFonts w:ascii="Times New Roman" w:hAnsi="Times New Roman" w:cs="Times New Roman"/>
                <w:sz w:val="20"/>
                <w:szCs w:val="18"/>
                <w:lang w:bidi="ar-EG"/>
              </w:rPr>
            </w:pPr>
          </w:p>
        </w:tc>
      </w:tr>
      <w:tr w:rsidR="00190BBE" w:rsidRPr="00D846C4" w:rsidTr="004F1448">
        <w:trPr>
          <w:jc w:val="center"/>
        </w:trPr>
        <w:tc>
          <w:tcPr>
            <w:tcW w:w="179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Disrupted</w:t>
            </w:r>
          </w:p>
        </w:tc>
        <w:tc>
          <w:tcPr>
            <w:tcW w:w="420"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16</w:t>
            </w:r>
          </w:p>
        </w:tc>
        <w:tc>
          <w:tcPr>
            <w:tcW w:w="47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53.3</w:t>
            </w:r>
          </w:p>
        </w:tc>
        <w:tc>
          <w:tcPr>
            <w:tcW w:w="420"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18</w:t>
            </w:r>
          </w:p>
        </w:tc>
        <w:tc>
          <w:tcPr>
            <w:tcW w:w="47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60.0</w:t>
            </w:r>
          </w:p>
        </w:tc>
        <w:tc>
          <w:tcPr>
            <w:tcW w:w="646"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2.121</w:t>
            </w:r>
            <w:r w:rsidRPr="00D846C4">
              <w:rPr>
                <w:rFonts w:ascii="Times New Roman" w:hAnsi="Times New Roman" w:cs="Times New Roman"/>
                <w:sz w:val="20"/>
                <w:szCs w:val="18"/>
                <w:vertAlign w:val="superscript"/>
                <w:lang w:bidi="ar-EG"/>
              </w:rPr>
              <w:t>*</w:t>
            </w:r>
          </w:p>
        </w:tc>
        <w:tc>
          <w:tcPr>
            <w:tcW w:w="763"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&lt;0.001</w:t>
            </w:r>
            <w:r w:rsidRPr="00D846C4">
              <w:rPr>
                <w:rFonts w:ascii="Times New Roman" w:hAnsi="Times New Roman" w:cs="Times New Roman"/>
                <w:sz w:val="20"/>
                <w:szCs w:val="18"/>
                <w:vertAlign w:val="superscript"/>
                <w:lang w:bidi="ar-EG"/>
              </w:rPr>
              <w:t>*</w:t>
            </w:r>
          </w:p>
        </w:tc>
      </w:tr>
      <w:tr w:rsidR="00190BBE" w:rsidRPr="00D846C4" w:rsidTr="004F1448">
        <w:trPr>
          <w:jc w:val="center"/>
        </w:trPr>
        <w:tc>
          <w:tcPr>
            <w:tcW w:w="179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Absent</w:t>
            </w:r>
          </w:p>
        </w:tc>
        <w:tc>
          <w:tcPr>
            <w:tcW w:w="420"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14</w:t>
            </w:r>
          </w:p>
        </w:tc>
        <w:tc>
          <w:tcPr>
            <w:tcW w:w="47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46.7</w:t>
            </w:r>
          </w:p>
        </w:tc>
        <w:tc>
          <w:tcPr>
            <w:tcW w:w="420"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4</w:t>
            </w:r>
          </w:p>
        </w:tc>
        <w:tc>
          <w:tcPr>
            <w:tcW w:w="477" w:type="pct"/>
            <w:vAlign w:val="center"/>
          </w:tcPr>
          <w:p w:rsidR="00190BBE" w:rsidRPr="00D846C4" w:rsidRDefault="00190BBE" w:rsidP="00DA3DF4">
            <w:pPr>
              <w:snapToGrid w:val="0"/>
              <w:jc w:val="both"/>
              <w:rPr>
                <w:rFonts w:ascii="Times New Roman" w:hAnsi="Times New Roman" w:cs="Times New Roman"/>
                <w:sz w:val="20"/>
                <w:szCs w:val="18"/>
                <w:lang w:bidi="ar-EG"/>
              </w:rPr>
            </w:pPr>
            <w:r w:rsidRPr="00D846C4">
              <w:rPr>
                <w:rFonts w:ascii="Times New Roman" w:hAnsi="Times New Roman" w:cs="Times New Roman"/>
                <w:sz w:val="20"/>
                <w:szCs w:val="18"/>
                <w:lang w:bidi="ar-EG"/>
              </w:rPr>
              <w:t>13.3</w:t>
            </w:r>
          </w:p>
        </w:tc>
        <w:tc>
          <w:tcPr>
            <w:tcW w:w="646" w:type="pct"/>
            <w:vAlign w:val="center"/>
          </w:tcPr>
          <w:p w:rsidR="00190BBE" w:rsidRPr="00D846C4" w:rsidRDefault="00190BBE" w:rsidP="00DA3DF4">
            <w:pPr>
              <w:snapToGrid w:val="0"/>
              <w:jc w:val="both"/>
              <w:rPr>
                <w:rFonts w:ascii="Times New Roman" w:hAnsi="Times New Roman" w:cs="Times New Roman"/>
                <w:sz w:val="20"/>
                <w:szCs w:val="18"/>
                <w:lang w:bidi="ar-EG"/>
              </w:rPr>
            </w:pPr>
          </w:p>
        </w:tc>
        <w:tc>
          <w:tcPr>
            <w:tcW w:w="763" w:type="pct"/>
            <w:vAlign w:val="center"/>
          </w:tcPr>
          <w:p w:rsidR="00190BBE" w:rsidRPr="00D846C4" w:rsidRDefault="00190BBE" w:rsidP="00DA3DF4">
            <w:pPr>
              <w:snapToGrid w:val="0"/>
              <w:jc w:val="both"/>
              <w:rPr>
                <w:rFonts w:ascii="Times New Roman" w:hAnsi="Times New Roman" w:cs="Times New Roman"/>
                <w:sz w:val="20"/>
                <w:szCs w:val="18"/>
                <w:lang w:bidi="ar-EG"/>
              </w:rPr>
            </w:pPr>
          </w:p>
        </w:tc>
      </w:tr>
    </w:tbl>
    <w:p w:rsidR="004F1448" w:rsidRDefault="008B4D91" w:rsidP="00072C1F">
      <w:pPr>
        <w:snapToGrid w:val="0"/>
        <w:spacing w:after="0" w:line="240" w:lineRule="auto"/>
        <w:jc w:val="both"/>
        <w:rPr>
          <w:rFonts w:ascii="Times New Roman" w:hAnsi="Times New Roman" w:cs="Times New Roman"/>
          <w:sz w:val="20"/>
          <w:szCs w:val="18"/>
        </w:rPr>
      </w:pPr>
      <w:r w:rsidRPr="00D846C4">
        <w:rPr>
          <w:rFonts w:ascii="Times New Roman" w:hAnsi="Times New Roman" w:cs="Times New Roman"/>
          <w:sz w:val="20"/>
          <w:szCs w:val="18"/>
        </w:rPr>
        <w:t>MH: Marginal Homogeneity Test</w:t>
      </w:r>
      <w:r w:rsidR="00D846C4" w:rsidRPr="00D846C4">
        <w:rPr>
          <w:rFonts w:ascii="Times New Roman" w:hAnsi="Times New Roman" w:cs="Times New Roman"/>
          <w:sz w:val="20"/>
          <w:szCs w:val="18"/>
        </w:rPr>
        <w:t xml:space="preserve"> </w:t>
      </w:r>
      <w:r w:rsidRPr="00D846C4">
        <w:rPr>
          <w:rFonts w:ascii="Times New Roman" w:hAnsi="Times New Roman" w:cs="Times New Roman"/>
          <w:sz w:val="20"/>
          <w:szCs w:val="18"/>
        </w:rPr>
        <w:t xml:space="preserve">p: p value for comparing between </w:t>
      </w:r>
      <w:r w:rsidRPr="00D846C4">
        <w:rPr>
          <w:rFonts w:ascii="Times New Roman" w:hAnsi="Times New Roman" w:cs="Times New Roman"/>
          <w:b/>
          <w:bCs/>
          <w:sz w:val="20"/>
          <w:szCs w:val="18"/>
        </w:rPr>
        <w:t>pre</w:t>
      </w:r>
      <w:r w:rsidRPr="00D846C4">
        <w:rPr>
          <w:rFonts w:ascii="Times New Roman" w:hAnsi="Times New Roman" w:cs="Times New Roman"/>
          <w:sz w:val="20"/>
          <w:szCs w:val="18"/>
        </w:rPr>
        <w:t xml:space="preserve"> and </w:t>
      </w:r>
      <w:r w:rsidRPr="00D846C4">
        <w:rPr>
          <w:rFonts w:ascii="Times New Roman" w:hAnsi="Times New Roman" w:cs="Times New Roman"/>
          <w:b/>
          <w:bCs/>
          <w:sz w:val="20"/>
          <w:szCs w:val="18"/>
        </w:rPr>
        <w:t>post</w:t>
      </w:r>
      <w:r w:rsidR="00D846C4" w:rsidRPr="00D846C4">
        <w:rPr>
          <w:rFonts w:ascii="Times New Roman" w:hAnsi="Times New Roman" w:cs="Times New Roman"/>
          <w:sz w:val="20"/>
          <w:szCs w:val="18"/>
        </w:rPr>
        <w:t xml:space="preserve"> </w:t>
      </w:r>
      <w:r w:rsidRPr="00D846C4">
        <w:rPr>
          <w:rFonts w:ascii="Times New Roman" w:hAnsi="Times New Roman" w:cs="Times New Roman"/>
          <w:sz w:val="20"/>
          <w:szCs w:val="18"/>
        </w:rPr>
        <w:t>*: Statistically significant at p ≤ 0.05</w:t>
      </w:r>
    </w:p>
    <w:p w:rsidR="004F1448" w:rsidRDefault="004F1448" w:rsidP="00DA3DF4">
      <w:pPr>
        <w:snapToGrid w:val="0"/>
        <w:spacing w:after="0" w:line="240" w:lineRule="auto"/>
        <w:ind w:firstLine="425"/>
        <w:jc w:val="both"/>
        <w:rPr>
          <w:rFonts w:ascii="Times New Roman" w:hAnsi="Times New Roman" w:cs="Times New Roman"/>
          <w:sz w:val="20"/>
          <w:szCs w:val="20"/>
        </w:rPr>
      </w:pPr>
    </w:p>
    <w:p w:rsidR="00072C1F" w:rsidRDefault="00072C1F" w:rsidP="00DA3DF4">
      <w:pPr>
        <w:snapToGrid w:val="0"/>
        <w:spacing w:after="0" w:line="240" w:lineRule="auto"/>
        <w:ind w:firstLine="425"/>
        <w:jc w:val="both"/>
        <w:rPr>
          <w:rFonts w:ascii="Times New Roman" w:hAnsi="Times New Roman" w:cs="Times New Roman"/>
          <w:sz w:val="20"/>
          <w:szCs w:val="20"/>
        </w:rPr>
        <w:sectPr w:rsidR="00072C1F" w:rsidSect="00D846C4">
          <w:type w:val="continuous"/>
          <w:pgSz w:w="12240" w:h="15840"/>
          <w:pgMar w:top="1440" w:right="1440" w:bottom="1440" w:left="1440" w:header="720" w:footer="720" w:gutter="0"/>
          <w:cols w:space="720"/>
          <w:bidi/>
          <w:rtlGutter/>
          <w:docGrid w:linePitch="360"/>
        </w:sectPr>
      </w:pPr>
    </w:p>
    <w:p w:rsidR="004F1448" w:rsidRDefault="00EB53BD"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rPr>
        <w:lastRenderedPageBreak/>
        <w:t>mfERG showed significant improvement in all parameters included in study after Ranibazumab injection</w:t>
      </w:r>
      <w:r w:rsidR="006D38A2" w:rsidRPr="00D846C4">
        <w:rPr>
          <w:rFonts w:ascii="Times New Roman" w:hAnsi="Times New Roman" w:cs="Times New Roman"/>
          <w:sz w:val="20"/>
          <w:szCs w:val="20"/>
        </w:rPr>
        <w:t>.</w:t>
      </w:r>
      <w:r w:rsidR="00E178A7" w:rsidRPr="00D846C4">
        <w:rPr>
          <w:rFonts w:ascii="Times New Roman" w:hAnsi="Times New Roman" w:cs="Times New Roman"/>
          <w:sz w:val="20"/>
          <w:szCs w:val="20"/>
        </w:rPr>
        <w:t xml:space="preserve"> P1 amplitude</w:t>
      </w:r>
      <w:r w:rsidR="00D846C4" w:rsidRPr="00D846C4">
        <w:rPr>
          <w:rFonts w:ascii="Times New Roman" w:hAnsi="Times New Roman" w:cs="Times New Roman"/>
          <w:sz w:val="20"/>
          <w:szCs w:val="20"/>
        </w:rPr>
        <w:t xml:space="preserve"> </w:t>
      </w:r>
      <w:r w:rsidR="00E178A7" w:rsidRPr="00D846C4">
        <w:rPr>
          <w:rFonts w:ascii="Times New Roman" w:hAnsi="Times New Roman" w:cs="Times New Roman"/>
          <w:sz w:val="20"/>
          <w:szCs w:val="20"/>
        </w:rPr>
        <w:t>showed significant increase with mean increase (</w:t>
      </w:r>
      <w:r w:rsidR="00E178A7" w:rsidRPr="00D846C4">
        <w:rPr>
          <w:rFonts w:ascii="Times New Roman" w:hAnsi="Times New Roman" w:cs="Times New Roman"/>
          <w:sz w:val="20"/>
          <w:szCs w:val="20"/>
          <w:lang w:bidi="ar-EG"/>
        </w:rPr>
        <w:t xml:space="preserve">0.41) </w:t>
      </w:r>
      <w:r w:rsidR="00FE6794" w:rsidRPr="00D846C4">
        <w:rPr>
          <w:rFonts w:ascii="Times New Roman" w:hAnsi="Times New Roman" w:cs="Times New Roman"/>
          <w:sz w:val="20"/>
          <w:szCs w:val="20"/>
        </w:rPr>
        <w:t>( P</w:t>
      </w:r>
      <w:r w:rsidR="00E178A7" w:rsidRPr="00D846C4">
        <w:rPr>
          <w:rFonts w:ascii="Times New Roman" w:hAnsi="Times New Roman" w:cs="Times New Roman"/>
          <w:sz w:val="20"/>
          <w:szCs w:val="20"/>
        </w:rPr>
        <w:t>&lt;0.001</w:t>
      </w:r>
      <w:r w:rsidR="00FE6794" w:rsidRPr="00D846C4">
        <w:rPr>
          <w:rFonts w:ascii="Times New Roman" w:hAnsi="Times New Roman" w:cs="Times New Roman"/>
          <w:sz w:val="20"/>
          <w:szCs w:val="20"/>
        </w:rPr>
        <w:t>)</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T</w:t>
      </w:r>
      <w:r w:rsidR="00EB5BEC" w:rsidRPr="00D846C4">
        <w:rPr>
          <w:rFonts w:ascii="Times New Roman" w:hAnsi="Times New Roman" w:cs="Times New Roman"/>
          <w:sz w:val="20"/>
          <w:szCs w:val="20"/>
        </w:rPr>
        <w:t>he</w:t>
      </w:r>
      <w:r w:rsidR="008C107D" w:rsidRPr="00D846C4">
        <w:rPr>
          <w:rFonts w:ascii="Times New Roman" w:hAnsi="Times New Roman" w:cs="Times New Roman"/>
          <w:sz w:val="20"/>
          <w:szCs w:val="20"/>
        </w:rPr>
        <w:t xml:space="preserve"> improvement in</w:t>
      </w:r>
      <w:r w:rsidR="00EB5BEC" w:rsidRPr="00D846C4">
        <w:rPr>
          <w:rFonts w:ascii="Times New Roman" w:hAnsi="Times New Roman" w:cs="Times New Roman"/>
          <w:sz w:val="20"/>
          <w:szCs w:val="20"/>
        </w:rPr>
        <w:t xml:space="preserve"> the</w:t>
      </w:r>
      <w:r w:rsidR="008C107D" w:rsidRPr="00D846C4">
        <w:rPr>
          <w:rFonts w:ascii="Times New Roman" w:hAnsi="Times New Roman" w:cs="Times New Roman"/>
          <w:sz w:val="20"/>
          <w:szCs w:val="20"/>
        </w:rPr>
        <w:t xml:space="preserve"> Average P1+P2 amplitude</w:t>
      </w:r>
      <w:r w:rsidR="00CF02E7" w:rsidRPr="00D846C4">
        <w:rPr>
          <w:rFonts w:ascii="Times New Roman" w:hAnsi="Times New Roman" w:cs="Times New Roman"/>
          <w:sz w:val="20"/>
          <w:szCs w:val="20"/>
        </w:rPr>
        <w:t xml:space="preserve">, N1 </w:t>
      </w:r>
      <w:r w:rsidR="00800669" w:rsidRPr="00D846C4">
        <w:rPr>
          <w:rFonts w:ascii="Times New Roman" w:hAnsi="Times New Roman" w:cs="Times New Roman"/>
          <w:sz w:val="20"/>
          <w:szCs w:val="20"/>
        </w:rPr>
        <w:t>amplitude were</w:t>
      </w:r>
      <w:r w:rsidR="008C107D" w:rsidRPr="00D846C4">
        <w:rPr>
          <w:rFonts w:ascii="Times New Roman" w:hAnsi="Times New Roman" w:cs="Times New Roman"/>
          <w:sz w:val="20"/>
          <w:szCs w:val="20"/>
        </w:rPr>
        <w:t xml:space="preserve"> also statistically significant </w:t>
      </w:r>
      <w:r w:rsidR="008C107D" w:rsidRPr="00D846C4">
        <w:rPr>
          <w:rFonts w:ascii="Times New Roman" w:hAnsi="Times New Roman" w:cs="Times New Roman"/>
          <w:sz w:val="20"/>
          <w:szCs w:val="20"/>
          <w:lang w:bidi="ar-EG"/>
        </w:rPr>
        <w:t xml:space="preserve">(P </w:t>
      </w:r>
      <w:r w:rsidR="00CF02E7" w:rsidRPr="00D846C4">
        <w:rPr>
          <w:rFonts w:ascii="Times New Roman" w:hAnsi="Times New Roman" w:cs="Times New Roman"/>
          <w:sz w:val="20"/>
          <w:szCs w:val="20"/>
          <w:lang w:bidi="ar-EG"/>
        </w:rPr>
        <w:t>&lt;0.001)</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T</w:t>
      </w:r>
      <w:r w:rsidR="00AE66B1" w:rsidRPr="00D846C4">
        <w:rPr>
          <w:rFonts w:ascii="Times New Roman" w:hAnsi="Times New Roman" w:cs="Times New Roman"/>
          <w:sz w:val="20"/>
          <w:szCs w:val="20"/>
          <w:lang w:bidi="ar-EG"/>
        </w:rPr>
        <w:t>he</w:t>
      </w:r>
      <w:r w:rsidR="004D570B" w:rsidRPr="00D846C4">
        <w:rPr>
          <w:rFonts w:ascii="Times New Roman" w:hAnsi="Times New Roman" w:cs="Times New Roman"/>
          <w:sz w:val="20"/>
          <w:szCs w:val="20"/>
          <w:lang w:bidi="ar-EG"/>
        </w:rPr>
        <w:t xml:space="preserve"> mean increase in R1 response density</w:t>
      </w:r>
      <w:r w:rsidR="00D846C4" w:rsidRPr="00D846C4">
        <w:rPr>
          <w:rFonts w:ascii="Times New Roman" w:hAnsi="Times New Roman" w:cs="Times New Roman"/>
          <w:sz w:val="20"/>
          <w:szCs w:val="20"/>
          <w:lang w:bidi="ar-EG"/>
        </w:rPr>
        <w:t xml:space="preserve"> </w:t>
      </w:r>
      <w:r w:rsidR="004D570B" w:rsidRPr="00D846C4">
        <w:rPr>
          <w:rFonts w:ascii="Times New Roman" w:hAnsi="Times New Roman" w:cs="Times New Roman"/>
          <w:sz w:val="20"/>
          <w:szCs w:val="20"/>
          <w:lang w:bidi="ar-EG"/>
        </w:rPr>
        <w:t>was 29.39 µv/ deg</w:t>
      </w:r>
      <w:r w:rsidR="004D570B" w:rsidRPr="00D846C4">
        <w:rPr>
          <w:rFonts w:ascii="Times New Roman" w:hAnsi="Times New Roman" w:cs="Times New Roman"/>
          <w:sz w:val="20"/>
          <w:szCs w:val="20"/>
          <w:vertAlign w:val="superscript"/>
          <w:lang w:bidi="ar-EG"/>
        </w:rPr>
        <w:t>2</w:t>
      </w:r>
      <w:r w:rsidR="00AE66B1" w:rsidRPr="00D846C4">
        <w:rPr>
          <w:rFonts w:ascii="Times New Roman" w:hAnsi="Times New Roman" w:cs="Times New Roman"/>
          <w:sz w:val="20"/>
          <w:szCs w:val="20"/>
          <w:lang w:bidi="ar-EG"/>
        </w:rPr>
        <w:t>) and was statistically significant (p &lt;0.001)</w:t>
      </w:r>
      <w:r w:rsidR="004D570B" w:rsidRPr="00D846C4">
        <w:rPr>
          <w:rFonts w:ascii="Times New Roman" w:hAnsi="Times New Roman" w:cs="Times New Roman"/>
          <w:sz w:val="20"/>
          <w:szCs w:val="20"/>
          <w:lang w:bidi="ar-EG"/>
        </w:rPr>
        <w:t>.</w:t>
      </w:r>
      <w:r w:rsidR="00925FF4" w:rsidRPr="00D846C4">
        <w:rPr>
          <w:rFonts w:ascii="Times New Roman" w:hAnsi="Times New Roman" w:cs="Times New Roman"/>
          <w:sz w:val="20"/>
          <w:szCs w:val="20"/>
          <w:lang w:bidi="ar-EG"/>
        </w:rPr>
        <w:t xml:space="preserve"> On the other hand,</w:t>
      </w:r>
      <w:r w:rsidR="00ED47DE" w:rsidRPr="00D846C4">
        <w:rPr>
          <w:rFonts w:ascii="Times New Roman" w:hAnsi="Times New Roman" w:cs="Times New Roman"/>
          <w:sz w:val="20"/>
          <w:szCs w:val="20"/>
          <w:lang w:bidi="ar-EG"/>
        </w:rPr>
        <w:t xml:space="preserve"> P1 implicit time showed a statistically significant reduction p value </w:t>
      </w:r>
      <w:r w:rsidR="00A67EEA" w:rsidRPr="00D846C4">
        <w:rPr>
          <w:rFonts w:ascii="Times New Roman" w:hAnsi="Times New Roman" w:cs="Times New Roman"/>
          <w:sz w:val="20"/>
          <w:szCs w:val="20"/>
          <w:lang w:bidi="ar-EG"/>
        </w:rPr>
        <w:t>&lt;0.001.</w:t>
      </w:r>
      <w:r w:rsidR="00EB2EB3" w:rsidRPr="00D846C4">
        <w:rPr>
          <w:rFonts w:ascii="Times New Roman" w:hAnsi="Times New Roman" w:cs="Times New Roman"/>
          <w:sz w:val="20"/>
          <w:szCs w:val="20"/>
          <w:lang w:bidi="ar-EG"/>
        </w:rPr>
        <w:t xml:space="preserve"> The m</w:t>
      </w:r>
      <w:r w:rsidR="00BC0BDA" w:rsidRPr="00D846C4">
        <w:rPr>
          <w:rFonts w:ascii="Times New Roman" w:hAnsi="Times New Roman" w:cs="Times New Roman"/>
          <w:sz w:val="20"/>
          <w:szCs w:val="20"/>
          <w:lang w:bidi="ar-EG"/>
        </w:rPr>
        <w:t>ean reduction in P1 implicit time was (5.83).</w:t>
      </w:r>
    </w:p>
    <w:p w:rsidR="004F1448" w:rsidRDefault="00DB32DB" w:rsidP="00DA3DF4">
      <w:pPr>
        <w:snapToGrid w:val="0"/>
        <w:spacing w:after="0" w:line="240" w:lineRule="auto"/>
        <w:jc w:val="both"/>
        <w:rPr>
          <w:rFonts w:ascii="Times New Roman" w:hAnsi="Times New Roman" w:cs="Times New Roman"/>
          <w:b/>
          <w:bCs/>
          <w:sz w:val="20"/>
          <w:szCs w:val="20"/>
          <w:lang w:bidi="ar-EG"/>
        </w:rPr>
      </w:pPr>
      <w:r w:rsidRPr="00D846C4">
        <w:rPr>
          <w:rFonts w:ascii="Times New Roman" w:hAnsi="Times New Roman" w:cs="Times New Roman"/>
          <w:b/>
          <w:bCs/>
          <w:sz w:val="20"/>
          <w:szCs w:val="20"/>
          <w:lang w:bidi="ar-EG"/>
        </w:rPr>
        <w:t>Correlation between variables:</w:t>
      </w:r>
    </w:p>
    <w:p w:rsidR="004F1448" w:rsidRDefault="00D846C4"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T</w:t>
      </w:r>
      <w:r w:rsidR="004F6033" w:rsidRPr="00D846C4">
        <w:rPr>
          <w:rFonts w:ascii="Times New Roman" w:hAnsi="Times New Roman" w:cs="Times New Roman"/>
          <w:sz w:val="20"/>
          <w:szCs w:val="20"/>
          <w:lang w:bidi="ar-EG"/>
        </w:rPr>
        <w:t>he p</w:t>
      </w:r>
      <w:r w:rsidR="00B779AA" w:rsidRPr="00D846C4">
        <w:rPr>
          <w:rFonts w:ascii="Times New Roman" w:hAnsi="Times New Roman" w:cs="Times New Roman"/>
          <w:sz w:val="20"/>
          <w:szCs w:val="20"/>
          <w:lang w:bidi="ar-EG"/>
        </w:rPr>
        <w:t>ositive correlation between change in BCVA and change in Average P1+P2 amplitude was statistically significan</w:t>
      </w:r>
      <w:r w:rsidRPr="00D846C4">
        <w:rPr>
          <w:rFonts w:ascii="Times New Roman" w:hAnsi="Times New Roman" w:cs="Times New Roman"/>
          <w:sz w:val="20"/>
          <w:szCs w:val="20"/>
          <w:lang w:bidi="ar-EG"/>
        </w:rPr>
        <w:t>t (</w:t>
      </w:r>
      <w:r w:rsidR="004F6033" w:rsidRPr="00D846C4">
        <w:rPr>
          <w:rFonts w:ascii="Times New Roman" w:hAnsi="Times New Roman" w:cs="Times New Roman"/>
          <w:sz w:val="20"/>
          <w:szCs w:val="20"/>
          <w:lang w:bidi="ar-EG"/>
        </w:rPr>
        <w:t>p &lt;0.002)</w:t>
      </w:r>
      <w:r w:rsidR="00B779AA" w:rsidRPr="00D846C4">
        <w:rPr>
          <w:rFonts w:ascii="Times New Roman" w:hAnsi="Times New Roman" w:cs="Times New Roman"/>
          <w:sz w:val="20"/>
          <w:szCs w:val="20"/>
          <w:lang w:bidi="ar-EG"/>
        </w:rPr>
        <w:t>. BCVA was also positively</w:t>
      </w:r>
      <w:r w:rsidR="00110211" w:rsidRPr="00D846C4">
        <w:rPr>
          <w:rFonts w:ascii="Times New Roman" w:hAnsi="Times New Roman" w:cs="Times New Roman"/>
          <w:sz w:val="20"/>
          <w:szCs w:val="20"/>
          <w:lang w:bidi="ar-EG"/>
        </w:rPr>
        <w:t xml:space="preserve"> and significantly</w:t>
      </w:r>
      <w:r w:rsidRPr="00D846C4">
        <w:rPr>
          <w:rFonts w:ascii="Times New Roman" w:hAnsi="Times New Roman" w:cs="Times New Roman"/>
          <w:sz w:val="20"/>
          <w:szCs w:val="20"/>
          <w:lang w:bidi="ar-EG"/>
        </w:rPr>
        <w:t xml:space="preserve"> </w:t>
      </w:r>
      <w:r w:rsidR="00B779AA" w:rsidRPr="00D846C4">
        <w:rPr>
          <w:rFonts w:ascii="Times New Roman" w:hAnsi="Times New Roman" w:cs="Times New Roman"/>
          <w:sz w:val="20"/>
          <w:szCs w:val="20"/>
          <w:lang w:bidi="ar-EG"/>
        </w:rPr>
        <w:t xml:space="preserve">correlated with Response </w:t>
      </w:r>
      <w:r w:rsidR="00B779AA" w:rsidRPr="00D846C4">
        <w:rPr>
          <w:rFonts w:ascii="Times New Roman" w:hAnsi="Times New Roman" w:cs="Times New Roman"/>
          <w:sz w:val="20"/>
          <w:szCs w:val="20"/>
          <w:lang w:bidi="ar-EG"/>
        </w:rPr>
        <w:lastRenderedPageBreak/>
        <w:t xml:space="preserve">density at R1 </w:t>
      </w:r>
      <w:r w:rsidR="0033023F" w:rsidRPr="00D846C4">
        <w:rPr>
          <w:rFonts w:ascii="Times New Roman" w:hAnsi="Times New Roman" w:cs="Times New Roman"/>
          <w:sz w:val="20"/>
          <w:szCs w:val="20"/>
          <w:lang w:bidi="ar-EG"/>
        </w:rPr>
        <w:t>(</w:t>
      </w:r>
      <w:r w:rsidR="00B779AA" w:rsidRPr="00D846C4">
        <w:rPr>
          <w:rFonts w:ascii="Times New Roman" w:hAnsi="Times New Roman" w:cs="Times New Roman"/>
          <w:sz w:val="20"/>
          <w:szCs w:val="20"/>
          <w:lang w:bidi="ar-EG"/>
        </w:rPr>
        <w:t>P value 0.021</w:t>
      </w:r>
      <w:r w:rsidR="0033023F" w:rsidRPr="00D846C4">
        <w:rPr>
          <w:rFonts w:ascii="Times New Roman" w:hAnsi="Times New Roman" w:cs="Times New Roman"/>
          <w:sz w:val="20"/>
          <w:szCs w:val="20"/>
          <w:lang w:bidi="ar-EG"/>
        </w:rPr>
        <w:t>)</w:t>
      </w:r>
      <w:r w:rsidR="00B779AA" w:rsidRPr="00D846C4">
        <w:rPr>
          <w:rFonts w:ascii="Times New Roman" w:hAnsi="Times New Roman" w:cs="Times New Roman"/>
          <w:sz w:val="20"/>
          <w:szCs w:val="20"/>
          <w:lang w:bidi="ar-EG"/>
        </w:rPr>
        <w:t>.</w:t>
      </w:r>
      <w:r w:rsidR="00926031" w:rsidRPr="00D846C4">
        <w:rPr>
          <w:rFonts w:ascii="Times New Roman" w:hAnsi="Times New Roman" w:cs="Times New Roman"/>
          <w:sz w:val="20"/>
          <w:szCs w:val="20"/>
          <w:lang w:bidi="ar-EG"/>
        </w:rPr>
        <w:t xml:space="preserve"> Moreover, positive correlation was detected between BCVA</w:t>
      </w:r>
      <w:r w:rsidRPr="00D846C4">
        <w:rPr>
          <w:rFonts w:ascii="Times New Roman" w:hAnsi="Times New Roman" w:cs="Times New Roman"/>
          <w:sz w:val="20"/>
          <w:szCs w:val="20"/>
          <w:lang w:bidi="ar-EG"/>
        </w:rPr>
        <w:t>,</w:t>
      </w:r>
      <w:r w:rsidR="00926031" w:rsidRPr="00D846C4">
        <w:rPr>
          <w:rFonts w:ascii="Times New Roman" w:hAnsi="Times New Roman" w:cs="Times New Roman"/>
          <w:sz w:val="20"/>
          <w:szCs w:val="20"/>
          <w:lang w:bidi="ar-EG"/>
        </w:rPr>
        <w:t xml:space="preserve"> EZ</w:t>
      </w:r>
      <w:r w:rsidRPr="00D846C4">
        <w:rPr>
          <w:rFonts w:ascii="Times New Roman" w:hAnsi="Times New Roman" w:cs="Times New Roman"/>
          <w:sz w:val="20"/>
          <w:szCs w:val="20"/>
          <w:lang w:bidi="ar-EG"/>
        </w:rPr>
        <w:t>,</w:t>
      </w:r>
      <w:r w:rsidR="00926031" w:rsidRPr="00D846C4">
        <w:rPr>
          <w:rFonts w:ascii="Times New Roman" w:hAnsi="Times New Roman" w:cs="Times New Roman"/>
          <w:sz w:val="20"/>
          <w:szCs w:val="20"/>
          <w:lang w:bidi="ar-EG"/>
        </w:rPr>
        <w:t xml:space="preserve"> P1 amplitude and N1 amplitude. BCVA </w:t>
      </w:r>
      <w:r w:rsidR="009921EA" w:rsidRPr="00D846C4">
        <w:rPr>
          <w:rFonts w:ascii="Times New Roman" w:hAnsi="Times New Roman" w:cs="Times New Roman"/>
          <w:sz w:val="20"/>
          <w:szCs w:val="20"/>
          <w:lang w:bidi="ar-EG"/>
        </w:rPr>
        <w:t xml:space="preserve">was </w:t>
      </w:r>
      <w:r w:rsidR="00926031" w:rsidRPr="00D846C4">
        <w:rPr>
          <w:rFonts w:ascii="Times New Roman" w:hAnsi="Times New Roman" w:cs="Times New Roman"/>
          <w:sz w:val="20"/>
          <w:szCs w:val="20"/>
          <w:lang w:bidi="ar-EG"/>
        </w:rPr>
        <w:t>negatively correlated with P1 implicit time but none of them was</w:t>
      </w:r>
      <w:r w:rsidRPr="00D846C4">
        <w:rPr>
          <w:rFonts w:ascii="Times New Roman" w:hAnsi="Times New Roman" w:cs="Times New Roman"/>
          <w:sz w:val="20"/>
          <w:szCs w:val="20"/>
          <w:lang w:bidi="ar-EG"/>
        </w:rPr>
        <w:t xml:space="preserve"> </w:t>
      </w:r>
      <w:r w:rsidR="00926031" w:rsidRPr="00D846C4">
        <w:rPr>
          <w:rFonts w:ascii="Times New Roman" w:hAnsi="Times New Roman" w:cs="Times New Roman"/>
          <w:sz w:val="20"/>
          <w:szCs w:val="20"/>
          <w:lang w:bidi="ar-EG"/>
        </w:rPr>
        <w:t>statistically significant. P value was 0.097, 0.102, 0.671 and 0.581 respectively.</w:t>
      </w:r>
    </w:p>
    <w:p w:rsidR="004F1448" w:rsidRDefault="00844215"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A s</w:t>
      </w:r>
      <w:r w:rsidR="00D51770" w:rsidRPr="00D846C4">
        <w:rPr>
          <w:rFonts w:ascii="Times New Roman" w:hAnsi="Times New Roman" w:cs="Times New Roman"/>
          <w:sz w:val="20"/>
          <w:szCs w:val="20"/>
          <w:lang w:bidi="ar-EG"/>
        </w:rPr>
        <w:t xml:space="preserve">tatistically significant positive correlation </w:t>
      </w:r>
      <w:r w:rsidR="00545508" w:rsidRPr="00D846C4">
        <w:rPr>
          <w:rFonts w:ascii="Times New Roman" w:hAnsi="Times New Roman" w:cs="Times New Roman"/>
          <w:sz w:val="20"/>
          <w:szCs w:val="20"/>
          <w:lang w:bidi="ar-EG"/>
        </w:rPr>
        <w:t>(</w:t>
      </w:r>
      <w:r w:rsidR="00D51770" w:rsidRPr="00D846C4">
        <w:rPr>
          <w:rFonts w:ascii="Times New Roman" w:hAnsi="Times New Roman" w:cs="Times New Roman"/>
          <w:sz w:val="20"/>
          <w:szCs w:val="20"/>
          <w:lang w:bidi="ar-EG"/>
        </w:rPr>
        <w:t>P 0.024</w:t>
      </w:r>
      <w:r w:rsidR="00545508" w:rsidRPr="00D846C4">
        <w:rPr>
          <w:rFonts w:ascii="Times New Roman" w:hAnsi="Times New Roman" w:cs="Times New Roman"/>
          <w:sz w:val="20"/>
          <w:szCs w:val="20"/>
          <w:lang w:bidi="ar-EG"/>
        </w:rPr>
        <w:t>) was found</w:t>
      </w:r>
      <w:r w:rsidR="00D51770" w:rsidRPr="00D846C4">
        <w:rPr>
          <w:rFonts w:ascii="Times New Roman" w:hAnsi="Times New Roman" w:cs="Times New Roman"/>
          <w:sz w:val="20"/>
          <w:szCs w:val="20"/>
          <w:lang w:bidi="ar-EG"/>
        </w:rPr>
        <w:t xml:space="preserve"> between </w:t>
      </w:r>
      <w:r w:rsidR="001C6FE6" w:rsidRPr="00D846C4">
        <w:rPr>
          <w:rFonts w:ascii="Times New Roman" w:hAnsi="Times New Roman" w:cs="Times New Roman"/>
          <w:sz w:val="20"/>
          <w:szCs w:val="20"/>
          <w:lang w:bidi="ar-EG"/>
        </w:rPr>
        <w:t xml:space="preserve">foveal </w:t>
      </w:r>
      <w:r w:rsidR="00D51770" w:rsidRPr="00D846C4">
        <w:rPr>
          <w:rFonts w:ascii="Times New Roman" w:hAnsi="Times New Roman" w:cs="Times New Roman"/>
          <w:sz w:val="20"/>
          <w:szCs w:val="20"/>
          <w:lang w:bidi="ar-EG"/>
        </w:rPr>
        <w:t>EZ and improvement in N1 amplitude.</w:t>
      </w:r>
      <w:r w:rsidR="006E53CC" w:rsidRPr="00D846C4">
        <w:rPr>
          <w:rFonts w:ascii="Times New Roman" w:hAnsi="Times New Roman" w:cs="Times New Roman"/>
          <w:sz w:val="20"/>
          <w:szCs w:val="20"/>
          <w:lang w:bidi="ar-EG"/>
        </w:rPr>
        <w:t xml:space="preserve"> Foveal EZ was also positively</w:t>
      </w:r>
      <w:r w:rsidR="00BB79CA" w:rsidRPr="00D846C4">
        <w:rPr>
          <w:rFonts w:ascii="Times New Roman" w:hAnsi="Times New Roman" w:cs="Times New Roman"/>
          <w:sz w:val="20"/>
          <w:szCs w:val="20"/>
          <w:lang w:bidi="ar-EG"/>
        </w:rPr>
        <w:t xml:space="preserve"> and significantly </w:t>
      </w:r>
      <w:r w:rsidR="00F234C2" w:rsidRPr="00D846C4">
        <w:rPr>
          <w:rFonts w:ascii="Times New Roman" w:hAnsi="Times New Roman" w:cs="Times New Roman"/>
          <w:sz w:val="20"/>
          <w:szCs w:val="20"/>
          <w:lang w:bidi="ar-EG"/>
        </w:rPr>
        <w:t>correlated with average a</w:t>
      </w:r>
      <w:r w:rsidR="006E53CC" w:rsidRPr="00D846C4">
        <w:rPr>
          <w:rFonts w:ascii="Times New Roman" w:hAnsi="Times New Roman" w:cs="Times New Roman"/>
          <w:sz w:val="20"/>
          <w:szCs w:val="20"/>
          <w:lang w:bidi="ar-EG"/>
        </w:rPr>
        <w:t xml:space="preserve">mplitude of P1+P2 </w:t>
      </w:r>
      <w:r w:rsidR="00267D67" w:rsidRPr="00D846C4">
        <w:rPr>
          <w:rFonts w:ascii="Times New Roman" w:hAnsi="Times New Roman" w:cs="Times New Roman"/>
          <w:sz w:val="20"/>
          <w:szCs w:val="20"/>
          <w:lang w:bidi="ar-EG"/>
        </w:rPr>
        <w:t>(</w:t>
      </w:r>
      <w:r w:rsidR="006E53CC" w:rsidRPr="00D846C4">
        <w:rPr>
          <w:rFonts w:ascii="Times New Roman" w:hAnsi="Times New Roman" w:cs="Times New Roman"/>
          <w:sz w:val="20"/>
          <w:szCs w:val="20"/>
          <w:lang w:bidi="ar-EG"/>
        </w:rPr>
        <w:t>P value &lt;0.001</w:t>
      </w:r>
      <w:r w:rsidR="00267D67" w:rsidRPr="00D846C4">
        <w:rPr>
          <w:rFonts w:ascii="Times New Roman" w:hAnsi="Times New Roman" w:cs="Times New Roman"/>
          <w:sz w:val="20"/>
          <w:szCs w:val="20"/>
          <w:lang w:bidi="ar-EG"/>
        </w:rPr>
        <w:t>)</w:t>
      </w:r>
      <w:r w:rsidR="006E53CC" w:rsidRPr="00D846C4">
        <w:rPr>
          <w:rFonts w:ascii="Times New Roman" w:hAnsi="Times New Roman" w:cs="Times New Roman"/>
          <w:sz w:val="20"/>
          <w:szCs w:val="20"/>
          <w:lang w:bidi="ar-EG"/>
        </w:rPr>
        <w:t>.</w:t>
      </w:r>
    </w:p>
    <w:p w:rsidR="004F1448" w:rsidRDefault="00891857"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 xml:space="preserve">Foveal EZ </w:t>
      </w:r>
      <w:r w:rsidR="00800669" w:rsidRPr="00D846C4">
        <w:rPr>
          <w:rFonts w:ascii="Times New Roman" w:hAnsi="Times New Roman" w:cs="Times New Roman"/>
          <w:sz w:val="20"/>
          <w:szCs w:val="20"/>
          <w:lang w:bidi="ar-EG"/>
        </w:rPr>
        <w:t>also positively</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correlated with Amplitude of P1</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A</w:t>
      </w:r>
      <w:r w:rsidRPr="00D846C4">
        <w:rPr>
          <w:rFonts w:ascii="Times New Roman" w:hAnsi="Times New Roman" w:cs="Times New Roman"/>
          <w:sz w:val="20"/>
          <w:szCs w:val="20"/>
          <w:lang w:bidi="ar-EG"/>
        </w:rPr>
        <w:t>mp of N1 and R1 response density and negatively correlated with P1 implicit time but it wasn’t statistically significant</w:t>
      </w:r>
      <w:r w:rsidR="00D846C4" w:rsidRPr="00D846C4">
        <w:rPr>
          <w:rFonts w:ascii="Times New Roman" w:hAnsi="Times New Roman" w:cs="Times New Roman"/>
          <w:sz w:val="20"/>
          <w:szCs w:val="20"/>
          <w:lang w:bidi="ar-EG"/>
        </w:rPr>
        <w:t xml:space="preserve">. </w:t>
      </w:r>
      <w:r w:rsidR="00D846C4" w:rsidRPr="00D846C4">
        <w:rPr>
          <w:rFonts w:ascii="Times New Roman" w:hAnsi="Times New Roman" w:cs="Times New Roman"/>
          <w:sz w:val="20"/>
          <w:szCs w:val="20"/>
        </w:rPr>
        <w:t>(</w:t>
      </w:r>
      <w:r w:rsidR="003F78CA" w:rsidRPr="00D846C4">
        <w:rPr>
          <w:rFonts w:ascii="Times New Roman" w:hAnsi="Times New Roman" w:cs="Times New Roman"/>
          <w:sz w:val="20"/>
          <w:szCs w:val="20"/>
        </w:rPr>
        <w:t>Table 3).</w:t>
      </w:r>
    </w:p>
    <w:p w:rsidR="00072C1F" w:rsidRDefault="00072C1F" w:rsidP="00DA3DF4">
      <w:pPr>
        <w:snapToGrid w:val="0"/>
        <w:spacing w:after="0" w:line="240" w:lineRule="auto"/>
        <w:jc w:val="center"/>
        <w:rPr>
          <w:rFonts w:ascii="Times New Roman" w:hAnsi="Times New Roman" w:cs="Times New Roman"/>
          <w:sz w:val="20"/>
          <w:szCs w:val="20"/>
          <w:lang w:bidi="ar-EG"/>
        </w:rPr>
        <w:sectPr w:rsidR="00072C1F" w:rsidSect="00072C1F">
          <w:type w:val="continuous"/>
          <w:pgSz w:w="12240" w:h="15840"/>
          <w:pgMar w:top="1440" w:right="1440" w:bottom="1440" w:left="1440" w:header="720" w:footer="720" w:gutter="0"/>
          <w:cols w:num="2" w:space="550"/>
          <w:rtlGutter/>
          <w:docGrid w:linePitch="360"/>
        </w:sectPr>
      </w:pPr>
    </w:p>
    <w:p w:rsidR="004F1448" w:rsidRDefault="004F1448" w:rsidP="00DA3DF4">
      <w:pPr>
        <w:snapToGrid w:val="0"/>
        <w:spacing w:after="0" w:line="240" w:lineRule="auto"/>
        <w:jc w:val="center"/>
        <w:rPr>
          <w:rFonts w:ascii="Times New Roman" w:hAnsi="Times New Roman" w:cs="Times New Roman"/>
          <w:sz w:val="20"/>
          <w:szCs w:val="20"/>
          <w:lang w:eastAsia="zh-CN" w:bidi="ar-EG"/>
        </w:rPr>
      </w:pPr>
    </w:p>
    <w:p w:rsidR="004F1448" w:rsidRDefault="004F1448" w:rsidP="00DA3DF4">
      <w:pPr>
        <w:snapToGrid w:val="0"/>
        <w:spacing w:after="0" w:line="240" w:lineRule="auto"/>
        <w:jc w:val="center"/>
        <w:rPr>
          <w:rFonts w:ascii="Times New Roman" w:hAnsi="Times New Roman" w:cs="Times New Roman"/>
          <w:sz w:val="20"/>
          <w:szCs w:val="20"/>
          <w:lang w:eastAsia="zh-CN" w:bidi="ar-EG"/>
        </w:rPr>
      </w:pPr>
    </w:p>
    <w:p w:rsidR="008D1EF7" w:rsidRPr="00D846C4" w:rsidRDefault="008D1EF7" w:rsidP="00DA3DF4">
      <w:pPr>
        <w:snapToGrid w:val="0"/>
        <w:spacing w:after="0" w:line="240" w:lineRule="auto"/>
        <w:jc w:val="center"/>
        <w:rPr>
          <w:rFonts w:ascii="Times New Roman" w:hAnsi="Times New Roman" w:cs="Times New Roman"/>
          <w:b/>
          <w:bCs/>
          <w:sz w:val="20"/>
          <w:szCs w:val="20"/>
        </w:rPr>
      </w:pPr>
      <w:r w:rsidRPr="00D846C4">
        <w:rPr>
          <w:rFonts w:ascii="Times New Roman" w:hAnsi="Times New Roman" w:cs="Times New Roman"/>
          <w:b/>
          <w:bCs/>
          <w:sz w:val="20"/>
          <w:szCs w:val="20"/>
        </w:rPr>
        <w:lastRenderedPageBreak/>
        <w:t>Table (3): Correlation between BCVA</w:t>
      </w:r>
      <w:r w:rsidR="004F1448" w:rsidRPr="00D846C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846C4">
        <w:rPr>
          <w:rFonts w:ascii="Times New Roman" w:hAnsi="Times New Roman" w:cs="Times New Roman"/>
          <w:b/>
          <w:bCs/>
          <w:sz w:val="20"/>
          <w:szCs w:val="20"/>
        </w:rPr>
        <w:t>O</w:t>
      </w:r>
      <w:r w:rsidRPr="00D846C4">
        <w:rPr>
          <w:rFonts w:ascii="Times New Roman" w:hAnsi="Times New Roman" w:cs="Times New Roman"/>
          <w:b/>
          <w:bCs/>
          <w:sz w:val="20"/>
          <w:szCs w:val="20"/>
        </w:rPr>
        <w:t>CT</w:t>
      </w:r>
      <w:r w:rsidR="00D846C4" w:rsidRPr="00D846C4">
        <w:rPr>
          <w:rFonts w:ascii="Times New Roman" w:hAnsi="Times New Roman" w:cs="Times New Roman"/>
          <w:b/>
          <w:bCs/>
          <w:sz w:val="20"/>
          <w:szCs w:val="20"/>
        </w:rPr>
        <w:t xml:space="preserve"> &amp; </w:t>
      </w:r>
      <w:r w:rsidRPr="00D846C4">
        <w:rPr>
          <w:rFonts w:ascii="Times New Roman" w:hAnsi="Times New Roman" w:cs="Times New Roman"/>
          <w:b/>
          <w:bCs/>
          <w:sz w:val="20"/>
          <w:szCs w:val="20"/>
        </w:rPr>
        <w:t>mfERG parameters regarding</w:t>
      </w:r>
      <w:r w:rsidR="00D846C4" w:rsidRPr="00D846C4">
        <w:rPr>
          <w:rFonts w:ascii="Times New Roman" w:hAnsi="Times New Roman" w:cs="Times New Roman"/>
          <w:b/>
          <w:bCs/>
          <w:sz w:val="20"/>
          <w:szCs w:val="20"/>
        </w:rPr>
        <w:t xml:space="preserve"> </w:t>
      </w:r>
      <w:r w:rsidRPr="00D846C4">
        <w:rPr>
          <w:rFonts w:ascii="Times New Roman" w:hAnsi="Times New Roman" w:cs="Times New Roman"/>
          <w:b/>
          <w:bCs/>
          <w:sz w:val="20"/>
          <w:szCs w:val="20"/>
        </w:rPr>
        <w:t>improvement</w:t>
      </w:r>
      <w:r w:rsidR="00D846C4" w:rsidRPr="00D846C4">
        <w:rPr>
          <w:rFonts w:ascii="Times New Roman" w:hAnsi="Times New Roman" w:cs="Times New Roman"/>
          <w:b/>
          <w:bCs/>
          <w:sz w:val="20"/>
          <w:szCs w:val="20"/>
        </w:rPr>
        <w:t xml:space="preserve"> </w:t>
      </w:r>
      <w:r w:rsidRPr="00D846C4">
        <w:rPr>
          <w:rFonts w:ascii="Times New Roman" w:hAnsi="Times New Roman" w:cs="Times New Roman"/>
          <w:b/>
          <w:bCs/>
          <w:sz w:val="20"/>
          <w:szCs w:val="20"/>
        </w:rPr>
        <w:t>(n = 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52"/>
        <w:gridCol w:w="299"/>
        <w:gridCol w:w="794"/>
        <w:gridCol w:w="817"/>
        <w:gridCol w:w="817"/>
        <w:gridCol w:w="2448"/>
        <w:gridCol w:w="1828"/>
        <w:gridCol w:w="1419"/>
      </w:tblGrid>
      <w:tr w:rsidR="00D469A0" w:rsidRPr="00D846C4" w:rsidTr="004F1448">
        <w:trPr>
          <w:jc w:val="center"/>
        </w:trPr>
        <w:tc>
          <w:tcPr>
            <w:tcW w:w="55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19" w:type="pct"/>
            <w:shd w:val="clear" w:color="auto" w:fill="auto"/>
            <w:noWrap/>
            <w:vAlign w:val="center"/>
            <w:hideMark/>
          </w:tcPr>
          <w:p w:rsidR="004F1448"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EZ</w:t>
            </w:r>
          </w:p>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foveal</w:t>
            </w: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P1</w:t>
            </w: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N1</w:t>
            </w:r>
          </w:p>
        </w:tc>
        <w:tc>
          <w:tcPr>
            <w:tcW w:w="1292"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Avg.P1+P2 amplitude</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P1 Implicit time</w:t>
            </w:r>
          </w:p>
        </w:tc>
        <w:tc>
          <w:tcPr>
            <w:tcW w:w="749" w:type="pct"/>
            <w:shd w:val="clear" w:color="auto" w:fill="auto"/>
            <w:noWrap/>
            <w:vAlign w:val="center"/>
            <w:hideMark/>
          </w:tcPr>
          <w:p w:rsidR="004F1448"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R1 response</w:t>
            </w:r>
          </w:p>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Density</w:t>
            </w:r>
          </w:p>
        </w:tc>
      </w:tr>
      <w:tr w:rsidR="00D469A0" w:rsidRPr="00D846C4" w:rsidTr="004F1448">
        <w:trPr>
          <w:jc w:val="center"/>
        </w:trPr>
        <w:tc>
          <w:tcPr>
            <w:tcW w:w="555" w:type="pct"/>
            <w:vMerge w:val="restar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BCVA</w:t>
            </w: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r</w:t>
            </w:r>
            <w:r w:rsidRPr="00D846C4">
              <w:rPr>
                <w:rFonts w:ascii="Times New Roman" w:eastAsia="SimSun" w:hAnsi="Times New Roman" w:cs="Times New Roman"/>
                <w:sz w:val="20"/>
                <w:szCs w:val="18"/>
                <w:vertAlign w:val="subscript"/>
                <w:lang w:eastAsia="zh-CN"/>
              </w:rPr>
              <w:t>s</w:t>
            </w:r>
          </w:p>
        </w:tc>
        <w:tc>
          <w:tcPr>
            <w:tcW w:w="419"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-0.63</w:t>
            </w: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-0.304</w:t>
            </w: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0.081</w:t>
            </w:r>
          </w:p>
        </w:tc>
        <w:tc>
          <w:tcPr>
            <w:tcW w:w="1292"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-0.542</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-0.105</w:t>
            </w:r>
          </w:p>
        </w:tc>
        <w:tc>
          <w:tcPr>
            <w:tcW w:w="749"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-0.421</w:t>
            </w:r>
          </w:p>
        </w:tc>
      </w:tr>
      <w:tr w:rsidR="00D469A0" w:rsidRPr="00D846C4" w:rsidTr="004F1448">
        <w:trPr>
          <w:jc w:val="center"/>
        </w:trPr>
        <w:tc>
          <w:tcPr>
            <w:tcW w:w="555" w:type="pct"/>
            <w:vMerge/>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p</w:t>
            </w:r>
          </w:p>
        </w:tc>
        <w:tc>
          <w:tcPr>
            <w:tcW w:w="419"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0.097</w:t>
            </w: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0.102</w:t>
            </w: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0.671</w:t>
            </w:r>
          </w:p>
        </w:tc>
        <w:tc>
          <w:tcPr>
            <w:tcW w:w="1292"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0.002</w:t>
            </w:r>
            <w:r w:rsidRPr="00D846C4">
              <w:rPr>
                <w:rFonts w:ascii="Times New Roman" w:eastAsia="SimSun" w:hAnsi="Times New Roman" w:cs="Times New Roman"/>
                <w:sz w:val="20"/>
                <w:szCs w:val="18"/>
                <w:vertAlign w:val="superscript"/>
                <w:lang w:eastAsia="zh-CN"/>
              </w:rPr>
              <w:t>*</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0.581</w:t>
            </w:r>
          </w:p>
        </w:tc>
        <w:tc>
          <w:tcPr>
            <w:tcW w:w="749"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0.021</w:t>
            </w:r>
            <w:r w:rsidRPr="00D846C4">
              <w:rPr>
                <w:rFonts w:ascii="Times New Roman" w:eastAsia="SimSun" w:hAnsi="Times New Roman" w:cs="Times New Roman"/>
                <w:sz w:val="20"/>
                <w:szCs w:val="18"/>
                <w:vertAlign w:val="superscript"/>
                <w:lang w:eastAsia="zh-CN"/>
              </w:rPr>
              <w:t>*</w:t>
            </w:r>
          </w:p>
        </w:tc>
      </w:tr>
      <w:tr w:rsidR="00D469A0" w:rsidRPr="00D846C4" w:rsidTr="004F1448">
        <w:trPr>
          <w:jc w:val="center"/>
        </w:trPr>
        <w:tc>
          <w:tcPr>
            <w:tcW w:w="555" w:type="pct"/>
            <w:vMerge w:val="restart"/>
            <w:shd w:val="clear" w:color="auto" w:fill="auto"/>
            <w:noWrap/>
            <w:vAlign w:val="center"/>
            <w:hideMark/>
          </w:tcPr>
          <w:p w:rsidR="004F1448"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OCT/EZ</w:t>
            </w:r>
          </w:p>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foveal</w:t>
            </w: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r</w:t>
            </w:r>
            <w:r w:rsidRPr="00D846C4">
              <w:rPr>
                <w:rFonts w:ascii="Times New Roman" w:eastAsia="SimSun" w:hAnsi="Times New Roman" w:cs="Times New Roman"/>
                <w:sz w:val="20"/>
                <w:szCs w:val="18"/>
                <w:vertAlign w:val="subscript"/>
                <w:lang w:eastAsia="zh-CN"/>
              </w:rPr>
              <w:t>s</w:t>
            </w:r>
          </w:p>
        </w:tc>
        <w:tc>
          <w:tcPr>
            <w:tcW w:w="419" w:type="pct"/>
            <w:shd w:val="clear" w:color="auto" w:fill="auto"/>
            <w:vAlign w:val="center"/>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0.236</w:t>
            </w:r>
          </w:p>
        </w:tc>
        <w:tc>
          <w:tcPr>
            <w:tcW w:w="431"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0.411</w:t>
            </w:r>
          </w:p>
        </w:tc>
        <w:tc>
          <w:tcPr>
            <w:tcW w:w="1292"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0.779</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-0.018</w:t>
            </w:r>
          </w:p>
        </w:tc>
        <w:tc>
          <w:tcPr>
            <w:tcW w:w="749"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0.111</w:t>
            </w:r>
          </w:p>
        </w:tc>
      </w:tr>
      <w:tr w:rsidR="00D469A0" w:rsidRPr="00D846C4" w:rsidTr="004F1448">
        <w:trPr>
          <w:jc w:val="center"/>
        </w:trPr>
        <w:tc>
          <w:tcPr>
            <w:tcW w:w="555" w:type="pct"/>
            <w:vMerge/>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p</w:t>
            </w:r>
          </w:p>
        </w:tc>
        <w:tc>
          <w:tcPr>
            <w:tcW w:w="419" w:type="pct"/>
            <w:shd w:val="clear" w:color="auto" w:fill="auto"/>
            <w:vAlign w:val="center"/>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0.209</w:t>
            </w:r>
          </w:p>
        </w:tc>
        <w:tc>
          <w:tcPr>
            <w:tcW w:w="431"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0.024</w:t>
            </w:r>
            <w:r w:rsidRPr="00D846C4">
              <w:rPr>
                <w:rFonts w:ascii="Times New Roman" w:eastAsia="SimSun" w:hAnsi="Times New Roman" w:cs="Times New Roman"/>
                <w:sz w:val="20"/>
                <w:szCs w:val="18"/>
                <w:vertAlign w:val="superscript"/>
                <w:lang w:eastAsia="zh-CN"/>
              </w:rPr>
              <w:t>*</w:t>
            </w:r>
          </w:p>
        </w:tc>
        <w:tc>
          <w:tcPr>
            <w:tcW w:w="1292" w:type="pct"/>
            <w:shd w:val="clear" w:color="auto" w:fill="D0CECE" w:themeFill="background2" w:themeFillShade="E6"/>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&lt;0.001*</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0.925</w:t>
            </w:r>
          </w:p>
        </w:tc>
        <w:tc>
          <w:tcPr>
            <w:tcW w:w="749"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0.560</w:t>
            </w:r>
          </w:p>
        </w:tc>
      </w:tr>
      <w:tr w:rsidR="00D469A0" w:rsidRPr="00D846C4" w:rsidTr="004F1448">
        <w:trPr>
          <w:jc w:val="center"/>
        </w:trPr>
        <w:tc>
          <w:tcPr>
            <w:tcW w:w="555" w:type="pct"/>
            <w:vMerge w:val="restar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ERG P1</w:t>
            </w: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r</w:t>
            </w:r>
            <w:r w:rsidRPr="00D846C4">
              <w:rPr>
                <w:rFonts w:ascii="Times New Roman" w:eastAsia="SimSun" w:hAnsi="Times New Roman" w:cs="Times New Roman"/>
                <w:sz w:val="20"/>
                <w:szCs w:val="18"/>
                <w:vertAlign w:val="subscript"/>
                <w:lang w:eastAsia="zh-CN"/>
              </w:rPr>
              <w:t>s</w:t>
            </w:r>
          </w:p>
        </w:tc>
        <w:tc>
          <w:tcPr>
            <w:tcW w:w="419" w:type="pct"/>
            <w:shd w:val="clear" w:color="auto" w:fill="auto"/>
            <w:vAlign w:val="center"/>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-0.268</w:t>
            </w:r>
          </w:p>
        </w:tc>
        <w:tc>
          <w:tcPr>
            <w:tcW w:w="1292" w:type="pct"/>
            <w:shd w:val="clear" w:color="auto" w:fill="FFFFFF" w:themeFill="background1"/>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0.096</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0.029</w:t>
            </w:r>
          </w:p>
        </w:tc>
        <w:tc>
          <w:tcPr>
            <w:tcW w:w="749"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-0.116</w:t>
            </w:r>
          </w:p>
        </w:tc>
      </w:tr>
      <w:tr w:rsidR="00D469A0" w:rsidRPr="00D846C4" w:rsidTr="004F1448">
        <w:trPr>
          <w:jc w:val="center"/>
        </w:trPr>
        <w:tc>
          <w:tcPr>
            <w:tcW w:w="555" w:type="pct"/>
            <w:vMerge/>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158"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p</w:t>
            </w:r>
          </w:p>
        </w:tc>
        <w:tc>
          <w:tcPr>
            <w:tcW w:w="419" w:type="pct"/>
            <w:shd w:val="clear" w:color="auto" w:fill="auto"/>
            <w:vAlign w:val="center"/>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p>
        </w:tc>
        <w:tc>
          <w:tcPr>
            <w:tcW w:w="431"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0.152</w:t>
            </w:r>
          </w:p>
        </w:tc>
        <w:tc>
          <w:tcPr>
            <w:tcW w:w="1292" w:type="pct"/>
            <w:shd w:val="clear" w:color="auto" w:fill="FFFFFF" w:themeFill="background1"/>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0.612</w:t>
            </w:r>
          </w:p>
        </w:tc>
        <w:tc>
          <w:tcPr>
            <w:tcW w:w="965"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0.881</w:t>
            </w:r>
          </w:p>
        </w:tc>
        <w:tc>
          <w:tcPr>
            <w:tcW w:w="749" w:type="pct"/>
            <w:shd w:val="clear" w:color="auto" w:fill="auto"/>
            <w:noWrap/>
            <w:vAlign w:val="center"/>
            <w:hideMark/>
          </w:tcPr>
          <w:p w:rsidR="00D469A0" w:rsidRPr="00D846C4" w:rsidRDefault="00D469A0" w:rsidP="00DA3DF4">
            <w:pPr>
              <w:snapToGrid w:val="0"/>
              <w:spacing w:after="0" w:line="240" w:lineRule="auto"/>
              <w:jc w:val="both"/>
              <w:rPr>
                <w:rFonts w:ascii="Times New Roman" w:eastAsia="SimSun" w:hAnsi="Times New Roman" w:cs="Times New Roman"/>
                <w:sz w:val="20"/>
                <w:szCs w:val="18"/>
                <w:lang w:eastAsia="zh-CN"/>
              </w:rPr>
            </w:pPr>
            <w:r w:rsidRPr="00D846C4">
              <w:rPr>
                <w:rFonts w:ascii="Times New Roman" w:eastAsia="SimSun" w:hAnsi="Times New Roman" w:cs="Times New Roman"/>
                <w:sz w:val="20"/>
                <w:szCs w:val="18"/>
                <w:lang w:eastAsia="zh-CN"/>
              </w:rPr>
              <w:t>0.541</w:t>
            </w:r>
          </w:p>
        </w:tc>
      </w:tr>
    </w:tbl>
    <w:p w:rsidR="004F1448" w:rsidRDefault="00FB0F78" w:rsidP="00072C1F">
      <w:pPr>
        <w:snapToGrid w:val="0"/>
        <w:spacing w:after="0" w:line="240" w:lineRule="auto"/>
        <w:jc w:val="both"/>
        <w:rPr>
          <w:rFonts w:ascii="Times New Roman" w:hAnsi="Times New Roman" w:cs="Times New Roman"/>
          <w:sz w:val="20"/>
          <w:szCs w:val="20"/>
          <w:lang w:eastAsia="zh-CN"/>
        </w:rPr>
      </w:pPr>
      <w:r w:rsidRPr="00D846C4">
        <w:rPr>
          <w:rFonts w:ascii="Times New Roman" w:hAnsi="Times New Roman" w:cs="Times New Roman"/>
          <w:sz w:val="20"/>
          <w:szCs w:val="20"/>
        </w:rPr>
        <w:t>r</w:t>
      </w:r>
      <w:r w:rsidRPr="00D846C4">
        <w:rPr>
          <w:rFonts w:ascii="Times New Roman" w:hAnsi="Times New Roman" w:cs="Times New Roman"/>
          <w:sz w:val="20"/>
          <w:szCs w:val="20"/>
          <w:vertAlign w:val="subscript"/>
        </w:rPr>
        <w:t>s</w:t>
      </w:r>
      <w:r w:rsidRPr="00D846C4">
        <w:rPr>
          <w:rFonts w:ascii="Times New Roman" w:hAnsi="Times New Roman" w:cs="Times New Roman"/>
          <w:sz w:val="20"/>
          <w:szCs w:val="20"/>
        </w:rPr>
        <w:t>: Spearman coefficient *: Statistically significant at p ≤ 0.05</w:t>
      </w:r>
      <w:r w:rsidR="00D846C4" w:rsidRPr="00D846C4">
        <w:rPr>
          <w:rFonts w:ascii="Times New Roman" w:hAnsi="Times New Roman" w:cs="Times New Roman"/>
          <w:sz w:val="20"/>
          <w:szCs w:val="20"/>
        </w:rPr>
        <w:t xml:space="preserve"> </w:t>
      </w:r>
    </w:p>
    <w:p w:rsidR="004F1448" w:rsidRDefault="004F1448" w:rsidP="00072C1F">
      <w:pPr>
        <w:snapToGrid w:val="0"/>
        <w:spacing w:after="0" w:line="240" w:lineRule="auto"/>
        <w:jc w:val="both"/>
        <w:rPr>
          <w:rFonts w:ascii="Times New Roman" w:hAnsi="Times New Roman" w:cs="Times New Roman"/>
          <w:sz w:val="20"/>
          <w:szCs w:val="20"/>
          <w:lang w:eastAsia="zh-CN"/>
        </w:rPr>
      </w:pPr>
    </w:p>
    <w:p w:rsidR="004F1448" w:rsidRDefault="004F1448" w:rsidP="004F1448">
      <w:pPr>
        <w:snapToGrid w:val="0"/>
        <w:spacing w:after="0" w:line="240" w:lineRule="auto"/>
        <w:jc w:val="center"/>
        <w:rPr>
          <w:rFonts w:ascii="Times New Roman" w:hAnsi="Times New Roman" w:cs="Times New Roman"/>
          <w:b/>
          <w:bCs/>
          <w:sz w:val="20"/>
          <w:szCs w:val="20"/>
          <w:lang w:eastAsia="zh-CN"/>
        </w:rPr>
      </w:pPr>
      <w:r>
        <w:rPr>
          <w:rFonts w:ascii="Times New Roman" w:hAnsi="Times New Roman" w:cs="Times New Roman" w:hint="eastAsia"/>
          <w:b/>
          <w:bCs/>
          <w:noProof/>
          <w:sz w:val="20"/>
          <w:szCs w:val="20"/>
          <w:lang w:eastAsia="zh-CN"/>
        </w:rPr>
        <w:drawing>
          <wp:inline distT="0" distB="0" distL="0" distR="0">
            <wp:extent cx="5943600" cy="33836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3383675"/>
                    </a:xfrm>
                    <a:prstGeom prst="rect">
                      <a:avLst/>
                    </a:prstGeom>
                    <a:noFill/>
                    <a:ln w="9525">
                      <a:noFill/>
                      <a:miter lim="800000"/>
                      <a:headEnd/>
                      <a:tailEnd/>
                    </a:ln>
                  </pic:spPr>
                </pic:pic>
              </a:graphicData>
            </a:graphic>
          </wp:inline>
        </w:drawing>
      </w:r>
    </w:p>
    <w:p w:rsidR="004F1448" w:rsidRDefault="00AF5CFA" w:rsidP="004F1448">
      <w:pPr>
        <w:snapToGrid w:val="0"/>
        <w:spacing w:after="0" w:line="240" w:lineRule="auto"/>
        <w:jc w:val="center"/>
        <w:rPr>
          <w:rFonts w:ascii="Times New Roman" w:hAnsi="Times New Roman" w:cs="Times New Roman"/>
          <w:sz w:val="20"/>
          <w:szCs w:val="20"/>
        </w:rPr>
      </w:pPr>
      <w:r w:rsidRPr="00D846C4">
        <w:rPr>
          <w:rFonts w:ascii="Times New Roman" w:hAnsi="Times New Roman" w:cs="Times New Roman"/>
          <w:b/>
          <w:bCs/>
          <w:sz w:val="20"/>
          <w:szCs w:val="20"/>
        </w:rPr>
        <w:t>Figure 1</w:t>
      </w:r>
      <w:r w:rsidR="004F1448" w:rsidRPr="00D846C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846C4">
        <w:rPr>
          <w:rFonts w:ascii="Times New Roman" w:hAnsi="Times New Roman" w:cs="Times New Roman"/>
          <w:sz w:val="20"/>
          <w:szCs w:val="20"/>
        </w:rPr>
        <w:t>S</w:t>
      </w:r>
      <w:r w:rsidR="00CC02AF" w:rsidRPr="00D846C4">
        <w:rPr>
          <w:rFonts w:ascii="Times New Roman" w:hAnsi="Times New Roman" w:cs="Times New Roman"/>
          <w:sz w:val="20"/>
          <w:szCs w:val="20"/>
        </w:rPr>
        <w:t>D-OCT in nvAMD</w:t>
      </w:r>
      <w:r w:rsidR="00D846C4" w:rsidRPr="00D846C4">
        <w:rPr>
          <w:rFonts w:ascii="Times New Roman" w:hAnsi="Times New Roman" w:cs="Times New Roman"/>
          <w:sz w:val="20"/>
          <w:szCs w:val="20"/>
        </w:rPr>
        <w:t xml:space="preserve">, </w:t>
      </w:r>
      <w:r w:rsidR="00D846C4" w:rsidRPr="00D846C4">
        <w:rPr>
          <w:rFonts w:ascii="Times New Roman" w:hAnsi="Times New Roman" w:cs="Times New Roman"/>
          <w:b/>
          <w:bCs/>
          <w:sz w:val="20"/>
          <w:szCs w:val="20"/>
        </w:rPr>
        <w:t>(</w:t>
      </w:r>
      <w:r w:rsidR="00CC02AF" w:rsidRPr="00D846C4">
        <w:rPr>
          <w:rFonts w:ascii="Times New Roman" w:hAnsi="Times New Roman" w:cs="Times New Roman"/>
          <w:b/>
          <w:bCs/>
          <w:sz w:val="20"/>
          <w:szCs w:val="20"/>
        </w:rPr>
        <w:t>a</w:t>
      </w:r>
      <w:r w:rsidR="00D846C4" w:rsidRPr="00D846C4">
        <w:rPr>
          <w:rFonts w:ascii="Times New Roman" w:hAnsi="Times New Roman" w:cs="Times New Roman"/>
          <w:b/>
          <w:bCs/>
          <w:sz w:val="20"/>
          <w:szCs w:val="20"/>
        </w:rPr>
        <w:t xml:space="preserve"> &amp; </w:t>
      </w:r>
      <w:r w:rsidR="001C0681" w:rsidRPr="00D846C4">
        <w:rPr>
          <w:rFonts w:ascii="Times New Roman" w:hAnsi="Times New Roman" w:cs="Times New Roman"/>
          <w:b/>
          <w:bCs/>
          <w:sz w:val="20"/>
          <w:szCs w:val="20"/>
        </w:rPr>
        <w:t>c</w:t>
      </w:r>
      <w:r w:rsidR="00CC02AF" w:rsidRPr="00D846C4">
        <w:rPr>
          <w:rFonts w:ascii="Times New Roman" w:hAnsi="Times New Roman" w:cs="Times New Roman"/>
          <w:b/>
          <w:bCs/>
          <w:sz w:val="20"/>
          <w:szCs w:val="20"/>
        </w:rPr>
        <w:t xml:space="preserve">) </w:t>
      </w:r>
      <w:r w:rsidR="00CC02AF" w:rsidRPr="00D846C4">
        <w:rPr>
          <w:rFonts w:ascii="Times New Roman" w:hAnsi="Times New Roman" w:cs="Times New Roman"/>
          <w:sz w:val="20"/>
          <w:szCs w:val="20"/>
        </w:rPr>
        <w:t>before injection</w:t>
      </w:r>
      <w:r w:rsidR="00D846C4" w:rsidRPr="00D846C4">
        <w:rPr>
          <w:rFonts w:ascii="Times New Roman" w:hAnsi="Times New Roman" w:cs="Times New Roman"/>
          <w:sz w:val="20"/>
          <w:szCs w:val="20"/>
        </w:rPr>
        <w:t xml:space="preserve">, </w:t>
      </w:r>
      <w:r w:rsidR="00D846C4" w:rsidRPr="00D846C4">
        <w:rPr>
          <w:rFonts w:ascii="Times New Roman" w:hAnsi="Times New Roman" w:cs="Times New Roman"/>
          <w:b/>
          <w:bCs/>
          <w:sz w:val="20"/>
          <w:szCs w:val="20"/>
        </w:rPr>
        <w:t>(</w:t>
      </w:r>
      <w:r w:rsidR="00CC02AF" w:rsidRPr="00D846C4">
        <w:rPr>
          <w:rFonts w:ascii="Times New Roman" w:hAnsi="Times New Roman" w:cs="Times New Roman"/>
          <w:b/>
          <w:bCs/>
          <w:sz w:val="20"/>
          <w:szCs w:val="20"/>
        </w:rPr>
        <w:t>b</w:t>
      </w:r>
      <w:r w:rsidR="00D846C4" w:rsidRPr="00D846C4">
        <w:rPr>
          <w:rFonts w:ascii="Times New Roman" w:hAnsi="Times New Roman" w:cs="Times New Roman"/>
          <w:b/>
          <w:bCs/>
          <w:sz w:val="20"/>
          <w:szCs w:val="20"/>
        </w:rPr>
        <w:t xml:space="preserve"> &amp; </w:t>
      </w:r>
      <w:r w:rsidR="001C0681" w:rsidRPr="00D846C4">
        <w:rPr>
          <w:rFonts w:ascii="Times New Roman" w:hAnsi="Times New Roman" w:cs="Times New Roman"/>
          <w:b/>
          <w:bCs/>
          <w:sz w:val="20"/>
          <w:szCs w:val="20"/>
        </w:rPr>
        <w:t>d</w:t>
      </w:r>
      <w:r w:rsidR="00CC02AF" w:rsidRPr="00D846C4">
        <w:rPr>
          <w:rFonts w:ascii="Times New Roman" w:hAnsi="Times New Roman" w:cs="Times New Roman"/>
          <w:b/>
          <w:bCs/>
          <w:sz w:val="20"/>
          <w:szCs w:val="20"/>
        </w:rPr>
        <w:t xml:space="preserve">) </w:t>
      </w:r>
      <w:r w:rsidR="00CC02AF" w:rsidRPr="00D846C4">
        <w:rPr>
          <w:rFonts w:ascii="Times New Roman" w:hAnsi="Times New Roman" w:cs="Times New Roman"/>
          <w:sz w:val="20"/>
          <w:szCs w:val="20"/>
        </w:rPr>
        <w:t>after injection</w:t>
      </w:r>
      <w:r w:rsidR="001C0681" w:rsidRPr="00D846C4">
        <w:rPr>
          <w:rFonts w:ascii="Times New Roman" w:hAnsi="Times New Roman" w:cs="Times New Roman"/>
          <w:sz w:val="20"/>
          <w:szCs w:val="20"/>
        </w:rPr>
        <w:t>.</w:t>
      </w:r>
    </w:p>
    <w:p w:rsidR="004F1448" w:rsidRDefault="004F1448" w:rsidP="00DA3DF4">
      <w:pPr>
        <w:snapToGrid w:val="0"/>
        <w:spacing w:after="0" w:line="240" w:lineRule="auto"/>
        <w:ind w:firstLine="425"/>
        <w:jc w:val="both"/>
        <w:rPr>
          <w:rFonts w:ascii="Times New Roman" w:hAnsi="Times New Roman" w:cs="Times New Roman"/>
          <w:sz w:val="20"/>
          <w:szCs w:val="20"/>
          <w:lang w:eastAsia="zh-CN"/>
        </w:rPr>
      </w:pPr>
    </w:p>
    <w:p w:rsidR="004F1448" w:rsidRDefault="004F1448" w:rsidP="00DA3DF4">
      <w:pPr>
        <w:snapToGrid w:val="0"/>
        <w:spacing w:after="0" w:line="240" w:lineRule="auto"/>
        <w:ind w:firstLine="425"/>
        <w:jc w:val="both"/>
        <w:rPr>
          <w:rFonts w:ascii="Times New Roman" w:hAnsi="Times New Roman" w:cs="Times New Roman"/>
          <w:sz w:val="20"/>
          <w:szCs w:val="20"/>
          <w:lang w:eastAsia="zh-CN"/>
        </w:rPr>
        <w:sectPr w:rsidR="004F1448" w:rsidSect="00D846C4">
          <w:type w:val="continuous"/>
          <w:pgSz w:w="12240" w:h="15840"/>
          <w:pgMar w:top="1440" w:right="1440" w:bottom="1440" w:left="1440" w:header="720" w:footer="720" w:gutter="0"/>
          <w:cols w:space="720"/>
          <w:bidi/>
          <w:rtlGutter/>
          <w:docGrid w:linePitch="360"/>
        </w:sectPr>
      </w:pPr>
    </w:p>
    <w:p w:rsidR="004F1448" w:rsidRDefault="002F1888" w:rsidP="00DA3DF4">
      <w:pPr>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lastRenderedPageBreak/>
        <w:t xml:space="preserve">OCT before injection </w:t>
      </w:r>
      <w:r w:rsidR="00833D26" w:rsidRPr="00D846C4">
        <w:rPr>
          <w:rFonts w:ascii="Times New Roman" w:hAnsi="Times New Roman" w:cs="Times New Roman"/>
          <w:sz w:val="20"/>
          <w:szCs w:val="20"/>
        </w:rPr>
        <w:t>show</w:t>
      </w:r>
      <w:r w:rsidRPr="00D846C4">
        <w:rPr>
          <w:rFonts w:ascii="Times New Roman" w:hAnsi="Times New Roman" w:cs="Times New Roman"/>
          <w:sz w:val="20"/>
          <w:szCs w:val="20"/>
        </w:rPr>
        <w:t>ing</w:t>
      </w:r>
      <w:r w:rsidR="00833D26" w:rsidRPr="00D846C4">
        <w:rPr>
          <w:rFonts w:ascii="Times New Roman" w:hAnsi="Times New Roman" w:cs="Times New Roman"/>
          <w:sz w:val="20"/>
          <w:szCs w:val="20"/>
        </w:rPr>
        <w:t>s</w:t>
      </w:r>
      <w:r w:rsidRPr="00D846C4">
        <w:rPr>
          <w:rFonts w:ascii="Times New Roman" w:hAnsi="Times New Roman" w:cs="Times New Roman"/>
          <w:sz w:val="20"/>
          <w:szCs w:val="20"/>
        </w:rPr>
        <w:t>:</w:t>
      </w:r>
      <w:r w:rsidR="00833D26" w:rsidRPr="00D846C4">
        <w:rPr>
          <w:rFonts w:ascii="Times New Roman" w:hAnsi="Times New Roman" w:cs="Times New Roman"/>
          <w:sz w:val="20"/>
          <w:szCs w:val="20"/>
        </w:rPr>
        <w:t xml:space="preserve"> subretinal and intraretinal fluid denoting CNV activity</w:t>
      </w:r>
      <w:r w:rsidR="00D846C4" w:rsidRPr="00D846C4">
        <w:rPr>
          <w:rFonts w:ascii="Times New Roman" w:hAnsi="Times New Roman" w:cs="Times New Roman"/>
          <w:sz w:val="20"/>
          <w:szCs w:val="20"/>
        </w:rPr>
        <w:t>.</w:t>
      </w:r>
      <w:r w:rsidR="00833D26" w:rsidRPr="00D846C4">
        <w:rPr>
          <w:rFonts w:ascii="Times New Roman" w:hAnsi="Times New Roman" w:cs="Times New Roman"/>
          <w:sz w:val="20"/>
          <w:szCs w:val="20"/>
        </w:rPr>
        <w:t xml:space="preserve"> EZ was disrupted in both vertical and horizontal scans. OCT also showed lower PED, after</w:t>
      </w:r>
      <w:r w:rsidR="009F4E7F" w:rsidRPr="00D846C4">
        <w:rPr>
          <w:rFonts w:ascii="Times New Roman" w:hAnsi="Times New Roman" w:cs="Times New Roman"/>
          <w:sz w:val="20"/>
          <w:szCs w:val="20"/>
        </w:rPr>
        <w:t xml:space="preserve"> the</w:t>
      </w:r>
      <w:r w:rsidR="00833D26" w:rsidRPr="00D846C4">
        <w:rPr>
          <w:rFonts w:ascii="Times New Roman" w:hAnsi="Times New Roman" w:cs="Times New Roman"/>
          <w:sz w:val="20"/>
          <w:szCs w:val="20"/>
        </w:rPr>
        <w:t xml:space="preserve"> injection:</w:t>
      </w:r>
      <w:r w:rsidR="009F4E7F" w:rsidRPr="00D846C4">
        <w:rPr>
          <w:rFonts w:ascii="Times New Roman" w:hAnsi="Times New Roman" w:cs="Times New Roman"/>
          <w:sz w:val="20"/>
          <w:szCs w:val="20"/>
        </w:rPr>
        <w:t xml:space="preserve"> OCT </w:t>
      </w:r>
      <w:r w:rsidR="009F4E7F" w:rsidRPr="00D846C4">
        <w:rPr>
          <w:rFonts w:ascii="Times New Roman" w:hAnsi="Times New Roman" w:cs="Times New Roman"/>
          <w:sz w:val="20"/>
          <w:szCs w:val="20"/>
        </w:rPr>
        <w:lastRenderedPageBreak/>
        <w:t>showed</w:t>
      </w:r>
      <w:r w:rsidR="00833D26" w:rsidRPr="00D846C4">
        <w:rPr>
          <w:rFonts w:ascii="Times New Roman" w:hAnsi="Times New Roman" w:cs="Times New Roman"/>
          <w:sz w:val="20"/>
          <w:szCs w:val="20"/>
          <w:lang w:bidi="ar-EG"/>
        </w:rPr>
        <w:t xml:space="preserve"> dry macula with</w:t>
      </w:r>
      <w:r w:rsidR="00D846C4" w:rsidRPr="00D846C4">
        <w:rPr>
          <w:rFonts w:ascii="Times New Roman" w:hAnsi="Times New Roman" w:cs="Times New Roman"/>
          <w:sz w:val="20"/>
          <w:szCs w:val="20"/>
          <w:lang w:bidi="ar-EG"/>
        </w:rPr>
        <w:t xml:space="preserve"> </w:t>
      </w:r>
      <w:r w:rsidR="00833D26" w:rsidRPr="00D846C4">
        <w:rPr>
          <w:rFonts w:ascii="Times New Roman" w:hAnsi="Times New Roman" w:cs="Times New Roman"/>
          <w:sz w:val="20"/>
          <w:szCs w:val="20"/>
          <w:lang w:bidi="ar-EG"/>
        </w:rPr>
        <w:t>restoration of normal EZ except nasally in horizontal scan where EZ was totally absent. Note decrease PED size in vertical scan</w:t>
      </w:r>
    </w:p>
    <w:p w:rsidR="00072C1F" w:rsidRDefault="00072C1F" w:rsidP="00DA3DF4">
      <w:pPr>
        <w:snapToGrid w:val="0"/>
        <w:spacing w:after="0" w:line="240" w:lineRule="auto"/>
        <w:ind w:firstLine="425"/>
        <w:jc w:val="both"/>
        <w:rPr>
          <w:rFonts w:ascii="Times New Roman" w:hAnsi="Times New Roman" w:cs="Times New Roman"/>
          <w:sz w:val="20"/>
          <w:szCs w:val="20"/>
        </w:rPr>
        <w:sectPr w:rsidR="00072C1F" w:rsidSect="00072C1F">
          <w:type w:val="continuous"/>
          <w:pgSz w:w="12240" w:h="15840"/>
          <w:pgMar w:top="1440" w:right="1440" w:bottom="1440" w:left="1440" w:header="720" w:footer="720" w:gutter="0"/>
          <w:cols w:num="2" w:space="550"/>
          <w:rtlGutter/>
          <w:docGrid w:linePitch="360"/>
        </w:sectPr>
      </w:pPr>
    </w:p>
    <w:p w:rsidR="004F1448" w:rsidRDefault="004F1448" w:rsidP="00DA3DF4">
      <w:pPr>
        <w:snapToGrid w:val="0"/>
        <w:spacing w:after="0" w:line="240" w:lineRule="auto"/>
        <w:ind w:firstLine="425"/>
        <w:jc w:val="both"/>
        <w:rPr>
          <w:rFonts w:ascii="Times New Roman" w:hAnsi="Times New Roman" w:cs="Times New Roman"/>
          <w:sz w:val="20"/>
          <w:szCs w:val="20"/>
        </w:rPr>
      </w:pPr>
    </w:p>
    <w:p w:rsidR="004F1448" w:rsidRDefault="00FD57AB" w:rsidP="00DA3DF4">
      <w:pPr>
        <w:snapToGrid w:val="0"/>
        <w:spacing w:after="0" w:line="240" w:lineRule="auto"/>
        <w:jc w:val="center"/>
        <w:rPr>
          <w:rFonts w:ascii="Times New Roman" w:hAnsi="Times New Roman" w:cs="Times New Roman"/>
          <w:noProof/>
          <w:sz w:val="20"/>
          <w:szCs w:val="20"/>
          <w:lang w:eastAsia="zh-CN"/>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9" o:spid="_x0000_s1032" type="#_x0000_t202" style="position:absolute;left:0;text-align:left;margin-left:403.8pt;margin-top:1.25pt;width:18.95pt;height:18.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">
            <v:textbox>
              <w:txbxContent>
                <w:p w:rsidR="006B3E09" w:rsidRDefault="006B3E09">
                  <w:r>
                    <w:t>A</w:t>
                  </w:r>
                </w:p>
              </w:txbxContent>
            </v:textbox>
          </v:shape>
        </w:pict>
      </w:r>
      <w:r w:rsidR="00CC5AC0" w:rsidRPr="00D846C4">
        <w:rPr>
          <w:rFonts w:ascii="Times New Roman" w:hAnsi="Times New Roman" w:cs="Times New Roman"/>
          <w:noProof/>
          <w:sz w:val="20"/>
          <w:szCs w:val="20"/>
          <w:lang w:eastAsia="zh-CN"/>
        </w:rPr>
        <w:drawing>
          <wp:inline distT="0" distB="0" distL="0" distR="0">
            <wp:extent cx="5274310" cy="1480864"/>
            <wp:effectExtent l="19050" t="0" r="2540" b="0"/>
            <wp:docPr id="17" name="صورة 2" descr="E:\resala\presen\Untitled.png"/>
            <wp:cNvGraphicFramePr/>
            <a:graphic xmlns:a="http://schemas.openxmlformats.org/drawingml/2006/main">
              <a:graphicData uri="http://schemas.openxmlformats.org/drawingml/2006/picture">
                <pic:pic xmlns:pic="http://schemas.openxmlformats.org/drawingml/2006/picture">
                  <pic:nvPicPr>
                    <pic:cNvPr id="3074" name="Picture 2" descr="E:\resala\presen\Untitled.png"/>
                    <pic:cNvPicPr>
                      <a:picLocks noGrp="1" noChangeAspect="1" noChangeArrowheads="1"/>
                    </pic:cNvPicPr>
                  </pic:nvPicPr>
                  <pic:blipFill>
                    <a:blip r:embed="rId13" cstate="print"/>
                    <a:srcRect/>
                    <a:stretch>
                      <a:fillRect/>
                    </a:stretch>
                  </pic:blipFill>
                  <pic:spPr bwMode="auto">
                    <a:xfrm>
                      <a:off x="0" y="0"/>
                      <a:ext cx="5274310" cy="1480864"/>
                    </a:xfrm>
                    <a:prstGeom prst="rect">
                      <a:avLst/>
                    </a:prstGeom>
                    <a:noFill/>
                  </pic:spPr>
                </pic:pic>
              </a:graphicData>
            </a:graphic>
          </wp:inline>
        </w:drawing>
      </w:r>
    </w:p>
    <w:p w:rsidR="004F1448" w:rsidRDefault="00FD57AB" w:rsidP="00DA3DF4">
      <w:pPr>
        <w:snapToGrid w:val="0"/>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lastRenderedPageBreak/>
        <w:pict>
          <v:shape id="Text Box 10" o:spid="_x0000_s1033" type="#_x0000_t202" style="position:absolute;left:0;text-align:left;margin-left:408.85pt;margin-top:2.95pt;width:17.7pt;height:18.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">
            <v:textbox>
              <w:txbxContent>
                <w:p w:rsidR="006B3E09" w:rsidRDefault="006B3E09">
                  <w:r>
                    <w:t>B</w:t>
                  </w:r>
                </w:p>
              </w:txbxContent>
            </v:textbox>
          </v:shape>
        </w:pict>
      </w:r>
      <w:r w:rsidR="00CC5AC0" w:rsidRPr="00D846C4">
        <w:rPr>
          <w:rFonts w:ascii="Times New Roman" w:hAnsi="Times New Roman" w:cs="Times New Roman"/>
          <w:noProof/>
          <w:sz w:val="20"/>
          <w:szCs w:val="20"/>
          <w:lang w:eastAsia="zh-CN"/>
        </w:rPr>
        <w:drawing>
          <wp:inline distT="0" distB="0" distL="0" distR="0">
            <wp:extent cx="5274310" cy="1487062"/>
            <wp:effectExtent l="19050" t="0" r="2540" b="0"/>
            <wp:docPr id="18" name="صورة 3"/>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4" cstate="print"/>
                    <a:srcRect/>
                    <a:stretch>
                      <a:fillRect/>
                    </a:stretch>
                  </pic:blipFill>
                  <pic:spPr bwMode="auto">
                    <a:xfrm>
                      <a:off x="0" y="0"/>
                      <a:ext cx="5274310" cy="1487062"/>
                    </a:xfrm>
                    <a:prstGeom prst="rect">
                      <a:avLst/>
                    </a:prstGeom>
                    <a:noFill/>
                    <a:ln w="9525">
                      <a:noFill/>
                      <a:miter lim="800000"/>
                      <a:headEnd/>
                      <a:tailEnd/>
                    </a:ln>
                  </pic:spPr>
                </pic:pic>
              </a:graphicData>
            </a:graphic>
          </wp:inline>
        </w:drawing>
      </w:r>
    </w:p>
    <w:p w:rsidR="004F1448" w:rsidRDefault="004E1E0C" w:rsidP="004F1448">
      <w:pPr>
        <w:snapToGrid w:val="0"/>
        <w:spacing w:after="0" w:line="240" w:lineRule="auto"/>
        <w:jc w:val="both"/>
        <w:rPr>
          <w:rFonts w:ascii="Times New Roman" w:hAnsi="Times New Roman" w:cs="Times New Roman"/>
          <w:sz w:val="20"/>
          <w:szCs w:val="20"/>
        </w:rPr>
      </w:pPr>
      <w:r w:rsidRPr="00D846C4">
        <w:rPr>
          <w:rFonts w:ascii="Times New Roman" w:hAnsi="Times New Roman" w:cs="Times New Roman"/>
          <w:b/>
          <w:bCs/>
          <w:sz w:val="20"/>
          <w:szCs w:val="20"/>
        </w:rPr>
        <w:t>Figure 2</w:t>
      </w:r>
      <w:r w:rsidR="004F1448" w:rsidRPr="00D846C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846C4">
        <w:rPr>
          <w:rFonts w:ascii="Times New Roman" w:hAnsi="Times New Roman" w:cs="Times New Roman"/>
          <w:sz w:val="20"/>
          <w:szCs w:val="20"/>
        </w:rPr>
        <w:t>R</w:t>
      </w:r>
      <w:r w:rsidR="002C5EDD" w:rsidRPr="00D846C4">
        <w:rPr>
          <w:rFonts w:ascii="Times New Roman" w:hAnsi="Times New Roman" w:cs="Times New Roman"/>
          <w:sz w:val="20"/>
          <w:szCs w:val="20"/>
        </w:rPr>
        <w:t>ing analysis in mfERG (R1</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R</w:t>
      </w:r>
      <w:r w:rsidR="002C5EDD" w:rsidRPr="00D846C4">
        <w:rPr>
          <w:rFonts w:ascii="Times New Roman" w:hAnsi="Times New Roman" w:cs="Times New Roman"/>
          <w:sz w:val="20"/>
          <w:szCs w:val="20"/>
        </w:rPr>
        <w:t xml:space="preserve">2), </w:t>
      </w:r>
      <w:r w:rsidR="002C5EDD" w:rsidRPr="00D846C4">
        <w:rPr>
          <w:rFonts w:ascii="Times New Roman" w:hAnsi="Times New Roman" w:cs="Times New Roman"/>
          <w:b/>
          <w:bCs/>
          <w:sz w:val="20"/>
          <w:szCs w:val="20"/>
        </w:rPr>
        <w:t>(A)</w:t>
      </w:r>
      <w:r w:rsidR="002C5EDD" w:rsidRPr="00D846C4">
        <w:rPr>
          <w:rFonts w:ascii="Times New Roman" w:hAnsi="Times New Roman" w:cs="Times New Roman"/>
          <w:sz w:val="20"/>
          <w:szCs w:val="20"/>
        </w:rPr>
        <w:t xml:space="preserve"> before injection</w:t>
      </w:r>
      <w:r w:rsidR="00D846C4" w:rsidRPr="00D846C4">
        <w:rPr>
          <w:rFonts w:ascii="Times New Roman" w:hAnsi="Times New Roman" w:cs="Times New Roman"/>
          <w:sz w:val="20"/>
          <w:szCs w:val="20"/>
        </w:rPr>
        <w:t xml:space="preserve">, </w:t>
      </w:r>
      <w:r w:rsidR="00D846C4" w:rsidRPr="00D846C4">
        <w:rPr>
          <w:rFonts w:ascii="Times New Roman" w:hAnsi="Times New Roman" w:cs="Times New Roman"/>
          <w:b/>
          <w:bCs/>
          <w:sz w:val="20"/>
          <w:szCs w:val="20"/>
        </w:rPr>
        <w:t>(</w:t>
      </w:r>
      <w:r w:rsidR="002C5EDD" w:rsidRPr="00D846C4">
        <w:rPr>
          <w:rFonts w:ascii="Times New Roman" w:hAnsi="Times New Roman" w:cs="Times New Roman"/>
          <w:b/>
          <w:bCs/>
          <w:sz w:val="20"/>
          <w:szCs w:val="20"/>
        </w:rPr>
        <w:t>B</w:t>
      </w:r>
      <w:r w:rsidR="004F1448" w:rsidRPr="00D846C4">
        <w:rPr>
          <w:rFonts w:ascii="Times New Roman" w:hAnsi="Times New Roman" w:cs="Times New Roman"/>
          <w:b/>
          <w:bCs/>
          <w:sz w:val="20"/>
          <w:szCs w:val="20"/>
        </w:rPr>
        <w:t>)</w:t>
      </w:r>
      <w:r w:rsidR="004F1448">
        <w:rPr>
          <w:rFonts w:ascii="Times New Roman" w:hAnsi="Times New Roman" w:cs="Times New Roman"/>
          <w:b/>
          <w:bCs/>
          <w:sz w:val="20"/>
          <w:szCs w:val="20"/>
        </w:rPr>
        <w:t xml:space="preserve"> </w:t>
      </w:r>
      <w:r w:rsidR="004F1448" w:rsidRPr="00D846C4">
        <w:rPr>
          <w:rFonts w:ascii="Times New Roman" w:hAnsi="Times New Roman" w:cs="Times New Roman"/>
          <w:sz w:val="20"/>
          <w:szCs w:val="20"/>
        </w:rPr>
        <w:t>a</w:t>
      </w:r>
      <w:r w:rsidR="002C5EDD" w:rsidRPr="00D846C4">
        <w:rPr>
          <w:rFonts w:ascii="Times New Roman" w:hAnsi="Times New Roman" w:cs="Times New Roman"/>
          <w:sz w:val="20"/>
          <w:szCs w:val="20"/>
        </w:rPr>
        <w:t>fter injection</w:t>
      </w:r>
      <w:r w:rsidR="00800669">
        <w:rPr>
          <w:rFonts w:ascii="Times New Roman" w:hAnsi="Times New Roman" w:cs="Times New Roman" w:hint="eastAsia"/>
          <w:sz w:val="20"/>
          <w:szCs w:val="20"/>
          <w:lang w:eastAsia="zh-CN"/>
        </w:rPr>
        <w:t xml:space="preserve"> </w:t>
      </w:r>
      <w:r w:rsidR="00DF457A" w:rsidRPr="00D846C4">
        <w:rPr>
          <w:rFonts w:ascii="Times New Roman" w:hAnsi="Times New Roman" w:cs="Times New Roman"/>
          <w:sz w:val="20"/>
          <w:szCs w:val="20"/>
          <w:lang w:bidi="ar-EG"/>
        </w:rPr>
        <w:t>mfERG</w:t>
      </w:r>
      <w:r w:rsidR="00800669">
        <w:rPr>
          <w:rFonts w:ascii="Times New Roman" w:hAnsi="Times New Roman" w:cs="Times New Roman" w:hint="eastAsia"/>
          <w:sz w:val="20"/>
          <w:szCs w:val="20"/>
          <w:lang w:eastAsia="zh-CN" w:bidi="ar-EG"/>
        </w:rPr>
        <w:t xml:space="preserve"> </w:t>
      </w:r>
      <w:r w:rsidR="00D63C5F" w:rsidRPr="00D846C4">
        <w:rPr>
          <w:rFonts w:ascii="Times New Roman" w:hAnsi="Times New Roman" w:cs="Times New Roman"/>
          <w:sz w:val="20"/>
          <w:szCs w:val="20"/>
          <w:lang w:bidi="ar-EG"/>
        </w:rPr>
        <w:t>after injection showings</w:t>
      </w:r>
      <w:r w:rsidR="00DF457A" w:rsidRPr="00D846C4">
        <w:rPr>
          <w:rFonts w:ascii="Times New Roman" w:hAnsi="Times New Roman" w:cs="Times New Roman"/>
          <w:sz w:val="20"/>
          <w:szCs w:val="20"/>
          <w:lang w:bidi="ar-EG"/>
        </w:rPr>
        <w:t xml:space="preserve"> improved central ring in</w:t>
      </w:r>
      <w:r w:rsidR="00E74A7F" w:rsidRPr="00D846C4">
        <w:rPr>
          <w:rFonts w:ascii="Times New Roman" w:hAnsi="Times New Roman" w:cs="Times New Roman"/>
          <w:sz w:val="20"/>
          <w:szCs w:val="20"/>
          <w:lang w:bidi="ar-EG"/>
        </w:rPr>
        <w:t xml:space="preserve"> comparison to before injection, w</w:t>
      </w:r>
      <w:r w:rsidR="00DF457A" w:rsidRPr="00D846C4">
        <w:rPr>
          <w:rFonts w:ascii="Times New Roman" w:hAnsi="Times New Roman" w:cs="Times New Roman"/>
          <w:sz w:val="20"/>
          <w:szCs w:val="20"/>
          <w:lang w:bidi="ar-EG"/>
        </w:rPr>
        <w:t>hile the 2nd ring that corresponds to the perifoveal affected area with absent EZ, shows decreased response after injection</w:t>
      </w:r>
      <w:r w:rsidR="00DF457A" w:rsidRPr="00D846C4">
        <w:rPr>
          <w:rFonts w:ascii="Times New Roman" w:hAnsi="Times New Roman" w:cs="Times New Roman"/>
          <w:b/>
          <w:bCs/>
          <w:sz w:val="20"/>
          <w:szCs w:val="20"/>
          <w:lang w:bidi="ar-EG"/>
        </w:rPr>
        <w:t>.</w:t>
      </w:r>
    </w:p>
    <w:p w:rsidR="004F1448" w:rsidRDefault="004F1448" w:rsidP="00DA3DF4">
      <w:pPr>
        <w:snapToGrid w:val="0"/>
        <w:spacing w:after="0" w:line="240" w:lineRule="auto"/>
        <w:jc w:val="both"/>
        <w:rPr>
          <w:rFonts w:ascii="Times New Roman" w:hAnsi="Times New Roman" w:cs="Times New Roman"/>
          <w:b/>
          <w:bCs/>
          <w:sz w:val="20"/>
          <w:szCs w:val="20"/>
        </w:rPr>
      </w:pPr>
    </w:p>
    <w:p w:rsidR="00072C1F" w:rsidRDefault="00072C1F" w:rsidP="00DA3DF4">
      <w:pPr>
        <w:snapToGrid w:val="0"/>
        <w:spacing w:after="0" w:line="240" w:lineRule="auto"/>
        <w:jc w:val="both"/>
        <w:rPr>
          <w:rFonts w:ascii="Times New Roman" w:hAnsi="Times New Roman" w:cs="Times New Roman"/>
          <w:b/>
          <w:bCs/>
          <w:sz w:val="20"/>
          <w:szCs w:val="20"/>
        </w:rPr>
        <w:sectPr w:rsidR="00072C1F" w:rsidSect="00D846C4">
          <w:type w:val="continuous"/>
          <w:pgSz w:w="12240" w:h="15840"/>
          <w:pgMar w:top="1440" w:right="1440" w:bottom="1440" w:left="1440" w:header="720" w:footer="720" w:gutter="0"/>
          <w:cols w:space="720"/>
          <w:bidi/>
          <w:rtlGutter/>
          <w:docGrid w:linePitch="360"/>
        </w:sectPr>
      </w:pPr>
    </w:p>
    <w:p w:rsidR="004F1448" w:rsidRDefault="00090DA5"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lastRenderedPageBreak/>
        <w:t xml:space="preserve">4. </w:t>
      </w:r>
      <w:r w:rsidR="00062315" w:rsidRPr="00D846C4">
        <w:rPr>
          <w:rFonts w:ascii="Times New Roman" w:hAnsi="Times New Roman" w:cs="Times New Roman"/>
          <w:b/>
          <w:bCs/>
          <w:sz w:val="20"/>
          <w:szCs w:val="20"/>
        </w:rPr>
        <w:t>Discussion</w:t>
      </w:r>
    </w:p>
    <w:p w:rsidR="004F1448" w:rsidRDefault="00E10B60"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 xml:space="preserve">Multiple studies correlated EZ integrity and final BCVA after anti-VEGF therapy in nvAMD. </w:t>
      </w:r>
      <w:r w:rsidRPr="00D846C4">
        <w:rPr>
          <w:rFonts w:ascii="Times New Roman" w:hAnsi="Times New Roman" w:cs="Times New Roman"/>
          <w:b/>
          <w:bCs/>
          <w:sz w:val="20"/>
          <w:szCs w:val="20"/>
          <w:lang w:bidi="ar-EG"/>
        </w:rPr>
        <w:t>Chhablani et a</w:t>
      </w:r>
      <w:r w:rsidR="00D846C4" w:rsidRPr="00D846C4">
        <w:rPr>
          <w:rFonts w:ascii="Times New Roman" w:hAnsi="Times New Roman" w:cs="Times New Roman"/>
          <w:b/>
          <w:bCs/>
          <w:sz w:val="20"/>
          <w:szCs w:val="20"/>
          <w:lang w:bidi="ar-EG"/>
        </w:rPr>
        <w:t>l (</w:t>
      </w:r>
      <w:r w:rsidRPr="00D846C4">
        <w:rPr>
          <w:rFonts w:ascii="Times New Roman" w:hAnsi="Times New Roman" w:cs="Times New Roman"/>
          <w:b/>
          <w:bCs/>
          <w:sz w:val="20"/>
          <w:szCs w:val="20"/>
          <w:lang w:bidi="ar-EG"/>
        </w:rPr>
        <w:t>2013)</w:t>
      </w:r>
      <w:r w:rsidRPr="00D846C4">
        <w:rPr>
          <w:rFonts w:ascii="Times New Roman" w:hAnsi="Times New Roman" w:cs="Times New Roman"/>
          <w:sz w:val="20"/>
          <w:szCs w:val="20"/>
          <w:lang w:bidi="ar-EG"/>
        </w:rPr>
        <w:t xml:space="preserve"> stated that the integrity of both the IS/OS junction and ELM can predict the BCVA after treatment of wet AMD with bevacizumab</w:t>
      </w:r>
      <w:r w:rsidR="00FD57AB" w:rsidRPr="00D846C4">
        <w:rPr>
          <w:rFonts w:ascii="Times New Roman" w:hAnsi="Times New Roman" w:cs="Times New Roman"/>
          <w:sz w:val="20"/>
          <w:szCs w:val="20"/>
          <w:vertAlign w:val="superscript"/>
          <w:lang w:bidi="ar-EG"/>
        </w:rPr>
        <w:fldChar w:fldCharType="begin"/>
      </w:r>
      <w:r w:rsidRPr="00D846C4">
        <w:rPr>
          <w:rFonts w:ascii="Times New Roman" w:hAnsi="Times New Roman" w:cs="Times New Roman"/>
          <w:sz w:val="20"/>
          <w:szCs w:val="20"/>
          <w:vertAlign w:val="superscript"/>
          <w:lang w:bidi="ar-EG"/>
        </w:rPr>
        <w:instrText xml:space="preserve"> ADDIN EN.CITE &lt;EndNote&gt;&lt;Cite&gt;&lt;Author&gt;Chhablani&lt;/Author&gt;&lt;Year&gt;2013&lt;/Year&gt;&lt;RecNum&gt;105&lt;/RecNum&gt;&lt;DisplayText&gt;(155)&lt;/DisplayText&gt;&lt;record&gt;&lt;rec-number&gt;105&lt;/rec-number&gt;&lt;foreign-keys&gt;&lt;key app="EN" db-id="sdtvae5p49parfer00ovx9d0v9tfrvdvadrt" timestamp="1562042012"&gt;105&lt;/key&gt;&lt;/foreign-keys&gt;&lt;ref-type name="Journal Article"&gt;17&lt;/ref-type&gt;&lt;contributors&gt;&lt;authors&gt;&lt;author&gt;Chhablani, J.&lt;/author&gt;&lt;author&gt;Kim, J. S.&lt;/author&gt;&lt;author&gt;Freeman, W. R.&lt;/author&gt;&lt;author&gt;Kozak, I.&lt;/author&gt;&lt;author&gt;Wang, H. Y.&lt;/author&gt;&lt;author&gt;Cheng, L.&lt;/author&gt;&lt;/authors&gt;&lt;/contributors&gt;&lt;auth-address&gt;Jacob&amp;apos;s Retina Center at Shiley Eye Center, University of California, San Diego, USA ; L V Prasad Eye Institute, Hyderabad, India.&lt;/auth-address&gt;&lt;titles&gt;&lt;title&gt;Predictors of visual outcome in eyes with choroidal neovascularization secondary to age related macular degeneration treated with intravitreal bevacizumab monotherapy&lt;/title&gt;&lt;secondary-title&gt;Int J Ophthalmol&lt;/secondary-title&gt;&lt;alt-title&gt;International journal of ophthalmology&lt;/alt-title&gt;&lt;/titles&gt;&lt;periodical&gt;&lt;full-title&gt;Int J Ophthalmol&lt;/full-title&gt;&lt;abbr-1&gt;International journal of ophthalmology&lt;/abbr-1&gt;&lt;/periodical&gt;&lt;alt-periodical&gt;&lt;full-title&gt;Int J Ophthalmol&lt;/full-title&gt;&lt;abbr-1&gt;International journal of ophthalmology&lt;/abbr-1&gt;&lt;/alt-periodical&gt;&lt;pages&gt;62-6&lt;/pages&gt;&lt;volume&gt;6&lt;/volume&gt;&lt;number&gt;1&lt;/number&gt;&lt;edition&gt;2013/04/04&lt;/edition&gt;&lt;keywords&gt;&lt;keyword&gt;age-related macular degeneration&lt;/keyword&gt;&lt;keyword&gt;avastin&lt;/keyword&gt;&lt;keyword&gt;choroidal neovascularization&lt;/keyword&gt;&lt;keyword&gt;external limiting membrane&lt;/keyword&gt;&lt;/keywords&gt;&lt;dates&gt;&lt;year&gt;2013&lt;/year&gt;&lt;/dates&gt;&lt;isbn&gt;2222-3959 (Print)&amp;#xD;2222-3959&lt;/isbn&gt;&lt;accession-num&gt;23549041&lt;/accession-num&gt;&lt;urls&gt;&lt;/urls&gt;&lt;custom2&gt;Pmc3580252&lt;/custom2&gt;&lt;electronic-resource-num&gt;10.3980/j.issn.2222-3959.2013.01.13&lt;/electronic-resource-num&gt;&lt;remote-database-provider&gt;NLM&lt;/remote-database-provider&gt;&lt;language&gt;eng&lt;/language&gt;&lt;/record&gt;&lt;/Cite&gt;&lt;/EndNote&gt;</w:instrText>
      </w:r>
      <w:r w:rsidR="00FD57AB" w:rsidRPr="00D846C4">
        <w:rPr>
          <w:rFonts w:ascii="Times New Roman" w:hAnsi="Times New Roman" w:cs="Times New Roman"/>
          <w:sz w:val="20"/>
          <w:szCs w:val="20"/>
          <w:vertAlign w:val="superscript"/>
          <w:lang w:bidi="ar-EG"/>
        </w:rPr>
        <w:fldChar w:fldCharType="separate"/>
      </w:r>
      <w:r w:rsidRPr="00D846C4">
        <w:rPr>
          <w:rFonts w:ascii="Times New Roman" w:hAnsi="Times New Roman" w:cs="Times New Roman"/>
          <w:noProof/>
          <w:sz w:val="20"/>
          <w:szCs w:val="20"/>
          <w:vertAlign w:val="superscript"/>
          <w:lang w:bidi="ar-EG"/>
        </w:rPr>
        <w:t>(</w:t>
      </w:r>
      <w:r w:rsidR="00DE5B04" w:rsidRPr="00D846C4">
        <w:rPr>
          <w:rFonts w:ascii="Times New Roman" w:hAnsi="Times New Roman" w:cs="Times New Roman"/>
          <w:noProof/>
          <w:sz w:val="20"/>
          <w:szCs w:val="20"/>
          <w:vertAlign w:val="superscript"/>
          <w:lang w:bidi="ar-EG"/>
        </w:rPr>
        <w:t>1</w:t>
      </w:r>
      <w:r w:rsidR="008C6264" w:rsidRPr="00D846C4">
        <w:rPr>
          <w:rFonts w:ascii="Times New Roman" w:hAnsi="Times New Roman" w:cs="Times New Roman"/>
          <w:noProof/>
          <w:sz w:val="20"/>
          <w:szCs w:val="20"/>
          <w:vertAlign w:val="superscript"/>
          <w:lang w:bidi="ar-EG"/>
        </w:rPr>
        <w:t>1</w:t>
      </w:r>
      <w:r w:rsidRPr="00D846C4">
        <w:rPr>
          <w:rFonts w:ascii="Times New Roman" w:hAnsi="Times New Roman" w:cs="Times New Roman"/>
          <w:noProof/>
          <w:sz w:val="20"/>
          <w:szCs w:val="20"/>
          <w:vertAlign w:val="superscript"/>
          <w:lang w:bidi="ar-EG"/>
        </w:rPr>
        <w:t>)</w:t>
      </w:r>
      <w:r w:rsidR="00FD57AB" w:rsidRPr="00D846C4">
        <w:rPr>
          <w:rFonts w:ascii="Times New Roman" w:hAnsi="Times New Roman" w:cs="Times New Roman"/>
          <w:sz w:val="20"/>
          <w:szCs w:val="20"/>
          <w:vertAlign w:val="superscript"/>
          <w:lang w:bidi="ar-EG"/>
        </w:rPr>
        <w:fldChar w:fldCharType="end"/>
      </w:r>
      <w:r w:rsidRPr="00D846C4">
        <w:rPr>
          <w:rFonts w:ascii="Times New Roman" w:hAnsi="Times New Roman" w:cs="Times New Roman"/>
          <w:sz w:val="20"/>
          <w:szCs w:val="20"/>
          <w:lang w:bidi="ar-EG"/>
        </w:rPr>
        <w:t>.</w:t>
      </w:r>
      <w:r w:rsidR="00D72D21" w:rsidRPr="00D846C4">
        <w:rPr>
          <w:rFonts w:ascii="Times New Roman" w:hAnsi="Times New Roman" w:cs="Times New Roman"/>
          <w:sz w:val="20"/>
          <w:szCs w:val="20"/>
          <w:lang w:bidi="ar-EG"/>
        </w:rPr>
        <w:t xml:space="preserve"> Positive correlation was detected in current study between BCVA improvement and the change in EZ after intravitreal injection</w:t>
      </w:r>
      <w:r w:rsidR="00D846C4" w:rsidRPr="00D846C4">
        <w:rPr>
          <w:rFonts w:ascii="Times New Roman" w:hAnsi="Times New Roman" w:cs="Times New Roman"/>
          <w:sz w:val="20"/>
          <w:szCs w:val="20"/>
          <w:lang w:bidi="ar-EG"/>
        </w:rPr>
        <w:t xml:space="preserve"> </w:t>
      </w:r>
      <w:r w:rsidR="00D72D21" w:rsidRPr="00D846C4">
        <w:rPr>
          <w:rFonts w:ascii="Times New Roman" w:hAnsi="Times New Roman" w:cs="Times New Roman"/>
          <w:sz w:val="20"/>
          <w:szCs w:val="20"/>
          <w:lang w:bidi="ar-EG"/>
        </w:rPr>
        <w:t>but it wasn’t statistically significant ( P value =0.097). This finding can be explained by relatively small number of cases included in current study.</w:t>
      </w:r>
    </w:p>
    <w:p w:rsidR="004F1448" w:rsidRDefault="00A454F5"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Interestingly, 2 cases in our study had almost complete loss of EZ that didn’t improve after injection</w:t>
      </w:r>
      <w:r w:rsidR="00D846C4" w:rsidRPr="00D846C4">
        <w:rPr>
          <w:rFonts w:ascii="Times New Roman" w:hAnsi="Times New Roman" w:cs="Times New Roman"/>
          <w:sz w:val="20"/>
          <w:szCs w:val="20"/>
          <w:lang w:bidi="ar-EG"/>
        </w:rPr>
        <w:t>.</w:t>
      </w:r>
      <w:r w:rsidRPr="00D846C4">
        <w:rPr>
          <w:rFonts w:ascii="Times New Roman" w:hAnsi="Times New Roman" w:cs="Times New Roman"/>
          <w:sz w:val="20"/>
          <w:szCs w:val="20"/>
          <w:lang w:bidi="ar-EG"/>
        </w:rPr>
        <w:t xml:space="preserve"> Regardless, patient had adequate VA and even VA improved after injection. The same finding was detected by</w:t>
      </w:r>
      <w:r w:rsidRPr="00D846C4">
        <w:rPr>
          <w:rFonts w:ascii="Times New Roman" w:hAnsi="Times New Roman" w:cs="Times New Roman"/>
          <w:b/>
          <w:bCs/>
          <w:sz w:val="20"/>
          <w:szCs w:val="20"/>
          <w:lang w:bidi="ar-EG"/>
        </w:rPr>
        <w:t xml:space="preserve"> Landa et al (2011)</w:t>
      </w:r>
      <w:r w:rsidRPr="00D846C4">
        <w:rPr>
          <w:rFonts w:ascii="Times New Roman" w:hAnsi="Times New Roman" w:cs="Times New Roman"/>
          <w:sz w:val="20"/>
          <w:szCs w:val="20"/>
          <w:lang w:bidi="ar-EG"/>
        </w:rPr>
        <w:t xml:space="preserve"> in dry AMD cases where even after almost complete loss (90-100%) of IS-OS layer, many patients maintained BCVA of 20/40 and better</w:t>
      </w:r>
      <w:r w:rsidR="00FD57AB" w:rsidRPr="00FD57AB">
        <w:rPr>
          <w:rFonts w:ascii="Times New Roman" w:hAnsi="Times New Roman" w:cs="Times New Roman"/>
          <w:sz w:val="20"/>
          <w:szCs w:val="20"/>
          <w:vertAlign w:val="superscript"/>
          <w:lang w:bidi="ar-EG"/>
        </w:rPr>
        <w:fldChar w:fldCharType="begin"/>
      </w:r>
      <w:r w:rsidRPr="00D846C4">
        <w:rPr>
          <w:rFonts w:ascii="Times New Roman" w:hAnsi="Times New Roman" w:cs="Times New Roman"/>
          <w:sz w:val="20"/>
          <w:szCs w:val="20"/>
          <w:vertAlign w:val="superscript"/>
          <w:lang w:bidi="ar-EG"/>
        </w:rPr>
        <w:instrText xml:space="preserve"> ADDIN EN.CITE &lt;EndNote&gt;&lt;Cite&gt;&lt;Author&gt;Landa&lt;/Author&gt;&lt;Year&gt;2011&lt;/Year&gt;&lt;RecNum&gt;108&lt;/RecNum&gt;&lt;DisplayText&gt;(158)&lt;/DisplayText&gt;&lt;record&gt;&lt;rec-number&gt;108&lt;/rec-number&gt;&lt;foreign-keys&gt;&lt;key app="EN" db-id="sdtvae5p49parfer00ovx9d0v9tfrvdvadrt" timestamp="1562044855"&gt;108&lt;/key&gt;&lt;/foreign-keys&gt;&lt;ref-type name="Journal Article"&gt;17&lt;/ref-type&gt;&lt;contributors&gt;&lt;authors&gt;&lt;author&gt;Landa, G.&lt;/author&gt;&lt;author&gt;Su, E.&lt;/author&gt;&lt;author&gt;Garcia, P. M.&lt;/author&gt;&lt;author&gt;Seiple, W. H.&lt;/author&gt;&lt;author&gt;Rosen, R. B.&lt;/author&gt;&lt;/authors&gt;&lt;/contributors&gt;&lt;auth-address&gt;Department of Ophthalmology, The New York Eye and Ear Infirmary, Retina Center, New York, New York 10003, USA.&lt;/auth-address&gt;&lt;titles&gt;&lt;title&gt;Inner segment-outer segment junctional layer integrity and corresponding retinal sensitivity in dry and wet forms of age-related macular degeneration&lt;/title&gt;&lt;secondary-title&gt;Retina&lt;/secondary-title&gt;&lt;alt-title&gt;Retina (Philadelphia, Pa.)&lt;/alt-title&gt;&lt;/titles&gt;&lt;periodical&gt;&lt;full-title&gt;RETINA&lt;/full-title&gt;&lt;/periodical&gt;&lt;pages&gt;364-70&lt;/pages&gt;&lt;volume&gt;31&lt;/volume&gt;&lt;number&gt;2&lt;/number&gt;&lt;edition&gt;2011/01/12&lt;/edition&gt;&lt;keywords&gt;&lt;keyword&gt;Aged&lt;/keyword&gt;&lt;keyword&gt;Female&lt;/keyword&gt;&lt;keyword&gt;Humans&lt;/keyword&gt;&lt;keyword&gt;Macular Degeneration/physiopathology&lt;/keyword&gt;&lt;keyword&gt;Male&lt;/keyword&gt;&lt;keyword&gt;Ophthalmoscopy&lt;/keyword&gt;&lt;keyword&gt;Retina/*physiopathology&lt;/keyword&gt;&lt;keyword&gt;Retinal Photoreceptor Cell Inner Segment/*pathology&lt;/keyword&gt;&lt;keyword&gt;Retinal Photoreceptor Cell Outer Segment/*pathology&lt;/keyword&gt;&lt;keyword&gt;Scotoma/*physiopathology&lt;/keyword&gt;&lt;keyword&gt;Tomography, Optical Coherence&lt;/keyword&gt;&lt;keyword&gt;Visual Acuity/physiology&lt;/keyword&gt;&lt;keyword&gt;Visual Field Tests&lt;/keyword&gt;&lt;keyword&gt;Visual Fields/physiology&lt;/keyword&gt;&lt;keyword&gt;Wet Macular Degeneration/*physiopathology&lt;/keyword&gt;&lt;/keywords&gt;&lt;dates&gt;&lt;year&gt;2011&lt;/year&gt;&lt;pub-dates&gt;&lt;date&gt;Feb&lt;/date&gt;&lt;/pub-dates&gt;&lt;/dates&gt;&lt;isbn&gt;0275-004x&lt;/isbn&gt;&lt;accession-num&gt;21221051&lt;/accession-num&gt;&lt;urls&gt;&lt;/urls&gt;&lt;electronic-resource-num&gt;10.1097/IAE.0b013e3181e91132&lt;/electronic-resource-num&gt;&lt;remote-database-provider&gt;NLM&lt;/remote-database-provider&gt;&lt;language&gt;eng&lt;/language&gt;&lt;/record&gt;&lt;/Cite&gt;&lt;/EndNote&gt;</w:instrText>
      </w:r>
      <w:r w:rsidR="00FD57AB" w:rsidRPr="00FD57AB">
        <w:rPr>
          <w:rFonts w:ascii="Times New Roman" w:hAnsi="Times New Roman" w:cs="Times New Roman"/>
          <w:sz w:val="20"/>
          <w:szCs w:val="20"/>
          <w:vertAlign w:val="superscript"/>
          <w:lang w:bidi="ar-EG"/>
        </w:rPr>
        <w:fldChar w:fldCharType="separate"/>
      </w:r>
      <w:r w:rsidRPr="00D846C4">
        <w:rPr>
          <w:rFonts w:ascii="Times New Roman" w:hAnsi="Times New Roman" w:cs="Times New Roman"/>
          <w:sz w:val="20"/>
          <w:szCs w:val="20"/>
          <w:vertAlign w:val="superscript"/>
          <w:lang w:bidi="ar-EG"/>
        </w:rPr>
        <w:t>(1</w:t>
      </w:r>
      <w:r w:rsidR="008C6264" w:rsidRPr="00D846C4">
        <w:rPr>
          <w:rFonts w:ascii="Times New Roman" w:hAnsi="Times New Roman" w:cs="Times New Roman"/>
          <w:sz w:val="20"/>
          <w:szCs w:val="20"/>
          <w:vertAlign w:val="superscript"/>
          <w:lang w:bidi="ar-EG"/>
        </w:rPr>
        <w:t>2</w:t>
      </w:r>
      <w:r w:rsidRPr="00D846C4">
        <w:rPr>
          <w:rFonts w:ascii="Times New Roman" w:hAnsi="Times New Roman" w:cs="Times New Roman"/>
          <w:sz w:val="20"/>
          <w:szCs w:val="20"/>
          <w:vertAlign w:val="superscript"/>
          <w:lang w:bidi="ar-EG"/>
        </w:rPr>
        <w:t>)</w:t>
      </w:r>
      <w:r w:rsidR="00FD57AB" w:rsidRPr="00D846C4">
        <w:rPr>
          <w:rFonts w:ascii="Times New Roman" w:hAnsi="Times New Roman" w:cs="Times New Roman"/>
          <w:sz w:val="20"/>
          <w:szCs w:val="20"/>
          <w:lang w:bidi="ar-EG"/>
        </w:rPr>
        <w:fldChar w:fldCharType="end"/>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T</w:t>
      </w:r>
      <w:r w:rsidRPr="00D846C4">
        <w:rPr>
          <w:rFonts w:ascii="Times New Roman" w:hAnsi="Times New Roman" w:cs="Times New Roman"/>
          <w:sz w:val="20"/>
          <w:szCs w:val="20"/>
          <w:lang w:bidi="ar-EG"/>
        </w:rPr>
        <w:t>his can be explained that EZ is not the only factor affecting visual acuity. Moreover, other retinal layers as ELM was superior to EZ as a predictor for visual outcome in other studie</w:t>
      </w:r>
      <w:r w:rsidR="00D846C4" w:rsidRPr="00D846C4">
        <w:rPr>
          <w:rFonts w:ascii="Times New Roman" w:hAnsi="Times New Roman" w:cs="Times New Roman"/>
          <w:sz w:val="20"/>
          <w:szCs w:val="20"/>
          <w:lang w:bidi="ar-EG"/>
        </w:rPr>
        <w:t xml:space="preserve">s </w:t>
      </w:r>
      <w:r w:rsidR="00D846C4" w:rsidRPr="00D846C4">
        <w:rPr>
          <w:rFonts w:ascii="Times New Roman" w:hAnsi="Times New Roman" w:cs="Times New Roman"/>
          <w:b/>
          <w:bCs/>
          <w:sz w:val="20"/>
          <w:szCs w:val="20"/>
          <w:vertAlign w:val="superscript"/>
          <w:lang w:bidi="ar-EG"/>
        </w:rPr>
        <w:t>(</w:t>
      </w:r>
      <w:r w:rsidR="008C6264" w:rsidRPr="00D846C4">
        <w:rPr>
          <w:rFonts w:ascii="Times New Roman" w:hAnsi="Times New Roman" w:cs="Times New Roman"/>
          <w:b/>
          <w:bCs/>
          <w:sz w:val="20"/>
          <w:szCs w:val="20"/>
          <w:vertAlign w:val="superscript"/>
          <w:lang w:bidi="ar-EG"/>
        </w:rPr>
        <w:t>13</w:t>
      </w:r>
      <w:r w:rsidRPr="00D846C4">
        <w:rPr>
          <w:rFonts w:ascii="Times New Roman" w:hAnsi="Times New Roman" w:cs="Times New Roman"/>
          <w:b/>
          <w:bCs/>
          <w:sz w:val="20"/>
          <w:szCs w:val="20"/>
          <w:vertAlign w:val="superscript"/>
          <w:lang w:bidi="ar-EG"/>
        </w:rPr>
        <w:t>)</w:t>
      </w:r>
      <w:r w:rsidRPr="00D846C4">
        <w:rPr>
          <w:rFonts w:ascii="Times New Roman" w:hAnsi="Times New Roman" w:cs="Times New Roman"/>
          <w:sz w:val="20"/>
          <w:szCs w:val="20"/>
          <w:lang w:bidi="ar-EG"/>
        </w:rPr>
        <w:t xml:space="preserve">. </w:t>
      </w:r>
    </w:p>
    <w:p w:rsidR="004F1448" w:rsidRDefault="00C03B7B"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Positive</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correlation in current study between BCVA and P1 response density with P value 0.021</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T</w:t>
      </w:r>
      <w:r w:rsidRPr="00D846C4">
        <w:rPr>
          <w:rFonts w:ascii="Times New Roman" w:hAnsi="Times New Roman" w:cs="Times New Roman"/>
          <w:sz w:val="20"/>
          <w:szCs w:val="20"/>
          <w:lang w:bidi="ar-EG"/>
        </w:rPr>
        <w:t xml:space="preserve">hese findings were consistent with those detected </w:t>
      </w:r>
      <w:r w:rsidRPr="00D846C4">
        <w:rPr>
          <w:rFonts w:ascii="Times New Roman" w:hAnsi="Times New Roman" w:cs="Times New Roman"/>
          <w:b/>
          <w:bCs/>
          <w:sz w:val="20"/>
          <w:szCs w:val="20"/>
          <w:lang w:bidi="ar-EG"/>
        </w:rPr>
        <w:t>by Campa et a</w:t>
      </w:r>
      <w:r w:rsidR="00D846C4" w:rsidRPr="00D846C4">
        <w:rPr>
          <w:rFonts w:ascii="Times New Roman" w:hAnsi="Times New Roman" w:cs="Times New Roman"/>
          <w:b/>
          <w:bCs/>
          <w:sz w:val="20"/>
          <w:szCs w:val="20"/>
          <w:lang w:bidi="ar-EG"/>
        </w:rPr>
        <w:t>l (</w:t>
      </w:r>
      <w:r w:rsidRPr="00D846C4">
        <w:rPr>
          <w:rFonts w:ascii="Times New Roman" w:hAnsi="Times New Roman" w:cs="Times New Roman"/>
          <w:b/>
          <w:bCs/>
          <w:sz w:val="20"/>
          <w:szCs w:val="20"/>
          <w:lang w:bidi="ar-EG"/>
        </w:rPr>
        <w:t>2011)</w:t>
      </w:r>
      <w:r w:rsidRPr="00D846C4">
        <w:rPr>
          <w:rFonts w:ascii="Times New Roman" w:hAnsi="Times New Roman" w:cs="Times New Roman"/>
          <w:sz w:val="20"/>
          <w:szCs w:val="20"/>
          <w:lang w:bidi="ar-EG"/>
        </w:rPr>
        <w:t xml:space="preserve"> with P value &lt;0.001</w:t>
      </w:r>
      <w:r w:rsidR="00FD57AB" w:rsidRPr="00D846C4">
        <w:rPr>
          <w:rFonts w:ascii="Times New Roman" w:hAnsi="Times New Roman" w:cs="Times New Roman"/>
          <w:sz w:val="20"/>
          <w:szCs w:val="20"/>
          <w:vertAlign w:val="superscript"/>
          <w:lang w:bidi="ar-EG"/>
        </w:rPr>
        <w:fldChar w:fldCharType="begin">
          <w:fldData xml:space="preserve">PEVuZE5vdGU+PENpdGU+PEF1dGhvcj5DYW1wYTwvQXV0aG9yPjxZZWFyPjIwMTE8L1llYXI+PFJl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L2FiYnItMT48L2FsdC1wZXJpb2RpY2FsPjxwYWdlcz4zNDQ2LTUxPC9wYWdlcz48dm9sdW1lPjUy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</w:fldData>
        </w:fldChar>
      </w:r>
      <w:r w:rsidRPr="00D846C4">
        <w:rPr>
          <w:rFonts w:ascii="Times New Roman" w:hAnsi="Times New Roman" w:cs="Times New Roman"/>
          <w:sz w:val="20"/>
          <w:szCs w:val="20"/>
          <w:vertAlign w:val="superscript"/>
          <w:lang w:bidi="ar-EG"/>
        </w:rPr>
        <w:instrText xml:space="preserve"> ADDIN EN.CITE </w:instrText>
      </w:r>
      <w:r w:rsidR="00FD57AB" w:rsidRPr="00D846C4">
        <w:rPr>
          <w:rFonts w:ascii="Times New Roman" w:hAnsi="Times New Roman" w:cs="Times New Roman"/>
          <w:sz w:val="20"/>
          <w:szCs w:val="20"/>
          <w:vertAlign w:val="superscript"/>
          <w:lang w:bidi="ar-EG"/>
        </w:rPr>
        <w:fldChar w:fldCharType="begin">
          <w:fldData xml:space="preserve">PEVuZE5vdGU+PENpdGU+PEF1dGhvcj5DYW1wYTwvQXV0aG9yPjxZZWFyPjIwMTE8L1llYXI+PFJl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L2FiYnItMT48L2FsdC1wZXJpb2RpY2FsPjxwYWdlcz4zNDQ2LTUxPC9wYWdlcz48dm9sdW1lPjUy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</w:fldData>
        </w:fldChar>
      </w:r>
      <w:r w:rsidRPr="00D846C4">
        <w:rPr>
          <w:rFonts w:ascii="Times New Roman" w:hAnsi="Times New Roman" w:cs="Times New Roman"/>
          <w:sz w:val="20"/>
          <w:szCs w:val="20"/>
          <w:vertAlign w:val="superscript"/>
          <w:lang w:bidi="ar-EG"/>
        </w:rPr>
        <w:instrText xml:space="preserve"> ADDIN EN.CITE.DATA </w:instrText>
      </w:r>
      <w:r w:rsidR="00FD57AB" w:rsidRPr="00D846C4">
        <w:rPr>
          <w:rFonts w:ascii="Times New Roman" w:hAnsi="Times New Roman" w:cs="Times New Roman"/>
          <w:sz w:val="20"/>
          <w:szCs w:val="20"/>
          <w:vertAlign w:val="superscript"/>
          <w:lang w:bidi="ar-EG"/>
        </w:rPr>
      </w:r>
      <w:r w:rsidR="00FD57AB" w:rsidRPr="00D846C4">
        <w:rPr>
          <w:rFonts w:ascii="Times New Roman" w:hAnsi="Times New Roman" w:cs="Times New Roman"/>
          <w:sz w:val="20"/>
          <w:szCs w:val="20"/>
          <w:vertAlign w:val="superscript"/>
          <w:lang w:bidi="ar-EG"/>
        </w:rPr>
        <w:fldChar w:fldCharType="end"/>
      </w:r>
      <w:r w:rsidR="00FD57AB" w:rsidRPr="00D846C4">
        <w:rPr>
          <w:rFonts w:ascii="Times New Roman" w:hAnsi="Times New Roman" w:cs="Times New Roman"/>
          <w:sz w:val="20"/>
          <w:szCs w:val="20"/>
          <w:vertAlign w:val="superscript"/>
          <w:lang w:bidi="ar-EG"/>
        </w:rPr>
      </w:r>
      <w:r w:rsidR="00FD57AB" w:rsidRPr="00D846C4">
        <w:rPr>
          <w:rFonts w:ascii="Times New Roman" w:hAnsi="Times New Roman" w:cs="Times New Roman"/>
          <w:sz w:val="20"/>
          <w:szCs w:val="20"/>
          <w:vertAlign w:val="superscript"/>
          <w:lang w:bidi="ar-EG"/>
        </w:rPr>
        <w:fldChar w:fldCharType="separate"/>
      </w:r>
      <w:r w:rsidRPr="00D846C4">
        <w:rPr>
          <w:rFonts w:ascii="Times New Roman" w:hAnsi="Times New Roman" w:cs="Times New Roman"/>
          <w:noProof/>
          <w:sz w:val="20"/>
          <w:szCs w:val="20"/>
          <w:vertAlign w:val="superscript"/>
          <w:lang w:bidi="ar-EG"/>
        </w:rPr>
        <w:t>(</w:t>
      </w:r>
      <w:r w:rsidR="008C6264" w:rsidRPr="00D846C4">
        <w:rPr>
          <w:rFonts w:ascii="Times New Roman" w:hAnsi="Times New Roman" w:cs="Times New Roman"/>
          <w:noProof/>
          <w:sz w:val="20"/>
          <w:szCs w:val="20"/>
          <w:vertAlign w:val="superscript"/>
          <w:lang w:bidi="ar-EG"/>
        </w:rPr>
        <w:t>14</w:t>
      </w:r>
      <w:r w:rsidRPr="00D846C4">
        <w:rPr>
          <w:rFonts w:ascii="Times New Roman" w:hAnsi="Times New Roman" w:cs="Times New Roman"/>
          <w:noProof/>
          <w:sz w:val="20"/>
          <w:szCs w:val="20"/>
          <w:vertAlign w:val="superscript"/>
          <w:lang w:bidi="ar-EG"/>
        </w:rPr>
        <w:t>)</w:t>
      </w:r>
      <w:r w:rsidR="00FD57AB" w:rsidRPr="00D846C4">
        <w:rPr>
          <w:rFonts w:ascii="Times New Roman" w:hAnsi="Times New Roman" w:cs="Times New Roman"/>
          <w:sz w:val="20"/>
          <w:szCs w:val="20"/>
          <w:vertAlign w:val="superscript"/>
          <w:lang w:bidi="ar-EG"/>
        </w:rPr>
        <w:fldChar w:fldCharType="end"/>
      </w:r>
      <w:r w:rsidRPr="00D846C4">
        <w:rPr>
          <w:rFonts w:ascii="Times New Roman" w:hAnsi="Times New Roman" w:cs="Times New Roman"/>
          <w:sz w:val="20"/>
          <w:szCs w:val="20"/>
          <w:lang w:bidi="ar-EG"/>
        </w:rPr>
        <w:t>. BCVA was also strongly correlated with Avg P1+P2 amplitude in R1+R2 with P value 0.002</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T</w:t>
      </w:r>
      <w:r w:rsidRPr="00D846C4">
        <w:rPr>
          <w:rFonts w:ascii="Times New Roman" w:hAnsi="Times New Roman" w:cs="Times New Roman"/>
          <w:sz w:val="20"/>
          <w:szCs w:val="20"/>
          <w:lang w:bidi="ar-EG"/>
        </w:rPr>
        <w:t xml:space="preserve">hese findings matched results in study by </w:t>
      </w:r>
      <w:r w:rsidRPr="00D846C4">
        <w:rPr>
          <w:rFonts w:ascii="Times New Roman" w:hAnsi="Times New Roman" w:cs="Times New Roman"/>
          <w:b/>
          <w:bCs/>
          <w:sz w:val="20"/>
          <w:szCs w:val="20"/>
          <w:lang w:bidi="ar-EG"/>
        </w:rPr>
        <w:t>Flores‑ Moreno et a</w:t>
      </w:r>
      <w:r w:rsidR="00D846C4" w:rsidRPr="00D846C4">
        <w:rPr>
          <w:rFonts w:ascii="Times New Roman" w:hAnsi="Times New Roman" w:cs="Times New Roman"/>
          <w:b/>
          <w:bCs/>
          <w:sz w:val="20"/>
          <w:szCs w:val="20"/>
          <w:lang w:bidi="ar-EG"/>
        </w:rPr>
        <w:t>l (</w:t>
      </w:r>
      <w:r w:rsidRPr="00D846C4">
        <w:rPr>
          <w:rFonts w:ascii="Times New Roman" w:hAnsi="Times New Roman" w:cs="Times New Roman"/>
          <w:b/>
          <w:bCs/>
          <w:sz w:val="20"/>
          <w:szCs w:val="20"/>
          <w:lang w:bidi="ar-EG"/>
        </w:rPr>
        <w:t>2017)</w:t>
      </w:r>
      <w:r w:rsidRPr="00D846C4">
        <w:rPr>
          <w:rFonts w:ascii="Times New Roman" w:hAnsi="Times New Roman" w:cs="Times New Roman"/>
          <w:sz w:val="20"/>
          <w:szCs w:val="20"/>
          <w:lang w:bidi="ar-EG"/>
        </w:rPr>
        <w:t xml:space="preserve"> they found that better BCVA was correlated with the average of P1+P2 amplitude in R1 + R2 (P = 0.032)</w:t>
      </w:r>
      <w:r w:rsidR="00FD57AB" w:rsidRPr="00D846C4">
        <w:rPr>
          <w:rFonts w:ascii="Times New Roman" w:hAnsi="Times New Roman" w:cs="Times New Roman"/>
          <w:sz w:val="20"/>
          <w:szCs w:val="20"/>
          <w:vertAlign w:val="superscript"/>
          <w:lang w:bidi="ar-EG"/>
        </w:rPr>
        <w:fldChar w:fldCharType="begin">
          <w:fldData xml:space="preserve">PEVuZE5vdGU+PENpdGU+PEF1dGhvcj5GbG9yZXMtTW9yZW5vPC9BdXRob3I+PFllYXI+MjAxNzwv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</w:fldData>
        </w:fldChar>
      </w:r>
      <w:r w:rsidRPr="00D846C4">
        <w:rPr>
          <w:rFonts w:ascii="Times New Roman" w:hAnsi="Times New Roman" w:cs="Times New Roman"/>
          <w:sz w:val="20"/>
          <w:szCs w:val="20"/>
          <w:vertAlign w:val="superscript"/>
          <w:lang w:bidi="ar-EG"/>
        </w:rPr>
        <w:instrText xml:space="preserve"> ADDIN EN.CITE </w:instrText>
      </w:r>
      <w:r w:rsidR="00FD57AB" w:rsidRPr="00D846C4">
        <w:rPr>
          <w:rFonts w:ascii="Times New Roman" w:hAnsi="Times New Roman" w:cs="Times New Roman"/>
          <w:sz w:val="20"/>
          <w:szCs w:val="20"/>
          <w:vertAlign w:val="superscript"/>
          <w:lang w:bidi="ar-EG"/>
        </w:rPr>
        <w:fldChar w:fldCharType="begin">
          <w:fldData xml:space="preserve">PEVuZE5vdGU+PENpdGU+PEF1dGhvcj5GbG9yZXMtTW9yZW5vPC9BdXRob3I+PFllYXI+MjAxNzwv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</w:fldData>
        </w:fldChar>
      </w:r>
      <w:r w:rsidRPr="00D846C4">
        <w:rPr>
          <w:rFonts w:ascii="Times New Roman" w:hAnsi="Times New Roman" w:cs="Times New Roman"/>
          <w:sz w:val="20"/>
          <w:szCs w:val="20"/>
          <w:vertAlign w:val="superscript"/>
          <w:lang w:bidi="ar-EG"/>
        </w:rPr>
        <w:instrText xml:space="preserve"> ADDIN EN.CITE.DATA </w:instrText>
      </w:r>
      <w:r w:rsidR="00FD57AB" w:rsidRPr="00D846C4">
        <w:rPr>
          <w:rFonts w:ascii="Times New Roman" w:hAnsi="Times New Roman" w:cs="Times New Roman"/>
          <w:sz w:val="20"/>
          <w:szCs w:val="20"/>
          <w:vertAlign w:val="superscript"/>
          <w:lang w:bidi="ar-EG"/>
        </w:rPr>
      </w:r>
      <w:r w:rsidR="00FD57AB" w:rsidRPr="00D846C4">
        <w:rPr>
          <w:rFonts w:ascii="Times New Roman" w:hAnsi="Times New Roman" w:cs="Times New Roman"/>
          <w:sz w:val="20"/>
          <w:szCs w:val="20"/>
          <w:vertAlign w:val="superscript"/>
          <w:lang w:bidi="ar-EG"/>
        </w:rPr>
        <w:fldChar w:fldCharType="end"/>
      </w:r>
      <w:r w:rsidR="00FD57AB" w:rsidRPr="00D846C4">
        <w:rPr>
          <w:rFonts w:ascii="Times New Roman" w:hAnsi="Times New Roman" w:cs="Times New Roman"/>
          <w:sz w:val="20"/>
          <w:szCs w:val="20"/>
          <w:vertAlign w:val="superscript"/>
          <w:lang w:bidi="ar-EG"/>
        </w:rPr>
      </w:r>
      <w:r w:rsidR="00FD57AB" w:rsidRPr="00D846C4">
        <w:rPr>
          <w:rFonts w:ascii="Times New Roman" w:hAnsi="Times New Roman" w:cs="Times New Roman"/>
          <w:sz w:val="20"/>
          <w:szCs w:val="20"/>
          <w:vertAlign w:val="superscript"/>
          <w:lang w:bidi="ar-EG"/>
        </w:rPr>
        <w:fldChar w:fldCharType="separate"/>
      </w:r>
      <w:r w:rsidRPr="00D846C4">
        <w:rPr>
          <w:rFonts w:ascii="Times New Roman" w:hAnsi="Times New Roman" w:cs="Times New Roman"/>
          <w:noProof/>
          <w:sz w:val="20"/>
          <w:szCs w:val="20"/>
          <w:vertAlign w:val="superscript"/>
          <w:lang w:bidi="ar-EG"/>
        </w:rPr>
        <w:t>(</w:t>
      </w:r>
      <w:r w:rsidR="008C6264" w:rsidRPr="00D846C4">
        <w:rPr>
          <w:rFonts w:ascii="Times New Roman" w:hAnsi="Times New Roman" w:cs="Times New Roman"/>
          <w:noProof/>
          <w:sz w:val="20"/>
          <w:szCs w:val="20"/>
          <w:vertAlign w:val="superscript"/>
          <w:lang w:bidi="ar-EG"/>
        </w:rPr>
        <w:t>15</w:t>
      </w:r>
      <w:r w:rsidRPr="00D846C4">
        <w:rPr>
          <w:rFonts w:ascii="Times New Roman" w:hAnsi="Times New Roman" w:cs="Times New Roman"/>
          <w:noProof/>
          <w:sz w:val="20"/>
          <w:szCs w:val="20"/>
          <w:vertAlign w:val="superscript"/>
          <w:lang w:bidi="ar-EG"/>
        </w:rPr>
        <w:t>)</w:t>
      </w:r>
      <w:r w:rsidR="00FD57AB" w:rsidRPr="00D846C4">
        <w:rPr>
          <w:rFonts w:ascii="Times New Roman" w:hAnsi="Times New Roman" w:cs="Times New Roman"/>
          <w:sz w:val="20"/>
          <w:szCs w:val="20"/>
          <w:vertAlign w:val="superscript"/>
          <w:lang w:bidi="ar-EG"/>
        </w:rPr>
        <w:fldChar w:fldCharType="end"/>
      </w:r>
      <w:r w:rsidRPr="00D846C4">
        <w:rPr>
          <w:rFonts w:ascii="Times New Roman" w:hAnsi="Times New Roman" w:cs="Times New Roman"/>
          <w:sz w:val="20"/>
          <w:szCs w:val="20"/>
          <w:lang w:bidi="ar-EG"/>
        </w:rPr>
        <w:t>.</w:t>
      </w:r>
    </w:p>
    <w:p w:rsidR="004F1448" w:rsidRDefault="00487590"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Current study didn’t find</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significant correlation between BCVA and P1 amplitude</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 xml:space="preserve">This finding matched results detected </w:t>
      </w:r>
      <w:r w:rsidRPr="00D846C4">
        <w:rPr>
          <w:rFonts w:ascii="Times New Roman" w:hAnsi="Times New Roman" w:cs="Times New Roman"/>
          <w:b/>
          <w:bCs/>
          <w:sz w:val="20"/>
          <w:szCs w:val="20"/>
          <w:lang w:bidi="ar-EG"/>
        </w:rPr>
        <w:t>i</w:t>
      </w:r>
      <w:r w:rsidRPr="00D846C4">
        <w:rPr>
          <w:rFonts w:ascii="Times New Roman" w:hAnsi="Times New Roman" w:cs="Times New Roman"/>
          <w:sz w:val="20"/>
          <w:szCs w:val="20"/>
          <w:lang w:bidi="ar-EG"/>
        </w:rPr>
        <w:t>n</w:t>
      </w:r>
      <w:r w:rsidR="00800669">
        <w:rPr>
          <w:rFonts w:ascii="Times New Roman" w:hAnsi="Times New Roman" w:cs="Times New Roman" w:hint="eastAsia"/>
          <w:sz w:val="20"/>
          <w:szCs w:val="20"/>
          <w:lang w:eastAsia="zh-CN" w:bidi="ar-EG"/>
        </w:rPr>
        <w:t xml:space="preserve"> </w:t>
      </w:r>
      <w:hyperlink r:id="rId15" w:history="1">
        <w:r w:rsidRPr="00D846C4">
          <w:rPr>
            <w:rStyle w:val="Hyperlink"/>
            <w:rFonts w:ascii="Times New Roman" w:hAnsi="Times New Roman" w:cs="Times New Roman"/>
            <w:b/>
            <w:bCs/>
            <w:color w:val="auto"/>
            <w:sz w:val="20"/>
            <w:szCs w:val="20"/>
            <w:u w:val="none"/>
            <w:lang w:bidi="ar-EG"/>
          </w:rPr>
          <w:t>Reinsberg</w:t>
        </w:r>
      </w:hyperlink>
      <w:r w:rsidRPr="00D846C4">
        <w:rPr>
          <w:rFonts w:ascii="Times New Roman" w:hAnsi="Times New Roman" w:cs="Times New Roman"/>
          <w:b/>
          <w:bCs/>
          <w:sz w:val="20"/>
          <w:szCs w:val="20"/>
          <w:lang w:bidi="ar-EG"/>
        </w:rPr>
        <w:t xml:space="preserve"> et a</w:t>
      </w:r>
      <w:r w:rsidR="00D846C4" w:rsidRPr="00D846C4">
        <w:rPr>
          <w:rFonts w:ascii="Times New Roman" w:hAnsi="Times New Roman" w:cs="Times New Roman"/>
          <w:b/>
          <w:bCs/>
          <w:sz w:val="20"/>
          <w:szCs w:val="20"/>
          <w:lang w:bidi="ar-EG"/>
        </w:rPr>
        <w:t>l (</w:t>
      </w:r>
      <w:r w:rsidRPr="00D846C4">
        <w:rPr>
          <w:rFonts w:ascii="Times New Roman" w:hAnsi="Times New Roman" w:cs="Times New Roman"/>
          <w:b/>
          <w:bCs/>
          <w:sz w:val="20"/>
          <w:szCs w:val="20"/>
          <w:lang w:bidi="ar-EG"/>
        </w:rPr>
        <w:t>2017)</w:t>
      </w:r>
      <w:r w:rsidRPr="00D846C4">
        <w:rPr>
          <w:rFonts w:ascii="Times New Roman" w:hAnsi="Times New Roman" w:cs="Times New Roman"/>
          <w:sz w:val="20"/>
          <w:szCs w:val="20"/>
          <w:lang w:bidi="ar-EG"/>
        </w:rPr>
        <w:t xml:space="preserve"> they explained that lack of P1 value correlation</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was due to</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unstable fixation during the measurements</w:t>
      </w:r>
      <w:r w:rsidR="00FD57AB" w:rsidRPr="00FD57AB">
        <w:rPr>
          <w:rFonts w:ascii="Times New Roman" w:hAnsi="Times New Roman" w:cs="Times New Roman"/>
          <w:sz w:val="20"/>
          <w:szCs w:val="20"/>
          <w:vertAlign w:val="superscript"/>
          <w:lang w:bidi="ar-EG"/>
        </w:rPr>
        <w:fldChar w:fldCharType="begin"/>
      </w:r>
      <w:r w:rsidRPr="00D846C4">
        <w:rPr>
          <w:rFonts w:ascii="Times New Roman" w:hAnsi="Times New Roman" w:cs="Times New Roman"/>
          <w:sz w:val="20"/>
          <w:szCs w:val="20"/>
          <w:vertAlign w:val="superscript"/>
          <w:lang w:bidi="ar-EG"/>
        </w:rPr>
        <w:instrText xml:space="preserve"> ADDIN EN.CITE &lt;EndNote&gt;&lt;Cite&gt;&lt;Author&gt;Reinsberg&lt;/Author&gt;&lt;Year&gt;2017&lt;/Year&gt;&lt;RecNum&gt;91&lt;/RecNum&gt;&lt;DisplayText&gt;(135)&lt;/DisplayText&gt;&lt;record&gt;&lt;rec-number&gt;91&lt;/rec-number&gt;&lt;foreign-keys&gt;&lt;key app="EN" db-id="sdtvae5p49parfer00ovx9d0v9tfrvdvadrt" timestamp="1554765812"&gt;91&lt;/key&gt;&lt;/foreign-keys&gt;&lt;ref-type name="Journal Article"&gt;17&lt;/ref-type&gt;&lt;contributors&gt;&lt;authors&gt;&lt;author&gt;Reinsberg, Mihaela&lt;/author&gt;&lt;author&gt;Hilgers, Ralf-Dieter&lt;/author&gt;&lt;author&gt;Lüdeke, Inger&lt;/author&gt;&lt;author&gt;Nassar, Khaled&lt;/author&gt;&lt;author&gt;Grisanti, Swaantje&lt;/author&gt;&lt;author&gt;Grisanti, Salvatore&lt;/author&gt;&lt;author&gt;Lüke, Julia&lt;/author&gt;&lt;author&gt;Lüke, Matthias&lt;/author&gt;&lt;/authors&gt;&lt;/contributors&gt;&lt;titles&gt;&lt;title&gt;Testing the clinical value of multifocal electroretinography and microperimetry and the effects of intravitreal therapy with ranibizumab on macular function in the course of wet age-related macular degeneration: a 1-year prospective study&lt;/title&gt;&lt;secondary-title&gt;Clinical ophthalmology (Auckland, N.Z.)&lt;/secondary-title&gt;&lt;/titles&gt;&lt;periodical&gt;&lt;full-title&gt;Clinical ophthalmology (Auckland, N.Z.)&lt;/full-title&gt;&lt;/periodical&gt;&lt;pages&gt;621-629&lt;/pages&gt;&lt;volume&gt;11&lt;/volume&gt;&lt;dates&gt;&lt;year&gt;2017&lt;/year&gt;&lt;/dates&gt;&lt;publisher&gt;Dove Medical Press&lt;/publisher&gt;&lt;isbn&gt;1177-5467&amp;#xD;1177-5483&lt;/isbn&gt;&lt;accession-num&gt;28435212&lt;/accession-num&gt;&lt;urls&gt;&lt;related-urls&gt;&lt;url&gt;https://www.ncbi.nlm.nih.gov/pubmed/28435212&lt;/url&gt;&lt;url&gt;https://www.ncbi.nlm.nih.gov/pmc/PMC5388268/&lt;/url&gt;&lt;/related-urls&gt;&lt;/urls&gt;&lt;electronic-resource-num&gt;10.2147/OPTH.S123513&lt;/electronic-resource-num&gt;&lt;remote-database-name&gt;PubMed&lt;/remote-database-name&gt;&lt;language&gt;eng&lt;/language&gt;&lt;/record&gt;&lt;/Cite&gt;&lt;/EndNote&gt;</w:instrText>
      </w:r>
      <w:r w:rsidR="00FD57AB" w:rsidRPr="00FD57AB">
        <w:rPr>
          <w:rFonts w:ascii="Times New Roman" w:hAnsi="Times New Roman" w:cs="Times New Roman"/>
          <w:sz w:val="20"/>
          <w:szCs w:val="20"/>
          <w:vertAlign w:val="superscript"/>
          <w:lang w:bidi="ar-EG"/>
        </w:rPr>
        <w:fldChar w:fldCharType="separate"/>
      </w:r>
      <w:r w:rsidRPr="00D846C4">
        <w:rPr>
          <w:rFonts w:ascii="Times New Roman" w:hAnsi="Times New Roman" w:cs="Times New Roman"/>
          <w:sz w:val="20"/>
          <w:szCs w:val="20"/>
          <w:vertAlign w:val="superscript"/>
          <w:lang w:bidi="ar-EG"/>
        </w:rPr>
        <w:t>(</w:t>
      </w:r>
      <w:r w:rsidR="008C6264" w:rsidRPr="00D846C4">
        <w:rPr>
          <w:rFonts w:ascii="Times New Roman" w:hAnsi="Times New Roman" w:cs="Times New Roman"/>
          <w:sz w:val="20"/>
          <w:szCs w:val="20"/>
          <w:vertAlign w:val="superscript"/>
          <w:lang w:bidi="ar-EG"/>
        </w:rPr>
        <w:t>16</w:t>
      </w:r>
      <w:r w:rsidRPr="00D846C4">
        <w:rPr>
          <w:rFonts w:ascii="Times New Roman" w:hAnsi="Times New Roman" w:cs="Times New Roman"/>
          <w:sz w:val="20"/>
          <w:szCs w:val="20"/>
          <w:vertAlign w:val="superscript"/>
          <w:lang w:bidi="ar-EG"/>
        </w:rPr>
        <w:t>)</w:t>
      </w:r>
      <w:r w:rsidR="00FD57AB" w:rsidRPr="00D846C4">
        <w:rPr>
          <w:rFonts w:ascii="Times New Roman" w:hAnsi="Times New Roman" w:cs="Times New Roman"/>
          <w:sz w:val="20"/>
          <w:szCs w:val="20"/>
          <w:lang w:bidi="ar-EG"/>
        </w:rPr>
        <w:fldChar w:fldCharType="end"/>
      </w:r>
      <w:r w:rsidRPr="00D846C4">
        <w:rPr>
          <w:rFonts w:ascii="Times New Roman" w:hAnsi="Times New Roman" w:cs="Times New Roman"/>
          <w:sz w:val="20"/>
          <w:szCs w:val="20"/>
          <w:lang w:bidi="ar-EG"/>
        </w:rPr>
        <w:t>, which is a problem in subjects with nvAMD and could be responsible for current findings also.</w:t>
      </w:r>
    </w:p>
    <w:p w:rsidR="004F1448" w:rsidRDefault="00BA667F"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A statistically significant positive correlation between EZ</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and N1 amplitude in R1 was detected</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 xml:space="preserve">( P </w:t>
      </w:r>
      <w:r w:rsidRPr="00D846C4">
        <w:rPr>
          <w:rFonts w:ascii="Times New Roman" w:hAnsi="Times New Roman" w:cs="Times New Roman"/>
          <w:sz w:val="20"/>
          <w:szCs w:val="20"/>
          <w:lang w:bidi="ar-EG"/>
        </w:rPr>
        <w:lastRenderedPageBreak/>
        <w:t>value=0.024).</w:t>
      </w:r>
      <w:r w:rsidR="00134943" w:rsidRPr="00D846C4">
        <w:rPr>
          <w:rFonts w:ascii="Times New Roman" w:hAnsi="Times New Roman" w:cs="Times New Roman"/>
          <w:sz w:val="20"/>
          <w:szCs w:val="20"/>
          <w:lang w:bidi="ar-EG"/>
        </w:rPr>
        <w:t xml:space="preserve"> We also detected a strong positive correlation between EZ and Avg P1+P2 amplitude with P value &lt;0.001.</w:t>
      </w:r>
      <w:r w:rsidR="0076316A" w:rsidRPr="00D846C4">
        <w:rPr>
          <w:rFonts w:ascii="Times New Roman" w:hAnsi="Times New Roman" w:cs="Times New Roman"/>
          <w:sz w:val="20"/>
          <w:szCs w:val="20"/>
          <w:lang w:bidi="ar-EG"/>
        </w:rPr>
        <w:t xml:space="preserve"> No correlation was detected between P1 amplitude or P1 implicit time with EZ in this study</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b/>
          <w:bCs/>
          <w:sz w:val="20"/>
          <w:szCs w:val="20"/>
          <w:lang w:bidi="ar-EG"/>
        </w:rPr>
        <w:t>W</w:t>
      </w:r>
      <w:r w:rsidR="0076316A" w:rsidRPr="00D846C4">
        <w:rPr>
          <w:rFonts w:ascii="Times New Roman" w:hAnsi="Times New Roman" w:cs="Times New Roman"/>
          <w:b/>
          <w:bCs/>
          <w:sz w:val="20"/>
          <w:szCs w:val="20"/>
          <w:lang w:bidi="ar-EG"/>
        </w:rPr>
        <w:t>u et al (2013)</w:t>
      </w:r>
      <w:r w:rsidR="0076316A" w:rsidRPr="00D846C4">
        <w:rPr>
          <w:rFonts w:ascii="Times New Roman" w:hAnsi="Times New Roman" w:cs="Times New Roman"/>
          <w:sz w:val="20"/>
          <w:szCs w:val="20"/>
          <w:lang w:bidi="ar-EG"/>
        </w:rPr>
        <w:t xml:space="preserve"> results was partially matching with our findings. They detected that The relative intensity of the EZ</w:t>
      </w:r>
      <w:r w:rsidR="00D846C4" w:rsidRPr="00D846C4">
        <w:rPr>
          <w:rFonts w:ascii="Times New Roman" w:hAnsi="Times New Roman" w:cs="Times New Roman"/>
          <w:sz w:val="20"/>
          <w:szCs w:val="20"/>
          <w:lang w:bidi="ar-EG"/>
        </w:rPr>
        <w:t xml:space="preserve"> </w:t>
      </w:r>
      <w:r w:rsidR="0076316A" w:rsidRPr="00D846C4">
        <w:rPr>
          <w:rFonts w:ascii="Times New Roman" w:hAnsi="Times New Roman" w:cs="Times New Roman"/>
          <w:sz w:val="20"/>
          <w:szCs w:val="20"/>
          <w:lang w:bidi="ar-EG"/>
        </w:rPr>
        <w:t>was correlated significantly with the mfERG P1 implicit time (r = -0.745, P &lt; 0.001)</w:t>
      </w:r>
      <w:r w:rsidR="00FD57AB" w:rsidRPr="00FD57AB">
        <w:rPr>
          <w:rFonts w:ascii="Times New Roman" w:hAnsi="Times New Roman" w:cs="Times New Roman"/>
          <w:sz w:val="20"/>
          <w:szCs w:val="20"/>
          <w:vertAlign w:val="superscript"/>
          <w:lang w:bidi="ar-EG"/>
        </w:rPr>
        <w:fldChar w:fldCharType="begin">
          <w:fldData xml:space="preserve">PEVuZE5vdGU+PENpdGU+PEF1dGhvcj5XdTwvQXV0aG9yPjxZZWFyPjIwMTM8L1llYXI+PFJlY051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</w:fldData>
        </w:fldChar>
      </w:r>
      <w:r w:rsidR="0076316A" w:rsidRPr="00D846C4">
        <w:rPr>
          <w:rFonts w:ascii="Times New Roman" w:hAnsi="Times New Roman" w:cs="Times New Roman"/>
          <w:sz w:val="20"/>
          <w:szCs w:val="20"/>
          <w:vertAlign w:val="superscript"/>
          <w:lang w:bidi="ar-EG"/>
        </w:rPr>
        <w:instrText xml:space="preserve"> ADDIN EN.CITE </w:instrText>
      </w:r>
      <w:r w:rsidR="00FD57AB" w:rsidRPr="00FD57AB">
        <w:rPr>
          <w:rFonts w:ascii="Times New Roman" w:hAnsi="Times New Roman" w:cs="Times New Roman"/>
          <w:sz w:val="20"/>
          <w:szCs w:val="20"/>
          <w:vertAlign w:val="superscript"/>
          <w:lang w:bidi="ar-EG"/>
        </w:rPr>
        <w:fldChar w:fldCharType="begin">
          <w:fldData xml:space="preserve">PEVuZE5vdGU+PENpdGU+PEF1dGhvcj5XdTwvQXV0aG9yPjxZZWFyPjIwMTM8L1llYXI+PFJlY051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</w:fldData>
        </w:fldChar>
      </w:r>
      <w:r w:rsidR="0076316A" w:rsidRPr="00D846C4">
        <w:rPr>
          <w:rFonts w:ascii="Times New Roman" w:hAnsi="Times New Roman" w:cs="Times New Roman"/>
          <w:sz w:val="20"/>
          <w:szCs w:val="20"/>
          <w:vertAlign w:val="superscript"/>
          <w:lang w:bidi="ar-EG"/>
        </w:rPr>
        <w:instrText xml:space="preserve"> ADDIN EN.CITE.DATA </w:instrText>
      </w:r>
      <w:r w:rsidR="00FD57AB" w:rsidRPr="00D846C4">
        <w:rPr>
          <w:rFonts w:ascii="Times New Roman" w:hAnsi="Times New Roman" w:cs="Times New Roman"/>
          <w:sz w:val="20"/>
          <w:szCs w:val="20"/>
          <w:lang w:bidi="ar-EG"/>
        </w:rPr>
      </w:r>
      <w:r w:rsidR="00FD57AB" w:rsidRPr="00D846C4">
        <w:rPr>
          <w:rFonts w:ascii="Times New Roman" w:hAnsi="Times New Roman" w:cs="Times New Roman"/>
          <w:sz w:val="20"/>
          <w:szCs w:val="20"/>
          <w:lang w:bidi="ar-EG"/>
        </w:rPr>
        <w:fldChar w:fldCharType="end"/>
      </w:r>
      <w:r w:rsidR="00FD57AB" w:rsidRPr="00FD57AB">
        <w:rPr>
          <w:rFonts w:ascii="Times New Roman" w:hAnsi="Times New Roman" w:cs="Times New Roman"/>
          <w:sz w:val="20"/>
          <w:szCs w:val="20"/>
          <w:vertAlign w:val="superscript"/>
          <w:lang w:bidi="ar-EG"/>
        </w:rPr>
      </w:r>
      <w:r w:rsidR="00FD57AB" w:rsidRPr="00FD57AB">
        <w:rPr>
          <w:rFonts w:ascii="Times New Roman" w:hAnsi="Times New Roman" w:cs="Times New Roman"/>
          <w:sz w:val="20"/>
          <w:szCs w:val="20"/>
          <w:vertAlign w:val="superscript"/>
          <w:lang w:bidi="ar-EG"/>
        </w:rPr>
        <w:fldChar w:fldCharType="separate"/>
      </w:r>
      <w:r w:rsidR="0076316A" w:rsidRPr="00D846C4">
        <w:rPr>
          <w:rFonts w:ascii="Times New Roman" w:hAnsi="Times New Roman" w:cs="Times New Roman"/>
          <w:sz w:val="20"/>
          <w:szCs w:val="20"/>
          <w:vertAlign w:val="superscript"/>
          <w:lang w:bidi="ar-EG"/>
        </w:rPr>
        <w:t>(</w:t>
      </w:r>
      <w:r w:rsidR="008C6264" w:rsidRPr="00D846C4">
        <w:rPr>
          <w:rFonts w:ascii="Times New Roman" w:hAnsi="Times New Roman" w:cs="Times New Roman"/>
          <w:sz w:val="20"/>
          <w:szCs w:val="20"/>
          <w:vertAlign w:val="superscript"/>
          <w:lang w:bidi="ar-EG"/>
        </w:rPr>
        <w:t>17</w:t>
      </w:r>
      <w:r w:rsidR="0076316A" w:rsidRPr="00D846C4">
        <w:rPr>
          <w:rFonts w:ascii="Times New Roman" w:hAnsi="Times New Roman" w:cs="Times New Roman"/>
          <w:sz w:val="20"/>
          <w:szCs w:val="20"/>
          <w:vertAlign w:val="superscript"/>
          <w:lang w:bidi="ar-EG"/>
        </w:rPr>
        <w:t>)</w:t>
      </w:r>
      <w:r w:rsidR="00FD57AB" w:rsidRPr="00D846C4">
        <w:rPr>
          <w:rFonts w:ascii="Times New Roman" w:hAnsi="Times New Roman" w:cs="Times New Roman"/>
          <w:sz w:val="20"/>
          <w:szCs w:val="20"/>
          <w:lang w:bidi="ar-EG"/>
        </w:rPr>
        <w:fldChar w:fldCharType="end"/>
      </w:r>
      <w:r w:rsidR="0076316A" w:rsidRPr="00D846C4">
        <w:rPr>
          <w:rFonts w:ascii="Times New Roman" w:hAnsi="Times New Roman" w:cs="Times New Roman"/>
          <w:sz w:val="20"/>
          <w:szCs w:val="20"/>
          <w:lang w:bidi="ar-EG"/>
        </w:rPr>
        <w:t>,</w:t>
      </w:r>
      <w:r w:rsidR="00D846C4" w:rsidRPr="00D846C4">
        <w:rPr>
          <w:rFonts w:ascii="Times New Roman" w:hAnsi="Times New Roman" w:cs="Times New Roman"/>
          <w:sz w:val="20"/>
          <w:szCs w:val="20"/>
          <w:lang w:bidi="ar-EG"/>
        </w:rPr>
        <w:t xml:space="preserve"> </w:t>
      </w:r>
      <w:r w:rsidR="0076316A" w:rsidRPr="00D846C4">
        <w:rPr>
          <w:rFonts w:ascii="Times New Roman" w:hAnsi="Times New Roman" w:cs="Times New Roman"/>
          <w:sz w:val="20"/>
          <w:szCs w:val="20"/>
          <w:lang w:bidi="ar-EG"/>
        </w:rPr>
        <w:t>which couldn’t be proved by our findings. While EZ</w:t>
      </w:r>
      <w:r w:rsidR="00D846C4" w:rsidRPr="00D846C4">
        <w:rPr>
          <w:rFonts w:ascii="Times New Roman" w:hAnsi="Times New Roman" w:cs="Times New Roman"/>
          <w:sz w:val="20"/>
          <w:szCs w:val="20"/>
          <w:lang w:bidi="ar-EG"/>
        </w:rPr>
        <w:t xml:space="preserve"> </w:t>
      </w:r>
      <w:r w:rsidR="0076316A" w:rsidRPr="00D846C4">
        <w:rPr>
          <w:rFonts w:ascii="Times New Roman" w:hAnsi="Times New Roman" w:cs="Times New Roman"/>
          <w:sz w:val="20"/>
          <w:szCs w:val="20"/>
          <w:lang w:bidi="ar-EG"/>
        </w:rPr>
        <w:t>didn’t correlate with P1 amplitude (r = 0.144, P = 0.281) which is similar to current study results</w:t>
      </w:r>
      <w:r w:rsidR="004F1448" w:rsidRPr="00D846C4">
        <w:rPr>
          <w:rFonts w:ascii="Times New Roman" w:hAnsi="Times New Roman" w:cs="Times New Roman"/>
          <w:sz w:val="20"/>
          <w:szCs w:val="20"/>
          <w:lang w:bidi="ar-EG"/>
        </w:rPr>
        <w:t>.</w:t>
      </w:r>
      <w:r w:rsidR="004F1448">
        <w:rPr>
          <w:rFonts w:ascii="Times New Roman" w:hAnsi="Times New Roman" w:cs="Times New Roman"/>
          <w:sz w:val="20"/>
          <w:szCs w:val="20"/>
          <w:lang w:bidi="ar-EG"/>
        </w:rPr>
        <w:t xml:space="preserve"> </w:t>
      </w:r>
      <w:r w:rsidR="004F1448" w:rsidRPr="00D846C4">
        <w:rPr>
          <w:rFonts w:ascii="Times New Roman" w:hAnsi="Times New Roman" w:cs="Times New Roman"/>
          <w:sz w:val="20"/>
          <w:szCs w:val="20"/>
          <w:lang w:bidi="ar-EG"/>
        </w:rPr>
        <w:t>W</w:t>
      </w:r>
      <w:r w:rsidR="002825D7" w:rsidRPr="00D846C4">
        <w:rPr>
          <w:rFonts w:ascii="Times New Roman" w:hAnsi="Times New Roman" w:cs="Times New Roman"/>
          <w:sz w:val="20"/>
          <w:szCs w:val="20"/>
          <w:lang w:bidi="ar-EG"/>
        </w:rPr>
        <w:t>e acknowledge other limitations of current study. The small number of cases is a major one. Also, assessment of EZ integrity was done subjectively.</w:t>
      </w:r>
      <w:r w:rsidR="00D846C4" w:rsidRPr="00D846C4">
        <w:rPr>
          <w:rFonts w:ascii="Times New Roman" w:hAnsi="Times New Roman" w:cs="Times New Roman"/>
          <w:sz w:val="20"/>
          <w:szCs w:val="20"/>
          <w:lang w:bidi="ar-EG"/>
        </w:rPr>
        <w:t xml:space="preserve"> </w:t>
      </w:r>
      <w:r w:rsidR="002825D7" w:rsidRPr="00D846C4">
        <w:rPr>
          <w:rFonts w:ascii="Times New Roman" w:hAnsi="Times New Roman" w:cs="Times New Roman"/>
          <w:sz w:val="20"/>
          <w:szCs w:val="20"/>
          <w:lang w:bidi="ar-EG"/>
        </w:rPr>
        <w:t>Poor fixation stability in nvAMD cases as a part of nature of disease was also a great obstacle against production of repeatable and reproducible results in mfERG in some cases.</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4E3BA2"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t>Conclusion</w:t>
      </w:r>
    </w:p>
    <w:p w:rsidR="004F1448" w:rsidRDefault="00726CC2" w:rsidP="00DA3DF4">
      <w:pPr>
        <w:snapToGrid w:val="0"/>
        <w:spacing w:after="0" w:line="240" w:lineRule="auto"/>
        <w:ind w:firstLine="425"/>
        <w:jc w:val="both"/>
        <w:rPr>
          <w:rFonts w:ascii="Times New Roman" w:hAnsi="Times New Roman" w:cs="Times New Roman"/>
          <w:sz w:val="20"/>
          <w:szCs w:val="20"/>
          <w:lang w:bidi="ar-EG"/>
        </w:rPr>
      </w:pPr>
      <w:r w:rsidRPr="00D846C4">
        <w:rPr>
          <w:rFonts w:ascii="Times New Roman" w:hAnsi="Times New Roman" w:cs="Times New Roman"/>
          <w:sz w:val="20"/>
          <w:szCs w:val="20"/>
          <w:lang w:bidi="ar-EG"/>
        </w:rPr>
        <w:t>Multifocal electroretinogram is an objective functional test that was found to be correlated with structure assessed by optical coherence tomography and the subjective function in the form of best corrected visual acuity in neovascular age related macular degeneration before and one month after</w:t>
      </w:r>
      <w:r w:rsidR="00D846C4" w:rsidRPr="00D846C4">
        <w:rPr>
          <w:rFonts w:ascii="Times New Roman" w:hAnsi="Times New Roman" w:cs="Times New Roman"/>
          <w:sz w:val="20"/>
          <w:szCs w:val="20"/>
          <w:lang w:bidi="ar-EG"/>
        </w:rPr>
        <w:t xml:space="preserve"> </w:t>
      </w:r>
      <w:r w:rsidRPr="00D846C4">
        <w:rPr>
          <w:rFonts w:ascii="Times New Roman" w:hAnsi="Times New Roman" w:cs="Times New Roman"/>
          <w:sz w:val="20"/>
          <w:szCs w:val="20"/>
          <w:lang w:bidi="ar-EG"/>
        </w:rPr>
        <w:t>three intravitreal injections of Ranibizumab. mfERG has the potential to be used as a follow up tool in nvAMD cases after Ranibizumab injection.</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EA0275"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t>Financial support and sponsorship</w:t>
      </w:r>
    </w:p>
    <w:p w:rsidR="004F1448" w:rsidRDefault="00EA0275" w:rsidP="00DA3DF4">
      <w:pPr>
        <w:snapToGrid w:val="0"/>
        <w:spacing w:after="0" w:line="240" w:lineRule="auto"/>
        <w:ind w:firstLine="425"/>
        <w:jc w:val="both"/>
        <w:rPr>
          <w:rFonts w:ascii="Times New Roman" w:hAnsi="Times New Roman" w:cs="Times New Roman"/>
          <w:sz w:val="20"/>
          <w:szCs w:val="20"/>
        </w:rPr>
      </w:pPr>
      <w:r w:rsidRPr="00D846C4">
        <w:rPr>
          <w:rFonts w:ascii="Times New Roman" w:hAnsi="Times New Roman" w:cs="Times New Roman"/>
          <w:sz w:val="20"/>
          <w:szCs w:val="20"/>
        </w:rPr>
        <w:t xml:space="preserve">Nil </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EA0275"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t xml:space="preserve">Conflicts of interest </w:t>
      </w:r>
    </w:p>
    <w:p w:rsidR="004F1448" w:rsidRDefault="00EA0275" w:rsidP="00DA3DF4">
      <w:pPr>
        <w:snapToGrid w:val="0"/>
        <w:spacing w:after="0" w:line="240" w:lineRule="auto"/>
        <w:ind w:firstLine="425"/>
        <w:jc w:val="both"/>
        <w:rPr>
          <w:rFonts w:ascii="Times New Roman" w:hAnsi="Times New Roman" w:cs="Times New Roman"/>
          <w:b/>
          <w:bCs/>
          <w:sz w:val="20"/>
          <w:szCs w:val="20"/>
        </w:rPr>
      </w:pPr>
      <w:r w:rsidRPr="00D846C4">
        <w:rPr>
          <w:rFonts w:ascii="Times New Roman" w:hAnsi="Times New Roman" w:cs="Times New Roman"/>
          <w:sz w:val="20"/>
          <w:szCs w:val="20"/>
        </w:rPr>
        <w:t xml:space="preserve">There are no conflicts of interest </w:t>
      </w:r>
    </w:p>
    <w:p w:rsidR="004F1448" w:rsidRDefault="004F1448" w:rsidP="00DA3DF4">
      <w:pPr>
        <w:snapToGrid w:val="0"/>
        <w:spacing w:after="0" w:line="240" w:lineRule="auto"/>
        <w:jc w:val="both"/>
        <w:rPr>
          <w:rFonts w:ascii="Times New Roman" w:hAnsi="Times New Roman" w:cs="Times New Roman"/>
          <w:b/>
          <w:bCs/>
          <w:sz w:val="20"/>
          <w:szCs w:val="20"/>
        </w:rPr>
      </w:pPr>
    </w:p>
    <w:p w:rsidR="004F1448" w:rsidRDefault="006A0B64" w:rsidP="00DA3DF4">
      <w:pPr>
        <w:snapToGrid w:val="0"/>
        <w:spacing w:after="0" w:line="240" w:lineRule="auto"/>
        <w:jc w:val="both"/>
        <w:rPr>
          <w:rFonts w:ascii="Times New Roman" w:hAnsi="Times New Roman" w:cs="Times New Roman"/>
          <w:b/>
          <w:bCs/>
          <w:sz w:val="20"/>
          <w:szCs w:val="20"/>
        </w:rPr>
      </w:pPr>
      <w:r w:rsidRPr="00D846C4">
        <w:rPr>
          <w:rFonts w:ascii="Times New Roman" w:hAnsi="Times New Roman" w:cs="Times New Roman"/>
          <w:b/>
          <w:bCs/>
          <w:sz w:val="20"/>
          <w:szCs w:val="20"/>
        </w:rPr>
        <w:t xml:space="preserve">References </w:t>
      </w:r>
    </w:p>
    <w:p w:rsidR="004F1448" w:rsidRDefault="007B32EA" w:rsidP="00DA3DF4">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D846C4">
        <w:rPr>
          <w:rFonts w:ascii="Times New Roman" w:hAnsi="Times New Roman" w:cs="Times New Roman"/>
          <w:sz w:val="20"/>
          <w:szCs w:val="20"/>
        </w:rPr>
        <w:t>Klein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Klein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BEK.</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prevalence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eye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diseases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visual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impairment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current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estimates</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I</w:t>
      </w:r>
      <w:r w:rsidRPr="00D846C4">
        <w:rPr>
          <w:rFonts w:ascii="Times New Roman" w:hAnsi="Times New Roman" w:cs="Times New Roman"/>
          <w:sz w:val="20"/>
          <w:szCs w:val="20"/>
        </w:rPr>
        <w:t>nves</w:t>
      </w:r>
      <w:r w:rsidR="004F1448" w:rsidRPr="00D846C4">
        <w:rPr>
          <w:rFonts w:ascii="Times New Roman" w:hAnsi="Times New Roman" w:cs="Times New Roman"/>
          <w:sz w:val="20"/>
          <w:szCs w:val="20"/>
        </w:rPr>
        <w:t>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O</w:t>
      </w:r>
      <w:r w:rsidRPr="00D846C4">
        <w:rPr>
          <w:rFonts w:ascii="Times New Roman" w:hAnsi="Times New Roman" w:cs="Times New Roman"/>
          <w:sz w:val="20"/>
          <w:szCs w:val="20"/>
        </w:rPr>
        <w:t>phthalmol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Sci</w:t>
      </w:r>
      <w:r w:rsidR="004F1448">
        <w:rPr>
          <w:rFonts w:ascii="Times New Roman" w:hAnsi="Times New Roman" w:cs="Times New Roman" w:hint="eastAsia"/>
          <w:sz w:val="20"/>
          <w:szCs w:val="20"/>
          <w:lang w:eastAsia="zh-CN"/>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2013;54(14)</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O</w:t>
      </w:r>
      <w:r w:rsidRPr="00D846C4">
        <w:rPr>
          <w:rFonts w:ascii="Times New Roman" w:hAnsi="Times New Roman" w:cs="Times New Roman"/>
          <w:sz w:val="20"/>
          <w:szCs w:val="20"/>
        </w:rPr>
        <w:t>RSF5-ORSF1</w:t>
      </w:r>
      <w:r w:rsidR="004F1448" w:rsidRPr="00D846C4">
        <w:rPr>
          <w:rFonts w:ascii="Times New Roman" w:hAnsi="Times New Roman" w:cs="Times New Roman"/>
          <w:sz w:val="20"/>
          <w:szCs w:val="20"/>
        </w:rPr>
        <w:t>3</w:t>
      </w:r>
      <w:r w:rsidR="004F1448">
        <w:rPr>
          <w:rFonts w:ascii="Times New Roman" w:hAnsi="Times New Roman" w:cs="Times New Roman"/>
          <w:sz w:val="20"/>
          <w:szCs w:val="20"/>
        </w:rPr>
        <w:t>.</w:t>
      </w:r>
    </w:p>
    <w:p w:rsidR="004F1448" w:rsidRDefault="006473F8"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lastRenderedPageBreak/>
        <w:t>Gragoudas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Adamis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AP,</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Cunningham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Feinsod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Guyer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Pegaptanib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neovascular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NEJM.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2004;351(27):2805-16.</w:t>
      </w:r>
    </w:p>
    <w:p w:rsidR="004F1448" w:rsidRDefault="008D1672" w:rsidP="00DA3DF4">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D846C4">
        <w:rPr>
          <w:rFonts w:ascii="Times New Roman" w:hAnsi="Times New Roman" w:cs="Times New Roman"/>
          <w:sz w:val="20"/>
          <w:szCs w:val="20"/>
        </w:rPr>
        <w:t>Ferrara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Damico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Shams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Lowman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Kim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Development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ranibizumab,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anti-vascular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endothelial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growth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factor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antigen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binding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fragment,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therapy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neovascular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2006;26(8):859-7</w:t>
      </w:r>
      <w:r w:rsidR="004F1448" w:rsidRPr="00D846C4">
        <w:rPr>
          <w:rFonts w:ascii="Times New Roman" w:hAnsi="Times New Roman" w:cs="Times New Roman"/>
          <w:sz w:val="20"/>
          <w:szCs w:val="20"/>
        </w:rPr>
        <w:t>0</w:t>
      </w:r>
      <w:r w:rsidR="004F1448">
        <w:rPr>
          <w:rFonts w:ascii="Times New Roman" w:hAnsi="Times New Roman" w:cs="Times New Roman"/>
          <w:sz w:val="20"/>
          <w:szCs w:val="20"/>
        </w:rPr>
        <w:t>.</w:t>
      </w:r>
    </w:p>
    <w:p w:rsidR="004F1448" w:rsidRDefault="00FD4836" w:rsidP="00DA3DF4">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D846C4">
        <w:rPr>
          <w:rFonts w:ascii="Times New Roman" w:hAnsi="Times New Roman" w:cs="Times New Roman"/>
          <w:sz w:val="20"/>
          <w:szCs w:val="20"/>
        </w:rPr>
        <w:t>de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Boer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Leitgeb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Wojtkowski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Twenty-five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years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optical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coherence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tomography: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paradigm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shift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sensitivity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speed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provided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Fourier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domain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OCT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[Invited].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Biomedical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Optics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Express.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2017;8(7):3248-8</w:t>
      </w:r>
      <w:r w:rsidR="004F1448" w:rsidRPr="00D846C4">
        <w:rPr>
          <w:rFonts w:ascii="Times New Roman" w:hAnsi="Times New Roman" w:cs="Times New Roman"/>
          <w:sz w:val="20"/>
          <w:szCs w:val="20"/>
        </w:rPr>
        <w:t>0</w:t>
      </w:r>
      <w:r w:rsidR="004F1448">
        <w:rPr>
          <w:rFonts w:ascii="Times New Roman" w:hAnsi="Times New Roman" w:cs="Times New Roman"/>
          <w:sz w:val="20"/>
          <w:szCs w:val="20"/>
        </w:rPr>
        <w:t>.</w:t>
      </w:r>
    </w:p>
    <w:p w:rsidR="004F1448" w:rsidRDefault="00441596" w:rsidP="00DA3DF4">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D846C4">
        <w:rPr>
          <w:rFonts w:ascii="Times New Roman" w:hAnsi="Times New Roman" w:cs="Times New Roman"/>
          <w:sz w:val="20"/>
          <w:szCs w:val="20"/>
        </w:rPr>
        <w:t>Schmidt-Erfurth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U,</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Chong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Loewenstein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Larsen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Souied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Schlingemann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Guidelines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management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neovascular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European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Society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Specialists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(EURETINA).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w:t>
      </w:r>
      <w:r w:rsidR="004F1448">
        <w:rPr>
          <w:rFonts w:ascii="Times New Roman" w:hAnsi="Times New Roman" w:cs="Times New Roman" w:hint="eastAsia"/>
          <w:sz w:val="20"/>
          <w:szCs w:val="20"/>
          <w:lang w:eastAsia="zh-CN"/>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2014;98(9):1144-6</w:t>
      </w:r>
      <w:r w:rsidR="004F1448" w:rsidRPr="00D846C4">
        <w:rPr>
          <w:rFonts w:ascii="Times New Roman" w:hAnsi="Times New Roman" w:cs="Times New Roman"/>
          <w:sz w:val="20"/>
          <w:szCs w:val="20"/>
        </w:rPr>
        <w:t>7</w:t>
      </w:r>
      <w:r w:rsidR="004F1448">
        <w:rPr>
          <w:rFonts w:ascii="Times New Roman" w:hAnsi="Times New Roman" w:cs="Times New Roman"/>
          <w:sz w:val="20"/>
          <w:szCs w:val="20"/>
        </w:rPr>
        <w:t>.</w:t>
      </w:r>
    </w:p>
    <w:p w:rsidR="004F1448" w:rsidRDefault="00ED329D"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Sutter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Tran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field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topography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ERG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components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man--I.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photopic</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luminance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response.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research.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1992;32(3):433-46.</w:t>
      </w:r>
    </w:p>
    <w:p w:rsidR="004F1448" w:rsidRDefault="00C74A2C"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Hood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DC.</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Assessing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function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with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multifocal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technique.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Prog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Eye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2000;19(5):607-46.</w:t>
      </w:r>
    </w:p>
    <w:p w:rsidR="004F1448" w:rsidRDefault="00C74A2C" w:rsidP="00DA3DF4">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D846C4">
        <w:rPr>
          <w:rFonts w:ascii="Times New Roman" w:hAnsi="Times New Roman" w:cs="Times New Roman"/>
          <w:sz w:val="20"/>
          <w:szCs w:val="20"/>
        </w:rPr>
        <w:t>Feigl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Brown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Lovie-Kitchin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Swann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Monitoring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function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early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maculopathy: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visual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performance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after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1</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year.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Eye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(London,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England).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2005;19(11):1169-77.</w:t>
      </w:r>
    </w:p>
    <w:p w:rsidR="004F1448" w:rsidRDefault="0004074B" w:rsidP="00DA3DF4">
      <w:pPr>
        <w:pStyle w:val="ListParagraph"/>
        <w:numPr>
          <w:ilvl w:val="0"/>
          <w:numId w:val="14"/>
        </w:numPr>
        <w:bidi w:val="0"/>
        <w:snapToGrid w:val="0"/>
        <w:spacing w:after="0" w:line="240" w:lineRule="auto"/>
        <w:ind w:left="425" w:hanging="425"/>
        <w:jc w:val="both"/>
        <w:rPr>
          <w:rFonts w:ascii="Times New Roman" w:hAnsi="Times New Roman" w:cs="Times New Roman"/>
          <w:sz w:val="20"/>
          <w:szCs w:val="20"/>
        </w:rPr>
      </w:pPr>
      <w:r w:rsidRPr="00D846C4">
        <w:rPr>
          <w:rFonts w:ascii="Times New Roman" w:hAnsi="Times New Roman" w:cs="Times New Roman"/>
          <w:sz w:val="20"/>
          <w:szCs w:val="20"/>
        </w:rPr>
        <w:t>Schauwvlieghe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AME,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Dijkman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Hooymans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Verbraak</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Hoyng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Dijkgraaf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MGW,</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Comparing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Effectiveness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Bevacizumab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Ranibizumab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Patients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with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Exudative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BRAMD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Study.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PLoS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ONE.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2016;11(5)</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e</w:t>
      </w:r>
      <w:r w:rsidRPr="00D846C4">
        <w:rPr>
          <w:rFonts w:ascii="Times New Roman" w:hAnsi="Times New Roman" w:cs="Times New Roman"/>
          <w:sz w:val="20"/>
          <w:szCs w:val="20"/>
        </w:rPr>
        <w:t>0153052</w:t>
      </w:r>
      <w:r w:rsidR="002D0F5E" w:rsidRPr="00D846C4">
        <w:rPr>
          <w:rFonts w:ascii="Times New Roman" w:hAnsi="Times New Roman" w:cs="Times New Roman"/>
          <w:sz w:val="20"/>
          <w:szCs w:val="20"/>
        </w:rPr>
        <w:t>.</w:t>
      </w:r>
    </w:p>
    <w:p w:rsidR="004F1448" w:rsidRDefault="00B1571B"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Hood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DC,</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Bach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Brigell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Keating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Kondo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Lyons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ISCEV</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standard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clinical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multifocal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electroretinography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(mfERG)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(2011</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edition).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Documenta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Ophthalmologica.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2012;124(1):1-13.</w:t>
      </w:r>
    </w:p>
    <w:p w:rsidR="004F1448" w:rsidRDefault="004B4227"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lastRenderedPageBreak/>
        <w:t>Chhablani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Kim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Freeman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Kozak</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Wang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Cheng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Predictors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visual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outcome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eyes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with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choroidal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neovascularization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secondary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treated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with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intravitreal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bevacizumab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monotherapy.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Int</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J</w:t>
      </w:r>
      <w:r w:rsidRPr="00D846C4">
        <w:rPr>
          <w:rFonts w:ascii="Times New Roman" w:hAnsi="Times New Roman" w:cs="Times New Roman"/>
          <w:sz w:val="20"/>
          <w:szCs w:val="20"/>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w:t>
      </w:r>
      <w:r w:rsidR="004F1448">
        <w:rPr>
          <w:rFonts w:ascii="Times New Roman" w:hAnsi="Times New Roman" w:cs="Times New Roman" w:hint="eastAsia"/>
          <w:sz w:val="20"/>
          <w:szCs w:val="20"/>
          <w:lang w:eastAsia="zh-CN"/>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2013;6(1):62-6.</w:t>
      </w:r>
    </w:p>
    <w:p w:rsidR="004F1448" w:rsidRDefault="00D828A1"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Landa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Su</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Garcia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Seiple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Rosen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Inner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segment-outer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segment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junctional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layer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integrity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corresponding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sensitivity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dry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forms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2011;31(2):364-70.</w:t>
      </w:r>
    </w:p>
    <w:p w:rsidR="004F1448" w:rsidRDefault="006F11BB"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Coscas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Coscas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Lupidi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Dirani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Srour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Semoun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Restoration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Outer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Layers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After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Aflibercept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Therapy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Exudative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AMD: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Prognostic</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Value</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I</w:t>
      </w:r>
      <w:r w:rsidRPr="00D846C4">
        <w:rPr>
          <w:rFonts w:ascii="Times New Roman" w:hAnsi="Times New Roman" w:cs="Times New Roman"/>
          <w:sz w:val="20"/>
          <w:szCs w:val="20"/>
        </w:rPr>
        <w:t>nvest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Sci</w:t>
      </w:r>
      <w:r w:rsidR="004F1448">
        <w:rPr>
          <w:rFonts w:ascii="Times New Roman" w:hAnsi="Times New Roman" w:cs="Times New Roman" w:hint="eastAsia"/>
          <w:sz w:val="20"/>
          <w:szCs w:val="20"/>
          <w:lang w:eastAsia="zh-CN"/>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2015;56(6):4129-34</w:t>
      </w:r>
      <w:r w:rsidR="00961DFE" w:rsidRPr="00D846C4">
        <w:rPr>
          <w:rFonts w:ascii="Times New Roman" w:hAnsi="Times New Roman" w:cs="Times New Roman"/>
          <w:sz w:val="20"/>
          <w:szCs w:val="20"/>
        </w:rPr>
        <w:t>.</w:t>
      </w:r>
    </w:p>
    <w:p w:rsidR="004F1448" w:rsidRDefault="00D765CD"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Campa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Hagan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Sahni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Brown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MC,</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Beare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Heimann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Early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multifocal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electroretinogram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findings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during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intravitreal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ranibizumab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treatment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for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neovascular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I</w:t>
      </w:r>
      <w:r w:rsidRPr="00D846C4">
        <w:rPr>
          <w:rFonts w:ascii="Times New Roman" w:hAnsi="Times New Roman" w:cs="Times New Roman"/>
          <w:sz w:val="20"/>
          <w:szCs w:val="20"/>
        </w:rPr>
        <w:t>nvest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Sci</w:t>
      </w:r>
      <w:r w:rsidR="004F1448">
        <w:rPr>
          <w:rFonts w:ascii="Times New Roman" w:hAnsi="Times New Roman" w:cs="Times New Roman" w:hint="eastAsia"/>
          <w:sz w:val="20"/>
          <w:szCs w:val="20"/>
          <w:lang w:eastAsia="zh-CN"/>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2011;52(6):3446-51.</w:t>
      </w:r>
    </w:p>
    <w:p w:rsidR="004F1448" w:rsidRDefault="00C253FA"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Flores-Moreno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Arias-Barquet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Rubio-Caso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MJ,</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Munoz-Blanco</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Vidal-Marti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Catala-Mora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Structure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versus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function: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correlation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between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outer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choroidal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thicknesses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measured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swept-source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OCT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with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multifocal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electroretinography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visual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acuity.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J</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Retina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Vitreous.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2017;3:29.</w:t>
      </w:r>
    </w:p>
    <w:p w:rsidR="004F1448" w:rsidRDefault="005C6651"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Reinsberg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Hilgers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Lüdeke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Nassar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K,</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Grisanti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Grisanti</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Testing</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clinical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value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multifocal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electroretinography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microperimetry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effects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intravitreal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therapy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with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ranibizumab</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function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course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of</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wet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1-year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prospective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study.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Clinical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ophthalmology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(Auckland,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NZ).</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2017;11:621-9.</w:t>
      </w:r>
    </w:p>
    <w:p w:rsidR="004F1448" w:rsidRDefault="002B28EF" w:rsidP="00DA3DF4">
      <w:pPr>
        <w:pStyle w:val="EndNoteBibliography"/>
        <w:numPr>
          <w:ilvl w:val="0"/>
          <w:numId w:val="14"/>
        </w:numPr>
        <w:snapToGrid w:val="0"/>
        <w:spacing w:after="0"/>
        <w:ind w:left="425" w:hanging="425"/>
        <w:jc w:val="both"/>
        <w:rPr>
          <w:rFonts w:ascii="Times New Roman" w:hAnsi="Times New Roman" w:cs="Times New Roman"/>
          <w:sz w:val="20"/>
          <w:szCs w:val="20"/>
        </w:rPr>
      </w:pPr>
      <w:r w:rsidRPr="00D846C4">
        <w:rPr>
          <w:rFonts w:ascii="Times New Roman" w:hAnsi="Times New Roman" w:cs="Times New Roman"/>
          <w:sz w:val="20"/>
          <w:szCs w:val="20"/>
        </w:rPr>
        <w:t>Wu</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Z,</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Ayton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Guymer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RH,</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Luu</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Relationship</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between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the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second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reflective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band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optical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coherence</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tomography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and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multifocal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electroretinography</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in</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age-related</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macular</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degeneration</w:t>
      </w:r>
      <w:r w:rsidR="004F1448" w:rsidRPr="00D846C4">
        <w:rPr>
          <w:rFonts w:ascii="Times New Roman" w:hAnsi="Times New Roman" w:cs="Times New Roman"/>
          <w:sz w:val="20"/>
          <w:szCs w:val="20"/>
        </w:rPr>
        <w:t>.</w:t>
      </w:r>
      <w:r w:rsidR="004F1448">
        <w:rPr>
          <w:rFonts w:ascii="Times New Roman" w:hAnsi="Times New Roman" w:cs="Times New Roman"/>
          <w:sz w:val="20"/>
          <w:szCs w:val="20"/>
        </w:rPr>
        <w:t xml:space="preserve"> </w:t>
      </w:r>
      <w:r w:rsidR="004F1448" w:rsidRPr="00D846C4">
        <w:rPr>
          <w:rFonts w:ascii="Times New Roman" w:hAnsi="Times New Roman" w:cs="Times New Roman"/>
          <w:sz w:val="20"/>
          <w:szCs w:val="20"/>
        </w:rPr>
        <w:t>I</w:t>
      </w:r>
      <w:r w:rsidRPr="00D846C4">
        <w:rPr>
          <w:rFonts w:ascii="Times New Roman" w:hAnsi="Times New Roman" w:cs="Times New Roman"/>
          <w:sz w:val="20"/>
          <w:szCs w:val="20"/>
        </w:rPr>
        <w:t>nvest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Ophthalmol</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Vis</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Sci</w:t>
      </w:r>
      <w:r w:rsidR="004F1448">
        <w:rPr>
          <w:rFonts w:ascii="Times New Roman" w:hAnsi="Times New Roman" w:cs="Times New Roman" w:hint="eastAsia"/>
          <w:sz w:val="20"/>
          <w:szCs w:val="20"/>
          <w:lang w:eastAsia="zh-CN"/>
        </w:rPr>
        <w:t>.</w:t>
      </w:r>
      <w:r w:rsidR="00D846C4">
        <w:rPr>
          <w:rFonts w:ascii="Times New Roman" w:hAnsi="Times New Roman" w:cs="Times New Roman"/>
          <w:sz w:val="20"/>
          <w:szCs w:val="20"/>
        </w:rPr>
        <w:t xml:space="preserve"> </w:t>
      </w:r>
      <w:r w:rsidRPr="00D846C4">
        <w:rPr>
          <w:rFonts w:ascii="Times New Roman" w:hAnsi="Times New Roman" w:cs="Times New Roman"/>
          <w:sz w:val="20"/>
          <w:szCs w:val="20"/>
        </w:rPr>
        <w:t>2013;54(4):2800-6.</w:t>
      </w:r>
    </w:p>
    <w:p w:rsidR="00072C1F" w:rsidRDefault="00072C1F" w:rsidP="00DA3DF4">
      <w:pPr>
        <w:pStyle w:val="EndNoteBibliography"/>
        <w:snapToGrid w:val="0"/>
        <w:spacing w:after="0"/>
        <w:ind w:left="425" w:hanging="425"/>
        <w:jc w:val="both"/>
        <w:rPr>
          <w:rFonts w:ascii="Times New Roman" w:hAnsi="Times New Roman" w:cs="Times New Roman"/>
          <w:sz w:val="20"/>
          <w:szCs w:val="20"/>
        </w:rPr>
        <w:sectPr w:rsidR="00072C1F" w:rsidSect="00072C1F">
          <w:type w:val="continuous"/>
          <w:pgSz w:w="12240" w:h="15840"/>
          <w:pgMar w:top="1440" w:right="1440" w:bottom="1440" w:left="1440" w:header="720" w:footer="720" w:gutter="0"/>
          <w:cols w:num="2" w:space="550"/>
          <w:rtlGutter/>
          <w:docGrid w:linePitch="360"/>
        </w:sectPr>
      </w:pPr>
    </w:p>
    <w:p w:rsidR="004F1448" w:rsidRDefault="004F1448" w:rsidP="00DA3DF4">
      <w:pPr>
        <w:pStyle w:val="EndNoteBibliography"/>
        <w:snapToGrid w:val="0"/>
        <w:spacing w:after="0"/>
        <w:ind w:left="425" w:hanging="425"/>
        <w:jc w:val="both"/>
        <w:rPr>
          <w:rFonts w:ascii="Times New Roman" w:hAnsi="Times New Roman" w:cs="Times New Roman"/>
          <w:sz w:val="20"/>
          <w:szCs w:val="20"/>
          <w:lang w:eastAsia="zh-CN"/>
        </w:rPr>
      </w:pPr>
    </w:p>
    <w:p w:rsidR="004F1448" w:rsidRDefault="004F1448" w:rsidP="00DA3DF4">
      <w:pPr>
        <w:pStyle w:val="EndNoteBibliography"/>
        <w:snapToGrid w:val="0"/>
        <w:spacing w:after="0"/>
        <w:ind w:left="425" w:hanging="425"/>
        <w:jc w:val="both"/>
        <w:rPr>
          <w:rFonts w:ascii="Times New Roman" w:hAnsi="Times New Roman" w:cs="Times New Roman"/>
          <w:sz w:val="20"/>
          <w:szCs w:val="20"/>
          <w:lang w:eastAsia="zh-CN"/>
        </w:rPr>
      </w:pPr>
    </w:p>
    <w:p w:rsidR="004F1448" w:rsidRDefault="004F1448" w:rsidP="00DA3DF4">
      <w:pPr>
        <w:snapToGrid w:val="0"/>
        <w:spacing w:after="0" w:line="240" w:lineRule="auto"/>
        <w:ind w:firstLine="425"/>
        <w:jc w:val="both"/>
        <w:rPr>
          <w:rFonts w:ascii="Times New Roman" w:hAnsi="Times New Roman" w:cs="Times New Roman"/>
          <w:sz w:val="20"/>
          <w:szCs w:val="20"/>
        </w:rPr>
      </w:pPr>
    </w:p>
    <w:p w:rsidR="004F1448" w:rsidRDefault="00D846C4" w:rsidP="00072C1F">
      <w:pPr>
        <w:snapToGrid w:val="0"/>
        <w:spacing w:after="0" w:line="240" w:lineRule="auto"/>
        <w:jc w:val="both"/>
        <w:rPr>
          <w:rFonts w:ascii="Times New Roman" w:hAnsi="Times New Roman" w:cs="Times New Roman"/>
          <w:sz w:val="20"/>
          <w:szCs w:val="20"/>
        </w:rPr>
      </w:pPr>
      <w:r w:rsidRPr="00D846C4">
        <w:rPr>
          <w:rFonts w:ascii="Times New Roman" w:hAnsi="Times New Roman" w:cs="Times New Roman"/>
          <w:sz w:val="20"/>
          <w:szCs w:val="20"/>
        </w:rPr>
        <w:t>12/2</w:t>
      </w:r>
      <w:r w:rsidR="00AD0BCC">
        <w:rPr>
          <w:rFonts w:ascii="Times New Roman" w:hAnsi="Times New Roman" w:cs="Times New Roman" w:hint="eastAsia"/>
          <w:sz w:val="20"/>
          <w:szCs w:val="20"/>
          <w:lang w:eastAsia="zh-CN"/>
        </w:rPr>
        <w:t>5</w:t>
      </w:r>
      <w:r w:rsidRPr="00D846C4">
        <w:rPr>
          <w:rFonts w:ascii="Times New Roman" w:hAnsi="Times New Roman" w:cs="Times New Roman"/>
          <w:sz w:val="20"/>
          <w:szCs w:val="20"/>
        </w:rPr>
        <w:t>/2019</w:t>
      </w:r>
    </w:p>
    <w:p w:rsidR="009F5026" w:rsidRPr="00D846C4" w:rsidRDefault="009F5026" w:rsidP="00072C1F">
      <w:pPr>
        <w:snapToGrid w:val="0"/>
        <w:spacing w:after="0" w:line="240" w:lineRule="auto"/>
        <w:jc w:val="both"/>
        <w:rPr>
          <w:rFonts w:ascii="Times New Roman" w:hAnsi="Times New Roman" w:cs="Times New Roman"/>
          <w:sz w:val="20"/>
          <w:szCs w:val="20"/>
        </w:rPr>
      </w:pPr>
    </w:p>
    <w:sectPr w:rsidR="009F5026" w:rsidRPr="00D846C4" w:rsidSect="00D846C4">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68" w:rsidRDefault="00FB4868" w:rsidP="004311D8">
      <w:pPr>
        <w:spacing w:after="0" w:line="240" w:lineRule="auto"/>
      </w:pPr>
      <w:r>
        <w:separator/>
      </w:r>
    </w:p>
  </w:endnote>
  <w:endnote w:type="continuationSeparator" w:id="0">
    <w:p w:rsidR="00FB4868" w:rsidRDefault="00FB4868" w:rsidP="00431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F4" w:rsidRPr="00DA3DF4" w:rsidRDefault="00FD57AB" w:rsidP="00DA3DF4">
    <w:pPr>
      <w:spacing w:after="0" w:line="240" w:lineRule="auto"/>
      <w:jc w:val="center"/>
      <w:rPr>
        <w:rFonts w:ascii="Times New Roman" w:hAnsi="Times New Roman" w:cs="Times New Roman"/>
        <w:sz w:val="20"/>
      </w:rPr>
    </w:pPr>
    <w:r w:rsidRPr="00DA3DF4">
      <w:rPr>
        <w:rFonts w:ascii="Times New Roman" w:hAnsi="Times New Roman" w:cs="Times New Roman"/>
        <w:sz w:val="20"/>
      </w:rPr>
      <w:fldChar w:fldCharType="begin"/>
    </w:r>
    <w:r w:rsidR="00DA3DF4" w:rsidRPr="00DA3DF4">
      <w:rPr>
        <w:rFonts w:ascii="Times New Roman" w:hAnsi="Times New Roman" w:cs="Times New Roman"/>
        <w:sz w:val="20"/>
      </w:rPr>
      <w:instrText xml:space="preserve"> page </w:instrText>
    </w:r>
    <w:r w:rsidRPr="00DA3DF4">
      <w:rPr>
        <w:rFonts w:ascii="Times New Roman" w:hAnsi="Times New Roman" w:cs="Times New Roman"/>
        <w:sz w:val="20"/>
      </w:rPr>
      <w:fldChar w:fldCharType="separate"/>
    </w:r>
    <w:r w:rsidR="00800669">
      <w:rPr>
        <w:rFonts w:ascii="Times New Roman" w:hAnsi="Times New Roman" w:cs="Times New Roman"/>
        <w:noProof/>
        <w:sz w:val="20"/>
      </w:rPr>
      <w:t>78</w:t>
    </w:r>
    <w:r w:rsidRPr="00DA3DF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68" w:rsidRDefault="00FB4868" w:rsidP="004311D8">
      <w:pPr>
        <w:spacing w:after="0" w:line="240" w:lineRule="auto"/>
      </w:pPr>
      <w:r>
        <w:separator/>
      </w:r>
    </w:p>
  </w:footnote>
  <w:footnote w:type="continuationSeparator" w:id="0">
    <w:p w:rsidR="00FB4868" w:rsidRDefault="00FB4868" w:rsidP="004311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F4" w:rsidRPr="00F02740" w:rsidRDefault="00F02740" w:rsidP="00F02740">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740" w:rsidRPr="00DA3DF4" w:rsidRDefault="00F02740" w:rsidP="00DA3DF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A3DF4">
      <w:rPr>
        <w:rFonts w:ascii="Times New Roman" w:hAnsi="Times New Roman" w:cs="Times New Roman" w:hint="eastAsia"/>
        <w:sz w:val="20"/>
        <w:szCs w:val="20"/>
      </w:rPr>
      <w:tab/>
    </w:r>
    <w:r w:rsidRPr="00DA3DF4">
      <w:rPr>
        <w:rFonts w:ascii="Times New Roman" w:hAnsi="Times New Roman" w:cs="Times New Roman"/>
        <w:sz w:val="20"/>
        <w:szCs w:val="20"/>
      </w:rPr>
      <w:t>New York Science Journal 20</w:t>
    </w:r>
    <w:r w:rsidRPr="00DA3DF4">
      <w:rPr>
        <w:rFonts w:ascii="Times New Roman" w:hAnsi="Times New Roman" w:cs="Times New Roman" w:hint="eastAsia"/>
        <w:sz w:val="20"/>
        <w:szCs w:val="20"/>
      </w:rPr>
      <w:t>20</w:t>
    </w:r>
    <w:r w:rsidRPr="00DA3DF4">
      <w:rPr>
        <w:rFonts w:ascii="Times New Roman" w:hAnsi="Times New Roman" w:cs="Times New Roman"/>
        <w:sz w:val="20"/>
        <w:szCs w:val="20"/>
      </w:rPr>
      <w:t>;</w:t>
    </w:r>
    <w:r w:rsidRPr="00DA3DF4">
      <w:rPr>
        <w:rFonts w:ascii="Times New Roman" w:hAnsi="Times New Roman" w:cs="Times New Roman" w:hint="eastAsia"/>
        <w:sz w:val="20"/>
        <w:szCs w:val="20"/>
      </w:rPr>
      <w:t>13</w:t>
    </w:r>
    <w:r w:rsidRPr="00DA3DF4">
      <w:rPr>
        <w:rFonts w:ascii="Times New Roman" w:hAnsi="Times New Roman" w:cs="Times New Roman"/>
        <w:sz w:val="20"/>
        <w:szCs w:val="20"/>
      </w:rPr>
      <w:t>(</w:t>
    </w:r>
    <w:r w:rsidRPr="00DA3DF4">
      <w:rPr>
        <w:rFonts w:ascii="Times New Roman" w:hAnsi="Times New Roman" w:cs="Times New Roman" w:hint="eastAsia"/>
        <w:sz w:val="20"/>
        <w:szCs w:val="20"/>
      </w:rPr>
      <w:t>1</w:t>
    </w:r>
    <w:r w:rsidRPr="00DA3DF4">
      <w:rPr>
        <w:rFonts w:ascii="Times New Roman" w:hAnsi="Times New Roman" w:cs="Times New Roman"/>
        <w:sz w:val="20"/>
        <w:szCs w:val="20"/>
      </w:rPr>
      <w:t>)</w:t>
    </w:r>
    <w:r w:rsidRPr="00DA3DF4">
      <w:rPr>
        <w:rFonts w:ascii="Times New Roman" w:hAnsi="Times New Roman" w:cs="Times New Roman"/>
        <w:iCs/>
        <w:sz w:val="20"/>
        <w:szCs w:val="20"/>
      </w:rPr>
      <w:t xml:space="preserve"> </w:t>
    </w:r>
    <w:r w:rsidRPr="00DA3DF4">
      <w:rPr>
        <w:rFonts w:ascii="Times New Roman" w:hAnsi="Times New Roman" w:cs="Times New Roman" w:hint="eastAsia"/>
        <w:iCs/>
        <w:sz w:val="20"/>
        <w:szCs w:val="20"/>
      </w:rPr>
      <w:tab/>
    </w:r>
    <w:r w:rsidRPr="00DA3DF4">
      <w:rPr>
        <w:rFonts w:ascii="Times New Roman" w:hAnsi="Times New Roman" w:cs="Times New Roman"/>
        <w:iCs/>
        <w:sz w:val="20"/>
        <w:szCs w:val="20"/>
      </w:rPr>
      <w:t xml:space="preserve">  </w:t>
    </w:r>
    <w:hyperlink r:id="rId1" w:history="1">
      <w:r w:rsidRPr="00DA3DF4">
        <w:rPr>
          <w:rStyle w:val="Hyperlink"/>
          <w:rFonts w:ascii="Times New Roman" w:hAnsi="Times New Roman" w:cs="Times New Roman"/>
          <w:color w:val="0000FF"/>
          <w:sz w:val="20"/>
          <w:szCs w:val="20"/>
        </w:rPr>
        <w:t>http://www.sciencepub.net/newyork</w:t>
      </w:r>
    </w:hyperlink>
    <w:r w:rsidRPr="00DA3DF4">
      <w:rPr>
        <w:rFonts w:ascii="Times New Roman" w:hAnsi="Times New Roman" w:cs="Times New Roman" w:hint="eastAsia"/>
        <w:sz w:val="20"/>
      </w:rPr>
      <w:t xml:space="preserve">   </w:t>
    </w:r>
    <w:r w:rsidRPr="00DA3DF4">
      <w:rPr>
        <w:rFonts w:ascii="Times New Roman" w:hAnsi="Times New Roman" w:cs="Times New Roman" w:hint="eastAsia"/>
        <w:b/>
        <w:i/>
        <w:color w:val="FF0000"/>
        <w:sz w:val="20"/>
        <w:szCs w:val="20"/>
        <w:bdr w:val="single" w:sz="4" w:space="0" w:color="FF0000"/>
      </w:rPr>
      <w:t>NYJ</w:t>
    </w:r>
  </w:p>
  <w:p w:rsidR="00F02740" w:rsidRPr="00DA3DF4" w:rsidRDefault="00F02740" w:rsidP="00DA3DF4">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2DC9"/>
    <w:multiLevelType w:val="hybridMultilevel"/>
    <w:tmpl w:val="260C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02FB6"/>
    <w:multiLevelType w:val="hybridMultilevel"/>
    <w:tmpl w:val="E55E05F8"/>
    <w:lvl w:ilvl="0" w:tplc="C53E761E">
      <w:start w:val="1"/>
      <w:numFmt w:val="upperLetter"/>
      <w:lvlText w:val="%1-"/>
      <w:lvlJc w:val="left"/>
      <w:pPr>
        <w:ind w:left="1380" w:hanging="435"/>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0EE21FBA"/>
    <w:multiLevelType w:val="hybridMultilevel"/>
    <w:tmpl w:val="487C23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D098B"/>
    <w:multiLevelType w:val="hybridMultilevel"/>
    <w:tmpl w:val="2586CAC0"/>
    <w:lvl w:ilvl="0" w:tplc="C890F53A">
      <w:start w:val="1"/>
      <w:numFmt w:val="decimal"/>
      <w:lvlText w:val="%1."/>
      <w:lvlJc w:val="left"/>
      <w:pPr>
        <w:ind w:left="720" w:hanging="360"/>
      </w:pPr>
      <w:rPr>
        <w:rFonts w:asciiTheme="majorBidi" w:hAnsiTheme="majorBidi" w:cstheme="majorBid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7167F"/>
    <w:multiLevelType w:val="hybridMultilevel"/>
    <w:tmpl w:val="679C4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23EE1"/>
    <w:multiLevelType w:val="hybridMultilevel"/>
    <w:tmpl w:val="2554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564EB"/>
    <w:multiLevelType w:val="hybridMultilevel"/>
    <w:tmpl w:val="E79A9BAE"/>
    <w:lvl w:ilvl="0" w:tplc="DAE2C028">
      <w:start w:val="1"/>
      <w:numFmt w:val="decimal"/>
      <w:lvlText w:val="%1."/>
      <w:lvlJc w:val="left"/>
      <w:pPr>
        <w:ind w:left="720" w:hanging="360"/>
      </w:pPr>
      <w:rPr>
        <w:rFonts w:asciiTheme="majorBidi" w:hAnsiTheme="majorBidi" w:cstheme="majorBidi"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14657"/>
    <w:multiLevelType w:val="hybridMultilevel"/>
    <w:tmpl w:val="8EA4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863F1"/>
    <w:multiLevelType w:val="hybridMultilevel"/>
    <w:tmpl w:val="4E628F54"/>
    <w:lvl w:ilvl="0" w:tplc="ACFE0C68">
      <w:start w:val="2"/>
      <w:numFmt w:val="bullet"/>
      <w:lvlText w:val=""/>
      <w:lvlJc w:val="left"/>
      <w:pPr>
        <w:ind w:left="502" w:hanging="360"/>
      </w:pPr>
      <w:rPr>
        <w:rFonts w:ascii="Symbol" w:eastAsiaTheme="minorHAnsi" w:hAnsi="Symbol" w:cstheme="majorBid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5B006496"/>
    <w:multiLevelType w:val="hybridMultilevel"/>
    <w:tmpl w:val="8C9EF8CC"/>
    <w:lvl w:ilvl="0" w:tplc="04090005">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0">
    <w:nsid w:val="61652B24"/>
    <w:multiLevelType w:val="hybridMultilevel"/>
    <w:tmpl w:val="8766E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5469EC"/>
    <w:multiLevelType w:val="hybridMultilevel"/>
    <w:tmpl w:val="88A2507A"/>
    <w:lvl w:ilvl="0" w:tplc="9BCEA14C">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2">
    <w:nsid w:val="6F6C5604"/>
    <w:multiLevelType w:val="hybridMultilevel"/>
    <w:tmpl w:val="45DECB7E"/>
    <w:lvl w:ilvl="0" w:tplc="3904BECC">
      <w:start w:val="1"/>
      <w:numFmt w:val="decimal"/>
      <w:lvlText w:val="%1-"/>
      <w:lvlJc w:val="left"/>
      <w:pPr>
        <w:ind w:left="1222" w:hanging="360"/>
      </w:pPr>
      <w:rPr>
        <w:rFonts w:hint="default"/>
        <w:b/>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3">
    <w:nsid w:val="7E6374D4"/>
    <w:multiLevelType w:val="hybridMultilevel"/>
    <w:tmpl w:val="5276F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1"/>
  </w:num>
  <w:num w:numId="5">
    <w:abstractNumId w:val="2"/>
  </w:num>
  <w:num w:numId="6">
    <w:abstractNumId w:val="12"/>
  </w:num>
  <w:num w:numId="7">
    <w:abstractNumId w:val="11"/>
  </w:num>
  <w:num w:numId="8">
    <w:abstractNumId w:val="9"/>
  </w:num>
  <w:num w:numId="9">
    <w:abstractNumId w:val="6"/>
  </w:num>
  <w:num w:numId="10">
    <w:abstractNumId w:val="10"/>
  </w:num>
  <w:num w:numId="11">
    <w:abstractNumId w:val="0"/>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5B2170"/>
    <w:rsid w:val="00006A91"/>
    <w:rsid w:val="000231FC"/>
    <w:rsid w:val="000244B6"/>
    <w:rsid w:val="000254D4"/>
    <w:rsid w:val="000348AD"/>
    <w:rsid w:val="00037BD1"/>
    <w:rsid w:val="00037BDB"/>
    <w:rsid w:val="0004074B"/>
    <w:rsid w:val="000434D4"/>
    <w:rsid w:val="0004665A"/>
    <w:rsid w:val="00052FFB"/>
    <w:rsid w:val="000537CA"/>
    <w:rsid w:val="00060E51"/>
    <w:rsid w:val="00062315"/>
    <w:rsid w:val="00062DC2"/>
    <w:rsid w:val="00072C1F"/>
    <w:rsid w:val="00074240"/>
    <w:rsid w:val="000801E8"/>
    <w:rsid w:val="0008248A"/>
    <w:rsid w:val="00084A50"/>
    <w:rsid w:val="00090DA5"/>
    <w:rsid w:val="000941D5"/>
    <w:rsid w:val="000945CE"/>
    <w:rsid w:val="000A0638"/>
    <w:rsid w:val="000A63E3"/>
    <w:rsid w:val="000B33F1"/>
    <w:rsid w:val="000B4F64"/>
    <w:rsid w:val="000C09EE"/>
    <w:rsid w:val="000C483D"/>
    <w:rsid w:val="000C5462"/>
    <w:rsid w:val="000D07E0"/>
    <w:rsid w:val="000D3868"/>
    <w:rsid w:val="000D4EE4"/>
    <w:rsid w:val="000D6B71"/>
    <w:rsid w:val="000D783B"/>
    <w:rsid w:val="000E1077"/>
    <w:rsid w:val="000E7648"/>
    <w:rsid w:val="000F1AD3"/>
    <w:rsid w:val="00110211"/>
    <w:rsid w:val="00120EAC"/>
    <w:rsid w:val="00120FA6"/>
    <w:rsid w:val="00127BC9"/>
    <w:rsid w:val="00133371"/>
    <w:rsid w:val="00134943"/>
    <w:rsid w:val="00147075"/>
    <w:rsid w:val="00147C50"/>
    <w:rsid w:val="001508A0"/>
    <w:rsid w:val="00156763"/>
    <w:rsid w:val="0016124F"/>
    <w:rsid w:val="00162A62"/>
    <w:rsid w:val="00164207"/>
    <w:rsid w:val="001737C4"/>
    <w:rsid w:val="001774A6"/>
    <w:rsid w:val="00190BBE"/>
    <w:rsid w:val="00192BC1"/>
    <w:rsid w:val="001A2817"/>
    <w:rsid w:val="001A2FC9"/>
    <w:rsid w:val="001A3BF0"/>
    <w:rsid w:val="001A423F"/>
    <w:rsid w:val="001B7B5A"/>
    <w:rsid w:val="001C0681"/>
    <w:rsid w:val="001C5A91"/>
    <w:rsid w:val="001C6FE6"/>
    <w:rsid w:val="001D42DF"/>
    <w:rsid w:val="001D4DFF"/>
    <w:rsid w:val="001D74CD"/>
    <w:rsid w:val="001E0EDB"/>
    <w:rsid w:val="001E4F2B"/>
    <w:rsid w:val="001E77AB"/>
    <w:rsid w:val="001F2E65"/>
    <w:rsid w:val="00200936"/>
    <w:rsid w:val="00207940"/>
    <w:rsid w:val="002101F6"/>
    <w:rsid w:val="00213B19"/>
    <w:rsid w:val="00216F8C"/>
    <w:rsid w:val="00222042"/>
    <w:rsid w:val="00227E1B"/>
    <w:rsid w:val="0023292A"/>
    <w:rsid w:val="00232AD5"/>
    <w:rsid w:val="00242BD8"/>
    <w:rsid w:val="00247CB8"/>
    <w:rsid w:val="0026368D"/>
    <w:rsid w:val="00266BF3"/>
    <w:rsid w:val="00267D67"/>
    <w:rsid w:val="00271F0F"/>
    <w:rsid w:val="00277A88"/>
    <w:rsid w:val="002825D7"/>
    <w:rsid w:val="00285893"/>
    <w:rsid w:val="00286D0F"/>
    <w:rsid w:val="00291EE6"/>
    <w:rsid w:val="002A2A33"/>
    <w:rsid w:val="002A4123"/>
    <w:rsid w:val="002A4B3A"/>
    <w:rsid w:val="002B26A5"/>
    <w:rsid w:val="002B28EF"/>
    <w:rsid w:val="002C14E3"/>
    <w:rsid w:val="002C1F7F"/>
    <w:rsid w:val="002C5EDD"/>
    <w:rsid w:val="002C7F45"/>
    <w:rsid w:val="002D0F5E"/>
    <w:rsid w:val="002D2191"/>
    <w:rsid w:val="002D2B6C"/>
    <w:rsid w:val="002E350E"/>
    <w:rsid w:val="002E539C"/>
    <w:rsid w:val="002E7F8F"/>
    <w:rsid w:val="002F0C10"/>
    <w:rsid w:val="002F1888"/>
    <w:rsid w:val="002F2BE3"/>
    <w:rsid w:val="00313B56"/>
    <w:rsid w:val="003245F5"/>
    <w:rsid w:val="00326289"/>
    <w:rsid w:val="00327D24"/>
    <w:rsid w:val="0033023F"/>
    <w:rsid w:val="00335877"/>
    <w:rsid w:val="0033705D"/>
    <w:rsid w:val="0034287C"/>
    <w:rsid w:val="00352840"/>
    <w:rsid w:val="0035581C"/>
    <w:rsid w:val="0036021F"/>
    <w:rsid w:val="003618FF"/>
    <w:rsid w:val="00364C2E"/>
    <w:rsid w:val="00372930"/>
    <w:rsid w:val="00381B5E"/>
    <w:rsid w:val="00383A08"/>
    <w:rsid w:val="00393083"/>
    <w:rsid w:val="00396A6B"/>
    <w:rsid w:val="003A09E9"/>
    <w:rsid w:val="003A7B36"/>
    <w:rsid w:val="003B08C6"/>
    <w:rsid w:val="003B41AE"/>
    <w:rsid w:val="003B6ADE"/>
    <w:rsid w:val="003C2499"/>
    <w:rsid w:val="003C3077"/>
    <w:rsid w:val="003C3532"/>
    <w:rsid w:val="003C78E8"/>
    <w:rsid w:val="003D30B0"/>
    <w:rsid w:val="003D35E0"/>
    <w:rsid w:val="003D50A0"/>
    <w:rsid w:val="003D5CE6"/>
    <w:rsid w:val="003D6E42"/>
    <w:rsid w:val="003E2DCA"/>
    <w:rsid w:val="003E4965"/>
    <w:rsid w:val="003F0712"/>
    <w:rsid w:val="003F2AA7"/>
    <w:rsid w:val="003F7705"/>
    <w:rsid w:val="003F78CA"/>
    <w:rsid w:val="00400AB5"/>
    <w:rsid w:val="004037FD"/>
    <w:rsid w:val="0040517D"/>
    <w:rsid w:val="00410EC0"/>
    <w:rsid w:val="00414042"/>
    <w:rsid w:val="00414F8B"/>
    <w:rsid w:val="004311D8"/>
    <w:rsid w:val="0043446C"/>
    <w:rsid w:val="004357A1"/>
    <w:rsid w:val="00435A2C"/>
    <w:rsid w:val="004400AC"/>
    <w:rsid w:val="00441596"/>
    <w:rsid w:val="004523E8"/>
    <w:rsid w:val="004547AA"/>
    <w:rsid w:val="00464AC6"/>
    <w:rsid w:val="0047138B"/>
    <w:rsid w:val="004758B1"/>
    <w:rsid w:val="004758F5"/>
    <w:rsid w:val="0047639D"/>
    <w:rsid w:val="004836FE"/>
    <w:rsid w:val="004874AF"/>
    <w:rsid w:val="00487590"/>
    <w:rsid w:val="00492586"/>
    <w:rsid w:val="00496BCB"/>
    <w:rsid w:val="00497612"/>
    <w:rsid w:val="004A24F2"/>
    <w:rsid w:val="004B3E5A"/>
    <w:rsid w:val="004B4227"/>
    <w:rsid w:val="004B44C0"/>
    <w:rsid w:val="004B5101"/>
    <w:rsid w:val="004C168D"/>
    <w:rsid w:val="004C5CA4"/>
    <w:rsid w:val="004D570B"/>
    <w:rsid w:val="004E1E0C"/>
    <w:rsid w:val="004E3BA2"/>
    <w:rsid w:val="004E4C66"/>
    <w:rsid w:val="004E7EEB"/>
    <w:rsid w:val="004F1448"/>
    <w:rsid w:val="004F20F9"/>
    <w:rsid w:val="004F3B18"/>
    <w:rsid w:val="004F6033"/>
    <w:rsid w:val="004F7829"/>
    <w:rsid w:val="005147B3"/>
    <w:rsid w:val="005219EE"/>
    <w:rsid w:val="005235C8"/>
    <w:rsid w:val="005258C9"/>
    <w:rsid w:val="0052784C"/>
    <w:rsid w:val="00531434"/>
    <w:rsid w:val="00545508"/>
    <w:rsid w:val="005525EC"/>
    <w:rsid w:val="00555289"/>
    <w:rsid w:val="00555AAF"/>
    <w:rsid w:val="005564B5"/>
    <w:rsid w:val="00556D1D"/>
    <w:rsid w:val="0055715A"/>
    <w:rsid w:val="00564ABF"/>
    <w:rsid w:val="005666E6"/>
    <w:rsid w:val="005709D0"/>
    <w:rsid w:val="005760E5"/>
    <w:rsid w:val="0057632D"/>
    <w:rsid w:val="005767CE"/>
    <w:rsid w:val="005A1EBE"/>
    <w:rsid w:val="005B2170"/>
    <w:rsid w:val="005B2B8F"/>
    <w:rsid w:val="005B413E"/>
    <w:rsid w:val="005B44C7"/>
    <w:rsid w:val="005C2A40"/>
    <w:rsid w:val="005C6651"/>
    <w:rsid w:val="005D7EF5"/>
    <w:rsid w:val="005E49BE"/>
    <w:rsid w:val="005E60CC"/>
    <w:rsid w:val="005F274D"/>
    <w:rsid w:val="005F3DAE"/>
    <w:rsid w:val="005F53D7"/>
    <w:rsid w:val="005F5DA2"/>
    <w:rsid w:val="00600D3E"/>
    <w:rsid w:val="00601DFB"/>
    <w:rsid w:val="006028DB"/>
    <w:rsid w:val="00605CF8"/>
    <w:rsid w:val="006078C3"/>
    <w:rsid w:val="0061426C"/>
    <w:rsid w:val="0061530B"/>
    <w:rsid w:val="00623F4B"/>
    <w:rsid w:val="006250FD"/>
    <w:rsid w:val="00627D56"/>
    <w:rsid w:val="006331D7"/>
    <w:rsid w:val="00637F02"/>
    <w:rsid w:val="00643177"/>
    <w:rsid w:val="006473F8"/>
    <w:rsid w:val="00652AC5"/>
    <w:rsid w:val="00653A7F"/>
    <w:rsid w:val="00656C36"/>
    <w:rsid w:val="006655B7"/>
    <w:rsid w:val="00670C57"/>
    <w:rsid w:val="00677F86"/>
    <w:rsid w:val="0068400D"/>
    <w:rsid w:val="00692EE5"/>
    <w:rsid w:val="00694AE3"/>
    <w:rsid w:val="006A0B64"/>
    <w:rsid w:val="006A6093"/>
    <w:rsid w:val="006B0B8F"/>
    <w:rsid w:val="006B3E09"/>
    <w:rsid w:val="006B57FA"/>
    <w:rsid w:val="006B730B"/>
    <w:rsid w:val="006C2CC3"/>
    <w:rsid w:val="006D38A2"/>
    <w:rsid w:val="006E1801"/>
    <w:rsid w:val="006E53CC"/>
    <w:rsid w:val="006E69BE"/>
    <w:rsid w:val="006F0AE9"/>
    <w:rsid w:val="006F11BB"/>
    <w:rsid w:val="006F6012"/>
    <w:rsid w:val="00700A2F"/>
    <w:rsid w:val="00703C8C"/>
    <w:rsid w:val="00705A5F"/>
    <w:rsid w:val="00726CC2"/>
    <w:rsid w:val="00734EFB"/>
    <w:rsid w:val="00742A63"/>
    <w:rsid w:val="00753314"/>
    <w:rsid w:val="007576EA"/>
    <w:rsid w:val="0076316A"/>
    <w:rsid w:val="00764D60"/>
    <w:rsid w:val="00766C76"/>
    <w:rsid w:val="00767EAE"/>
    <w:rsid w:val="0077145E"/>
    <w:rsid w:val="00772B12"/>
    <w:rsid w:val="00782EBD"/>
    <w:rsid w:val="00783C93"/>
    <w:rsid w:val="00792B19"/>
    <w:rsid w:val="007A3E55"/>
    <w:rsid w:val="007A6890"/>
    <w:rsid w:val="007B0805"/>
    <w:rsid w:val="007B1EFB"/>
    <w:rsid w:val="007B32EA"/>
    <w:rsid w:val="007B4377"/>
    <w:rsid w:val="007B78EE"/>
    <w:rsid w:val="007C13F5"/>
    <w:rsid w:val="007C1A8A"/>
    <w:rsid w:val="007C350E"/>
    <w:rsid w:val="007C41D4"/>
    <w:rsid w:val="007C7461"/>
    <w:rsid w:val="007D19CB"/>
    <w:rsid w:val="007D7925"/>
    <w:rsid w:val="00800669"/>
    <w:rsid w:val="008047B7"/>
    <w:rsid w:val="00804B12"/>
    <w:rsid w:val="00824756"/>
    <w:rsid w:val="008251F4"/>
    <w:rsid w:val="00830D20"/>
    <w:rsid w:val="00833D26"/>
    <w:rsid w:val="008374A3"/>
    <w:rsid w:val="00843641"/>
    <w:rsid w:val="00844215"/>
    <w:rsid w:val="00846BF6"/>
    <w:rsid w:val="00853D80"/>
    <w:rsid w:val="00876E9E"/>
    <w:rsid w:val="00891857"/>
    <w:rsid w:val="008A10AC"/>
    <w:rsid w:val="008A20C5"/>
    <w:rsid w:val="008A3242"/>
    <w:rsid w:val="008A5529"/>
    <w:rsid w:val="008B06D2"/>
    <w:rsid w:val="008B1027"/>
    <w:rsid w:val="008B2898"/>
    <w:rsid w:val="008B4443"/>
    <w:rsid w:val="008B4D6E"/>
    <w:rsid w:val="008B4D91"/>
    <w:rsid w:val="008C107D"/>
    <w:rsid w:val="008C1317"/>
    <w:rsid w:val="008C6264"/>
    <w:rsid w:val="008D0F69"/>
    <w:rsid w:val="008D1672"/>
    <w:rsid w:val="008D1EF7"/>
    <w:rsid w:val="008D33C4"/>
    <w:rsid w:val="008D6A6F"/>
    <w:rsid w:val="008E035F"/>
    <w:rsid w:val="008E3AB9"/>
    <w:rsid w:val="008E5DDA"/>
    <w:rsid w:val="008E6542"/>
    <w:rsid w:val="00901966"/>
    <w:rsid w:val="00917230"/>
    <w:rsid w:val="00921A00"/>
    <w:rsid w:val="00925FF4"/>
    <w:rsid w:val="00926031"/>
    <w:rsid w:val="009344E0"/>
    <w:rsid w:val="00943284"/>
    <w:rsid w:val="0095571F"/>
    <w:rsid w:val="00960314"/>
    <w:rsid w:val="00961DFE"/>
    <w:rsid w:val="0096696A"/>
    <w:rsid w:val="00972B37"/>
    <w:rsid w:val="00974AE5"/>
    <w:rsid w:val="00983A90"/>
    <w:rsid w:val="009912C7"/>
    <w:rsid w:val="009921EA"/>
    <w:rsid w:val="009A1BBC"/>
    <w:rsid w:val="009B20E8"/>
    <w:rsid w:val="009B3773"/>
    <w:rsid w:val="009C7F02"/>
    <w:rsid w:val="009D4D1B"/>
    <w:rsid w:val="009E5501"/>
    <w:rsid w:val="009E7B39"/>
    <w:rsid w:val="009F07E0"/>
    <w:rsid w:val="009F4540"/>
    <w:rsid w:val="009F4E7F"/>
    <w:rsid w:val="009F5026"/>
    <w:rsid w:val="009F76BB"/>
    <w:rsid w:val="00A04799"/>
    <w:rsid w:val="00A05094"/>
    <w:rsid w:val="00A05775"/>
    <w:rsid w:val="00A15630"/>
    <w:rsid w:val="00A17A34"/>
    <w:rsid w:val="00A22C33"/>
    <w:rsid w:val="00A255D7"/>
    <w:rsid w:val="00A3079B"/>
    <w:rsid w:val="00A43F03"/>
    <w:rsid w:val="00A454F5"/>
    <w:rsid w:val="00A45B44"/>
    <w:rsid w:val="00A53910"/>
    <w:rsid w:val="00A57664"/>
    <w:rsid w:val="00A6138A"/>
    <w:rsid w:val="00A67EEA"/>
    <w:rsid w:val="00A723F3"/>
    <w:rsid w:val="00A73F51"/>
    <w:rsid w:val="00A77403"/>
    <w:rsid w:val="00A77914"/>
    <w:rsid w:val="00A8363E"/>
    <w:rsid w:val="00A944C5"/>
    <w:rsid w:val="00A961FC"/>
    <w:rsid w:val="00A970FC"/>
    <w:rsid w:val="00AA1988"/>
    <w:rsid w:val="00AA3D89"/>
    <w:rsid w:val="00AA4AF1"/>
    <w:rsid w:val="00AA6512"/>
    <w:rsid w:val="00AB282D"/>
    <w:rsid w:val="00AB3F74"/>
    <w:rsid w:val="00AB41AC"/>
    <w:rsid w:val="00AC541C"/>
    <w:rsid w:val="00AD0BCC"/>
    <w:rsid w:val="00AD2128"/>
    <w:rsid w:val="00AD5686"/>
    <w:rsid w:val="00AD7FAC"/>
    <w:rsid w:val="00AE3BB4"/>
    <w:rsid w:val="00AE66B1"/>
    <w:rsid w:val="00AF2E40"/>
    <w:rsid w:val="00AF591B"/>
    <w:rsid w:val="00AF5C7F"/>
    <w:rsid w:val="00AF5CFA"/>
    <w:rsid w:val="00AF6E0C"/>
    <w:rsid w:val="00B015E5"/>
    <w:rsid w:val="00B0200A"/>
    <w:rsid w:val="00B023A1"/>
    <w:rsid w:val="00B075E9"/>
    <w:rsid w:val="00B12E98"/>
    <w:rsid w:val="00B14811"/>
    <w:rsid w:val="00B1571B"/>
    <w:rsid w:val="00B20F01"/>
    <w:rsid w:val="00B25C91"/>
    <w:rsid w:val="00B30A9D"/>
    <w:rsid w:val="00B333B5"/>
    <w:rsid w:val="00B338B1"/>
    <w:rsid w:val="00B428CB"/>
    <w:rsid w:val="00B437E0"/>
    <w:rsid w:val="00B45447"/>
    <w:rsid w:val="00B47AEA"/>
    <w:rsid w:val="00B61E9A"/>
    <w:rsid w:val="00B62CDD"/>
    <w:rsid w:val="00B64CFA"/>
    <w:rsid w:val="00B65315"/>
    <w:rsid w:val="00B73E81"/>
    <w:rsid w:val="00B779AA"/>
    <w:rsid w:val="00B8125D"/>
    <w:rsid w:val="00B83738"/>
    <w:rsid w:val="00B91E3A"/>
    <w:rsid w:val="00B967C5"/>
    <w:rsid w:val="00BA2F59"/>
    <w:rsid w:val="00BA401C"/>
    <w:rsid w:val="00BA40A1"/>
    <w:rsid w:val="00BA667F"/>
    <w:rsid w:val="00BB0D72"/>
    <w:rsid w:val="00BB2492"/>
    <w:rsid w:val="00BB49F1"/>
    <w:rsid w:val="00BB782C"/>
    <w:rsid w:val="00BB79CA"/>
    <w:rsid w:val="00BC0483"/>
    <w:rsid w:val="00BC0BDA"/>
    <w:rsid w:val="00BC4196"/>
    <w:rsid w:val="00BC750C"/>
    <w:rsid w:val="00BD21E2"/>
    <w:rsid w:val="00BD2482"/>
    <w:rsid w:val="00BD3130"/>
    <w:rsid w:val="00BD4781"/>
    <w:rsid w:val="00BD5A4F"/>
    <w:rsid w:val="00BD621A"/>
    <w:rsid w:val="00BE178A"/>
    <w:rsid w:val="00BE1DFD"/>
    <w:rsid w:val="00BE5EBC"/>
    <w:rsid w:val="00BF4072"/>
    <w:rsid w:val="00C03B7B"/>
    <w:rsid w:val="00C0460C"/>
    <w:rsid w:val="00C1037F"/>
    <w:rsid w:val="00C1502E"/>
    <w:rsid w:val="00C24CE0"/>
    <w:rsid w:val="00C253FA"/>
    <w:rsid w:val="00C26A70"/>
    <w:rsid w:val="00C27DC2"/>
    <w:rsid w:val="00C3083F"/>
    <w:rsid w:val="00C47B09"/>
    <w:rsid w:val="00C57157"/>
    <w:rsid w:val="00C610E8"/>
    <w:rsid w:val="00C6342D"/>
    <w:rsid w:val="00C64D8A"/>
    <w:rsid w:val="00C66CA5"/>
    <w:rsid w:val="00C67952"/>
    <w:rsid w:val="00C74A2C"/>
    <w:rsid w:val="00C75B4C"/>
    <w:rsid w:val="00C77C56"/>
    <w:rsid w:val="00C91A02"/>
    <w:rsid w:val="00C929F5"/>
    <w:rsid w:val="00CA3676"/>
    <w:rsid w:val="00CA58AB"/>
    <w:rsid w:val="00CB1012"/>
    <w:rsid w:val="00CB149B"/>
    <w:rsid w:val="00CB242E"/>
    <w:rsid w:val="00CB2C64"/>
    <w:rsid w:val="00CB3CC9"/>
    <w:rsid w:val="00CB55A5"/>
    <w:rsid w:val="00CC02AF"/>
    <w:rsid w:val="00CC5681"/>
    <w:rsid w:val="00CC5AC0"/>
    <w:rsid w:val="00CD2329"/>
    <w:rsid w:val="00CE0CDC"/>
    <w:rsid w:val="00CF02E7"/>
    <w:rsid w:val="00CF544E"/>
    <w:rsid w:val="00D02857"/>
    <w:rsid w:val="00D02B28"/>
    <w:rsid w:val="00D04388"/>
    <w:rsid w:val="00D11A94"/>
    <w:rsid w:val="00D17FCD"/>
    <w:rsid w:val="00D23338"/>
    <w:rsid w:val="00D24DF5"/>
    <w:rsid w:val="00D26E56"/>
    <w:rsid w:val="00D351F9"/>
    <w:rsid w:val="00D468AD"/>
    <w:rsid w:val="00D469A0"/>
    <w:rsid w:val="00D47B72"/>
    <w:rsid w:val="00D51770"/>
    <w:rsid w:val="00D63C5F"/>
    <w:rsid w:val="00D65DFF"/>
    <w:rsid w:val="00D71E30"/>
    <w:rsid w:val="00D72625"/>
    <w:rsid w:val="00D72CEF"/>
    <w:rsid w:val="00D72D21"/>
    <w:rsid w:val="00D765CD"/>
    <w:rsid w:val="00D819C5"/>
    <w:rsid w:val="00D828A1"/>
    <w:rsid w:val="00D840D2"/>
    <w:rsid w:val="00D846C4"/>
    <w:rsid w:val="00D8481B"/>
    <w:rsid w:val="00D84D3D"/>
    <w:rsid w:val="00D85A25"/>
    <w:rsid w:val="00D86997"/>
    <w:rsid w:val="00D875AB"/>
    <w:rsid w:val="00D8769A"/>
    <w:rsid w:val="00D903A1"/>
    <w:rsid w:val="00D90890"/>
    <w:rsid w:val="00D920DE"/>
    <w:rsid w:val="00D92258"/>
    <w:rsid w:val="00D96BA7"/>
    <w:rsid w:val="00DA3DF4"/>
    <w:rsid w:val="00DB0210"/>
    <w:rsid w:val="00DB3032"/>
    <w:rsid w:val="00DB32DB"/>
    <w:rsid w:val="00DB5593"/>
    <w:rsid w:val="00DC130E"/>
    <w:rsid w:val="00DC6550"/>
    <w:rsid w:val="00DC690C"/>
    <w:rsid w:val="00DD016F"/>
    <w:rsid w:val="00DD17F2"/>
    <w:rsid w:val="00DE4226"/>
    <w:rsid w:val="00DE5B04"/>
    <w:rsid w:val="00DF16D1"/>
    <w:rsid w:val="00DF1E58"/>
    <w:rsid w:val="00DF457A"/>
    <w:rsid w:val="00DF4A7F"/>
    <w:rsid w:val="00E01DE3"/>
    <w:rsid w:val="00E03A26"/>
    <w:rsid w:val="00E10B60"/>
    <w:rsid w:val="00E11A9E"/>
    <w:rsid w:val="00E149B5"/>
    <w:rsid w:val="00E178A7"/>
    <w:rsid w:val="00E20060"/>
    <w:rsid w:val="00E32EF4"/>
    <w:rsid w:val="00E35BB4"/>
    <w:rsid w:val="00E40096"/>
    <w:rsid w:val="00E4084F"/>
    <w:rsid w:val="00E45BB4"/>
    <w:rsid w:val="00E51D5A"/>
    <w:rsid w:val="00E56B60"/>
    <w:rsid w:val="00E60169"/>
    <w:rsid w:val="00E65A6F"/>
    <w:rsid w:val="00E72DCF"/>
    <w:rsid w:val="00E73EFD"/>
    <w:rsid w:val="00E74A7F"/>
    <w:rsid w:val="00E77D61"/>
    <w:rsid w:val="00E8138B"/>
    <w:rsid w:val="00E84D7C"/>
    <w:rsid w:val="00E91740"/>
    <w:rsid w:val="00E94F01"/>
    <w:rsid w:val="00EA005B"/>
    <w:rsid w:val="00EA0275"/>
    <w:rsid w:val="00EA0799"/>
    <w:rsid w:val="00EA34D8"/>
    <w:rsid w:val="00EA6A80"/>
    <w:rsid w:val="00EB0162"/>
    <w:rsid w:val="00EB2EB3"/>
    <w:rsid w:val="00EB47D1"/>
    <w:rsid w:val="00EB4CFF"/>
    <w:rsid w:val="00EB53BD"/>
    <w:rsid w:val="00EB5BEC"/>
    <w:rsid w:val="00EC2D3B"/>
    <w:rsid w:val="00ED02A2"/>
    <w:rsid w:val="00ED07FB"/>
    <w:rsid w:val="00ED329D"/>
    <w:rsid w:val="00ED47DE"/>
    <w:rsid w:val="00ED67F2"/>
    <w:rsid w:val="00EF1411"/>
    <w:rsid w:val="00F02740"/>
    <w:rsid w:val="00F04CB9"/>
    <w:rsid w:val="00F0528C"/>
    <w:rsid w:val="00F07681"/>
    <w:rsid w:val="00F13F58"/>
    <w:rsid w:val="00F234C2"/>
    <w:rsid w:val="00F3065C"/>
    <w:rsid w:val="00F30E01"/>
    <w:rsid w:val="00F32155"/>
    <w:rsid w:val="00F35303"/>
    <w:rsid w:val="00F36B5C"/>
    <w:rsid w:val="00F36E08"/>
    <w:rsid w:val="00F4025A"/>
    <w:rsid w:val="00F467BF"/>
    <w:rsid w:val="00F467CA"/>
    <w:rsid w:val="00F56B14"/>
    <w:rsid w:val="00F5746F"/>
    <w:rsid w:val="00F605FD"/>
    <w:rsid w:val="00F706BD"/>
    <w:rsid w:val="00F70CA2"/>
    <w:rsid w:val="00F720DC"/>
    <w:rsid w:val="00F81BF5"/>
    <w:rsid w:val="00F843BB"/>
    <w:rsid w:val="00F84998"/>
    <w:rsid w:val="00F92B60"/>
    <w:rsid w:val="00F93F8C"/>
    <w:rsid w:val="00FA7AF9"/>
    <w:rsid w:val="00FB0F78"/>
    <w:rsid w:val="00FB480D"/>
    <w:rsid w:val="00FB4868"/>
    <w:rsid w:val="00FC0E9C"/>
    <w:rsid w:val="00FC60C9"/>
    <w:rsid w:val="00FC78AE"/>
    <w:rsid w:val="00FD4836"/>
    <w:rsid w:val="00FD57AB"/>
    <w:rsid w:val="00FD5F5D"/>
    <w:rsid w:val="00FE08B7"/>
    <w:rsid w:val="00FE6794"/>
    <w:rsid w:val="00FE7950"/>
    <w:rsid w:val="00FF1D60"/>
    <w:rsid w:val="00FF4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B64"/>
    <w:pPr>
      <w:bidi/>
      <w:spacing w:after="200" w:line="276" w:lineRule="auto"/>
      <w:ind w:left="720"/>
      <w:contextualSpacing/>
    </w:pPr>
  </w:style>
  <w:style w:type="paragraph" w:styleId="BalloonText">
    <w:name w:val="Balloon Text"/>
    <w:basedOn w:val="Normal"/>
    <w:link w:val="BalloonTextChar"/>
    <w:uiPriority w:val="99"/>
    <w:semiHidden/>
    <w:unhideWhenUsed/>
    <w:rsid w:val="003C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99"/>
    <w:rPr>
      <w:rFonts w:ascii="Tahoma" w:hAnsi="Tahoma" w:cs="Tahoma"/>
      <w:sz w:val="16"/>
      <w:szCs w:val="16"/>
    </w:rPr>
  </w:style>
  <w:style w:type="paragraph" w:customStyle="1" w:styleId="Default">
    <w:name w:val="Default"/>
    <w:rsid w:val="00A723F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08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083F"/>
  </w:style>
  <w:style w:type="table" w:styleId="TableGrid">
    <w:name w:val="Table Grid"/>
    <w:basedOn w:val="TableNormal"/>
    <w:uiPriority w:val="59"/>
    <w:rsid w:val="00A6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696A"/>
    <w:rPr>
      <w:color w:val="0563C1" w:themeColor="hyperlink"/>
      <w:u w:val="single"/>
    </w:rPr>
  </w:style>
  <w:style w:type="character" w:customStyle="1" w:styleId="apple-style-span">
    <w:name w:val="apple-style-span"/>
    <w:basedOn w:val="DefaultParagraphFont"/>
    <w:rsid w:val="00F84998"/>
  </w:style>
  <w:style w:type="character" w:customStyle="1" w:styleId="EndNoteBibliographyChar">
    <w:name w:val="EndNote Bibliography Char"/>
    <w:basedOn w:val="DefaultParagraphFont"/>
    <w:link w:val="EndNoteBibliography"/>
    <w:locked/>
    <w:rsid w:val="006473F8"/>
    <w:rPr>
      <w:rFonts w:ascii="Calibri" w:hAnsi="Calibri" w:cs="Calibri"/>
      <w:noProof/>
    </w:rPr>
  </w:style>
  <w:style w:type="paragraph" w:customStyle="1" w:styleId="EndNoteBibliography">
    <w:name w:val="EndNote Bibliography"/>
    <w:basedOn w:val="Normal"/>
    <w:link w:val="EndNoteBibliographyChar"/>
    <w:rsid w:val="006473F8"/>
    <w:pPr>
      <w:spacing w:after="200" w:line="240" w:lineRule="auto"/>
    </w:pPr>
    <w:rPr>
      <w:rFonts w:ascii="Calibri" w:hAnsi="Calibri" w:cs="Calibri"/>
      <w:noProof/>
    </w:rPr>
  </w:style>
  <w:style w:type="paragraph" w:styleId="Footer">
    <w:name w:val="footer"/>
    <w:basedOn w:val="Normal"/>
    <w:link w:val="FooterChar"/>
    <w:uiPriority w:val="99"/>
    <w:unhideWhenUsed/>
    <w:rsid w:val="004311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1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B64"/>
    <w:pPr>
      <w:bidi/>
      <w:spacing w:after="200" w:line="276" w:lineRule="auto"/>
      <w:ind w:left="720"/>
      <w:contextualSpacing/>
    </w:pPr>
  </w:style>
  <w:style w:type="paragraph" w:styleId="BalloonText">
    <w:name w:val="Balloon Text"/>
    <w:basedOn w:val="Normal"/>
    <w:link w:val="BalloonTextChar"/>
    <w:uiPriority w:val="99"/>
    <w:semiHidden/>
    <w:unhideWhenUsed/>
    <w:rsid w:val="003C2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499"/>
    <w:rPr>
      <w:rFonts w:ascii="Tahoma" w:hAnsi="Tahoma" w:cs="Tahoma"/>
      <w:sz w:val="16"/>
      <w:szCs w:val="16"/>
    </w:rPr>
  </w:style>
  <w:style w:type="paragraph" w:customStyle="1" w:styleId="Default">
    <w:name w:val="Default"/>
    <w:rsid w:val="00A723F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08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3083F"/>
  </w:style>
  <w:style w:type="table" w:styleId="TableGrid">
    <w:name w:val="Table Grid"/>
    <w:basedOn w:val="TableNormal"/>
    <w:uiPriority w:val="59"/>
    <w:rsid w:val="00A6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696A"/>
    <w:rPr>
      <w:color w:val="0563C1" w:themeColor="hyperlink"/>
      <w:u w:val="single"/>
    </w:rPr>
  </w:style>
  <w:style w:type="character" w:customStyle="1" w:styleId="apple-style-span">
    <w:name w:val="apple-style-span"/>
    <w:basedOn w:val="DefaultParagraphFont"/>
    <w:rsid w:val="00F84998"/>
  </w:style>
  <w:style w:type="character" w:customStyle="1" w:styleId="EndNoteBibliographyChar">
    <w:name w:val="EndNote Bibliography Char"/>
    <w:basedOn w:val="DefaultParagraphFont"/>
    <w:link w:val="EndNoteBibliography"/>
    <w:locked/>
    <w:rsid w:val="006473F8"/>
    <w:rPr>
      <w:rFonts w:ascii="Calibri" w:hAnsi="Calibri" w:cs="Calibri"/>
      <w:noProof/>
    </w:rPr>
  </w:style>
  <w:style w:type="paragraph" w:customStyle="1" w:styleId="EndNoteBibliography">
    <w:name w:val="EndNote Bibliography"/>
    <w:basedOn w:val="Normal"/>
    <w:link w:val="EndNoteBibliographyChar"/>
    <w:rsid w:val="006473F8"/>
    <w:pPr>
      <w:spacing w:after="200" w:line="240" w:lineRule="auto"/>
    </w:pPr>
    <w:rPr>
      <w:rFonts w:ascii="Calibri" w:hAnsi="Calibri" w:cs="Calibri"/>
      <w:noProof/>
    </w:rPr>
  </w:style>
  <w:style w:type="paragraph" w:styleId="Footer">
    <w:name w:val="footer"/>
    <w:basedOn w:val="Normal"/>
    <w:link w:val="FooterChar"/>
    <w:uiPriority w:val="99"/>
    <w:unhideWhenUsed/>
    <w:rsid w:val="004311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11D8"/>
  </w:style>
</w:styles>
</file>

<file path=word/webSettings.xml><?xml version="1.0" encoding="utf-8"?>
<w:webSettings xmlns:r="http://schemas.openxmlformats.org/officeDocument/2006/relationships" xmlns:w="http://schemas.openxmlformats.org/wordprocessingml/2006/main">
  <w:divs>
    <w:div w:id="834613687">
      <w:bodyDiv w:val="1"/>
      <w:marLeft w:val="0"/>
      <w:marRight w:val="0"/>
      <w:marTop w:val="0"/>
      <w:marBottom w:val="0"/>
      <w:divBdr>
        <w:top w:val="none" w:sz="0" w:space="0" w:color="auto"/>
        <w:left w:val="none" w:sz="0" w:space="0" w:color="auto"/>
        <w:bottom w:val="none" w:sz="0" w:space="0" w:color="auto"/>
        <w:right w:val="none" w:sz="0" w:space="0" w:color="auto"/>
      </w:divBdr>
    </w:div>
    <w:div w:id="1033115966">
      <w:bodyDiv w:val="1"/>
      <w:marLeft w:val="0"/>
      <w:marRight w:val="0"/>
      <w:marTop w:val="0"/>
      <w:marBottom w:val="0"/>
      <w:divBdr>
        <w:top w:val="none" w:sz="0" w:space="0" w:color="auto"/>
        <w:left w:val="none" w:sz="0" w:space="0" w:color="auto"/>
        <w:bottom w:val="none" w:sz="0" w:space="0" w:color="auto"/>
        <w:right w:val="none" w:sz="0" w:space="0" w:color="auto"/>
      </w:divBdr>
    </w:div>
    <w:div w:id="12450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120.1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cbi.nlm.nih.gov/pubmed/?term=Reinsberg%20M%5BAuthor%5D&amp;cauthor=true&amp;cauthor_uid=28435212" TargetMode="Externa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4387</Words>
  <Characters>25008</Characters>
  <Application>Microsoft Office Word</Application>
  <DocSecurity>0</DocSecurity>
  <Lines>208</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Jasmine</dc:creator>
  <cp:lastModifiedBy>Administrator</cp:lastModifiedBy>
  <cp:revision>3</cp:revision>
  <dcterms:created xsi:type="dcterms:W3CDTF">2019-12-28T14:27:00Z</dcterms:created>
  <dcterms:modified xsi:type="dcterms:W3CDTF">2019-12-29T06:12:00Z</dcterms:modified>
</cp:coreProperties>
</file>