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CF" w:rsidRPr="00A61A2B" w:rsidRDefault="006E05CF" w:rsidP="006E05CF">
      <w:pPr>
        <w:pStyle w:val="Title"/>
        <w:snapToGrid w:val="0"/>
        <w:spacing w:before="0"/>
        <w:ind w:left="0" w:right="0"/>
        <w:jc w:val="center"/>
        <w:rPr>
          <w:rFonts w:eastAsiaTheme="minorEastAsia"/>
          <w:i w:val="0"/>
          <w:iCs/>
          <w:sz w:val="20"/>
          <w:szCs w:val="20"/>
          <w:lang w:eastAsia="zh-CN"/>
        </w:rPr>
      </w:pPr>
    </w:p>
    <w:p w:rsidR="001A60CC" w:rsidRPr="00A61A2B" w:rsidRDefault="00EB655A" w:rsidP="006E05CF">
      <w:pPr>
        <w:pStyle w:val="Title"/>
        <w:snapToGrid w:val="0"/>
        <w:spacing w:before="0"/>
        <w:ind w:left="0" w:right="0"/>
        <w:jc w:val="center"/>
        <w:rPr>
          <w:i w:val="0"/>
          <w:iCs/>
          <w:sz w:val="20"/>
          <w:szCs w:val="20"/>
        </w:rPr>
      </w:pPr>
      <w:r w:rsidRPr="00A61A2B">
        <w:rPr>
          <w:i w:val="0"/>
          <w:iCs/>
          <w:sz w:val="20"/>
          <w:szCs w:val="20"/>
        </w:rPr>
        <w:t>Ora</w:t>
      </w:r>
      <w:r w:rsidR="006E05CF" w:rsidRPr="00A61A2B">
        <w:rPr>
          <w:i w:val="0"/>
          <w:iCs/>
          <w:sz w:val="20"/>
          <w:szCs w:val="20"/>
        </w:rPr>
        <w:t>l D</w:t>
      </w:r>
      <w:r w:rsidRPr="00A61A2B">
        <w:rPr>
          <w:i w:val="0"/>
          <w:iCs/>
          <w:sz w:val="20"/>
          <w:szCs w:val="20"/>
        </w:rPr>
        <w:t>ydrogesterone</w:t>
      </w:r>
      <w:r w:rsidR="00A61A2B">
        <w:rPr>
          <w:rFonts w:eastAsiaTheme="minorEastAsia" w:hint="eastAsia"/>
          <w:i w:val="0"/>
          <w:iCs/>
          <w:sz w:val="20"/>
          <w:szCs w:val="20"/>
          <w:lang w:eastAsia="zh-CN"/>
        </w:rPr>
        <w:t xml:space="preserve"> </w:t>
      </w:r>
      <w:r w:rsidRPr="00A61A2B">
        <w:rPr>
          <w:i w:val="0"/>
          <w:iCs/>
          <w:sz w:val="20"/>
          <w:szCs w:val="20"/>
        </w:rPr>
        <w:t>versu</w:t>
      </w:r>
      <w:r w:rsidR="006E05CF" w:rsidRPr="00A61A2B">
        <w:rPr>
          <w:i w:val="0"/>
          <w:iCs/>
          <w:sz w:val="20"/>
          <w:szCs w:val="20"/>
        </w:rPr>
        <w:t>s V</w:t>
      </w:r>
      <w:r w:rsidRPr="00A61A2B">
        <w:rPr>
          <w:i w:val="0"/>
          <w:iCs/>
          <w:sz w:val="20"/>
          <w:szCs w:val="20"/>
        </w:rPr>
        <w:t>agina</w:t>
      </w:r>
      <w:r w:rsidR="006E05CF" w:rsidRPr="00A61A2B">
        <w:rPr>
          <w:i w:val="0"/>
          <w:iCs/>
          <w:sz w:val="20"/>
          <w:szCs w:val="20"/>
        </w:rPr>
        <w:t xml:space="preserve">l </w:t>
      </w:r>
      <w:r w:rsidR="00A61A2B" w:rsidRPr="00A61A2B">
        <w:rPr>
          <w:i w:val="0"/>
          <w:iCs/>
          <w:sz w:val="20"/>
          <w:szCs w:val="20"/>
        </w:rPr>
        <w:t>Progesterone in</w:t>
      </w:r>
      <w:r w:rsidR="006E05CF" w:rsidRPr="00A61A2B">
        <w:rPr>
          <w:i w:val="0"/>
          <w:iCs/>
          <w:sz w:val="20"/>
          <w:szCs w:val="20"/>
        </w:rPr>
        <w:t xml:space="preserve"> L</w:t>
      </w:r>
      <w:r w:rsidRPr="00A61A2B">
        <w:rPr>
          <w:i w:val="0"/>
          <w:iCs/>
          <w:sz w:val="20"/>
          <w:szCs w:val="20"/>
        </w:rPr>
        <w:t>utea</w:t>
      </w:r>
      <w:r w:rsidR="006E05CF" w:rsidRPr="00A61A2B">
        <w:rPr>
          <w:i w:val="0"/>
          <w:iCs/>
          <w:sz w:val="20"/>
          <w:szCs w:val="20"/>
        </w:rPr>
        <w:t>l P</w:t>
      </w:r>
      <w:r w:rsidRPr="00A61A2B">
        <w:rPr>
          <w:i w:val="0"/>
          <w:iCs/>
          <w:sz w:val="20"/>
          <w:szCs w:val="20"/>
        </w:rPr>
        <w:t>has</w:t>
      </w:r>
      <w:r w:rsidR="006E05CF" w:rsidRPr="00A61A2B">
        <w:rPr>
          <w:i w:val="0"/>
          <w:iCs/>
          <w:sz w:val="20"/>
          <w:szCs w:val="20"/>
        </w:rPr>
        <w:t>e S</w:t>
      </w:r>
      <w:r w:rsidRPr="00A61A2B">
        <w:rPr>
          <w:i w:val="0"/>
          <w:iCs/>
          <w:sz w:val="20"/>
          <w:szCs w:val="20"/>
        </w:rPr>
        <w:t>upport</w:t>
      </w:r>
      <w:r w:rsidR="00A61A2B" w:rsidRPr="00A61A2B">
        <w:rPr>
          <w:rFonts w:eastAsiaTheme="minorEastAsia" w:hint="eastAsia"/>
          <w:i w:val="0"/>
          <w:iCs/>
          <w:sz w:val="20"/>
          <w:szCs w:val="20"/>
          <w:lang w:eastAsia="zh-CN"/>
        </w:rPr>
        <w:t xml:space="preserve"> </w:t>
      </w:r>
      <w:r w:rsidRPr="00A61A2B">
        <w:rPr>
          <w:i w:val="0"/>
          <w:iCs/>
          <w:sz w:val="20"/>
          <w:szCs w:val="20"/>
        </w:rPr>
        <w:t>in Assisted Reproductiv</w:t>
      </w:r>
      <w:r w:rsidR="006E05CF" w:rsidRPr="00A61A2B">
        <w:rPr>
          <w:i w:val="0"/>
          <w:iCs/>
          <w:sz w:val="20"/>
          <w:szCs w:val="20"/>
        </w:rPr>
        <w:t>e T</w:t>
      </w:r>
      <w:r w:rsidRPr="00A61A2B">
        <w:rPr>
          <w:i w:val="0"/>
          <w:iCs/>
          <w:sz w:val="20"/>
          <w:szCs w:val="20"/>
        </w:rPr>
        <w:t>echnique</w:t>
      </w:r>
    </w:p>
    <w:p w:rsidR="001A60CC" w:rsidRPr="00A61A2B" w:rsidRDefault="001A60CC" w:rsidP="006E05CF">
      <w:pPr>
        <w:pStyle w:val="Title"/>
        <w:snapToGrid w:val="0"/>
        <w:spacing w:before="0"/>
        <w:ind w:left="0" w:right="0"/>
        <w:jc w:val="center"/>
        <w:rPr>
          <w:i w:val="0"/>
          <w:iCs/>
          <w:sz w:val="20"/>
          <w:szCs w:val="20"/>
        </w:rPr>
      </w:pPr>
    </w:p>
    <w:p w:rsidR="001A60CC" w:rsidRPr="00A61A2B" w:rsidRDefault="00EB655A" w:rsidP="006E05CF">
      <w:pPr>
        <w:pStyle w:val="Heading1"/>
        <w:snapToGrid w:val="0"/>
        <w:ind w:left="0"/>
        <w:jc w:val="center"/>
        <w:rPr>
          <w:rFonts w:eastAsiaTheme="minorEastAsia"/>
          <w:b w:val="0"/>
          <w:bCs w:val="0"/>
          <w:iCs/>
          <w:sz w:val="20"/>
          <w:szCs w:val="20"/>
          <w:lang w:eastAsia="zh-CN"/>
        </w:rPr>
      </w:pPr>
      <w:bookmarkStart w:id="0" w:name="_GoBack"/>
      <w:r w:rsidRPr="00A61A2B">
        <w:rPr>
          <w:b w:val="0"/>
          <w:bCs w:val="0"/>
          <w:iCs/>
          <w:sz w:val="20"/>
          <w:szCs w:val="20"/>
        </w:rPr>
        <w:t>Nahl</w:t>
      </w:r>
      <w:r w:rsidR="006E05CF" w:rsidRPr="00A61A2B">
        <w:rPr>
          <w:b w:val="0"/>
          <w:bCs w:val="0"/>
          <w:iCs/>
          <w:sz w:val="20"/>
          <w:szCs w:val="20"/>
        </w:rPr>
        <w:t>a A</w:t>
      </w:r>
      <w:r w:rsidRPr="00A61A2B">
        <w:rPr>
          <w:b w:val="0"/>
          <w:bCs w:val="0"/>
          <w:iCs/>
          <w:sz w:val="20"/>
          <w:szCs w:val="20"/>
        </w:rPr>
        <w:t>bd El Maboud El Behery</w:t>
      </w:r>
      <w:bookmarkEnd w:id="0"/>
      <w:r w:rsidRPr="00A61A2B">
        <w:rPr>
          <w:b w:val="0"/>
          <w:bCs w:val="0"/>
          <w:iCs/>
          <w:sz w:val="20"/>
          <w:szCs w:val="20"/>
        </w:rPr>
        <w:t>*, Ahmed Moha</w:t>
      </w:r>
      <w:r w:rsidR="00FE5D08" w:rsidRPr="00A61A2B">
        <w:rPr>
          <w:b w:val="0"/>
          <w:bCs w:val="0"/>
          <w:iCs/>
          <w:sz w:val="20"/>
          <w:szCs w:val="20"/>
        </w:rPr>
        <w:t>med Othman, Ashraf El Mohammad</w:t>
      </w:r>
      <w:r w:rsidR="006E05CF" w:rsidRPr="00A61A2B">
        <w:rPr>
          <w:b w:val="0"/>
          <w:bCs w:val="0"/>
          <w:iCs/>
          <w:sz w:val="20"/>
          <w:szCs w:val="20"/>
        </w:rPr>
        <w:t>y G</w:t>
      </w:r>
      <w:r w:rsidRPr="00A61A2B">
        <w:rPr>
          <w:b w:val="0"/>
          <w:bCs w:val="0"/>
          <w:iCs/>
          <w:sz w:val="20"/>
          <w:szCs w:val="20"/>
        </w:rPr>
        <w:t>hareeb</w:t>
      </w:r>
    </w:p>
    <w:p w:rsidR="001A60CC" w:rsidRPr="00A61A2B" w:rsidRDefault="001A60CC" w:rsidP="006E05CF">
      <w:pPr>
        <w:pStyle w:val="Heading1"/>
        <w:snapToGrid w:val="0"/>
        <w:ind w:left="0"/>
        <w:jc w:val="center"/>
        <w:rPr>
          <w:rFonts w:eastAsiaTheme="minorEastAsia"/>
          <w:b w:val="0"/>
          <w:bCs w:val="0"/>
          <w:iCs/>
          <w:sz w:val="20"/>
          <w:szCs w:val="20"/>
          <w:lang w:eastAsia="zh-CN"/>
        </w:rPr>
      </w:pPr>
    </w:p>
    <w:p w:rsidR="009A553D" w:rsidRPr="00A61A2B" w:rsidRDefault="00EB655A" w:rsidP="006E05CF">
      <w:pPr>
        <w:pStyle w:val="BodyText"/>
        <w:snapToGrid w:val="0"/>
        <w:jc w:val="center"/>
        <w:rPr>
          <w:iCs/>
          <w:sz w:val="20"/>
          <w:szCs w:val="20"/>
        </w:rPr>
      </w:pPr>
      <w:r w:rsidRPr="00A61A2B">
        <w:rPr>
          <w:iCs/>
          <w:sz w:val="20"/>
          <w:szCs w:val="20"/>
        </w:rPr>
        <w:t>Department of Obstetrics and Gynecology, Tanta University, Tanta, Egypt</w:t>
      </w:r>
    </w:p>
    <w:p w:rsidR="001A60CC" w:rsidRPr="00A61A2B" w:rsidRDefault="00EB655A" w:rsidP="006E05CF">
      <w:pPr>
        <w:pStyle w:val="BodyText"/>
        <w:snapToGrid w:val="0"/>
        <w:jc w:val="center"/>
        <w:rPr>
          <w:iCs/>
          <w:sz w:val="20"/>
          <w:szCs w:val="20"/>
        </w:rPr>
      </w:pPr>
      <w:r w:rsidRPr="00A61A2B">
        <w:rPr>
          <w:iCs/>
          <w:sz w:val="20"/>
          <w:szCs w:val="20"/>
        </w:rPr>
        <w:t>E-</w:t>
      </w:r>
      <w:hyperlink r:id="rId7">
        <w:r w:rsidRPr="00A61A2B">
          <w:rPr>
            <w:iCs/>
            <w:sz w:val="20"/>
            <w:szCs w:val="20"/>
          </w:rPr>
          <w:t xml:space="preserve">mail: </w:t>
        </w:r>
        <w:r w:rsidRPr="00A61A2B">
          <w:rPr>
            <w:iCs/>
            <w:color w:val="000066"/>
            <w:sz w:val="20"/>
            <w:szCs w:val="20"/>
          </w:rPr>
          <w:t>dr_nahoola@yahoo.com</w:t>
        </w:r>
      </w:hyperlink>
    </w:p>
    <w:p w:rsidR="001A60CC" w:rsidRPr="00A61A2B" w:rsidRDefault="001A60CC" w:rsidP="006E05CF">
      <w:pPr>
        <w:pStyle w:val="BodyText"/>
        <w:snapToGrid w:val="0"/>
        <w:jc w:val="center"/>
        <w:rPr>
          <w:iCs/>
          <w:sz w:val="20"/>
          <w:szCs w:val="20"/>
        </w:rPr>
      </w:pPr>
    </w:p>
    <w:p w:rsidR="00FE5D08" w:rsidRPr="00A61A2B" w:rsidRDefault="00FE5D08" w:rsidP="006E05CF">
      <w:pPr>
        <w:pStyle w:val="BodyText"/>
        <w:snapToGrid w:val="0"/>
        <w:jc w:val="both"/>
        <w:rPr>
          <w:iCs/>
          <w:sz w:val="20"/>
          <w:szCs w:val="20"/>
        </w:rPr>
      </w:pPr>
      <w:r w:rsidRPr="00A61A2B">
        <w:rPr>
          <w:b/>
          <w:iCs/>
          <w:sz w:val="20"/>
          <w:szCs w:val="20"/>
        </w:rPr>
        <w:t xml:space="preserve">Abstract: Background: </w:t>
      </w:r>
      <w:r w:rsidRPr="00A61A2B">
        <w:rPr>
          <w:iCs/>
          <w:sz w:val="20"/>
          <w:szCs w:val="20"/>
        </w:rPr>
        <w:t>The aim of this study is to compare oral progesterone (Dydrogesterone) with vaginal progesterone suppository for luteal phase support as regard pregnancy rate in ICSI cycles</w:t>
      </w:r>
      <w:r w:rsidR="006E05CF" w:rsidRPr="00A61A2B">
        <w:rPr>
          <w:iCs/>
          <w:sz w:val="20"/>
          <w:szCs w:val="20"/>
        </w:rPr>
        <w:t xml:space="preserve">. </w:t>
      </w:r>
      <w:r w:rsidR="006E05CF" w:rsidRPr="00A61A2B">
        <w:rPr>
          <w:b/>
          <w:iCs/>
          <w:sz w:val="20"/>
          <w:szCs w:val="20"/>
        </w:rPr>
        <w:t>M</w:t>
      </w:r>
      <w:r w:rsidRPr="00A61A2B">
        <w:rPr>
          <w:b/>
          <w:iCs/>
          <w:sz w:val="20"/>
          <w:szCs w:val="20"/>
        </w:rPr>
        <w:t xml:space="preserve">ethods: </w:t>
      </w:r>
      <w:r w:rsidRPr="00A61A2B">
        <w:rPr>
          <w:iCs/>
          <w:sz w:val="20"/>
          <w:szCs w:val="20"/>
        </w:rPr>
        <w:t xml:space="preserve">This is a prospective, randomized clinical trial conducted on (40) females &lt; 40 years old. with Infertility duration less than 5 years with Regular menstrual cycle attends to inpatients and </w:t>
      </w:r>
      <w:r w:rsidR="00A61A2B" w:rsidRPr="00A61A2B">
        <w:rPr>
          <w:iCs/>
          <w:sz w:val="20"/>
          <w:szCs w:val="20"/>
        </w:rPr>
        <w:t>outpatient’s</w:t>
      </w:r>
      <w:r w:rsidRPr="00A61A2B">
        <w:rPr>
          <w:iCs/>
          <w:sz w:val="20"/>
          <w:szCs w:val="20"/>
        </w:rPr>
        <w:t xml:space="preserve"> clinic of Obstetrics</w:t>
      </w:r>
      <w:r w:rsidR="001A60CC" w:rsidRPr="00A61A2B">
        <w:rPr>
          <w:iCs/>
          <w:sz w:val="20"/>
          <w:szCs w:val="20"/>
        </w:rPr>
        <w:t xml:space="preserve"> &amp; </w:t>
      </w:r>
      <w:r w:rsidRPr="00A61A2B">
        <w:rPr>
          <w:iCs/>
          <w:sz w:val="20"/>
          <w:szCs w:val="20"/>
        </w:rPr>
        <w:t>Gynecology department, Tanta University Hospitals</w:t>
      </w:r>
      <w:r w:rsidR="006E05CF" w:rsidRPr="00A61A2B">
        <w:rPr>
          <w:iCs/>
          <w:sz w:val="20"/>
          <w:szCs w:val="20"/>
        </w:rPr>
        <w:t>. T</w:t>
      </w:r>
      <w:r w:rsidRPr="00A61A2B">
        <w:rPr>
          <w:iCs/>
          <w:sz w:val="20"/>
          <w:szCs w:val="20"/>
        </w:rPr>
        <w:t>wenty patients received 10 mg dydrogesterone tablet (Tonadogest; Techno pharma; Egypt) four times daily and Twenty patients received 400mg vaginal progesterone suppository (Prontogest; Marcyrl; Egypt</w:t>
      </w:r>
      <w:r w:rsidR="006E05CF" w:rsidRPr="00A61A2B">
        <w:rPr>
          <w:iCs/>
          <w:sz w:val="20"/>
          <w:szCs w:val="20"/>
        </w:rPr>
        <w:t>) t</w:t>
      </w:r>
      <w:r w:rsidRPr="00A61A2B">
        <w:rPr>
          <w:iCs/>
          <w:sz w:val="20"/>
          <w:szCs w:val="20"/>
        </w:rPr>
        <w:t>wice daily from the day of oocyte retrieval until a pregnancy test become positive and continue till 10 weeks</w:t>
      </w:r>
      <w:r w:rsidR="006E05CF" w:rsidRPr="00A61A2B">
        <w:rPr>
          <w:iCs/>
          <w:sz w:val="20"/>
          <w:szCs w:val="20"/>
        </w:rPr>
        <w:t xml:space="preserve">. </w:t>
      </w:r>
      <w:r w:rsidR="006E05CF" w:rsidRPr="00A61A2B">
        <w:rPr>
          <w:b/>
          <w:iCs/>
          <w:sz w:val="20"/>
          <w:szCs w:val="20"/>
        </w:rPr>
        <w:t>R</w:t>
      </w:r>
      <w:r w:rsidRPr="00A61A2B">
        <w:rPr>
          <w:b/>
          <w:iCs/>
          <w:sz w:val="20"/>
          <w:szCs w:val="20"/>
        </w:rPr>
        <w:t xml:space="preserve">esults: </w:t>
      </w:r>
      <w:r w:rsidRPr="00A61A2B">
        <w:rPr>
          <w:iCs/>
          <w:sz w:val="20"/>
          <w:szCs w:val="20"/>
        </w:rPr>
        <w:t>No difference between oral dydrogesterone and vaginal progesterone in luteal support of IVF/ICSI stimulated cycles according to pregnancy rate and Oral dydrogesterone show better patient satisfaction</w:t>
      </w:r>
      <w:r w:rsidRPr="00A61A2B">
        <w:rPr>
          <w:b/>
          <w:iCs/>
          <w:sz w:val="20"/>
          <w:szCs w:val="20"/>
        </w:rPr>
        <w:t xml:space="preserve">. Conclusions: </w:t>
      </w:r>
      <w:r w:rsidRPr="00A61A2B">
        <w:rPr>
          <w:iCs/>
          <w:sz w:val="20"/>
          <w:szCs w:val="20"/>
        </w:rPr>
        <w:t>There is potential benefits for pregnancy and miscarriage rate with both drugs</w:t>
      </w:r>
      <w:r w:rsidR="006E05CF" w:rsidRPr="00A61A2B">
        <w:rPr>
          <w:iCs/>
          <w:sz w:val="20"/>
          <w:szCs w:val="20"/>
        </w:rPr>
        <w:t>. o</w:t>
      </w:r>
      <w:r w:rsidRPr="00A61A2B">
        <w:rPr>
          <w:iCs/>
          <w:sz w:val="20"/>
          <w:szCs w:val="20"/>
        </w:rPr>
        <w:t>ral dydrogesterone can be alternative option instead of vaginal progesterone suppository for luteal phase support.</w:t>
      </w:r>
    </w:p>
    <w:p w:rsidR="006E05CF" w:rsidRPr="00A61A2B" w:rsidRDefault="006E05CF" w:rsidP="006E05CF">
      <w:pPr>
        <w:pStyle w:val="Heading1"/>
        <w:snapToGrid w:val="0"/>
        <w:ind w:left="0"/>
        <w:jc w:val="both"/>
        <w:rPr>
          <w:b w:val="0"/>
          <w:iCs/>
          <w:sz w:val="20"/>
          <w:szCs w:val="20"/>
        </w:rPr>
      </w:pPr>
      <w:r w:rsidRPr="00A61A2B">
        <w:rPr>
          <w:sz w:val="20"/>
          <w:szCs w:val="20"/>
        </w:rPr>
        <w:t>[</w:t>
      </w:r>
      <w:r w:rsidRPr="00A61A2B">
        <w:rPr>
          <w:b w:val="0"/>
          <w:bCs w:val="0"/>
          <w:iCs/>
          <w:sz w:val="20"/>
          <w:szCs w:val="20"/>
        </w:rPr>
        <w:t>Nahla Abd El Maboud El Behery, Ahmed Mohamed Othman, Ashraf El Mohammady Ghareeb</w:t>
      </w:r>
      <w:r w:rsidRPr="00A61A2B">
        <w:rPr>
          <w:rFonts w:eastAsiaTheme="minorEastAsia" w:hint="eastAsia"/>
          <w:b w:val="0"/>
          <w:bCs w:val="0"/>
          <w:iCs/>
          <w:sz w:val="20"/>
          <w:szCs w:val="20"/>
          <w:lang w:eastAsia="zh-CN"/>
        </w:rPr>
        <w:t>.</w:t>
      </w:r>
      <w:r w:rsidRPr="00A61A2B">
        <w:rPr>
          <w:rFonts w:eastAsiaTheme="minorEastAsia" w:hint="eastAsia"/>
          <w:sz w:val="20"/>
          <w:szCs w:val="20"/>
          <w:lang w:bidi="fa-IR"/>
        </w:rPr>
        <w:t xml:space="preserve"> </w:t>
      </w:r>
      <w:r w:rsidRPr="00A61A2B">
        <w:rPr>
          <w:iCs/>
          <w:sz w:val="20"/>
          <w:szCs w:val="20"/>
        </w:rPr>
        <w:t>Oral Dydrogesterone</w:t>
      </w:r>
      <w:r w:rsidR="00A61A2B">
        <w:rPr>
          <w:rFonts w:eastAsiaTheme="minorEastAsia" w:hint="eastAsia"/>
          <w:iCs/>
          <w:sz w:val="20"/>
          <w:szCs w:val="20"/>
          <w:lang w:eastAsia="zh-CN"/>
        </w:rPr>
        <w:t xml:space="preserve"> </w:t>
      </w:r>
      <w:r w:rsidRPr="00A61A2B">
        <w:rPr>
          <w:iCs/>
          <w:sz w:val="20"/>
          <w:szCs w:val="20"/>
        </w:rPr>
        <w:t xml:space="preserve">versus Vaginal </w:t>
      </w:r>
      <w:r w:rsidR="00A61A2B" w:rsidRPr="00A61A2B">
        <w:rPr>
          <w:iCs/>
          <w:sz w:val="20"/>
          <w:szCs w:val="20"/>
        </w:rPr>
        <w:t>Progesterone in</w:t>
      </w:r>
      <w:r w:rsidRPr="00A61A2B">
        <w:rPr>
          <w:iCs/>
          <w:sz w:val="20"/>
          <w:szCs w:val="20"/>
        </w:rPr>
        <w:t xml:space="preserve"> Luteal Phase Support</w:t>
      </w:r>
      <w:r w:rsidR="00A61A2B">
        <w:rPr>
          <w:rFonts w:eastAsiaTheme="minorEastAsia" w:hint="eastAsia"/>
          <w:iCs/>
          <w:sz w:val="20"/>
          <w:szCs w:val="20"/>
          <w:lang w:eastAsia="zh-CN"/>
        </w:rPr>
        <w:t xml:space="preserve"> </w:t>
      </w:r>
      <w:r w:rsidRPr="00A61A2B">
        <w:rPr>
          <w:iCs/>
          <w:sz w:val="20"/>
          <w:szCs w:val="20"/>
        </w:rPr>
        <w:t>in Assisted Reproductive Technique</w:t>
      </w:r>
      <w:r w:rsidRPr="00A61A2B">
        <w:rPr>
          <w:sz w:val="20"/>
          <w:szCs w:val="20"/>
          <w:lang w:bidi="fa-IR"/>
        </w:rPr>
        <w:t>.</w:t>
      </w:r>
      <w:r w:rsidRPr="00A61A2B">
        <w:rPr>
          <w:i/>
          <w:sz w:val="20"/>
          <w:szCs w:val="20"/>
        </w:rPr>
        <w:t xml:space="preserve"> </w:t>
      </w:r>
      <w:r w:rsidRPr="00A61A2B">
        <w:rPr>
          <w:b w:val="0"/>
          <w:i/>
          <w:sz w:val="20"/>
          <w:szCs w:val="20"/>
        </w:rPr>
        <w:t>N Y Sci J</w:t>
      </w:r>
      <w:r w:rsidRPr="00A61A2B">
        <w:rPr>
          <w:b w:val="0"/>
          <w:sz w:val="20"/>
          <w:szCs w:val="20"/>
        </w:rPr>
        <w:t xml:space="preserve"> 20</w:t>
      </w:r>
      <w:r w:rsidRPr="00A61A2B">
        <w:rPr>
          <w:rFonts w:hint="eastAsia"/>
          <w:b w:val="0"/>
          <w:sz w:val="20"/>
          <w:szCs w:val="20"/>
        </w:rPr>
        <w:t>20</w:t>
      </w:r>
      <w:r w:rsidRPr="00A61A2B">
        <w:rPr>
          <w:b w:val="0"/>
          <w:sz w:val="20"/>
          <w:szCs w:val="20"/>
        </w:rPr>
        <w:t>;</w:t>
      </w:r>
      <w:r w:rsidRPr="00A61A2B">
        <w:rPr>
          <w:rFonts w:hint="eastAsia"/>
          <w:b w:val="0"/>
          <w:sz w:val="20"/>
          <w:szCs w:val="20"/>
        </w:rPr>
        <w:t>13</w:t>
      </w:r>
      <w:r w:rsidRPr="00A61A2B">
        <w:rPr>
          <w:b w:val="0"/>
          <w:sz w:val="20"/>
          <w:szCs w:val="20"/>
        </w:rPr>
        <w:t>(</w:t>
      </w:r>
      <w:r w:rsidRPr="00A61A2B">
        <w:rPr>
          <w:rFonts w:hint="eastAsia"/>
          <w:b w:val="0"/>
          <w:sz w:val="20"/>
          <w:szCs w:val="20"/>
        </w:rPr>
        <w:t>1</w:t>
      </w:r>
      <w:r w:rsidRPr="00A61A2B">
        <w:rPr>
          <w:b w:val="0"/>
          <w:sz w:val="20"/>
          <w:szCs w:val="20"/>
        </w:rPr>
        <w:t>):</w:t>
      </w:r>
      <w:r w:rsidR="00265181" w:rsidRPr="00A61A2B">
        <w:rPr>
          <w:b w:val="0"/>
          <w:noProof/>
          <w:color w:val="000000"/>
          <w:sz w:val="20"/>
          <w:szCs w:val="20"/>
        </w:rPr>
        <w:t>86-9</w:t>
      </w:r>
      <w:r w:rsidR="00036F85">
        <w:rPr>
          <w:rFonts w:eastAsiaTheme="minorEastAsia" w:hint="eastAsia"/>
          <w:b w:val="0"/>
          <w:noProof/>
          <w:color w:val="000000"/>
          <w:sz w:val="20"/>
          <w:szCs w:val="20"/>
          <w:lang w:eastAsia="zh-CN"/>
        </w:rPr>
        <w:t>2</w:t>
      </w:r>
      <w:r w:rsidRPr="00A61A2B">
        <w:rPr>
          <w:b w:val="0"/>
          <w:sz w:val="20"/>
          <w:szCs w:val="20"/>
        </w:rPr>
        <w:t xml:space="preserve">]. </w:t>
      </w:r>
      <w:r w:rsidRPr="00A61A2B">
        <w:rPr>
          <w:b w:val="0"/>
          <w:iCs/>
          <w:color w:val="000000"/>
          <w:sz w:val="20"/>
          <w:szCs w:val="20"/>
        </w:rPr>
        <w:t>ISSN 1554-0200 (print); ISSN 2375-723X (online)</w:t>
      </w:r>
      <w:r w:rsidRPr="00A61A2B">
        <w:rPr>
          <w:b w:val="0"/>
          <w:sz w:val="20"/>
          <w:szCs w:val="20"/>
        </w:rPr>
        <w:t xml:space="preserve">. </w:t>
      </w:r>
      <w:hyperlink r:id="rId8" w:history="1">
        <w:r w:rsidRPr="00A61A2B">
          <w:rPr>
            <w:rStyle w:val="Hyperlink"/>
            <w:b w:val="0"/>
            <w:color w:val="0000FF"/>
            <w:sz w:val="20"/>
            <w:szCs w:val="20"/>
          </w:rPr>
          <w:t>http://www.sciencepub.net/newyork</w:t>
        </w:r>
      </w:hyperlink>
      <w:r w:rsidRPr="00A61A2B">
        <w:rPr>
          <w:b w:val="0"/>
          <w:sz w:val="20"/>
          <w:szCs w:val="20"/>
        </w:rPr>
        <w:t xml:space="preserve">. </w:t>
      </w:r>
      <w:r w:rsidRPr="00A61A2B">
        <w:rPr>
          <w:rFonts w:eastAsiaTheme="minorEastAsia" w:hint="eastAsia"/>
          <w:b w:val="0"/>
          <w:sz w:val="20"/>
          <w:szCs w:val="20"/>
          <w:lang w:eastAsia="zh-CN"/>
        </w:rPr>
        <w:t>12</w:t>
      </w:r>
      <w:r w:rsidRPr="00A61A2B">
        <w:rPr>
          <w:rFonts w:hint="eastAsia"/>
          <w:b w:val="0"/>
          <w:sz w:val="20"/>
          <w:szCs w:val="20"/>
        </w:rPr>
        <w:t xml:space="preserve">. </w:t>
      </w:r>
      <w:r w:rsidRPr="00A61A2B">
        <w:rPr>
          <w:b w:val="0"/>
          <w:color w:val="000000"/>
          <w:sz w:val="20"/>
          <w:szCs w:val="20"/>
          <w:shd w:val="clear" w:color="auto" w:fill="FFFFFF"/>
        </w:rPr>
        <w:t>doi:</w:t>
      </w:r>
      <w:hyperlink r:id="rId9" w:history="1">
        <w:r w:rsidRPr="00A61A2B">
          <w:rPr>
            <w:rStyle w:val="Hyperlink"/>
            <w:b w:val="0"/>
            <w:color w:val="0000FF"/>
            <w:sz w:val="20"/>
            <w:szCs w:val="20"/>
            <w:shd w:val="clear" w:color="auto" w:fill="FFFFFF"/>
          </w:rPr>
          <w:t>10.7537/mars</w:t>
        </w:r>
        <w:r w:rsidRPr="00A61A2B">
          <w:rPr>
            <w:rStyle w:val="Hyperlink"/>
            <w:rFonts w:hint="eastAsia"/>
            <w:b w:val="0"/>
            <w:color w:val="0000FF"/>
            <w:sz w:val="20"/>
            <w:szCs w:val="20"/>
            <w:shd w:val="clear" w:color="auto" w:fill="FFFFFF"/>
          </w:rPr>
          <w:t>nys130120.</w:t>
        </w:r>
        <w:r w:rsidRPr="00A61A2B">
          <w:rPr>
            <w:rStyle w:val="Hyperlink"/>
            <w:rFonts w:eastAsiaTheme="minorEastAsia" w:hint="eastAsia"/>
            <w:b w:val="0"/>
            <w:color w:val="0000FF"/>
            <w:sz w:val="20"/>
            <w:szCs w:val="20"/>
            <w:shd w:val="clear" w:color="auto" w:fill="FFFFFF"/>
            <w:lang w:eastAsia="zh-CN"/>
          </w:rPr>
          <w:t>12</w:t>
        </w:r>
      </w:hyperlink>
      <w:r w:rsidRPr="00A61A2B">
        <w:rPr>
          <w:b w:val="0"/>
          <w:color w:val="000000"/>
          <w:sz w:val="20"/>
          <w:szCs w:val="20"/>
          <w:shd w:val="clear" w:color="auto" w:fill="FFFFFF"/>
        </w:rPr>
        <w:t>.</w:t>
      </w:r>
    </w:p>
    <w:p w:rsidR="00FE5D08" w:rsidRPr="00A61A2B" w:rsidRDefault="00FE5D08" w:rsidP="006E05CF">
      <w:pPr>
        <w:pStyle w:val="BodyText"/>
        <w:snapToGrid w:val="0"/>
        <w:jc w:val="both"/>
        <w:rPr>
          <w:iCs/>
          <w:sz w:val="20"/>
          <w:szCs w:val="20"/>
        </w:rPr>
      </w:pPr>
    </w:p>
    <w:p w:rsidR="00FE5D08" w:rsidRPr="00A61A2B" w:rsidRDefault="00FE5D08" w:rsidP="006E05CF">
      <w:pPr>
        <w:pStyle w:val="BodyText"/>
        <w:snapToGrid w:val="0"/>
        <w:jc w:val="both"/>
        <w:rPr>
          <w:iCs/>
          <w:sz w:val="20"/>
          <w:szCs w:val="20"/>
        </w:rPr>
      </w:pPr>
      <w:r w:rsidRPr="00A61A2B">
        <w:rPr>
          <w:b/>
          <w:iCs/>
          <w:sz w:val="20"/>
          <w:szCs w:val="20"/>
        </w:rPr>
        <w:t xml:space="preserve">Keywords: </w:t>
      </w:r>
      <w:r w:rsidRPr="00A61A2B">
        <w:rPr>
          <w:iCs/>
          <w:sz w:val="20"/>
          <w:szCs w:val="20"/>
        </w:rPr>
        <w:t>Luteal Phase Support, Oral Dydrogesterone, Vaginal Progesterone, Assisted Reproductive Technique</w:t>
      </w:r>
    </w:p>
    <w:p w:rsidR="009A553D" w:rsidRPr="00A61A2B" w:rsidRDefault="009A553D" w:rsidP="006E05CF">
      <w:pPr>
        <w:pStyle w:val="BodyText"/>
        <w:snapToGrid w:val="0"/>
        <w:ind w:firstLine="425"/>
        <w:jc w:val="both"/>
        <w:rPr>
          <w:iCs/>
          <w:sz w:val="20"/>
          <w:szCs w:val="20"/>
        </w:rPr>
      </w:pPr>
    </w:p>
    <w:p w:rsidR="006E05CF" w:rsidRPr="00A61A2B" w:rsidRDefault="006E05CF" w:rsidP="006E05CF">
      <w:pPr>
        <w:pStyle w:val="Heading1"/>
        <w:snapToGrid w:val="0"/>
        <w:ind w:left="0"/>
        <w:jc w:val="both"/>
        <w:rPr>
          <w:iCs/>
          <w:sz w:val="20"/>
          <w:szCs w:val="20"/>
        </w:rPr>
        <w:sectPr w:rsidR="006E05CF" w:rsidRPr="00A61A2B" w:rsidSect="00265181">
          <w:headerReference w:type="default" r:id="rId10"/>
          <w:footerReference w:type="default" r:id="rId11"/>
          <w:type w:val="continuous"/>
          <w:pgSz w:w="12240" w:h="15840"/>
          <w:pgMar w:top="1440" w:right="1440" w:bottom="1440" w:left="1440" w:header="720" w:footer="720" w:gutter="0"/>
          <w:pgNumType w:start="86"/>
          <w:cols w:space="720"/>
          <w:docGrid w:linePitch="299"/>
        </w:sectPr>
      </w:pPr>
    </w:p>
    <w:p w:rsidR="009A553D" w:rsidRPr="00A61A2B" w:rsidRDefault="007C6D96" w:rsidP="006E05CF">
      <w:pPr>
        <w:pStyle w:val="Heading1"/>
        <w:snapToGrid w:val="0"/>
        <w:ind w:left="0"/>
        <w:jc w:val="both"/>
        <w:rPr>
          <w:iCs/>
          <w:sz w:val="20"/>
          <w:szCs w:val="20"/>
        </w:rPr>
      </w:pPr>
      <w:r w:rsidRPr="00A61A2B">
        <w:rPr>
          <w:iCs/>
          <w:sz w:val="20"/>
          <w:szCs w:val="20"/>
        </w:rPr>
        <w:lastRenderedPageBreak/>
        <w:t xml:space="preserve">1. </w:t>
      </w:r>
      <w:r w:rsidR="00EB655A" w:rsidRPr="00A61A2B">
        <w:rPr>
          <w:iCs/>
          <w:sz w:val="20"/>
          <w:szCs w:val="20"/>
        </w:rPr>
        <w:t>Introduction</w:t>
      </w:r>
    </w:p>
    <w:p w:rsidR="009A553D" w:rsidRPr="00A61A2B" w:rsidRDefault="00EB655A" w:rsidP="006E05CF">
      <w:pPr>
        <w:pStyle w:val="BodyText"/>
        <w:snapToGrid w:val="0"/>
        <w:ind w:firstLine="425"/>
        <w:jc w:val="both"/>
        <w:rPr>
          <w:iCs/>
          <w:sz w:val="20"/>
          <w:szCs w:val="20"/>
        </w:rPr>
      </w:pPr>
      <w:r w:rsidRPr="00A61A2B">
        <w:rPr>
          <w:iCs/>
          <w:sz w:val="20"/>
          <w:szCs w:val="20"/>
        </w:rPr>
        <w:t xml:space="preserve">The corpus luteum plays a vital role in maintaining early pregnancy until the luteal–placental shift at 7–9 weeks of pregnancy. For women undergoing assisted reproductive techniques (ART), it is a common practice to </w:t>
      </w:r>
      <w:r w:rsidR="00A61A2B" w:rsidRPr="00A61A2B">
        <w:rPr>
          <w:iCs/>
          <w:sz w:val="20"/>
          <w:szCs w:val="20"/>
        </w:rPr>
        <w:t>over stimulate</w:t>
      </w:r>
      <w:r w:rsidRPr="00A61A2B">
        <w:rPr>
          <w:iCs/>
          <w:sz w:val="20"/>
          <w:szCs w:val="20"/>
        </w:rPr>
        <w:t xml:space="preserve"> the ovaries to promote the development of multiple follicles </w:t>
      </w:r>
      <w:r w:rsidRPr="00A61A2B">
        <w:rPr>
          <w:iCs/>
          <w:sz w:val="20"/>
          <w:szCs w:val="20"/>
          <w:vertAlign w:val="superscript"/>
        </w:rPr>
        <w:t>(1,2)</w:t>
      </w:r>
      <w:r w:rsidRPr="00A61A2B">
        <w:rPr>
          <w:iCs/>
          <w:sz w:val="20"/>
          <w:szCs w:val="20"/>
        </w:rPr>
        <w:t>.</w:t>
      </w:r>
    </w:p>
    <w:p w:rsidR="009A553D" w:rsidRPr="00A61A2B" w:rsidRDefault="00EB655A" w:rsidP="006E05CF">
      <w:pPr>
        <w:pStyle w:val="BodyText"/>
        <w:snapToGrid w:val="0"/>
        <w:ind w:firstLine="425"/>
        <w:jc w:val="both"/>
        <w:rPr>
          <w:iCs/>
          <w:sz w:val="20"/>
          <w:szCs w:val="20"/>
        </w:rPr>
      </w:pPr>
      <w:r w:rsidRPr="00A61A2B">
        <w:rPr>
          <w:iCs/>
          <w:sz w:val="20"/>
          <w:szCs w:val="20"/>
        </w:rPr>
        <w:t xml:space="preserve">After oocyte aspiration, multiple corpora lutea are formed. However, the supraphysiological estradiol level caused by ovarian stimulation has a negative feedback on the pituitary gland, promoting premature luteolysis and low serum progesterone levels during the luteal phase </w:t>
      </w:r>
      <w:r w:rsidRPr="00A61A2B">
        <w:rPr>
          <w:iCs/>
          <w:sz w:val="20"/>
          <w:szCs w:val="20"/>
          <w:vertAlign w:val="superscript"/>
        </w:rPr>
        <w:t>(2,3)</w:t>
      </w:r>
      <w:r w:rsidRPr="00A61A2B">
        <w:rPr>
          <w:iCs/>
          <w:sz w:val="20"/>
          <w:szCs w:val="20"/>
        </w:rPr>
        <w:t>.</w:t>
      </w:r>
    </w:p>
    <w:p w:rsidR="009A553D" w:rsidRPr="00A61A2B" w:rsidRDefault="00EB655A" w:rsidP="006E05CF">
      <w:pPr>
        <w:pStyle w:val="BodyText"/>
        <w:snapToGrid w:val="0"/>
        <w:ind w:firstLine="425"/>
        <w:jc w:val="both"/>
        <w:rPr>
          <w:iCs/>
          <w:sz w:val="20"/>
          <w:szCs w:val="20"/>
        </w:rPr>
      </w:pPr>
      <w:r w:rsidRPr="00A61A2B">
        <w:rPr>
          <w:iCs/>
          <w:sz w:val="20"/>
          <w:szCs w:val="20"/>
        </w:rPr>
        <w:t xml:space="preserve">There is evidence that luteal-phase support (LPS) with progesterone, human chorionic gonadotropin (HCG) or gonadotropin-releasing hormone (GnRH) agonist improves reproductive outcome in women undergoing ART. As the use of HCG is associated with a higher risk of ovarian hyperstimulation syndrome and GnRH agonist has only been tested in addition to progesterone </w:t>
      </w:r>
      <w:r w:rsidRPr="00A61A2B">
        <w:rPr>
          <w:iCs/>
          <w:sz w:val="20"/>
          <w:szCs w:val="20"/>
          <w:vertAlign w:val="superscript"/>
        </w:rPr>
        <w:t>(1,4)</w:t>
      </w:r>
      <w:r w:rsidRPr="00A61A2B">
        <w:rPr>
          <w:iCs/>
          <w:sz w:val="20"/>
          <w:szCs w:val="20"/>
        </w:rPr>
        <w:t>.</w:t>
      </w:r>
    </w:p>
    <w:p w:rsidR="009A553D" w:rsidRPr="00A61A2B" w:rsidRDefault="00EB655A" w:rsidP="006E05CF">
      <w:pPr>
        <w:pStyle w:val="BodyText"/>
        <w:snapToGrid w:val="0"/>
        <w:ind w:firstLine="425"/>
        <w:jc w:val="both"/>
        <w:rPr>
          <w:iCs/>
          <w:sz w:val="20"/>
          <w:szCs w:val="20"/>
        </w:rPr>
      </w:pPr>
      <w:r w:rsidRPr="00A61A2B">
        <w:rPr>
          <w:iCs/>
          <w:sz w:val="20"/>
          <w:szCs w:val="20"/>
        </w:rPr>
        <w:t xml:space="preserve">Progesterone seems to be the best option for LPS at present. Progesterone can be administered orally, intramuscularly, vaginally or rectally, with similar efficacy for each route of administration </w:t>
      </w:r>
      <w:r w:rsidRPr="00A61A2B">
        <w:rPr>
          <w:iCs/>
          <w:sz w:val="20"/>
          <w:szCs w:val="20"/>
          <w:vertAlign w:val="superscript"/>
        </w:rPr>
        <w:t>(2,5)</w:t>
      </w:r>
      <w:r w:rsidRPr="00A61A2B">
        <w:rPr>
          <w:iCs/>
          <w:sz w:val="20"/>
          <w:szCs w:val="20"/>
        </w:rPr>
        <w:t>.</w:t>
      </w:r>
    </w:p>
    <w:p w:rsidR="009A553D" w:rsidRPr="00A61A2B" w:rsidRDefault="00EB655A" w:rsidP="006E05CF">
      <w:pPr>
        <w:pStyle w:val="BodyText"/>
        <w:snapToGrid w:val="0"/>
        <w:ind w:firstLine="425"/>
        <w:jc w:val="both"/>
        <w:rPr>
          <w:iCs/>
          <w:sz w:val="20"/>
          <w:szCs w:val="20"/>
        </w:rPr>
      </w:pPr>
      <w:r w:rsidRPr="00A61A2B">
        <w:rPr>
          <w:iCs/>
          <w:sz w:val="20"/>
          <w:szCs w:val="20"/>
        </w:rPr>
        <w:t xml:space="preserve">However, Dydrogesterone is an optical isomer of progesterone in which methyl group at carbon 10 is in </w:t>
      </w:r>
      <w:r w:rsidRPr="00A61A2B">
        <w:rPr>
          <w:iCs/>
          <w:sz w:val="20"/>
          <w:szCs w:val="20"/>
        </w:rPr>
        <w:lastRenderedPageBreak/>
        <w:t>the alpha position instead of beta position in natural progesterone. Dydrogesterone is an orally active, highly selective progestogen that is similar to endogenous progesterone, but which has a better bioavailability and hence allows administration of lower doses and avoidance of progestogenic side-effects. In contrast to other available synthetic progestogens, it does not cause androgenic side- effects in the mother (e.g. hirsutism, acne) and has no masculinising effect on the female foetus or feminising effect on the male foetu</w:t>
      </w:r>
      <w:r w:rsidR="001A60CC" w:rsidRPr="00A61A2B">
        <w:rPr>
          <w:iCs/>
          <w:sz w:val="20"/>
          <w:szCs w:val="20"/>
        </w:rPr>
        <w:t xml:space="preserve">s </w:t>
      </w:r>
      <w:r w:rsidR="001A60CC" w:rsidRPr="00A61A2B">
        <w:rPr>
          <w:iCs/>
          <w:sz w:val="20"/>
          <w:szCs w:val="20"/>
          <w:vertAlign w:val="superscript"/>
        </w:rPr>
        <w:t>(</w:t>
      </w:r>
      <w:r w:rsidRPr="00A61A2B">
        <w:rPr>
          <w:iCs/>
          <w:sz w:val="20"/>
          <w:szCs w:val="20"/>
          <w:vertAlign w:val="superscript"/>
        </w:rPr>
        <w:t>6)</w:t>
      </w:r>
    </w:p>
    <w:p w:rsidR="007C6D96" w:rsidRPr="00A61A2B" w:rsidRDefault="007C6D96" w:rsidP="006E05CF">
      <w:pPr>
        <w:pStyle w:val="Heading1"/>
        <w:snapToGrid w:val="0"/>
        <w:ind w:left="0"/>
        <w:jc w:val="both"/>
        <w:rPr>
          <w:iCs/>
          <w:sz w:val="20"/>
          <w:szCs w:val="20"/>
        </w:rPr>
      </w:pPr>
    </w:p>
    <w:p w:rsidR="009A553D" w:rsidRPr="00A61A2B" w:rsidRDefault="007C6D96" w:rsidP="006E05CF">
      <w:pPr>
        <w:pStyle w:val="Heading1"/>
        <w:snapToGrid w:val="0"/>
        <w:ind w:left="0"/>
        <w:jc w:val="both"/>
        <w:rPr>
          <w:iCs/>
          <w:sz w:val="20"/>
          <w:szCs w:val="20"/>
        </w:rPr>
      </w:pPr>
      <w:r w:rsidRPr="00A61A2B">
        <w:rPr>
          <w:iCs/>
          <w:sz w:val="20"/>
          <w:szCs w:val="20"/>
        </w:rPr>
        <w:t>2. Methods</w:t>
      </w:r>
    </w:p>
    <w:p w:rsidR="009A553D" w:rsidRPr="00A61A2B" w:rsidRDefault="00EB655A" w:rsidP="006E05CF">
      <w:pPr>
        <w:pStyle w:val="BodyText"/>
        <w:snapToGrid w:val="0"/>
        <w:ind w:firstLine="425"/>
        <w:jc w:val="both"/>
        <w:rPr>
          <w:iCs/>
          <w:sz w:val="20"/>
          <w:szCs w:val="20"/>
        </w:rPr>
      </w:pPr>
      <w:r w:rsidRPr="00A61A2B">
        <w:rPr>
          <w:iCs/>
          <w:sz w:val="20"/>
          <w:szCs w:val="20"/>
        </w:rPr>
        <w:t xml:space="preserve">This is a prospective, randomized clinical trial conducted on (40) females who attends inpatients and </w:t>
      </w:r>
      <w:r w:rsidR="00A61A2B" w:rsidRPr="00A61A2B">
        <w:rPr>
          <w:iCs/>
          <w:sz w:val="20"/>
          <w:szCs w:val="20"/>
        </w:rPr>
        <w:t>outpatient’s</w:t>
      </w:r>
      <w:r w:rsidRPr="00A61A2B">
        <w:rPr>
          <w:iCs/>
          <w:sz w:val="20"/>
          <w:szCs w:val="20"/>
        </w:rPr>
        <w:t xml:space="preserve"> clinic of Obstetrics</w:t>
      </w:r>
      <w:r w:rsidR="001A60CC" w:rsidRPr="00A61A2B">
        <w:rPr>
          <w:iCs/>
          <w:sz w:val="20"/>
          <w:szCs w:val="20"/>
        </w:rPr>
        <w:t xml:space="preserve"> &amp; </w:t>
      </w:r>
      <w:r w:rsidRPr="00A61A2B">
        <w:rPr>
          <w:iCs/>
          <w:sz w:val="20"/>
          <w:szCs w:val="20"/>
        </w:rPr>
        <w:t>Gynecology department, Tanta University Hospitals from June 2018 till June 2019.</w:t>
      </w:r>
    </w:p>
    <w:p w:rsidR="009A553D" w:rsidRPr="00A61A2B" w:rsidRDefault="00EB655A" w:rsidP="006E05CF">
      <w:pPr>
        <w:pStyle w:val="Heading1"/>
        <w:snapToGrid w:val="0"/>
        <w:ind w:left="0"/>
        <w:jc w:val="both"/>
        <w:rPr>
          <w:iCs/>
          <w:sz w:val="20"/>
          <w:szCs w:val="20"/>
        </w:rPr>
      </w:pPr>
      <w:r w:rsidRPr="00A61A2B">
        <w:rPr>
          <w:iCs/>
          <w:sz w:val="20"/>
          <w:szCs w:val="20"/>
        </w:rPr>
        <w:t>Inclusion criteria:</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Infertility duration less than 5years.</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Maternal age below 40years.</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Normal levels of hormones, normal transvaginals</w:t>
      </w:r>
      <w:r w:rsidR="00A61A2B">
        <w:rPr>
          <w:rFonts w:eastAsiaTheme="minorEastAsia" w:hint="eastAsia"/>
          <w:iCs/>
          <w:sz w:val="20"/>
          <w:szCs w:val="20"/>
          <w:lang w:eastAsia="zh-CN"/>
        </w:rPr>
        <w:t xml:space="preserve"> </w:t>
      </w:r>
      <w:r w:rsidRPr="00A61A2B">
        <w:rPr>
          <w:iCs/>
          <w:sz w:val="20"/>
          <w:szCs w:val="20"/>
        </w:rPr>
        <w:t>onography.</w:t>
      </w:r>
    </w:p>
    <w:p w:rsidR="00265181"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Regular menstrualcycle.</w:t>
      </w:r>
    </w:p>
    <w:p w:rsidR="00265181" w:rsidRPr="00A61A2B" w:rsidRDefault="00265181" w:rsidP="006E05CF">
      <w:pPr>
        <w:pStyle w:val="ListParagraph"/>
        <w:numPr>
          <w:ilvl w:val="0"/>
          <w:numId w:val="7"/>
        </w:numPr>
        <w:snapToGrid w:val="0"/>
        <w:ind w:left="0" w:firstLine="425"/>
        <w:jc w:val="both"/>
        <w:rPr>
          <w:iCs/>
          <w:sz w:val="20"/>
          <w:szCs w:val="20"/>
        </w:rPr>
        <w:sectPr w:rsidR="00265181" w:rsidRPr="00A61A2B" w:rsidSect="006E05CF">
          <w:type w:val="continuous"/>
          <w:pgSz w:w="12240" w:h="15840"/>
          <w:pgMar w:top="1440" w:right="1440" w:bottom="1440" w:left="1440" w:header="720" w:footer="720" w:gutter="0"/>
          <w:cols w:num="2" w:space="550"/>
          <w:docGrid w:linePitch="299"/>
        </w:sectPr>
      </w:pPr>
    </w:p>
    <w:p w:rsidR="009A553D" w:rsidRPr="00A61A2B" w:rsidRDefault="00EB655A" w:rsidP="006E05CF">
      <w:pPr>
        <w:pStyle w:val="Heading1"/>
        <w:snapToGrid w:val="0"/>
        <w:ind w:left="0"/>
        <w:jc w:val="both"/>
        <w:rPr>
          <w:iCs/>
          <w:sz w:val="20"/>
          <w:szCs w:val="20"/>
        </w:rPr>
      </w:pPr>
      <w:r w:rsidRPr="00A61A2B">
        <w:rPr>
          <w:iCs/>
          <w:sz w:val="20"/>
          <w:szCs w:val="20"/>
        </w:rPr>
        <w:lastRenderedPageBreak/>
        <w:t>Exclusion criteria:</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Poor responders (POSEIDON GROUP 4: old patients ≥35years with poor ovarian reserve pre-stimulation parameters AFC&lt;5, AMH &lt;1.2pg/ml).</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High responders (PCOs).</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 xml:space="preserve">Abnormal uterus such as sub-mucosal myoma and </w:t>
      </w:r>
      <w:r w:rsidR="00A61A2B" w:rsidRPr="00A61A2B">
        <w:rPr>
          <w:iCs/>
          <w:sz w:val="20"/>
          <w:szCs w:val="20"/>
        </w:rPr>
        <w:t>endometrial adhesion</w:t>
      </w:r>
      <w:r w:rsidRPr="00A61A2B">
        <w:rPr>
          <w:iCs/>
          <w:sz w:val="20"/>
          <w:szCs w:val="20"/>
        </w:rPr>
        <w:t>.</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Follicle stimulated hormone (FSH) ≥10mlU/ml.</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 xml:space="preserve">Sensitivity to the </w:t>
      </w:r>
      <w:r w:rsidR="00A61A2B" w:rsidRPr="00A61A2B">
        <w:rPr>
          <w:iCs/>
          <w:sz w:val="20"/>
          <w:szCs w:val="20"/>
        </w:rPr>
        <w:t>progesterone products</w:t>
      </w:r>
      <w:r w:rsidRPr="00A61A2B">
        <w:rPr>
          <w:iCs/>
          <w:sz w:val="20"/>
          <w:szCs w:val="20"/>
        </w:rPr>
        <w:t>.</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 xml:space="preserve">History of dysfunctional </w:t>
      </w:r>
      <w:r w:rsidR="00A61A2B" w:rsidRPr="00A61A2B">
        <w:rPr>
          <w:iCs/>
          <w:sz w:val="20"/>
          <w:szCs w:val="20"/>
        </w:rPr>
        <w:t>uterine bleeding</w:t>
      </w:r>
      <w:r w:rsidRPr="00A61A2B">
        <w:rPr>
          <w:iCs/>
          <w:sz w:val="20"/>
          <w:szCs w:val="20"/>
        </w:rPr>
        <w:t>.</w:t>
      </w:r>
    </w:p>
    <w:p w:rsidR="009A553D" w:rsidRPr="00A61A2B" w:rsidRDefault="00EB655A" w:rsidP="006E05CF">
      <w:pPr>
        <w:pStyle w:val="ListParagraph"/>
        <w:numPr>
          <w:ilvl w:val="0"/>
          <w:numId w:val="7"/>
        </w:numPr>
        <w:snapToGrid w:val="0"/>
        <w:ind w:left="0" w:firstLine="425"/>
        <w:jc w:val="both"/>
        <w:rPr>
          <w:iCs/>
          <w:sz w:val="20"/>
          <w:szCs w:val="20"/>
        </w:rPr>
      </w:pPr>
      <w:r w:rsidRPr="00A61A2B">
        <w:rPr>
          <w:iCs/>
          <w:sz w:val="20"/>
          <w:szCs w:val="20"/>
        </w:rPr>
        <w:t>History of recurrent miscarriage (defined as three or more spontaneous miscarriage.</w:t>
      </w:r>
    </w:p>
    <w:p w:rsidR="009A553D" w:rsidRPr="00A61A2B" w:rsidRDefault="00EB655A" w:rsidP="006E05CF">
      <w:pPr>
        <w:pStyle w:val="Heading1"/>
        <w:numPr>
          <w:ilvl w:val="0"/>
          <w:numId w:val="6"/>
        </w:numPr>
        <w:snapToGrid w:val="0"/>
        <w:ind w:left="0" w:firstLine="0"/>
        <w:jc w:val="both"/>
        <w:rPr>
          <w:iCs/>
          <w:sz w:val="20"/>
          <w:szCs w:val="20"/>
        </w:rPr>
      </w:pPr>
      <w:r w:rsidRPr="00A61A2B">
        <w:rPr>
          <w:iCs/>
          <w:sz w:val="20"/>
          <w:szCs w:val="20"/>
        </w:rPr>
        <w:t>Methods:</w:t>
      </w:r>
    </w:p>
    <w:p w:rsidR="009A553D" w:rsidRPr="00A61A2B" w:rsidRDefault="00EB655A" w:rsidP="006E05CF">
      <w:pPr>
        <w:pStyle w:val="Heading2"/>
        <w:snapToGrid w:val="0"/>
        <w:ind w:left="0"/>
        <w:jc w:val="both"/>
        <w:rPr>
          <w:i w:val="0"/>
          <w:iCs/>
          <w:sz w:val="20"/>
          <w:szCs w:val="20"/>
        </w:rPr>
      </w:pPr>
      <w:r w:rsidRPr="00A61A2B">
        <w:rPr>
          <w:i w:val="0"/>
          <w:iCs/>
          <w:sz w:val="20"/>
          <w:szCs w:val="20"/>
        </w:rPr>
        <w:t>All cases were subjected to the following:</w:t>
      </w:r>
    </w:p>
    <w:p w:rsidR="009A553D" w:rsidRPr="00A61A2B" w:rsidRDefault="00EB655A" w:rsidP="006E05CF">
      <w:pPr>
        <w:pStyle w:val="ListParagraph"/>
        <w:numPr>
          <w:ilvl w:val="1"/>
          <w:numId w:val="6"/>
        </w:numPr>
        <w:snapToGrid w:val="0"/>
        <w:ind w:left="0" w:firstLine="425"/>
        <w:jc w:val="both"/>
        <w:rPr>
          <w:iCs/>
          <w:sz w:val="20"/>
          <w:szCs w:val="20"/>
        </w:rPr>
      </w:pPr>
      <w:r w:rsidRPr="00A61A2B">
        <w:rPr>
          <w:iCs/>
          <w:sz w:val="20"/>
          <w:szCs w:val="20"/>
        </w:rPr>
        <w:t>Written informed consent from every patient included in this study. The consent was proved by the medical ethical committee of Tanta Universit</w:t>
      </w:r>
      <w:r w:rsidR="006E05CF" w:rsidRPr="00A61A2B">
        <w:rPr>
          <w:iCs/>
          <w:sz w:val="20"/>
          <w:szCs w:val="20"/>
        </w:rPr>
        <w:t>y H</w:t>
      </w:r>
      <w:r w:rsidRPr="00A61A2B">
        <w:rPr>
          <w:iCs/>
          <w:sz w:val="20"/>
          <w:szCs w:val="20"/>
        </w:rPr>
        <w:t>ospital.</w:t>
      </w:r>
    </w:p>
    <w:p w:rsidR="009A553D" w:rsidRPr="00A61A2B" w:rsidRDefault="00EB655A" w:rsidP="006E05CF">
      <w:pPr>
        <w:pStyle w:val="ListParagraph"/>
        <w:numPr>
          <w:ilvl w:val="1"/>
          <w:numId w:val="6"/>
        </w:numPr>
        <w:snapToGrid w:val="0"/>
        <w:ind w:left="0" w:firstLine="425"/>
        <w:jc w:val="both"/>
        <w:rPr>
          <w:iCs/>
          <w:sz w:val="20"/>
          <w:szCs w:val="20"/>
        </w:rPr>
      </w:pPr>
      <w:r w:rsidRPr="00A61A2B">
        <w:rPr>
          <w:iCs/>
          <w:sz w:val="20"/>
          <w:szCs w:val="20"/>
        </w:rPr>
        <w:t xml:space="preserve">Full history was taken with </w:t>
      </w:r>
      <w:r w:rsidR="00A61A2B" w:rsidRPr="00A61A2B">
        <w:rPr>
          <w:iCs/>
          <w:sz w:val="20"/>
          <w:szCs w:val="20"/>
        </w:rPr>
        <w:t>attention on</w:t>
      </w:r>
      <w:r w:rsidRPr="00A61A2B">
        <w:rPr>
          <w:iCs/>
          <w:sz w:val="20"/>
          <w:szCs w:val="20"/>
        </w:rPr>
        <w:t>:</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 xml:space="preserve">Age: maternal age less than 35 </w:t>
      </w:r>
      <w:r w:rsidR="00A61A2B" w:rsidRPr="00A61A2B">
        <w:rPr>
          <w:iCs/>
          <w:sz w:val="20"/>
          <w:szCs w:val="20"/>
        </w:rPr>
        <w:t>years old</w:t>
      </w:r>
      <w:r w:rsidRPr="00A61A2B">
        <w:rPr>
          <w:iCs/>
          <w:sz w:val="20"/>
          <w:szCs w:val="20"/>
        </w:rPr>
        <w:t>.</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Duration of infertility less than 5years.</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Menstrual cycle was regular and no history of dysfunctional uterine bleeding.</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Obstetric history: no congenital uterine anomalies or history of recurrent abortion.</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 xml:space="preserve">Medical history: no sensitivity </w:t>
      </w:r>
      <w:r w:rsidR="00A61A2B" w:rsidRPr="00A61A2B">
        <w:rPr>
          <w:iCs/>
          <w:sz w:val="20"/>
          <w:szCs w:val="20"/>
        </w:rPr>
        <w:t>to progesterone</w:t>
      </w:r>
      <w:r w:rsidRPr="00A61A2B">
        <w:rPr>
          <w:iCs/>
          <w:sz w:val="20"/>
          <w:szCs w:val="20"/>
        </w:rPr>
        <w:t>.</w:t>
      </w:r>
    </w:p>
    <w:p w:rsidR="009A553D" w:rsidRPr="00A61A2B" w:rsidRDefault="00EB655A" w:rsidP="006E05CF">
      <w:pPr>
        <w:pStyle w:val="ListParagraph"/>
        <w:numPr>
          <w:ilvl w:val="1"/>
          <w:numId w:val="6"/>
        </w:numPr>
        <w:snapToGrid w:val="0"/>
        <w:ind w:left="0" w:firstLine="425"/>
        <w:jc w:val="both"/>
        <w:rPr>
          <w:iCs/>
          <w:sz w:val="20"/>
          <w:szCs w:val="20"/>
        </w:rPr>
      </w:pPr>
      <w:r w:rsidRPr="00A61A2B">
        <w:rPr>
          <w:iCs/>
          <w:sz w:val="20"/>
          <w:szCs w:val="20"/>
        </w:rPr>
        <w:t xml:space="preserve">Full general and abdominal examination </w:t>
      </w:r>
      <w:r w:rsidR="00A61A2B" w:rsidRPr="00A61A2B">
        <w:rPr>
          <w:iCs/>
          <w:sz w:val="20"/>
          <w:szCs w:val="20"/>
        </w:rPr>
        <w:t>was done</w:t>
      </w:r>
      <w:r w:rsidRPr="00A61A2B">
        <w:rPr>
          <w:iCs/>
          <w:sz w:val="20"/>
          <w:szCs w:val="20"/>
        </w:rPr>
        <w:t>.</w:t>
      </w:r>
    </w:p>
    <w:p w:rsidR="009A553D" w:rsidRPr="00A61A2B" w:rsidRDefault="00EB655A" w:rsidP="006E05CF">
      <w:pPr>
        <w:pStyle w:val="ListParagraph"/>
        <w:numPr>
          <w:ilvl w:val="1"/>
          <w:numId w:val="6"/>
        </w:numPr>
        <w:snapToGrid w:val="0"/>
        <w:ind w:left="0" w:firstLine="425"/>
        <w:jc w:val="both"/>
        <w:rPr>
          <w:iCs/>
          <w:sz w:val="20"/>
          <w:szCs w:val="20"/>
        </w:rPr>
      </w:pPr>
      <w:r w:rsidRPr="00A61A2B">
        <w:rPr>
          <w:iCs/>
          <w:sz w:val="20"/>
          <w:szCs w:val="20"/>
        </w:rPr>
        <w:t>Local examination: Patients underwent a detailed clinical examination including per vaginal</w:t>
      </w:r>
      <w:r w:rsidR="00A61A2B">
        <w:rPr>
          <w:rFonts w:eastAsiaTheme="minorEastAsia" w:hint="eastAsia"/>
          <w:iCs/>
          <w:sz w:val="20"/>
          <w:szCs w:val="20"/>
          <w:lang w:eastAsia="zh-CN"/>
        </w:rPr>
        <w:t xml:space="preserve"> </w:t>
      </w:r>
      <w:r w:rsidRPr="00A61A2B">
        <w:rPr>
          <w:iCs/>
          <w:sz w:val="20"/>
          <w:szCs w:val="20"/>
        </w:rPr>
        <w:t>examination.</w:t>
      </w:r>
    </w:p>
    <w:p w:rsidR="009A553D" w:rsidRPr="00A61A2B" w:rsidRDefault="00EB655A" w:rsidP="006E05CF">
      <w:pPr>
        <w:pStyle w:val="ListParagraph"/>
        <w:numPr>
          <w:ilvl w:val="1"/>
          <w:numId w:val="6"/>
        </w:numPr>
        <w:snapToGrid w:val="0"/>
        <w:ind w:left="0" w:firstLine="425"/>
        <w:jc w:val="both"/>
        <w:rPr>
          <w:iCs/>
          <w:sz w:val="20"/>
          <w:szCs w:val="20"/>
        </w:rPr>
      </w:pPr>
      <w:r w:rsidRPr="00A61A2B">
        <w:rPr>
          <w:iCs/>
          <w:sz w:val="20"/>
          <w:szCs w:val="20"/>
        </w:rPr>
        <w:t>Investigations were done</w:t>
      </w:r>
      <w:r w:rsidR="00A61A2B">
        <w:rPr>
          <w:rFonts w:eastAsiaTheme="minorEastAsia" w:hint="eastAsia"/>
          <w:iCs/>
          <w:sz w:val="20"/>
          <w:szCs w:val="20"/>
          <w:lang w:eastAsia="zh-CN"/>
        </w:rPr>
        <w:t xml:space="preserve"> </w:t>
      </w:r>
      <w:r w:rsidRPr="00A61A2B">
        <w:rPr>
          <w:iCs/>
          <w:sz w:val="20"/>
          <w:szCs w:val="20"/>
        </w:rPr>
        <w:t>include:</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Laboratory investigations include (Serum progesterone in mid-luteal phase-AMH- FSH–LH-TSH-Prolactin).</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Radiological investigation includes (Ultrasonography to exclude congenital anomalies or sub-mucosalmyoma).</w:t>
      </w:r>
    </w:p>
    <w:p w:rsidR="009A553D" w:rsidRPr="00A61A2B" w:rsidRDefault="00EB655A" w:rsidP="006E05CF">
      <w:pPr>
        <w:pStyle w:val="ListParagraph"/>
        <w:numPr>
          <w:ilvl w:val="2"/>
          <w:numId w:val="6"/>
        </w:numPr>
        <w:snapToGrid w:val="0"/>
        <w:ind w:left="0" w:firstLine="425"/>
        <w:jc w:val="both"/>
        <w:rPr>
          <w:iCs/>
          <w:sz w:val="20"/>
          <w:szCs w:val="20"/>
        </w:rPr>
      </w:pPr>
      <w:r w:rsidRPr="00A61A2B">
        <w:rPr>
          <w:iCs/>
          <w:sz w:val="20"/>
          <w:szCs w:val="20"/>
        </w:rPr>
        <w:t>Other routine investigations include (Complete blood picture- coagulation profile-random blood sugar, and tests for thrombophlebitis)</w:t>
      </w:r>
      <w:r w:rsidR="006E05CF" w:rsidRPr="00A61A2B">
        <w:rPr>
          <w:iCs/>
          <w:sz w:val="20"/>
          <w:szCs w:val="20"/>
        </w:rPr>
        <w:t>. A</w:t>
      </w:r>
      <w:r w:rsidRPr="00A61A2B">
        <w:rPr>
          <w:iCs/>
          <w:sz w:val="20"/>
          <w:szCs w:val="20"/>
        </w:rPr>
        <w:t>ll patients underwent transvaginalsonography examination using Samsung ultrasound machine, model H60, USS- H60NF4K/WR (Samsung, Korea) with 3.5-MHz and 5-MHz convex probes (Figure9).</w:t>
      </w:r>
    </w:p>
    <w:p w:rsidR="009A553D" w:rsidRPr="00A61A2B" w:rsidRDefault="00EB655A" w:rsidP="006E05CF">
      <w:pPr>
        <w:pStyle w:val="BodyText"/>
        <w:snapToGrid w:val="0"/>
        <w:ind w:firstLine="425"/>
        <w:jc w:val="both"/>
        <w:rPr>
          <w:iCs/>
          <w:sz w:val="20"/>
          <w:szCs w:val="20"/>
        </w:rPr>
      </w:pPr>
      <w:r w:rsidRPr="00A61A2B">
        <w:rPr>
          <w:iCs/>
          <w:sz w:val="20"/>
          <w:szCs w:val="20"/>
        </w:rPr>
        <w:t>6-Then appropriate drugs had been be administrated for ovulation stimulation according to long protocol.</w:t>
      </w:r>
    </w:p>
    <w:p w:rsidR="009A553D" w:rsidRPr="00A61A2B" w:rsidRDefault="00EB655A" w:rsidP="006E05CF">
      <w:pPr>
        <w:pStyle w:val="BodyText"/>
        <w:snapToGrid w:val="0"/>
        <w:ind w:firstLine="425"/>
        <w:jc w:val="both"/>
        <w:rPr>
          <w:iCs/>
          <w:sz w:val="20"/>
          <w:szCs w:val="20"/>
        </w:rPr>
      </w:pPr>
      <w:r w:rsidRPr="00A61A2B">
        <w:rPr>
          <w:iCs/>
          <w:sz w:val="20"/>
          <w:szCs w:val="20"/>
        </w:rPr>
        <w:t xml:space="preserve">In the long protocol, GnRH agonist is started on day 21 of the cycle preceding treatment and continued </w:t>
      </w:r>
      <w:r w:rsidRPr="00A61A2B">
        <w:rPr>
          <w:iCs/>
          <w:sz w:val="20"/>
          <w:szCs w:val="20"/>
        </w:rPr>
        <w:lastRenderedPageBreak/>
        <w:t>in a constant dose until the day of HCG administration. It is continued in parallel with gonadotropin treatment which is usually started on the first days of an ensuing menstruation, after two weeks of agonist treatment or following demonstration of pituitary down regulation by measuring low (&lt;50 pg/ml) estradiol levels.</w:t>
      </w:r>
    </w:p>
    <w:p w:rsidR="009A553D" w:rsidRPr="00A61A2B" w:rsidRDefault="00EB655A" w:rsidP="006E05CF">
      <w:pPr>
        <w:pStyle w:val="BodyText"/>
        <w:snapToGrid w:val="0"/>
        <w:ind w:firstLine="425"/>
        <w:jc w:val="both"/>
        <w:rPr>
          <w:iCs/>
          <w:sz w:val="20"/>
          <w:szCs w:val="20"/>
        </w:rPr>
      </w:pPr>
      <w:r w:rsidRPr="00A61A2B">
        <w:rPr>
          <w:iCs/>
          <w:sz w:val="20"/>
          <w:szCs w:val="20"/>
        </w:rPr>
        <w:t>Transvaginalsonography will be repeated for each patient every other day to follow up follicle growth and endometrial thickness. When at least three follicles reach adiameter of 18-24 mm, 10000IU HCG had been intramuscularly injected and oocyte retrieval (Ovum Pick Up) had been performed under transvaginal ultrasound guidance. Then successful fertilization (ICSI) then the two best available embryos are selected and transferred into uterine cavity at day 3 or day 5. Embryos had been transferred to patients with various number and grades after 48-72 hours or at blastocyst stage. βHCG test was done at 14-17days after embryo transfer and cardiac pulsation is visible on sonography 2 weeks later.</w:t>
      </w:r>
    </w:p>
    <w:p w:rsidR="009A553D" w:rsidRPr="00A61A2B" w:rsidRDefault="00EB655A" w:rsidP="006E05CF">
      <w:pPr>
        <w:pStyle w:val="Heading1"/>
        <w:numPr>
          <w:ilvl w:val="0"/>
          <w:numId w:val="6"/>
        </w:numPr>
        <w:snapToGrid w:val="0"/>
        <w:ind w:left="0" w:firstLine="0"/>
        <w:jc w:val="both"/>
        <w:rPr>
          <w:iCs/>
          <w:sz w:val="20"/>
          <w:szCs w:val="20"/>
        </w:rPr>
      </w:pPr>
      <w:r w:rsidRPr="00A61A2B">
        <w:rPr>
          <w:iCs/>
          <w:sz w:val="20"/>
          <w:szCs w:val="20"/>
        </w:rPr>
        <w:t>Patients were randomly assigned into two equal groups by simple randomized alternating</w:t>
      </w:r>
      <w:r w:rsidR="00A61A2B">
        <w:rPr>
          <w:rFonts w:eastAsiaTheme="minorEastAsia" w:hint="eastAsia"/>
          <w:iCs/>
          <w:sz w:val="20"/>
          <w:szCs w:val="20"/>
          <w:lang w:eastAsia="zh-CN"/>
        </w:rPr>
        <w:t xml:space="preserve"> </w:t>
      </w:r>
      <w:r w:rsidRPr="00A61A2B">
        <w:rPr>
          <w:iCs/>
          <w:sz w:val="20"/>
          <w:szCs w:val="20"/>
        </w:rPr>
        <w:t>method:</w:t>
      </w:r>
    </w:p>
    <w:p w:rsidR="009A553D" w:rsidRPr="00A61A2B" w:rsidRDefault="00EB655A" w:rsidP="006E05CF">
      <w:pPr>
        <w:snapToGrid w:val="0"/>
        <w:jc w:val="both"/>
        <w:rPr>
          <w:b/>
          <w:iCs/>
          <w:sz w:val="20"/>
          <w:szCs w:val="20"/>
        </w:rPr>
      </w:pPr>
      <w:r w:rsidRPr="00A61A2B">
        <w:rPr>
          <w:b/>
          <w:iCs/>
          <w:sz w:val="20"/>
          <w:szCs w:val="20"/>
        </w:rPr>
        <w:t>Group A:</w:t>
      </w:r>
    </w:p>
    <w:p w:rsidR="009A553D" w:rsidRPr="00A61A2B" w:rsidRDefault="00EB655A" w:rsidP="006E05CF">
      <w:pPr>
        <w:pStyle w:val="BodyText"/>
        <w:snapToGrid w:val="0"/>
        <w:ind w:firstLine="425"/>
        <w:jc w:val="both"/>
        <w:rPr>
          <w:iCs/>
          <w:sz w:val="20"/>
          <w:szCs w:val="20"/>
        </w:rPr>
      </w:pPr>
      <w:r w:rsidRPr="00A61A2B">
        <w:rPr>
          <w:iCs/>
          <w:sz w:val="20"/>
          <w:szCs w:val="20"/>
        </w:rPr>
        <w:t>Twenty patients received 10 mg dydrogesterone tablet (Tonadogest; Techno pharma; Egypt) four times daily from the day of oocyte retrieval until a pregnancy test become positive and continue till 10 weeks.</w:t>
      </w:r>
    </w:p>
    <w:p w:rsidR="009A553D" w:rsidRPr="00A61A2B" w:rsidRDefault="00EB655A" w:rsidP="006E05CF">
      <w:pPr>
        <w:pStyle w:val="Heading1"/>
        <w:snapToGrid w:val="0"/>
        <w:ind w:left="0"/>
        <w:jc w:val="both"/>
        <w:rPr>
          <w:iCs/>
          <w:sz w:val="20"/>
          <w:szCs w:val="20"/>
        </w:rPr>
      </w:pPr>
      <w:r w:rsidRPr="00A61A2B">
        <w:rPr>
          <w:iCs/>
          <w:sz w:val="20"/>
          <w:szCs w:val="20"/>
        </w:rPr>
        <w:t>Group B:</w:t>
      </w:r>
    </w:p>
    <w:p w:rsidR="009A553D" w:rsidRPr="00A61A2B" w:rsidRDefault="00EB655A" w:rsidP="006E05CF">
      <w:pPr>
        <w:pStyle w:val="BodyText"/>
        <w:snapToGrid w:val="0"/>
        <w:ind w:firstLine="425"/>
        <w:jc w:val="both"/>
        <w:rPr>
          <w:iCs/>
          <w:sz w:val="20"/>
          <w:szCs w:val="20"/>
        </w:rPr>
      </w:pPr>
      <w:r w:rsidRPr="00A61A2B">
        <w:rPr>
          <w:iCs/>
          <w:sz w:val="20"/>
          <w:szCs w:val="20"/>
        </w:rPr>
        <w:t>Twenty patients received 400mg vaginal progesterone suppository (Prontogest; Marcyrl; Egypt) twice a day from the day of oocyte retrieval until a pregnancy test become positive and continue till 10 weeks.</w:t>
      </w:r>
    </w:p>
    <w:p w:rsidR="009A553D" w:rsidRPr="00A61A2B" w:rsidRDefault="00EB655A" w:rsidP="006E05CF">
      <w:pPr>
        <w:pStyle w:val="BodyText"/>
        <w:snapToGrid w:val="0"/>
        <w:ind w:firstLine="425"/>
        <w:jc w:val="both"/>
        <w:rPr>
          <w:iCs/>
          <w:sz w:val="20"/>
          <w:szCs w:val="20"/>
        </w:rPr>
      </w:pPr>
      <w:r w:rsidRPr="00A61A2B">
        <w:rPr>
          <w:iCs/>
          <w:sz w:val="20"/>
          <w:szCs w:val="20"/>
        </w:rPr>
        <w:t>Both groups received folic acid 400 microgram/day.</w:t>
      </w:r>
    </w:p>
    <w:p w:rsidR="009A553D" w:rsidRPr="00A61A2B" w:rsidRDefault="00EB655A" w:rsidP="006E05CF">
      <w:pPr>
        <w:pStyle w:val="BodyText"/>
        <w:snapToGrid w:val="0"/>
        <w:ind w:firstLine="425"/>
        <w:jc w:val="both"/>
        <w:rPr>
          <w:iCs/>
          <w:sz w:val="20"/>
          <w:szCs w:val="20"/>
        </w:rPr>
      </w:pPr>
      <w:r w:rsidRPr="00A61A2B">
        <w:rPr>
          <w:b/>
          <w:iCs/>
          <w:sz w:val="20"/>
          <w:szCs w:val="20"/>
        </w:rPr>
        <w:t xml:space="preserve">Patient satisfaction </w:t>
      </w:r>
      <w:r w:rsidRPr="00A61A2B">
        <w:rPr>
          <w:iCs/>
          <w:sz w:val="20"/>
          <w:szCs w:val="20"/>
        </w:rPr>
        <w:t>to oral Dydrogesterone and vaginal Progesterone were investigated by questionnaire according to price, convenience and different side effects that the supplements could cause as vaginal Bleeding, Vaginal irritation, Nausea, Epigastric pain, Change in appetite and Weight gain. Satisfaction score was assessed by 5-point scale (with 1 being „„</w:t>
      </w:r>
      <w:r w:rsidR="00A61A2B">
        <w:rPr>
          <w:rFonts w:eastAsiaTheme="minorEastAsia" w:hint="eastAsia"/>
          <w:iCs/>
          <w:sz w:val="20"/>
          <w:szCs w:val="20"/>
          <w:lang w:eastAsia="zh-CN"/>
        </w:rPr>
        <w:t xml:space="preserve"> </w:t>
      </w:r>
      <w:r w:rsidRPr="00A61A2B">
        <w:rPr>
          <w:iCs/>
          <w:sz w:val="20"/>
          <w:szCs w:val="20"/>
        </w:rPr>
        <w:t>absolutely dissatisfied‟‟</w:t>
      </w:r>
      <w:r w:rsidR="00A61A2B">
        <w:rPr>
          <w:rFonts w:eastAsiaTheme="minorEastAsia" w:hint="eastAsia"/>
          <w:iCs/>
          <w:sz w:val="20"/>
          <w:szCs w:val="20"/>
          <w:lang w:eastAsia="zh-CN"/>
        </w:rPr>
        <w:t xml:space="preserve"> </w:t>
      </w:r>
      <w:r w:rsidRPr="00A61A2B">
        <w:rPr>
          <w:iCs/>
          <w:sz w:val="20"/>
          <w:szCs w:val="20"/>
        </w:rPr>
        <w:t>and 5 bein</w:t>
      </w:r>
      <w:r w:rsidR="00910927" w:rsidRPr="00A61A2B">
        <w:rPr>
          <w:iCs/>
          <w:sz w:val="20"/>
          <w:szCs w:val="20"/>
        </w:rPr>
        <w:t>g</w:t>
      </w:r>
      <w:r w:rsidRPr="00A61A2B">
        <w:rPr>
          <w:iCs/>
          <w:sz w:val="20"/>
          <w:szCs w:val="20"/>
        </w:rPr>
        <w:t>„„</w:t>
      </w:r>
      <w:r w:rsidR="00A61A2B">
        <w:rPr>
          <w:rFonts w:eastAsiaTheme="minorEastAsia" w:hint="eastAsia"/>
          <w:iCs/>
          <w:sz w:val="20"/>
          <w:szCs w:val="20"/>
          <w:lang w:eastAsia="zh-CN"/>
        </w:rPr>
        <w:t xml:space="preserve"> </w:t>
      </w:r>
      <w:r w:rsidRPr="00A61A2B">
        <w:rPr>
          <w:iCs/>
          <w:sz w:val="20"/>
          <w:szCs w:val="20"/>
        </w:rPr>
        <w:t>absolutely</w:t>
      </w:r>
      <w:r w:rsidR="00A61A2B">
        <w:rPr>
          <w:rFonts w:eastAsiaTheme="minorEastAsia" w:hint="eastAsia"/>
          <w:iCs/>
          <w:sz w:val="20"/>
          <w:szCs w:val="20"/>
          <w:lang w:eastAsia="zh-CN"/>
        </w:rPr>
        <w:t xml:space="preserve"> </w:t>
      </w:r>
      <w:r w:rsidRPr="00A61A2B">
        <w:rPr>
          <w:iCs/>
          <w:sz w:val="20"/>
          <w:szCs w:val="20"/>
        </w:rPr>
        <w:t>satisfied‟‟).</w:t>
      </w:r>
    </w:p>
    <w:p w:rsidR="009A553D" w:rsidRPr="00A61A2B" w:rsidRDefault="00EB655A" w:rsidP="006E05CF">
      <w:pPr>
        <w:pStyle w:val="Heading1"/>
        <w:snapToGrid w:val="0"/>
        <w:ind w:left="0"/>
        <w:jc w:val="both"/>
        <w:rPr>
          <w:iCs/>
          <w:sz w:val="20"/>
          <w:szCs w:val="20"/>
        </w:rPr>
      </w:pPr>
      <w:r w:rsidRPr="00A61A2B">
        <w:rPr>
          <w:iCs/>
          <w:sz w:val="20"/>
          <w:szCs w:val="20"/>
        </w:rPr>
        <w:t>Statistical analysis:</w:t>
      </w:r>
    </w:p>
    <w:p w:rsidR="006E05CF" w:rsidRPr="00A61A2B" w:rsidRDefault="00EB655A" w:rsidP="006E05CF">
      <w:pPr>
        <w:pStyle w:val="BodyText"/>
        <w:snapToGrid w:val="0"/>
        <w:ind w:firstLine="425"/>
        <w:jc w:val="both"/>
        <w:rPr>
          <w:iCs/>
          <w:sz w:val="20"/>
          <w:szCs w:val="20"/>
        </w:rPr>
      </w:pPr>
      <w:r w:rsidRPr="00A61A2B">
        <w:rPr>
          <w:iCs/>
          <w:sz w:val="20"/>
          <w:szCs w:val="20"/>
        </w:rPr>
        <w:t xml:space="preserve">Quantitative data were described as mean ± standard deviation (SD) and range and were compared by </w:t>
      </w:r>
      <w:r w:rsidR="00A61A2B" w:rsidRPr="00A61A2B">
        <w:rPr>
          <w:iCs/>
          <w:sz w:val="20"/>
          <w:szCs w:val="20"/>
        </w:rPr>
        <w:t>Student’s</w:t>
      </w:r>
      <w:r w:rsidRPr="00A61A2B">
        <w:rPr>
          <w:iCs/>
          <w:sz w:val="20"/>
          <w:szCs w:val="20"/>
        </w:rPr>
        <w:t xml:space="preserve"> T test. Qualitative data were described as frequencies (number of cases) and percentages (%) and were compared by Chi-square test. Pvalue&lt;0.05 is considered statistically significant. All statistical calculations were done using SPSS (Statistical Package for the Social Science; SPSS Inc., Chicago, </w:t>
      </w:r>
      <w:r w:rsidRPr="00A61A2B">
        <w:rPr>
          <w:iCs/>
          <w:sz w:val="20"/>
          <w:szCs w:val="20"/>
        </w:rPr>
        <w:lastRenderedPageBreak/>
        <w:t>IL, USA) program r</w:t>
      </w:r>
      <w:r w:rsidR="00FE5D08" w:rsidRPr="00A61A2B">
        <w:rPr>
          <w:iCs/>
          <w:sz w:val="20"/>
          <w:szCs w:val="20"/>
        </w:rPr>
        <w:t>elease 25 for Microsoft Window</w:t>
      </w:r>
      <w:r w:rsidR="006E05CF" w:rsidRPr="00A61A2B">
        <w:rPr>
          <w:iCs/>
          <w:sz w:val="20"/>
          <w:szCs w:val="20"/>
        </w:rPr>
        <w:t>s.</w:t>
      </w:r>
    </w:p>
    <w:p w:rsidR="009A553D" w:rsidRPr="00A61A2B" w:rsidRDefault="007C6D96" w:rsidP="006E05CF">
      <w:pPr>
        <w:snapToGrid w:val="0"/>
        <w:jc w:val="both"/>
        <w:rPr>
          <w:b/>
          <w:bCs/>
          <w:iCs/>
          <w:sz w:val="20"/>
          <w:szCs w:val="20"/>
        </w:rPr>
      </w:pPr>
      <w:r w:rsidRPr="00A61A2B">
        <w:rPr>
          <w:b/>
          <w:bCs/>
          <w:iCs/>
          <w:sz w:val="20"/>
          <w:szCs w:val="20"/>
        </w:rPr>
        <w:t>Outcome:</w:t>
      </w:r>
    </w:p>
    <w:p w:rsidR="007C6D96" w:rsidRPr="00A61A2B" w:rsidRDefault="007C6D96" w:rsidP="006E05CF">
      <w:pPr>
        <w:pStyle w:val="ListParagraph"/>
        <w:snapToGrid w:val="0"/>
        <w:ind w:left="0" w:firstLine="425"/>
        <w:jc w:val="both"/>
        <w:rPr>
          <w:iCs/>
          <w:sz w:val="20"/>
          <w:szCs w:val="20"/>
        </w:rPr>
      </w:pPr>
      <w:r w:rsidRPr="00A61A2B">
        <w:rPr>
          <w:iCs/>
          <w:sz w:val="20"/>
          <w:szCs w:val="20"/>
        </w:rPr>
        <w:t>Success rate of ICSI protocol (pregnancyrate).</w:t>
      </w:r>
    </w:p>
    <w:p w:rsidR="007C6D96" w:rsidRPr="00A61A2B" w:rsidRDefault="00A61A2B" w:rsidP="006E05CF">
      <w:pPr>
        <w:pStyle w:val="ListParagraph"/>
        <w:snapToGrid w:val="0"/>
        <w:ind w:left="0" w:firstLine="425"/>
        <w:jc w:val="both"/>
        <w:rPr>
          <w:iCs/>
          <w:sz w:val="20"/>
          <w:szCs w:val="20"/>
        </w:rPr>
      </w:pPr>
      <w:r w:rsidRPr="00A61A2B">
        <w:rPr>
          <w:iCs/>
          <w:sz w:val="20"/>
          <w:szCs w:val="20"/>
        </w:rPr>
        <w:t>Patient satisfaction</w:t>
      </w:r>
      <w:r w:rsidR="007C6D96" w:rsidRPr="00A61A2B">
        <w:rPr>
          <w:iCs/>
          <w:sz w:val="20"/>
          <w:szCs w:val="20"/>
        </w:rPr>
        <w:t>.</w:t>
      </w:r>
    </w:p>
    <w:p w:rsidR="007C6D96" w:rsidRPr="00A61A2B" w:rsidRDefault="007C6D96" w:rsidP="006E05CF">
      <w:pPr>
        <w:snapToGrid w:val="0"/>
        <w:ind w:firstLine="425"/>
        <w:jc w:val="both"/>
        <w:rPr>
          <w:iCs/>
          <w:sz w:val="20"/>
          <w:szCs w:val="20"/>
        </w:rPr>
      </w:pPr>
      <w:r w:rsidRPr="00A61A2B">
        <w:rPr>
          <w:iCs/>
          <w:sz w:val="20"/>
          <w:szCs w:val="20"/>
        </w:rPr>
        <w:t xml:space="preserve">Side effects </w:t>
      </w:r>
      <w:r w:rsidR="00A61A2B" w:rsidRPr="00A61A2B">
        <w:rPr>
          <w:iCs/>
          <w:sz w:val="20"/>
          <w:szCs w:val="20"/>
        </w:rPr>
        <w:t>of drugs</w:t>
      </w:r>
      <w:r w:rsidRPr="00A61A2B">
        <w:rPr>
          <w:iCs/>
          <w:sz w:val="20"/>
          <w:szCs w:val="20"/>
        </w:rPr>
        <w:t>.</w:t>
      </w:r>
    </w:p>
    <w:p w:rsidR="009A553D" w:rsidRPr="00A61A2B" w:rsidRDefault="00EB655A" w:rsidP="006E05CF">
      <w:pPr>
        <w:pStyle w:val="Heading2"/>
        <w:snapToGrid w:val="0"/>
        <w:ind w:left="0"/>
        <w:jc w:val="both"/>
        <w:rPr>
          <w:i w:val="0"/>
          <w:iCs/>
          <w:sz w:val="20"/>
          <w:szCs w:val="20"/>
        </w:rPr>
      </w:pPr>
      <w:r w:rsidRPr="00A61A2B">
        <w:rPr>
          <w:i w:val="0"/>
          <w:iCs/>
          <w:sz w:val="20"/>
          <w:szCs w:val="20"/>
        </w:rPr>
        <w:t>Potential risks</w:t>
      </w:r>
    </w:p>
    <w:p w:rsidR="009A553D" w:rsidRPr="00A61A2B" w:rsidRDefault="00EB655A" w:rsidP="006E05CF">
      <w:pPr>
        <w:pStyle w:val="ListParagraph"/>
        <w:numPr>
          <w:ilvl w:val="1"/>
          <w:numId w:val="5"/>
        </w:numPr>
        <w:snapToGrid w:val="0"/>
        <w:ind w:left="0" w:firstLine="425"/>
        <w:jc w:val="both"/>
        <w:rPr>
          <w:iCs/>
          <w:sz w:val="20"/>
          <w:szCs w:val="20"/>
        </w:rPr>
      </w:pPr>
      <w:r w:rsidRPr="00A61A2B">
        <w:rPr>
          <w:iCs/>
          <w:sz w:val="20"/>
          <w:szCs w:val="20"/>
        </w:rPr>
        <w:t>No potential risks are considered by using Oral Dudrogesterone or vaginal Progesterone.</w:t>
      </w:r>
    </w:p>
    <w:p w:rsidR="009A553D" w:rsidRPr="00A61A2B" w:rsidRDefault="00EB655A" w:rsidP="006E05CF">
      <w:pPr>
        <w:pStyle w:val="ListParagraph"/>
        <w:numPr>
          <w:ilvl w:val="1"/>
          <w:numId w:val="5"/>
        </w:numPr>
        <w:snapToGrid w:val="0"/>
        <w:ind w:left="0" w:firstLine="425"/>
        <w:jc w:val="both"/>
        <w:rPr>
          <w:iCs/>
          <w:sz w:val="20"/>
          <w:szCs w:val="20"/>
        </w:rPr>
      </w:pPr>
      <w:r w:rsidRPr="00A61A2B">
        <w:rPr>
          <w:iCs/>
          <w:sz w:val="20"/>
          <w:szCs w:val="20"/>
        </w:rPr>
        <w:t>Side effects of both drugs include: hypotension</w:t>
      </w:r>
      <w:r w:rsidR="001A60CC" w:rsidRPr="00A61A2B">
        <w:rPr>
          <w:iCs/>
          <w:sz w:val="20"/>
          <w:szCs w:val="20"/>
        </w:rPr>
        <w:t>,</w:t>
      </w:r>
      <w:r w:rsidRPr="00A61A2B">
        <w:rPr>
          <w:iCs/>
          <w:sz w:val="20"/>
          <w:szCs w:val="20"/>
        </w:rPr>
        <w:t xml:space="preserve"> headache and</w:t>
      </w:r>
      <w:r w:rsidR="00A61A2B">
        <w:rPr>
          <w:rFonts w:eastAsiaTheme="minorEastAsia" w:hint="eastAsia"/>
          <w:iCs/>
          <w:sz w:val="20"/>
          <w:szCs w:val="20"/>
          <w:lang w:eastAsia="zh-CN"/>
        </w:rPr>
        <w:t xml:space="preserve"> </w:t>
      </w:r>
      <w:r w:rsidRPr="00A61A2B">
        <w:rPr>
          <w:iCs/>
          <w:sz w:val="20"/>
          <w:szCs w:val="20"/>
        </w:rPr>
        <w:t>drowziness.</w:t>
      </w:r>
    </w:p>
    <w:p w:rsidR="006E05CF" w:rsidRPr="00A61A2B" w:rsidRDefault="00EB655A" w:rsidP="006E05CF">
      <w:pPr>
        <w:pStyle w:val="ListParagraph"/>
        <w:numPr>
          <w:ilvl w:val="1"/>
          <w:numId w:val="5"/>
        </w:numPr>
        <w:snapToGrid w:val="0"/>
        <w:ind w:left="0" w:firstLine="425"/>
        <w:jc w:val="both"/>
        <w:rPr>
          <w:iCs/>
          <w:sz w:val="20"/>
          <w:szCs w:val="20"/>
        </w:rPr>
      </w:pPr>
      <w:r w:rsidRPr="00A61A2B">
        <w:rPr>
          <w:iCs/>
          <w:sz w:val="20"/>
          <w:szCs w:val="20"/>
        </w:rPr>
        <w:t>Any unexpected risks appeared during the course of the research will be cleared to participants and</w:t>
      </w:r>
      <w:r w:rsidR="00A61A2B">
        <w:rPr>
          <w:rFonts w:eastAsiaTheme="minorEastAsia" w:hint="eastAsia"/>
          <w:iCs/>
          <w:sz w:val="20"/>
          <w:szCs w:val="20"/>
          <w:lang w:eastAsia="zh-CN"/>
        </w:rPr>
        <w:t xml:space="preserve"> </w:t>
      </w:r>
      <w:r w:rsidRPr="00A61A2B">
        <w:rPr>
          <w:iCs/>
          <w:sz w:val="20"/>
          <w:szCs w:val="20"/>
        </w:rPr>
        <w:t>thee</w:t>
      </w:r>
      <w:r w:rsidR="00A61A2B">
        <w:rPr>
          <w:rFonts w:eastAsiaTheme="minorEastAsia" w:hint="eastAsia"/>
          <w:iCs/>
          <w:sz w:val="20"/>
          <w:szCs w:val="20"/>
          <w:lang w:eastAsia="zh-CN"/>
        </w:rPr>
        <w:t xml:space="preserve"> </w:t>
      </w:r>
      <w:r w:rsidRPr="00A61A2B">
        <w:rPr>
          <w:iCs/>
          <w:sz w:val="20"/>
          <w:szCs w:val="20"/>
        </w:rPr>
        <w:t>thical</w:t>
      </w:r>
      <w:r w:rsidR="006E05CF" w:rsidRPr="00A61A2B">
        <w:rPr>
          <w:iCs/>
          <w:sz w:val="20"/>
          <w:szCs w:val="20"/>
        </w:rPr>
        <w:t>.</w:t>
      </w:r>
    </w:p>
    <w:p w:rsidR="009A553D" w:rsidRPr="00A61A2B" w:rsidRDefault="00EB655A" w:rsidP="006E05CF">
      <w:pPr>
        <w:snapToGrid w:val="0"/>
        <w:ind w:firstLine="425"/>
        <w:jc w:val="both"/>
        <w:rPr>
          <w:iCs/>
          <w:sz w:val="20"/>
          <w:szCs w:val="20"/>
        </w:rPr>
      </w:pPr>
      <w:r w:rsidRPr="00A61A2B">
        <w:rPr>
          <w:iCs/>
          <w:sz w:val="20"/>
          <w:szCs w:val="20"/>
        </w:rPr>
        <w:t>committee on</w:t>
      </w:r>
      <w:r w:rsidR="00A61A2B">
        <w:rPr>
          <w:rFonts w:eastAsiaTheme="minorEastAsia" w:hint="eastAsia"/>
          <w:iCs/>
          <w:sz w:val="20"/>
          <w:szCs w:val="20"/>
          <w:lang w:eastAsia="zh-CN"/>
        </w:rPr>
        <w:t xml:space="preserve"> </w:t>
      </w:r>
      <w:r w:rsidRPr="00A61A2B">
        <w:rPr>
          <w:iCs/>
          <w:sz w:val="20"/>
          <w:szCs w:val="20"/>
        </w:rPr>
        <w:t>time.</w:t>
      </w:r>
    </w:p>
    <w:p w:rsidR="009A553D" w:rsidRPr="00A61A2B" w:rsidRDefault="00EB655A" w:rsidP="006E05CF">
      <w:pPr>
        <w:pStyle w:val="Heading2"/>
        <w:snapToGrid w:val="0"/>
        <w:ind w:left="0"/>
        <w:jc w:val="both"/>
        <w:rPr>
          <w:i w:val="0"/>
          <w:iCs/>
          <w:sz w:val="20"/>
          <w:szCs w:val="20"/>
        </w:rPr>
      </w:pPr>
      <w:r w:rsidRPr="00A61A2B">
        <w:rPr>
          <w:i w:val="0"/>
          <w:iCs/>
          <w:sz w:val="20"/>
          <w:szCs w:val="20"/>
        </w:rPr>
        <w:t>Ethical committee</w:t>
      </w:r>
    </w:p>
    <w:p w:rsidR="009A553D" w:rsidRPr="00A61A2B" w:rsidRDefault="00EB655A" w:rsidP="006E05CF">
      <w:pPr>
        <w:pStyle w:val="ListParagraph"/>
        <w:numPr>
          <w:ilvl w:val="2"/>
          <w:numId w:val="5"/>
        </w:numPr>
        <w:snapToGrid w:val="0"/>
        <w:ind w:left="0" w:firstLine="425"/>
        <w:jc w:val="both"/>
        <w:rPr>
          <w:iCs/>
          <w:sz w:val="20"/>
          <w:szCs w:val="20"/>
        </w:rPr>
      </w:pPr>
      <w:r w:rsidRPr="00A61A2B">
        <w:rPr>
          <w:iCs/>
          <w:sz w:val="20"/>
          <w:szCs w:val="20"/>
        </w:rPr>
        <w:t>The study was started after medical ethical committee</w:t>
      </w:r>
      <w:r w:rsidR="00A61A2B">
        <w:rPr>
          <w:rFonts w:eastAsiaTheme="minorEastAsia" w:hint="eastAsia"/>
          <w:iCs/>
          <w:sz w:val="20"/>
          <w:szCs w:val="20"/>
          <w:lang w:eastAsia="zh-CN"/>
        </w:rPr>
        <w:t xml:space="preserve"> </w:t>
      </w:r>
      <w:r w:rsidRPr="00A61A2B">
        <w:rPr>
          <w:iCs/>
          <w:sz w:val="20"/>
          <w:szCs w:val="20"/>
        </w:rPr>
        <w:t>approval.</w:t>
      </w:r>
    </w:p>
    <w:p w:rsidR="009A553D" w:rsidRPr="00A61A2B" w:rsidRDefault="00EB655A" w:rsidP="006E05CF">
      <w:pPr>
        <w:pStyle w:val="ListParagraph"/>
        <w:numPr>
          <w:ilvl w:val="2"/>
          <w:numId w:val="5"/>
        </w:numPr>
        <w:snapToGrid w:val="0"/>
        <w:ind w:left="0" w:firstLine="425"/>
        <w:jc w:val="both"/>
        <w:rPr>
          <w:iCs/>
          <w:sz w:val="20"/>
          <w:szCs w:val="20"/>
        </w:rPr>
      </w:pPr>
      <w:r w:rsidRPr="00A61A2B">
        <w:rPr>
          <w:iCs/>
          <w:sz w:val="20"/>
          <w:szCs w:val="20"/>
        </w:rPr>
        <w:t>Written consent from all included</w:t>
      </w:r>
      <w:r w:rsidR="00A61A2B">
        <w:rPr>
          <w:rFonts w:eastAsiaTheme="minorEastAsia" w:hint="eastAsia"/>
          <w:iCs/>
          <w:sz w:val="20"/>
          <w:szCs w:val="20"/>
          <w:lang w:eastAsia="zh-CN"/>
        </w:rPr>
        <w:t xml:space="preserve"> </w:t>
      </w:r>
      <w:r w:rsidRPr="00A61A2B">
        <w:rPr>
          <w:iCs/>
          <w:sz w:val="20"/>
          <w:szCs w:val="20"/>
        </w:rPr>
        <w:t>patients.</w:t>
      </w:r>
    </w:p>
    <w:p w:rsidR="009A553D" w:rsidRPr="00A61A2B" w:rsidRDefault="00EB655A" w:rsidP="006E05CF">
      <w:pPr>
        <w:pStyle w:val="ListParagraph"/>
        <w:numPr>
          <w:ilvl w:val="2"/>
          <w:numId w:val="5"/>
        </w:numPr>
        <w:snapToGrid w:val="0"/>
        <w:ind w:left="0" w:firstLine="425"/>
        <w:jc w:val="both"/>
        <w:rPr>
          <w:iCs/>
          <w:sz w:val="20"/>
          <w:szCs w:val="20"/>
        </w:rPr>
      </w:pPr>
      <w:r w:rsidRPr="00A61A2B">
        <w:rPr>
          <w:iCs/>
          <w:sz w:val="20"/>
          <w:szCs w:val="20"/>
        </w:rPr>
        <w:t>All included patient knows about the aim of present study, risk factors, possible complications and risk of failure.</w:t>
      </w:r>
    </w:p>
    <w:p w:rsidR="009A553D" w:rsidRPr="00A61A2B" w:rsidRDefault="00EB655A" w:rsidP="006E05CF">
      <w:pPr>
        <w:pStyle w:val="Heading2"/>
        <w:snapToGrid w:val="0"/>
        <w:ind w:left="0"/>
        <w:jc w:val="both"/>
        <w:rPr>
          <w:i w:val="0"/>
          <w:iCs/>
          <w:sz w:val="20"/>
          <w:szCs w:val="20"/>
        </w:rPr>
      </w:pPr>
      <w:r w:rsidRPr="00A61A2B">
        <w:rPr>
          <w:i w:val="0"/>
          <w:iCs/>
          <w:sz w:val="20"/>
          <w:szCs w:val="20"/>
        </w:rPr>
        <w:t>Provision of privacy</w:t>
      </w:r>
    </w:p>
    <w:p w:rsidR="009A553D" w:rsidRPr="00A61A2B" w:rsidRDefault="00EB655A" w:rsidP="006E05CF">
      <w:pPr>
        <w:pStyle w:val="BodyText"/>
        <w:snapToGrid w:val="0"/>
        <w:ind w:firstLine="425"/>
        <w:jc w:val="both"/>
        <w:rPr>
          <w:iCs/>
          <w:sz w:val="20"/>
          <w:szCs w:val="20"/>
        </w:rPr>
      </w:pPr>
      <w:r w:rsidRPr="00A61A2B">
        <w:rPr>
          <w:iCs/>
          <w:sz w:val="20"/>
          <w:szCs w:val="20"/>
        </w:rPr>
        <w:t>There are adequate provisions to maintain privacy of participants and confidentiality of the data, the patient name was replaced by serial number and her address kept confidential. There is no conflict of interest. Authors</w:t>
      </w:r>
      <w:r w:rsidR="00A61A2B">
        <w:rPr>
          <w:rFonts w:eastAsiaTheme="minorEastAsia" w:hint="eastAsia"/>
          <w:iCs/>
          <w:sz w:val="20"/>
          <w:szCs w:val="20"/>
          <w:lang w:eastAsia="zh-CN"/>
        </w:rPr>
        <w:t xml:space="preserve"> </w:t>
      </w:r>
      <w:r w:rsidRPr="00A61A2B">
        <w:rPr>
          <w:iCs/>
          <w:sz w:val="20"/>
          <w:szCs w:val="20"/>
        </w:rPr>
        <w:t xml:space="preserve">don‟t receive any fund from any </w:t>
      </w:r>
      <w:r w:rsidRPr="00A61A2B">
        <w:rPr>
          <w:iCs/>
          <w:sz w:val="20"/>
          <w:szCs w:val="20"/>
        </w:rPr>
        <w:lastRenderedPageBreak/>
        <w:t>institute. Authors didn't give any compensation to the participant. Authors didn't represent</w:t>
      </w:r>
      <w:r w:rsidR="00A61A2B">
        <w:rPr>
          <w:rFonts w:eastAsiaTheme="minorEastAsia" w:hint="eastAsia"/>
          <w:iCs/>
          <w:sz w:val="20"/>
          <w:szCs w:val="20"/>
          <w:lang w:eastAsia="zh-CN"/>
        </w:rPr>
        <w:t xml:space="preserve"> </w:t>
      </w:r>
      <w:r w:rsidRPr="00A61A2B">
        <w:rPr>
          <w:iCs/>
          <w:sz w:val="20"/>
          <w:szCs w:val="20"/>
        </w:rPr>
        <w:t>anyrisk</w:t>
      </w:r>
      <w:r w:rsidR="00A61A2B">
        <w:rPr>
          <w:rFonts w:eastAsiaTheme="minorEastAsia" w:hint="eastAsia"/>
          <w:iCs/>
          <w:sz w:val="20"/>
          <w:szCs w:val="20"/>
          <w:lang w:eastAsia="zh-CN"/>
        </w:rPr>
        <w:t xml:space="preserve"> </w:t>
      </w:r>
      <w:r w:rsidRPr="00A61A2B">
        <w:rPr>
          <w:iCs/>
          <w:sz w:val="20"/>
          <w:szCs w:val="20"/>
        </w:rPr>
        <w:t>to</w:t>
      </w:r>
      <w:r w:rsidR="00A61A2B">
        <w:rPr>
          <w:rFonts w:eastAsiaTheme="minorEastAsia" w:hint="eastAsia"/>
          <w:iCs/>
          <w:sz w:val="20"/>
          <w:szCs w:val="20"/>
          <w:lang w:eastAsia="zh-CN"/>
        </w:rPr>
        <w:t xml:space="preserve"> </w:t>
      </w:r>
      <w:r w:rsidRPr="00A61A2B">
        <w:rPr>
          <w:iCs/>
          <w:sz w:val="20"/>
          <w:szCs w:val="20"/>
        </w:rPr>
        <w:t>the</w:t>
      </w:r>
      <w:r w:rsidR="00A61A2B">
        <w:rPr>
          <w:rFonts w:eastAsiaTheme="minorEastAsia" w:hint="eastAsia"/>
          <w:iCs/>
          <w:sz w:val="20"/>
          <w:szCs w:val="20"/>
          <w:lang w:eastAsia="zh-CN"/>
        </w:rPr>
        <w:t xml:space="preserve"> </w:t>
      </w:r>
      <w:r w:rsidRPr="00A61A2B">
        <w:rPr>
          <w:iCs/>
          <w:sz w:val="20"/>
          <w:szCs w:val="20"/>
        </w:rPr>
        <w:t>environment</w:t>
      </w:r>
      <w:r w:rsidR="006E05CF" w:rsidRPr="00A61A2B">
        <w:rPr>
          <w:iCs/>
          <w:sz w:val="20"/>
          <w:szCs w:val="20"/>
        </w:rPr>
        <w:t>. A</w:t>
      </w:r>
      <w:r w:rsidRPr="00A61A2B">
        <w:rPr>
          <w:iCs/>
          <w:sz w:val="20"/>
          <w:szCs w:val="20"/>
        </w:rPr>
        <w:t>uthors</w:t>
      </w:r>
      <w:r w:rsidR="00A61A2B">
        <w:rPr>
          <w:rFonts w:eastAsiaTheme="minorEastAsia" w:hint="eastAsia"/>
          <w:iCs/>
          <w:sz w:val="20"/>
          <w:szCs w:val="20"/>
          <w:lang w:eastAsia="zh-CN"/>
        </w:rPr>
        <w:t xml:space="preserve"> </w:t>
      </w:r>
      <w:r w:rsidRPr="00A61A2B">
        <w:rPr>
          <w:iCs/>
          <w:sz w:val="20"/>
          <w:szCs w:val="20"/>
        </w:rPr>
        <w:t>took</w:t>
      </w:r>
      <w:r w:rsidR="00A61A2B">
        <w:rPr>
          <w:rFonts w:eastAsiaTheme="minorEastAsia" w:hint="eastAsia"/>
          <w:iCs/>
          <w:sz w:val="20"/>
          <w:szCs w:val="20"/>
          <w:lang w:eastAsia="zh-CN"/>
        </w:rPr>
        <w:t xml:space="preserve"> </w:t>
      </w:r>
      <w:r w:rsidRPr="00A61A2B">
        <w:rPr>
          <w:iCs/>
          <w:sz w:val="20"/>
          <w:szCs w:val="20"/>
        </w:rPr>
        <w:t>verbal</w:t>
      </w:r>
      <w:r w:rsidR="00A61A2B">
        <w:rPr>
          <w:rFonts w:eastAsiaTheme="minorEastAsia" w:hint="eastAsia"/>
          <w:iCs/>
          <w:sz w:val="20"/>
          <w:szCs w:val="20"/>
          <w:lang w:eastAsia="zh-CN"/>
        </w:rPr>
        <w:t xml:space="preserve"> </w:t>
      </w:r>
      <w:r w:rsidRPr="00A61A2B">
        <w:rPr>
          <w:iCs/>
          <w:sz w:val="20"/>
          <w:szCs w:val="20"/>
        </w:rPr>
        <w:t>and</w:t>
      </w:r>
      <w:r w:rsidR="00A61A2B">
        <w:rPr>
          <w:rFonts w:eastAsiaTheme="minorEastAsia" w:hint="eastAsia"/>
          <w:iCs/>
          <w:sz w:val="20"/>
          <w:szCs w:val="20"/>
          <w:lang w:eastAsia="zh-CN"/>
        </w:rPr>
        <w:t xml:space="preserve"> </w:t>
      </w:r>
      <w:r w:rsidRPr="00A61A2B">
        <w:rPr>
          <w:iCs/>
          <w:sz w:val="20"/>
          <w:szCs w:val="20"/>
        </w:rPr>
        <w:t>written</w:t>
      </w:r>
      <w:r w:rsidR="00A61A2B">
        <w:rPr>
          <w:rFonts w:eastAsiaTheme="minorEastAsia" w:hint="eastAsia"/>
          <w:iCs/>
          <w:sz w:val="20"/>
          <w:szCs w:val="20"/>
          <w:lang w:eastAsia="zh-CN"/>
        </w:rPr>
        <w:t xml:space="preserve"> </w:t>
      </w:r>
      <w:r w:rsidRPr="00A61A2B">
        <w:rPr>
          <w:iCs/>
          <w:sz w:val="20"/>
          <w:szCs w:val="20"/>
        </w:rPr>
        <w:t>consent</w:t>
      </w:r>
      <w:r w:rsidR="00A61A2B">
        <w:rPr>
          <w:rFonts w:eastAsiaTheme="minorEastAsia" w:hint="eastAsia"/>
          <w:iCs/>
          <w:sz w:val="20"/>
          <w:szCs w:val="20"/>
          <w:lang w:eastAsia="zh-CN"/>
        </w:rPr>
        <w:t xml:space="preserve"> </w:t>
      </w:r>
      <w:r w:rsidRPr="00A61A2B">
        <w:rPr>
          <w:iCs/>
          <w:sz w:val="20"/>
          <w:szCs w:val="20"/>
        </w:rPr>
        <w:t>from</w:t>
      </w:r>
      <w:r w:rsidR="00A61A2B">
        <w:rPr>
          <w:rFonts w:eastAsiaTheme="minorEastAsia" w:hint="eastAsia"/>
          <w:iCs/>
          <w:sz w:val="20"/>
          <w:szCs w:val="20"/>
          <w:lang w:eastAsia="zh-CN"/>
        </w:rPr>
        <w:t xml:space="preserve"> </w:t>
      </w:r>
      <w:r w:rsidRPr="00A61A2B">
        <w:rPr>
          <w:iCs/>
          <w:sz w:val="20"/>
          <w:szCs w:val="20"/>
        </w:rPr>
        <w:t>the</w:t>
      </w:r>
      <w:r w:rsidR="00A61A2B">
        <w:rPr>
          <w:rFonts w:eastAsiaTheme="minorEastAsia" w:hint="eastAsia"/>
          <w:iCs/>
          <w:sz w:val="20"/>
          <w:szCs w:val="20"/>
          <w:lang w:eastAsia="zh-CN"/>
        </w:rPr>
        <w:t xml:space="preserve"> </w:t>
      </w:r>
      <w:r w:rsidRPr="00A61A2B">
        <w:rPr>
          <w:iCs/>
          <w:sz w:val="20"/>
          <w:szCs w:val="20"/>
        </w:rPr>
        <w:t>participants. The work is stopped if the patient refuses to continue. No differentiation between patients according to religion and race.</w:t>
      </w:r>
    </w:p>
    <w:p w:rsidR="007C6D96" w:rsidRPr="00A61A2B" w:rsidRDefault="007C6D96" w:rsidP="006E05CF">
      <w:pPr>
        <w:pStyle w:val="Heading1"/>
        <w:snapToGrid w:val="0"/>
        <w:ind w:left="0"/>
        <w:jc w:val="both"/>
        <w:rPr>
          <w:iCs/>
          <w:sz w:val="20"/>
          <w:szCs w:val="20"/>
        </w:rPr>
      </w:pPr>
    </w:p>
    <w:p w:rsidR="009A553D" w:rsidRPr="00A61A2B" w:rsidRDefault="007C6D96" w:rsidP="006E05CF">
      <w:pPr>
        <w:pStyle w:val="Heading1"/>
        <w:snapToGrid w:val="0"/>
        <w:ind w:left="0"/>
        <w:jc w:val="both"/>
        <w:rPr>
          <w:iCs/>
          <w:sz w:val="20"/>
          <w:szCs w:val="20"/>
        </w:rPr>
      </w:pPr>
      <w:r w:rsidRPr="00A61A2B">
        <w:rPr>
          <w:iCs/>
          <w:sz w:val="20"/>
          <w:szCs w:val="20"/>
        </w:rPr>
        <w:t>3. Results</w:t>
      </w:r>
    </w:p>
    <w:p w:rsidR="006E05CF" w:rsidRPr="00A61A2B" w:rsidRDefault="00EB655A" w:rsidP="006E05CF">
      <w:pPr>
        <w:pStyle w:val="BodyText"/>
        <w:snapToGrid w:val="0"/>
        <w:ind w:firstLine="425"/>
        <w:jc w:val="both"/>
        <w:rPr>
          <w:iCs/>
          <w:sz w:val="20"/>
          <w:szCs w:val="20"/>
        </w:rPr>
      </w:pPr>
      <w:r w:rsidRPr="00A61A2B">
        <w:rPr>
          <w:iCs/>
          <w:sz w:val="20"/>
          <w:szCs w:val="20"/>
        </w:rPr>
        <w:t>This study was carried on (40) females presented by infertility (demographic and characteristic data of studied women as regard, age Infertility duration, Prior IVF cycles, BM</w:t>
      </w:r>
      <w:r w:rsidR="001A60CC" w:rsidRPr="00A61A2B">
        <w:rPr>
          <w:iCs/>
          <w:sz w:val="20"/>
          <w:szCs w:val="20"/>
        </w:rPr>
        <w:t>I (</w:t>
      </w:r>
      <w:r w:rsidRPr="00A61A2B">
        <w:rPr>
          <w:iCs/>
          <w:sz w:val="20"/>
          <w:szCs w:val="20"/>
        </w:rPr>
        <w:t>Kg/m</w:t>
      </w:r>
      <w:r w:rsidRPr="00A61A2B">
        <w:rPr>
          <w:iCs/>
          <w:sz w:val="20"/>
          <w:szCs w:val="20"/>
          <w:vertAlign w:val="superscript"/>
        </w:rPr>
        <w:t>2</w:t>
      </w:r>
      <w:r w:rsidRPr="00A61A2B">
        <w:rPr>
          <w:iCs/>
          <w:sz w:val="20"/>
          <w:szCs w:val="20"/>
        </w:rPr>
        <w:t>), Type of infertility and Parity show no statistical significant difference between studied group comparison between the two studied groups regarding baseline hormonal level (FSH-LH-AMH-Prolactin –E2 –TSH ) in both groups and antral follicular count by ultrasound before IVF. We found that no significant difference between both group</w:t>
      </w:r>
      <w:r w:rsidR="006E05CF" w:rsidRPr="00A61A2B">
        <w:rPr>
          <w:iCs/>
          <w:sz w:val="20"/>
          <w:szCs w:val="20"/>
        </w:rPr>
        <w:t>s.</w:t>
      </w:r>
    </w:p>
    <w:p w:rsidR="006E05CF" w:rsidRDefault="000D37DB" w:rsidP="000D37DB">
      <w:pPr>
        <w:pStyle w:val="BodyText"/>
        <w:snapToGrid w:val="0"/>
        <w:ind w:firstLine="425"/>
        <w:jc w:val="both"/>
        <w:rPr>
          <w:rFonts w:eastAsiaTheme="minorEastAsia" w:hint="eastAsia"/>
          <w:iCs/>
          <w:sz w:val="20"/>
          <w:szCs w:val="20"/>
          <w:lang w:eastAsia="zh-CN"/>
        </w:rPr>
      </w:pPr>
      <w:r>
        <w:rPr>
          <w:rFonts w:eastAsiaTheme="minorEastAsia" w:hint="eastAsia"/>
          <w:iCs/>
          <w:sz w:val="20"/>
          <w:szCs w:val="20"/>
          <w:lang w:eastAsia="zh-CN"/>
        </w:rPr>
        <w:tab/>
      </w:r>
      <w:r w:rsidRPr="00A61A2B">
        <w:rPr>
          <w:iCs/>
          <w:sz w:val="20"/>
          <w:szCs w:val="20"/>
        </w:rPr>
        <w:t>From table 1 authors conclude that no statistical significant difference according to Characteristics clinical outcome of drugs in both groups according to endometrial thickness with P-value</w:t>
      </w:r>
      <w:r w:rsidRPr="00A61A2B">
        <w:rPr>
          <w:b/>
          <w:iCs/>
          <w:sz w:val="20"/>
          <w:szCs w:val="20"/>
        </w:rPr>
        <w:t>0.20</w:t>
      </w:r>
      <w:r w:rsidRPr="00A61A2B">
        <w:rPr>
          <w:iCs/>
          <w:sz w:val="20"/>
          <w:szCs w:val="20"/>
        </w:rPr>
        <w:t>), oocyte number (</w:t>
      </w:r>
      <w:r w:rsidRPr="00A61A2B">
        <w:rPr>
          <w:b/>
          <w:iCs/>
          <w:sz w:val="20"/>
          <w:szCs w:val="20"/>
        </w:rPr>
        <w:t>0.87)</w:t>
      </w:r>
      <w:r w:rsidRPr="00A61A2B">
        <w:rPr>
          <w:iCs/>
          <w:sz w:val="20"/>
          <w:szCs w:val="20"/>
        </w:rPr>
        <w:t>, fertilized ovum (</w:t>
      </w:r>
      <w:r w:rsidRPr="00A61A2B">
        <w:rPr>
          <w:b/>
          <w:iCs/>
          <w:sz w:val="20"/>
          <w:szCs w:val="20"/>
        </w:rPr>
        <w:t>0.24)</w:t>
      </w:r>
      <w:r w:rsidRPr="00A61A2B">
        <w:rPr>
          <w:iCs/>
          <w:sz w:val="20"/>
          <w:szCs w:val="20"/>
        </w:rPr>
        <w:t>, fresh embryo transferred (</w:t>
      </w:r>
      <w:r w:rsidRPr="00A61A2B">
        <w:rPr>
          <w:b/>
          <w:iCs/>
          <w:sz w:val="20"/>
          <w:szCs w:val="20"/>
        </w:rPr>
        <w:t>0.82)</w:t>
      </w:r>
      <w:r w:rsidRPr="00A61A2B">
        <w:rPr>
          <w:iCs/>
          <w:sz w:val="20"/>
          <w:szCs w:val="20"/>
        </w:rPr>
        <w:t>, frozen embryo (</w:t>
      </w:r>
      <w:r w:rsidRPr="00A61A2B">
        <w:rPr>
          <w:b/>
          <w:iCs/>
          <w:sz w:val="20"/>
          <w:szCs w:val="20"/>
        </w:rPr>
        <w:t>0.54)</w:t>
      </w:r>
      <w:r>
        <w:rPr>
          <w:rFonts w:eastAsiaTheme="minorEastAsia" w:hint="eastAsia"/>
          <w:b/>
          <w:iCs/>
          <w:sz w:val="20"/>
          <w:szCs w:val="20"/>
          <w:lang w:eastAsia="zh-CN"/>
        </w:rPr>
        <w:t xml:space="preserve">. </w:t>
      </w:r>
    </w:p>
    <w:p w:rsidR="000D37DB" w:rsidRPr="000D37DB" w:rsidRDefault="000D37DB" w:rsidP="006E05CF">
      <w:pPr>
        <w:pStyle w:val="BodyText"/>
        <w:snapToGrid w:val="0"/>
        <w:jc w:val="center"/>
        <w:rPr>
          <w:rFonts w:eastAsiaTheme="minorEastAsia" w:hint="eastAsia"/>
          <w:iCs/>
          <w:sz w:val="20"/>
          <w:szCs w:val="20"/>
          <w:lang w:eastAsia="zh-CN"/>
        </w:rPr>
        <w:sectPr w:rsidR="000D37DB" w:rsidRPr="000D37DB" w:rsidSect="00265181">
          <w:headerReference w:type="default" r:id="rId12"/>
          <w:pgSz w:w="12240" w:h="15840"/>
          <w:pgMar w:top="1440" w:right="1440" w:bottom="1440" w:left="1440" w:header="720" w:footer="720" w:gutter="0"/>
          <w:cols w:num="2" w:space="550"/>
          <w:docGrid w:linePitch="299"/>
        </w:sectPr>
      </w:pPr>
    </w:p>
    <w:p w:rsidR="009A553D" w:rsidRPr="00A61A2B" w:rsidRDefault="009A553D" w:rsidP="006E05CF">
      <w:pPr>
        <w:pStyle w:val="BodyText"/>
        <w:snapToGrid w:val="0"/>
        <w:jc w:val="center"/>
        <w:rPr>
          <w:iCs/>
          <w:sz w:val="20"/>
          <w:szCs w:val="20"/>
        </w:rPr>
      </w:pPr>
    </w:p>
    <w:p w:rsidR="009A553D" w:rsidRPr="00A61A2B" w:rsidRDefault="00EB655A" w:rsidP="006E05CF">
      <w:pPr>
        <w:pStyle w:val="BodyText"/>
        <w:snapToGrid w:val="0"/>
        <w:jc w:val="center"/>
        <w:rPr>
          <w:iCs/>
          <w:sz w:val="20"/>
          <w:szCs w:val="20"/>
        </w:rPr>
      </w:pPr>
      <w:r w:rsidRPr="00A61A2B">
        <w:rPr>
          <w:b/>
          <w:iCs/>
          <w:sz w:val="20"/>
          <w:szCs w:val="20"/>
        </w:rPr>
        <w:t xml:space="preserve">Table (1): </w:t>
      </w:r>
      <w:r w:rsidRPr="00A61A2B">
        <w:rPr>
          <w:iCs/>
          <w:sz w:val="20"/>
          <w:szCs w:val="20"/>
        </w:rPr>
        <w:t>Characteristics clinical outcome of drugs in both groups:</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2794"/>
        <w:gridCol w:w="1904"/>
        <w:gridCol w:w="1700"/>
        <w:gridCol w:w="1700"/>
        <w:gridCol w:w="1376"/>
      </w:tblGrid>
      <w:tr w:rsidR="009A553D" w:rsidRPr="00A61A2B" w:rsidTr="006E05CF">
        <w:trPr>
          <w:jc w:val="center"/>
        </w:trPr>
        <w:tc>
          <w:tcPr>
            <w:tcW w:w="2480" w:type="pct"/>
            <w:gridSpan w:val="2"/>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U/S</w:t>
            </w:r>
          </w:p>
        </w:tc>
        <w:tc>
          <w:tcPr>
            <w:tcW w:w="1794" w:type="pct"/>
            <w:gridSpan w:val="2"/>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Group</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p-value</w:t>
            </w:r>
          </w:p>
        </w:tc>
      </w:tr>
      <w:tr w:rsidR="009A553D" w:rsidRPr="00A61A2B" w:rsidTr="006E05CF">
        <w:trPr>
          <w:jc w:val="center"/>
        </w:trPr>
        <w:tc>
          <w:tcPr>
            <w:tcW w:w="2480" w:type="pct"/>
            <w:gridSpan w:val="2"/>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A</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B</w:t>
            </w:r>
          </w:p>
        </w:tc>
        <w:tc>
          <w:tcPr>
            <w:tcW w:w="726"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r w:rsidR="009A553D" w:rsidRPr="00A61A2B" w:rsidTr="006E05CF">
        <w:trPr>
          <w:jc w:val="center"/>
        </w:trPr>
        <w:tc>
          <w:tcPr>
            <w:tcW w:w="1475"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Endometrial</w:t>
            </w:r>
          </w:p>
          <w:p w:rsidR="009A553D" w:rsidRPr="00A61A2B" w:rsidRDefault="00EB655A" w:rsidP="006E05CF">
            <w:pPr>
              <w:pStyle w:val="TableParagraph"/>
              <w:snapToGrid w:val="0"/>
              <w:ind w:left="0"/>
              <w:jc w:val="both"/>
              <w:rPr>
                <w:b/>
                <w:iCs/>
                <w:sz w:val="20"/>
                <w:szCs w:val="20"/>
              </w:rPr>
            </w:pPr>
            <w:r w:rsidRPr="00A61A2B">
              <w:rPr>
                <w:b/>
                <w:iCs/>
                <w:sz w:val="20"/>
                <w:szCs w:val="20"/>
              </w:rPr>
              <w:t>thickness (mm)*</w:t>
            </w: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Range</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8-14</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9-12</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0.20</w:t>
            </w:r>
          </w:p>
        </w:tc>
      </w:tr>
      <w:tr w:rsidR="009A553D" w:rsidRPr="00A61A2B" w:rsidTr="006E05CF">
        <w:trPr>
          <w:jc w:val="center"/>
        </w:trPr>
        <w:tc>
          <w:tcPr>
            <w:tcW w:w="1475"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Mean ± SD</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9.25±0.71</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9.35±0.75</w:t>
            </w:r>
          </w:p>
        </w:tc>
        <w:tc>
          <w:tcPr>
            <w:tcW w:w="726"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r w:rsidR="009A553D" w:rsidRPr="00A61A2B" w:rsidTr="006E05CF">
        <w:trPr>
          <w:jc w:val="center"/>
        </w:trPr>
        <w:tc>
          <w:tcPr>
            <w:tcW w:w="1475"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Oocyte number</w:t>
            </w: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Range</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5-10</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6-12</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0.87</w:t>
            </w:r>
          </w:p>
        </w:tc>
      </w:tr>
      <w:tr w:rsidR="009A553D" w:rsidRPr="00A61A2B" w:rsidTr="006E05CF">
        <w:trPr>
          <w:jc w:val="center"/>
        </w:trPr>
        <w:tc>
          <w:tcPr>
            <w:tcW w:w="1475"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Mean ± SD</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6.2 ±3.2</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8.4±2.8</w:t>
            </w:r>
          </w:p>
        </w:tc>
        <w:tc>
          <w:tcPr>
            <w:tcW w:w="726"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r w:rsidR="009A553D" w:rsidRPr="00A61A2B" w:rsidTr="006E05CF">
        <w:trPr>
          <w:jc w:val="center"/>
        </w:trPr>
        <w:tc>
          <w:tcPr>
            <w:tcW w:w="1475"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pStyle w:val="TableParagraph"/>
              <w:snapToGrid w:val="0"/>
              <w:ind w:left="0"/>
              <w:jc w:val="both"/>
              <w:rPr>
                <w:iCs/>
                <w:sz w:val="20"/>
                <w:szCs w:val="20"/>
              </w:rPr>
            </w:pPr>
          </w:p>
          <w:p w:rsidR="009A553D" w:rsidRPr="00A61A2B" w:rsidRDefault="00EB655A" w:rsidP="006E05CF">
            <w:pPr>
              <w:pStyle w:val="TableParagraph"/>
              <w:snapToGrid w:val="0"/>
              <w:ind w:left="0"/>
              <w:jc w:val="both"/>
              <w:rPr>
                <w:b/>
                <w:iCs/>
                <w:sz w:val="20"/>
                <w:szCs w:val="20"/>
              </w:rPr>
            </w:pPr>
            <w:r w:rsidRPr="00A61A2B">
              <w:rPr>
                <w:b/>
                <w:iCs/>
                <w:sz w:val="20"/>
                <w:szCs w:val="20"/>
              </w:rPr>
              <w:t>Fertilized ovum</w:t>
            </w: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Range</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4-9</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4-11</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pStyle w:val="TableParagraph"/>
              <w:snapToGrid w:val="0"/>
              <w:ind w:left="0"/>
              <w:jc w:val="both"/>
              <w:rPr>
                <w:iCs/>
                <w:sz w:val="20"/>
                <w:szCs w:val="20"/>
              </w:rPr>
            </w:pPr>
          </w:p>
          <w:p w:rsidR="009A553D" w:rsidRPr="00A61A2B" w:rsidRDefault="00EB655A" w:rsidP="006E05CF">
            <w:pPr>
              <w:pStyle w:val="TableParagraph"/>
              <w:snapToGrid w:val="0"/>
              <w:ind w:left="0"/>
              <w:jc w:val="both"/>
              <w:rPr>
                <w:b/>
                <w:iCs/>
                <w:sz w:val="20"/>
                <w:szCs w:val="20"/>
              </w:rPr>
            </w:pPr>
            <w:r w:rsidRPr="00A61A2B">
              <w:rPr>
                <w:b/>
                <w:iCs/>
                <w:sz w:val="20"/>
                <w:szCs w:val="20"/>
              </w:rPr>
              <w:t>0.24</w:t>
            </w:r>
          </w:p>
        </w:tc>
      </w:tr>
      <w:tr w:rsidR="009A553D" w:rsidRPr="00A61A2B" w:rsidTr="006E05CF">
        <w:trPr>
          <w:jc w:val="center"/>
        </w:trPr>
        <w:tc>
          <w:tcPr>
            <w:tcW w:w="1475"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Mean ± SD</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6.3±1.23</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7.1±1.34</w:t>
            </w:r>
          </w:p>
        </w:tc>
        <w:tc>
          <w:tcPr>
            <w:tcW w:w="726"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r w:rsidR="009A553D" w:rsidRPr="00A61A2B" w:rsidTr="006E05CF">
        <w:trPr>
          <w:jc w:val="center"/>
        </w:trPr>
        <w:tc>
          <w:tcPr>
            <w:tcW w:w="147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Fresh Embryo</w:t>
            </w: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N</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2</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2</w:t>
            </w:r>
          </w:p>
        </w:tc>
        <w:tc>
          <w:tcPr>
            <w:tcW w:w="726"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0.82</w:t>
            </w:r>
          </w:p>
        </w:tc>
      </w:tr>
      <w:tr w:rsidR="009A553D" w:rsidRPr="00A61A2B" w:rsidTr="006E05CF">
        <w:trPr>
          <w:jc w:val="center"/>
        </w:trPr>
        <w:tc>
          <w:tcPr>
            <w:tcW w:w="1475"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pStyle w:val="TableParagraph"/>
              <w:snapToGrid w:val="0"/>
              <w:ind w:left="0"/>
              <w:jc w:val="both"/>
              <w:rPr>
                <w:iCs/>
                <w:sz w:val="20"/>
                <w:szCs w:val="20"/>
              </w:rPr>
            </w:pPr>
          </w:p>
          <w:p w:rsidR="009A553D" w:rsidRPr="00A61A2B" w:rsidRDefault="00EB655A" w:rsidP="006E05CF">
            <w:pPr>
              <w:pStyle w:val="TableParagraph"/>
              <w:snapToGrid w:val="0"/>
              <w:ind w:left="0"/>
              <w:jc w:val="both"/>
              <w:rPr>
                <w:b/>
                <w:iCs/>
                <w:sz w:val="20"/>
                <w:szCs w:val="20"/>
              </w:rPr>
            </w:pPr>
            <w:r w:rsidRPr="00A61A2B">
              <w:rPr>
                <w:b/>
                <w:iCs/>
                <w:sz w:val="20"/>
                <w:szCs w:val="20"/>
              </w:rPr>
              <w:t>Frozen embryo</w:t>
            </w: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Range</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0-7</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1-9</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pStyle w:val="TableParagraph"/>
              <w:snapToGrid w:val="0"/>
              <w:ind w:left="0"/>
              <w:jc w:val="both"/>
              <w:rPr>
                <w:iCs/>
                <w:sz w:val="20"/>
                <w:szCs w:val="20"/>
              </w:rPr>
            </w:pPr>
          </w:p>
          <w:p w:rsidR="009A553D" w:rsidRPr="00A61A2B" w:rsidRDefault="00EB655A" w:rsidP="006E05CF">
            <w:pPr>
              <w:pStyle w:val="TableParagraph"/>
              <w:snapToGrid w:val="0"/>
              <w:ind w:left="0"/>
              <w:jc w:val="both"/>
              <w:rPr>
                <w:b/>
                <w:iCs/>
                <w:sz w:val="20"/>
                <w:szCs w:val="20"/>
              </w:rPr>
            </w:pPr>
            <w:r w:rsidRPr="00A61A2B">
              <w:rPr>
                <w:b/>
                <w:iCs/>
                <w:sz w:val="20"/>
                <w:szCs w:val="20"/>
              </w:rPr>
              <w:t>0.54</w:t>
            </w:r>
          </w:p>
        </w:tc>
      </w:tr>
      <w:tr w:rsidR="009A553D" w:rsidRPr="00A61A2B" w:rsidTr="006E05CF">
        <w:trPr>
          <w:jc w:val="center"/>
        </w:trPr>
        <w:tc>
          <w:tcPr>
            <w:tcW w:w="1475"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1005"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Mean ± SD</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4.3±1.173</w:t>
            </w:r>
          </w:p>
        </w:tc>
        <w:tc>
          <w:tcPr>
            <w:tcW w:w="89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6.1±1.244</w:t>
            </w:r>
          </w:p>
        </w:tc>
        <w:tc>
          <w:tcPr>
            <w:tcW w:w="726"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bl>
    <w:p w:rsidR="00910927" w:rsidRPr="00A61A2B" w:rsidRDefault="00910927" w:rsidP="006E05CF">
      <w:pPr>
        <w:snapToGrid w:val="0"/>
        <w:jc w:val="center"/>
        <w:rPr>
          <w:b/>
          <w:iCs/>
          <w:sz w:val="20"/>
          <w:szCs w:val="20"/>
        </w:rPr>
      </w:pPr>
    </w:p>
    <w:p w:rsidR="000D37DB" w:rsidRDefault="000D37DB" w:rsidP="006E05CF">
      <w:pPr>
        <w:snapToGrid w:val="0"/>
        <w:jc w:val="center"/>
        <w:rPr>
          <w:rFonts w:eastAsiaTheme="minorEastAsia" w:hint="eastAsia"/>
          <w:b/>
          <w:iCs/>
          <w:sz w:val="20"/>
          <w:szCs w:val="20"/>
          <w:lang w:eastAsia="zh-CN"/>
        </w:rPr>
      </w:pPr>
    </w:p>
    <w:p w:rsidR="009A553D" w:rsidRPr="00A61A2B" w:rsidRDefault="00EB655A" w:rsidP="006E05CF">
      <w:pPr>
        <w:snapToGrid w:val="0"/>
        <w:jc w:val="center"/>
        <w:rPr>
          <w:iCs/>
          <w:sz w:val="20"/>
          <w:szCs w:val="20"/>
        </w:rPr>
      </w:pPr>
      <w:r w:rsidRPr="00A61A2B">
        <w:rPr>
          <w:b/>
          <w:iCs/>
          <w:sz w:val="20"/>
          <w:szCs w:val="20"/>
        </w:rPr>
        <w:t xml:space="preserve">Table (2): </w:t>
      </w:r>
      <w:r w:rsidRPr="00A61A2B">
        <w:rPr>
          <w:iCs/>
          <w:sz w:val="20"/>
          <w:szCs w:val="20"/>
        </w:rPr>
        <w:t>Side effects of both drugs:</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4069"/>
        <w:gridCol w:w="610"/>
        <w:gridCol w:w="1330"/>
        <w:gridCol w:w="610"/>
        <w:gridCol w:w="1093"/>
        <w:gridCol w:w="1762"/>
      </w:tblGrid>
      <w:tr w:rsidR="009A553D" w:rsidRPr="00A61A2B" w:rsidTr="006E05CF">
        <w:trPr>
          <w:jc w:val="center"/>
        </w:trPr>
        <w:tc>
          <w:tcPr>
            <w:tcW w:w="2147"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pStyle w:val="TableParagraph"/>
              <w:snapToGrid w:val="0"/>
              <w:ind w:left="0"/>
              <w:jc w:val="both"/>
              <w:rPr>
                <w:iCs/>
                <w:sz w:val="20"/>
                <w:szCs w:val="20"/>
              </w:rPr>
            </w:pPr>
          </w:p>
          <w:p w:rsidR="009A553D" w:rsidRPr="00A61A2B" w:rsidRDefault="009A553D" w:rsidP="006E05CF">
            <w:pPr>
              <w:pStyle w:val="TableParagraph"/>
              <w:snapToGrid w:val="0"/>
              <w:ind w:left="0"/>
              <w:jc w:val="both"/>
              <w:rPr>
                <w:iCs/>
                <w:sz w:val="20"/>
                <w:szCs w:val="20"/>
              </w:rPr>
            </w:pPr>
          </w:p>
          <w:p w:rsidR="009A553D" w:rsidRPr="00A61A2B" w:rsidRDefault="00EB655A" w:rsidP="006E05CF">
            <w:pPr>
              <w:pStyle w:val="TableParagraph"/>
              <w:snapToGrid w:val="0"/>
              <w:ind w:left="0"/>
              <w:jc w:val="both"/>
              <w:rPr>
                <w:b/>
                <w:iCs/>
                <w:sz w:val="20"/>
                <w:szCs w:val="20"/>
              </w:rPr>
            </w:pPr>
            <w:r w:rsidRPr="00A61A2B">
              <w:rPr>
                <w:b/>
                <w:iCs/>
                <w:sz w:val="20"/>
                <w:szCs w:val="20"/>
              </w:rPr>
              <w:t>Side effects</w:t>
            </w:r>
          </w:p>
        </w:tc>
        <w:tc>
          <w:tcPr>
            <w:tcW w:w="1923" w:type="pct"/>
            <w:gridSpan w:val="4"/>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Group</w:t>
            </w:r>
          </w:p>
        </w:tc>
        <w:tc>
          <w:tcPr>
            <w:tcW w:w="930" w:type="pct"/>
            <w:vMerge w:val="restart"/>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pStyle w:val="TableParagraph"/>
              <w:snapToGrid w:val="0"/>
              <w:ind w:left="0"/>
              <w:jc w:val="both"/>
              <w:rPr>
                <w:iCs/>
                <w:sz w:val="20"/>
                <w:szCs w:val="20"/>
              </w:rPr>
            </w:pPr>
          </w:p>
          <w:p w:rsidR="009A553D" w:rsidRPr="00A61A2B" w:rsidRDefault="00EB655A" w:rsidP="006E05CF">
            <w:pPr>
              <w:pStyle w:val="TableParagraph"/>
              <w:snapToGrid w:val="0"/>
              <w:ind w:left="0"/>
              <w:jc w:val="both"/>
              <w:rPr>
                <w:b/>
                <w:iCs/>
                <w:sz w:val="20"/>
                <w:szCs w:val="20"/>
              </w:rPr>
            </w:pPr>
            <w:r w:rsidRPr="00A61A2B">
              <w:rPr>
                <w:b/>
                <w:iCs/>
                <w:sz w:val="20"/>
                <w:szCs w:val="20"/>
              </w:rPr>
              <w:t>p-value</w:t>
            </w:r>
          </w:p>
        </w:tc>
      </w:tr>
      <w:tr w:rsidR="009A553D" w:rsidRPr="00A61A2B" w:rsidTr="006E05CF">
        <w:trPr>
          <w:jc w:val="center"/>
        </w:trPr>
        <w:tc>
          <w:tcPr>
            <w:tcW w:w="2147"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1024" w:type="pct"/>
            <w:gridSpan w:val="2"/>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A</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B</w:t>
            </w:r>
          </w:p>
        </w:tc>
        <w:tc>
          <w:tcPr>
            <w:tcW w:w="930"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r w:rsidR="009A553D" w:rsidRPr="00A61A2B" w:rsidTr="006E05CF">
        <w:trPr>
          <w:jc w:val="center"/>
        </w:trPr>
        <w:tc>
          <w:tcPr>
            <w:tcW w:w="2147"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N</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N</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w:t>
            </w:r>
          </w:p>
        </w:tc>
        <w:tc>
          <w:tcPr>
            <w:tcW w:w="930" w:type="pct"/>
            <w:vMerge/>
            <w:tcBorders>
              <w:top w:val="single" w:sz="4" w:space="0" w:color="auto"/>
              <w:left w:val="single" w:sz="4" w:space="0" w:color="auto"/>
              <w:bottom w:val="single" w:sz="4" w:space="0" w:color="auto"/>
              <w:right w:val="single" w:sz="4" w:space="0" w:color="auto"/>
            </w:tcBorders>
            <w:vAlign w:val="center"/>
          </w:tcPr>
          <w:p w:rsidR="009A553D" w:rsidRPr="00A61A2B" w:rsidRDefault="009A553D" w:rsidP="006E05CF">
            <w:pPr>
              <w:snapToGrid w:val="0"/>
              <w:jc w:val="both"/>
              <w:rPr>
                <w:iCs/>
                <w:sz w:val="20"/>
                <w:szCs w:val="20"/>
              </w:rPr>
            </w:pPr>
          </w:p>
        </w:tc>
      </w:tr>
      <w:tr w:rsidR="009A553D" w:rsidRPr="00A61A2B" w:rsidTr="006E05CF">
        <w:trPr>
          <w:jc w:val="center"/>
        </w:trPr>
        <w:tc>
          <w:tcPr>
            <w:tcW w:w="214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Vaginal bleeding</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21.05</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8</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42.1</w:t>
            </w:r>
          </w:p>
        </w:tc>
        <w:tc>
          <w:tcPr>
            <w:tcW w:w="930"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0.17</w:t>
            </w:r>
          </w:p>
        </w:tc>
      </w:tr>
      <w:tr w:rsidR="009A553D" w:rsidRPr="00A61A2B" w:rsidTr="006E05CF">
        <w:trPr>
          <w:jc w:val="center"/>
        </w:trPr>
        <w:tc>
          <w:tcPr>
            <w:tcW w:w="214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Nausea</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21.05</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1</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5.2</w:t>
            </w:r>
          </w:p>
        </w:tc>
        <w:tc>
          <w:tcPr>
            <w:tcW w:w="930"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0.15</w:t>
            </w:r>
          </w:p>
        </w:tc>
      </w:tr>
      <w:tr w:rsidR="009A553D" w:rsidRPr="00A61A2B" w:rsidTr="006E05CF">
        <w:trPr>
          <w:jc w:val="center"/>
        </w:trPr>
        <w:tc>
          <w:tcPr>
            <w:tcW w:w="214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Epigastric pain</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21.05</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1</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5.2</w:t>
            </w:r>
          </w:p>
        </w:tc>
        <w:tc>
          <w:tcPr>
            <w:tcW w:w="930"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0.15</w:t>
            </w:r>
          </w:p>
        </w:tc>
      </w:tr>
      <w:tr w:rsidR="009A553D" w:rsidRPr="00A61A2B" w:rsidTr="006E05CF">
        <w:trPr>
          <w:jc w:val="center"/>
        </w:trPr>
        <w:tc>
          <w:tcPr>
            <w:tcW w:w="214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Change in appetite</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8</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42.1</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7</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36.8</w:t>
            </w:r>
          </w:p>
        </w:tc>
        <w:tc>
          <w:tcPr>
            <w:tcW w:w="930"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0.75</w:t>
            </w:r>
          </w:p>
        </w:tc>
      </w:tr>
      <w:tr w:rsidR="009A553D" w:rsidRPr="00A61A2B" w:rsidTr="006E05CF">
        <w:tblPrEx>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PrEx>
        <w:trPr>
          <w:jc w:val="center"/>
        </w:trPr>
        <w:tc>
          <w:tcPr>
            <w:tcW w:w="214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Weight gain</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21.05</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8</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42.1</w:t>
            </w:r>
          </w:p>
        </w:tc>
        <w:tc>
          <w:tcPr>
            <w:tcW w:w="930"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0.38</w:t>
            </w:r>
          </w:p>
        </w:tc>
      </w:tr>
      <w:tr w:rsidR="009A553D" w:rsidRPr="00A61A2B" w:rsidTr="006E05CF">
        <w:tblPrEx>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PrEx>
        <w:trPr>
          <w:jc w:val="center"/>
        </w:trPr>
        <w:tc>
          <w:tcPr>
            <w:tcW w:w="214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Vaginal irritation</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1</w:t>
            </w:r>
          </w:p>
        </w:tc>
        <w:tc>
          <w:tcPr>
            <w:tcW w:w="701"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5.2</w:t>
            </w:r>
          </w:p>
        </w:tc>
        <w:tc>
          <w:tcPr>
            <w:tcW w:w="322"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8</w:t>
            </w:r>
          </w:p>
        </w:tc>
        <w:tc>
          <w:tcPr>
            <w:tcW w:w="577"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iCs/>
                <w:sz w:val="20"/>
                <w:szCs w:val="20"/>
              </w:rPr>
            </w:pPr>
            <w:r w:rsidRPr="00A61A2B">
              <w:rPr>
                <w:iCs/>
                <w:sz w:val="20"/>
                <w:szCs w:val="20"/>
              </w:rPr>
              <w:t>42.1</w:t>
            </w:r>
          </w:p>
        </w:tc>
        <w:tc>
          <w:tcPr>
            <w:tcW w:w="930" w:type="pct"/>
            <w:tcBorders>
              <w:top w:val="single" w:sz="4" w:space="0" w:color="auto"/>
              <w:left w:val="single" w:sz="4" w:space="0" w:color="auto"/>
              <w:bottom w:val="single" w:sz="4" w:space="0" w:color="auto"/>
              <w:right w:val="single" w:sz="4" w:space="0" w:color="auto"/>
            </w:tcBorders>
            <w:vAlign w:val="center"/>
          </w:tcPr>
          <w:p w:rsidR="009A553D" w:rsidRPr="00A61A2B" w:rsidRDefault="00EB655A" w:rsidP="006E05CF">
            <w:pPr>
              <w:pStyle w:val="TableParagraph"/>
              <w:snapToGrid w:val="0"/>
              <w:ind w:left="0"/>
              <w:jc w:val="both"/>
              <w:rPr>
                <w:b/>
                <w:iCs/>
                <w:sz w:val="20"/>
                <w:szCs w:val="20"/>
              </w:rPr>
            </w:pPr>
            <w:r w:rsidRPr="00A61A2B">
              <w:rPr>
                <w:b/>
                <w:iCs/>
                <w:sz w:val="20"/>
                <w:szCs w:val="20"/>
              </w:rPr>
              <w:t>0.007*</w:t>
            </w:r>
          </w:p>
        </w:tc>
      </w:tr>
    </w:tbl>
    <w:p w:rsidR="006E05CF" w:rsidRDefault="006E05CF" w:rsidP="006E05CF">
      <w:pPr>
        <w:snapToGrid w:val="0"/>
        <w:ind w:firstLine="425"/>
        <w:jc w:val="both"/>
        <w:rPr>
          <w:rFonts w:eastAsiaTheme="minorEastAsia" w:hint="eastAsia"/>
          <w:b/>
          <w:iCs/>
          <w:sz w:val="20"/>
          <w:szCs w:val="20"/>
          <w:lang w:eastAsia="zh-CN"/>
        </w:rPr>
      </w:pPr>
    </w:p>
    <w:p w:rsidR="000D37DB" w:rsidRDefault="000D37DB" w:rsidP="006E05CF">
      <w:pPr>
        <w:snapToGrid w:val="0"/>
        <w:ind w:firstLine="425"/>
        <w:jc w:val="both"/>
        <w:rPr>
          <w:rFonts w:eastAsiaTheme="minorEastAsia" w:hint="eastAsia"/>
          <w:b/>
          <w:iCs/>
          <w:sz w:val="20"/>
          <w:szCs w:val="20"/>
          <w:lang w:eastAsia="zh-CN"/>
        </w:rPr>
      </w:pPr>
    </w:p>
    <w:p w:rsidR="000D37DB" w:rsidRPr="00A61A2B" w:rsidRDefault="000D37DB" w:rsidP="006E05CF">
      <w:pPr>
        <w:snapToGrid w:val="0"/>
        <w:ind w:firstLine="425"/>
        <w:jc w:val="both"/>
        <w:rPr>
          <w:rFonts w:eastAsiaTheme="minorEastAsia"/>
          <w:b/>
          <w:iCs/>
          <w:sz w:val="20"/>
          <w:szCs w:val="20"/>
          <w:lang w:eastAsia="zh-CN"/>
        </w:rPr>
      </w:pPr>
    </w:p>
    <w:p w:rsidR="00F22118" w:rsidRPr="00A61A2B" w:rsidRDefault="00F22118" w:rsidP="006E05CF">
      <w:pPr>
        <w:snapToGrid w:val="0"/>
        <w:ind w:firstLine="425"/>
        <w:jc w:val="both"/>
        <w:rPr>
          <w:rFonts w:eastAsiaTheme="minorEastAsia"/>
          <w:b/>
          <w:iCs/>
          <w:sz w:val="20"/>
          <w:szCs w:val="20"/>
          <w:lang w:eastAsia="zh-CN"/>
        </w:rPr>
        <w:sectPr w:rsidR="00F22118" w:rsidRPr="00A61A2B" w:rsidSect="001A60CC">
          <w:type w:val="continuous"/>
          <w:pgSz w:w="12240" w:h="15840"/>
          <w:pgMar w:top="1440" w:right="1440" w:bottom="1440" w:left="1440" w:header="720" w:footer="720" w:gutter="0"/>
          <w:cols w:space="720"/>
          <w:docGrid w:linePitch="299"/>
        </w:sectPr>
      </w:pPr>
    </w:p>
    <w:p w:rsidR="00F22118" w:rsidRPr="00A61A2B" w:rsidRDefault="00F22118" w:rsidP="00F22118">
      <w:pPr>
        <w:snapToGrid w:val="0"/>
        <w:ind w:firstLine="425"/>
        <w:jc w:val="both"/>
        <w:rPr>
          <w:b/>
          <w:iCs/>
          <w:sz w:val="20"/>
          <w:szCs w:val="20"/>
        </w:rPr>
      </w:pPr>
      <w:r w:rsidRPr="00A61A2B">
        <w:rPr>
          <w:iCs/>
          <w:sz w:val="20"/>
          <w:szCs w:val="20"/>
        </w:rPr>
        <w:lastRenderedPageBreak/>
        <w:t xml:space="preserve">Among the 40 patients who were initially enrolled, two could not follow the study protocol and were excluded from the final analysis: one patient </w:t>
      </w:r>
      <w:r w:rsidRPr="00A61A2B">
        <w:rPr>
          <w:b/>
          <w:iCs/>
          <w:sz w:val="20"/>
          <w:szCs w:val="20"/>
        </w:rPr>
        <w:t>from group A showed bad response to ovarian stimulation</w:t>
      </w:r>
      <w:r w:rsidRPr="00A61A2B">
        <w:rPr>
          <w:iCs/>
          <w:sz w:val="20"/>
          <w:szCs w:val="20"/>
        </w:rPr>
        <w:t xml:space="preserve">, one patient </w:t>
      </w:r>
      <w:r w:rsidRPr="00A61A2B">
        <w:rPr>
          <w:b/>
          <w:iCs/>
          <w:sz w:val="20"/>
          <w:szCs w:val="20"/>
        </w:rPr>
        <w:t>from group B lost in follow up.</w:t>
      </w:r>
    </w:p>
    <w:p w:rsidR="00F22118" w:rsidRPr="000D37DB" w:rsidRDefault="00F22118" w:rsidP="00F22118">
      <w:pPr>
        <w:pStyle w:val="BodyText"/>
        <w:snapToGrid w:val="0"/>
        <w:ind w:firstLine="425"/>
        <w:jc w:val="both"/>
        <w:rPr>
          <w:rFonts w:eastAsiaTheme="minorEastAsia" w:hint="eastAsia"/>
          <w:iCs/>
          <w:sz w:val="20"/>
          <w:szCs w:val="20"/>
          <w:lang w:eastAsia="zh-CN"/>
        </w:rPr>
      </w:pPr>
      <w:r w:rsidRPr="00A61A2B">
        <w:rPr>
          <w:iCs/>
          <w:sz w:val="20"/>
          <w:szCs w:val="20"/>
        </w:rPr>
        <w:t xml:space="preserve">From table 2 authors conclude that no significant statistical difference between both groups regarding side effect except for vaginal irritation. comparison between two groups according to incidence of each side effects in both groups such as Vaginal bleeding </w:t>
      </w:r>
      <w:r w:rsidRPr="00A61A2B">
        <w:rPr>
          <w:iCs/>
          <w:sz w:val="20"/>
          <w:szCs w:val="20"/>
        </w:rPr>
        <w:lastRenderedPageBreak/>
        <w:t>with P-value (0.17), Nausea (0.15), Epigastric pain (0.15), Change in appetite (0.75), Weight gain (0.38) and Vaginal irritation with significant P-value (0.007)</w:t>
      </w:r>
      <w:r w:rsidR="000D37DB">
        <w:rPr>
          <w:rFonts w:eastAsiaTheme="minorEastAsia" w:hint="eastAsia"/>
          <w:iCs/>
          <w:sz w:val="20"/>
          <w:szCs w:val="20"/>
          <w:lang w:eastAsia="zh-CN"/>
        </w:rPr>
        <w:t>.</w:t>
      </w:r>
    </w:p>
    <w:p w:rsidR="00F22118" w:rsidRPr="00A61A2B" w:rsidRDefault="00F22118" w:rsidP="00F22118">
      <w:pPr>
        <w:pStyle w:val="BodyText"/>
        <w:snapToGrid w:val="0"/>
        <w:ind w:firstLine="425"/>
        <w:jc w:val="both"/>
        <w:rPr>
          <w:iCs/>
          <w:sz w:val="20"/>
          <w:szCs w:val="20"/>
        </w:rPr>
      </w:pPr>
      <w:r w:rsidRPr="00A61A2B">
        <w:rPr>
          <w:iCs/>
          <w:sz w:val="20"/>
          <w:szCs w:val="20"/>
        </w:rPr>
        <w:t xml:space="preserve">From </w:t>
      </w:r>
      <w:r w:rsidR="000D37DB">
        <w:rPr>
          <w:rFonts w:eastAsiaTheme="minorEastAsia" w:hint="eastAsia"/>
          <w:iCs/>
          <w:sz w:val="20"/>
          <w:szCs w:val="20"/>
          <w:lang w:eastAsia="zh-CN"/>
        </w:rPr>
        <w:t>T</w:t>
      </w:r>
      <w:r w:rsidRPr="00A61A2B">
        <w:rPr>
          <w:iCs/>
          <w:sz w:val="20"/>
          <w:szCs w:val="20"/>
        </w:rPr>
        <w:t>able 3 authors conclude that patient satisfaction to oral Dydrogesterone was better than that of vaginal Progesterone with a significant P-value 0.010.</w:t>
      </w:r>
    </w:p>
    <w:p w:rsidR="00F22118" w:rsidRPr="00A61A2B" w:rsidRDefault="00F22118" w:rsidP="00F22118">
      <w:pPr>
        <w:snapToGrid w:val="0"/>
        <w:ind w:firstLine="425"/>
        <w:jc w:val="both"/>
        <w:rPr>
          <w:rFonts w:eastAsiaTheme="minorEastAsia"/>
          <w:b/>
          <w:iCs/>
          <w:sz w:val="20"/>
          <w:szCs w:val="20"/>
          <w:lang w:eastAsia="zh-CN"/>
        </w:rPr>
      </w:pPr>
      <w:r w:rsidRPr="00A61A2B">
        <w:rPr>
          <w:iCs/>
          <w:sz w:val="20"/>
          <w:szCs w:val="20"/>
        </w:rPr>
        <w:t>From table 4 authors conclude that no statistical significant difference between both groups according to pregnancy rate with P-value 0.27.</w:t>
      </w:r>
    </w:p>
    <w:p w:rsidR="00F22118" w:rsidRPr="00A61A2B" w:rsidRDefault="00F22118" w:rsidP="006E05CF">
      <w:pPr>
        <w:snapToGrid w:val="0"/>
        <w:ind w:firstLine="425"/>
        <w:jc w:val="both"/>
        <w:rPr>
          <w:rFonts w:eastAsiaTheme="minorEastAsia"/>
          <w:b/>
          <w:iCs/>
          <w:sz w:val="20"/>
          <w:szCs w:val="20"/>
          <w:lang w:eastAsia="zh-CN"/>
        </w:rPr>
        <w:sectPr w:rsidR="00F22118" w:rsidRPr="00A61A2B" w:rsidSect="00F22118">
          <w:type w:val="continuous"/>
          <w:pgSz w:w="12240" w:h="15840"/>
          <w:pgMar w:top="1440" w:right="1440" w:bottom="1440" w:left="1440" w:header="720" w:footer="720" w:gutter="0"/>
          <w:cols w:num="2" w:space="550"/>
          <w:docGrid w:linePitch="299"/>
        </w:sectPr>
      </w:pPr>
    </w:p>
    <w:p w:rsidR="00F22118" w:rsidRPr="00A61A2B" w:rsidRDefault="00F22118" w:rsidP="006E05CF">
      <w:pPr>
        <w:snapToGrid w:val="0"/>
        <w:ind w:firstLine="425"/>
        <w:jc w:val="both"/>
        <w:rPr>
          <w:rFonts w:eastAsiaTheme="minorEastAsia"/>
          <w:b/>
          <w:iCs/>
          <w:sz w:val="20"/>
          <w:szCs w:val="20"/>
          <w:lang w:eastAsia="zh-CN"/>
        </w:rPr>
      </w:pPr>
    </w:p>
    <w:p w:rsidR="000D37DB" w:rsidRDefault="000D37DB" w:rsidP="006E05CF">
      <w:pPr>
        <w:snapToGrid w:val="0"/>
        <w:jc w:val="center"/>
        <w:rPr>
          <w:rFonts w:eastAsiaTheme="minorEastAsia" w:hint="eastAsia"/>
          <w:b/>
          <w:iCs/>
          <w:color w:val="000000" w:themeColor="text1"/>
          <w:sz w:val="20"/>
          <w:szCs w:val="20"/>
          <w:lang w:eastAsia="zh-CN"/>
        </w:rPr>
      </w:pPr>
    </w:p>
    <w:p w:rsidR="009A553D" w:rsidRPr="000D37DB" w:rsidRDefault="00EB655A" w:rsidP="006E05CF">
      <w:pPr>
        <w:snapToGrid w:val="0"/>
        <w:jc w:val="center"/>
        <w:rPr>
          <w:iCs/>
          <w:color w:val="000000" w:themeColor="text1"/>
          <w:sz w:val="20"/>
          <w:szCs w:val="20"/>
        </w:rPr>
      </w:pPr>
      <w:r w:rsidRPr="000D37DB">
        <w:rPr>
          <w:b/>
          <w:iCs/>
          <w:color w:val="000000" w:themeColor="text1"/>
          <w:sz w:val="20"/>
          <w:szCs w:val="20"/>
        </w:rPr>
        <w:t xml:space="preserve">Table (3): </w:t>
      </w:r>
      <w:r w:rsidRPr="000D37DB">
        <w:rPr>
          <w:iCs/>
          <w:color w:val="000000" w:themeColor="text1"/>
          <w:sz w:val="20"/>
          <w:szCs w:val="20"/>
        </w:rPr>
        <w:t>Patient satisfaction of both drugs:</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5957"/>
        <w:gridCol w:w="491"/>
        <w:gridCol w:w="726"/>
        <w:gridCol w:w="405"/>
        <w:gridCol w:w="726"/>
        <w:gridCol w:w="1169"/>
      </w:tblGrid>
      <w:tr w:rsidR="009A553D" w:rsidRPr="000D37DB" w:rsidTr="006E05CF">
        <w:trPr>
          <w:jc w:val="center"/>
        </w:trPr>
        <w:tc>
          <w:tcPr>
            <w:tcW w:w="3144" w:type="pct"/>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Side effects</w:t>
            </w:r>
          </w:p>
        </w:tc>
        <w:tc>
          <w:tcPr>
            <w:tcW w:w="1238" w:type="pct"/>
            <w:gridSpan w:val="4"/>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Group</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p-value</w:t>
            </w:r>
          </w:p>
        </w:tc>
      </w:tr>
      <w:tr w:rsidR="009A553D" w:rsidRPr="000D37DB" w:rsidTr="006E05CF">
        <w:trPr>
          <w:jc w:val="center"/>
        </w:trPr>
        <w:tc>
          <w:tcPr>
            <w:tcW w:w="3144"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c>
          <w:tcPr>
            <w:tcW w:w="642"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A</w:t>
            </w:r>
          </w:p>
        </w:tc>
        <w:tc>
          <w:tcPr>
            <w:tcW w:w="597"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B</w:t>
            </w:r>
          </w:p>
        </w:tc>
        <w:tc>
          <w:tcPr>
            <w:tcW w:w="61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r w:rsidR="009A553D" w:rsidRPr="000D37DB" w:rsidTr="006E05CF">
        <w:trPr>
          <w:jc w:val="center"/>
        </w:trPr>
        <w:tc>
          <w:tcPr>
            <w:tcW w:w="3144"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c>
          <w:tcPr>
            <w:tcW w:w="25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N</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w:t>
            </w:r>
          </w:p>
        </w:tc>
        <w:tc>
          <w:tcPr>
            <w:tcW w:w="21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N</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w:t>
            </w:r>
          </w:p>
        </w:tc>
        <w:tc>
          <w:tcPr>
            <w:tcW w:w="61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r w:rsidR="009A553D" w:rsidRPr="000D37DB" w:rsidTr="006E05CF">
        <w:trPr>
          <w:jc w:val="center"/>
        </w:trPr>
        <w:tc>
          <w:tcPr>
            <w:tcW w:w="3144" w:type="pct"/>
            <w:tcBorders>
              <w:top w:val="single" w:sz="4" w:space="0" w:color="auto"/>
              <w:left w:val="single" w:sz="4" w:space="0" w:color="auto"/>
              <w:bottom w:val="single" w:sz="4" w:space="0" w:color="auto"/>
              <w:right w:val="single" w:sz="4" w:space="0" w:color="auto"/>
            </w:tcBorders>
            <w:vAlign w:val="center"/>
          </w:tcPr>
          <w:p w:rsidR="009A553D" w:rsidRPr="000D37DB" w:rsidRDefault="007C6D96" w:rsidP="006E05CF">
            <w:pPr>
              <w:pStyle w:val="TableParagraph"/>
              <w:snapToGrid w:val="0"/>
              <w:ind w:left="0"/>
              <w:jc w:val="both"/>
              <w:rPr>
                <w:b/>
                <w:iCs/>
                <w:color w:val="000000" w:themeColor="text1"/>
                <w:sz w:val="20"/>
                <w:szCs w:val="20"/>
              </w:rPr>
            </w:pPr>
            <w:r w:rsidRPr="000D37DB">
              <w:rPr>
                <w:b/>
                <w:iCs/>
                <w:color w:val="000000" w:themeColor="text1"/>
                <w:sz w:val="20"/>
                <w:szCs w:val="20"/>
              </w:rPr>
              <w:t>Scale</w:t>
            </w:r>
            <w:r w:rsidR="000D37DB">
              <w:rPr>
                <w:rFonts w:eastAsiaTheme="minorEastAsia" w:hint="eastAsia"/>
                <w:b/>
                <w:iCs/>
                <w:color w:val="000000" w:themeColor="text1"/>
                <w:sz w:val="20"/>
                <w:szCs w:val="20"/>
                <w:lang w:eastAsia="zh-CN"/>
              </w:rPr>
              <w:t xml:space="preserve"> </w:t>
            </w:r>
            <w:r w:rsidR="00EB655A" w:rsidRPr="000D37DB">
              <w:rPr>
                <w:b/>
                <w:iCs/>
                <w:color w:val="000000" w:themeColor="text1"/>
                <w:sz w:val="20"/>
                <w:szCs w:val="20"/>
              </w:rPr>
              <w:t>1</w:t>
            </w:r>
          </w:p>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(absolutely dissatisfied)</w:t>
            </w:r>
          </w:p>
        </w:tc>
        <w:tc>
          <w:tcPr>
            <w:tcW w:w="25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w:t>
            </w:r>
          </w:p>
        </w:tc>
        <w:tc>
          <w:tcPr>
            <w:tcW w:w="21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0.010*</w:t>
            </w:r>
          </w:p>
        </w:tc>
      </w:tr>
      <w:tr w:rsidR="009A553D" w:rsidRPr="000D37DB" w:rsidTr="006E05CF">
        <w:trPr>
          <w:jc w:val="center"/>
        </w:trPr>
        <w:tc>
          <w:tcPr>
            <w:tcW w:w="3144" w:type="pct"/>
            <w:tcBorders>
              <w:top w:val="single" w:sz="4" w:space="0" w:color="auto"/>
              <w:left w:val="single" w:sz="4" w:space="0" w:color="auto"/>
              <w:bottom w:val="single" w:sz="4" w:space="0" w:color="auto"/>
              <w:right w:val="single" w:sz="4" w:space="0" w:color="auto"/>
            </w:tcBorders>
            <w:vAlign w:val="center"/>
          </w:tcPr>
          <w:p w:rsidR="009A553D" w:rsidRPr="000D37DB" w:rsidRDefault="007C6D96" w:rsidP="006E05CF">
            <w:pPr>
              <w:pStyle w:val="TableParagraph"/>
              <w:snapToGrid w:val="0"/>
              <w:ind w:left="0"/>
              <w:jc w:val="both"/>
              <w:rPr>
                <w:b/>
                <w:iCs/>
                <w:color w:val="000000" w:themeColor="text1"/>
                <w:sz w:val="20"/>
                <w:szCs w:val="20"/>
              </w:rPr>
            </w:pPr>
            <w:r w:rsidRPr="000D37DB">
              <w:rPr>
                <w:b/>
                <w:iCs/>
                <w:color w:val="000000" w:themeColor="text1"/>
                <w:sz w:val="20"/>
                <w:szCs w:val="20"/>
              </w:rPr>
              <w:t>Scale</w:t>
            </w:r>
            <w:r w:rsidR="000D37DB">
              <w:rPr>
                <w:rFonts w:eastAsiaTheme="minorEastAsia" w:hint="eastAsia"/>
                <w:b/>
                <w:iCs/>
                <w:color w:val="000000" w:themeColor="text1"/>
                <w:sz w:val="20"/>
                <w:szCs w:val="20"/>
                <w:lang w:eastAsia="zh-CN"/>
              </w:rPr>
              <w:t xml:space="preserve"> </w:t>
            </w:r>
            <w:r w:rsidR="00EB655A" w:rsidRPr="000D37DB">
              <w:rPr>
                <w:b/>
                <w:iCs/>
                <w:color w:val="000000" w:themeColor="text1"/>
                <w:sz w:val="20"/>
                <w:szCs w:val="20"/>
              </w:rPr>
              <w:t>2</w:t>
            </w:r>
          </w:p>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(dissatisfied)</w:t>
            </w:r>
          </w:p>
        </w:tc>
        <w:tc>
          <w:tcPr>
            <w:tcW w:w="25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w:t>
            </w:r>
          </w:p>
        </w:tc>
        <w:tc>
          <w:tcPr>
            <w:tcW w:w="21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2</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10.5</w:t>
            </w:r>
          </w:p>
        </w:tc>
        <w:tc>
          <w:tcPr>
            <w:tcW w:w="61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r w:rsidR="009A553D" w:rsidRPr="000D37DB" w:rsidTr="006E05CF">
        <w:trPr>
          <w:jc w:val="center"/>
        </w:trPr>
        <w:tc>
          <w:tcPr>
            <w:tcW w:w="3144" w:type="pct"/>
            <w:tcBorders>
              <w:top w:val="single" w:sz="4" w:space="0" w:color="auto"/>
              <w:left w:val="single" w:sz="4" w:space="0" w:color="auto"/>
              <w:bottom w:val="single" w:sz="4" w:space="0" w:color="auto"/>
              <w:right w:val="single" w:sz="4" w:space="0" w:color="auto"/>
            </w:tcBorders>
            <w:vAlign w:val="center"/>
          </w:tcPr>
          <w:p w:rsidR="009A553D" w:rsidRPr="000D37DB" w:rsidRDefault="007C6D96" w:rsidP="006E05CF">
            <w:pPr>
              <w:pStyle w:val="TableParagraph"/>
              <w:snapToGrid w:val="0"/>
              <w:ind w:left="0"/>
              <w:jc w:val="both"/>
              <w:rPr>
                <w:b/>
                <w:iCs/>
                <w:color w:val="000000" w:themeColor="text1"/>
                <w:sz w:val="20"/>
                <w:szCs w:val="20"/>
              </w:rPr>
            </w:pPr>
            <w:r w:rsidRPr="000D37DB">
              <w:rPr>
                <w:b/>
                <w:iCs/>
                <w:color w:val="000000" w:themeColor="text1"/>
                <w:sz w:val="20"/>
                <w:szCs w:val="20"/>
              </w:rPr>
              <w:t>Scale</w:t>
            </w:r>
            <w:r w:rsidR="000D37DB">
              <w:rPr>
                <w:rFonts w:eastAsiaTheme="minorEastAsia" w:hint="eastAsia"/>
                <w:b/>
                <w:iCs/>
                <w:color w:val="000000" w:themeColor="text1"/>
                <w:sz w:val="20"/>
                <w:szCs w:val="20"/>
                <w:lang w:eastAsia="zh-CN"/>
              </w:rPr>
              <w:t xml:space="preserve"> </w:t>
            </w:r>
            <w:r w:rsidR="00EB655A" w:rsidRPr="000D37DB">
              <w:rPr>
                <w:b/>
                <w:iCs/>
                <w:color w:val="000000" w:themeColor="text1"/>
                <w:sz w:val="20"/>
                <w:szCs w:val="20"/>
              </w:rPr>
              <w:t>3</w:t>
            </w:r>
          </w:p>
          <w:p w:rsidR="009A553D" w:rsidRPr="000D37DB" w:rsidRDefault="000D37DB" w:rsidP="006E05CF">
            <w:pPr>
              <w:pStyle w:val="TableParagraph"/>
              <w:snapToGrid w:val="0"/>
              <w:ind w:left="0"/>
              <w:jc w:val="both"/>
              <w:rPr>
                <w:b/>
                <w:iCs/>
                <w:color w:val="000000" w:themeColor="text1"/>
                <w:sz w:val="20"/>
                <w:szCs w:val="20"/>
              </w:rPr>
            </w:pPr>
            <w:r w:rsidRPr="000D37DB">
              <w:rPr>
                <w:b/>
                <w:iCs/>
                <w:color w:val="000000" w:themeColor="text1"/>
                <w:sz w:val="20"/>
                <w:szCs w:val="20"/>
              </w:rPr>
              <w:t>(Neither</w:t>
            </w:r>
            <w:r w:rsidRPr="000D37DB">
              <w:rPr>
                <w:b/>
                <w:iCs/>
                <w:color w:val="000000" w:themeColor="text1"/>
                <w:sz w:val="20"/>
                <w:szCs w:val="20"/>
              </w:rPr>
              <w:tab/>
              <w:t>dissatisfied</w:t>
            </w:r>
            <w:r w:rsidRPr="000D37DB">
              <w:rPr>
                <w:rFonts w:eastAsiaTheme="minorEastAsia" w:hint="eastAsia"/>
                <w:b/>
                <w:iCs/>
                <w:color w:val="000000" w:themeColor="text1"/>
                <w:sz w:val="20"/>
                <w:szCs w:val="20"/>
                <w:lang w:eastAsia="zh-CN"/>
              </w:rPr>
              <w:t xml:space="preserve"> </w:t>
            </w:r>
            <w:r w:rsidR="00EB655A" w:rsidRPr="000D37DB">
              <w:rPr>
                <w:b/>
                <w:iCs/>
                <w:color w:val="000000" w:themeColor="text1"/>
                <w:sz w:val="20"/>
                <w:szCs w:val="20"/>
              </w:rPr>
              <w:t>nor satisfied)</w:t>
            </w:r>
          </w:p>
        </w:tc>
        <w:tc>
          <w:tcPr>
            <w:tcW w:w="25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2</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10.5</w:t>
            </w:r>
          </w:p>
        </w:tc>
        <w:tc>
          <w:tcPr>
            <w:tcW w:w="21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4</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21.1</w:t>
            </w:r>
          </w:p>
        </w:tc>
        <w:tc>
          <w:tcPr>
            <w:tcW w:w="61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r w:rsidR="009A553D" w:rsidRPr="000D37DB" w:rsidTr="006E05CF">
        <w:trPr>
          <w:jc w:val="center"/>
        </w:trPr>
        <w:tc>
          <w:tcPr>
            <w:tcW w:w="314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Scale 4 (satisfied)</w:t>
            </w:r>
          </w:p>
        </w:tc>
        <w:tc>
          <w:tcPr>
            <w:tcW w:w="25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2</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10.5</w:t>
            </w:r>
          </w:p>
        </w:tc>
        <w:tc>
          <w:tcPr>
            <w:tcW w:w="21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8</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42.1</w:t>
            </w:r>
          </w:p>
        </w:tc>
        <w:tc>
          <w:tcPr>
            <w:tcW w:w="61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r w:rsidR="009A553D" w:rsidRPr="000D37DB" w:rsidTr="006E05CF">
        <w:trPr>
          <w:jc w:val="center"/>
        </w:trPr>
        <w:tc>
          <w:tcPr>
            <w:tcW w:w="3144" w:type="pct"/>
            <w:tcBorders>
              <w:top w:val="single" w:sz="4" w:space="0" w:color="auto"/>
              <w:left w:val="single" w:sz="4" w:space="0" w:color="auto"/>
              <w:bottom w:val="single" w:sz="4" w:space="0" w:color="auto"/>
              <w:right w:val="single" w:sz="4" w:space="0" w:color="auto"/>
            </w:tcBorders>
            <w:vAlign w:val="center"/>
          </w:tcPr>
          <w:p w:rsidR="009A553D" w:rsidRPr="000D37DB" w:rsidRDefault="007C6D96" w:rsidP="006E05CF">
            <w:pPr>
              <w:pStyle w:val="TableParagraph"/>
              <w:snapToGrid w:val="0"/>
              <w:ind w:left="0"/>
              <w:jc w:val="both"/>
              <w:rPr>
                <w:b/>
                <w:iCs/>
                <w:color w:val="000000" w:themeColor="text1"/>
                <w:sz w:val="20"/>
                <w:szCs w:val="20"/>
              </w:rPr>
            </w:pPr>
            <w:r w:rsidRPr="000D37DB">
              <w:rPr>
                <w:b/>
                <w:iCs/>
                <w:color w:val="000000" w:themeColor="text1"/>
                <w:sz w:val="20"/>
                <w:szCs w:val="20"/>
              </w:rPr>
              <w:t>Scale</w:t>
            </w:r>
            <w:r w:rsidR="000D37DB">
              <w:rPr>
                <w:rFonts w:eastAsiaTheme="minorEastAsia" w:hint="eastAsia"/>
                <w:b/>
                <w:iCs/>
                <w:color w:val="000000" w:themeColor="text1"/>
                <w:sz w:val="20"/>
                <w:szCs w:val="20"/>
                <w:lang w:eastAsia="zh-CN"/>
              </w:rPr>
              <w:t xml:space="preserve"> </w:t>
            </w:r>
            <w:r w:rsidR="00EB655A" w:rsidRPr="000D37DB">
              <w:rPr>
                <w:b/>
                <w:iCs/>
                <w:color w:val="000000" w:themeColor="text1"/>
                <w:sz w:val="20"/>
                <w:szCs w:val="20"/>
              </w:rPr>
              <w:t>5</w:t>
            </w:r>
          </w:p>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(absolutely satisfied)</w:t>
            </w:r>
          </w:p>
        </w:tc>
        <w:tc>
          <w:tcPr>
            <w:tcW w:w="25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15</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78.9</w:t>
            </w:r>
          </w:p>
        </w:tc>
        <w:tc>
          <w:tcPr>
            <w:tcW w:w="214"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5</w:t>
            </w:r>
          </w:p>
        </w:tc>
        <w:tc>
          <w:tcPr>
            <w:tcW w:w="383"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26.3</w:t>
            </w:r>
          </w:p>
        </w:tc>
        <w:tc>
          <w:tcPr>
            <w:tcW w:w="61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bl>
    <w:p w:rsidR="009A553D" w:rsidRPr="000D37DB" w:rsidRDefault="009A553D" w:rsidP="006E05CF">
      <w:pPr>
        <w:pStyle w:val="BodyText"/>
        <w:snapToGrid w:val="0"/>
        <w:jc w:val="center"/>
        <w:rPr>
          <w:iCs/>
          <w:color w:val="000000" w:themeColor="text1"/>
          <w:sz w:val="20"/>
          <w:szCs w:val="20"/>
        </w:rPr>
      </w:pPr>
    </w:p>
    <w:p w:rsidR="000D37DB" w:rsidRDefault="000D37DB" w:rsidP="006E05CF">
      <w:pPr>
        <w:pStyle w:val="Heading1"/>
        <w:snapToGrid w:val="0"/>
        <w:ind w:left="0"/>
        <w:jc w:val="center"/>
        <w:rPr>
          <w:rFonts w:eastAsiaTheme="minorEastAsia" w:hint="eastAsia"/>
          <w:iCs/>
          <w:color w:val="000000" w:themeColor="text1"/>
          <w:sz w:val="20"/>
          <w:szCs w:val="20"/>
          <w:lang w:eastAsia="zh-CN"/>
        </w:rPr>
      </w:pPr>
    </w:p>
    <w:p w:rsidR="009A553D" w:rsidRPr="000D37DB" w:rsidRDefault="00EB655A" w:rsidP="006E05CF">
      <w:pPr>
        <w:pStyle w:val="Heading1"/>
        <w:snapToGrid w:val="0"/>
        <w:ind w:left="0"/>
        <w:jc w:val="center"/>
        <w:rPr>
          <w:iCs/>
          <w:color w:val="000000" w:themeColor="text1"/>
          <w:sz w:val="20"/>
          <w:szCs w:val="20"/>
        </w:rPr>
      </w:pPr>
      <w:r w:rsidRPr="000D37DB">
        <w:rPr>
          <w:iCs/>
          <w:color w:val="000000" w:themeColor="text1"/>
          <w:sz w:val="20"/>
          <w:szCs w:val="20"/>
        </w:rPr>
        <w:t xml:space="preserve">Table (4): Outcome </w:t>
      </w:r>
      <w:r w:rsidR="00A61A2B" w:rsidRPr="000D37DB">
        <w:rPr>
          <w:iCs/>
          <w:color w:val="000000" w:themeColor="text1"/>
          <w:sz w:val="20"/>
          <w:szCs w:val="20"/>
        </w:rPr>
        <w:t>of treatment</w:t>
      </w:r>
      <w:r w:rsidRPr="000D37DB">
        <w:rPr>
          <w:iCs/>
          <w:color w:val="000000" w:themeColor="text1"/>
          <w:sz w:val="20"/>
          <w:szCs w:val="20"/>
        </w:rPr>
        <w:t>:</w:t>
      </w:r>
    </w:p>
    <w:tbl>
      <w:tblPr>
        <w:tblW w:w="5000" w:type="pct"/>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CellMar>
          <w:left w:w="57" w:type="dxa"/>
          <w:right w:w="57" w:type="dxa"/>
        </w:tblCellMar>
        <w:tblLook w:val="01E0"/>
      </w:tblPr>
      <w:tblGrid>
        <w:gridCol w:w="3158"/>
        <w:gridCol w:w="1127"/>
        <w:gridCol w:w="1131"/>
        <w:gridCol w:w="667"/>
        <w:gridCol w:w="453"/>
        <w:gridCol w:w="455"/>
        <w:gridCol w:w="667"/>
        <w:gridCol w:w="908"/>
        <w:gridCol w:w="908"/>
      </w:tblGrid>
      <w:tr w:rsidR="009A553D" w:rsidRPr="000D37DB" w:rsidTr="006E05CF">
        <w:trPr>
          <w:jc w:val="center"/>
        </w:trPr>
        <w:tc>
          <w:tcPr>
            <w:tcW w:w="2262" w:type="pct"/>
            <w:gridSpan w:val="2"/>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pStyle w:val="TableParagraph"/>
              <w:snapToGrid w:val="0"/>
              <w:ind w:left="0"/>
              <w:jc w:val="both"/>
              <w:rPr>
                <w:iCs/>
                <w:color w:val="000000" w:themeColor="text1"/>
                <w:sz w:val="20"/>
                <w:szCs w:val="20"/>
              </w:rPr>
            </w:pPr>
          </w:p>
        </w:tc>
        <w:tc>
          <w:tcPr>
            <w:tcW w:w="1779" w:type="pct"/>
            <w:gridSpan w:val="5"/>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Group</w:t>
            </w:r>
          </w:p>
        </w:tc>
        <w:tc>
          <w:tcPr>
            <w:tcW w:w="958" w:type="pct"/>
            <w:gridSpan w:val="2"/>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p-value</w:t>
            </w:r>
          </w:p>
        </w:tc>
      </w:tr>
      <w:tr w:rsidR="009A553D" w:rsidRPr="000D37DB" w:rsidTr="006E05CF">
        <w:trPr>
          <w:jc w:val="center"/>
        </w:trPr>
        <w:tc>
          <w:tcPr>
            <w:tcW w:w="2262" w:type="pct"/>
            <w:gridSpan w:val="2"/>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c>
          <w:tcPr>
            <w:tcW w:w="1188" w:type="pct"/>
            <w:gridSpan w:val="3"/>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A</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B</w:t>
            </w:r>
          </w:p>
        </w:tc>
        <w:tc>
          <w:tcPr>
            <w:tcW w:w="958" w:type="pct"/>
            <w:gridSpan w:val="2"/>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r w:rsidR="009A553D" w:rsidRPr="000D37DB" w:rsidTr="006E05CF">
        <w:trPr>
          <w:jc w:val="center"/>
        </w:trPr>
        <w:tc>
          <w:tcPr>
            <w:tcW w:w="2858" w:type="pct"/>
            <w:gridSpan w:val="3"/>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pStyle w:val="TableParagraph"/>
              <w:snapToGrid w:val="0"/>
              <w:ind w:left="0"/>
              <w:jc w:val="both"/>
              <w:rPr>
                <w:iCs/>
                <w:color w:val="000000" w:themeColor="text1"/>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N</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w:t>
            </w:r>
          </w:p>
        </w:tc>
        <w:tc>
          <w:tcPr>
            <w:tcW w:w="352"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N</w:t>
            </w:r>
          </w:p>
        </w:tc>
        <w:tc>
          <w:tcPr>
            <w:tcW w:w="47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w:t>
            </w:r>
          </w:p>
        </w:tc>
        <w:tc>
          <w:tcPr>
            <w:tcW w:w="479" w:type="pct"/>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pStyle w:val="TableParagraph"/>
              <w:snapToGrid w:val="0"/>
              <w:ind w:left="0"/>
              <w:jc w:val="both"/>
              <w:rPr>
                <w:iCs/>
                <w:color w:val="000000" w:themeColor="text1"/>
                <w:sz w:val="20"/>
                <w:szCs w:val="20"/>
              </w:rPr>
            </w:pPr>
          </w:p>
        </w:tc>
      </w:tr>
      <w:tr w:rsidR="009A553D" w:rsidRPr="000D37DB" w:rsidTr="006E05CF">
        <w:trPr>
          <w:jc w:val="center"/>
        </w:trPr>
        <w:tc>
          <w:tcPr>
            <w:tcW w:w="1667" w:type="pct"/>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Outcome</w:t>
            </w:r>
            <w:r w:rsidR="000D37DB">
              <w:rPr>
                <w:rFonts w:eastAsiaTheme="minorEastAsia" w:hint="eastAsia"/>
                <w:b/>
                <w:iCs/>
                <w:color w:val="000000" w:themeColor="text1"/>
                <w:sz w:val="20"/>
                <w:szCs w:val="20"/>
                <w:lang w:eastAsia="zh-CN"/>
              </w:rPr>
              <w:t xml:space="preserve"> </w:t>
            </w:r>
            <w:r w:rsidRPr="000D37DB">
              <w:rPr>
                <w:b/>
                <w:iCs/>
                <w:color w:val="000000" w:themeColor="text1"/>
                <w:sz w:val="20"/>
                <w:szCs w:val="20"/>
              </w:rPr>
              <w:t>of</w:t>
            </w:r>
          </w:p>
          <w:p w:rsidR="009A553D" w:rsidRPr="000D37DB" w:rsidRDefault="00EB655A" w:rsidP="006E05CF">
            <w:pPr>
              <w:pStyle w:val="TableParagraph"/>
              <w:snapToGrid w:val="0"/>
              <w:ind w:left="0"/>
              <w:jc w:val="both"/>
              <w:rPr>
                <w:b/>
                <w:iCs/>
                <w:color w:val="000000" w:themeColor="text1"/>
                <w:sz w:val="20"/>
                <w:szCs w:val="20"/>
              </w:rPr>
            </w:pPr>
            <w:r w:rsidRPr="000D37DB">
              <w:rPr>
                <w:b/>
                <w:iCs/>
                <w:color w:val="000000" w:themeColor="text1"/>
                <w:sz w:val="20"/>
                <w:szCs w:val="20"/>
              </w:rPr>
              <w:t>treatment</w:t>
            </w:r>
          </w:p>
        </w:tc>
        <w:tc>
          <w:tcPr>
            <w:tcW w:w="1192"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Get pregnant</w:t>
            </w:r>
          </w:p>
        </w:tc>
        <w:tc>
          <w:tcPr>
            <w:tcW w:w="352"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6</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31.5</w:t>
            </w:r>
          </w:p>
        </w:tc>
        <w:tc>
          <w:tcPr>
            <w:tcW w:w="352"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5</w:t>
            </w:r>
          </w:p>
        </w:tc>
        <w:tc>
          <w:tcPr>
            <w:tcW w:w="47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26.3</w:t>
            </w:r>
          </w:p>
        </w:tc>
        <w:tc>
          <w:tcPr>
            <w:tcW w:w="479" w:type="pct"/>
            <w:vMerge w:val="restar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0.27</w:t>
            </w:r>
          </w:p>
        </w:tc>
      </w:tr>
      <w:tr w:rsidR="009A553D" w:rsidRPr="000D37DB" w:rsidTr="006E05CF">
        <w:trPr>
          <w:jc w:val="center"/>
        </w:trPr>
        <w:tc>
          <w:tcPr>
            <w:tcW w:w="1667"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c>
          <w:tcPr>
            <w:tcW w:w="1192"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Failed</w:t>
            </w:r>
          </w:p>
        </w:tc>
        <w:tc>
          <w:tcPr>
            <w:tcW w:w="352"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13</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68.5</w:t>
            </w:r>
          </w:p>
        </w:tc>
        <w:tc>
          <w:tcPr>
            <w:tcW w:w="352"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14</w:t>
            </w:r>
          </w:p>
        </w:tc>
        <w:tc>
          <w:tcPr>
            <w:tcW w:w="479" w:type="pct"/>
            <w:tcBorders>
              <w:top w:val="single" w:sz="4" w:space="0" w:color="auto"/>
              <w:left w:val="single" w:sz="4" w:space="0" w:color="auto"/>
              <w:bottom w:val="single" w:sz="4" w:space="0" w:color="auto"/>
              <w:right w:val="single" w:sz="4" w:space="0" w:color="auto"/>
            </w:tcBorders>
            <w:vAlign w:val="center"/>
          </w:tcPr>
          <w:p w:rsidR="009A553D" w:rsidRPr="000D37DB" w:rsidRDefault="00EB655A" w:rsidP="006E05CF">
            <w:pPr>
              <w:pStyle w:val="TableParagraph"/>
              <w:snapToGrid w:val="0"/>
              <w:ind w:left="0"/>
              <w:jc w:val="both"/>
              <w:rPr>
                <w:iCs/>
                <w:color w:val="000000" w:themeColor="text1"/>
                <w:sz w:val="20"/>
                <w:szCs w:val="20"/>
              </w:rPr>
            </w:pPr>
            <w:r w:rsidRPr="000D37DB">
              <w:rPr>
                <w:iCs/>
                <w:color w:val="000000" w:themeColor="text1"/>
                <w:sz w:val="20"/>
                <w:szCs w:val="20"/>
              </w:rPr>
              <w:t>73.7</w:t>
            </w:r>
          </w:p>
        </w:tc>
        <w:tc>
          <w:tcPr>
            <w:tcW w:w="479" w:type="pct"/>
            <w:vMerge/>
            <w:tcBorders>
              <w:top w:val="single" w:sz="4" w:space="0" w:color="auto"/>
              <w:left w:val="single" w:sz="4" w:space="0" w:color="auto"/>
              <w:bottom w:val="single" w:sz="4" w:space="0" w:color="auto"/>
              <w:right w:val="single" w:sz="4" w:space="0" w:color="auto"/>
            </w:tcBorders>
            <w:vAlign w:val="center"/>
          </w:tcPr>
          <w:p w:rsidR="009A553D" w:rsidRPr="000D37DB" w:rsidRDefault="009A553D" w:rsidP="006E05CF">
            <w:pPr>
              <w:snapToGrid w:val="0"/>
              <w:jc w:val="both"/>
              <w:rPr>
                <w:iCs/>
                <w:color w:val="000000" w:themeColor="text1"/>
                <w:sz w:val="20"/>
                <w:szCs w:val="20"/>
              </w:rPr>
            </w:pPr>
          </w:p>
        </w:tc>
      </w:tr>
    </w:tbl>
    <w:p w:rsidR="009A553D" w:rsidRDefault="009A553D" w:rsidP="006E05CF">
      <w:pPr>
        <w:pStyle w:val="BodyText"/>
        <w:snapToGrid w:val="0"/>
        <w:jc w:val="both"/>
        <w:rPr>
          <w:rFonts w:eastAsiaTheme="minorEastAsia" w:hint="eastAsia"/>
          <w:b/>
          <w:iCs/>
          <w:color w:val="000000" w:themeColor="text1"/>
          <w:sz w:val="20"/>
          <w:szCs w:val="20"/>
          <w:lang w:eastAsia="zh-CN"/>
        </w:rPr>
      </w:pPr>
    </w:p>
    <w:p w:rsidR="000D37DB" w:rsidRPr="000D37DB" w:rsidRDefault="000D37DB" w:rsidP="006E05CF">
      <w:pPr>
        <w:pStyle w:val="BodyText"/>
        <w:snapToGrid w:val="0"/>
        <w:jc w:val="both"/>
        <w:rPr>
          <w:rFonts w:eastAsiaTheme="minorEastAsia" w:hint="eastAsia"/>
          <w:b/>
          <w:iCs/>
          <w:color w:val="000000" w:themeColor="text1"/>
          <w:sz w:val="20"/>
          <w:szCs w:val="20"/>
          <w:lang w:eastAsia="zh-CN"/>
        </w:rPr>
      </w:pPr>
    </w:p>
    <w:p w:rsidR="006E05CF" w:rsidRPr="00A61A2B" w:rsidRDefault="006E05CF" w:rsidP="006E05CF">
      <w:pPr>
        <w:snapToGrid w:val="0"/>
        <w:jc w:val="both"/>
        <w:rPr>
          <w:b/>
          <w:iCs/>
          <w:sz w:val="20"/>
          <w:szCs w:val="20"/>
        </w:rPr>
        <w:sectPr w:rsidR="006E05CF" w:rsidRPr="00A61A2B" w:rsidSect="001A60CC">
          <w:type w:val="continuous"/>
          <w:pgSz w:w="12240" w:h="15840"/>
          <w:pgMar w:top="1440" w:right="1440" w:bottom="1440" w:left="1440" w:header="720" w:footer="720" w:gutter="0"/>
          <w:cols w:space="720"/>
          <w:docGrid w:linePitch="299"/>
        </w:sectPr>
      </w:pPr>
    </w:p>
    <w:p w:rsidR="009A553D" w:rsidRPr="00A61A2B" w:rsidRDefault="007C6D96" w:rsidP="006E05CF">
      <w:pPr>
        <w:snapToGrid w:val="0"/>
        <w:jc w:val="both"/>
        <w:rPr>
          <w:b/>
          <w:iCs/>
          <w:sz w:val="20"/>
          <w:szCs w:val="20"/>
        </w:rPr>
      </w:pPr>
      <w:r w:rsidRPr="00A61A2B">
        <w:rPr>
          <w:b/>
          <w:iCs/>
          <w:sz w:val="20"/>
          <w:szCs w:val="20"/>
        </w:rPr>
        <w:lastRenderedPageBreak/>
        <w:t xml:space="preserve">4. </w:t>
      </w:r>
      <w:r w:rsidR="00EB655A" w:rsidRPr="00A61A2B">
        <w:rPr>
          <w:b/>
          <w:iCs/>
          <w:sz w:val="20"/>
          <w:szCs w:val="20"/>
        </w:rPr>
        <w:t>Discussion</w:t>
      </w:r>
    </w:p>
    <w:p w:rsidR="009A553D" w:rsidRPr="00A61A2B" w:rsidRDefault="00EB655A" w:rsidP="006E05CF">
      <w:pPr>
        <w:pStyle w:val="BodyText"/>
        <w:snapToGrid w:val="0"/>
        <w:ind w:firstLine="425"/>
        <w:jc w:val="both"/>
        <w:rPr>
          <w:iCs/>
          <w:sz w:val="20"/>
          <w:szCs w:val="20"/>
        </w:rPr>
      </w:pPr>
      <w:r w:rsidRPr="00A61A2B">
        <w:rPr>
          <w:iCs/>
          <w:sz w:val="20"/>
          <w:szCs w:val="20"/>
        </w:rPr>
        <w:t>Recent years have witnessed a substantial progress in the treatment of infertility and assisted reproductive techniques. The ultimate goal of these therapies is to achieve pregnancy and a healthy baby. Luteal phase support is one of the factors affecting the probability of pregnancy. Historically, luteal phase support in assisted pregnancy techniques is an important issue among researchers. Recently, progesterone supplementation has achieved improved results during ART cycles. Dydrogesterone is a retro-progesterone with a good oral bioavailability which is an active biological metabolite of progesterone</w:t>
      </w:r>
      <w:r w:rsidR="000D37DB">
        <w:rPr>
          <w:rFonts w:eastAsiaTheme="minorEastAsia" w:hint="eastAsia"/>
          <w:iCs/>
          <w:sz w:val="20"/>
          <w:szCs w:val="20"/>
          <w:lang w:eastAsia="zh-CN"/>
        </w:rPr>
        <w:t>.</w:t>
      </w:r>
      <w:r w:rsidRPr="00A61A2B">
        <w:rPr>
          <w:iCs/>
          <w:sz w:val="20"/>
          <w:szCs w:val="20"/>
        </w:rPr>
        <w:t xml:space="preserve"> </w:t>
      </w:r>
      <w:r w:rsidRPr="00A61A2B">
        <w:rPr>
          <w:iCs/>
          <w:sz w:val="20"/>
          <w:szCs w:val="20"/>
          <w:vertAlign w:val="superscript"/>
        </w:rPr>
        <w:t>(7)</w:t>
      </w:r>
    </w:p>
    <w:p w:rsidR="009A553D" w:rsidRPr="00A61A2B" w:rsidRDefault="00EB655A" w:rsidP="006E05CF">
      <w:pPr>
        <w:pStyle w:val="BodyText"/>
        <w:snapToGrid w:val="0"/>
        <w:ind w:firstLine="425"/>
        <w:jc w:val="both"/>
        <w:rPr>
          <w:iCs/>
          <w:sz w:val="20"/>
          <w:szCs w:val="20"/>
        </w:rPr>
      </w:pPr>
      <w:r w:rsidRPr="00A61A2B">
        <w:rPr>
          <w:iCs/>
          <w:sz w:val="20"/>
          <w:szCs w:val="20"/>
        </w:rPr>
        <w:t xml:space="preserve">In the absence of luteal-phase support, the area under the curve for progesterone is suboptimal and accompany by premature luteolysis, short luteal phase and early bleeding. Progesterone is necessary for implantation and for the early development of the </w:t>
      </w:r>
      <w:r w:rsidRPr="00A61A2B">
        <w:rPr>
          <w:iCs/>
          <w:sz w:val="20"/>
          <w:szCs w:val="20"/>
        </w:rPr>
        <w:lastRenderedPageBreak/>
        <w:t>fertilized ovum. In response to progesterone, the glands become tortuous and secretory and there is an increase in stromal vascularity, thus making the endometrium both morphologically and functionally well prepared for implantatio</w:t>
      </w:r>
      <w:r w:rsidR="001A60CC" w:rsidRPr="00A61A2B">
        <w:rPr>
          <w:iCs/>
          <w:sz w:val="20"/>
          <w:szCs w:val="20"/>
        </w:rPr>
        <w:t>n</w:t>
      </w:r>
      <w:r w:rsidR="000D37DB">
        <w:rPr>
          <w:rFonts w:eastAsiaTheme="minorEastAsia" w:hint="eastAsia"/>
          <w:iCs/>
          <w:sz w:val="20"/>
          <w:szCs w:val="20"/>
          <w:lang w:eastAsia="zh-CN"/>
        </w:rPr>
        <w:t>.</w:t>
      </w:r>
      <w:r w:rsidR="001A60CC" w:rsidRPr="00A61A2B">
        <w:rPr>
          <w:iCs/>
          <w:sz w:val="20"/>
          <w:szCs w:val="20"/>
        </w:rPr>
        <w:t xml:space="preserve"> </w:t>
      </w:r>
      <w:r w:rsidR="001A60CC" w:rsidRPr="00A61A2B">
        <w:rPr>
          <w:iCs/>
          <w:sz w:val="20"/>
          <w:szCs w:val="20"/>
          <w:vertAlign w:val="superscript"/>
        </w:rPr>
        <w:t>(</w:t>
      </w:r>
      <w:r w:rsidRPr="00A61A2B">
        <w:rPr>
          <w:iCs/>
          <w:sz w:val="20"/>
          <w:szCs w:val="20"/>
          <w:vertAlign w:val="superscript"/>
        </w:rPr>
        <w:t>8)</w:t>
      </w:r>
    </w:p>
    <w:p w:rsidR="009A553D" w:rsidRPr="00A61A2B" w:rsidRDefault="00EB655A" w:rsidP="006E05CF">
      <w:pPr>
        <w:pStyle w:val="BodyText"/>
        <w:snapToGrid w:val="0"/>
        <w:ind w:firstLine="425"/>
        <w:jc w:val="both"/>
        <w:rPr>
          <w:iCs/>
          <w:sz w:val="20"/>
          <w:szCs w:val="20"/>
        </w:rPr>
      </w:pPr>
      <w:r w:rsidRPr="00A61A2B">
        <w:rPr>
          <w:b/>
          <w:iCs/>
          <w:sz w:val="20"/>
          <w:szCs w:val="20"/>
        </w:rPr>
        <w:t xml:space="preserve">Salehpour et al </w:t>
      </w:r>
      <w:r w:rsidRPr="00A61A2B">
        <w:rPr>
          <w:iCs/>
          <w:sz w:val="20"/>
          <w:szCs w:val="20"/>
          <w:vertAlign w:val="superscript"/>
        </w:rPr>
        <w:t>(9)</w:t>
      </w:r>
      <w:r w:rsidRPr="00A61A2B">
        <w:rPr>
          <w:iCs/>
          <w:sz w:val="20"/>
          <w:szCs w:val="20"/>
        </w:rPr>
        <w:t xml:space="preserve">, show that oral dydrogesterone is as effective as vaginal progesterone for luteal-phase support in women undergoing IVF. This was prospective, randomized trial conducted on 80 Women with a history of male factor infertility undergoing controlled ovarian stimulation for IVF treatment (fresh cycle) randomly were divided in two groups (group A or oral dydrogesterone group and group B or vaginal progesterone group). The inclusion criteria were the use of GnRH analogue down- regulation and age less than 40 years old with regular menstrual cycles that similar to our trial. All women were euthyroid and normoprolactinemic. Group A </w:t>
      </w:r>
      <w:r w:rsidRPr="00A61A2B">
        <w:rPr>
          <w:iCs/>
          <w:sz w:val="20"/>
          <w:szCs w:val="20"/>
        </w:rPr>
        <w:lastRenderedPageBreak/>
        <w:t>(n=40) received 10 mg dydrogesterone QID (40mg daily) and group B (n=40) received 400 mg suppository vaginal progesterone (cyclogest) twice per day (800 mg daily). And the result wa</w:t>
      </w:r>
      <w:r w:rsidR="00F22118" w:rsidRPr="00A61A2B">
        <w:rPr>
          <w:iCs/>
          <w:sz w:val="20"/>
          <w:szCs w:val="20"/>
        </w:rPr>
        <w:t>s C</w:t>
      </w:r>
      <w:r w:rsidRPr="00A61A2B">
        <w:rPr>
          <w:iCs/>
          <w:sz w:val="20"/>
          <w:szCs w:val="20"/>
        </w:rPr>
        <w:t xml:space="preserve">linical pregnancy rate in cyclogest group was higher than dydrogesterone group but the difference was not significant (p=0.52), furthermore the miscarriage rate in two group was the same. The difference between two groups regarding antral follicle and base line hormonal levels were not significant (p&gt;0.05) and this also support </w:t>
      </w:r>
      <w:r w:rsidR="00A61A2B" w:rsidRPr="00A61A2B">
        <w:rPr>
          <w:iCs/>
          <w:sz w:val="20"/>
          <w:szCs w:val="20"/>
        </w:rPr>
        <w:t>our result</w:t>
      </w:r>
      <w:r w:rsidRPr="00A61A2B">
        <w:rPr>
          <w:iCs/>
          <w:sz w:val="20"/>
          <w:szCs w:val="20"/>
        </w:rPr>
        <w:t>.</w:t>
      </w:r>
    </w:p>
    <w:p w:rsidR="009A553D" w:rsidRPr="00A61A2B" w:rsidRDefault="00EB655A" w:rsidP="006E05CF">
      <w:pPr>
        <w:pStyle w:val="BodyText"/>
        <w:snapToGrid w:val="0"/>
        <w:ind w:firstLine="425"/>
        <w:jc w:val="both"/>
        <w:rPr>
          <w:iCs/>
          <w:sz w:val="20"/>
          <w:szCs w:val="20"/>
        </w:rPr>
      </w:pPr>
      <w:r w:rsidRPr="00A61A2B">
        <w:rPr>
          <w:b/>
          <w:iCs/>
          <w:sz w:val="20"/>
          <w:szCs w:val="20"/>
        </w:rPr>
        <w:t>Zargar</w:t>
      </w:r>
      <w:r w:rsidR="00A61A2B">
        <w:rPr>
          <w:rFonts w:eastAsiaTheme="minorEastAsia" w:hint="eastAsia"/>
          <w:b/>
          <w:iCs/>
          <w:sz w:val="20"/>
          <w:szCs w:val="20"/>
          <w:lang w:eastAsia="zh-CN"/>
        </w:rPr>
        <w:t xml:space="preserve"> </w:t>
      </w:r>
      <w:r w:rsidRPr="00A61A2B">
        <w:rPr>
          <w:iCs/>
          <w:sz w:val="20"/>
          <w:szCs w:val="20"/>
        </w:rPr>
        <w:t>et al (10). This research reported that no statistically significant difference between groups by P= 0.3. The aim of this study was to compare oral dydrogesterone</w:t>
      </w:r>
      <w:r w:rsidR="00A61A2B">
        <w:rPr>
          <w:rFonts w:eastAsiaTheme="minorEastAsia" w:hint="eastAsia"/>
          <w:iCs/>
          <w:sz w:val="20"/>
          <w:szCs w:val="20"/>
          <w:lang w:eastAsia="zh-CN"/>
        </w:rPr>
        <w:t xml:space="preserve"> </w:t>
      </w:r>
      <w:r w:rsidR="00910927" w:rsidRPr="00A61A2B">
        <w:rPr>
          <w:iCs/>
          <w:sz w:val="20"/>
          <w:szCs w:val="20"/>
        </w:rPr>
        <w:t>with vaginal suppository</w:t>
      </w:r>
      <w:r w:rsidR="001A60CC" w:rsidRPr="00A61A2B">
        <w:rPr>
          <w:iCs/>
          <w:sz w:val="20"/>
          <w:szCs w:val="20"/>
        </w:rPr>
        <w:t xml:space="preserve"> </w:t>
      </w:r>
      <w:r w:rsidRPr="00A61A2B">
        <w:rPr>
          <w:iCs/>
          <w:sz w:val="20"/>
          <w:szCs w:val="20"/>
        </w:rPr>
        <w:t>(Cyclogest)</w:t>
      </w:r>
      <w:r w:rsidR="001A60CC" w:rsidRPr="00A61A2B">
        <w:rPr>
          <w:iCs/>
          <w:sz w:val="20"/>
          <w:szCs w:val="20"/>
        </w:rPr>
        <w:t xml:space="preserve"> </w:t>
      </w:r>
      <w:r w:rsidRPr="00A61A2B">
        <w:rPr>
          <w:iCs/>
          <w:sz w:val="20"/>
          <w:szCs w:val="20"/>
        </w:rPr>
        <w:t>and</w:t>
      </w:r>
      <w:r w:rsidR="001A60CC" w:rsidRPr="00A61A2B">
        <w:rPr>
          <w:iCs/>
          <w:sz w:val="20"/>
          <w:szCs w:val="20"/>
        </w:rPr>
        <w:t xml:space="preserve"> </w:t>
      </w:r>
      <w:r w:rsidRPr="00A61A2B">
        <w:rPr>
          <w:iCs/>
          <w:sz w:val="20"/>
          <w:szCs w:val="20"/>
        </w:rPr>
        <w:t>progesterone</w:t>
      </w:r>
      <w:r w:rsidR="001A60CC" w:rsidRPr="00A61A2B">
        <w:rPr>
          <w:iCs/>
          <w:sz w:val="20"/>
          <w:szCs w:val="20"/>
        </w:rPr>
        <w:t xml:space="preserve"> </w:t>
      </w:r>
      <w:r w:rsidRPr="00A61A2B">
        <w:rPr>
          <w:iCs/>
          <w:sz w:val="20"/>
          <w:szCs w:val="20"/>
        </w:rPr>
        <w:t>ampule</w:t>
      </w:r>
      <w:r w:rsidR="001A60CC" w:rsidRPr="00A61A2B">
        <w:rPr>
          <w:iCs/>
          <w:sz w:val="20"/>
          <w:szCs w:val="20"/>
        </w:rPr>
        <w:t xml:space="preserve"> </w:t>
      </w:r>
      <w:r w:rsidRPr="00A61A2B">
        <w:rPr>
          <w:iCs/>
          <w:sz w:val="20"/>
          <w:szCs w:val="20"/>
        </w:rPr>
        <w:t>(progestin)</w:t>
      </w:r>
      <w:r w:rsidR="001A60CC" w:rsidRPr="00A61A2B">
        <w:rPr>
          <w:iCs/>
          <w:sz w:val="20"/>
          <w:szCs w:val="20"/>
        </w:rPr>
        <w:t xml:space="preserve"> </w:t>
      </w:r>
      <w:r w:rsidRPr="00A61A2B">
        <w:rPr>
          <w:iCs/>
          <w:sz w:val="20"/>
          <w:szCs w:val="20"/>
        </w:rPr>
        <w:t>for luteal</w:t>
      </w:r>
      <w:r w:rsidR="006E05CF" w:rsidRPr="00A61A2B">
        <w:rPr>
          <w:rFonts w:eastAsiaTheme="minorEastAsia" w:hint="eastAsia"/>
          <w:iCs/>
          <w:sz w:val="20"/>
          <w:szCs w:val="20"/>
          <w:lang w:eastAsia="zh-CN"/>
        </w:rPr>
        <w:t xml:space="preserve"> </w:t>
      </w:r>
      <w:r w:rsidRPr="00A61A2B">
        <w:rPr>
          <w:iCs/>
          <w:sz w:val="20"/>
          <w:szCs w:val="20"/>
        </w:rPr>
        <w:t>phase supportin ART cycles. This was</w:t>
      </w:r>
      <w:r w:rsidR="00A61A2B">
        <w:rPr>
          <w:rFonts w:eastAsiaTheme="minorEastAsia" w:hint="eastAsia"/>
          <w:iCs/>
          <w:sz w:val="20"/>
          <w:szCs w:val="20"/>
          <w:lang w:eastAsia="zh-CN"/>
        </w:rPr>
        <w:t xml:space="preserve"> </w:t>
      </w:r>
      <w:r w:rsidRPr="00A61A2B">
        <w:rPr>
          <w:iCs/>
          <w:sz w:val="20"/>
          <w:szCs w:val="20"/>
        </w:rPr>
        <w:t>a randomized double blinded clinical trial</w:t>
      </w:r>
      <w:r w:rsidR="006E05CF" w:rsidRPr="00A61A2B">
        <w:rPr>
          <w:rFonts w:eastAsiaTheme="minorEastAsia" w:hint="eastAsia"/>
          <w:iCs/>
          <w:sz w:val="20"/>
          <w:szCs w:val="20"/>
          <w:lang w:eastAsia="zh-CN"/>
        </w:rPr>
        <w:t xml:space="preserve"> </w:t>
      </w:r>
      <w:r w:rsidRPr="00A61A2B">
        <w:rPr>
          <w:iCs/>
          <w:sz w:val="20"/>
          <w:szCs w:val="20"/>
        </w:rPr>
        <w:t>conducted on 612 infertile women who were candidate for IVF or ICSI Research Centre during April 2014 to March 2015. The patients were randomly assigned into three groups according to the administration of the medications as: oral dydrogesterone (30 mg), vaginal progesterone suppository (800 mg) or progesterone ampule (100 mg). Inclusion criteria were infertility duration less than 5 years, maternal age below 40 years, normal levels of hormones, normal transvaginalsonography, and regular menstrual cycles as in our study. The pregnancy was observed in 53 patients (25%) of 212 in the dydrogesterone group, in 53 cases (26.5%) of 200 patients in the cyclogest group, and 53 patients (26.5%) of 200 in the ampule group. Moreover, the miscarriage was occurred in 3 patients (5.6%) of 53 in the dydrogesterone group, in 2 cases (3.8%) of 53 patients in the cyclogest group, and 2 patients (3.8%) of 53 in the ampule</w:t>
      </w:r>
      <w:r w:rsidR="00A61A2B">
        <w:rPr>
          <w:rFonts w:eastAsiaTheme="minorEastAsia" w:hint="eastAsia"/>
          <w:iCs/>
          <w:sz w:val="20"/>
          <w:szCs w:val="20"/>
          <w:lang w:eastAsia="zh-CN"/>
        </w:rPr>
        <w:t xml:space="preserve"> </w:t>
      </w:r>
      <w:r w:rsidRPr="00A61A2B">
        <w:rPr>
          <w:iCs/>
          <w:sz w:val="20"/>
          <w:szCs w:val="20"/>
        </w:rPr>
        <w:t>group.</w:t>
      </w:r>
    </w:p>
    <w:p w:rsidR="009A553D" w:rsidRPr="00A61A2B" w:rsidRDefault="00EB655A" w:rsidP="006E05CF">
      <w:pPr>
        <w:pStyle w:val="BodyText"/>
        <w:snapToGrid w:val="0"/>
        <w:ind w:firstLine="425"/>
        <w:jc w:val="both"/>
        <w:rPr>
          <w:iCs/>
          <w:sz w:val="20"/>
          <w:szCs w:val="20"/>
        </w:rPr>
      </w:pPr>
      <w:r w:rsidRPr="00A61A2B">
        <w:rPr>
          <w:b/>
          <w:iCs/>
          <w:sz w:val="20"/>
          <w:szCs w:val="20"/>
        </w:rPr>
        <w:t xml:space="preserve">Ganesh </w:t>
      </w:r>
      <w:r w:rsidRPr="00A61A2B">
        <w:rPr>
          <w:iCs/>
          <w:sz w:val="20"/>
          <w:szCs w:val="20"/>
        </w:rPr>
        <w:t xml:space="preserve">et al </w:t>
      </w:r>
      <w:r w:rsidRPr="00A61A2B">
        <w:rPr>
          <w:iCs/>
          <w:sz w:val="20"/>
          <w:szCs w:val="20"/>
          <w:vertAlign w:val="superscript"/>
        </w:rPr>
        <w:t>(11)</w:t>
      </w:r>
      <w:r w:rsidRPr="00A61A2B">
        <w:rPr>
          <w:iCs/>
          <w:sz w:val="20"/>
          <w:szCs w:val="20"/>
        </w:rPr>
        <w:t xml:space="preserve"> supported our results. The aim of this study was To compare the efficacy of oral </w:t>
      </w:r>
      <w:hyperlink r:id="rId13">
        <w:r w:rsidRPr="00A61A2B">
          <w:rPr>
            <w:iCs/>
            <w:sz w:val="20"/>
            <w:szCs w:val="20"/>
            <w:u w:val="single"/>
          </w:rPr>
          <w:t>dydrogesterone</w:t>
        </w:r>
      </w:hyperlink>
      <w:r w:rsidR="00A61A2B">
        <w:rPr>
          <w:rFonts w:eastAsiaTheme="minorEastAsia" w:hint="eastAsia"/>
          <w:sz w:val="20"/>
          <w:szCs w:val="20"/>
          <w:lang w:eastAsia="zh-CN"/>
        </w:rPr>
        <w:t xml:space="preserve"> </w:t>
      </w:r>
      <w:r w:rsidRPr="00A61A2B">
        <w:rPr>
          <w:iCs/>
          <w:sz w:val="20"/>
          <w:szCs w:val="20"/>
        </w:rPr>
        <w:t xml:space="preserve">with that of micronized vaginal P gel and micronized P capsule for luteal </w:t>
      </w:r>
      <w:hyperlink r:id="rId14">
        <w:r w:rsidRPr="00A61A2B">
          <w:rPr>
            <w:iCs/>
            <w:sz w:val="20"/>
            <w:szCs w:val="20"/>
            <w:u w:val="single"/>
          </w:rPr>
          <w:t>supplementation</w:t>
        </w:r>
        <w:r w:rsidRPr="00A61A2B">
          <w:rPr>
            <w:iCs/>
            <w:sz w:val="20"/>
            <w:szCs w:val="20"/>
          </w:rPr>
          <w:t>.</w:t>
        </w:r>
      </w:hyperlink>
      <w:r w:rsidRPr="00A61A2B">
        <w:rPr>
          <w:iCs/>
          <w:sz w:val="20"/>
          <w:szCs w:val="20"/>
        </w:rPr>
        <w:t xml:space="preserve"> This was prospective, randomized clinical study conducted on 1,373 infertile women undergoing IVF participated and gave that result: The overall pregnancy rate and miscarriage rate were similar in the three groups. Oral dydrogesterone seems to be a promising drug for luteal support in woman undergoing IVF.</w:t>
      </w:r>
    </w:p>
    <w:p w:rsidR="009A553D" w:rsidRPr="00A61A2B" w:rsidRDefault="00EB655A" w:rsidP="006E05CF">
      <w:pPr>
        <w:pStyle w:val="BodyText"/>
        <w:snapToGrid w:val="0"/>
        <w:ind w:firstLine="425"/>
        <w:jc w:val="both"/>
        <w:rPr>
          <w:iCs/>
          <w:sz w:val="20"/>
          <w:szCs w:val="20"/>
        </w:rPr>
      </w:pPr>
      <w:r w:rsidRPr="00A61A2B">
        <w:rPr>
          <w:iCs/>
          <w:sz w:val="20"/>
          <w:szCs w:val="20"/>
        </w:rPr>
        <w:t xml:space="preserve">According to patient satisfaction, there are many trials support our result as </w:t>
      </w:r>
      <w:r w:rsidRPr="00A61A2B">
        <w:rPr>
          <w:b/>
          <w:iCs/>
          <w:sz w:val="20"/>
          <w:szCs w:val="20"/>
        </w:rPr>
        <w:t xml:space="preserve">Chakravarty et al </w:t>
      </w:r>
      <w:r w:rsidRPr="00A61A2B">
        <w:rPr>
          <w:b/>
          <w:iCs/>
          <w:sz w:val="20"/>
          <w:szCs w:val="20"/>
          <w:vertAlign w:val="superscript"/>
        </w:rPr>
        <w:t>(12)</w:t>
      </w:r>
      <w:r w:rsidRPr="00A61A2B">
        <w:rPr>
          <w:b/>
          <w:iCs/>
          <w:sz w:val="20"/>
          <w:szCs w:val="20"/>
        </w:rPr>
        <w:t xml:space="preserve">. </w:t>
      </w:r>
      <w:r w:rsidRPr="00A61A2B">
        <w:rPr>
          <w:iCs/>
          <w:sz w:val="20"/>
          <w:szCs w:val="20"/>
        </w:rPr>
        <w:t>this prospective, randomized study was to compare the efficacy, safety and tolerability of vaginal micronized progesterone with oral dydrogesterone as luteal phase support after in-vitro fertilization (IVF). A total of 430 women underwen</w:t>
      </w:r>
      <w:r w:rsidR="006E05CF" w:rsidRPr="00A61A2B">
        <w:rPr>
          <w:iCs/>
          <w:sz w:val="20"/>
          <w:szCs w:val="20"/>
        </w:rPr>
        <w:t>t I</w:t>
      </w:r>
      <w:r w:rsidRPr="00A61A2B">
        <w:rPr>
          <w:iCs/>
          <w:sz w:val="20"/>
          <w:szCs w:val="20"/>
        </w:rPr>
        <w:t xml:space="preserve">VF/intracytoplasmic sperm injection (ICSI) treatment. Patients were randomized to luteal supplementation with either intravaginal </w:t>
      </w:r>
      <w:r w:rsidRPr="00A61A2B">
        <w:rPr>
          <w:iCs/>
          <w:sz w:val="20"/>
          <w:szCs w:val="20"/>
        </w:rPr>
        <w:lastRenderedPageBreak/>
        <w:t>micronized progesterone 200 mg three times daily (n = 351) or oral dydrogesterone 10 mg twice daily (n = 79). In cases of a positive pregnancy test, luteal support was continued for 12 weeks. Both dydrogesterone and micronized progesterone were associated with similar rates of successful pregnancies. Vaginal discharge or irritation were reported by 10.5% of patients given micronized progesterone. Significantly (p &lt; 0.05), more patients given dydrogesterone than micronized progesterone were satisfied with the tolerability of their treatment. There were no differences between the treatments with regard to liver functiontests.</w:t>
      </w:r>
    </w:p>
    <w:p w:rsidR="009A553D" w:rsidRPr="00A61A2B" w:rsidRDefault="00EB655A" w:rsidP="006E05CF">
      <w:pPr>
        <w:pStyle w:val="BodyText"/>
        <w:snapToGrid w:val="0"/>
        <w:ind w:firstLine="425"/>
        <w:jc w:val="both"/>
        <w:rPr>
          <w:iCs/>
          <w:sz w:val="20"/>
          <w:szCs w:val="20"/>
        </w:rPr>
      </w:pPr>
      <w:r w:rsidRPr="00A61A2B">
        <w:rPr>
          <w:iCs/>
          <w:sz w:val="20"/>
          <w:szCs w:val="20"/>
        </w:rPr>
        <w:t xml:space="preserve">Also, </w:t>
      </w:r>
      <w:r w:rsidRPr="00A61A2B">
        <w:rPr>
          <w:b/>
          <w:iCs/>
          <w:sz w:val="20"/>
          <w:szCs w:val="20"/>
        </w:rPr>
        <w:t xml:space="preserve">Barbosa </w:t>
      </w:r>
      <w:r w:rsidRPr="00A61A2B">
        <w:rPr>
          <w:iCs/>
          <w:sz w:val="20"/>
          <w:szCs w:val="20"/>
        </w:rPr>
        <w:t xml:space="preserve">et al </w:t>
      </w:r>
      <w:r w:rsidRPr="00A61A2B">
        <w:rPr>
          <w:iCs/>
          <w:sz w:val="20"/>
          <w:szCs w:val="20"/>
          <w:vertAlign w:val="superscript"/>
        </w:rPr>
        <w:t>(2)</w:t>
      </w:r>
      <w:r w:rsidRPr="00A61A2B">
        <w:rPr>
          <w:iCs/>
          <w:sz w:val="20"/>
          <w:szCs w:val="20"/>
        </w:rPr>
        <w:t>. This trial is to compare the effects of oral Dydrogesterone and vag. Progesterone for luteal‐phase support (LPS) in women undergoing assisted reproductive techniques (ART). There was no relevant difference between oral dydrogesterone and vaginal progesterone for LPS with respect to rate of ongoing pregnancy, clinical pregnancy or miscarriage Two of the three studies reporting on dissatisfaction of treatment identified lower levels of dissatisfaction among women using oral dydrogesterone than among women using vaginal</w:t>
      </w:r>
      <w:r w:rsidR="001A60CC" w:rsidRPr="00A61A2B">
        <w:rPr>
          <w:iCs/>
          <w:sz w:val="20"/>
          <w:szCs w:val="20"/>
        </w:rPr>
        <w:t xml:space="preserve"> </w:t>
      </w:r>
      <w:r w:rsidRPr="00A61A2B">
        <w:rPr>
          <w:iCs/>
          <w:sz w:val="20"/>
          <w:szCs w:val="20"/>
        </w:rPr>
        <w:t>progesterone</w:t>
      </w:r>
      <w:r w:rsidR="001A60CC" w:rsidRPr="00A61A2B">
        <w:rPr>
          <w:iCs/>
          <w:sz w:val="20"/>
          <w:szCs w:val="20"/>
        </w:rPr>
        <w:t xml:space="preserve"> </w:t>
      </w:r>
      <w:r w:rsidRPr="00A61A2B">
        <w:rPr>
          <w:iCs/>
          <w:sz w:val="20"/>
          <w:szCs w:val="20"/>
        </w:rPr>
        <w:t>(oral dydrogesteronevs vaginal progesterone capsules: (2.5%) vs (25.6%), respectively)</w:t>
      </w:r>
      <w:r w:rsidR="001A60CC" w:rsidRPr="00A61A2B">
        <w:rPr>
          <w:iCs/>
          <w:sz w:val="20"/>
          <w:szCs w:val="20"/>
        </w:rPr>
        <w:t>; (</w:t>
      </w:r>
      <w:r w:rsidRPr="00A61A2B">
        <w:rPr>
          <w:iCs/>
          <w:sz w:val="20"/>
          <w:szCs w:val="20"/>
        </w:rPr>
        <w:t>oral dydrogesteronevs vaginal progesterone gel: (4.6%) vs (18.0%), respectively ). The third study showed no difference in dissatisfaction rate (oral dydrogesteronevs vaginal progesterone capsules: (8.3%) vs (7.0%), respectively).</w:t>
      </w:r>
    </w:p>
    <w:p w:rsidR="009A553D" w:rsidRPr="00A61A2B" w:rsidRDefault="00EB655A" w:rsidP="006E05CF">
      <w:pPr>
        <w:pStyle w:val="BodyText"/>
        <w:snapToGrid w:val="0"/>
        <w:ind w:firstLine="425"/>
        <w:jc w:val="both"/>
        <w:rPr>
          <w:iCs/>
          <w:sz w:val="20"/>
          <w:szCs w:val="20"/>
        </w:rPr>
      </w:pPr>
      <w:r w:rsidRPr="00A61A2B">
        <w:rPr>
          <w:iCs/>
          <w:sz w:val="20"/>
          <w:szCs w:val="20"/>
        </w:rPr>
        <w:t xml:space="preserve">Also, </w:t>
      </w:r>
      <w:r w:rsidRPr="00A61A2B">
        <w:rPr>
          <w:b/>
          <w:iCs/>
          <w:sz w:val="20"/>
          <w:szCs w:val="20"/>
        </w:rPr>
        <w:t>Khosravi</w:t>
      </w:r>
      <w:r w:rsidR="00A61A2B">
        <w:rPr>
          <w:rFonts w:eastAsiaTheme="minorEastAsia" w:hint="eastAsia"/>
          <w:b/>
          <w:iCs/>
          <w:sz w:val="20"/>
          <w:szCs w:val="20"/>
          <w:lang w:eastAsia="zh-CN"/>
        </w:rPr>
        <w:t xml:space="preserve"> </w:t>
      </w:r>
      <w:r w:rsidRPr="00A61A2B">
        <w:rPr>
          <w:iCs/>
          <w:sz w:val="20"/>
          <w:szCs w:val="20"/>
        </w:rPr>
        <w:t xml:space="preserve">et al </w:t>
      </w:r>
      <w:r w:rsidRPr="00A61A2B">
        <w:rPr>
          <w:iCs/>
          <w:sz w:val="20"/>
          <w:szCs w:val="20"/>
          <w:vertAlign w:val="superscript"/>
        </w:rPr>
        <w:t>(6)</w:t>
      </w:r>
      <w:r w:rsidRPr="00A61A2B">
        <w:rPr>
          <w:iCs/>
          <w:sz w:val="20"/>
          <w:szCs w:val="20"/>
        </w:rPr>
        <w:t xml:space="preserve">. This prospective, randomized, double blind study was performed in a local infertility center from May 2013 to May 2014. It consisted of 150 infertile women younger than35years old undergoing ovarian stimulation for IUI cycles. They underwent ovarian stimulation with oral dydrogesterone (20 mg) as group A and vaginal cyclogest (400 mg) as group B in preparation for the IUI cycles. Clinical pregnancy and abortion rates, mid luteal progesterone (7daysafter IUI) and patient satisfaction were compared between two groups and there result was The mean serum progesterone levels was significantly higher in group A in comparison with group B (p=0.001). Pregnancy rates in group A was not statistically different in comparison </w:t>
      </w:r>
      <w:r w:rsidR="00A61A2B" w:rsidRPr="00A61A2B">
        <w:rPr>
          <w:iCs/>
          <w:sz w:val="20"/>
          <w:szCs w:val="20"/>
        </w:rPr>
        <w:t>with group</w:t>
      </w:r>
      <w:r w:rsidRPr="00A61A2B">
        <w:rPr>
          <w:iCs/>
          <w:sz w:val="20"/>
          <w:szCs w:val="20"/>
        </w:rPr>
        <w:t xml:space="preserve"> B (p =0.58). Abortion rate in two groups was not statistically different (p =0.056). Satisfaction rates were significantly higher in group A compared to group B (p&lt;0.001).</w:t>
      </w:r>
    </w:p>
    <w:p w:rsidR="009A553D" w:rsidRPr="00A61A2B" w:rsidRDefault="00EB655A" w:rsidP="006E05CF">
      <w:pPr>
        <w:pStyle w:val="BodyText"/>
        <w:snapToGrid w:val="0"/>
        <w:ind w:firstLine="425"/>
        <w:jc w:val="both"/>
        <w:rPr>
          <w:iCs/>
          <w:sz w:val="20"/>
          <w:szCs w:val="20"/>
        </w:rPr>
      </w:pPr>
      <w:r w:rsidRPr="00A61A2B">
        <w:rPr>
          <w:b/>
          <w:iCs/>
          <w:sz w:val="20"/>
          <w:szCs w:val="20"/>
        </w:rPr>
        <w:t>Tomic</w:t>
      </w:r>
      <w:r w:rsidR="00A61A2B">
        <w:rPr>
          <w:rFonts w:eastAsiaTheme="minorEastAsia" w:hint="eastAsia"/>
          <w:b/>
          <w:iCs/>
          <w:sz w:val="20"/>
          <w:szCs w:val="20"/>
          <w:lang w:eastAsia="zh-CN"/>
        </w:rPr>
        <w:t xml:space="preserve"> </w:t>
      </w:r>
      <w:r w:rsidRPr="00A61A2B">
        <w:rPr>
          <w:iCs/>
          <w:sz w:val="20"/>
          <w:szCs w:val="20"/>
        </w:rPr>
        <w:t xml:space="preserve">et al </w:t>
      </w:r>
      <w:r w:rsidRPr="00A61A2B">
        <w:rPr>
          <w:iCs/>
          <w:sz w:val="20"/>
          <w:szCs w:val="20"/>
          <w:vertAlign w:val="superscript"/>
        </w:rPr>
        <w:t>13)</w:t>
      </w:r>
      <w:r w:rsidRPr="00A61A2B">
        <w:rPr>
          <w:iCs/>
          <w:sz w:val="20"/>
          <w:szCs w:val="20"/>
        </w:rPr>
        <w:t xml:space="preserve">. This is Randomized controlled trial. A total of 853 infertile women undergoing IVF/ICSI treatment in University Hospital Center “Sisters of Mercy”, Zagreb, Croatia. </w:t>
      </w:r>
      <w:hyperlink r:id="rId15">
        <w:r w:rsidRPr="00A61A2B">
          <w:rPr>
            <w:iCs/>
            <w:sz w:val="20"/>
            <w:szCs w:val="20"/>
            <w:u w:val="single"/>
          </w:rPr>
          <w:t>Luteal support</w:t>
        </w:r>
      </w:hyperlink>
      <w:r w:rsidR="00A61A2B">
        <w:rPr>
          <w:rFonts w:eastAsiaTheme="minorEastAsia" w:hint="eastAsia"/>
          <w:sz w:val="20"/>
          <w:szCs w:val="20"/>
          <w:lang w:eastAsia="zh-CN"/>
        </w:rPr>
        <w:t xml:space="preserve"> </w:t>
      </w:r>
      <w:r w:rsidRPr="00A61A2B">
        <w:rPr>
          <w:iCs/>
          <w:sz w:val="20"/>
          <w:szCs w:val="20"/>
        </w:rPr>
        <w:t>was provided as Crinone 8%</w:t>
      </w:r>
      <w:r w:rsidRPr="00A61A2B">
        <w:rPr>
          <w:iCs/>
          <w:sz w:val="20"/>
          <w:szCs w:val="20"/>
          <w:vertAlign w:val="superscript"/>
        </w:rPr>
        <w:t>®</w:t>
      </w:r>
      <w:r w:rsidRPr="00A61A2B">
        <w:rPr>
          <w:iCs/>
          <w:sz w:val="20"/>
          <w:szCs w:val="20"/>
        </w:rPr>
        <w:t xml:space="preserve"> vaginal progesterone gel (90 mg) administered daily, or oral dydrogesteron</w:t>
      </w:r>
      <w:r w:rsidR="006E05CF" w:rsidRPr="00A61A2B">
        <w:rPr>
          <w:iCs/>
          <w:sz w:val="20"/>
          <w:szCs w:val="20"/>
        </w:rPr>
        <w:t xml:space="preserve">e </w:t>
      </w:r>
      <w:r w:rsidR="006E05CF" w:rsidRPr="00A61A2B">
        <w:rPr>
          <w:iCs/>
          <w:sz w:val="20"/>
          <w:szCs w:val="20"/>
        </w:rPr>
        <w:lastRenderedPageBreak/>
        <w:t>D</w:t>
      </w:r>
      <w:r w:rsidRPr="00A61A2B">
        <w:rPr>
          <w:iCs/>
          <w:sz w:val="20"/>
          <w:szCs w:val="20"/>
        </w:rPr>
        <w:t>uphaston</w:t>
      </w:r>
      <w:r w:rsidRPr="00A61A2B">
        <w:rPr>
          <w:iCs/>
          <w:sz w:val="20"/>
          <w:szCs w:val="20"/>
          <w:vertAlign w:val="superscript"/>
        </w:rPr>
        <w:t>®</w:t>
      </w:r>
      <w:r w:rsidRPr="00A61A2B">
        <w:rPr>
          <w:iCs/>
          <w:sz w:val="20"/>
          <w:szCs w:val="20"/>
        </w:rPr>
        <w:t xml:space="preserve"> (2× 10 mg) administered two times daily. Progesterone was administered from the day of </w:t>
      </w:r>
      <w:hyperlink r:id="rId16">
        <w:r w:rsidRPr="00A61A2B">
          <w:rPr>
            <w:iCs/>
            <w:sz w:val="20"/>
            <w:szCs w:val="20"/>
            <w:u w:val="single"/>
          </w:rPr>
          <w:t>oocyte retrieval</w:t>
        </w:r>
      </w:hyperlink>
      <w:r w:rsidRPr="00A61A2B">
        <w:rPr>
          <w:iCs/>
          <w:sz w:val="20"/>
          <w:szCs w:val="20"/>
        </w:rPr>
        <w:t xml:space="preserve">(day 0) till </w:t>
      </w:r>
      <w:r w:rsidR="00A61A2B" w:rsidRPr="00A61A2B">
        <w:rPr>
          <w:sz w:val="20"/>
          <w:szCs w:val="20"/>
        </w:rPr>
        <w:t>test or</w:t>
      </w:r>
      <w:r w:rsidRPr="00A61A2B">
        <w:rPr>
          <w:iCs/>
          <w:sz w:val="20"/>
          <w:szCs w:val="20"/>
        </w:rPr>
        <w:t xml:space="preserve"> in a case of pregnancy, until week 10. And the result was that the on-going pregnancy rates were insignificantly different. Overall satisfaction and tolerability were significantly higher in the dydrogesterone group than in the Crinone group. </w:t>
      </w:r>
      <w:hyperlink r:id="rId17">
        <w:r w:rsidRPr="00A61A2B">
          <w:rPr>
            <w:iCs/>
            <w:sz w:val="20"/>
            <w:szCs w:val="20"/>
            <w:u w:val="single"/>
          </w:rPr>
          <w:t>Vaginal bleeding</w:t>
        </w:r>
        <w:r w:rsidRPr="00A61A2B">
          <w:rPr>
            <w:iCs/>
            <w:sz w:val="20"/>
            <w:szCs w:val="20"/>
          </w:rPr>
          <w:t>,</w:t>
        </w:r>
      </w:hyperlink>
      <w:r w:rsidRPr="00A61A2B">
        <w:rPr>
          <w:iCs/>
          <w:sz w:val="20"/>
          <w:szCs w:val="20"/>
        </w:rPr>
        <w:t xml:space="preserve"> interference with </w:t>
      </w:r>
      <w:hyperlink r:id="rId18">
        <w:r w:rsidRPr="00A61A2B">
          <w:rPr>
            <w:iCs/>
            <w:sz w:val="20"/>
            <w:szCs w:val="20"/>
            <w:u w:val="single"/>
          </w:rPr>
          <w:t>coitus</w:t>
        </w:r>
      </w:hyperlink>
      <w:r w:rsidR="00A61A2B">
        <w:rPr>
          <w:rFonts w:eastAsiaTheme="minorEastAsia" w:hint="eastAsia"/>
          <w:sz w:val="20"/>
          <w:szCs w:val="20"/>
          <w:lang w:eastAsia="zh-CN"/>
        </w:rPr>
        <w:t xml:space="preserve"> </w:t>
      </w:r>
      <w:r w:rsidRPr="00A61A2B">
        <w:rPr>
          <w:iCs/>
          <w:sz w:val="20"/>
          <w:szCs w:val="20"/>
        </w:rPr>
        <w:t>and local adverse side effects such as vaginal irritation and discharge occurred significantly more in Crinone group than in dydrogesterone group.</w:t>
      </w:r>
    </w:p>
    <w:p w:rsidR="00FE5D08" w:rsidRPr="00A61A2B" w:rsidRDefault="00EB655A" w:rsidP="006E05CF">
      <w:pPr>
        <w:pStyle w:val="BodyText"/>
        <w:snapToGrid w:val="0"/>
        <w:ind w:firstLine="425"/>
        <w:jc w:val="both"/>
        <w:rPr>
          <w:iCs/>
          <w:sz w:val="20"/>
          <w:szCs w:val="20"/>
        </w:rPr>
      </w:pPr>
      <w:r w:rsidRPr="00A61A2B">
        <w:rPr>
          <w:iCs/>
          <w:sz w:val="20"/>
          <w:szCs w:val="20"/>
        </w:rPr>
        <w:t xml:space="preserve">Our data were contradictory with the results of the study by </w:t>
      </w:r>
      <w:r w:rsidRPr="00A61A2B">
        <w:rPr>
          <w:b/>
          <w:iCs/>
          <w:sz w:val="20"/>
          <w:szCs w:val="20"/>
        </w:rPr>
        <w:t>Patkiet</w:t>
      </w:r>
      <w:r w:rsidR="00A61A2B">
        <w:rPr>
          <w:rFonts w:eastAsiaTheme="minorEastAsia" w:hint="eastAsia"/>
          <w:b/>
          <w:iCs/>
          <w:sz w:val="20"/>
          <w:szCs w:val="20"/>
          <w:lang w:eastAsia="zh-CN"/>
        </w:rPr>
        <w:t xml:space="preserve"> </w:t>
      </w:r>
      <w:r w:rsidRPr="00A61A2B">
        <w:rPr>
          <w:iCs/>
          <w:sz w:val="20"/>
          <w:szCs w:val="20"/>
        </w:rPr>
        <w:t xml:space="preserve">et al </w:t>
      </w:r>
      <w:r w:rsidRPr="00A61A2B">
        <w:rPr>
          <w:iCs/>
          <w:sz w:val="20"/>
          <w:szCs w:val="20"/>
          <w:vertAlign w:val="superscript"/>
        </w:rPr>
        <w:t>(14)</w:t>
      </w:r>
      <w:r w:rsidRPr="00A61A2B">
        <w:rPr>
          <w:iCs/>
          <w:sz w:val="20"/>
          <w:szCs w:val="20"/>
        </w:rPr>
        <w:t xml:space="preserve">. The aim of the present study was to evaluate dydrogesterone for luteal-phase support in assisted reproductive technologies (ART) and to compare it with micronized vaginal progesterone. All patients underwent long-term downregulation with gonadotropin- releasing hormone agonists. In phase I, 498 patients were divided into three groups: long protocol and not at risk of ovarian hyperstimulation syndrome (OHSS) (group A); long protocol and at risk of OHSS (group B); and those in a donor oocyte program (group C). All patients received micronized progesterone 600 mg/day, vaginally. They were also randomized to dydrogesterone 20 mg/day (n = 218) or placebo (n = 280). The pregnancy rate was higher with dydrogesterone than with placebo in group A (33.0% vs. 23.6%), group B (36.8% vs. 28.1%) and group C (42.9% vs. 15.6%; p &lt; 0.001). In phase II, 675 patients were divided into the same three groups (groups D, E and F) and were randomized to dydrogesterone 30 mg/day (n = 366) or micronized progesterone 600 mg/day (n = 309). The pregnancy rate was significantly higher with dydrogesterone than with progesterone in group D (39.1% vs. 26.7%; </w:t>
      </w:r>
      <w:r w:rsidR="00FE5D08" w:rsidRPr="00A61A2B">
        <w:rPr>
          <w:iCs/>
          <w:sz w:val="20"/>
          <w:szCs w:val="20"/>
        </w:rPr>
        <w:t>p &lt;</w:t>
      </w:r>
      <w:r w:rsidRPr="00A61A2B">
        <w:rPr>
          <w:iCs/>
          <w:sz w:val="20"/>
          <w:szCs w:val="20"/>
        </w:rPr>
        <w:t>0.01)</w:t>
      </w:r>
      <w:r w:rsidR="00910927" w:rsidRPr="00A61A2B">
        <w:rPr>
          <w:iCs/>
          <w:sz w:val="20"/>
          <w:szCs w:val="20"/>
        </w:rPr>
        <w:t>, group E</w:t>
      </w:r>
      <w:r w:rsidR="001A60CC" w:rsidRPr="00A61A2B">
        <w:rPr>
          <w:iCs/>
          <w:sz w:val="20"/>
          <w:szCs w:val="20"/>
        </w:rPr>
        <w:t xml:space="preserve"> </w:t>
      </w:r>
      <w:r w:rsidRPr="00A61A2B">
        <w:rPr>
          <w:iCs/>
          <w:sz w:val="20"/>
          <w:szCs w:val="20"/>
        </w:rPr>
        <w:t>(41.2%</w:t>
      </w:r>
      <w:r w:rsidR="001A60CC" w:rsidRPr="00A61A2B">
        <w:rPr>
          <w:iCs/>
          <w:sz w:val="20"/>
          <w:szCs w:val="20"/>
        </w:rPr>
        <w:t xml:space="preserve"> </w:t>
      </w:r>
      <w:r w:rsidRPr="00A61A2B">
        <w:rPr>
          <w:iCs/>
          <w:sz w:val="20"/>
          <w:szCs w:val="20"/>
        </w:rPr>
        <w:t>vs.</w:t>
      </w:r>
      <w:r w:rsidR="001A60CC" w:rsidRPr="00A61A2B">
        <w:rPr>
          <w:iCs/>
          <w:sz w:val="20"/>
          <w:szCs w:val="20"/>
        </w:rPr>
        <w:t xml:space="preserve"> </w:t>
      </w:r>
      <w:r w:rsidRPr="00A61A2B">
        <w:rPr>
          <w:iCs/>
          <w:sz w:val="20"/>
          <w:szCs w:val="20"/>
        </w:rPr>
        <w:t>35.6%; p &lt; 0.01) and group F (48.2% vs. 33.9%; p &lt; 0.001). In conclusion, dydrogesterone is effective in luteal-phase support i</w:t>
      </w:r>
      <w:r w:rsidR="006E05CF" w:rsidRPr="00A61A2B">
        <w:rPr>
          <w:iCs/>
          <w:sz w:val="20"/>
          <w:szCs w:val="20"/>
        </w:rPr>
        <w:t>n A</w:t>
      </w:r>
      <w:r w:rsidRPr="00A61A2B">
        <w:rPr>
          <w:iCs/>
          <w:sz w:val="20"/>
          <w:szCs w:val="20"/>
        </w:rPr>
        <w:t>RT.</w:t>
      </w:r>
    </w:p>
    <w:p w:rsidR="00FE5D08" w:rsidRPr="00A61A2B" w:rsidRDefault="00FE5D08" w:rsidP="006E05CF">
      <w:pPr>
        <w:pStyle w:val="BodyText"/>
        <w:snapToGrid w:val="0"/>
        <w:jc w:val="both"/>
        <w:rPr>
          <w:b/>
          <w:bCs/>
          <w:iCs/>
          <w:sz w:val="20"/>
          <w:szCs w:val="20"/>
        </w:rPr>
      </w:pPr>
    </w:p>
    <w:p w:rsidR="009A553D" w:rsidRPr="00A61A2B" w:rsidRDefault="00EB655A" w:rsidP="006E05CF">
      <w:pPr>
        <w:pStyle w:val="BodyText"/>
        <w:snapToGrid w:val="0"/>
        <w:jc w:val="both"/>
        <w:rPr>
          <w:b/>
          <w:bCs/>
          <w:iCs/>
          <w:sz w:val="20"/>
          <w:szCs w:val="20"/>
        </w:rPr>
      </w:pPr>
      <w:r w:rsidRPr="00A61A2B">
        <w:rPr>
          <w:b/>
          <w:bCs/>
          <w:iCs/>
          <w:sz w:val="20"/>
          <w:szCs w:val="20"/>
        </w:rPr>
        <w:t>Conclusion:</w:t>
      </w:r>
    </w:p>
    <w:p w:rsidR="009A553D" w:rsidRPr="00A61A2B" w:rsidRDefault="00EB655A" w:rsidP="006E05CF">
      <w:pPr>
        <w:pStyle w:val="BodyText"/>
        <w:snapToGrid w:val="0"/>
        <w:ind w:firstLine="425"/>
        <w:jc w:val="both"/>
        <w:rPr>
          <w:iCs/>
          <w:sz w:val="20"/>
          <w:szCs w:val="20"/>
        </w:rPr>
      </w:pPr>
      <w:r w:rsidRPr="00A61A2B">
        <w:rPr>
          <w:iCs/>
          <w:sz w:val="20"/>
          <w:szCs w:val="20"/>
        </w:rPr>
        <w:t>From the results of the present study, it was found that, there was no statistically significant difference between oral dydrogesterone and vaginal progesterone in luteal support of IVF/ICSI stimulated cycles according to pregnancy rate but slightly higher rate with oral dydrogesterone.</w:t>
      </w:r>
    </w:p>
    <w:p w:rsidR="009A553D" w:rsidRPr="00A61A2B" w:rsidRDefault="00A61A2B" w:rsidP="006E05CF">
      <w:pPr>
        <w:pStyle w:val="BodyText"/>
        <w:snapToGrid w:val="0"/>
        <w:ind w:firstLine="425"/>
        <w:jc w:val="both"/>
        <w:rPr>
          <w:iCs/>
          <w:sz w:val="20"/>
          <w:szCs w:val="20"/>
        </w:rPr>
      </w:pPr>
      <w:r w:rsidRPr="00A61A2B">
        <w:rPr>
          <w:iCs/>
          <w:sz w:val="20"/>
          <w:szCs w:val="20"/>
        </w:rPr>
        <w:t>O</w:t>
      </w:r>
      <w:r w:rsidR="00EB655A" w:rsidRPr="00A61A2B">
        <w:rPr>
          <w:iCs/>
          <w:sz w:val="20"/>
          <w:szCs w:val="20"/>
        </w:rPr>
        <w:t>ral</w:t>
      </w:r>
      <w:r>
        <w:rPr>
          <w:rFonts w:eastAsiaTheme="minorEastAsia" w:hint="eastAsia"/>
          <w:iCs/>
          <w:sz w:val="20"/>
          <w:szCs w:val="20"/>
          <w:lang w:eastAsia="zh-CN"/>
        </w:rPr>
        <w:t xml:space="preserve"> </w:t>
      </w:r>
      <w:r w:rsidR="00EB655A" w:rsidRPr="00A61A2B">
        <w:rPr>
          <w:iCs/>
          <w:sz w:val="20"/>
          <w:szCs w:val="20"/>
        </w:rPr>
        <w:t>dydrogesterone show better patient compliance than vaginal progesterone. Interference with coitus and local adverse side effects such as vaginal irritation and discharge with vaginal progesterone could be avoided with the use of oral dydrogestero.</w:t>
      </w:r>
    </w:p>
    <w:p w:rsidR="00FE5D08" w:rsidRPr="00A61A2B" w:rsidRDefault="00FE5D08" w:rsidP="006E05CF">
      <w:pPr>
        <w:pStyle w:val="Heading1"/>
        <w:snapToGrid w:val="0"/>
        <w:ind w:left="0"/>
        <w:jc w:val="both"/>
        <w:rPr>
          <w:iCs/>
          <w:sz w:val="20"/>
          <w:szCs w:val="20"/>
        </w:rPr>
      </w:pPr>
    </w:p>
    <w:p w:rsidR="009A553D" w:rsidRPr="00A61A2B" w:rsidRDefault="00FE5D08" w:rsidP="006E05CF">
      <w:pPr>
        <w:pStyle w:val="Heading1"/>
        <w:snapToGrid w:val="0"/>
        <w:ind w:left="0"/>
        <w:jc w:val="both"/>
        <w:rPr>
          <w:iCs/>
          <w:sz w:val="20"/>
          <w:szCs w:val="20"/>
        </w:rPr>
      </w:pPr>
      <w:r w:rsidRPr="00A61A2B">
        <w:rPr>
          <w:iCs/>
          <w:sz w:val="20"/>
          <w:szCs w:val="20"/>
        </w:rPr>
        <w:t>References</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Shapiro</w:t>
      </w:r>
      <w:r w:rsidR="001A60CC" w:rsidRPr="00A61A2B">
        <w:rPr>
          <w:bCs/>
          <w:iCs/>
          <w:sz w:val="20"/>
          <w:szCs w:val="20"/>
        </w:rPr>
        <w:t xml:space="preserve"> </w:t>
      </w:r>
      <w:r w:rsidRPr="00A61A2B">
        <w:rPr>
          <w:bCs/>
          <w:iCs/>
          <w:sz w:val="20"/>
          <w:szCs w:val="20"/>
        </w:rPr>
        <w:t>D,</w:t>
      </w:r>
      <w:r w:rsidR="001A60CC" w:rsidRPr="00A61A2B">
        <w:rPr>
          <w:bCs/>
          <w:iCs/>
          <w:sz w:val="20"/>
          <w:szCs w:val="20"/>
        </w:rPr>
        <w:t xml:space="preserve"> </w:t>
      </w:r>
      <w:r w:rsidRPr="00A61A2B">
        <w:rPr>
          <w:bCs/>
          <w:iCs/>
          <w:sz w:val="20"/>
          <w:szCs w:val="20"/>
        </w:rPr>
        <w:t>Boostanfar</w:t>
      </w:r>
      <w:r w:rsidR="001A60CC" w:rsidRPr="00A61A2B">
        <w:rPr>
          <w:bCs/>
          <w:iCs/>
          <w:sz w:val="20"/>
          <w:szCs w:val="20"/>
        </w:rPr>
        <w:t xml:space="preserve"> </w:t>
      </w:r>
      <w:r w:rsidRPr="00A61A2B">
        <w:rPr>
          <w:bCs/>
          <w:iCs/>
          <w:sz w:val="20"/>
          <w:szCs w:val="20"/>
        </w:rPr>
        <w:t>R,</w:t>
      </w:r>
      <w:r w:rsidR="001A60CC" w:rsidRPr="00A61A2B">
        <w:rPr>
          <w:bCs/>
          <w:iCs/>
          <w:sz w:val="20"/>
          <w:szCs w:val="20"/>
        </w:rPr>
        <w:t xml:space="preserve"> </w:t>
      </w:r>
      <w:r w:rsidRPr="00A61A2B">
        <w:rPr>
          <w:bCs/>
          <w:iCs/>
          <w:sz w:val="20"/>
          <w:szCs w:val="20"/>
        </w:rPr>
        <w:t>Silverberg</w:t>
      </w:r>
      <w:r w:rsidR="001A60CC" w:rsidRPr="00A61A2B">
        <w:rPr>
          <w:bCs/>
          <w:iCs/>
          <w:sz w:val="20"/>
          <w:szCs w:val="20"/>
        </w:rPr>
        <w:t xml:space="preserve"> </w:t>
      </w:r>
      <w:r w:rsidRPr="00A61A2B">
        <w:rPr>
          <w:bCs/>
          <w:iCs/>
          <w:sz w:val="20"/>
          <w:szCs w:val="20"/>
        </w:rPr>
        <w:t>K</w:t>
      </w:r>
      <w:r w:rsidR="006E05CF" w:rsidRPr="00A61A2B">
        <w:rPr>
          <w:bCs/>
          <w:iCs/>
          <w:sz w:val="20"/>
          <w:szCs w:val="20"/>
        </w:rPr>
        <w:t xml:space="preserve">, </w:t>
      </w:r>
      <w:r w:rsidR="006E05CF" w:rsidRPr="00A61A2B">
        <w:rPr>
          <w:bCs/>
          <w:iCs/>
          <w:sz w:val="20"/>
          <w:szCs w:val="20"/>
        </w:rPr>
        <w:lastRenderedPageBreak/>
        <w:t>Y</w:t>
      </w:r>
      <w:r w:rsidRPr="00A61A2B">
        <w:rPr>
          <w:bCs/>
          <w:iCs/>
          <w:sz w:val="20"/>
          <w:szCs w:val="20"/>
        </w:rPr>
        <w:t>anushpolsky</w:t>
      </w:r>
      <w:r w:rsidR="001A60CC" w:rsidRPr="00A61A2B">
        <w:rPr>
          <w:bCs/>
          <w:iCs/>
          <w:sz w:val="20"/>
          <w:szCs w:val="20"/>
        </w:rPr>
        <w:t xml:space="preserve"> </w:t>
      </w:r>
      <w:r w:rsidRPr="00A61A2B">
        <w:rPr>
          <w:bCs/>
          <w:iCs/>
          <w:sz w:val="20"/>
          <w:szCs w:val="20"/>
        </w:rPr>
        <w:t>EH.</w:t>
      </w:r>
      <w:r w:rsidR="001A60CC" w:rsidRPr="00A61A2B">
        <w:rPr>
          <w:bCs/>
          <w:iCs/>
          <w:sz w:val="20"/>
          <w:szCs w:val="20"/>
        </w:rPr>
        <w:t xml:space="preserve"> </w:t>
      </w:r>
      <w:r w:rsidRPr="00A61A2B">
        <w:rPr>
          <w:bCs/>
          <w:iCs/>
          <w:sz w:val="20"/>
          <w:szCs w:val="20"/>
        </w:rPr>
        <w:t>Examining</w:t>
      </w:r>
      <w:r w:rsidR="001A60CC" w:rsidRPr="00A61A2B">
        <w:rPr>
          <w:bCs/>
          <w:iCs/>
          <w:sz w:val="20"/>
          <w:szCs w:val="20"/>
        </w:rPr>
        <w:t xml:space="preserve"> </w:t>
      </w:r>
      <w:r w:rsidRPr="00A61A2B">
        <w:rPr>
          <w:bCs/>
          <w:iCs/>
          <w:sz w:val="20"/>
          <w:szCs w:val="20"/>
        </w:rPr>
        <w:t>the</w:t>
      </w:r>
      <w:r w:rsidR="001A60CC" w:rsidRPr="00A61A2B">
        <w:rPr>
          <w:bCs/>
          <w:iCs/>
          <w:sz w:val="20"/>
          <w:szCs w:val="20"/>
        </w:rPr>
        <w:t xml:space="preserve"> </w:t>
      </w:r>
      <w:r w:rsidRPr="00A61A2B">
        <w:rPr>
          <w:bCs/>
          <w:iCs/>
          <w:sz w:val="20"/>
          <w:szCs w:val="20"/>
        </w:rPr>
        <w:t>evidence:</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supplementation</w:t>
      </w:r>
      <w:r w:rsidR="001A60CC" w:rsidRPr="00A61A2B">
        <w:rPr>
          <w:bCs/>
          <w:iCs/>
          <w:sz w:val="20"/>
          <w:szCs w:val="20"/>
        </w:rPr>
        <w:t xml:space="preserve"> </w:t>
      </w:r>
      <w:r w:rsidRPr="00A61A2B">
        <w:rPr>
          <w:bCs/>
          <w:iCs/>
          <w:sz w:val="20"/>
          <w:szCs w:val="20"/>
        </w:rPr>
        <w:t>during</w:t>
      </w:r>
      <w:r w:rsidR="001A60CC" w:rsidRPr="00A61A2B">
        <w:rPr>
          <w:bCs/>
          <w:iCs/>
          <w:sz w:val="20"/>
          <w:szCs w:val="20"/>
        </w:rPr>
        <w:t xml:space="preserve"> </w:t>
      </w:r>
      <w:r w:rsidRPr="00A61A2B">
        <w:rPr>
          <w:bCs/>
          <w:iCs/>
          <w:sz w:val="20"/>
          <w:szCs w:val="20"/>
        </w:rPr>
        <w:t>fresh</w:t>
      </w:r>
      <w:r w:rsidR="001A60CC" w:rsidRPr="00A61A2B">
        <w:rPr>
          <w:bCs/>
          <w:iCs/>
          <w:sz w:val="20"/>
          <w:szCs w:val="20"/>
        </w:rPr>
        <w:t xml:space="preserve"> </w:t>
      </w:r>
      <w:r w:rsidRPr="00A61A2B">
        <w:rPr>
          <w:bCs/>
          <w:iCs/>
          <w:sz w:val="20"/>
          <w:szCs w:val="20"/>
        </w:rPr>
        <w:t>and</w:t>
      </w:r>
      <w:r w:rsidR="001A60CC" w:rsidRPr="00A61A2B">
        <w:rPr>
          <w:bCs/>
          <w:iCs/>
          <w:sz w:val="20"/>
          <w:szCs w:val="20"/>
        </w:rPr>
        <w:t xml:space="preserve"> </w:t>
      </w:r>
      <w:r w:rsidRPr="00A61A2B">
        <w:rPr>
          <w:bCs/>
          <w:iCs/>
          <w:sz w:val="20"/>
          <w:szCs w:val="20"/>
        </w:rPr>
        <w:t>frozen</w:t>
      </w:r>
      <w:r w:rsidR="001A60CC" w:rsidRPr="00A61A2B">
        <w:rPr>
          <w:bCs/>
          <w:iCs/>
          <w:sz w:val="20"/>
          <w:szCs w:val="20"/>
        </w:rPr>
        <w:t xml:space="preserve"> </w:t>
      </w:r>
      <w:r w:rsidRPr="00A61A2B">
        <w:rPr>
          <w:bCs/>
          <w:iCs/>
          <w:sz w:val="20"/>
          <w:szCs w:val="20"/>
        </w:rPr>
        <w:t>embryo</w:t>
      </w:r>
      <w:r w:rsidR="001A60CC" w:rsidRPr="00A61A2B">
        <w:rPr>
          <w:bCs/>
          <w:iCs/>
          <w:sz w:val="20"/>
          <w:szCs w:val="20"/>
        </w:rPr>
        <w:t xml:space="preserve"> </w:t>
      </w:r>
      <w:r w:rsidRPr="00A61A2B">
        <w:rPr>
          <w:bCs/>
          <w:iCs/>
          <w:sz w:val="20"/>
          <w:szCs w:val="20"/>
        </w:rPr>
        <w:t>transfer.</w:t>
      </w:r>
      <w:r w:rsidR="001A60CC" w:rsidRPr="00A61A2B">
        <w:rPr>
          <w:bCs/>
          <w:iCs/>
          <w:sz w:val="20"/>
          <w:szCs w:val="20"/>
        </w:rPr>
        <w:t xml:space="preserve"> </w:t>
      </w:r>
      <w:r w:rsidRPr="00A61A2B">
        <w:rPr>
          <w:bCs/>
          <w:iCs/>
          <w:sz w:val="20"/>
          <w:szCs w:val="20"/>
        </w:rPr>
        <w:t>Reprod</w:t>
      </w:r>
      <w:r w:rsidR="001A60CC" w:rsidRPr="00A61A2B">
        <w:rPr>
          <w:bCs/>
          <w:iCs/>
          <w:sz w:val="20"/>
          <w:szCs w:val="20"/>
        </w:rPr>
        <w:t xml:space="preserve"> </w:t>
      </w:r>
      <w:r w:rsidRPr="00A61A2B">
        <w:rPr>
          <w:bCs/>
          <w:iCs/>
          <w:sz w:val="20"/>
          <w:szCs w:val="20"/>
        </w:rPr>
        <w:t>Biomed</w:t>
      </w:r>
      <w:r w:rsidR="001A60CC" w:rsidRPr="00A61A2B">
        <w:rPr>
          <w:bCs/>
          <w:iCs/>
          <w:sz w:val="20"/>
          <w:szCs w:val="20"/>
        </w:rPr>
        <w:t xml:space="preserve"> </w:t>
      </w:r>
      <w:r w:rsidRPr="00A61A2B">
        <w:rPr>
          <w:bCs/>
          <w:iCs/>
          <w:sz w:val="20"/>
          <w:szCs w:val="20"/>
        </w:rPr>
        <w:t>Online.</w:t>
      </w:r>
      <w:r w:rsidR="001A60CC" w:rsidRPr="00A61A2B">
        <w:rPr>
          <w:bCs/>
          <w:iCs/>
          <w:sz w:val="20"/>
          <w:szCs w:val="20"/>
        </w:rPr>
        <w:t xml:space="preserve"> </w:t>
      </w:r>
      <w:r w:rsidRPr="00A61A2B">
        <w:rPr>
          <w:bCs/>
          <w:iCs/>
          <w:sz w:val="20"/>
          <w:szCs w:val="20"/>
        </w:rPr>
        <w:t>2014;29Suppl</w:t>
      </w:r>
      <w:r w:rsidR="001A60CC" w:rsidRPr="00A61A2B">
        <w:rPr>
          <w:bCs/>
          <w:iCs/>
          <w:sz w:val="20"/>
          <w:szCs w:val="20"/>
        </w:rPr>
        <w:t xml:space="preserve"> </w:t>
      </w:r>
      <w:r w:rsidRPr="00A61A2B">
        <w:rPr>
          <w:bCs/>
          <w:iCs/>
          <w:sz w:val="20"/>
          <w:szCs w:val="20"/>
        </w:rPr>
        <w:t>1</w:t>
      </w:r>
      <w:r w:rsidR="006E05CF" w:rsidRPr="00A61A2B">
        <w:rPr>
          <w:bCs/>
          <w:iCs/>
          <w:sz w:val="20"/>
          <w:szCs w:val="20"/>
        </w:rPr>
        <w:t>: S</w:t>
      </w:r>
      <w:r w:rsidRPr="00A61A2B">
        <w:rPr>
          <w:bCs/>
          <w:iCs/>
          <w:sz w:val="20"/>
          <w:szCs w:val="20"/>
        </w:rPr>
        <w:t>1-14;</w:t>
      </w:r>
      <w:r w:rsidR="001A60CC" w:rsidRPr="00A61A2B">
        <w:rPr>
          <w:bCs/>
          <w:iCs/>
          <w:sz w:val="20"/>
          <w:szCs w:val="20"/>
        </w:rPr>
        <w:t xml:space="preserve"> </w:t>
      </w:r>
      <w:r w:rsidRPr="00A61A2B">
        <w:rPr>
          <w:bCs/>
          <w:iCs/>
          <w:sz w:val="20"/>
          <w:szCs w:val="20"/>
        </w:rPr>
        <w:t>qui</w:t>
      </w:r>
      <w:r w:rsidR="006E05CF" w:rsidRPr="00A61A2B">
        <w:rPr>
          <w:bCs/>
          <w:iCs/>
          <w:sz w:val="20"/>
          <w:szCs w:val="20"/>
        </w:rPr>
        <w:t>z S</w:t>
      </w:r>
      <w:r w:rsidRPr="00A61A2B">
        <w:rPr>
          <w:bCs/>
          <w:iCs/>
          <w:sz w:val="20"/>
          <w:szCs w:val="20"/>
        </w:rPr>
        <w:t>5-6.</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Barbosa</w:t>
      </w:r>
      <w:r w:rsidR="001A60CC" w:rsidRPr="00A61A2B">
        <w:rPr>
          <w:bCs/>
          <w:iCs/>
          <w:sz w:val="20"/>
          <w:szCs w:val="20"/>
        </w:rPr>
        <w:t xml:space="preserve"> </w:t>
      </w:r>
      <w:r w:rsidRPr="00A61A2B">
        <w:rPr>
          <w:bCs/>
          <w:iCs/>
          <w:sz w:val="20"/>
          <w:szCs w:val="20"/>
        </w:rPr>
        <w:t>MW,</w:t>
      </w:r>
      <w:r w:rsidR="001A60CC" w:rsidRPr="00A61A2B">
        <w:rPr>
          <w:bCs/>
          <w:iCs/>
          <w:sz w:val="20"/>
          <w:szCs w:val="20"/>
        </w:rPr>
        <w:t xml:space="preserve"> </w:t>
      </w:r>
      <w:r w:rsidRPr="00A61A2B">
        <w:rPr>
          <w:bCs/>
          <w:iCs/>
          <w:sz w:val="20"/>
          <w:szCs w:val="20"/>
        </w:rPr>
        <w:t>Silva</w:t>
      </w:r>
      <w:r w:rsidR="001A60CC" w:rsidRPr="00A61A2B">
        <w:rPr>
          <w:bCs/>
          <w:iCs/>
          <w:sz w:val="20"/>
          <w:szCs w:val="20"/>
        </w:rPr>
        <w:t xml:space="preserve"> </w:t>
      </w:r>
      <w:r w:rsidRPr="00A61A2B">
        <w:rPr>
          <w:bCs/>
          <w:iCs/>
          <w:sz w:val="20"/>
          <w:szCs w:val="20"/>
        </w:rPr>
        <w:t>LR,</w:t>
      </w:r>
      <w:r w:rsidR="001A60CC" w:rsidRPr="00A61A2B">
        <w:rPr>
          <w:bCs/>
          <w:iCs/>
          <w:sz w:val="20"/>
          <w:szCs w:val="20"/>
        </w:rPr>
        <w:t xml:space="preserve"> </w:t>
      </w:r>
      <w:r w:rsidRPr="00A61A2B">
        <w:rPr>
          <w:bCs/>
          <w:iCs/>
          <w:sz w:val="20"/>
          <w:szCs w:val="20"/>
        </w:rPr>
        <w:t>Navarro</w:t>
      </w:r>
      <w:r w:rsidR="001A60CC" w:rsidRPr="00A61A2B">
        <w:rPr>
          <w:bCs/>
          <w:iCs/>
          <w:sz w:val="20"/>
          <w:szCs w:val="20"/>
        </w:rPr>
        <w:t xml:space="preserve"> </w:t>
      </w:r>
      <w:r w:rsidRPr="00A61A2B">
        <w:rPr>
          <w:bCs/>
          <w:iCs/>
          <w:sz w:val="20"/>
          <w:szCs w:val="20"/>
        </w:rPr>
        <w:t>PA,</w:t>
      </w:r>
      <w:r w:rsidR="001A60CC" w:rsidRPr="00A61A2B">
        <w:rPr>
          <w:bCs/>
          <w:iCs/>
          <w:sz w:val="20"/>
          <w:szCs w:val="20"/>
        </w:rPr>
        <w:t xml:space="preserve"> </w:t>
      </w:r>
      <w:r w:rsidRPr="00A61A2B">
        <w:rPr>
          <w:bCs/>
          <w:iCs/>
          <w:sz w:val="20"/>
          <w:szCs w:val="20"/>
        </w:rPr>
        <w:t>Ferriani</w:t>
      </w:r>
      <w:r w:rsidR="001A60CC" w:rsidRPr="00A61A2B">
        <w:rPr>
          <w:bCs/>
          <w:iCs/>
          <w:sz w:val="20"/>
          <w:szCs w:val="20"/>
        </w:rPr>
        <w:t xml:space="preserve"> </w:t>
      </w:r>
      <w:r w:rsidRPr="00A61A2B">
        <w:rPr>
          <w:bCs/>
          <w:iCs/>
          <w:sz w:val="20"/>
          <w:szCs w:val="20"/>
        </w:rPr>
        <w:t>RA,</w:t>
      </w:r>
      <w:r w:rsidR="001A60CC" w:rsidRPr="00A61A2B">
        <w:rPr>
          <w:bCs/>
          <w:iCs/>
          <w:sz w:val="20"/>
          <w:szCs w:val="20"/>
        </w:rPr>
        <w:t xml:space="preserve"> </w:t>
      </w:r>
      <w:r w:rsidRPr="00A61A2B">
        <w:rPr>
          <w:bCs/>
          <w:iCs/>
          <w:sz w:val="20"/>
          <w:szCs w:val="20"/>
        </w:rPr>
        <w:t>Nastr</w:t>
      </w:r>
      <w:r w:rsidR="006E05CF" w:rsidRPr="00A61A2B">
        <w:rPr>
          <w:bCs/>
          <w:iCs/>
          <w:sz w:val="20"/>
          <w:szCs w:val="20"/>
        </w:rPr>
        <w:t>i C</w:t>
      </w:r>
      <w:r w:rsidRPr="00A61A2B">
        <w:rPr>
          <w:bCs/>
          <w:iCs/>
          <w:sz w:val="20"/>
          <w:szCs w:val="20"/>
        </w:rPr>
        <w:t>O</w:t>
      </w:r>
      <w:r w:rsidR="001A60CC" w:rsidRPr="00A61A2B">
        <w:rPr>
          <w:bCs/>
          <w:iCs/>
          <w:sz w:val="20"/>
          <w:szCs w:val="20"/>
        </w:rPr>
        <w:t xml:space="preserve">, </w:t>
      </w:r>
      <w:r w:rsidRPr="00A61A2B">
        <w:rPr>
          <w:bCs/>
          <w:iCs/>
          <w:sz w:val="20"/>
          <w:szCs w:val="20"/>
        </w:rPr>
        <w:t>Martins</w:t>
      </w:r>
      <w:r w:rsidR="001A60CC" w:rsidRPr="00A61A2B">
        <w:rPr>
          <w:bCs/>
          <w:iCs/>
          <w:sz w:val="20"/>
          <w:szCs w:val="20"/>
        </w:rPr>
        <w:t xml:space="preserve"> </w:t>
      </w:r>
      <w:r w:rsidRPr="00A61A2B">
        <w:rPr>
          <w:bCs/>
          <w:iCs/>
          <w:sz w:val="20"/>
          <w:szCs w:val="20"/>
        </w:rPr>
        <w:t>WP.</w:t>
      </w:r>
      <w:r w:rsidR="001A60CC" w:rsidRPr="00A61A2B">
        <w:rPr>
          <w:bCs/>
          <w:iCs/>
          <w:sz w:val="20"/>
          <w:szCs w:val="20"/>
        </w:rPr>
        <w:t xml:space="preserve"> </w:t>
      </w:r>
      <w:r w:rsidRPr="00A61A2B">
        <w:rPr>
          <w:bCs/>
          <w:iCs/>
          <w:sz w:val="20"/>
          <w:szCs w:val="20"/>
        </w:rPr>
        <w:t>Dydrogesteronevs</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for</w:t>
      </w:r>
      <w:r w:rsidR="001A60CC" w:rsidRPr="00A61A2B">
        <w:rPr>
          <w:bCs/>
          <w:iCs/>
          <w:sz w:val="20"/>
          <w:szCs w:val="20"/>
        </w:rPr>
        <w:t xml:space="preserve"> </w:t>
      </w:r>
      <w:r w:rsidRPr="00A61A2B">
        <w:rPr>
          <w:bCs/>
          <w:iCs/>
          <w:sz w:val="20"/>
          <w:szCs w:val="20"/>
        </w:rPr>
        <w:t>luteal-phase</w:t>
      </w:r>
      <w:r w:rsidR="001A60CC" w:rsidRPr="00A61A2B">
        <w:rPr>
          <w:bCs/>
          <w:iCs/>
          <w:sz w:val="20"/>
          <w:szCs w:val="20"/>
        </w:rPr>
        <w:t xml:space="preserve"> </w:t>
      </w:r>
      <w:r w:rsidRPr="00A61A2B">
        <w:rPr>
          <w:bCs/>
          <w:iCs/>
          <w:sz w:val="20"/>
          <w:szCs w:val="20"/>
        </w:rPr>
        <w:t>support:</w:t>
      </w:r>
      <w:r w:rsidR="001A60CC" w:rsidRPr="00A61A2B">
        <w:rPr>
          <w:bCs/>
          <w:iCs/>
          <w:sz w:val="20"/>
          <w:szCs w:val="20"/>
        </w:rPr>
        <w:t xml:space="preserve"> </w:t>
      </w:r>
      <w:r w:rsidRPr="00A61A2B">
        <w:rPr>
          <w:bCs/>
          <w:iCs/>
          <w:sz w:val="20"/>
          <w:szCs w:val="20"/>
        </w:rPr>
        <w:t>systematic</w:t>
      </w:r>
      <w:r w:rsidR="001A60CC" w:rsidRPr="00A61A2B">
        <w:rPr>
          <w:bCs/>
          <w:iCs/>
          <w:sz w:val="20"/>
          <w:szCs w:val="20"/>
        </w:rPr>
        <w:t xml:space="preserve"> </w:t>
      </w:r>
      <w:r w:rsidRPr="00A61A2B">
        <w:rPr>
          <w:bCs/>
          <w:iCs/>
          <w:sz w:val="20"/>
          <w:szCs w:val="20"/>
        </w:rPr>
        <w:t>review</w:t>
      </w:r>
      <w:r w:rsidR="001A60CC" w:rsidRPr="00A61A2B">
        <w:rPr>
          <w:bCs/>
          <w:iCs/>
          <w:sz w:val="20"/>
          <w:szCs w:val="20"/>
        </w:rPr>
        <w:t xml:space="preserve"> </w:t>
      </w:r>
      <w:r w:rsidRPr="00A61A2B">
        <w:rPr>
          <w:bCs/>
          <w:iCs/>
          <w:sz w:val="20"/>
          <w:szCs w:val="20"/>
        </w:rPr>
        <w:t>and</w:t>
      </w:r>
      <w:r w:rsidR="001A60CC" w:rsidRPr="00A61A2B">
        <w:rPr>
          <w:bCs/>
          <w:iCs/>
          <w:sz w:val="20"/>
          <w:szCs w:val="20"/>
        </w:rPr>
        <w:t xml:space="preserve"> </w:t>
      </w:r>
      <w:r w:rsidRPr="00A61A2B">
        <w:rPr>
          <w:bCs/>
          <w:iCs/>
          <w:sz w:val="20"/>
          <w:szCs w:val="20"/>
        </w:rPr>
        <w:t>meta-</w:t>
      </w:r>
      <w:r w:rsidR="001A60CC" w:rsidRPr="00A61A2B">
        <w:rPr>
          <w:bCs/>
          <w:iCs/>
          <w:sz w:val="20"/>
          <w:szCs w:val="20"/>
        </w:rPr>
        <w:t xml:space="preserve"> </w:t>
      </w:r>
      <w:r w:rsidRPr="00A61A2B">
        <w:rPr>
          <w:bCs/>
          <w:iCs/>
          <w:sz w:val="20"/>
          <w:szCs w:val="20"/>
        </w:rPr>
        <w:t>analysis</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randomized</w:t>
      </w:r>
      <w:r w:rsidR="001A60CC" w:rsidRPr="00A61A2B">
        <w:rPr>
          <w:bCs/>
          <w:iCs/>
          <w:sz w:val="20"/>
          <w:szCs w:val="20"/>
        </w:rPr>
        <w:t xml:space="preserve"> </w:t>
      </w:r>
      <w:r w:rsidRPr="00A61A2B">
        <w:rPr>
          <w:bCs/>
          <w:iCs/>
          <w:sz w:val="20"/>
          <w:szCs w:val="20"/>
        </w:rPr>
        <w:t>controlled</w:t>
      </w:r>
      <w:r w:rsidR="001A60CC" w:rsidRPr="00A61A2B">
        <w:rPr>
          <w:bCs/>
          <w:iCs/>
          <w:sz w:val="20"/>
          <w:szCs w:val="20"/>
        </w:rPr>
        <w:t xml:space="preserve"> </w:t>
      </w:r>
      <w:r w:rsidRPr="00A61A2B">
        <w:rPr>
          <w:bCs/>
          <w:iCs/>
          <w:sz w:val="20"/>
          <w:szCs w:val="20"/>
        </w:rPr>
        <w:t>trials.</w:t>
      </w:r>
      <w:r w:rsidR="001A60CC" w:rsidRPr="00A61A2B">
        <w:rPr>
          <w:bCs/>
          <w:iCs/>
          <w:sz w:val="20"/>
          <w:szCs w:val="20"/>
        </w:rPr>
        <w:t xml:space="preserve"> </w:t>
      </w:r>
      <w:r w:rsidRPr="00A61A2B">
        <w:rPr>
          <w:bCs/>
          <w:iCs/>
          <w:sz w:val="20"/>
          <w:szCs w:val="20"/>
        </w:rPr>
        <w:t>Ultrasound</w:t>
      </w:r>
      <w:r w:rsidR="001A60CC" w:rsidRPr="00A61A2B">
        <w:rPr>
          <w:bCs/>
          <w:iCs/>
          <w:sz w:val="20"/>
          <w:szCs w:val="20"/>
        </w:rPr>
        <w:t xml:space="preserve"> </w:t>
      </w:r>
      <w:r w:rsidRPr="00A61A2B">
        <w:rPr>
          <w:bCs/>
          <w:iCs/>
          <w:sz w:val="20"/>
          <w:szCs w:val="20"/>
        </w:rPr>
        <w:t>Obstet</w:t>
      </w:r>
      <w:r w:rsidR="001A60CC" w:rsidRPr="00A61A2B">
        <w:rPr>
          <w:bCs/>
          <w:iCs/>
          <w:sz w:val="20"/>
          <w:szCs w:val="20"/>
        </w:rPr>
        <w:t xml:space="preserve"> </w:t>
      </w:r>
      <w:r w:rsidRPr="00A61A2B">
        <w:rPr>
          <w:bCs/>
          <w:iCs/>
          <w:sz w:val="20"/>
          <w:szCs w:val="20"/>
        </w:rPr>
        <w:t>Gynecol.</w:t>
      </w:r>
      <w:r w:rsidR="001A60CC" w:rsidRPr="00A61A2B">
        <w:rPr>
          <w:bCs/>
          <w:iCs/>
          <w:sz w:val="20"/>
          <w:szCs w:val="20"/>
        </w:rPr>
        <w:t xml:space="preserve"> </w:t>
      </w:r>
      <w:r w:rsidRPr="00A61A2B">
        <w:rPr>
          <w:bCs/>
          <w:iCs/>
          <w:sz w:val="20"/>
          <w:szCs w:val="20"/>
        </w:rPr>
        <w:t>2016;48(2):161-</w:t>
      </w:r>
      <w:r w:rsidR="001A60CC" w:rsidRPr="00A61A2B">
        <w:rPr>
          <w:bCs/>
          <w:iCs/>
          <w:sz w:val="20"/>
          <w:szCs w:val="20"/>
        </w:rPr>
        <w:t xml:space="preserve"> </w:t>
      </w:r>
      <w:r w:rsidRPr="00A61A2B">
        <w:rPr>
          <w:bCs/>
          <w:iCs/>
          <w:sz w:val="20"/>
          <w:szCs w:val="20"/>
        </w:rPr>
        <w:t>170.</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Martins</w:t>
      </w:r>
      <w:r w:rsidR="001A60CC" w:rsidRPr="00A61A2B">
        <w:rPr>
          <w:bCs/>
          <w:iCs/>
          <w:sz w:val="20"/>
          <w:szCs w:val="20"/>
        </w:rPr>
        <w:t xml:space="preserve"> </w:t>
      </w:r>
      <w:r w:rsidRPr="00A61A2B">
        <w:rPr>
          <w:bCs/>
          <w:iCs/>
          <w:sz w:val="20"/>
          <w:szCs w:val="20"/>
        </w:rPr>
        <w:t>WP,</w:t>
      </w:r>
      <w:r w:rsidR="001A60CC" w:rsidRPr="00A61A2B">
        <w:rPr>
          <w:bCs/>
          <w:iCs/>
          <w:sz w:val="20"/>
          <w:szCs w:val="20"/>
        </w:rPr>
        <w:t xml:space="preserve"> </w:t>
      </w:r>
      <w:r w:rsidRPr="00A61A2B">
        <w:rPr>
          <w:bCs/>
          <w:iCs/>
          <w:sz w:val="20"/>
          <w:szCs w:val="20"/>
        </w:rPr>
        <w:t>Ferriani</w:t>
      </w:r>
      <w:r w:rsidR="001A60CC" w:rsidRPr="00A61A2B">
        <w:rPr>
          <w:bCs/>
          <w:iCs/>
          <w:sz w:val="20"/>
          <w:szCs w:val="20"/>
        </w:rPr>
        <w:t xml:space="preserve"> </w:t>
      </w:r>
      <w:r w:rsidRPr="00A61A2B">
        <w:rPr>
          <w:bCs/>
          <w:iCs/>
          <w:sz w:val="20"/>
          <w:szCs w:val="20"/>
        </w:rPr>
        <w:t>RA,</w:t>
      </w:r>
      <w:r w:rsidR="001A60CC" w:rsidRPr="00A61A2B">
        <w:rPr>
          <w:bCs/>
          <w:iCs/>
          <w:sz w:val="20"/>
          <w:szCs w:val="20"/>
        </w:rPr>
        <w:t xml:space="preserve"> </w:t>
      </w:r>
      <w:r w:rsidRPr="00A61A2B">
        <w:rPr>
          <w:bCs/>
          <w:iCs/>
          <w:sz w:val="20"/>
          <w:szCs w:val="20"/>
        </w:rPr>
        <w:t>Navarro</w:t>
      </w:r>
      <w:r w:rsidR="001A60CC" w:rsidRPr="00A61A2B">
        <w:rPr>
          <w:bCs/>
          <w:iCs/>
          <w:sz w:val="20"/>
          <w:szCs w:val="20"/>
        </w:rPr>
        <w:t xml:space="preserve"> </w:t>
      </w:r>
      <w:r w:rsidRPr="00A61A2B">
        <w:rPr>
          <w:bCs/>
          <w:iCs/>
          <w:sz w:val="20"/>
          <w:szCs w:val="20"/>
        </w:rPr>
        <w:t>PA</w:t>
      </w:r>
      <w:r w:rsidR="006E05CF" w:rsidRPr="00A61A2B">
        <w:rPr>
          <w:bCs/>
          <w:iCs/>
          <w:sz w:val="20"/>
          <w:szCs w:val="20"/>
        </w:rPr>
        <w:t>, N</w:t>
      </w:r>
      <w:r w:rsidRPr="00A61A2B">
        <w:rPr>
          <w:bCs/>
          <w:iCs/>
          <w:sz w:val="20"/>
          <w:szCs w:val="20"/>
        </w:rPr>
        <w:t>astri</w:t>
      </w:r>
      <w:r w:rsidR="001A60CC" w:rsidRPr="00A61A2B">
        <w:rPr>
          <w:bCs/>
          <w:iCs/>
          <w:sz w:val="20"/>
          <w:szCs w:val="20"/>
        </w:rPr>
        <w:t xml:space="preserve"> </w:t>
      </w:r>
      <w:r w:rsidRPr="00A61A2B">
        <w:rPr>
          <w:bCs/>
          <w:iCs/>
          <w:sz w:val="20"/>
          <w:szCs w:val="20"/>
        </w:rPr>
        <w:t>CO.</w:t>
      </w:r>
      <w:r w:rsidR="001A60CC" w:rsidRPr="00A61A2B">
        <w:rPr>
          <w:bCs/>
          <w:iCs/>
          <w:sz w:val="20"/>
          <w:szCs w:val="20"/>
        </w:rPr>
        <w:t xml:space="preserve"> </w:t>
      </w:r>
      <w:r w:rsidRPr="00A61A2B">
        <w:rPr>
          <w:bCs/>
          <w:iCs/>
          <w:sz w:val="20"/>
          <w:szCs w:val="20"/>
        </w:rPr>
        <w:t>GnRH</w:t>
      </w:r>
      <w:r w:rsidR="001A60CC" w:rsidRPr="00A61A2B">
        <w:rPr>
          <w:bCs/>
          <w:iCs/>
          <w:sz w:val="20"/>
          <w:szCs w:val="20"/>
        </w:rPr>
        <w:t xml:space="preserve"> </w:t>
      </w:r>
      <w:r w:rsidRPr="00A61A2B">
        <w:rPr>
          <w:bCs/>
          <w:iCs/>
          <w:sz w:val="20"/>
          <w:szCs w:val="20"/>
        </w:rPr>
        <w:t>agonist</w:t>
      </w:r>
      <w:r w:rsidR="001A60CC" w:rsidRPr="00A61A2B">
        <w:rPr>
          <w:bCs/>
          <w:iCs/>
          <w:sz w:val="20"/>
          <w:szCs w:val="20"/>
        </w:rPr>
        <w:t xml:space="preserve"> </w:t>
      </w:r>
      <w:r w:rsidRPr="00A61A2B">
        <w:rPr>
          <w:bCs/>
          <w:iCs/>
          <w:sz w:val="20"/>
          <w:szCs w:val="20"/>
        </w:rPr>
        <w:t>during</w:t>
      </w:r>
      <w:r w:rsidR="001A60CC" w:rsidRPr="00A61A2B">
        <w:rPr>
          <w:bCs/>
          <w:iCs/>
          <w:sz w:val="20"/>
          <w:szCs w:val="20"/>
        </w:rPr>
        <w:t xml:space="preserve"> </w:t>
      </w:r>
      <w:r w:rsidRPr="00A61A2B">
        <w:rPr>
          <w:bCs/>
          <w:iCs/>
          <w:sz w:val="20"/>
          <w:szCs w:val="20"/>
        </w:rPr>
        <w:t>luteal</w:t>
      </w:r>
      <w:r w:rsidR="001A60CC" w:rsidRPr="00A61A2B">
        <w:rPr>
          <w:bCs/>
          <w:iCs/>
          <w:sz w:val="20"/>
          <w:szCs w:val="20"/>
        </w:rPr>
        <w:t xml:space="preserve"> </w:t>
      </w:r>
      <w:r w:rsidRPr="00A61A2B">
        <w:rPr>
          <w:bCs/>
          <w:iCs/>
          <w:sz w:val="20"/>
          <w:szCs w:val="20"/>
        </w:rPr>
        <w:t>phase</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women</w:t>
      </w:r>
      <w:r w:rsidR="001A60CC" w:rsidRPr="00A61A2B">
        <w:rPr>
          <w:bCs/>
          <w:iCs/>
          <w:sz w:val="20"/>
          <w:szCs w:val="20"/>
        </w:rPr>
        <w:t xml:space="preserve"> </w:t>
      </w:r>
      <w:r w:rsidRPr="00A61A2B">
        <w:rPr>
          <w:bCs/>
          <w:iCs/>
          <w:sz w:val="20"/>
          <w:szCs w:val="20"/>
        </w:rPr>
        <w:t>undergoing</w:t>
      </w:r>
      <w:r w:rsidR="001A60CC" w:rsidRPr="00A61A2B">
        <w:rPr>
          <w:bCs/>
          <w:iCs/>
          <w:sz w:val="20"/>
          <w:szCs w:val="20"/>
        </w:rPr>
        <w:t xml:space="preserve"> </w:t>
      </w:r>
      <w:r w:rsidRPr="00A61A2B">
        <w:rPr>
          <w:bCs/>
          <w:iCs/>
          <w:sz w:val="20"/>
          <w:szCs w:val="20"/>
        </w:rPr>
        <w:t>assisted</w:t>
      </w:r>
      <w:r w:rsidR="001A60CC" w:rsidRPr="00A61A2B">
        <w:rPr>
          <w:bCs/>
          <w:iCs/>
          <w:sz w:val="20"/>
          <w:szCs w:val="20"/>
        </w:rPr>
        <w:t xml:space="preserve"> </w:t>
      </w:r>
      <w:r w:rsidRPr="00A61A2B">
        <w:rPr>
          <w:bCs/>
          <w:iCs/>
          <w:sz w:val="20"/>
          <w:szCs w:val="20"/>
        </w:rPr>
        <w:t>reproductive</w:t>
      </w:r>
      <w:r w:rsidR="001A60CC" w:rsidRPr="00A61A2B">
        <w:rPr>
          <w:bCs/>
          <w:iCs/>
          <w:sz w:val="20"/>
          <w:szCs w:val="20"/>
        </w:rPr>
        <w:t xml:space="preserve"> </w:t>
      </w:r>
      <w:r w:rsidRPr="00A61A2B">
        <w:rPr>
          <w:bCs/>
          <w:iCs/>
          <w:sz w:val="20"/>
          <w:szCs w:val="20"/>
        </w:rPr>
        <w:t>techniques:</w:t>
      </w:r>
      <w:r w:rsidR="001A60CC" w:rsidRPr="00A61A2B">
        <w:rPr>
          <w:bCs/>
          <w:iCs/>
          <w:sz w:val="20"/>
          <w:szCs w:val="20"/>
        </w:rPr>
        <w:t xml:space="preserve"> </w:t>
      </w:r>
      <w:r w:rsidRPr="00A61A2B">
        <w:rPr>
          <w:bCs/>
          <w:iCs/>
          <w:sz w:val="20"/>
          <w:szCs w:val="20"/>
        </w:rPr>
        <w:t>systematic</w:t>
      </w:r>
      <w:r w:rsidR="001A60CC" w:rsidRPr="00A61A2B">
        <w:rPr>
          <w:bCs/>
          <w:iCs/>
          <w:sz w:val="20"/>
          <w:szCs w:val="20"/>
        </w:rPr>
        <w:t xml:space="preserve"> </w:t>
      </w:r>
      <w:r w:rsidRPr="00A61A2B">
        <w:rPr>
          <w:bCs/>
          <w:iCs/>
          <w:sz w:val="20"/>
          <w:szCs w:val="20"/>
        </w:rPr>
        <w:t>review</w:t>
      </w:r>
      <w:r w:rsidR="001A60CC" w:rsidRPr="00A61A2B">
        <w:rPr>
          <w:bCs/>
          <w:iCs/>
          <w:sz w:val="20"/>
          <w:szCs w:val="20"/>
        </w:rPr>
        <w:t xml:space="preserve"> </w:t>
      </w:r>
      <w:r w:rsidRPr="00A61A2B">
        <w:rPr>
          <w:bCs/>
          <w:iCs/>
          <w:sz w:val="20"/>
          <w:szCs w:val="20"/>
        </w:rPr>
        <w:t>and</w:t>
      </w:r>
      <w:r w:rsidR="001A60CC" w:rsidRPr="00A61A2B">
        <w:rPr>
          <w:bCs/>
          <w:iCs/>
          <w:sz w:val="20"/>
          <w:szCs w:val="20"/>
        </w:rPr>
        <w:t xml:space="preserve"> </w:t>
      </w:r>
      <w:r w:rsidRPr="00A61A2B">
        <w:rPr>
          <w:bCs/>
          <w:iCs/>
          <w:sz w:val="20"/>
          <w:szCs w:val="20"/>
        </w:rPr>
        <w:t>meta-analysis</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randomized</w:t>
      </w:r>
      <w:r w:rsidR="001A60CC" w:rsidRPr="00A61A2B">
        <w:rPr>
          <w:bCs/>
          <w:iCs/>
          <w:sz w:val="20"/>
          <w:szCs w:val="20"/>
        </w:rPr>
        <w:t xml:space="preserve"> </w:t>
      </w:r>
      <w:r w:rsidRPr="00A61A2B">
        <w:rPr>
          <w:bCs/>
          <w:iCs/>
          <w:sz w:val="20"/>
          <w:szCs w:val="20"/>
        </w:rPr>
        <w:t>controlled</w:t>
      </w:r>
      <w:r w:rsidR="001A60CC" w:rsidRPr="00A61A2B">
        <w:rPr>
          <w:bCs/>
          <w:iCs/>
          <w:sz w:val="20"/>
          <w:szCs w:val="20"/>
        </w:rPr>
        <w:t xml:space="preserve"> </w:t>
      </w:r>
      <w:r w:rsidRPr="00A61A2B">
        <w:rPr>
          <w:bCs/>
          <w:iCs/>
          <w:sz w:val="20"/>
          <w:szCs w:val="20"/>
        </w:rPr>
        <w:t>trials.</w:t>
      </w:r>
      <w:r w:rsidR="001A60CC" w:rsidRPr="00A61A2B">
        <w:rPr>
          <w:bCs/>
          <w:iCs/>
          <w:sz w:val="20"/>
          <w:szCs w:val="20"/>
        </w:rPr>
        <w:t xml:space="preserve"> </w:t>
      </w:r>
      <w:r w:rsidRPr="00A61A2B">
        <w:rPr>
          <w:bCs/>
          <w:iCs/>
          <w:sz w:val="20"/>
          <w:szCs w:val="20"/>
        </w:rPr>
        <w:t>Ultrasound</w:t>
      </w:r>
      <w:r w:rsidR="001A60CC" w:rsidRPr="00A61A2B">
        <w:rPr>
          <w:bCs/>
          <w:iCs/>
          <w:sz w:val="20"/>
          <w:szCs w:val="20"/>
        </w:rPr>
        <w:t xml:space="preserve"> </w:t>
      </w:r>
      <w:r w:rsidRPr="00A61A2B">
        <w:rPr>
          <w:bCs/>
          <w:iCs/>
          <w:sz w:val="20"/>
          <w:szCs w:val="20"/>
        </w:rPr>
        <w:t>Obstet</w:t>
      </w:r>
      <w:r w:rsidR="001A60CC" w:rsidRPr="00A61A2B">
        <w:rPr>
          <w:bCs/>
          <w:iCs/>
          <w:sz w:val="20"/>
          <w:szCs w:val="20"/>
        </w:rPr>
        <w:t xml:space="preserve"> </w:t>
      </w:r>
      <w:r w:rsidRPr="00A61A2B">
        <w:rPr>
          <w:bCs/>
          <w:iCs/>
          <w:sz w:val="20"/>
          <w:szCs w:val="20"/>
        </w:rPr>
        <w:t>Gynecol.</w:t>
      </w:r>
      <w:r w:rsidR="001A60CC" w:rsidRPr="00A61A2B">
        <w:rPr>
          <w:bCs/>
          <w:iCs/>
          <w:sz w:val="20"/>
          <w:szCs w:val="20"/>
        </w:rPr>
        <w:t xml:space="preserve"> </w:t>
      </w:r>
      <w:r w:rsidRPr="00A61A2B">
        <w:rPr>
          <w:bCs/>
          <w:iCs/>
          <w:sz w:val="20"/>
          <w:szCs w:val="20"/>
        </w:rPr>
        <w:t>2016;47(2):144-151.</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Nastri</w:t>
      </w:r>
      <w:r w:rsidR="001A60CC" w:rsidRPr="00A61A2B">
        <w:rPr>
          <w:bCs/>
          <w:iCs/>
          <w:sz w:val="20"/>
          <w:szCs w:val="20"/>
        </w:rPr>
        <w:t xml:space="preserve"> </w:t>
      </w:r>
      <w:r w:rsidRPr="00A61A2B">
        <w:rPr>
          <w:bCs/>
          <w:iCs/>
          <w:sz w:val="20"/>
          <w:szCs w:val="20"/>
        </w:rPr>
        <w:t>CO,</w:t>
      </w:r>
      <w:r w:rsidR="001A60CC" w:rsidRPr="00A61A2B">
        <w:rPr>
          <w:bCs/>
          <w:iCs/>
          <w:sz w:val="20"/>
          <w:szCs w:val="20"/>
        </w:rPr>
        <w:t xml:space="preserve"> </w:t>
      </w:r>
      <w:r w:rsidRPr="00A61A2B">
        <w:rPr>
          <w:bCs/>
          <w:iCs/>
          <w:sz w:val="20"/>
          <w:szCs w:val="20"/>
        </w:rPr>
        <w:t>Teixeira</w:t>
      </w:r>
      <w:r w:rsidR="001A60CC" w:rsidRPr="00A61A2B">
        <w:rPr>
          <w:bCs/>
          <w:iCs/>
          <w:sz w:val="20"/>
          <w:szCs w:val="20"/>
        </w:rPr>
        <w:t xml:space="preserve"> </w:t>
      </w:r>
      <w:r w:rsidRPr="00A61A2B">
        <w:rPr>
          <w:bCs/>
          <w:iCs/>
          <w:sz w:val="20"/>
          <w:szCs w:val="20"/>
        </w:rPr>
        <w:t>DM,</w:t>
      </w:r>
      <w:r w:rsidR="001A60CC" w:rsidRPr="00A61A2B">
        <w:rPr>
          <w:bCs/>
          <w:iCs/>
          <w:sz w:val="20"/>
          <w:szCs w:val="20"/>
        </w:rPr>
        <w:t xml:space="preserve"> </w:t>
      </w:r>
      <w:r w:rsidRPr="00A61A2B">
        <w:rPr>
          <w:bCs/>
          <w:iCs/>
          <w:sz w:val="20"/>
          <w:szCs w:val="20"/>
        </w:rPr>
        <w:t>Moroni</w:t>
      </w:r>
      <w:r w:rsidR="001A60CC" w:rsidRPr="00A61A2B">
        <w:rPr>
          <w:bCs/>
          <w:iCs/>
          <w:sz w:val="20"/>
          <w:szCs w:val="20"/>
        </w:rPr>
        <w:t xml:space="preserve"> </w:t>
      </w:r>
      <w:r w:rsidRPr="00A61A2B">
        <w:rPr>
          <w:bCs/>
          <w:iCs/>
          <w:sz w:val="20"/>
          <w:szCs w:val="20"/>
        </w:rPr>
        <w:t>RM,</w:t>
      </w:r>
      <w:r w:rsidR="001A60CC" w:rsidRPr="00A61A2B">
        <w:rPr>
          <w:bCs/>
          <w:iCs/>
          <w:sz w:val="20"/>
          <w:szCs w:val="20"/>
        </w:rPr>
        <w:t xml:space="preserve"> </w:t>
      </w:r>
      <w:r w:rsidRPr="00A61A2B">
        <w:rPr>
          <w:bCs/>
          <w:iCs/>
          <w:sz w:val="20"/>
          <w:szCs w:val="20"/>
        </w:rPr>
        <w:t>Leita</w:t>
      </w:r>
      <w:r w:rsidR="006E05CF" w:rsidRPr="00A61A2B">
        <w:rPr>
          <w:bCs/>
          <w:iCs/>
          <w:sz w:val="20"/>
          <w:szCs w:val="20"/>
        </w:rPr>
        <w:t>o V</w:t>
      </w:r>
      <w:r w:rsidRPr="00A61A2B">
        <w:rPr>
          <w:bCs/>
          <w:iCs/>
          <w:sz w:val="20"/>
          <w:szCs w:val="20"/>
        </w:rPr>
        <w:t>M</w:t>
      </w:r>
      <w:r w:rsidR="001A60CC" w:rsidRPr="00A61A2B">
        <w:rPr>
          <w:bCs/>
          <w:iCs/>
          <w:sz w:val="20"/>
          <w:szCs w:val="20"/>
        </w:rPr>
        <w:t xml:space="preserve">, </w:t>
      </w:r>
      <w:r w:rsidRPr="00A61A2B">
        <w:rPr>
          <w:bCs/>
          <w:iCs/>
          <w:sz w:val="20"/>
          <w:szCs w:val="20"/>
        </w:rPr>
        <w:t>Martins</w:t>
      </w:r>
      <w:r w:rsidR="001A60CC" w:rsidRPr="00A61A2B">
        <w:rPr>
          <w:bCs/>
          <w:iCs/>
          <w:sz w:val="20"/>
          <w:szCs w:val="20"/>
        </w:rPr>
        <w:t xml:space="preserve"> </w:t>
      </w:r>
      <w:r w:rsidRPr="00A61A2B">
        <w:rPr>
          <w:bCs/>
          <w:iCs/>
          <w:sz w:val="20"/>
          <w:szCs w:val="20"/>
        </w:rPr>
        <w:t>WP.</w:t>
      </w:r>
      <w:r w:rsidR="001A60CC" w:rsidRPr="00A61A2B">
        <w:rPr>
          <w:bCs/>
          <w:iCs/>
          <w:sz w:val="20"/>
          <w:szCs w:val="20"/>
        </w:rPr>
        <w:t xml:space="preserve"> </w:t>
      </w:r>
      <w:r w:rsidRPr="00A61A2B">
        <w:rPr>
          <w:bCs/>
          <w:iCs/>
          <w:sz w:val="20"/>
          <w:szCs w:val="20"/>
        </w:rPr>
        <w:t>Ovarian</w:t>
      </w:r>
      <w:r w:rsidR="001A60CC" w:rsidRPr="00A61A2B">
        <w:rPr>
          <w:bCs/>
          <w:iCs/>
          <w:sz w:val="20"/>
          <w:szCs w:val="20"/>
        </w:rPr>
        <w:t xml:space="preserve"> </w:t>
      </w:r>
      <w:r w:rsidRPr="00A61A2B">
        <w:rPr>
          <w:bCs/>
          <w:iCs/>
          <w:sz w:val="20"/>
          <w:szCs w:val="20"/>
        </w:rPr>
        <w:t>hyperstimulation</w:t>
      </w:r>
      <w:r w:rsidR="001A60CC" w:rsidRPr="00A61A2B">
        <w:rPr>
          <w:bCs/>
          <w:iCs/>
          <w:sz w:val="20"/>
          <w:szCs w:val="20"/>
        </w:rPr>
        <w:t xml:space="preserve"> </w:t>
      </w:r>
      <w:r w:rsidRPr="00A61A2B">
        <w:rPr>
          <w:bCs/>
          <w:iCs/>
          <w:sz w:val="20"/>
          <w:szCs w:val="20"/>
        </w:rPr>
        <w:t>syndrome:</w:t>
      </w:r>
      <w:r w:rsidR="001A60CC" w:rsidRPr="00A61A2B">
        <w:rPr>
          <w:bCs/>
          <w:iCs/>
          <w:sz w:val="20"/>
          <w:szCs w:val="20"/>
        </w:rPr>
        <w:t xml:space="preserve"> </w:t>
      </w:r>
      <w:r w:rsidRPr="00A61A2B">
        <w:rPr>
          <w:bCs/>
          <w:iCs/>
          <w:sz w:val="20"/>
          <w:szCs w:val="20"/>
        </w:rPr>
        <w:t>pathophysiology,</w:t>
      </w:r>
      <w:r w:rsidR="001A60CC" w:rsidRPr="00A61A2B">
        <w:rPr>
          <w:bCs/>
          <w:iCs/>
          <w:sz w:val="20"/>
          <w:szCs w:val="20"/>
        </w:rPr>
        <w:t xml:space="preserve"> </w:t>
      </w:r>
      <w:r w:rsidRPr="00A61A2B">
        <w:rPr>
          <w:bCs/>
          <w:iCs/>
          <w:sz w:val="20"/>
          <w:szCs w:val="20"/>
        </w:rPr>
        <w:t>staging,</w:t>
      </w:r>
      <w:r w:rsidR="001A60CC" w:rsidRPr="00A61A2B">
        <w:rPr>
          <w:bCs/>
          <w:iCs/>
          <w:sz w:val="20"/>
          <w:szCs w:val="20"/>
        </w:rPr>
        <w:t xml:space="preserve"> </w:t>
      </w:r>
      <w:r w:rsidRPr="00A61A2B">
        <w:rPr>
          <w:bCs/>
          <w:iCs/>
          <w:sz w:val="20"/>
          <w:szCs w:val="20"/>
        </w:rPr>
        <w:t>prediction</w:t>
      </w:r>
      <w:r w:rsidR="001A60CC" w:rsidRPr="00A61A2B">
        <w:rPr>
          <w:bCs/>
          <w:iCs/>
          <w:sz w:val="20"/>
          <w:szCs w:val="20"/>
        </w:rPr>
        <w:t xml:space="preserve"> </w:t>
      </w:r>
      <w:r w:rsidRPr="00A61A2B">
        <w:rPr>
          <w:bCs/>
          <w:iCs/>
          <w:sz w:val="20"/>
          <w:szCs w:val="20"/>
        </w:rPr>
        <w:t>and</w:t>
      </w:r>
      <w:r w:rsidR="001A60CC" w:rsidRPr="00A61A2B">
        <w:rPr>
          <w:bCs/>
          <w:iCs/>
          <w:sz w:val="20"/>
          <w:szCs w:val="20"/>
        </w:rPr>
        <w:t xml:space="preserve"> </w:t>
      </w:r>
      <w:r w:rsidRPr="00A61A2B">
        <w:rPr>
          <w:bCs/>
          <w:iCs/>
          <w:sz w:val="20"/>
          <w:szCs w:val="20"/>
        </w:rPr>
        <w:t>prevention.</w:t>
      </w:r>
      <w:r w:rsidR="001A60CC" w:rsidRPr="00A61A2B">
        <w:rPr>
          <w:bCs/>
          <w:iCs/>
          <w:sz w:val="20"/>
          <w:szCs w:val="20"/>
        </w:rPr>
        <w:t xml:space="preserve"> </w:t>
      </w:r>
      <w:r w:rsidRPr="00A61A2B">
        <w:rPr>
          <w:bCs/>
          <w:iCs/>
          <w:sz w:val="20"/>
          <w:szCs w:val="20"/>
        </w:rPr>
        <w:t>Ultrasound</w:t>
      </w:r>
      <w:r w:rsidR="001A60CC" w:rsidRPr="00A61A2B">
        <w:rPr>
          <w:bCs/>
          <w:iCs/>
          <w:sz w:val="20"/>
          <w:szCs w:val="20"/>
        </w:rPr>
        <w:t xml:space="preserve"> </w:t>
      </w:r>
      <w:r w:rsidRPr="00A61A2B">
        <w:rPr>
          <w:bCs/>
          <w:iCs/>
          <w:sz w:val="20"/>
          <w:szCs w:val="20"/>
        </w:rPr>
        <w:t>Obstet</w:t>
      </w:r>
      <w:r w:rsidR="001A60CC" w:rsidRPr="00A61A2B">
        <w:rPr>
          <w:bCs/>
          <w:iCs/>
          <w:sz w:val="20"/>
          <w:szCs w:val="20"/>
        </w:rPr>
        <w:t xml:space="preserve"> </w:t>
      </w:r>
      <w:r w:rsidRPr="00A61A2B">
        <w:rPr>
          <w:bCs/>
          <w:iCs/>
          <w:sz w:val="20"/>
          <w:szCs w:val="20"/>
        </w:rPr>
        <w:t>Gynecol.2015;45(4):377-393.</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Warren</w:t>
      </w:r>
      <w:r w:rsidR="001A60CC" w:rsidRPr="00A61A2B">
        <w:rPr>
          <w:bCs/>
          <w:iCs/>
          <w:sz w:val="20"/>
          <w:szCs w:val="20"/>
        </w:rPr>
        <w:t xml:space="preserve"> </w:t>
      </w:r>
      <w:r w:rsidRPr="00A61A2B">
        <w:rPr>
          <w:bCs/>
          <w:iCs/>
          <w:sz w:val="20"/>
          <w:szCs w:val="20"/>
        </w:rPr>
        <w:t>MP.</w:t>
      </w:r>
      <w:r w:rsidR="001A60CC" w:rsidRPr="00A61A2B">
        <w:rPr>
          <w:bCs/>
          <w:iCs/>
          <w:sz w:val="20"/>
          <w:szCs w:val="20"/>
        </w:rPr>
        <w:t xml:space="preserve"> </w:t>
      </w:r>
      <w:r w:rsidRPr="00A61A2B">
        <w:rPr>
          <w:bCs/>
          <w:iCs/>
          <w:color w:val="212121"/>
          <w:sz w:val="20"/>
          <w:szCs w:val="20"/>
        </w:rPr>
        <w:t>Vaginal</w:t>
      </w:r>
      <w:r w:rsidR="001A60CC" w:rsidRPr="00A61A2B">
        <w:rPr>
          <w:bCs/>
          <w:iCs/>
          <w:color w:val="212121"/>
          <w:sz w:val="20"/>
          <w:szCs w:val="20"/>
        </w:rPr>
        <w:t xml:space="preserve"> </w:t>
      </w:r>
      <w:r w:rsidRPr="00A61A2B">
        <w:rPr>
          <w:bCs/>
          <w:iCs/>
          <w:color w:val="212121"/>
          <w:sz w:val="20"/>
          <w:szCs w:val="20"/>
        </w:rPr>
        <w:t>progesterone</w:t>
      </w:r>
      <w:r w:rsidR="001A60CC" w:rsidRPr="00A61A2B">
        <w:rPr>
          <w:bCs/>
          <w:iCs/>
          <w:color w:val="212121"/>
          <w:sz w:val="20"/>
          <w:szCs w:val="20"/>
        </w:rPr>
        <w:t xml:space="preserve"> </w:t>
      </w:r>
      <w:r w:rsidRPr="00A61A2B">
        <w:rPr>
          <w:bCs/>
          <w:iCs/>
          <w:color w:val="212121"/>
          <w:sz w:val="20"/>
          <w:szCs w:val="20"/>
        </w:rPr>
        <w:t>and</w:t>
      </w:r>
      <w:r w:rsidR="001A60CC" w:rsidRPr="00A61A2B">
        <w:rPr>
          <w:bCs/>
          <w:iCs/>
          <w:color w:val="212121"/>
          <w:sz w:val="20"/>
          <w:szCs w:val="20"/>
        </w:rPr>
        <w:t xml:space="preserve"> </w:t>
      </w:r>
      <w:r w:rsidRPr="00A61A2B">
        <w:rPr>
          <w:bCs/>
          <w:iCs/>
          <w:color w:val="212121"/>
          <w:sz w:val="20"/>
          <w:szCs w:val="20"/>
        </w:rPr>
        <w:t>the</w:t>
      </w:r>
      <w:r w:rsidR="001A60CC" w:rsidRPr="00A61A2B">
        <w:rPr>
          <w:bCs/>
          <w:iCs/>
          <w:color w:val="212121"/>
          <w:sz w:val="20"/>
          <w:szCs w:val="20"/>
        </w:rPr>
        <w:t xml:space="preserve"> </w:t>
      </w:r>
      <w:r w:rsidRPr="00A61A2B">
        <w:rPr>
          <w:bCs/>
          <w:iCs/>
          <w:color w:val="212121"/>
          <w:sz w:val="20"/>
          <w:szCs w:val="20"/>
        </w:rPr>
        <w:t>vaginal</w:t>
      </w:r>
      <w:r w:rsidR="001A60CC" w:rsidRPr="00A61A2B">
        <w:rPr>
          <w:bCs/>
          <w:iCs/>
          <w:color w:val="212121"/>
          <w:sz w:val="20"/>
          <w:szCs w:val="20"/>
        </w:rPr>
        <w:t xml:space="preserve"> </w:t>
      </w:r>
      <w:r w:rsidRPr="00A61A2B">
        <w:rPr>
          <w:bCs/>
          <w:iCs/>
          <w:color w:val="212121"/>
          <w:sz w:val="20"/>
          <w:szCs w:val="20"/>
        </w:rPr>
        <w:t>first-pass</w:t>
      </w:r>
      <w:r w:rsidR="001A60CC" w:rsidRPr="00A61A2B">
        <w:rPr>
          <w:bCs/>
          <w:iCs/>
          <w:color w:val="212121"/>
          <w:sz w:val="20"/>
          <w:szCs w:val="20"/>
        </w:rPr>
        <w:t xml:space="preserve"> </w:t>
      </w:r>
      <w:r w:rsidRPr="00A61A2B">
        <w:rPr>
          <w:bCs/>
          <w:iCs/>
          <w:color w:val="212121"/>
          <w:sz w:val="20"/>
          <w:szCs w:val="20"/>
        </w:rPr>
        <w:t>effect.</w:t>
      </w:r>
      <w:r w:rsidR="001A60CC" w:rsidRPr="00A61A2B">
        <w:rPr>
          <w:bCs/>
          <w:iCs/>
          <w:color w:val="212121"/>
          <w:sz w:val="20"/>
          <w:szCs w:val="20"/>
        </w:rPr>
        <w:t xml:space="preserve"> </w:t>
      </w:r>
      <w:r w:rsidRPr="00A61A2B">
        <w:rPr>
          <w:bCs/>
          <w:iCs/>
          <w:color w:val="212121"/>
          <w:sz w:val="20"/>
          <w:szCs w:val="20"/>
        </w:rPr>
        <w:t>Climacteric.</w:t>
      </w:r>
      <w:r w:rsidR="001A60CC" w:rsidRPr="00A61A2B">
        <w:rPr>
          <w:bCs/>
          <w:iCs/>
          <w:color w:val="212121"/>
          <w:sz w:val="20"/>
          <w:szCs w:val="20"/>
        </w:rPr>
        <w:t xml:space="preserve"> </w:t>
      </w:r>
      <w:r w:rsidRPr="00A61A2B">
        <w:rPr>
          <w:bCs/>
          <w:iCs/>
          <w:color w:val="212121"/>
          <w:sz w:val="20"/>
          <w:szCs w:val="20"/>
        </w:rPr>
        <w:t>2018;21(4):355-357.</w:t>
      </w:r>
    </w:p>
    <w:p w:rsidR="009A553D" w:rsidRPr="00A61A2B" w:rsidRDefault="00EB655A" w:rsidP="00F22118">
      <w:pPr>
        <w:pStyle w:val="Heading1"/>
        <w:numPr>
          <w:ilvl w:val="0"/>
          <w:numId w:val="3"/>
        </w:numPr>
        <w:snapToGrid w:val="0"/>
        <w:ind w:left="425" w:hanging="425"/>
        <w:jc w:val="both"/>
        <w:rPr>
          <w:b w:val="0"/>
          <w:iCs/>
          <w:sz w:val="20"/>
          <w:szCs w:val="20"/>
        </w:rPr>
      </w:pPr>
      <w:r w:rsidRPr="00A61A2B">
        <w:rPr>
          <w:b w:val="0"/>
          <w:iCs/>
          <w:sz w:val="20"/>
          <w:szCs w:val="20"/>
        </w:rPr>
        <w:t>Khosravi</w:t>
      </w:r>
      <w:r w:rsidR="001A60CC" w:rsidRPr="00A61A2B">
        <w:rPr>
          <w:b w:val="0"/>
          <w:iCs/>
          <w:sz w:val="20"/>
          <w:szCs w:val="20"/>
        </w:rPr>
        <w:t xml:space="preserve"> </w:t>
      </w:r>
      <w:r w:rsidRPr="00A61A2B">
        <w:rPr>
          <w:b w:val="0"/>
          <w:iCs/>
          <w:sz w:val="20"/>
          <w:szCs w:val="20"/>
        </w:rPr>
        <w:t>D,</w:t>
      </w:r>
      <w:r w:rsidR="001A60CC" w:rsidRPr="00A61A2B">
        <w:rPr>
          <w:b w:val="0"/>
          <w:iCs/>
          <w:sz w:val="20"/>
          <w:szCs w:val="20"/>
        </w:rPr>
        <w:t xml:space="preserve"> </w:t>
      </w:r>
      <w:r w:rsidRPr="00A61A2B">
        <w:rPr>
          <w:b w:val="0"/>
          <w:iCs/>
          <w:sz w:val="20"/>
          <w:szCs w:val="20"/>
        </w:rPr>
        <w:t>Taheripanah</w:t>
      </w:r>
      <w:r w:rsidR="001A60CC" w:rsidRPr="00A61A2B">
        <w:rPr>
          <w:b w:val="0"/>
          <w:iCs/>
          <w:sz w:val="20"/>
          <w:szCs w:val="20"/>
        </w:rPr>
        <w:t xml:space="preserve"> </w:t>
      </w:r>
      <w:r w:rsidRPr="00A61A2B">
        <w:rPr>
          <w:b w:val="0"/>
          <w:iCs/>
          <w:sz w:val="20"/>
          <w:szCs w:val="20"/>
        </w:rPr>
        <w:t>R,</w:t>
      </w:r>
      <w:r w:rsidR="001A60CC" w:rsidRPr="00A61A2B">
        <w:rPr>
          <w:b w:val="0"/>
          <w:iCs/>
          <w:sz w:val="20"/>
          <w:szCs w:val="20"/>
        </w:rPr>
        <w:t xml:space="preserve"> </w:t>
      </w:r>
      <w:r w:rsidRPr="00A61A2B">
        <w:rPr>
          <w:b w:val="0"/>
          <w:iCs/>
          <w:sz w:val="20"/>
          <w:szCs w:val="20"/>
        </w:rPr>
        <w:t>Taheripanah</w:t>
      </w:r>
      <w:r w:rsidR="001A60CC" w:rsidRPr="00A61A2B">
        <w:rPr>
          <w:b w:val="0"/>
          <w:iCs/>
          <w:sz w:val="20"/>
          <w:szCs w:val="20"/>
        </w:rPr>
        <w:t xml:space="preserve"> </w:t>
      </w:r>
      <w:r w:rsidRPr="00A61A2B">
        <w:rPr>
          <w:b w:val="0"/>
          <w:iCs/>
          <w:sz w:val="20"/>
          <w:szCs w:val="20"/>
        </w:rPr>
        <w:t>A,</w:t>
      </w:r>
      <w:r w:rsidR="001A60CC" w:rsidRPr="00A61A2B">
        <w:rPr>
          <w:b w:val="0"/>
          <w:iCs/>
          <w:sz w:val="20"/>
          <w:szCs w:val="20"/>
        </w:rPr>
        <w:t xml:space="preserve"> </w:t>
      </w:r>
      <w:r w:rsidRPr="00A61A2B">
        <w:rPr>
          <w:b w:val="0"/>
          <w:iCs/>
          <w:sz w:val="20"/>
          <w:szCs w:val="20"/>
        </w:rPr>
        <w:t>Monfared</w:t>
      </w:r>
      <w:r w:rsidR="001A60CC" w:rsidRPr="00A61A2B">
        <w:rPr>
          <w:b w:val="0"/>
          <w:iCs/>
          <w:sz w:val="20"/>
          <w:szCs w:val="20"/>
        </w:rPr>
        <w:t xml:space="preserve"> </w:t>
      </w:r>
      <w:r w:rsidRPr="00A61A2B">
        <w:rPr>
          <w:b w:val="0"/>
          <w:iCs/>
          <w:sz w:val="20"/>
          <w:szCs w:val="20"/>
        </w:rPr>
        <w:t>VT</w:t>
      </w:r>
      <w:r w:rsidR="001A60CC" w:rsidRPr="00A61A2B">
        <w:rPr>
          <w:b w:val="0"/>
          <w:iCs/>
          <w:sz w:val="20"/>
          <w:szCs w:val="20"/>
        </w:rPr>
        <w:t xml:space="preserve">, </w:t>
      </w:r>
      <w:r w:rsidRPr="00A61A2B">
        <w:rPr>
          <w:b w:val="0"/>
          <w:iCs/>
          <w:sz w:val="20"/>
          <w:szCs w:val="20"/>
        </w:rPr>
        <w:t>Hosseini-Zijou</w:t>
      </w:r>
      <w:r w:rsidR="006E05CF" w:rsidRPr="00A61A2B">
        <w:rPr>
          <w:b w:val="0"/>
          <w:iCs/>
          <w:sz w:val="20"/>
          <w:szCs w:val="20"/>
        </w:rPr>
        <w:t>d S</w:t>
      </w:r>
      <w:r w:rsidRPr="00A61A2B">
        <w:rPr>
          <w:b w:val="0"/>
          <w:iCs/>
          <w:sz w:val="20"/>
          <w:szCs w:val="20"/>
        </w:rPr>
        <w:t>-M.</w:t>
      </w:r>
      <w:r w:rsidR="001A60CC" w:rsidRPr="00A61A2B">
        <w:rPr>
          <w:b w:val="0"/>
          <w:iCs/>
          <w:sz w:val="20"/>
          <w:szCs w:val="20"/>
        </w:rPr>
        <w:t xml:space="preserve"> </w:t>
      </w:r>
      <w:r w:rsidRPr="00A61A2B">
        <w:rPr>
          <w:b w:val="0"/>
          <w:iCs/>
          <w:sz w:val="20"/>
          <w:szCs w:val="20"/>
        </w:rPr>
        <w:t>Comparison</w:t>
      </w:r>
      <w:r w:rsidR="001A60CC" w:rsidRPr="00A61A2B">
        <w:rPr>
          <w:b w:val="0"/>
          <w:iCs/>
          <w:sz w:val="20"/>
          <w:szCs w:val="20"/>
        </w:rPr>
        <w:t xml:space="preserve"> </w:t>
      </w:r>
      <w:r w:rsidRPr="00A61A2B">
        <w:rPr>
          <w:b w:val="0"/>
          <w:iCs/>
          <w:sz w:val="20"/>
          <w:szCs w:val="20"/>
        </w:rPr>
        <w:t>of</w:t>
      </w:r>
      <w:r w:rsidR="001A60CC" w:rsidRPr="00A61A2B">
        <w:rPr>
          <w:b w:val="0"/>
          <w:iCs/>
          <w:sz w:val="20"/>
          <w:szCs w:val="20"/>
        </w:rPr>
        <w:t xml:space="preserve"> </w:t>
      </w:r>
      <w:r w:rsidRPr="00A61A2B">
        <w:rPr>
          <w:b w:val="0"/>
          <w:iCs/>
          <w:sz w:val="20"/>
          <w:szCs w:val="20"/>
        </w:rPr>
        <w:t>oral</w:t>
      </w:r>
      <w:r w:rsidR="001A60CC" w:rsidRPr="00A61A2B">
        <w:rPr>
          <w:b w:val="0"/>
          <w:iCs/>
          <w:sz w:val="20"/>
          <w:szCs w:val="20"/>
        </w:rPr>
        <w:t xml:space="preserve"> </w:t>
      </w:r>
      <w:r w:rsidRPr="00A61A2B">
        <w:rPr>
          <w:b w:val="0"/>
          <w:iCs/>
          <w:sz w:val="20"/>
          <w:szCs w:val="20"/>
        </w:rPr>
        <w:t>dydrogesterone</w:t>
      </w:r>
      <w:r w:rsidR="001A60CC" w:rsidRPr="00A61A2B">
        <w:rPr>
          <w:b w:val="0"/>
          <w:iCs/>
          <w:sz w:val="20"/>
          <w:szCs w:val="20"/>
        </w:rPr>
        <w:t xml:space="preserve"> </w:t>
      </w:r>
      <w:r w:rsidRPr="00A61A2B">
        <w:rPr>
          <w:b w:val="0"/>
          <w:iCs/>
          <w:sz w:val="20"/>
          <w:szCs w:val="20"/>
        </w:rPr>
        <w:t>with</w:t>
      </w:r>
      <w:r w:rsidR="001A60CC" w:rsidRPr="00A61A2B">
        <w:rPr>
          <w:b w:val="0"/>
          <w:iCs/>
          <w:sz w:val="20"/>
          <w:szCs w:val="20"/>
        </w:rPr>
        <w:t xml:space="preserve"> </w:t>
      </w:r>
      <w:r w:rsidRPr="00A61A2B">
        <w:rPr>
          <w:b w:val="0"/>
          <w:iCs/>
          <w:sz w:val="20"/>
          <w:szCs w:val="20"/>
        </w:rPr>
        <w:t>vaginal</w:t>
      </w:r>
      <w:r w:rsidR="001A60CC" w:rsidRPr="00A61A2B">
        <w:rPr>
          <w:b w:val="0"/>
          <w:iCs/>
          <w:sz w:val="20"/>
          <w:szCs w:val="20"/>
        </w:rPr>
        <w:t xml:space="preserve"> </w:t>
      </w:r>
      <w:r w:rsidR="00A61A2B" w:rsidRPr="00A61A2B">
        <w:rPr>
          <w:b w:val="0"/>
          <w:iCs/>
          <w:sz w:val="20"/>
          <w:szCs w:val="20"/>
        </w:rPr>
        <w:t>progesterone for</w:t>
      </w:r>
      <w:r w:rsidR="001A60CC" w:rsidRPr="00A61A2B">
        <w:rPr>
          <w:b w:val="0"/>
          <w:iCs/>
          <w:sz w:val="20"/>
          <w:szCs w:val="20"/>
        </w:rPr>
        <w:t xml:space="preserve"> </w:t>
      </w:r>
      <w:r w:rsidRPr="00A61A2B">
        <w:rPr>
          <w:b w:val="0"/>
          <w:iCs/>
          <w:sz w:val="20"/>
          <w:szCs w:val="20"/>
        </w:rPr>
        <w:t>luteal</w:t>
      </w:r>
      <w:r w:rsidR="001A60CC" w:rsidRPr="00A61A2B">
        <w:rPr>
          <w:b w:val="0"/>
          <w:iCs/>
          <w:sz w:val="20"/>
          <w:szCs w:val="20"/>
        </w:rPr>
        <w:t xml:space="preserve"> </w:t>
      </w:r>
      <w:r w:rsidRPr="00A61A2B">
        <w:rPr>
          <w:b w:val="0"/>
          <w:iCs/>
          <w:sz w:val="20"/>
          <w:szCs w:val="20"/>
        </w:rPr>
        <w:t>support</w:t>
      </w:r>
      <w:r w:rsidR="001A60CC" w:rsidRPr="00A61A2B">
        <w:rPr>
          <w:b w:val="0"/>
          <w:iCs/>
          <w:sz w:val="20"/>
          <w:szCs w:val="20"/>
        </w:rPr>
        <w:t xml:space="preserve"> </w:t>
      </w:r>
      <w:r w:rsidRPr="00A61A2B">
        <w:rPr>
          <w:b w:val="0"/>
          <w:iCs/>
          <w:sz w:val="20"/>
          <w:szCs w:val="20"/>
        </w:rPr>
        <w:t>i</w:t>
      </w:r>
      <w:r w:rsidR="006E05CF" w:rsidRPr="00A61A2B">
        <w:rPr>
          <w:b w:val="0"/>
          <w:iCs/>
          <w:sz w:val="20"/>
          <w:szCs w:val="20"/>
        </w:rPr>
        <w:t>n I</w:t>
      </w:r>
      <w:r w:rsidRPr="00A61A2B">
        <w:rPr>
          <w:b w:val="0"/>
          <w:iCs/>
          <w:sz w:val="20"/>
          <w:szCs w:val="20"/>
        </w:rPr>
        <w:t>UI</w:t>
      </w:r>
      <w:r w:rsidR="001A60CC" w:rsidRPr="00A61A2B">
        <w:rPr>
          <w:b w:val="0"/>
          <w:iCs/>
          <w:sz w:val="20"/>
          <w:szCs w:val="20"/>
        </w:rPr>
        <w:t xml:space="preserve"> </w:t>
      </w:r>
      <w:r w:rsidRPr="00A61A2B">
        <w:rPr>
          <w:b w:val="0"/>
          <w:iCs/>
          <w:sz w:val="20"/>
          <w:szCs w:val="20"/>
        </w:rPr>
        <w:t>cycles:</w:t>
      </w:r>
      <w:r w:rsidR="001A60CC" w:rsidRPr="00A61A2B">
        <w:rPr>
          <w:b w:val="0"/>
          <w:iCs/>
          <w:sz w:val="20"/>
          <w:szCs w:val="20"/>
        </w:rPr>
        <w:t xml:space="preserve"> </w:t>
      </w:r>
      <w:r w:rsidRPr="00A61A2B">
        <w:rPr>
          <w:b w:val="0"/>
          <w:iCs/>
          <w:sz w:val="20"/>
          <w:szCs w:val="20"/>
        </w:rPr>
        <w:t>a</w:t>
      </w:r>
      <w:r w:rsidR="001A60CC" w:rsidRPr="00A61A2B">
        <w:rPr>
          <w:b w:val="0"/>
          <w:iCs/>
          <w:sz w:val="20"/>
          <w:szCs w:val="20"/>
        </w:rPr>
        <w:t xml:space="preserve"> </w:t>
      </w:r>
      <w:r w:rsidRPr="00A61A2B">
        <w:rPr>
          <w:b w:val="0"/>
          <w:iCs/>
          <w:sz w:val="20"/>
          <w:szCs w:val="20"/>
        </w:rPr>
        <w:t>randomized</w:t>
      </w:r>
      <w:r w:rsidR="001A60CC" w:rsidRPr="00A61A2B">
        <w:rPr>
          <w:b w:val="0"/>
          <w:iCs/>
          <w:sz w:val="20"/>
          <w:szCs w:val="20"/>
        </w:rPr>
        <w:t xml:space="preserve"> </w:t>
      </w:r>
      <w:r w:rsidRPr="00A61A2B">
        <w:rPr>
          <w:b w:val="0"/>
          <w:iCs/>
          <w:sz w:val="20"/>
          <w:szCs w:val="20"/>
        </w:rPr>
        <w:t>clinical</w:t>
      </w:r>
      <w:r w:rsidR="001A60CC" w:rsidRPr="00A61A2B">
        <w:rPr>
          <w:b w:val="0"/>
          <w:iCs/>
          <w:sz w:val="20"/>
          <w:szCs w:val="20"/>
        </w:rPr>
        <w:t xml:space="preserve"> </w:t>
      </w:r>
      <w:r w:rsidRPr="00A61A2B">
        <w:rPr>
          <w:b w:val="0"/>
          <w:iCs/>
          <w:sz w:val="20"/>
          <w:szCs w:val="20"/>
        </w:rPr>
        <w:t>trial.</w:t>
      </w:r>
      <w:r w:rsidR="001A60CC" w:rsidRPr="00A61A2B">
        <w:rPr>
          <w:b w:val="0"/>
          <w:iCs/>
          <w:sz w:val="20"/>
          <w:szCs w:val="20"/>
        </w:rPr>
        <w:t xml:space="preserve"> </w:t>
      </w:r>
      <w:r w:rsidRPr="00A61A2B">
        <w:rPr>
          <w:b w:val="0"/>
          <w:iCs/>
          <w:sz w:val="20"/>
          <w:szCs w:val="20"/>
        </w:rPr>
        <w:t>Iran</w:t>
      </w:r>
      <w:r w:rsidR="001A60CC" w:rsidRPr="00A61A2B">
        <w:rPr>
          <w:b w:val="0"/>
          <w:iCs/>
          <w:sz w:val="20"/>
          <w:szCs w:val="20"/>
        </w:rPr>
        <w:t xml:space="preserve"> </w:t>
      </w:r>
      <w:r w:rsidRPr="00A61A2B">
        <w:rPr>
          <w:b w:val="0"/>
          <w:iCs/>
          <w:sz w:val="20"/>
          <w:szCs w:val="20"/>
        </w:rPr>
        <w:t>J</w:t>
      </w:r>
      <w:r w:rsidR="001A60CC" w:rsidRPr="00A61A2B">
        <w:rPr>
          <w:b w:val="0"/>
          <w:iCs/>
          <w:sz w:val="20"/>
          <w:szCs w:val="20"/>
        </w:rPr>
        <w:t xml:space="preserve"> </w:t>
      </w:r>
      <w:r w:rsidRPr="00A61A2B">
        <w:rPr>
          <w:b w:val="0"/>
          <w:iCs/>
          <w:sz w:val="20"/>
          <w:szCs w:val="20"/>
        </w:rPr>
        <w:t>Reprod</w:t>
      </w:r>
      <w:r w:rsidR="001A60CC" w:rsidRPr="00A61A2B">
        <w:rPr>
          <w:b w:val="0"/>
          <w:iCs/>
          <w:sz w:val="20"/>
          <w:szCs w:val="20"/>
        </w:rPr>
        <w:t xml:space="preserve"> </w:t>
      </w:r>
      <w:r w:rsidRPr="00A61A2B">
        <w:rPr>
          <w:b w:val="0"/>
          <w:iCs/>
          <w:sz w:val="20"/>
          <w:szCs w:val="20"/>
        </w:rPr>
        <w:t>Med.2015;13(7):433.</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Chung</w:t>
      </w:r>
      <w:r w:rsidR="001A60CC" w:rsidRPr="00A61A2B">
        <w:rPr>
          <w:bCs/>
          <w:iCs/>
          <w:sz w:val="20"/>
          <w:szCs w:val="20"/>
        </w:rPr>
        <w:t xml:space="preserve"> </w:t>
      </w:r>
      <w:r w:rsidRPr="00A61A2B">
        <w:rPr>
          <w:bCs/>
          <w:iCs/>
          <w:sz w:val="20"/>
          <w:szCs w:val="20"/>
        </w:rPr>
        <w:t>K,</w:t>
      </w:r>
      <w:r w:rsidR="001A60CC" w:rsidRPr="00A61A2B">
        <w:rPr>
          <w:bCs/>
          <w:iCs/>
          <w:sz w:val="20"/>
          <w:szCs w:val="20"/>
        </w:rPr>
        <w:t xml:space="preserve"> </w:t>
      </w:r>
      <w:r w:rsidRPr="00A61A2B">
        <w:rPr>
          <w:bCs/>
          <w:iCs/>
          <w:sz w:val="20"/>
          <w:szCs w:val="20"/>
        </w:rPr>
        <w:t>Donnez</w:t>
      </w:r>
      <w:r w:rsidR="001A60CC" w:rsidRPr="00A61A2B">
        <w:rPr>
          <w:bCs/>
          <w:iCs/>
          <w:sz w:val="20"/>
          <w:szCs w:val="20"/>
        </w:rPr>
        <w:t xml:space="preserve"> </w:t>
      </w:r>
      <w:r w:rsidRPr="00A61A2B">
        <w:rPr>
          <w:bCs/>
          <w:iCs/>
          <w:sz w:val="20"/>
          <w:szCs w:val="20"/>
        </w:rPr>
        <w:t>J,</w:t>
      </w:r>
      <w:r w:rsidR="001A60CC" w:rsidRPr="00A61A2B">
        <w:rPr>
          <w:bCs/>
          <w:iCs/>
          <w:sz w:val="20"/>
          <w:szCs w:val="20"/>
        </w:rPr>
        <w:t xml:space="preserve"> </w:t>
      </w:r>
      <w:r w:rsidRPr="00A61A2B">
        <w:rPr>
          <w:bCs/>
          <w:iCs/>
          <w:sz w:val="20"/>
          <w:szCs w:val="20"/>
        </w:rPr>
        <w:t>Ginsburg</w:t>
      </w:r>
      <w:r w:rsidR="001A60CC" w:rsidRPr="00A61A2B">
        <w:rPr>
          <w:bCs/>
          <w:iCs/>
          <w:sz w:val="20"/>
          <w:szCs w:val="20"/>
        </w:rPr>
        <w:t xml:space="preserve"> </w:t>
      </w:r>
      <w:r w:rsidRPr="00A61A2B">
        <w:rPr>
          <w:bCs/>
          <w:iCs/>
          <w:sz w:val="20"/>
          <w:szCs w:val="20"/>
        </w:rPr>
        <w:t>E</w:t>
      </w:r>
      <w:r w:rsidR="006E05CF" w:rsidRPr="00A61A2B">
        <w:rPr>
          <w:bCs/>
          <w:iCs/>
          <w:sz w:val="20"/>
          <w:szCs w:val="20"/>
        </w:rPr>
        <w:t>, M</w:t>
      </w:r>
      <w:r w:rsidRPr="00A61A2B">
        <w:rPr>
          <w:bCs/>
          <w:iCs/>
          <w:sz w:val="20"/>
          <w:szCs w:val="20"/>
        </w:rPr>
        <w:t>eirow</w:t>
      </w:r>
      <w:r w:rsidR="001A60CC" w:rsidRPr="00A61A2B">
        <w:rPr>
          <w:bCs/>
          <w:iCs/>
          <w:sz w:val="20"/>
          <w:szCs w:val="20"/>
        </w:rPr>
        <w:t xml:space="preserve"> </w:t>
      </w:r>
      <w:r w:rsidRPr="00A61A2B">
        <w:rPr>
          <w:bCs/>
          <w:iCs/>
          <w:sz w:val="20"/>
          <w:szCs w:val="20"/>
        </w:rPr>
        <w:t>D.</w:t>
      </w:r>
      <w:r w:rsidR="001A60CC" w:rsidRPr="00A61A2B">
        <w:rPr>
          <w:bCs/>
          <w:iCs/>
          <w:sz w:val="20"/>
          <w:szCs w:val="20"/>
        </w:rPr>
        <w:t xml:space="preserve"> </w:t>
      </w:r>
      <w:r w:rsidRPr="00A61A2B">
        <w:rPr>
          <w:bCs/>
          <w:iCs/>
          <w:sz w:val="20"/>
          <w:szCs w:val="20"/>
        </w:rPr>
        <w:t>Emergency</w:t>
      </w:r>
      <w:r w:rsidR="001A60CC" w:rsidRPr="00A61A2B">
        <w:rPr>
          <w:bCs/>
          <w:iCs/>
          <w:sz w:val="20"/>
          <w:szCs w:val="20"/>
        </w:rPr>
        <w:t xml:space="preserve"> </w:t>
      </w:r>
      <w:r w:rsidRPr="00A61A2B">
        <w:rPr>
          <w:bCs/>
          <w:iCs/>
          <w:sz w:val="20"/>
          <w:szCs w:val="20"/>
        </w:rPr>
        <w:t>IVF</w:t>
      </w:r>
      <w:r w:rsidR="001A60CC" w:rsidRPr="00A61A2B">
        <w:rPr>
          <w:bCs/>
          <w:iCs/>
          <w:sz w:val="20"/>
          <w:szCs w:val="20"/>
        </w:rPr>
        <w:t xml:space="preserve"> </w:t>
      </w:r>
      <w:r w:rsidRPr="00A61A2B">
        <w:rPr>
          <w:bCs/>
          <w:iCs/>
          <w:sz w:val="20"/>
          <w:szCs w:val="20"/>
        </w:rPr>
        <w:t>versus</w:t>
      </w:r>
      <w:r w:rsidR="001A60CC" w:rsidRPr="00A61A2B">
        <w:rPr>
          <w:bCs/>
          <w:iCs/>
          <w:sz w:val="20"/>
          <w:szCs w:val="20"/>
        </w:rPr>
        <w:t xml:space="preserve"> </w:t>
      </w:r>
      <w:r w:rsidRPr="00A61A2B">
        <w:rPr>
          <w:bCs/>
          <w:iCs/>
          <w:sz w:val="20"/>
          <w:szCs w:val="20"/>
        </w:rPr>
        <w:t>ovarian</w:t>
      </w:r>
      <w:r w:rsidR="001A60CC" w:rsidRPr="00A61A2B">
        <w:rPr>
          <w:bCs/>
          <w:iCs/>
          <w:sz w:val="20"/>
          <w:szCs w:val="20"/>
        </w:rPr>
        <w:t xml:space="preserve"> </w:t>
      </w:r>
      <w:r w:rsidRPr="00A61A2B">
        <w:rPr>
          <w:bCs/>
          <w:iCs/>
          <w:sz w:val="20"/>
          <w:szCs w:val="20"/>
        </w:rPr>
        <w:t>tissue</w:t>
      </w:r>
      <w:r w:rsidR="001A60CC" w:rsidRPr="00A61A2B">
        <w:rPr>
          <w:bCs/>
          <w:iCs/>
          <w:sz w:val="20"/>
          <w:szCs w:val="20"/>
        </w:rPr>
        <w:t xml:space="preserve"> </w:t>
      </w:r>
      <w:r w:rsidRPr="00A61A2B">
        <w:rPr>
          <w:bCs/>
          <w:iCs/>
          <w:sz w:val="20"/>
          <w:szCs w:val="20"/>
        </w:rPr>
        <w:t>cryopreservation:</w:t>
      </w:r>
      <w:r w:rsidR="001A60CC" w:rsidRPr="00A61A2B">
        <w:rPr>
          <w:bCs/>
          <w:iCs/>
          <w:sz w:val="20"/>
          <w:szCs w:val="20"/>
        </w:rPr>
        <w:t xml:space="preserve"> </w:t>
      </w:r>
      <w:r w:rsidRPr="00A61A2B">
        <w:rPr>
          <w:bCs/>
          <w:iCs/>
          <w:sz w:val="20"/>
          <w:szCs w:val="20"/>
        </w:rPr>
        <w:t>decision</w:t>
      </w:r>
      <w:r w:rsidR="001A60CC" w:rsidRPr="00A61A2B">
        <w:rPr>
          <w:bCs/>
          <w:iCs/>
          <w:sz w:val="20"/>
          <w:szCs w:val="20"/>
        </w:rPr>
        <w:t xml:space="preserve"> </w:t>
      </w:r>
      <w:r w:rsidRPr="00A61A2B">
        <w:rPr>
          <w:bCs/>
          <w:iCs/>
          <w:sz w:val="20"/>
          <w:szCs w:val="20"/>
        </w:rPr>
        <w:t>making</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fertility</w:t>
      </w:r>
      <w:r w:rsidR="001A60CC" w:rsidRPr="00A61A2B">
        <w:rPr>
          <w:bCs/>
          <w:iCs/>
          <w:sz w:val="20"/>
          <w:szCs w:val="20"/>
        </w:rPr>
        <w:t xml:space="preserve"> </w:t>
      </w:r>
      <w:r w:rsidRPr="00A61A2B">
        <w:rPr>
          <w:bCs/>
          <w:iCs/>
          <w:sz w:val="20"/>
          <w:szCs w:val="20"/>
        </w:rPr>
        <w:t>preservation</w:t>
      </w:r>
      <w:r w:rsidR="001A60CC" w:rsidRPr="00A61A2B">
        <w:rPr>
          <w:bCs/>
          <w:iCs/>
          <w:sz w:val="20"/>
          <w:szCs w:val="20"/>
        </w:rPr>
        <w:t xml:space="preserve"> </w:t>
      </w:r>
      <w:r w:rsidRPr="00A61A2B">
        <w:rPr>
          <w:bCs/>
          <w:iCs/>
          <w:sz w:val="20"/>
          <w:szCs w:val="20"/>
        </w:rPr>
        <w:t>for</w:t>
      </w:r>
      <w:r w:rsidR="001A60CC" w:rsidRPr="00A61A2B">
        <w:rPr>
          <w:bCs/>
          <w:iCs/>
          <w:sz w:val="20"/>
          <w:szCs w:val="20"/>
        </w:rPr>
        <w:t xml:space="preserve"> </w:t>
      </w:r>
      <w:r w:rsidRPr="00A61A2B">
        <w:rPr>
          <w:bCs/>
          <w:iCs/>
          <w:sz w:val="20"/>
          <w:szCs w:val="20"/>
        </w:rPr>
        <w:t>female</w:t>
      </w:r>
      <w:r w:rsidR="001A60CC" w:rsidRPr="00A61A2B">
        <w:rPr>
          <w:bCs/>
          <w:iCs/>
          <w:sz w:val="20"/>
          <w:szCs w:val="20"/>
        </w:rPr>
        <w:t xml:space="preserve"> </w:t>
      </w:r>
      <w:r w:rsidRPr="00A61A2B">
        <w:rPr>
          <w:bCs/>
          <w:iCs/>
          <w:sz w:val="20"/>
          <w:szCs w:val="20"/>
        </w:rPr>
        <w:t>cancer</w:t>
      </w:r>
      <w:r w:rsidR="001A60CC" w:rsidRPr="00A61A2B">
        <w:rPr>
          <w:bCs/>
          <w:iCs/>
          <w:sz w:val="20"/>
          <w:szCs w:val="20"/>
        </w:rPr>
        <w:t xml:space="preserve"> </w:t>
      </w:r>
      <w:r w:rsidRPr="00A61A2B">
        <w:rPr>
          <w:bCs/>
          <w:iCs/>
          <w:sz w:val="20"/>
          <w:szCs w:val="20"/>
        </w:rPr>
        <w:t>patients.</w:t>
      </w:r>
      <w:r w:rsidR="001A60CC" w:rsidRPr="00A61A2B">
        <w:rPr>
          <w:bCs/>
          <w:iCs/>
          <w:sz w:val="20"/>
          <w:szCs w:val="20"/>
        </w:rPr>
        <w:t xml:space="preserve"> </w:t>
      </w:r>
      <w:r w:rsidRPr="00A61A2B">
        <w:rPr>
          <w:bCs/>
          <w:iCs/>
          <w:sz w:val="20"/>
          <w:szCs w:val="20"/>
        </w:rPr>
        <w:t>Ferti</w:t>
      </w:r>
      <w:r w:rsidR="006E05CF" w:rsidRPr="00A61A2B">
        <w:rPr>
          <w:bCs/>
          <w:iCs/>
          <w:sz w:val="20"/>
          <w:szCs w:val="20"/>
        </w:rPr>
        <w:t>l S</w:t>
      </w:r>
      <w:r w:rsidRPr="00A61A2B">
        <w:rPr>
          <w:bCs/>
          <w:iCs/>
          <w:sz w:val="20"/>
          <w:szCs w:val="20"/>
        </w:rPr>
        <w:t>teril.</w:t>
      </w:r>
      <w:r w:rsidR="001A60CC" w:rsidRPr="00A61A2B">
        <w:rPr>
          <w:bCs/>
          <w:iCs/>
          <w:sz w:val="20"/>
          <w:szCs w:val="20"/>
        </w:rPr>
        <w:t xml:space="preserve"> </w:t>
      </w:r>
      <w:r w:rsidRPr="00A61A2B">
        <w:rPr>
          <w:bCs/>
          <w:iCs/>
          <w:sz w:val="20"/>
          <w:szCs w:val="20"/>
        </w:rPr>
        <w:t>2013;99(6):1534-1542.</w:t>
      </w:r>
    </w:p>
    <w:p w:rsidR="009A553D" w:rsidRPr="00A61A2B" w:rsidRDefault="00EB655A" w:rsidP="00F22118">
      <w:pPr>
        <w:pStyle w:val="BodyText"/>
        <w:numPr>
          <w:ilvl w:val="0"/>
          <w:numId w:val="3"/>
        </w:numPr>
        <w:snapToGrid w:val="0"/>
        <w:ind w:left="425" w:hanging="425"/>
        <w:jc w:val="both"/>
        <w:rPr>
          <w:bCs/>
          <w:iCs/>
          <w:sz w:val="20"/>
          <w:szCs w:val="20"/>
        </w:rPr>
      </w:pPr>
      <w:r w:rsidRPr="00A61A2B">
        <w:rPr>
          <w:bCs/>
          <w:iCs/>
          <w:sz w:val="20"/>
          <w:szCs w:val="20"/>
        </w:rPr>
        <w:t>Ghanem</w:t>
      </w:r>
      <w:r w:rsidR="001A60CC" w:rsidRPr="00A61A2B">
        <w:rPr>
          <w:bCs/>
          <w:iCs/>
          <w:sz w:val="20"/>
          <w:szCs w:val="20"/>
        </w:rPr>
        <w:t xml:space="preserve"> </w:t>
      </w:r>
      <w:r w:rsidRPr="00A61A2B">
        <w:rPr>
          <w:bCs/>
          <w:iCs/>
          <w:sz w:val="20"/>
          <w:szCs w:val="20"/>
        </w:rPr>
        <w:t>ME,</w:t>
      </w:r>
      <w:r w:rsidR="001A60CC" w:rsidRPr="00A61A2B">
        <w:rPr>
          <w:bCs/>
          <w:iCs/>
          <w:sz w:val="20"/>
          <w:szCs w:val="20"/>
        </w:rPr>
        <w:t xml:space="preserve"> </w:t>
      </w:r>
      <w:r w:rsidRPr="00A61A2B">
        <w:rPr>
          <w:bCs/>
          <w:iCs/>
          <w:sz w:val="20"/>
          <w:szCs w:val="20"/>
        </w:rPr>
        <w:t>Al-Boghdady</w:t>
      </w:r>
      <w:r w:rsidR="001A60CC" w:rsidRPr="00A61A2B">
        <w:rPr>
          <w:bCs/>
          <w:iCs/>
          <w:sz w:val="20"/>
          <w:szCs w:val="20"/>
        </w:rPr>
        <w:t xml:space="preserve"> </w:t>
      </w:r>
      <w:r w:rsidRPr="00A61A2B">
        <w:rPr>
          <w:bCs/>
          <w:iCs/>
          <w:sz w:val="20"/>
          <w:szCs w:val="20"/>
        </w:rPr>
        <w:t>LA</w:t>
      </w:r>
      <w:r w:rsidRPr="00A61A2B">
        <w:rPr>
          <w:bCs/>
          <w:iCs/>
          <w:color w:val="212121"/>
          <w:sz w:val="20"/>
          <w:szCs w:val="20"/>
        </w:rPr>
        <w:t>.</w:t>
      </w:r>
      <w:r w:rsidR="001A60CC" w:rsidRPr="00A61A2B">
        <w:rPr>
          <w:bCs/>
          <w:iCs/>
          <w:color w:val="212121"/>
          <w:sz w:val="20"/>
          <w:szCs w:val="20"/>
        </w:rPr>
        <w:t xml:space="preserve"> </w:t>
      </w:r>
      <w:r w:rsidRPr="00A61A2B">
        <w:rPr>
          <w:bCs/>
          <w:iCs/>
          <w:color w:val="212121"/>
          <w:sz w:val="20"/>
          <w:szCs w:val="20"/>
        </w:rPr>
        <w:t>Luteal</w:t>
      </w:r>
      <w:r w:rsidR="001A60CC" w:rsidRPr="00A61A2B">
        <w:rPr>
          <w:bCs/>
          <w:iCs/>
          <w:color w:val="212121"/>
          <w:sz w:val="20"/>
          <w:szCs w:val="20"/>
        </w:rPr>
        <w:t xml:space="preserve"> </w:t>
      </w:r>
      <w:r w:rsidRPr="00A61A2B">
        <w:rPr>
          <w:bCs/>
          <w:iCs/>
          <w:color w:val="212121"/>
          <w:sz w:val="20"/>
          <w:szCs w:val="20"/>
        </w:rPr>
        <w:t>phase</w:t>
      </w:r>
      <w:r w:rsidR="001A60CC" w:rsidRPr="00A61A2B">
        <w:rPr>
          <w:bCs/>
          <w:iCs/>
          <w:color w:val="212121"/>
          <w:sz w:val="20"/>
          <w:szCs w:val="20"/>
        </w:rPr>
        <w:t xml:space="preserve"> </w:t>
      </w:r>
      <w:r w:rsidRPr="00A61A2B">
        <w:rPr>
          <w:bCs/>
          <w:iCs/>
          <w:color w:val="212121"/>
          <w:sz w:val="20"/>
          <w:szCs w:val="20"/>
        </w:rPr>
        <w:t>support</w:t>
      </w:r>
      <w:r w:rsidR="001A60CC" w:rsidRPr="00A61A2B">
        <w:rPr>
          <w:bCs/>
          <w:iCs/>
          <w:color w:val="212121"/>
          <w:sz w:val="20"/>
          <w:szCs w:val="20"/>
        </w:rPr>
        <w:t xml:space="preserve"> </w:t>
      </w:r>
      <w:r w:rsidRPr="00A61A2B">
        <w:rPr>
          <w:bCs/>
          <w:iCs/>
          <w:color w:val="212121"/>
          <w:sz w:val="20"/>
          <w:szCs w:val="20"/>
        </w:rPr>
        <w:t>in</w:t>
      </w:r>
      <w:r w:rsidR="001A60CC" w:rsidRPr="00A61A2B">
        <w:rPr>
          <w:bCs/>
          <w:iCs/>
          <w:color w:val="212121"/>
          <w:sz w:val="20"/>
          <w:szCs w:val="20"/>
        </w:rPr>
        <w:t xml:space="preserve"> </w:t>
      </w:r>
      <w:r w:rsidRPr="00A61A2B">
        <w:rPr>
          <w:bCs/>
          <w:iCs/>
          <w:color w:val="212121"/>
          <w:sz w:val="20"/>
          <w:szCs w:val="20"/>
        </w:rPr>
        <w:t>ART:</w:t>
      </w:r>
      <w:r w:rsidR="001A60CC" w:rsidRPr="00A61A2B">
        <w:rPr>
          <w:bCs/>
          <w:iCs/>
          <w:color w:val="212121"/>
          <w:sz w:val="20"/>
          <w:szCs w:val="20"/>
        </w:rPr>
        <w:t xml:space="preserve"> </w:t>
      </w:r>
      <w:r w:rsidRPr="00A61A2B">
        <w:rPr>
          <w:bCs/>
          <w:iCs/>
          <w:color w:val="212121"/>
          <w:sz w:val="20"/>
          <w:szCs w:val="20"/>
        </w:rPr>
        <w:t>an</w:t>
      </w:r>
      <w:r w:rsidR="001A60CC" w:rsidRPr="00A61A2B">
        <w:rPr>
          <w:bCs/>
          <w:iCs/>
          <w:color w:val="212121"/>
          <w:sz w:val="20"/>
          <w:szCs w:val="20"/>
        </w:rPr>
        <w:t xml:space="preserve"> </w:t>
      </w:r>
      <w:r w:rsidRPr="00A61A2B">
        <w:rPr>
          <w:bCs/>
          <w:iCs/>
          <w:color w:val="212121"/>
          <w:sz w:val="20"/>
          <w:szCs w:val="20"/>
        </w:rPr>
        <w:t>update.</w:t>
      </w:r>
      <w:r w:rsidR="001A60CC" w:rsidRPr="00A61A2B">
        <w:rPr>
          <w:bCs/>
          <w:iCs/>
          <w:color w:val="212121"/>
          <w:sz w:val="20"/>
          <w:szCs w:val="20"/>
        </w:rPr>
        <w:t xml:space="preserve"> </w:t>
      </w:r>
      <w:r w:rsidRPr="00A61A2B">
        <w:rPr>
          <w:bCs/>
          <w:iCs/>
          <w:color w:val="212121"/>
          <w:sz w:val="20"/>
          <w:szCs w:val="20"/>
        </w:rPr>
        <w:t>Enhancing</w:t>
      </w:r>
      <w:r w:rsidR="001A60CC" w:rsidRPr="00A61A2B">
        <w:rPr>
          <w:bCs/>
          <w:iCs/>
          <w:color w:val="212121"/>
          <w:sz w:val="20"/>
          <w:szCs w:val="20"/>
        </w:rPr>
        <w:t xml:space="preserve"> </w:t>
      </w:r>
      <w:r w:rsidRPr="00A61A2B">
        <w:rPr>
          <w:bCs/>
          <w:iCs/>
          <w:color w:val="212121"/>
          <w:sz w:val="20"/>
          <w:szCs w:val="20"/>
        </w:rPr>
        <w:t>Success</w:t>
      </w:r>
      <w:r w:rsidR="001A60CC" w:rsidRPr="00A61A2B">
        <w:rPr>
          <w:bCs/>
          <w:iCs/>
          <w:color w:val="212121"/>
          <w:sz w:val="20"/>
          <w:szCs w:val="20"/>
        </w:rPr>
        <w:t xml:space="preserve"> </w:t>
      </w:r>
      <w:r w:rsidRPr="00A61A2B">
        <w:rPr>
          <w:bCs/>
          <w:iCs/>
          <w:color w:val="212121"/>
          <w:sz w:val="20"/>
          <w:szCs w:val="20"/>
        </w:rPr>
        <w:t>of</w:t>
      </w:r>
      <w:r w:rsidR="001A60CC" w:rsidRPr="00A61A2B">
        <w:rPr>
          <w:bCs/>
          <w:iCs/>
          <w:color w:val="212121"/>
          <w:sz w:val="20"/>
          <w:szCs w:val="20"/>
        </w:rPr>
        <w:t xml:space="preserve"> </w:t>
      </w:r>
      <w:r w:rsidRPr="00A61A2B">
        <w:rPr>
          <w:bCs/>
          <w:iCs/>
          <w:color w:val="212121"/>
          <w:sz w:val="20"/>
          <w:szCs w:val="20"/>
        </w:rPr>
        <w:t>Assisted</w:t>
      </w:r>
      <w:r w:rsidR="001A60CC" w:rsidRPr="00A61A2B">
        <w:rPr>
          <w:bCs/>
          <w:iCs/>
          <w:color w:val="212121"/>
          <w:sz w:val="20"/>
          <w:szCs w:val="20"/>
        </w:rPr>
        <w:t xml:space="preserve"> </w:t>
      </w:r>
      <w:r w:rsidRPr="00A61A2B">
        <w:rPr>
          <w:bCs/>
          <w:iCs/>
          <w:color w:val="212121"/>
          <w:sz w:val="20"/>
          <w:szCs w:val="20"/>
        </w:rPr>
        <w:t>Reproduction.</w:t>
      </w:r>
      <w:r w:rsidR="001A60CC" w:rsidRPr="00A61A2B">
        <w:rPr>
          <w:bCs/>
          <w:iCs/>
          <w:color w:val="212121"/>
          <w:sz w:val="20"/>
          <w:szCs w:val="20"/>
        </w:rPr>
        <w:t xml:space="preserve"> </w:t>
      </w:r>
      <w:r w:rsidRPr="00A61A2B">
        <w:rPr>
          <w:bCs/>
          <w:iCs/>
          <w:color w:val="212121"/>
          <w:sz w:val="20"/>
          <w:szCs w:val="20"/>
        </w:rPr>
        <w:t>2012;1(1):155-172</w:t>
      </w:r>
      <w:r w:rsidRPr="00A61A2B">
        <w:rPr>
          <w:bCs/>
          <w:iCs/>
          <w:sz w:val="20"/>
          <w:szCs w:val="20"/>
        </w:rPr>
        <w:t>.</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Salehpour</w:t>
      </w:r>
      <w:r w:rsidR="001A60CC" w:rsidRPr="00A61A2B">
        <w:rPr>
          <w:bCs/>
          <w:iCs/>
          <w:sz w:val="20"/>
          <w:szCs w:val="20"/>
        </w:rPr>
        <w:t xml:space="preserve"> </w:t>
      </w:r>
      <w:r w:rsidRPr="00A61A2B">
        <w:rPr>
          <w:bCs/>
          <w:iCs/>
          <w:sz w:val="20"/>
          <w:szCs w:val="20"/>
        </w:rPr>
        <w:t>S,</w:t>
      </w:r>
      <w:r w:rsidR="001A60CC" w:rsidRPr="00A61A2B">
        <w:rPr>
          <w:bCs/>
          <w:iCs/>
          <w:sz w:val="20"/>
          <w:szCs w:val="20"/>
        </w:rPr>
        <w:t xml:space="preserve"> </w:t>
      </w:r>
      <w:r w:rsidRPr="00A61A2B">
        <w:rPr>
          <w:bCs/>
          <w:iCs/>
          <w:sz w:val="20"/>
          <w:szCs w:val="20"/>
        </w:rPr>
        <w:t>Tamim</w:t>
      </w:r>
      <w:r w:rsidR="006E05CF" w:rsidRPr="00A61A2B">
        <w:rPr>
          <w:bCs/>
          <w:iCs/>
          <w:sz w:val="20"/>
          <w:szCs w:val="20"/>
        </w:rPr>
        <w:t>i M, S</w:t>
      </w:r>
      <w:r w:rsidRPr="00A61A2B">
        <w:rPr>
          <w:bCs/>
          <w:iCs/>
          <w:sz w:val="20"/>
          <w:szCs w:val="20"/>
        </w:rPr>
        <w:t>aharkhiz</w:t>
      </w:r>
      <w:r w:rsidR="001A60CC" w:rsidRPr="00A61A2B">
        <w:rPr>
          <w:bCs/>
          <w:iCs/>
          <w:sz w:val="20"/>
          <w:szCs w:val="20"/>
        </w:rPr>
        <w:t xml:space="preserve"> </w:t>
      </w:r>
      <w:r w:rsidRPr="00A61A2B">
        <w:rPr>
          <w:bCs/>
          <w:iCs/>
          <w:sz w:val="20"/>
          <w:szCs w:val="20"/>
        </w:rPr>
        <w:t>N.</w:t>
      </w:r>
      <w:r w:rsidR="001A60CC" w:rsidRPr="00A61A2B">
        <w:rPr>
          <w:bCs/>
          <w:iCs/>
          <w:sz w:val="20"/>
          <w:szCs w:val="20"/>
        </w:rPr>
        <w:t xml:space="preserve"> </w:t>
      </w:r>
      <w:r w:rsidRPr="00A61A2B">
        <w:rPr>
          <w:bCs/>
          <w:iCs/>
          <w:sz w:val="20"/>
          <w:szCs w:val="20"/>
        </w:rPr>
        <w:t>Comparison</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oral</w:t>
      </w:r>
      <w:r w:rsidR="001A60CC" w:rsidRPr="00A61A2B">
        <w:rPr>
          <w:bCs/>
          <w:iCs/>
          <w:sz w:val="20"/>
          <w:szCs w:val="20"/>
        </w:rPr>
        <w:t xml:space="preserve"> </w:t>
      </w:r>
      <w:r w:rsidRPr="00A61A2B">
        <w:rPr>
          <w:bCs/>
          <w:iCs/>
          <w:sz w:val="20"/>
          <w:szCs w:val="20"/>
        </w:rPr>
        <w:t>dydrogesterone</w:t>
      </w:r>
      <w:r w:rsidR="001A60CC" w:rsidRPr="00A61A2B">
        <w:rPr>
          <w:bCs/>
          <w:iCs/>
          <w:sz w:val="20"/>
          <w:szCs w:val="20"/>
        </w:rPr>
        <w:t xml:space="preserve"> </w:t>
      </w:r>
      <w:r w:rsidRPr="00A61A2B">
        <w:rPr>
          <w:bCs/>
          <w:iCs/>
          <w:sz w:val="20"/>
          <w:szCs w:val="20"/>
        </w:rPr>
        <w:t>with</w:t>
      </w:r>
      <w:r w:rsidR="001A60CC" w:rsidRPr="00A61A2B">
        <w:rPr>
          <w:bCs/>
          <w:iCs/>
          <w:sz w:val="20"/>
          <w:szCs w:val="20"/>
        </w:rPr>
        <w:t xml:space="preserve"> </w:t>
      </w:r>
      <w:r w:rsidRPr="00A61A2B">
        <w:rPr>
          <w:bCs/>
          <w:iCs/>
          <w:sz w:val="20"/>
          <w:szCs w:val="20"/>
        </w:rPr>
        <w:t>suppository</w:t>
      </w:r>
      <w:r w:rsidR="001A60CC" w:rsidRPr="00A61A2B">
        <w:rPr>
          <w:bCs/>
          <w:iCs/>
          <w:sz w:val="20"/>
          <w:szCs w:val="20"/>
        </w:rPr>
        <w:t xml:space="preserve"> </w:t>
      </w:r>
      <w:r w:rsidRPr="00A61A2B">
        <w:rPr>
          <w:bCs/>
          <w:iCs/>
          <w:sz w:val="20"/>
          <w:szCs w:val="20"/>
        </w:rPr>
        <w:t>vaginal</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for</w:t>
      </w:r>
      <w:r w:rsidR="001A60CC" w:rsidRPr="00A61A2B">
        <w:rPr>
          <w:bCs/>
          <w:iCs/>
          <w:sz w:val="20"/>
          <w:szCs w:val="20"/>
        </w:rPr>
        <w:t xml:space="preserve"> </w:t>
      </w:r>
      <w:r w:rsidRPr="00A61A2B">
        <w:rPr>
          <w:bCs/>
          <w:iCs/>
          <w:sz w:val="20"/>
          <w:szCs w:val="20"/>
        </w:rPr>
        <w:t>luteal-phase</w:t>
      </w:r>
      <w:r w:rsidR="001A60CC" w:rsidRPr="00A61A2B">
        <w:rPr>
          <w:bCs/>
          <w:iCs/>
          <w:sz w:val="20"/>
          <w:szCs w:val="20"/>
        </w:rPr>
        <w:t xml:space="preserve"> </w:t>
      </w:r>
      <w:r w:rsidRPr="00A61A2B">
        <w:rPr>
          <w:bCs/>
          <w:iCs/>
          <w:sz w:val="20"/>
          <w:szCs w:val="20"/>
        </w:rPr>
        <w:t>support</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vitro</w:t>
      </w:r>
      <w:r w:rsidR="001A60CC" w:rsidRPr="00A61A2B">
        <w:rPr>
          <w:bCs/>
          <w:iCs/>
          <w:sz w:val="20"/>
          <w:szCs w:val="20"/>
        </w:rPr>
        <w:t xml:space="preserve"> </w:t>
      </w:r>
      <w:r w:rsidRPr="00A61A2B">
        <w:rPr>
          <w:bCs/>
          <w:iCs/>
          <w:sz w:val="20"/>
          <w:szCs w:val="20"/>
        </w:rPr>
        <w:t>fertilization</w:t>
      </w:r>
      <w:r w:rsidR="001A60CC" w:rsidRPr="00A61A2B">
        <w:rPr>
          <w:bCs/>
          <w:iCs/>
          <w:sz w:val="20"/>
          <w:szCs w:val="20"/>
        </w:rPr>
        <w:t xml:space="preserve"> </w:t>
      </w:r>
      <w:r w:rsidRPr="00A61A2B">
        <w:rPr>
          <w:bCs/>
          <w:iCs/>
          <w:sz w:val="20"/>
          <w:szCs w:val="20"/>
        </w:rPr>
        <w:t>(IVF):</w:t>
      </w:r>
      <w:r w:rsidR="001A60CC" w:rsidRPr="00A61A2B">
        <w:rPr>
          <w:bCs/>
          <w:iCs/>
          <w:sz w:val="20"/>
          <w:szCs w:val="20"/>
        </w:rPr>
        <w:t xml:space="preserve"> </w:t>
      </w:r>
      <w:r w:rsidRPr="00A61A2B">
        <w:rPr>
          <w:bCs/>
          <w:iCs/>
          <w:sz w:val="20"/>
          <w:szCs w:val="20"/>
        </w:rPr>
        <w:t>A</w:t>
      </w:r>
      <w:r w:rsidR="001A60CC" w:rsidRPr="00A61A2B">
        <w:rPr>
          <w:bCs/>
          <w:iCs/>
          <w:sz w:val="20"/>
          <w:szCs w:val="20"/>
        </w:rPr>
        <w:t xml:space="preserve"> </w:t>
      </w:r>
      <w:r w:rsidRPr="00A61A2B">
        <w:rPr>
          <w:bCs/>
          <w:iCs/>
          <w:sz w:val="20"/>
          <w:szCs w:val="20"/>
        </w:rPr>
        <w:t>randomized</w:t>
      </w:r>
      <w:r w:rsidR="001A60CC" w:rsidRPr="00A61A2B">
        <w:rPr>
          <w:bCs/>
          <w:iCs/>
          <w:sz w:val="20"/>
          <w:szCs w:val="20"/>
        </w:rPr>
        <w:t xml:space="preserve"> </w:t>
      </w:r>
      <w:r w:rsidRPr="00A61A2B">
        <w:rPr>
          <w:bCs/>
          <w:iCs/>
          <w:sz w:val="20"/>
          <w:szCs w:val="20"/>
        </w:rPr>
        <w:t>clinical</w:t>
      </w:r>
      <w:r w:rsidR="001A60CC" w:rsidRPr="00A61A2B">
        <w:rPr>
          <w:bCs/>
          <w:iCs/>
          <w:sz w:val="20"/>
          <w:szCs w:val="20"/>
        </w:rPr>
        <w:t xml:space="preserve"> </w:t>
      </w:r>
      <w:r w:rsidRPr="00A61A2B">
        <w:rPr>
          <w:bCs/>
          <w:iCs/>
          <w:sz w:val="20"/>
          <w:szCs w:val="20"/>
        </w:rPr>
        <w:t>trial.</w:t>
      </w:r>
      <w:r w:rsidR="001A60CC" w:rsidRPr="00A61A2B">
        <w:rPr>
          <w:bCs/>
          <w:iCs/>
          <w:sz w:val="20"/>
          <w:szCs w:val="20"/>
        </w:rPr>
        <w:t xml:space="preserve"> </w:t>
      </w:r>
      <w:r w:rsidRPr="00A61A2B">
        <w:rPr>
          <w:bCs/>
          <w:iCs/>
          <w:sz w:val="20"/>
          <w:szCs w:val="20"/>
        </w:rPr>
        <w:t>Iran</w:t>
      </w:r>
      <w:r w:rsidR="001A60CC" w:rsidRPr="00A61A2B">
        <w:rPr>
          <w:bCs/>
          <w:iCs/>
          <w:sz w:val="20"/>
          <w:szCs w:val="20"/>
        </w:rPr>
        <w:t xml:space="preserve"> </w:t>
      </w:r>
      <w:r w:rsidRPr="00A61A2B">
        <w:rPr>
          <w:bCs/>
          <w:iCs/>
          <w:sz w:val="20"/>
          <w:szCs w:val="20"/>
        </w:rPr>
        <w:t>J</w:t>
      </w:r>
      <w:r w:rsidR="001A60CC" w:rsidRPr="00A61A2B">
        <w:rPr>
          <w:bCs/>
          <w:iCs/>
          <w:sz w:val="20"/>
          <w:szCs w:val="20"/>
        </w:rPr>
        <w:t xml:space="preserve"> </w:t>
      </w:r>
      <w:r w:rsidRPr="00A61A2B">
        <w:rPr>
          <w:bCs/>
          <w:iCs/>
          <w:sz w:val="20"/>
          <w:szCs w:val="20"/>
        </w:rPr>
        <w:t>Reprod</w:t>
      </w:r>
      <w:r w:rsidR="001A60CC" w:rsidRPr="00A61A2B">
        <w:rPr>
          <w:bCs/>
          <w:iCs/>
          <w:sz w:val="20"/>
          <w:szCs w:val="20"/>
        </w:rPr>
        <w:t xml:space="preserve"> </w:t>
      </w:r>
      <w:r w:rsidRPr="00A61A2B">
        <w:rPr>
          <w:bCs/>
          <w:iCs/>
          <w:sz w:val="20"/>
          <w:szCs w:val="20"/>
        </w:rPr>
        <w:t>Med.</w:t>
      </w:r>
      <w:r w:rsidR="00A61A2B">
        <w:rPr>
          <w:rFonts w:eastAsiaTheme="minorEastAsia" w:hint="eastAsia"/>
          <w:bCs/>
          <w:iCs/>
          <w:sz w:val="20"/>
          <w:szCs w:val="20"/>
          <w:lang w:eastAsia="zh-CN"/>
        </w:rPr>
        <w:t xml:space="preserve"> </w:t>
      </w:r>
      <w:r w:rsidRPr="00A61A2B">
        <w:rPr>
          <w:bCs/>
          <w:iCs/>
          <w:sz w:val="20"/>
          <w:szCs w:val="20"/>
        </w:rPr>
        <w:t>2013;11(11):913-918.</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Zargar</w:t>
      </w:r>
      <w:r w:rsidR="001A60CC" w:rsidRPr="00A61A2B">
        <w:rPr>
          <w:bCs/>
          <w:iCs/>
          <w:sz w:val="20"/>
          <w:szCs w:val="20"/>
        </w:rPr>
        <w:t xml:space="preserve"> </w:t>
      </w:r>
      <w:r w:rsidRPr="00A61A2B">
        <w:rPr>
          <w:bCs/>
          <w:iCs/>
          <w:sz w:val="20"/>
          <w:szCs w:val="20"/>
        </w:rPr>
        <w:t>M,</w:t>
      </w:r>
      <w:r w:rsidR="001A60CC" w:rsidRPr="00A61A2B">
        <w:rPr>
          <w:bCs/>
          <w:iCs/>
          <w:sz w:val="20"/>
          <w:szCs w:val="20"/>
        </w:rPr>
        <w:t xml:space="preserve"> </w:t>
      </w:r>
      <w:r w:rsidRPr="00A61A2B">
        <w:rPr>
          <w:bCs/>
          <w:iCs/>
          <w:sz w:val="20"/>
          <w:szCs w:val="20"/>
        </w:rPr>
        <w:t>Saadat</w:t>
      </w:r>
      <w:r w:rsidR="006E05CF" w:rsidRPr="00A61A2B">
        <w:rPr>
          <w:bCs/>
          <w:iCs/>
          <w:sz w:val="20"/>
          <w:szCs w:val="20"/>
        </w:rPr>
        <w:t>i N, E</w:t>
      </w:r>
      <w:r w:rsidRPr="00A61A2B">
        <w:rPr>
          <w:bCs/>
          <w:iCs/>
          <w:sz w:val="20"/>
          <w:szCs w:val="20"/>
        </w:rPr>
        <w:t>jtahed</w:t>
      </w:r>
      <w:r w:rsidR="001A60CC" w:rsidRPr="00A61A2B">
        <w:rPr>
          <w:bCs/>
          <w:iCs/>
          <w:sz w:val="20"/>
          <w:szCs w:val="20"/>
        </w:rPr>
        <w:t xml:space="preserve"> </w:t>
      </w:r>
      <w:r w:rsidRPr="00A61A2B">
        <w:rPr>
          <w:bCs/>
          <w:iCs/>
          <w:sz w:val="20"/>
          <w:szCs w:val="20"/>
        </w:rPr>
        <w:t>MS.</w:t>
      </w:r>
      <w:r w:rsidR="001A60CC" w:rsidRPr="00A61A2B">
        <w:rPr>
          <w:bCs/>
          <w:iCs/>
          <w:sz w:val="20"/>
          <w:szCs w:val="20"/>
        </w:rPr>
        <w:t xml:space="preserve"> </w:t>
      </w:r>
      <w:r w:rsidRPr="00A61A2B">
        <w:rPr>
          <w:bCs/>
          <w:iCs/>
          <w:sz w:val="20"/>
          <w:szCs w:val="20"/>
        </w:rPr>
        <w:t>Comparison</w:t>
      </w:r>
      <w:r w:rsidR="001A60CC" w:rsidRPr="00A61A2B">
        <w:rPr>
          <w:bCs/>
          <w:iCs/>
          <w:sz w:val="20"/>
          <w:szCs w:val="20"/>
        </w:rPr>
        <w:t xml:space="preserve"> </w:t>
      </w:r>
      <w:r w:rsidRPr="00A61A2B">
        <w:rPr>
          <w:bCs/>
          <w:iCs/>
          <w:sz w:val="20"/>
          <w:szCs w:val="20"/>
        </w:rPr>
        <w:t>the</w:t>
      </w:r>
      <w:r w:rsidR="001A60CC" w:rsidRPr="00A61A2B">
        <w:rPr>
          <w:bCs/>
          <w:iCs/>
          <w:sz w:val="20"/>
          <w:szCs w:val="20"/>
        </w:rPr>
        <w:t xml:space="preserve"> </w:t>
      </w:r>
      <w:r w:rsidRPr="00A61A2B">
        <w:rPr>
          <w:bCs/>
          <w:iCs/>
          <w:sz w:val="20"/>
          <w:szCs w:val="20"/>
        </w:rPr>
        <w:t>Effectiveness</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Oral</w:t>
      </w:r>
      <w:r w:rsidR="001A60CC" w:rsidRPr="00A61A2B">
        <w:rPr>
          <w:bCs/>
          <w:iCs/>
          <w:sz w:val="20"/>
          <w:szCs w:val="20"/>
        </w:rPr>
        <w:t xml:space="preserve"> </w:t>
      </w:r>
      <w:r w:rsidRPr="00A61A2B">
        <w:rPr>
          <w:bCs/>
          <w:iCs/>
          <w:sz w:val="20"/>
          <w:szCs w:val="20"/>
        </w:rPr>
        <w:t>Dydrogesterone,</w:t>
      </w:r>
      <w:r w:rsidR="001A60CC" w:rsidRPr="00A61A2B">
        <w:rPr>
          <w:bCs/>
          <w:iCs/>
          <w:sz w:val="20"/>
          <w:szCs w:val="20"/>
        </w:rPr>
        <w:t xml:space="preserve"> </w:t>
      </w:r>
      <w:r w:rsidRPr="00A61A2B">
        <w:rPr>
          <w:bCs/>
          <w:iCs/>
          <w:sz w:val="20"/>
          <w:szCs w:val="20"/>
        </w:rPr>
        <w:t>Vaginal</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Suppository</w:t>
      </w:r>
      <w:r w:rsidR="001A60CC" w:rsidRPr="00A61A2B">
        <w:rPr>
          <w:bCs/>
          <w:iCs/>
          <w:sz w:val="20"/>
          <w:szCs w:val="20"/>
        </w:rPr>
        <w:t xml:space="preserve"> </w:t>
      </w:r>
      <w:r w:rsidRPr="00A61A2B">
        <w:rPr>
          <w:bCs/>
          <w:iCs/>
          <w:sz w:val="20"/>
          <w:szCs w:val="20"/>
        </w:rPr>
        <w:t>and</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Ampule</w:t>
      </w:r>
      <w:r w:rsidR="001A60CC" w:rsidRPr="00A61A2B">
        <w:rPr>
          <w:bCs/>
          <w:iCs/>
          <w:sz w:val="20"/>
          <w:szCs w:val="20"/>
        </w:rPr>
        <w:t xml:space="preserve"> </w:t>
      </w:r>
      <w:r w:rsidRPr="00A61A2B">
        <w:rPr>
          <w:bCs/>
          <w:iCs/>
          <w:sz w:val="20"/>
          <w:szCs w:val="20"/>
        </w:rPr>
        <w:t>for</w:t>
      </w:r>
      <w:r w:rsidR="001A60CC" w:rsidRPr="00A61A2B">
        <w:rPr>
          <w:bCs/>
          <w:iCs/>
          <w:sz w:val="20"/>
          <w:szCs w:val="20"/>
        </w:rPr>
        <w:t xml:space="preserve"> </w:t>
      </w:r>
      <w:r w:rsidRPr="00A61A2B">
        <w:rPr>
          <w:bCs/>
          <w:iCs/>
          <w:sz w:val="20"/>
          <w:szCs w:val="20"/>
        </w:rPr>
        <w:t>Luteal</w:t>
      </w:r>
      <w:r w:rsidR="001A60CC" w:rsidRPr="00A61A2B">
        <w:rPr>
          <w:bCs/>
          <w:iCs/>
          <w:sz w:val="20"/>
          <w:szCs w:val="20"/>
        </w:rPr>
        <w:t xml:space="preserve"> </w:t>
      </w:r>
      <w:r w:rsidRPr="00A61A2B">
        <w:rPr>
          <w:bCs/>
          <w:iCs/>
          <w:sz w:val="20"/>
          <w:szCs w:val="20"/>
        </w:rPr>
        <w:t>Phase</w:t>
      </w:r>
      <w:r w:rsidR="001A60CC" w:rsidRPr="00A61A2B">
        <w:rPr>
          <w:bCs/>
          <w:iCs/>
          <w:sz w:val="20"/>
          <w:szCs w:val="20"/>
        </w:rPr>
        <w:t xml:space="preserve"> </w:t>
      </w:r>
      <w:r w:rsidRPr="00A61A2B">
        <w:rPr>
          <w:bCs/>
          <w:iCs/>
          <w:sz w:val="20"/>
          <w:szCs w:val="20"/>
        </w:rPr>
        <w:t>Support</w:t>
      </w:r>
      <w:r w:rsidR="001A60CC" w:rsidRPr="00A61A2B">
        <w:rPr>
          <w:bCs/>
          <w:iCs/>
          <w:sz w:val="20"/>
          <w:szCs w:val="20"/>
        </w:rPr>
        <w:t xml:space="preserve"> </w:t>
      </w:r>
      <w:r w:rsidRPr="00A61A2B">
        <w:rPr>
          <w:bCs/>
          <w:iCs/>
          <w:sz w:val="20"/>
          <w:szCs w:val="20"/>
        </w:rPr>
        <w:t>on</w:t>
      </w:r>
      <w:r w:rsidR="001A60CC" w:rsidRPr="00A61A2B">
        <w:rPr>
          <w:bCs/>
          <w:iCs/>
          <w:sz w:val="20"/>
          <w:szCs w:val="20"/>
        </w:rPr>
        <w:t xml:space="preserve"> </w:t>
      </w:r>
      <w:r w:rsidRPr="00A61A2B">
        <w:rPr>
          <w:bCs/>
          <w:iCs/>
          <w:sz w:val="20"/>
          <w:szCs w:val="20"/>
        </w:rPr>
        <w:t>Pregnancy</w:t>
      </w:r>
      <w:r w:rsidR="001A60CC" w:rsidRPr="00A61A2B">
        <w:rPr>
          <w:bCs/>
          <w:iCs/>
          <w:sz w:val="20"/>
          <w:szCs w:val="20"/>
        </w:rPr>
        <w:t xml:space="preserve"> </w:t>
      </w:r>
      <w:r w:rsidRPr="00A61A2B">
        <w:rPr>
          <w:bCs/>
          <w:iCs/>
          <w:sz w:val="20"/>
          <w:szCs w:val="20"/>
        </w:rPr>
        <w:t>Rate</w:t>
      </w:r>
      <w:r w:rsidR="001A60CC" w:rsidRPr="00A61A2B">
        <w:rPr>
          <w:bCs/>
          <w:iCs/>
          <w:sz w:val="20"/>
          <w:szCs w:val="20"/>
        </w:rPr>
        <w:t xml:space="preserve"> </w:t>
      </w:r>
      <w:r w:rsidRPr="00A61A2B">
        <w:rPr>
          <w:bCs/>
          <w:iCs/>
          <w:sz w:val="20"/>
          <w:szCs w:val="20"/>
        </w:rPr>
        <w:t>during</w:t>
      </w:r>
      <w:r w:rsidR="001A60CC" w:rsidRPr="00A61A2B">
        <w:rPr>
          <w:bCs/>
          <w:iCs/>
          <w:sz w:val="20"/>
          <w:szCs w:val="20"/>
        </w:rPr>
        <w:t xml:space="preserve"> </w:t>
      </w:r>
      <w:r w:rsidRPr="00A61A2B">
        <w:rPr>
          <w:bCs/>
          <w:iCs/>
          <w:sz w:val="20"/>
          <w:szCs w:val="20"/>
        </w:rPr>
        <w:t>ART</w:t>
      </w:r>
      <w:r w:rsidR="001A60CC" w:rsidRPr="00A61A2B">
        <w:rPr>
          <w:bCs/>
          <w:iCs/>
          <w:sz w:val="20"/>
          <w:szCs w:val="20"/>
        </w:rPr>
        <w:t xml:space="preserve"> </w:t>
      </w:r>
      <w:r w:rsidRPr="00A61A2B">
        <w:rPr>
          <w:bCs/>
          <w:iCs/>
          <w:sz w:val="20"/>
          <w:szCs w:val="20"/>
        </w:rPr>
        <w:t>Cycles.</w:t>
      </w:r>
      <w:r w:rsidR="001A60CC" w:rsidRPr="00A61A2B">
        <w:rPr>
          <w:bCs/>
          <w:iCs/>
          <w:sz w:val="20"/>
          <w:szCs w:val="20"/>
        </w:rPr>
        <w:t xml:space="preserve"> </w:t>
      </w:r>
      <w:r w:rsidRPr="00A61A2B">
        <w:rPr>
          <w:bCs/>
          <w:iCs/>
          <w:sz w:val="20"/>
          <w:szCs w:val="20"/>
        </w:rPr>
        <w:t>IJPRAS.2016;5(3):101-110.</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Ganesh</w:t>
      </w:r>
      <w:r w:rsidR="001A60CC" w:rsidRPr="00A61A2B">
        <w:rPr>
          <w:bCs/>
          <w:iCs/>
          <w:sz w:val="20"/>
          <w:szCs w:val="20"/>
        </w:rPr>
        <w:t xml:space="preserve"> </w:t>
      </w:r>
      <w:r w:rsidRPr="00A61A2B">
        <w:rPr>
          <w:bCs/>
          <w:iCs/>
          <w:sz w:val="20"/>
          <w:szCs w:val="20"/>
        </w:rPr>
        <w:t>A,</w:t>
      </w:r>
      <w:r w:rsidR="001A60CC" w:rsidRPr="00A61A2B">
        <w:rPr>
          <w:bCs/>
          <w:iCs/>
          <w:sz w:val="20"/>
          <w:szCs w:val="20"/>
        </w:rPr>
        <w:t xml:space="preserve"> </w:t>
      </w:r>
      <w:r w:rsidRPr="00A61A2B">
        <w:rPr>
          <w:bCs/>
          <w:iCs/>
          <w:sz w:val="20"/>
          <w:szCs w:val="20"/>
        </w:rPr>
        <w:t>Chakravorty</w:t>
      </w:r>
      <w:r w:rsidR="001A60CC" w:rsidRPr="00A61A2B">
        <w:rPr>
          <w:bCs/>
          <w:iCs/>
          <w:sz w:val="20"/>
          <w:szCs w:val="20"/>
        </w:rPr>
        <w:t xml:space="preserve"> </w:t>
      </w:r>
      <w:r w:rsidRPr="00A61A2B">
        <w:rPr>
          <w:bCs/>
          <w:iCs/>
          <w:sz w:val="20"/>
          <w:szCs w:val="20"/>
        </w:rPr>
        <w:t>N,</w:t>
      </w:r>
      <w:r w:rsidR="001A60CC" w:rsidRPr="00A61A2B">
        <w:rPr>
          <w:bCs/>
          <w:iCs/>
          <w:sz w:val="20"/>
          <w:szCs w:val="20"/>
        </w:rPr>
        <w:t xml:space="preserve"> </w:t>
      </w:r>
      <w:r w:rsidRPr="00A61A2B">
        <w:rPr>
          <w:bCs/>
          <w:iCs/>
          <w:sz w:val="20"/>
          <w:szCs w:val="20"/>
        </w:rPr>
        <w:t>Mukherjee</w:t>
      </w:r>
      <w:r w:rsidR="001A60CC" w:rsidRPr="00A61A2B">
        <w:rPr>
          <w:bCs/>
          <w:iCs/>
          <w:sz w:val="20"/>
          <w:szCs w:val="20"/>
        </w:rPr>
        <w:t xml:space="preserve"> </w:t>
      </w:r>
      <w:r w:rsidRPr="00A61A2B">
        <w:rPr>
          <w:bCs/>
          <w:iCs/>
          <w:sz w:val="20"/>
          <w:szCs w:val="20"/>
        </w:rPr>
        <w:t>R,</w:t>
      </w:r>
      <w:r w:rsidR="001A60CC" w:rsidRPr="00A61A2B">
        <w:rPr>
          <w:bCs/>
          <w:iCs/>
          <w:sz w:val="20"/>
          <w:szCs w:val="20"/>
        </w:rPr>
        <w:t xml:space="preserve"> </w:t>
      </w:r>
      <w:r w:rsidRPr="00A61A2B">
        <w:rPr>
          <w:bCs/>
          <w:iCs/>
          <w:sz w:val="20"/>
          <w:szCs w:val="20"/>
        </w:rPr>
        <w:t>Goswam</w:t>
      </w:r>
      <w:r w:rsidR="006E05CF" w:rsidRPr="00A61A2B">
        <w:rPr>
          <w:bCs/>
          <w:iCs/>
          <w:sz w:val="20"/>
          <w:szCs w:val="20"/>
        </w:rPr>
        <w:t>i S</w:t>
      </w:r>
      <w:r w:rsidRPr="00A61A2B">
        <w:rPr>
          <w:bCs/>
          <w:iCs/>
          <w:sz w:val="20"/>
          <w:szCs w:val="20"/>
        </w:rPr>
        <w:t>,</w:t>
      </w:r>
      <w:r w:rsidR="001A60CC" w:rsidRPr="00A61A2B">
        <w:rPr>
          <w:bCs/>
          <w:iCs/>
          <w:sz w:val="20"/>
          <w:szCs w:val="20"/>
        </w:rPr>
        <w:t xml:space="preserve"> </w:t>
      </w:r>
      <w:r w:rsidRPr="00A61A2B">
        <w:rPr>
          <w:bCs/>
          <w:iCs/>
          <w:sz w:val="20"/>
          <w:szCs w:val="20"/>
        </w:rPr>
        <w:t>Chaudhury</w:t>
      </w:r>
      <w:r w:rsidR="001A60CC" w:rsidRPr="00A61A2B">
        <w:rPr>
          <w:bCs/>
          <w:iCs/>
          <w:sz w:val="20"/>
          <w:szCs w:val="20"/>
        </w:rPr>
        <w:t xml:space="preserve"> </w:t>
      </w:r>
      <w:r w:rsidRPr="00A61A2B">
        <w:rPr>
          <w:bCs/>
          <w:iCs/>
          <w:sz w:val="20"/>
          <w:szCs w:val="20"/>
        </w:rPr>
        <w:t>K</w:t>
      </w:r>
      <w:r w:rsidR="001A60CC" w:rsidRPr="00A61A2B">
        <w:rPr>
          <w:bCs/>
          <w:iCs/>
          <w:sz w:val="20"/>
          <w:szCs w:val="20"/>
        </w:rPr>
        <w:t xml:space="preserve">, </w:t>
      </w:r>
      <w:r w:rsidRPr="00A61A2B">
        <w:rPr>
          <w:bCs/>
          <w:iCs/>
          <w:sz w:val="20"/>
          <w:szCs w:val="20"/>
        </w:rPr>
        <w:t>Chakravarty</w:t>
      </w:r>
      <w:r w:rsidR="001A60CC" w:rsidRPr="00A61A2B">
        <w:rPr>
          <w:bCs/>
          <w:iCs/>
          <w:sz w:val="20"/>
          <w:szCs w:val="20"/>
        </w:rPr>
        <w:t xml:space="preserve"> </w:t>
      </w:r>
      <w:r w:rsidRPr="00A61A2B">
        <w:rPr>
          <w:bCs/>
          <w:iCs/>
          <w:sz w:val="20"/>
          <w:szCs w:val="20"/>
        </w:rPr>
        <w:t>B.</w:t>
      </w:r>
      <w:r w:rsidR="001A60CC" w:rsidRPr="00A61A2B">
        <w:rPr>
          <w:bCs/>
          <w:iCs/>
          <w:sz w:val="20"/>
          <w:szCs w:val="20"/>
        </w:rPr>
        <w:t xml:space="preserve"> </w:t>
      </w:r>
      <w:r w:rsidRPr="00A61A2B">
        <w:rPr>
          <w:bCs/>
          <w:iCs/>
          <w:sz w:val="20"/>
          <w:szCs w:val="20"/>
        </w:rPr>
        <w:t>Comparison</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oral</w:t>
      </w:r>
      <w:r w:rsidR="001A60CC" w:rsidRPr="00A61A2B">
        <w:rPr>
          <w:bCs/>
          <w:iCs/>
          <w:sz w:val="20"/>
          <w:szCs w:val="20"/>
        </w:rPr>
        <w:t xml:space="preserve"> </w:t>
      </w:r>
      <w:r w:rsidRPr="00A61A2B">
        <w:rPr>
          <w:bCs/>
          <w:iCs/>
          <w:sz w:val="20"/>
          <w:szCs w:val="20"/>
        </w:rPr>
        <w:t>dydrogestrone</w:t>
      </w:r>
      <w:r w:rsidR="001A60CC" w:rsidRPr="00A61A2B">
        <w:rPr>
          <w:bCs/>
          <w:iCs/>
          <w:sz w:val="20"/>
          <w:szCs w:val="20"/>
        </w:rPr>
        <w:t xml:space="preserve"> </w:t>
      </w:r>
      <w:r w:rsidRPr="00A61A2B">
        <w:rPr>
          <w:bCs/>
          <w:iCs/>
          <w:sz w:val="20"/>
          <w:szCs w:val="20"/>
        </w:rPr>
        <w:t>with</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gel</w:t>
      </w:r>
      <w:r w:rsidR="001A60CC" w:rsidRPr="00A61A2B">
        <w:rPr>
          <w:bCs/>
          <w:iCs/>
          <w:sz w:val="20"/>
          <w:szCs w:val="20"/>
        </w:rPr>
        <w:t xml:space="preserve"> </w:t>
      </w:r>
      <w:r w:rsidRPr="00A61A2B">
        <w:rPr>
          <w:bCs/>
          <w:iCs/>
          <w:sz w:val="20"/>
          <w:szCs w:val="20"/>
        </w:rPr>
        <w:t>and</w:t>
      </w:r>
      <w:r w:rsidR="001A60CC" w:rsidRPr="00A61A2B">
        <w:rPr>
          <w:bCs/>
          <w:iCs/>
          <w:sz w:val="20"/>
          <w:szCs w:val="20"/>
        </w:rPr>
        <w:t xml:space="preserve"> </w:t>
      </w:r>
      <w:r w:rsidRPr="00A61A2B">
        <w:rPr>
          <w:bCs/>
          <w:iCs/>
          <w:sz w:val="20"/>
          <w:szCs w:val="20"/>
        </w:rPr>
        <w:t>micronized</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for</w:t>
      </w:r>
      <w:r w:rsidR="001A60CC" w:rsidRPr="00A61A2B">
        <w:rPr>
          <w:bCs/>
          <w:iCs/>
          <w:sz w:val="20"/>
          <w:szCs w:val="20"/>
        </w:rPr>
        <w:t xml:space="preserve"> </w:t>
      </w:r>
      <w:r w:rsidRPr="00A61A2B">
        <w:rPr>
          <w:bCs/>
          <w:iCs/>
          <w:sz w:val="20"/>
          <w:szCs w:val="20"/>
        </w:rPr>
        <w:t>luteal</w:t>
      </w:r>
      <w:r w:rsidR="001A60CC" w:rsidRPr="00A61A2B">
        <w:rPr>
          <w:bCs/>
          <w:iCs/>
          <w:sz w:val="20"/>
          <w:szCs w:val="20"/>
        </w:rPr>
        <w:t xml:space="preserve"> </w:t>
      </w:r>
      <w:r w:rsidRPr="00A61A2B">
        <w:rPr>
          <w:bCs/>
          <w:iCs/>
          <w:sz w:val="20"/>
          <w:szCs w:val="20"/>
        </w:rPr>
        <w:t>support</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1,373</w:t>
      </w:r>
      <w:r w:rsidR="001A60CC" w:rsidRPr="00A61A2B">
        <w:rPr>
          <w:bCs/>
          <w:iCs/>
          <w:sz w:val="20"/>
          <w:szCs w:val="20"/>
        </w:rPr>
        <w:t xml:space="preserve"> </w:t>
      </w:r>
      <w:r w:rsidRPr="00A61A2B">
        <w:rPr>
          <w:bCs/>
          <w:iCs/>
          <w:sz w:val="20"/>
          <w:szCs w:val="20"/>
        </w:rPr>
        <w:t>women</w:t>
      </w:r>
      <w:r w:rsidR="001A60CC" w:rsidRPr="00A61A2B">
        <w:rPr>
          <w:bCs/>
          <w:iCs/>
          <w:sz w:val="20"/>
          <w:szCs w:val="20"/>
        </w:rPr>
        <w:t xml:space="preserve"> </w:t>
      </w:r>
      <w:r w:rsidRPr="00A61A2B">
        <w:rPr>
          <w:bCs/>
          <w:iCs/>
          <w:sz w:val="20"/>
          <w:szCs w:val="20"/>
        </w:rPr>
        <w:t>undergoing</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vitro</w:t>
      </w:r>
      <w:r w:rsidR="001A60CC" w:rsidRPr="00A61A2B">
        <w:rPr>
          <w:bCs/>
          <w:iCs/>
          <w:sz w:val="20"/>
          <w:szCs w:val="20"/>
        </w:rPr>
        <w:t xml:space="preserve"> </w:t>
      </w:r>
      <w:r w:rsidRPr="00A61A2B">
        <w:rPr>
          <w:bCs/>
          <w:iCs/>
          <w:sz w:val="20"/>
          <w:szCs w:val="20"/>
        </w:rPr>
        <w:t>fertilization:</w:t>
      </w:r>
      <w:r w:rsidR="001A60CC" w:rsidRPr="00A61A2B">
        <w:rPr>
          <w:bCs/>
          <w:iCs/>
          <w:sz w:val="20"/>
          <w:szCs w:val="20"/>
        </w:rPr>
        <w:t xml:space="preserve"> </w:t>
      </w:r>
      <w:r w:rsidRPr="00A61A2B">
        <w:rPr>
          <w:bCs/>
          <w:iCs/>
          <w:sz w:val="20"/>
          <w:szCs w:val="20"/>
        </w:rPr>
        <w:t>a</w:t>
      </w:r>
      <w:r w:rsidR="001A60CC" w:rsidRPr="00A61A2B">
        <w:rPr>
          <w:bCs/>
          <w:iCs/>
          <w:sz w:val="20"/>
          <w:szCs w:val="20"/>
        </w:rPr>
        <w:t xml:space="preserve"> </w:t>
      </w:r>
      <w:r w:rsidRPr="00A61A2B">
        <w:rPr>
          <w:bCs/>
          <w:iCs/>
          <w:sz w:val="20"/>
          <w:szCs w:val="20"/>
        </w:rPr>
        <w:t>randomized</w:t>
      </w:r>
      <w:r w:rsidR="001A60CC" w:rsidRPr="00A61A2B">
        <w:rPr>
          <w:bCs/>
          <w:iCs/>
          <w:sz w:val="20"/>
          <w:szCs w:val="20"/>
        </w:rPr>
        <w:t xml:space="preserve"> </w:t>
      </w:r>
      <w:r w:rsidRPr="00A61A2B">
        <w:rPr>
          <w:bCs/>
          <w:iCs/>
          <w:sz w:val="20"/>
          <w:szCs w:val="20"/>
        </w:rPr>
        <w:t>clinical</w:t>
      </w:r>
      <w:r w:rsidR="001A60CC" w:rsidRPr="00A61A2B">
        <w:rPr>
          <w:bCs/>
          <w:iCs/>
          <w:sz w:val="20"/>
          <w:szCs w:val="20"/>
        </w:rPr>
        <w:t xml:space="preserve"> </w:t>
      </w:r>
      <w:r w:rsidRPr="00A61A2B">
        <w:rPr>
          <w:bCs/>
          <w:iCs/>
          <w:sz w:val="20"/>
          <w:szCs w:val="20"/>
        </w:rPr>
        <w:t>study.</w:t>
      </w:r>
      <w:r w:rsidR="001A60CC" w:rsidRPr="00A61A2B">
        <w:rPr>
          <w:bCs/>
          <w:iCs/>
          <w:sz w:val="20"/>
          <w:szCs w:val="20"/>
        </w:rPr>
        <w:t xml:space="preserve"> </w:t>
      </w:r>
      <w:r w:rsidRPr="00A61A2B">
        <w:rPr>
          <w:bCs/>
          <w:iCs/>
          <w:sz w:val="20"/>
          <w:szCs w:val="20"/>
        </w:rPr>
        <w:lastRenderedPageBreak/>
        <w:t>Ferti</w:t>
      </w:r>
      <w:r w:rsidR="006E05CF" w:rsidRPr="00A61A2B">
        <w:rPr>
          <w:bCs/>
          <w:iCs/>
          <w:sz w:val="20"/>
          <w:szCs w:val="20"/>
        </w:rPr>
        <w:t>l S</w:t>
      </w:r>
      <w:r w:rsidRPr="00A61A2B">
        <w:rPr>
          <w:bCs/>
          <w:iCs/>
          <w:sz w:val="20"/>
          <w:szCs w:val="20"/>
        </w:rPr>
        <w:t>teril.2011;95(6):1961-1965.</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Chakravarty</w:t>
      </w:r>
      <w:r w:rsidR="001A60CC" w:rsidRPr="00A61A2B">
        <w:rPr>
          <w:bCs/>
          <w:iCs/>
          <w:sz w:val="20"/>
          <w:szCs w:val="20"/>
        </w:rPr>
        <w:t xml:space="preserve"> </w:t>
      </w:r>
      <w:r w:rsidRPr="00A61A2B">
        <w:rPr>
          <w:bCs/>
          <w:iCs/>
          <w:sz w:val="20"/>
          <w:szCs w:val="20"/>
        </w:rPr>
        <w:t>BN,</w:t>
      </w:r>
      <w:r w:rsidR="001A60CC" w:rsidRPr="00A61A2B">
        <w:rPr>
          <w:bCs/>
          <w:iCs/>
          <w:sz w:val="20"/>
          <w:szCs w:val="20"/>
        </w:rPr>
        <w:t xml:space="preserve"> </w:t>
      </w:r>
      <w:r w:rsidRPr="00A61A2B">
        <w:rPr>
          <w:bCs/>
          <w:iCs/>
          <w:sz w:val="20"/>
          <w:szCs w:val="20"/>
        </w:rPr>
        <w:t>Shirazee</w:t>
      </w:r>
      <w:r w:rsidR="001A60CC" w:rsidRPr="00A61A2B">
        <w:rPr>
          <w:bCs/>
          <w:iCs/>
          <w:sz w:val="20"/>
          <w:szCs w:val="20"/>
        </w:rPr>
        <w:t xml:space="preserve"> </w:t>
      </w:r>
      <w:r w:rsidRPr="00A61A2B">
        <w:rPr>
          <w:bCs/>
          <w:iCs/>
          <w:sz w:val="20"/>
          <w:szCs w:val="20"/>
        </w:rPr>
        <w:t>HH,</w:t>
      </w:r>
      <w:r w:rsidR="001A60CC" w:rsidRPr="00A61A2B">
        <w:rPr>
          <w:bCs/>
          <w:iCs/>
          <w:sz w:val="20"/>
          <w:szCs w:val="20"/>
        </w:rPr>
        <w:t xml:space="preserve"> </w:t>
      </w:r>
      <w:r w:rsidRPr="00A61A2B">
        <w:rPr>
          <w:bCs/>
          <w:iCs/>
          <w:sz w:val="20"/>
          <w:szCs w:val="20"/>
        </w:rPr>
        <w:t>Dam</w:t>
      </w:r>
      <w:r w:rsidR="001A60CC" w:rsidRPr="00A61A2B">
        <w:rPr>
          <w:bCs/>
          <w:iCs/>
          <w:sz w:val="20"/>
          <w:szCs w:val="20"/>
        </w:rPr>
        <w:t xml:space="preserve"> </w:t>
      </w:r>
      <w:r w:rsidRPr="00A61A2B">
        <w:rPr>
          <w:bCs/>
          <w:iCs/>
          <w:sz w:val="20"/>
          <w:szCs w:val="20"/>
        </w:rPr>
        <w:t>P,</w:t>
      </w:r>
      <w:r w:rsidR="001A60CC" w:rsidRPr="00A61A2B">
        <w:rPr>
          <w:bCs/>
          <w:iCs/>
          <w:sz w:val="20"/>
          <w:szCs w:val="20"/>
        </w:rPr>
        <w:t xml:space="preserve"> </w:t>
      </w:r>
      <w:r w:rsidRPr="00A61A2B">
        <w:rPr>
          <w:bCs/>
          <w:iCs/>
          <w:sz w:val="20"/>
          <w:szCs w:val="20"/>
        </w:rPr>
        <w:t>Goswami</w:t>
      </w:r>
      <w:r w:rsidR="001A60CC" w:rsidRPr="00A61A2B">
        <w:rPr>
          <w:bCs/>
          <w:iCs/>
          <w:sz w:val="20"/>
          <w:szCs w:val="20"/>
        </w:rPr>
        <w:t xml:space="preserve"> </w:t>
      </w:r>
      <w:r w:rsidRPr="00A61A2B">
        <w:rPr>
          <w:bCs/>
          <w:iCs/>
          <w:sz w:val="20"/>
          <w:szCs w:val="20"/>
        </w:rPr>
        <w:t>SK,</w:t>
      </w:r>
      <w:r w:rsidR="001A60CC" w:rsidRPr="00A61A2B">
        <w:rPr>
          <w:bCs/>
          <w:iCs/>
          <w:sz w:val="20"/>
          <w:szCs w:val="20"/>
        </w:rPr>
        <w:t xml:space="preserve"> </w:t>
      </w:r>
      <w:r w:rsidRPr="00A61A2B">
        <w:rPr>
          <w:bCs/>
          <w:iCs/>
          <w:sz w:val="20"/>
          <w:szCs w:val="20"/>
        </w:rPr>
        <w:t>Chatterje</w:t>
      </w:r>
      <w:r w:rsidR="006E05CF" w:rsidRPr="00A61A2B">
        <w:rPr>
          <w:bCs/>
          <w:iCs/>
          <w:sz w:val="20"/>
          <w:szCs w:val="20"/>
        </w:rPr>
        <w:t>e R, G</w:t>
      </w:r>
      <w:r w:rsidRPr="00A61A2B">
        <w:rPr>
          <w:bCs/>
          <w:iCs/>
          <w:sz w:val="20"/>
          <w:szCs w:val="20"/>
        </w:rPr>
        <w:t>hos</w:t>
      </w:r>
      <w:r w:rsidR="006E05CF" w:rsidRPr="00A61A2B">
        <w:rPr>
          <w:bCs/>
          <w:iCs/>
          <w:sz w:val="20"/>
          <w:szCs w:val="20"/>
        </w:rPr>
        <w:t>h S</w:t>
      </w:r>
      <w:r w:rsidRPr="00A61A2B">
        <w:rPr>
          <w:bCs/>
          <w:iCs/>
          <w:sz w:val="20"/>
          <w:szCs w:val="20"/>
        </w:rPr>
        <w:t>.</w:t>
      </w:r>
      <w:r w:rsidR="001A60CC" w:rsidRPr="00A61A2B">
        <w:rPr>
          <w:bCs/>
          <w:iCs/>
          <w:sz w:val="20"/>
          <w:szCs w:val="20"/>
        </w:rPr>
        <w:t xml:space="preserve"> </w:t>
      </w:r>
      <w:r w:rsidRPr="00A61A2B">
        <w:rPr>
          <w:bCs/>
          <w:iCs/>
          <w:sz w:val="20"/>
          <w:szCs w:val="20"/>
        </w:rPr>
        <w:t>Oral</w:t>
      </w:r>
      <w:r w:rsidR="001A60CC" w:rsidRPr="00A61A2B">
        <w:rPr>
          <w:bCs/>
          <w:iCs/>
          <w:sz w:val="20"/>
          <w:szCs w:val="20"/>
        </w:rPr>
        <w:t xml:space="preserve"> </w:t>
      </w:r>
      <w:r w:rsidRPr="00A61A2B">
        <w:rPr>
          <w:bCs/>
          <w:iCs/>
          <w:sz w:val="20"/>
          <w:szCs w:val="20"/>
        </w:rPr>
        <w:t>dydrogesterone</w:t>
      </w:r>
      <w:r w:rsidR="001A60CC" w:rsidRPr="00A61A2B">
        <w:rPr>
          <w:bCs/>
          <w:iCs/>
          <w:sz w:val="20"/>
          <w:szCs w:val="20"/>
        </w:rPr>
        <w:t xml:space="preserve"> </w:t>
      </w:r>
      <w:r w:rsidRPr="00A61A2B">
        <w:rPr>
          <w:bCs/>
          <w:iCs/>
          <w:sz w:val="20"/>
          <w:szCs w:val="20"/>
        </w:rPr>
        <w:t>versus</w:t>
      </w:r>
      <w:r w:rsidR="001A60CC" w:rsidRPr="00A61A2B">
        <w:rPr>
          <w:bCs/>
          <w:iCs/>
          <w:sz w:val="20"/>
          <w:szCs w:val="20"/>
        </w:rPr>
        <w:t xml:space="preserve"> </w:t>
      </w:r>
      <w:r w:rsidRPr="00A61A2B">
        <w:rPr>
          <w:bCs/>
          <w:iCs/>
          <w:sz w:val="20"/>
          <w:szCs w:val="20"/>
        </w:rPr>
        <w:t>intravaginalmicronised</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as</w:t>
      </w:r>
      <w:r w:rsidR="001A60CC" w:rsidRPr="00A61A2B">
        <w:rPr>
          <w:bCs/>
          <w:iCs/>
          <w:sz w:val="20"/>
          <w:szCs w:val="20"/>
        </w:rPr>
        <w:t xml:space="preserve"> </w:t>
      </w:r>
      <w:r w:rsidRPr="00A61A2B">
        <w:rPr>
          <w:bCs/>
          <w:iCs/>
          <w:sz w:val="20"/>
          <w:szCs w:val="20"/>
        </w:rPr>
        <w:t>luteal</w:t>
      </w:r>
      <w:r w:rsidR="001A60CC" w:rsidRPr="00A61A2B">
        <w:rPr>
          <w:bCs/>
          <w:iCs/>
          <w:sz w:val="20"/>
          <w:szCs w:val="20"/>
        </w:rPr>
        <w:t xml:space="preserve"> </w:t>
      </w:r>
      <w:r w:rsidRPr="00A61A2B">
        <w:rPr>
          <w:bCs/>
          <w:iCs/>
          <w:sz w:val="20"/>
          <w:szCs w:val="20"/>
        </w:rPr>
        <w:t>phase</w:t>
      </w:r>
      <w:r w:rsidR="00A61A2B">
        <w:rPr>
          <w:rFonts w:eastAsiaTheme="minorEastAsia" w:hint="eastAsia"/>
          <w:bCs/>
          <w:iCs/>
          <w:sz w:val="20"/>
          <w:szCs w:val="20"/>
          <w:lang w:eastAsia="zh-CN"/>
        </w:rPr>
        <w:t xml:space="preserve"> </w:t>
      </w:r>
      <w:r w:rsidRPr="00A61A2B">
        <w:rPr>
          <w:bCs/>
          <w:iCs/>
          <w:sz w:val="20"/>
          <w:szCs w:val="20"/>
        </w:rPr>
        <w:t>support</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assisted</w:t>
      </w:r>
      <w:r w:rsidR="001A60CC" w:rsidRPr="00A61A2B">
        <w:rPr>
          <w:bCs/>
          <w:iCs/>
          <w:sz w:val="20"/>
          <w:szCs w:val="20"/>
        </w:rPr>
        <w:t xml:space="preserve"> </w:t>
      </w:r>
      <w:r w:rsidRPr="00A61A2B">
        <w:rPr>
          <w:bCs/>
          <w:iCs/>
          <w:sz w:val="20"/>
          <w:szCs w:val="20"/>
        </w:rPr>
        <w:t>reproductive</w:t>
      </w:r>
      <w:r w:rsidR="001A60CC" w:rsidRPr="00A61A2B">
        <w:rPr>
          <w:bCs/>
          <w:iCs/>
          <w:sz w:val="20"/>
          <w:szCs w:val="20"/>
        </w:rPr>
        <w:t xml:space="preserve"> </w:t>
      </w:r>
      <w:r w:rsidRPr="00A61A2B">
        <w:rPr>
          <w:bCs/>
          <w:iCs/>
          <w:sz w:val="20"/>
          <w:szCs w:val="20"/>
        </w:rPr>
        <w:t>technology</w:t>
      </w:r>
      <w:r w:rsidR="001A60CC" w:rsidRPr="00A61A2B">
        <w:rPr>
          <w:bCs/>
          <w:iCs/>
          <w:sz w:val="20"/>
          <w:szCs w:val="20"/>
        </w:rPr>
        <w:t xml:space="preserve"> </w:t>
      </w:r>
      <w:r w:rsidRPr="00A61A2B">
        <w:rPr>
          <w:bCs/>
          <w:iCs/>
          <w:sz w:val="20"/>
          <w:szCs w:val="20"/>
        </w:rPr>
        <w:t>(ART)</w:t>
      </w:r>
      <w:r w:rsidR="001A60CC" w:rsidRPr="00A61A2B">
        <w:rPr>
          <w:bCs/>
          <w:iCs/>
          <w:sz w:val="20"/>
          <w:szCs w:val="20"/>
        </w:rPr>
        <w:t xml:space="preserve"> </w:t>
      </w:r>
      <w:r w:rsidRPr="00A61A2B">
        <w:rPr>
          <w:bCs/>
          <w:iCs/>
          <w:sz w:val="20"/>
          <w:szCs w:val="20"/>
        </w:rPr>
        <w:t>cycles:</w:t>
      </w:r>
      <w:r w:rsidR="001A60CC" w:rsidRPr="00A61A2B">
        <w:rPr>
          <w:bCs/>
          <w:iCs/>
          <w:sz w:val="20"/>
          <w:szCs w:val="20"/>
        </w:rPr>
        <w:t xml:space="preserve"> </w:t>
      </w:r>
      <w:r w:rsidRPr="00A61A2B">
        <w:rPr>
          <w:bCs/>
          <w:iCs/>
          <w:sz w:val="20"/>
          <w:szCs w:val="20"/>
        </w:rPr>
        <w:t>results</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a</w:t>
      </w:r>
      <w:r w:rsidR="001A60CC" w:rsidRPr="00A61A2B">
        <w:rPr>
          <w:bCs/>
          <w:iCs/>
          <w:sz w:val="20"/>
          <w:szCs w:val="20"/>
        </w:rPr>
        <w:t xml:space="preserve"> </w:t>
      </w:r>
      <w:r w:rsidRPr="00A61A2B">
        <w:rPr>
          <w:bCs/>
          <w:iCs/>
          <w:sz w:val="20"/>
          <w:szCs w:val="20"/>
        </w:rPr>
        <w:t>randomised</w:t>
      </w:r>
      <w:r w:rsidR="001A60CC" w:rsidRPr="00A61A2B">
        <w:rPr>
          <w:bCs/>
          <w:iCs/>
          <w:sz w:val="20"/>
          <w:szCs w:val="20"/>
        </w:rPr>
        <w:t xml:space="preserve"> </w:t>
      </w:r>
      <w:r w:rsidRPr="00A61A2B">
        <w:rPr>
          <w:bCs/>
          <w:iCs/>
          <w:sz w:val="20"/>
          <w:szCs w:val="20"/>
        </w:rPr>
        <w:t>study.</w:t>
      </w:r>
      <w:r w:rsidR="001A60CC" w:rsidRPr="00A61A2B">
        <w:rPr>
          <w:bCs/>
          <w:iCs/>
          <w:sz w:val="20"/>
          <w:szCs w:val="20"/>
        </w:rPr>
        <w:t xml:space="preserve"> </w:t>
      </w:r>
      <w:r w:rsidRPr="00A61A2B">
        <w:rPr>
          <w:bCs/>
          <w:iCs/>
          <w:sz w:val="20"/>
          <w:szCs w:val="20"/>
        </w:rPr>
        <w:t>J</w:t>
      </w:r>
      <w:r w:rsidR="001A60CC" w:rsidRPr="00A61A2B">
        <w:rPr>
          <w:bCs/>
          <w:iCs/>
          <w:sz w:val="20"/>
          <w:szCs w:val="20"/>
        </w:rPr>
        <w:t xml:space="preserve"> </w:t>
      </w:r>
      <w:r w:rsidRPr="00A61A2B">
        <w:rPr>
          <w:bCs/>
          <w:iCs/>
          <w:sz w:val="20"/>
          <w:szCs w:val="20"/>
        </w:rPr>
        <w:t>Steroid</w:t>
      </w:r>
      <w:r w:rsidR="001A60CC" w:rsidRPr="00A61A2B">
        <w:rPr>
          <w:bCs/>
          <w:iCs/>
          <w:sz w:val="20"/>
          <w:szCs w:val="20"/>
        </w:rPr>
        <w:t xml:space="preserve"> </w:t>
      </w:r>
      <w:r w:rsidRPr="00A61A2B">
        <w:rPr>
          <w:bCs/>
          <w:iCs/>
          <w:sz w:val="20"/>
          <w:szCs w:val="20"/>
        </w:rPr>
        <w:t>Bioche</w:t>
      </w:r>
      <w:r w:rsidR="006E05CF" w:rsidRPr="00A61A2B">
        <w:rPr>
          <w:bCs/>
          <w:iCs/>
          <w:sz w:val="20"/>
          <w:szCs w:val="20"/>
        </w:rPr>
        <w:t>m M</w:t>
      </w:r>
      <w:r w:rsidRPr="00A61A2B">
        <w:rPr>
          <w:bCs/>
          <w:iCs/>
          <w:sz w:val="20"/>
          <w:szCs w:val="20"/>
        </w:rPr>
        <w:t>ol</w:t>
      </w:r>
      <w:r w:rsidR="001A60CC" w:rsidRPr="00A61A2B">
        <w:rPr>
          <w:bCs/>
          <w:iCs/>
          <w:sz w:val="20"/>
          <w:szCs w:val="20"/>
        </w:rPr>
        <w:t xml:space="preserve"> </w:t>
      </w:r>
      <w:r w:rsidRPr="00A61A2B">
        <w:rPr>
          <w:bCs/>
          <w:iCs/>
          <w:sz w:val="20"/>
          <w:szCs w:val="20"/>
        </w:rPr>
        <w:t>Biol.</w:t>
      </w:r>
      <w:r w:rsidR="00A61A2B">
        <w:rPr>
          <w:rFonts w:eastAsiaTheme="minorEastAsia" w:hint="eastAsia"/>
          <w:bCs/>
          <w:iCs/>
          <w:sz w:val="20"/>
          <w:szCs w:val="20"/>
          <w:lang w:eastAsia="zh-CN"/>
        </w:rPr>
        <w:t xml:space="preserve"> </w:t>
      </w:r>
      <w:r w:rsidRPr="00A61A2B">
        <w:rPr>
          <w:bCs/>
          <w:iCs/>
          <w:sz w:val="20"/>
          <w:szCs w:val="20"/>
        </w:rPr>
        <w:t>2005;97(5):416-420.</w:t>
      </w:r>
    </w:p>
    <w:p w:rsidR="009A553D"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Tomic</w:t>
      </w:r>
      <w:r w:rsidR="001A60CC" w:rsidRPr="00A61A2B">
        <w:rPr>
          <w:bCs/>
          <w:iCs/>
          <w:sz w:val="20"/>
          <w:szCs w:val="20"/>
        </w:rPr>
        <w:t xml:space="preserve"> </w:t>
      </w:r>
      <w:r w:rsidRPr="00A61A2B">
        <w:rPr>
          <w:bCs/>
          <w:iCs/>
          <w:sz w:val="20"/>
          <w:szCs w:val="20"/>
        </w:rPr>
        <w:t>V,</w:t>
      </w:r>
      <w:r w:rsidR="001A60CC" w:rsidRPr="00A61A2B">
        <w:rPr>
          <w:bCs/>
          <w:iCs/>
          <w:sz w:val="20"/>
          <w:szCs w:val="20"/>
        </w:rPr>
        <w:t xml:space="preserve"> </w:t>
      </w:r>
      <w:r w:rsidRPr="00A61A2B">
        <w:rPr>
          <w:bCs/>
          <w:iCs/>
          <w:sz w:val="20"/>
          <w:szCs w:val="20"/>
        </w:rPr>
        <w:t>Tomic</w:t>
      </w:r>
      <w:r w:rsidR="001A60CC" w:rsidRPr="00A61A2B">
        <w:rPr>
          <w:bCs/>
          <w:iCs/>
          <w:sz w:val="20"/>
          <w:szCs w:val="20"/>
        </w:rPr>
        <w:t xml:space="preserve"> </w:t>
      </w:r>
      <w:r w:rsidRPr="00A61A2B">
        <w:rPr>
          <w:bCs/>
          <w:iCs/>
          <w:sz w:val="20"/>
          <w:szCs w:val="20"/>
        </w:rPr>
        <w:t>J,</w:t>
      </w:r>
      <w:r w:rsidR="001A60CC" w:rsidRPr="00A61A2B">
        <w:rPr>
          <w:bCs/>
          <w:iCs/>
          <w:sz w:val="20"/>
          <w:szCs w:val="20"/>
        </w:rPr>
        <w:t xml:space="preserve"> </w:t>
      </w:r>
      <w:r w:rsidRPr="00A61A2B">
        <w:rPr>
          <w:bCs/>
          <w:iCs/>
          <w:sz w:val="20"/>
          <w:szCs w:val="20"/>
        </w:rPr>
        <w:t>Klaic</w:t>
      </w:r>
      <w:r w:rsidR="001A60CC" w:rsidRPr="00A61A2B">
        <w:rPr>
          <w:bCs/>
          <w:iCs/>
          <w:sz w:val="20"/>
          <w:szCs w:val="20"/>
        </w:rPr>
        <w:t xml:space="preserve"> </w:t>
      </w:r>
      <w:r w:rsidRPr="00A61A2B">
        <w:rPr>
          <w:bCs/>
          <w:iCs/>
          <w:sz w:val="20"/>
          <w:szCs w:val="20"/>
        </w:rPr>
        <w:t>DZ,</w:t>
      </w:r>
      <w:r w:rsidR="001A60CC" w:rsidRPr="00A61A2B">
        <w:rPr>
          <w:bCs/>
          <w:iCs/>
          <w:sz w:val="20"/>
          <w:szCs w:val="20"/>
        </w:rPr>
        <w:t xml:space="preserve"> </w:t>
      </w:r>
      <w:r w:rsidRPr="00A61A2B">
        <w:rPr>
          <w:bCs/>
          <w:iCs/>
          <w:sz w:val="20"/>
          <w:szCs w:val="20"/>
        </w:rPr>
        <w:t>Kasu</w:t>
      </w:r>
      <w:r w:rsidR="006E05CF" w:rsidRPr="00A61A2B">
        <w:rPr>
          <w:bCs/>
          <w:iCs/>
          <w:sz w:val="20"/>
          <w:szCs w:val="20"/>
        </w:rPr>
        <w:t>m M</w:t>
      </w:r>
      <w:r w:rsidR="001A60CC" w:rsidRPr="00A61A2B">
        <w:rPr>
          <w:bCs/>
          <w:iCs/>
          <w:sz w:val="20"/>
          <w:szCs w:val="20"/>
        </w:rPr>
        <w:t xml:space="preserve">, </w:t>
      </w:r>
      <w:r w:rsidRPr="00A61A2B">
        <w:rPr>
          <w:bCs/>
          <w:iCs/>
          <w:sz w:val="20"/>
          <w:szCs w:val="20"/>
        </w:rPr>
        <w:t>Kuna</w:t>
      </w:r>
      <w:r w:rsidR="001A60CC" w:rsidRPr="00A61A2B">
        <w:rPr>
          <w:bCs/>
          <w:iCs/>
          <w:sz w:val="20"/>
          <w:szCs w:val="20"/>
        </w:rPr>
        <w:t xml:space="preserve"> </w:t>
      </w:r>
      <w:r w:rsidRPr="00A61A2B">
        <w:rPr>
          <w:bCs/>
          <w:iCs/>
          <w:sz w:val="20"/>
          <w:szCs w:val="20"/>
        </w:rPr>
        <w:lastRenderedPageBreak/>
        <w:t>K.</w:t>
      </w:r>
      <w:r w:rsidR="001A60CC" w:rsidRPr="00A61A2B">
        <w:rPr>
          <w:bCs/>
          <w:iCs/>
          <w:sz w:val="20"/>
          <w:szCs w:val="20"/>
        </w:rPr>
        <w:t xml:space="preserve"> </w:t>
      </w:r>
      <w:r w:rsidRPr="00A61A2B">
        <w:rPr>
          <w:bCs/>
          <w:iCs/>
          <w:sz w:val="20"/>
          <w:szCs w:val="20"/>
        </w:rPr>
        <w:t>Oral</w:t>
      </w:r>
      <w:r w:rsidR="001A60CC" w:rsidRPr="00A61A2B">
        <w:rPr>
          <w:bCs/>
          <w:iCs/>
          <w:sz w:val="20"/>
          <w:szCs w:val="20"/>
        </w:rPr>
        <w:t xml:space="preserve"> </w:t>
      </w:r>
      <w:r w:rsidRPr="00A61A2B">
        <w:rPr>
          <w:bCs/>
          <w:iCs/>
          <w:sz w:val="20"/>
          <w:szCs w:val="20"/>
        </w:rPr>
        <w:t>dydrogesterone</w:t>
      </w:r>
      <w:r w:rsidR="001A60CC" w:rsidRPr="00A61A2B">
        <w:rPr>
          <w:bCs/>
          <w:iCs/>
          <w:sz w:val="20"/>
          <w:szCs w:val="20"/>
        </w:rPr>
        <w:t xml:space="preserve"> </w:t>
      </w:r>
      <w:r w:rsidRPr="00A61A2B">
        <w:rPr>
          <w:bCs/>
          <w:iCs/>
          <w:sz w:val="20"/>
          <w:szCs w:val="20"/>
        </w:rPr>
        <w:t>versus</w:t>
      </w:r>
      <w:r w:rsidR="001A60CC" w:rsidRPr="00A61A2B">
        <w:rPr>
          <w:bCs/>
          <w:iCs/>
          <w:sz w:val="20"/>
          <w:szCs w:val="20"/>
        </w:rPr>
        <w:t xml:space="preserve"> </w:t>
      </w:r>
      <w:r w:rsidRPr="00A61A2B">
        <w:rPr>
          <w:bCs/>
          <w:iCs/>
          <w:sz w:val="20"/>
          <w:szCs w:val="20"/>
        </w:rPr>
        <w:t>vaginal</w:t>
      </w:r>
      <w:r w:rsidR="001A60CC" w:rsidRPr="00A61A2B">
        <w:rPr>
          <w:bCs/>
          <w:iCs/>
          <w:sz w:val="20"/>
          <w:szCs w:val="20"/>
        </w:rPr>
        <w:t xml:space="preserve"> </w:t>
      </w:r>
      <w:r w:rsidRPr="00A61A2B">
        <w:rPr>
          <w:bCs/>
          <w:iCs/>
          <w:sz w:val="20"/>
          <w:szCs w:val="20"/>
        </w:rPr>
        <w:t>progesterone</w:t>
      </w:r>
      <w:r w:rsidR="001A60CC" w:rsidRPr="00A61A2B">
        <w:rPr>
          <w:bCs/>
          <w:iCs/>
          <w:sz w:val="20"/>
          <w:szCs w:val="20"/>
        </w:rPr>
        <w:t xml:space="preserve"> </w:t>
      </w:r>
      <w:r w:rsidRPr="00A61A2B">
        <w:rPr>
          <w:bCs/>
          <w:iCs/>
          <w:sz w:val="20"/>
          <w:szCs w:val="20"/>
        </w:rPr>
        <w:t>gel</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the</w:t>
      </w:r>
      <w:r w:rsidR="001A60CC" w:rsidRPr="00A61A2B">
        <w:rPr>
          <w:bCs/>
          <w:iCs/>
          <w:sz w:val="20"/>
          <w:szCs w:val="20"/>
        </w:rPr>
        <w:t xml:space="preserve"> </w:t>
      </w:r>
      <w:r w:rsidRPr="00A61A2B">
        <w:rPr>
          <w:bCs/>
          <w:iCs/>
          <w:sz w:val="20"/>
          <w:szCs w:val="20"/>
        </w:rPr>
        <w:t>luteal</w:t>
      </w:r>
      <w:r w:rsidR="001A60CC" w:rsidRPr="00A61A2B">
        <w:rPr>
          <w:bCs/>
          <w:iCs/>
          <w:sz w:val="20"/>
          <w:szCs w:val="20"/>
        </w:rPr>
        <w:t xml:space="preserve"> </w:t>
      </w:r>
      <w:r w:rsidRPr="00A61A2B">
        <w:rPr>
          <w:bCs/>
          <w:iCs/>
          <w:sz w:val="20"/>
          <w:szCs w:val="20"/>
        </w:rPr>
        <w:t>phase</w:t>
      </w:r>
      <w:r w:rsidR="001A60CC" w:rsidRPr="00A61A2B">
        <w:rPr>
          <w:bCs/>
          <w:iCs/>
          <w:sz w:val="20"/>
          <w:szCs w:val="20"/>
        </w:rPr>
        <w:t xml:space="preserve"> </w:t>
      </w:r>
      <w:r w:rsidRPr="00A61A2B">
        <w:rPr>
          <w:bCs/>
          <w:iCs/>
          <w:sz w:val="20"/>
          <w:szCs w:val="20"/>
        </w:rPr>
        <w:t>support:</w:t>
      </w:r>
      <w:r w:rsidR="001A60CC" w:rsidRPr="00A61A2B">
        <w:rPr>
          <w:bCs/>
          <w:iCs/>
          <w:sz w:val="20"/>
          <w:szCs w:val="20"/>
        </w:rPr>
        <w:t xml:space="preserve"> </w:t>
      </w:r>
      <w:r w:rsidRPr="00A61A2B">
        <w:rPr>
          <w:bCs/>
          <w:iCs/>
          <w:sz w:val="20"/>
          <w:szCs w:val="20"/>
        </w:rPr>
        <w:t>randomized</w:t>
      </w:r>
      <w:r w:rsidR="001A60CC" w:rsidRPr="00A61A2B">
        <w:rPr>
          <w:bCs/>
          <w:iCs/>
          <w:sz w:val="20"/>
          <w:szCs w:val="20"/>
        </w:rPr>
        <w:t xml:space="preserve"> </w:t>
      </w:r>
      <w:r w:rsidRPr="00A61A2B">
        <w:rPr>
          <w:bCs/>
          <w:iCs/>
          <w:sz w:val="20"/>
          <w:szCs w:val="20"/>
        </w:rPr>
        <w:t>controlled</w:t>
      </w:r>
      <w:r w:rsidR="001A60CC" w:rsidRPr="00A61A2B">
        <w:rPr>
          <w:bCs/>
          <w:iCs/>
          <w:sz w:val="20"/>
          <w:szCs w:val="20"/>
        </w:rPr>
        <w:t xml:space="preserve"> </w:t>
      </w:r>
      <w:r w:rsidRPr="00A61A2B">
        <w:rPr>
          <w:bCs/>
          <w:iCs/>
          <w:sz w:val="20"/>
          <w:szCs w:val="20"/>
        </w:rPr>
        <w:t>trial.</w:t>
      </w:r>
      <w:r w:rsidR="001A60CC" w:rsidRPr="00A61A2B">
        <w:rPr>
          <w:bCs/>
          <w:iCs/>
          <w:sz w:val="20"/>
          <w:szCs w:val="20"/>
        </w:rPr>
        <w:t xml:space="preserve"> </w:t>
      </w:r>
      <w:r w:rsidRPr="00A61A2B">
        <w:rPr>
          <w:bCs/>
          <w:iCs/>
          <w:sz w:val="20"/>
          <w:szCs w:val="20"/>
        </w:rPr>
        <w:t>Eu</w:t>
      </w:r>
      <w:r w:rsidR="006E05CF" w:rsidRPr="00A61A2B">
        <w:rPr>
          <w:bCs/>
          <w:iCs/>
          <w:sz w:val="20"/>
          <w:szCs w:val="20"/>
        </w:rPr>
        <w:t>r J</w:t>
      </w:r>
      <w:r w:rsidR="001A60CC" w:rsidRPr="00A61A2B">
        <w:rPr>
          <w:bCs/>
          <w:iCs/>
          <w:sz w:val="20"/>
          <w:szCs w:val="20"/>
        </w:rPr>
        <w:t xml:space="preserve"> </w:t>
      </w:r>
      <w:r w:rsidRPr="00A61A2B">
        <w:rPr>
          <w:bCs/>
          <w:iCs/>
          <w:sz w:val="20"/>
          <w:szCs w:val="20"/>
        </w:rPr>
        <w:t>Obste</w:t>
      </w:r>
      <w:r w:rsidR="006E05CF" w:rsidRPr="00A61A2B">
        <w:rPr>
          <w:bCs/>
          <w:iCs/>
          <w:sz w:val="20"/>
          <w:szCs w:val="20"/>
        </w:rPr>
        <w:t>t G</w:t>
      </w:r>
      <w:r w:rsidRPr="00A61A2B">
        <w:rPr>
          <w:bCs/>
          <w:iCs/>
          <w:sz w:val="20"/>
          <w:szCs w:val="20"/>
        </w:rPr>
        <w:t>yneco</w:t>
      </w:r>
      <w:r w:rsidR="006E05CF" w:rsidRPr="00A61A2B">
        <w:rPr>
          <w:bCs/>
          <w:iCs/>
          <w:sz w:val="20"/>
          <w:szCs w:val="20"/>
        </w:rPr>
        <w:t>l R</w:t>
      </w:r>
      <w:r w:rsidRPr="00A61A2B">
        <w:rPr>
          <w:bCs/>
          <w:iCs/>
          <w:sz w:val="20"/>
          <w:szCs w:val="20"/>
        </w:rPr>
        <w:t>eprod</w:t>
      </w:r>
      <w:r w:rsidR="001A60CC" w:rsidRPr="00A61A2B">
        <w:rPr>
          <w:bCs/>
          <w:iCs/>
          <w:sz w:val="20"/>
          <w:szCs w:val="20"/>
        </w:rPr>
        <w:t xml:space="preserve"> </w:t>
      </w:r>
      <w:r w:rsidRPr="00A61A2B">
        <w:rPr>
          <w:bCs/>
          <w:iCs/>
          <w:sz w:val="20"/>
          <w:szCs w:val="20"/>
        </w:rPr>
        <w:t>Biol.2015;18(6):49-53.</w:t>
      </w:r>
    </w:p>
    <w:p w:rsidR="00FE5D08" w:rsidRPr="00A61A2B" w:rsidRDefault="00EB655A" w:rsidP="00F22118">
      <w:pPr>
        <w:pStyle w:val="ListParagraph"/>
        <w:numPr>
          <w:ilvl w:val="0"/>
          <w:numId w:val="3"/>
        </w:numPr>
        <w:snapToGrid w:val="0"/>
        <w:ind w:left="425" w:hanging="425"/>
        <w:jc w:val="both"/>
        <w:rPr>
          <w:bCs/>
          <w:iCs/>
          <w:sz w:val="20"/>
          <w:szCs w:val="20"/>
        </w:rPr>
      </w:pPr>
      <w:r w:rsidRPr="00A61A2B">
        <w:rPr>
          <w:bCs/>
          <w:iCs/>
          <w:sz w:val="20"/>
          <w:szCs w:val="20"/>
        </w:rPr>
        <w:t>Patk</w:t>
      </w:r>
      <w:r w:rsidR="006E05CF" w:rsidRPr="00A61A2B">
        <w:rPr>
          <w:bCs/>
          <w:iCs/>
          <w:sz w:val="20"/>
          <w:szCs w:val="20"/>
        </w:rPr>
        <w:t>i A, P</w:t>
      </w:r>
      <w:r w:rsidRPr="00A61A2B">
        <w:rPr>
          <w:bCs/>
          <w:iCs/>
          <w:sz w:val="20"/>
          <w:szCs w:val="20"/>
        </w:rPr>
        <w:t>awar</w:t>
      </w:r>
      <w:r w:rsidR="001A60CC" w:rsidRPr="00A61A2B">
        <w:rPr>
          <w:bCs/>
          <w:iCs/>
          <w:sz w:val="20"/>
          <w:szCs w:val="20"/>
        </w:rPr>
        <w:t xml:space="preserve"> </w:t>
      </w:r>
      <w:r w:rsidRPr="00A61A2B">
        <w:rPr>
          <w:bCs/>
          <w:iCs/>
          <w:sz w:val="20"/>
          <w:szCs w:val="20"/>
        </w:rPr>
        <w:t>VC.</w:t>
      </w:r>
      <w:r w:rsidR="001A60CC" w:rsidRPr="00A61A2B">
        <w:rPr>
          <w:bCs/>
          <w:iCs/>
          <w:sz w:val="20"/>
          <w:szCs w:val="20"/>
        </w:rPr>
        <w:t xml:space="preserve"> </w:t>
      </w:r>
      <w:r w:rsidRPr="00A61A2B">
        <w:rPr>
          <w:bCs/>
          <w:iCs/>
          <w:sz w:val="20"/>
          <w:szCs w:val="20"/>
        </w:rPr>
        <w:t>Modulating</w:t>
      </w:r>
      <w:r w:rsidR="001A60CC" w:rsidRPr="00A61A2B">
        <w:rPr>
          <w:bCs/>
          <w:iCs/>
          <w:sz w:val="20"/>
          <w:szCs w:val="20"/>
        </w:rPr>
        <w:t xml:space="preserve"> </w:t>
      </w:r>
      <w:r w:rsidRPr="00A61A2B">
        <w:rPr>
          <w:bCs/>
          <w:iCs/>
          <w:sz w:val="20"/>
          <w:szCs w:val="20"/>
        </w:rPr>
        <w:t>fertility</w:t>
      </w:r>
      <w:r w:rsidR="001A60CC" w:rsidRPr="00A61A2B">
        <w:rPr>
          <w:bCs/>
          <w:iCs/>
          <w:sz w:val="20"/>
          <w:szCs w:val="20"/>
        </w:rPr>
        <w:t xml:space="preserve"> </w:t>
      </w:r>
      <w:r w:rsidRPr="00A61A2B">
        <w:rPr>
          <w:bCs/>
          <w:iCs/>
          <w:sz w:val="20"/>
          <w:szCs w:val="20"/>
        </w:rPr>
        <w:t>outcome</w:t>
      </w:r>
      <w:r w:rsidR="001A60CC" w:rsidRPr="00A61A2B">
        <w:rPr>
          <w:bCs/>
          <w:iCs/>
          <w:sz w:val="20"/>
          <w:szCs w:val="20"/>
        </w:rPr>
        <w:t xml:space="preserve"> </w:t>
      </w:r>
      <w:r w:rsidRPr="00A61A2B">
        <w:rPr>
          <w:bCs/>
          <w:iCs/>
          <w:sz w:val="20"/>
          <w:szCs w:val="20"/>
        </w:rPr>
        <w:t>in</w:t>
      </w:r>
      <w:r w:rsidR="001A60CC" w:rsidRPr="00A61A2B">
        <w:rPr>
          <w:bCs/>
          <w:iCs/>
          <w:sz w:val="20"/>
          <w:szCs w:val="20"/>
        </w:rPr>
        <w:t xml:space="preserve"> </w:t>
      </w:r>
      <w:r w:rsidRPr="00A61A2B">
        <w:rPr>
          <w:bCs/>
          <w:iCs/>
          <w:sz w:val="20"/>
          <w:szCs w:val="20"/>
        </w:rPr>
        <w:t>assisted</w:t>
      </w:r>
      <w:r w:rsidR="001A60CC" w:rsidRPr="00A61A2B">
        <w:rPr>
          <w:bCs/>
          <w:iCs/>
          <w:sz w:val="20"/>
          <w:szCs w:val="20"/>
        </w:rPr>
        <w:t xml:space="preserve"> </w:t>
      </w:r>
      <w:r w:rsidRPr="00A61A2B">
        <w:rPr>
          <w:bCs/>
          <w:iCs/>
          <w:sz w:val="20"/>
          <w:szCs w:val="20"/>
        </w:rPr>
        <w:t>reproductive</w:t>
      </w:r>
      <w:r w:rsidR="001A60CC" w:rsidRPr="00A61A2B">
        <w:rPr>
          <w:bCs/>
          <w:iCs/>
          <w:sz w:val="20"/>
          <w:szCs w:val="20"/>
        </w:rPr>
        <w:t xml:space="preserve"> </w:t>
      </w:r>
      <w:r w:rsidRPr="00A61A2B">
        <w:rPr>
          <w:bCs/>
          <w:iCs/>
          <w:sz w:val="20"/>
          <w:szCs w:val="20"/>
        </w:rPr>
        <w:t>technologies</w:t>
      </w:r>
      <w:r w:rsidR="001A60CC" w:rsidRPr="00A61A2B">
        <w:rPr>
          <w:bCs/>
          <w:iCs/>
          <w:sz w:val="20"/>
          <w:szCs w:val="20"/>
        </w:rPr>
        <w:t xml:space="preserve"> </w:t>
      </w:r>
      <w:r w:rsidRPr="00A61A2B">
        <w:rPr>
          <w:bCs/>
          <w:iCs/>
          <w:sz w:val="20"/>
          <w:szCs w:val="20"/>
        </w:rPr>
        <w:t>by</w:t>
      </w:r>
      <w:r w:rsidR="001A60CC" w:rsidRPr="00A61A2B">
        <w:rPr>
          <w:bCs/>
          <w:iCs/>
          <w:sz w:val="20"/>
          <w:szCs w:val="20"/>
        </w:rPr>
        <w:t xml:space="preserve"> </w:t>
      </w:r>
      <w:r w:rsidRPr="00A61A2B">
        <w:rPr>
          <w:bCs/>
          <w:iCs/>
          <w:sz w:val="20"/>
          <w:szCs w:val="20"/>
        </w:rPr>
        <w:t>the</w:t>
      </w:r>
      <w:r w:rsidR="001A60CC" w:rsidRPr="00A61A2B">
        <w:rPr>
          <w:bCs/>
          <w:iCs/>
          <w:sz w:val="20"/>
          <w:szCs w:val="20"/>
        </w:rPr>
        <w:t xml:space="preserve"> </w:t>
      </w:r>
      <w:r w:rsidRPr="00A61A2B">
        <w:rPr>
          <w:bCs/>
          <w:iCs/>
          <w:sz w:val="20"/>
          <w:szCs w:val="20"/>
        </w:rPr>
        <w:t>use</w:t>
      </w:r>
      <w:r w:rsidR="001A60CC" w:rsidRPr="00A61A2B">
        <w:rPr>
          <w:bCs/>
          <w:iCs/>
          <w:sz w:val="20"/>
          <w:szCs w:val="20"/>
        </w:rPr>
        <w:t xml:space="preserve"> </w:t>
      </w:r>
      <w:r w:rsidRPr="00A61A2B">
        <w:rPr>
          <w:bCs/>
          <w:iCs/>
          <w:sz w:val="20"/>
          <w:szCs w:val="20"/>
        </w:rPr>
        <w:t>of</w:t>
      </w:r>
      <w:r w:rsidR="001A60CC" w:rsidRPr="00A61A2B">
        <w:rPr>
          <w:bCs/>
          <w:iCs/>
          <w:sz w:val="20"/>
          <w:szCs w:val="20"/>
        </w:rPr>
        <w:t xml:space="preserve"> </w:t>
      </w:r>
      <w:r w:rsidRPr="00A61A2B">
        <w:rPr>
          <w:bCs/>
          <w:iCs/>
          <w:sz w:val="20"/>
          <w:szCs w:val="20"/>
        </w:rPr>
        <w:t>dydrogesterone.</w:t>
      </w:r>
      <w:r w:rsidR="001A60CC" w:rsidRPr="00A61A2B">
        <w:rPr>
          <w:bCs/>
          <w:iCs/>
          <w:sz w:val="20"/>
          <w:szCs w:val="20"/>
        </w:rPr>
        <w:t xml:space="preserve"> </w:t>
      </w:r>
      <w:r w:rsidRPr="00A61A2B">
        <w:rPr>
          <w:bCs/>
          <w:iCs/>
          <w:sz w:val="20"/>
          <w:szCs w:val="20"/>
        </w:rPr>
        <w:t>Gyneco</w:t>
      </w:r>
      <w:r w:rsidR="006E05CF" w:rsidRPr="00A61A2B">
        <w:rPr>
          <w:bCs/>
          <w:iCs/>
          <w:sz w:val="20"/>
          <w:szCs w:val="20"/>
        </w:rPr>
        <w:t>l E</w:t>
      </w:r>
      <w:r w:rsidRPr="00A61A2B">
        <w:rPr>
          <w:bCs/>
          <w:iCs/>
          <w:sz w:val="20"/>
          <w:szCs w:val="20"/>
        </w:rPr>
        <w:t>ndocrinol.2007;23(1):68-72.</w:t>
      </w:r>
    </w:p>
    <w:p w:rsidR="006E05CF" w:rsidRPr="00A61A2B" w:rsidRDefault="006E05CF" w:rsidP="00F22118">
      <w:pPr>
        <w:snapToGrid w:val="0"/>
        <w:ind w:left="425" w:hanging="425"/>
        <w:jc w:val="both"/>
        <w:rPr>
          <w:rFonts w:eastAsiaTheme="minorEastAsia"/>
          <w:bCs/>
          <w:iCs/>
          <w:sz w:val="20"/>
          <w:szCs w:val="20"/>
          <w:lang w:eastAsia="zh-CN"/>
        </w:rPr>
      </w:pPr>
    </w:p>
    <w:p w:rsidR="00F22118" w:rsidRPr="00A61A2B" w:rsidRDefault="00F22118" w:rsidP="00F22118">
      <w:pPr>
        <w:snapToGrid w:val="0"/>
        <w:ind w:left="425" w:hanging="425"/>
        <w:jc w:val="both"/>
        <w:rPr>
          <w:rFonts w:eastAsiaTheme="minorEastAsia"/>
          <w:bCs/>
          <w:iCs/>
          <w:sz w:val="20"/>
          <w:szCs w:val="20"/>
          <w:lang w:eastAsia="zh-CN"/>
        </w:rPr>
        <w:sectPr w:rsidR="00F22118" w:rsidRPr="00A61A2B" w:rsidSect="006E05CF">
          <w:type w:val="continuous"/>
          <w:pgSz w:w="12240" w:h="15840"/>
          <w:pgMar w:top="1440" w:right="1440" w:bottom="1440" w:left="1440" w:header="720" w:footer="720" w:gutter="0"/>
          <w:cols w:num="2" w:space="550"/>
          <w:docGrid w:linePitch="299"/>
        </w:sectPr>
      </w:pPr>
    </w:p>
    <w:p w:rsidR="001A60CC" w:rsidRPr="00A61A2B" w:rsidRDefault="001A60CC" w:rsidP="00F22118">
      <w:pPr>
        <w:snapToGrid w:val="0"/>
        <w:ind w:left="425" w:hanging="425"/>
        <w:jc w:val="both"/>
        <w:rPr>
          <w:rFonts w:eastAsiaTheme="minorEastAsia"/>
          <w:bCs/>
          <w:iCs/>
          <w:sz w:val="20"/>
          <w:szCs w:val="20"/>
          <w:lang w:eastAsia="zh-CN"/>
        </w:rPr>
      </w:pPr>
    </w:p>
    <w:p w:rsidR="006E05CF" w:rsidRPr="00A61A2B" w:rsidRDefault="006E05CF" w:rsidP="00F22118">
      <w:pPr>
        <w:snapToGrid w:val="0"/>
        <w:ind w:left="425" w:hanging="425"/>
        <w:jc w:val="both"/>
        <w:rPr>
          <w:rFonts w:eastAsiaTheme="minorEastAsia"/>
          <w:bCs/>
          <w:iCs/>
          <w:sz w:val="20"/>
          <w:szCs w:val="20"/>
          <w:lang w:eastAsia="zh-CN"/>
        </w:rPr>
      </w:pPr>
    </w:p>
    <w:p w:rsidR="006E05CF" w:rsidRPr="00A61A2B" w:rsidRDefault="006E05CF" w:rsidP="006E05CF">
      <w:pPr>
        <w:snapToGrid w:val="0"/>
        <w:jc w:val="both"/>
        <w:rPr>
          <w:rFonts w:eastAsiaTheme="minorEastAsia"/>
          <w:bCs/>
          <w:iCs/>
          <w:sz w:val="20"/>
          <w:szCs w:val="20"/>
          <w:lang w:eastAsia="zh-CN"/>
        </w:rPr>
      </w:pPr>
    </w:p>
    <w:p w:rsidR="00910927" w:rsidRPr="00A61A2B" w:rsidRDefault="001A60CC" w:rsidP="006E05CF">
      <w:pPr>
        <w:pStyle w:val="ListParagraph"/>
        <w:snapToGrid w:val="0"/>
        <w:ind w:left="0" w:firstLine="0"/>
        <w:jc w:val="both"/>
        <w:rPr>
          <w:bCs/>
          <w:iCs/>
          <w:sz w:val="20"/>
          <w:szCs w:val="20"/>
        </w:rPr>
      </w:pPr>
      <w:r w:rsidRPr="00A61A2B">
        <w:rPr>
          <w:bCs/>
          <w:iCs/>
          <w:sz w:val="20"/>
          <w:szCs w:val="20"/>
        </w:rPr>
        <w:t>12/2</w:t>
      </w:r>
      <w:r w:rsidR="006E05CF" w:rsidRPr="00A61A2B">
        <w:rPr>
          <w:rFonts w:eastAsiaTheme="minorEastAsia" w:hint="eastAsia"/>
          <w:bCs/>
          <w:iCs/>
          <w:sz w:val="20"/>
          <w:szCs w:val="20"/>
          <w:lang w:eastAsia="zh-CN"/>
        </w:rPr>
        <w:t>5</w:t>
      </w:r>
      <w:r w:rsidRPr="00A61A2B">
        <w:rPr>
          <w:bCs/>
          <w:iCs/>
          <w:sz w:val="20"/>
          <w:szCs w:val="20"/>
        </w:rPr>
        <w:t>/2019</w:t>
      </w:r>
    </w:p>
    <w:sectPr w:rsidR="00910927" w:rsidRPr="00A61A2B" w:rsidSect="001A60CC">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2A" w:rsidRDefault="005E522A" w:rsidP="00910927">
      <w:r>
        <w:separator/>
      </w:r>
    </w:p>
  </w:endnote>
  <w:endnote w:type="continuationSeparator" w:id="0">
    <w:p w:rsidR="005E522A" w:rsidRDefault="005E522A" w:rsidP="00910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CF" w:rsidRPr="006E05CF" w:rsidRDefault="00A43AF9" w:rsidP="006E05CF">
    <w:pPr>
      <w:jc w:val="center"/>
      <w:rPr>
        <w:sz w:val="20"/>
      </w:rPr>
    </w:pPr>
    <w:r w:rsidRPr="006E05CF">
      <w:rPr>
        <w:sz w:val="20"/>
      </w:rPr>
      <w:fldChar w:fldCharType="begin"/>
    </w:r>
    <w:r w:rsidR="006E05CF" w:rsidRPr="006E05CF">
      <w:rPr>
        <w:sz w:val="20"/>
      </w:rPr>
      <w:instrText xml:space="preserve"> page </w:instrText>
    </w:r>
    <w:r w:rsidRPr="006E05CF">
      <w:rPr>
        <w:sz w:val="20"/>
      </w:rPr>
      <w:fldChar w:fldCharType="separate"/>
    </w:r>
    <w:r w:rsidR="00036F85">
      <w:rPr>
        <w:noProof/>
        <w:sz w:val="20"/>
      </w:rPr>
      <w:t>86</w:t>
    </w:r>
    <w:r w:rsidRPr="006E05C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2A" w:rsidRDefault="005E522A" w:rsidP="00910927">
      <w:r>
        <w:separator/>
      </w:r>
    </w:p>
  </w:footnote>
  <w:footnote w:type="continuationSeparator" w:id="0">
    <w:p w:rsidR="005E522A" w:rsidRDefault="005E522A" w:rsidP="0091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CF" w:rsidRPr="00265181" w:rsidRDefault="00265181" w:rsidP="00265181">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81" w:rsidRPr="006E05CF" w:rsidRDefault="00265181" w:rsidP="006E05CF">
    <w:pPr>
      <w:pBdr>
        <w:bottom w:val="thinThickMediumGap" w:sz="12" w:space="1" w:color="auto"/>
      </w:pBdr>
      <w:tabs>
        <w:tab w:val="left" w:pos="851"/>
        <w:tab w:val="right" w:pos="8364"/>
      </w:tabs>
      <w:adjustRightInd w:val="0"/>
      <w:snapToGrid w:val="0"/>
      <w:jc w:val="both"/>
      <w:rPr>
        <w:iCs/>
        <w:sz w:val="20"/>
        <w:szCs w:val="20"/>
      </w:rPr>
    </w:pPr>
    <w:r w:rsidRPr="006E05CF">
      <w:rPr>
        <w:rFonts w:hint="eastAsia"/>
        <w:sz w:val="20"/>
        <w:szCs w:val="20"/>
      </w:rPr>
      <w:tab/>
    </w:r>
    <w:r w:rsidRPr="006E05CF">
      <w:rPr>
        <w:sz w:val="20"/>
        <w:szCs w:val="20"/>
      </w:rPr>
      <w:t>New York Science Journal 20</w:t>
    </w:r>
    <w:r w:rsidRPr="006E05CF">
      <w:rPr>
        <w:rFonts w:hint="eastAsia"/>
        <w:sz w:val="20"/>
        <w:szCs w:val="20"/>
      </w:rPr>
      <w:t>20</w:t>
    </w:r>
    <w:r w:rsidRPr="006E05CF">
      <w:rPr>
        <w:sz w:val="20"/>
        <w:szCs w:val="20"/>
      </w:rPr>
      <w:t>;</w:t>
    </w:r>
    <w:r w:rsidRPr="006E05CF">
      <w:rPr>
        <w:rFonts w:hint="eastAsia"/>
        <w:sz w:val="20"/>
        <w:szCs w:val="20"/>
      </w:rPr>
      <w:t>13</w:t>
    </w:r>
    <w:r w:rsidRPr="006E05CF">
      <w:rPr>
        <w:sz w:val="20"/>
        <w:szCs w:val="20"/>
      </w:rPr>
      <w:t>(</w:t>
    </w:r>
    <w:r w:rsidRPr="006E05CF">
      <w:rPr>
        <w:rFonts w:hint="eastAsia"/>
        <w:sz w:val="20"/>
        <w:szCs w:val="20"/>
      </w:rPr>
      <w:t>1</w:t>
    </w:r>
    <w:r w:rsidRPr="006E05CF">
      <w:rPr>
        <w:sz w:val="20"/>
        <w:szCs w:val="20"/>
      </w:rPr>
      <w:t>)</w:t>
    </w:r>
    <w:r w:rsidRPr="006E05CF">
      <w:rPr>
        <w:iCs/>
        <w:sz w:val="20"/>
        <w:szCs w:val="20"/>
      </w:rPr>
      <w:t xml:space="preserve"> </w:t>
    </w:r>
    <w:r w:rsidRPr="006E05CF">
      <w:rPr>
        <w:rFonts w:hint="eastAsia"/>
        <w:iCs/>
        <w:sz w:val="20"/>
        <w:szCs w:val="20"/>
      </w:rPr>
      <w:tab/>
    </w:r>
    <w:r w:rsidRPr="006E05CF">
      <w:rPr>
        <w:iCs/>
        <w:sz w:val="20"/>
        <w:szCs w:val="20"/>
      </w:rPr>
      <w:t xml:space="preserve">  </w:t>
    </w:r>
    <w:hyperlink r:id="rId1" w:history="1">
      <w:r w:rsidRPr="006E05CF">
        <w:rPr>
          <w:rStyle w:val="Hyperlink"/>
          <w:color w:val="0000FF"/>
          <w:sz w:val="20"/>
          <w:szCs w:val="20"/>
        </w:rPr>
        <w:t>http://www.sciencepub.net/newyork</w:t>
      </w:r>
    </w:hyperlink>
    <w:r w:rsidRPr="006E05CF">
      <w:rPr>
        <w:rFonts w:hint="eastAsia"/>
        <w:sz w:val="20"/>
      </w:rPr>
      <w:t xml:space="preserve">   </w:t>
    </w:r>
    <w:r w:rsidRPr="006E05CF">
      <w:rPr>
        <w:rFonts w:hint="eastAsia"/>
        <w:b/>
        <w:i/>
        <w:color w:val="FF0000"/>
        <w:sz w:val="20"/>
        <w:szCs w:val="20"/>
        <w:bdr w:val="single" w:sz="4" w:space="0" w:color="FF0000"/>
      </w:rPr>
      <w:t>NYJ</w:t>
    </w:r>
  </w:p>
  <w:p w:rsidR="00265181" w:rsidRPr="006E05CF" w:rsidRDefault="00265181" w:rsidP="006E05CF">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5D2"/>
    <w:multiLevelType w:val="hybridMultilevel"/>
    <w:tmpl w:val="E210FC4A"/>
    <w:lvl w:ilvl="0" w:tplc="2A38344C">
      <w:numFmt w:val="bullet"/>
      <w:lvlText w:val=""/>
      <w:lvlJc w:val="left"/>
      <w:pPr>
        <w:ind w:left="389" w:hanging="360"/>
      </w:pPr>
      <w:rPr>
        <w:rFonts w:ascii="Symbol" w:eastAsia="Symbol" w:hAnsi="Symbol" w:cs="Symbol" w:hint="default"/>
        <w:w w:val="100"/>
        <w:sz w:val="24"/>
        <w:szCs w:val="24"/>
        <w:lang w:val="en-US" w:eastAsia="en-US" w:bidi="ar-SA"/>
      </w:rPr>
    </w:lvl>
    <w:lvl w:ilvl="1" w:tplc="B64AB970">
      <w:numFmt w:val="bullet"/>
      <w:lvlText w:val="•"/>
      <w:lvlJc w:val="left"/>
      <w:pPr>
        <w:ind w:left="1020" w:hanging="720"/>
      </w:pPr>
      <w:rPr>
        <w:rFonts w:ascii="Times New Roman" w:eastAsia="Times New Roman" w:hAnsi="Times New Roman" w:cs="Times New Roman" w:hint="default"/>
        <w:spacing w:val="-4"/>
        <w:w w:val="99"/>
        <w:sz w:val="24"/>
        <w:szCs w:val="24"/>
        <w:lang w:val="en-US" w:eastAsia="en-US" w:bidi="ar-SA"/>
      </w:rPr>
    </w:lvl>
    <w:lvl w:ilvl="2" w:tplc="98A8F342">
      <w:numFmt w:val="bullet"/>
      <w:lvlText w:val="•"/>
      <w:lvlJc w:val="left"/>
      <w:pPr>
        <w:ind w:left="1740" w:hanging="360"/>
      </w:pPr>
      <w:rPr>
        <w:rFonts w:ascii="Times New Roman" w:eastAsia="Times New Roman" w:hAnsi="Times New Roman" w:cs="Times New Roman" w:hint="default"/>
        <w:spacing w:val="-5"/>
        <w:w w:val="99"/>
        <w:sz w:val="24"/>
        <w:szCs w:val="24"/>
        <w:lang w:val="en-US" w:eastAsia="en-US" w:bidi="ar-SA"/>
      </w:rPr>
    </w:lvl>
    <w:lvl w:ilvl="3" w:tplc="BB960722">
      <w:numFmt w:val="bullet"/>
      <w:lvlText w:val="•"/>
      <w:lvlJc w:val="left"/>
      <w:pPr>
        <w:ind w:left="2618" w:hanging="360"/>
      </w:pPr>
      <w:rPr>
        <w:rFonts w:hint="default"/>
        <w:lang w:val="en-US" w:eastAsia="en-US" w:bidi="ar-SA"/>
      </w:rPr>
    </w:lvl>
    <w:lvl w:ilvl="4" w:tplc="ECE6BAEE">
      <w:numFmt w:val="bullet"/>
      <w:lvlText w:val="•"/>
      <w:lvlJc w:val="left"/>
      <w:pPr>
        <w:ind w:left="3497" w:hanging="360"/>
      </w:pPr>
      <w:rPr>
        <w:rFonts w:hint="default"/>
        <w:lang w:val="en-US" w:eastAsia="en-US" w:bidi="ar-SA"/>
      </w:rPr>
    </w:lvl>
    <w:lvl w:ilvl="5" w:tplc="B8284792">
      <w:numFmt w:val="bullet"/>
      <w:lvlText w:val="•"/>
      <w:lvlJc w:val="left"/>
      <w:pPr>
        <w:ind w:left="4375" w:hanging="360"/>
      </w:pPr>
      <w:rPr>
        <w:rFonts w:hint="default"/>
        <w:lang w:val="en-US" w:eastAsia="en-US" w:bidi="ar-SA"/>
      </w:rPr>
    </w:lvl>
    <w:lvl w:ilvl="6" w:tplc="24F06D84">
      <w:numFmt w:val="bullet"/>
      <w:lvlText w:val="•"/>
      <w:lvlJc w:val="left"/>
      <w:pPr>
        <w:ind w:left="5254" w:hanging="360"/>
      </w:pPr>
      <w:rPr>
        <w:rFonts w:hint="default"/>
        <w:lang w:val="en-US" w:eastAsia="en-US" w:bidi="ar-SA"/>
      </w:rPr>
    </w:lvl>
    <w:lvl w:ilvl="7" w:tplc="D8DE5DFC">
      <w:numFmt w:val="bullet"/>
      <w:lvlText w:val="•"/>
      <w:lvlJc w:val="left"/>
      <w:pPr>
        <w:ind w:left="6132" w:hanging="360"/>
      </w:pPr>
      <w:rPr>
        <w:rFonts w:hint="default"/>
        <w:lang w:val="en-US" w:eastAsia="en-US" w:bidi="ar-SA"/>
      </w:rPr>
    </w:lvl>
    <w:lvl w:ilvl="8" w:tplc="F5BCC930">
      <w:numFmt w:val="bullet"/>
      <w:lvlText w:val="•"/>
      <w:lvlJc w:val="left"/>
      <w:pPr>
        <w:ind w:left="7011" w:hanging="360"/>
      </w:pPr>
      <w:rPr>
        <w:rFonts w:hint="default"/>
        <w:lang w:val="en-US" w:eastAsia="en-US" w:bidi="ar-SA"/>
      </w:rPr>
    </w:lvl>
  </w:abstractNum>
  <w:abstractNum w:abstractNumId="1">
    <w:nsid w:val="0F4460E8"/>
    <w:multiLevelType w:val="hybridMultilevel"/>
    <w:tmpl w:val="C4A6AD18"/>
    <w:lvl w:ilvl="0" w:tplc="DBBC41BA">
      <w:numFmt w:val="bullet"/>
      <w:lvlText w:val=""/>
      <w:lvlJc w:val="left"/>
      <w:pPr>
        <w:ind w:left="2460" w:hanging="360"/>
      </w:pPr>
      <w:rPr>
        <w:rFonts w:ascii="Symbol" w:eastAsia="Symbol" w:hAnsi="Symbol" w:cs="Symbol" w:hint="default"/>
        <w:w w:val="100"/>
        <w:sz w:val="24"/>
        <w:szCs w:val="24"/>
        <w:lang w:val="en-US" w:eastAsia="en-US" w:bidi="ar-SA"/>
      </w:rPr>
    </w:lvl>
    <w:lvl w:ilvl="1" w:tplc="0486CF24">
      <w:numFmt w:val="bullet"/>
      <w:lvlText w:val="•"/>
      <w:lvlJc w:val="left"/>
      <w:pPr>
        <w:ind w:left="3298" w:hanging="360"/>
      </w:pPr>
      <w:rPr>
        <w:rFonts w:hint="default"/>
        <w:lang w:val="en-US" w:eastAsia="en-US" w:bidi="ar-SA"/>
      </w:rPr>
    </w:lvl>
    <w:lvl w:ilvl="2" w:tplc="1A463BEC">
      <w:numFmt w:val="bullet"/>
      <w:lvlText w:val="•"/>
      <w:lvlJc w:val="left"/>
      <w:pPr>
        <w:ind w:left="4136" w:hanging="360"/>
      </w:pPr>
      <w:rPr>
        <w:rFonts w:hint="default"/>
        <w:lang w:val="en-US" w:eastAsia="en-US" w:bidi="ar-SA"/>
      </w:rPr>
    </w:lvl>
    <w:lvl w:ilvl="3" w:tplc="3CBA1050">
      <w:numFmt w:val="bullet"/>
      <w:lvlText w:val="•"/>
      <w:lvlJc w:val="left"/>
      <w:pPr>
        <w:ind w:left="4974" w:hanging="360"/>
      </w:pPr>
      <w:rPr>
        <w:rFonts w:hint="default"/>
        <w:lang w:val="en-US" w:eastAsia="en-US" w:bidi="ar-SA"/>
      </w:rPr>
    </w:lvl>
    <w:lvl w:ilvl="4" w:tplc="2E62AAEE">
      <w:numFmt w:val="bullet"/>
      <w:lvlText w:val="•"/>
      <w:lvlJc w:val="left"/>
      <w:pPr>
        <w:ind w:left="5812" w:hanging="360"/>
      </w:pPr>
      <w:rPr>
        <w:rFonts w:hint="default"/>
        <w:lang w:val="en-US" w:eastAsia="en-US" w:bidi="ar-SA"/>
      </w:rPr>
    </w:lvl>
    <w:lvl w:ilvl="5" w:tplc="10F86328">
      <w:numFmt w:val="bullet"/>
      <w:lvlText w:val="•"/>
      <w:lvlJc w:val="left"/>
      <w:pPr>
        <w:ind w:left="6650" w:hanging="360"/>
      </w:pPr>
      <w:rPr>
        <w:rFonts w:hint="default"/>
        <w:lang w:val="en-US" w:eastAsia="en-US" w:bidi="ar-SA"/>
      </w:rPr>
    </w:lvl>
    <w:lvl w:ilvl="6" w:tplc="6AF81D50">
      <w:numFmt w:val="bullet"/>
      <w:lvlText w:val="•"/>
      <w:lvlJc w:val="left"/>
      <w:pPr>
        <w:ind w:left="7488" w:hanging="360"/>
      </w:pPr>
      <w:rPr>
        <w:rFonts w:hint="default"/>
        <w:lang w:val="en-US" w:eastAsia="en-US" w:bidi="ar-SA"/>
      </w:rPr>
    </w:lvl>
    <w:lvl w:ilvl="7" w:tplc="E3967D78">
      <w:numFmt w:val="bullet"/>
      <w:lvlText w:val="•"/>
      <w:lvlJc w:val="left"/>
      <w:pPr>
        <w:ind w:left="8326" w:hanging="360"/>
      </w:pPr>
      <w:rPr>
        <w:rFonts w:hint="default"/>
        <w:lang w:val="en-US" w:eastAsia="en-US" w:bidi="ar-SA"/>
      </w:rPr>
    </w:lvl>
    <w:lvl w:ilvl="8" w:tplc="E250C8CA">
      <w:numFmt w:val="bullet"/>
      <w:lvlText w:val="•"/>
      <w:lvlJc w:val="left"/>
      <w:pPr>
        <w:ind w:left="9164" w:hanging="360"/>
      </w:pPr>
      <w:rPr>
        <w:rFonts w:hint="default"/>
        <w:lang w:val="en-US" w:eastAsia="en-US" w:bidi="ar-SA"/>
      </w:rPr>
    </w:lvl>
  </w:abstractNum>
  <w:abstractNum w:abstractNumId="2">
    <w:nsid w:val="2D902B30"/>
    <w:multiLevelType w:val="hybridMultilevel"/>
    <w:tmpl w:val="0E94826A"/>
    <w:lvl w:ilvl="0" w:tplc="0409000F">
      <w:start w:val="1"/>
      <w:numFmt w:val="decimal"/>
      <w:lvlText w:val="%1."/>
      <w:lvlJc w:val="left"/>
      <w:pPr>
        <w:ind w:left="1022" w:hanging="380"/>
      </w:pPr>
      <w:rPr>
        <w:rFonts w:hint="default"/>
        <w:b w:val="0"/>
        <w:bCs w:val="0"/>
        <w:spacing w:val="-1"/>
        <w:w w:val="100"/>
        <w:lang w:val="en-US" w:eastAsia="en-US" w:bidi="ar-SA"/>
      </w:rPr>
    </w:lvl>
    <w:lvl w:ilvl="1" w:tplc="983EF09A">
      <w:numFmt w:val="bullet"/>
      <w:lvlText w:val="•"/>
      <w:lvlJc w:val="left"/>
      <w:pPr>
        <w:ind w:left="2002" w:hanging="380"/>
      </w:pPr>
      <w:rPr>
        <w:rFonts w:hint="default"/>
        <w:lang w:val="en-US" w:eastAsia="en-US" w:bidi="ar-SA"/>
      </w:rPr>
    </w:lvl>
    <w:lvl w:ilvl="2" w:tplc="D2D013F6">
      <w:numFmt w:val="bullet"/>
      <w:lvlText w:val="•"/>
      <w:lvlJc w:val="left"/>
      <w:pPr>
        <w:ind w:left="2984" w:hanging="380"/>
      </w:pPr>
      <w:rPr>
        <w:rFonts w:hint="default"/>
        <w:lang w:val="en-US" w:eastAsia="en-US" w:bidi="ar-SA"/>
      </w:rPr>
    </w:lvl>
    <w:lvl w:ilvl="3" w:tplc="2B105FE8">
      <w:numFmt w:val="bullet"/>
      <w:lvlText w:val="•"/>
      <w:lvlJc w:val="left"/>
      <w:pPr>
        <w:ind w:left="3966" w:hanging="380"/>
      </w:pPr>
      <w:rPr>
        <w:rFonts w:hint="default"/>
        <w:lang w:val="en-US" w:eastAsia="en-US" w:bidi="ar-SA"/>
      </w:rPr>
    </w:lvl>
    <w:lvl w:ilvl="4" w:tplc="B43627FC">
      <w:numFmt w:val="bullet"/>
      <w:lvlText w:val="•"/>
      <w:lvlJc w:val="left"/>
      <w:pPr>
        <w:ind w:left="4948" w:hanging="380"/>
      </w:pPr>
      <w:rPr>
        <w:rFonts w:hint="default"/>
        <w:lang w:val="en-US" w:eastAsia="en-US" w:bidi="ar-SA"/>
      </w:rPr>
    </w:lvl>
    <w:lvl w:ilvl="5" w:tplc="3B127D54">
      <w:numFmt w:val="bullet"/>
      <w:lvlText w:val="•"/>
      <w:lvlJc w:val="left"/>
      <w:pPr>
        <w:ind w:left="5930" w:hanging="380"/>
      </w:pPr>
      <w:rPr>
        <w:rFonts w:hint="default"/>
        <w:lang w:val="en-US" w:eastAsia="en-US" w:bidi="ar-SA"/>
      </w:rPr>
    </w:lvl>
    <w:lvl w:ilvl="6" w:tplc="98128F9E">
      <w:numFmt w:val="bullet"/>
      <w:lvlText w:val="•"/>
      <w:lvlJc w:val="left"/>
      <w:pPr>
        <w:ind w:left="6912" w:hanging="380"/>
      </w:pPr>
      <w:rPr>
        <w:rFonts w:hint="default"/>
        <w:lang w:val="en-US" w:eastAsia="en-US" w:bidi="ar-SA"/>
      </w:rPr>
    </w:lvl>
    <w:lvl w:ilvl="7" w:tplc="23168F82">
      <w:numFmt w:val="bullet"/>
      <w:lvlText w:val="•"/>
      <w:lvlJc w:val="left"/>
      <w:pPr>
        <w:ind w:left="7894" w:hanging="380"/>
      </w:pPr>
      <w:rPr>
        <w:rFonts w:hint="default"/>
        <w:lang w:val="en-US" w:eastAsia="en-US" w:bidi="ar-SA"/>
      </w:rPr>
    </w:lvl>
    <w:lvl w:ilvl="8" w:tplc="0CCC5FF0">
      <w:numFmt w:val="bullet"/>
      <w:lvlText w:val="•"/>
      <w:lvlJc w:val="left"/>
      <w:pPr>
        <w:ind w:left="8876" w:hanging="380"/>
      </w:pPr>
      <w:rPr>
        <w:rFonts w:hint="default"/>
        <w:lang w:val="en-US" w:eastAsia="en-US" w:bidi="ar-SA"/>
      </w:rPr>
    </w:lvl>
  </w:abstractNum>
  <w:abstractNum w:abstractNumId="3">
    <w:nsid w:val="309E4910"/>
    <w:multiLevelType w:val="hybridMultilevel"/>
    <w:tmpl w:val="DE68F226"/>
    <w:lvl w:ilvl="0" w:tplc="4D762648">
      <w:start w:val="1"/>
      <w:numFmt w:val="decimal"/>
      <w:lvlText w:val="%1."/>
      <w:lvlJc w:val="left"/>
      <w:pPr>
        <w:ind w:left="1020" w:hanging="320"/>
      </w:pPr>
      <w:rPr>
        <w:rFonts w:ascii="Times New Roman" w:hAnsi="Times New Roman" w:cs="Times New Roman" w:hint="default"/>
        <w:spacing w:val="0"/>
        <w:w w:val="100"/>
        <w:kern w:val="0"/>
        <w:position w:val="0"/>
        <w:sz w:val="20"/>
        <w:lang w:val="en-US" w:eastAsia="en-US" w:bidi="ar-SA"/>
      </w:rPr>
    </w:lvl>
    <w:lvl w:ilvl="1" w:tplc="96364354">
      <w:numFmt w:val="bullet"/>
      <w:lvlText w:val="•"/>
      <w:lvlJc w:val="left"/>
      <w:pPr>
        <w:ind w:left="2002" w:hanging="320"/>
      </w:pPr>
      <w:rPr>
        <w:rFonts w:hint="default"/>
        <w:lang w:val="en-US" w:eastAsia="en-US" w:bidi="ar-SA"/>
      </w:rPr>
    </w:lvl>
    <w:lvl w:ilvl="2" w:tplc="4AFC2784">
      <w:numFmt w:val="bullet"/>
      <w:lvlText w:val="•"/>
      <w:lvlJc w:val="left"/>
      <w:pPr>
        <w:ind w:left="2984" w:hanging="320"/>
      </w:pPr>
      <w:rPr>
        <w:rFonts w:hint="default"/>
        <w:lang w:val="en-US" w:eastAsia="en-US" w:bidi="ar-SA"/>
      </w:rPr>
    </w:lvl>
    <w:lvl w:ilvl="3" w:tplc="4EB4B576">
      <w:numFmt w:val="bullet"/>
      <w:lvlText w:val="•"/>
      <w:lvlJc w:val="left"/>
      <w:pPr>
        <w:ind w:left="3966" w:hanging="320"/>
      </w:pPr>
      <w:rPr>
        <w:rFonts w:hint="default"/>
        <w:lang w:val="en-US" w:eastAsia="en-US" w:bidi="ar-SA"/>
      </w:rPr>
    </w:lvl>
    <w:lvl w:ilvl="4" w:tplc="1FBCF30E">
      <w:numFmt w:val="bullet"/>
      <w:lvlText w:val="•"/>
      <w:lvlJc w:val="left"/>
      <w:pPr>
        <w:ind w:left="4948" w:hanging="320"/>
      </w:pPr>
      <w:rPr>
        <w:rFonts w:hint="default"/>
        <w:lang w:val="en-US" w:eastAsia="en-US" w:bidi="ar-SA"/>
      </w:rPr>
    </w:lvl>
    <w:lvl w:ilvl="5" w:tplc="2640C010">
      <w:numFmt w:val="bullet"/>
      <w:lvlText w:val="•"/>
      <w:lvlJc w:val="left"/>
      <w:pPr>
        <w:ind w:left="5930" w:hanging="320"/>
      </w:pPr>
      <w:rPr>
        <w:rFonts w:hint="default"/>
        <w:lang w:val="en-US" w:eastAsia="en-US" w:bidi="ar-SA"/>
      </w:rPr>
    </w:lvl>
    <w:lvl w:ilvl="6" w:tplc="D3807C6C">
      <w:numFmt w:val="bullet"/>
      <w:lvlText w:val="•"/>
      <w:lvlJc w:val="left"/>
      <w:pPr>
        <w:ind w:left="6912" w:hanging="320"/>
      </w:pPr>
      <w:rPr>
        <w:rFonts w:hint="default"/>
        <w:lang w:val="en-US" w:eastAsia="en-US" w:bidi="ar-SA"/>
      </w:rPr>
    </w:lvl>
    <w:lvl w:ilvl="7" w:tplc="B5945CD0">
      <w:numFmt w:val="bullet"/>
      <w:lvlText w:val="•"/>
      <w:lvlJc w:val="left"/>
      <w:pPr>
        <w:ind w:left="7894" w:hanging="320"/>
      </w:pPr>
      <w:rPr>
        <w:rFonts w:hint="default"/>
        <w:lang w:val="en-US" w:eastAsia="en-US" w:bidi="ar-SA"/>
      </w:rPr>
    </w:lvl>
    <w:lvl w:ilvl="8" w:tplc="26ACDE62">
      <w:numFmt w:val="bullet"/>
      <w:lvlText w:val="•"/>
      <w:lvlJc w:val="left"/>
      <w:pPr>
        <w:ind w:left="8876" w:hanging="320"/>
      </w:pPr>
      <w:rPr>
        <w:rFonts w:hint="default"/>
        <w:lang w:val="en-US" w:eastAsia="en-US" w:bidi="ar-SA"/>
      </w:rPr>
    </w:lvl>
  </w:abstractNum>
  <w:abstractNum w:abstractNumId="4">
    <w:nsid w:val="5E25042A"/>
    <w:multiLevelType w:val="hybridMultilevel"/>
    <w:tmpl w:val="ACEC7E2E"/>
    <w:lvl w:ilvl="0" w:tplc="E0467014">
      <w:numFmt w:val="bullet"/>
      <w:lvlText w:val=""/>
      <w:lvlJc w:val="left"/>
      <w:pPr>
        <w:ind w:left="1303" w:hanging="284"/>
      </w:pPr>
      <w:rPr>
        <w:rFonts w:ascii="Wingdings" w:eastAsia="Wingdings" w:hAnsi="Wingdings" w:cs="Wingdings" w:hint="default"/>
        <w:w w:val="100"/>
        <w:sz w:val="24"/>
        <w:szCs w:val="24"/>
        <w:lang w:val="en-US" w:eastAsia="en-US" w:bidi="ar-SA"/>
      </w:rPr>
    </w:lvl>
    <w:lvl w:ilvl="1" w:tplc="368E5CFC">
      <w:start w:val="1"/>
      <w:numFmt w:val="decimal"/>
      <w:lvlText w:val="%2."/>
      <w:lvlJc w:val="left"/>
      <w:pPr>
        <w:ind w:left="1447" w:hanging="286"/>
      </w:pPr>
      <w:rPr>
        <w:rFonts w:ascii="Times New Roman" w:eastAsia="Times New Roman" w:hAnsi="Times New Roman" w:cs="Times New Roman" w:hint="default"/>
        <w:b/>
        <w:bCs/>
        <w:spacing w:val="-15"/>
        <w:w w:val="99"/>
        <w:sz w:val="20"/>
        <w:szCs w:val="20"/>
        <w:lang w:val="en-US" w:eastAsia="en-US" w:bidi="ar-SA"/>
      </w:rPr>
    </w:lvl>
    <w:lvl w:ilvl="2" w:tplc="076ADE18">
      <w:numFmt w:val="bullet"/>
      <w:lvlText w:val=""/>
      <w:lvlJc w:val="left"/>
      <w:pPr>
        <w:ind w:left="2460" w:hanging="360"/>
      </w:pPr>
      <w:rPr>
        <w:rFonts w:ascii="Symbol" w:eastAsia="Symbol" w:hAnsi="Symbol" w:cs="Symbol" w:hint="default"/>
        <w:w w:val="100"/>
        <w:sz w:val="24"/>
        <w:szCs w:val="24"/>
        <w:lang w:val="en-US" w:eastAsia="en-US" w:bidi="ar-SA"/>
      </w:rPr>
    </w:lvl>
    <w:lvl w:ilvl="3" w:tplc="CE0A0C9A">
      <w:numFmt w:val="bullet"/>
      <w:lvlText w:val="•"/>
      <w:lvlJc w:val="left"/>
      <w:pPr>
        <w:ind w:left="3507" w:hanging="360"/>
      </w:pPr>
      <w:rPr>
        <w:rFonts w:hint="default"/>
        <w:lang w:val="en-US" w:eastAsia="en-US" w:bidi="ar-SA"/>
      </w:rPr>
    </w:lvl>
    <w:lvl w:ilvl="4" w:tplc="E7123BC4">
      <w:numFmt w:val="bullet"/>
      <w:lvlText w:val="•"/>
      <w:lvlJc w:val="left"/>
      <w:pPr>
        <w:ind w:left="4555" w:hanging="360"/>
      </w:pPr>
      <w:rPr>
        <w:rFonts w:hint="default"/>
        <w:lang w:val="en-US" w:eastAsia="en-US" w:bidi="ar-SA"/>
      </w:rPr>
    </w:lvl>
    <w:lvl w:ilvl="5" w:tplc="4C2491D2">
      <w:numFmt w:val="bullet"/>
      <w:lvlText w:val="•"/>
      <w:lvlJc w:val="left"/>
      <w:pPr>
        <w:ind w:left="5602" w:hanging="360"/>
      </w:pPr>
      <w:rPr>
        <w:rFonts w:hint="default"/>
        <w:lang w:val="en-US" w:eastAsia="en-US" w:bidi="ar-SA"/>
      </w:rPr>
    </w:lvl>
    <w:lvl w:ilvl="6" w:tplc="9886B1F4">
      <w:numFmt w:val="bullet"/>
      <w:lvlText w:val="•"/>
      <w:lvlJc w:val="left"/>
      <w:pPr>
        <w:ind w:left="6650" w:hanging="360"/>
      </w:pPr>
      <w:rPr>
        <w:rFonts w:hint="default"/>
        <w:lang w:val="en-US" w:eastAsia="en-US" w:bidi="ar-SA"/>
      </w:rPr>
    </w:lvl>
    <w:lvl w:ilvl="7" w:tplc="6B10D806">
      <w:numFmt w:val="bullet"/>
      <w:lvlText w:val="•"/>
      <w:lvlJc w:val="left"/>
      <w:pPr>
        <w:ind w:left="7697" w:hanging="360"/>
      </w:pPr>
      <w:rPr>
        <w:rFonts w:hint="default"/>
        <w:lang w:val="en-US" w:eastAsia="en-US" w:bidi="ar-SA"/>
      </w:rPr>
    </w:lvl>
    <w:lvl w:ilvl="8" w:tplc="F96EB12A">
      <w:numFmt w:val="bullet"/>
      <w:lvlText w:val="•"/>
      <w:lvlJc w:val="left"/>
      <w:pPr>
        <w:ind w:left="8745" w:hanging="360"/>
      </w:pPr>
      <w:rPr>
        <w:rFonts w:hint="default"/>
        <w:lang w:val="en-US" w:eastAsia="en-US" w:bidi="ar-SA"/>
      </w:rPr>
    </w:lvl>
  </w:abstractNum>
  <w:abstractNum w:abstractNumId="5">
    <w:nsid w:val="6D4667D5"/>
    <w:multiLevelType w:val="hybridMultilevel"/>
    <w:tmpl w:val="466AC9B6"/>
    <w:lvl w:ilvl="0" w:tplc="E0BAC394">
      <w:numFmt w:val="bullet"/>
      <w:lvlText w:val=""/>
      <w:lvlJc w:val="left"/>
      <w:pPr>
        <w:ind w:left="1303" w:hanging="284"/>
      </w:pPr>
      <w:rPr>
        <w:rFonts w:ascii="Wingdings" w:eastAsia="Wingdings" w:hAnsi="Wingdings" w:cs="Wingdings" w:hint="default"/>
        <w:w w:val="100"/>
        <w:sz w:val="24"/>
        <w:szCs w:val="24"/>
        <w:lang w:val="en-US" w:eastAsia="en-US" w:bidi="ar-SA"/>
      </w:rPr>
    </w:lvl>
    <w:lvl w:ilvl="1" w:tplc="7994C83C">
      <w:numFmt w:val="bullet"/>
      <w:lvlText w:val="•"/>
      <w:lvlJc w:val="left"/>
      <w:pPr>
        <w:ind w:left="2254" w:hanging="284"/>
      </w:pPr>
      <w:rPr>
        <w:rFonts w:hint="default"/>
        <w:lang w:val="en-US" w:eastAsia="en-US" w:bidi="ar-SA"/>
      </w:rPr>
    </w:lvl>
    <w:lvl w:ilvl="2" w:tplc="5248F17E">
      <w:numFmt w:val="bullet"/>
      <w:lvlText w:val="•"/>
      <w:lvlJc w:val="left"/>
      <w:pPr>
        <w:ind w:left="3208" w:hanging="284"/>
      </w:pPr>
      <w:rPr>
        <w:rFonts w:hint="default"/>
        <w:lang w:val="en-US" w:eastAsia="en-US" w:bidi="ar-SA"/>
      </w:rPr>
    </w:lvl>
    <w:lvl w:ilvl="3" w:tplc="15E4280E">
      <w:numFmt w:val="bullet"/>
      <w:lvlText w:val="•"/>
      <w:lvlJc w:val="left"/>
      <w:pPr>
        <w:ind w:left="4162" w:hanging="284"/>
      </w:pPr>
      <w:rPr>
        <w:rFonts w:hint="default"/>
        <w:lang w:val="en-US" w:eastAsia="en-US" w:bidi="ar-SA"/>
      </w:rPr>
    </w:lvl>
    <w:lvl w:ilvl="4" w:tplc="2474FA4C">
      <w:numFmt w:val="bullet"/>
      <w:lvlText w:val="•"/>
      <w:lvlJc w:val="left"/>
      <w:pPr>
        <w:ind w:left="5116" w:hanging="284"/>
      </w:pPr>
      <w:rPr>
        <w:rFonts w:hint="default"/>
        <w:lang w:val="en-US" w:eastAsia="en-US" w:bidi="ar-SA"/>
      </w:rPr>
    </w:lvl>
    <w:lvl w:ilvl="5" w:tplc="D63435C0">
      <w:numFmt w:val="bullet"/>
      <w:lvlText w:val="•"/>
      <w:lvlJc w:val="left"/>
      <w:pPr>
        <w:ind w:left="6070" w:hanging="284"/>
      </w:pPr>
      <w:rPr>
        <w:rFonts w:hint="default"/>
        <w:lang w:val="en-US" w:eastAsia="en-US" w:bidi="ar-SA"/>
      </w:rPr>
    </w:lvl>
    <w:lvl w:ilvl="6" w:tplc="51E2BD70">
      <w:numFmt w:val="bullet"/>
      <w:lvlText w:val="•"/>
      <w:lvlJc w:val="left"/>
      <w:pPr>
        <w:ind w:left="7024" w:hanging="284"/>
      </w:pPr>
      <w:rPr>
        <w:rFonts w:hint="default"/>
        <w:lang w:val="en-US" w:eastAsia="en-US" w:bidi="ar-SA"/>
      </w:rPr>
    </w:lvl>
    <w:lvl w:ilvl="7" w:tplc="EB2C90AA">
      <w:numFmt w:val="bullet"/>
      <w:lvlText w:val="•"/>
      <w:lvlJc w:val="left"/>
      <w:pPr>
        <w:ind w:left="7978" w:hanging="284"/>
      </w:pPr>
      <w:rPr>
        <w:rFonts w:hint="default"/>
        <w:lang w:val="en-US" w:eastAsia="en-US" w:bidi="ar-SA"/>
      </w:rPr>
    </w:lvl>
    <w:lvl w:ilvl="8" w:tplc="6C44F080">
      <w:numFmt w:val="bullet"/>
      <w:lvlText w:val="•"/>
      <w:lvlJc w:val="left"/>
      <w:pPr>
        <w:ind w:left="8932" w:hanging="284"/>
      </w:pPr>
      <w:rPr>
        <w:rFonts w:hint="default"/>
        <w:lang w:val="en-US" w:eastAsia="en-US" w:bidi="ar-SA"/>
      </w:rPr>
    </w:lvl>
  </w:abstractNum>
  <w:abstractNum w:abstractNumId="6">
    <w:nsid w:val="707E7138"/>
    <w:multiLevelType w:val="hybridMultilevel"/>
    <w:tmpl w:val="90AA3FC4"/>
    <w:lvl w:ilvl="0" w:tplc="0409000F">
      <w:start w:val="1"/>
      <w:numFmt w:val="decimal"/>
      <w:lvlText w:val="%1."/>
      <w:lvlJc w:val="left"/>
      <w:pPr>
        <w:ind w:left="1020" w:hanging="296"/>
      </w:pPr>
      <w:rPr>
        <w:rFonts w:hint="default"/>
        <w:spacing w:val="-26"/>
        <w:w w:val="99"/>
        <w:lang w:val="en-US" w:eastAsia="en-US" w:bidi="ar-SA"/>
      </w:rPr>
    </w:lvl>
    <w:lvl w:ilvl="1" w:tplc="66542D86">
      <w:numFmt w:val="bullet"/>
      <w:lvlText w:val="•"/>
      <w:lvlJc w:val="left"/>
      <w:pPr>
        <w:ind w:left="2002" w:hanging="296"/>
      </w:pPr>
      <w:rPr>
        <w:rFonts w:hint="default"/>
        <w:lang w:val="en-US" w:eastAsia="en-US" w:bidi="ar-SA"/>
      </w:rPr>
    </w:lvl>
    <w:lvl w:ilvl="2" w:tplc="F7E478A2">
      <w:numFmt w:val="bullet"/>
      <w:lvlText w:val="•"/>
      <w:lvlJc w:val="left"/>
      <w:pPr>
        <w:ind w:left="2984" w:hanging="296"/>
      </w:pPr>
      <w:rPr>
        <w:rFonts w:hint="default"/>
        <w:lang w:val="en-US" w:eastAsia="en-US" w:bidi="ar-SA"/>
      </w:rPr>
    </w:lvl>
    <w:lvl w:ilvl="3" w:tplc="55261648">
      <w:numFmt w:val="bullet"/>
      <w:lvlText w:val="•"/>
      <w:lvlJc w:val="left"/>
      <w:pPr>
        <w:ind w:left="3966" w:hanging="296"/>
      </w:pPr>
      <w:rPr>
        <w:rFonts w:hint="default"/>
        <w:lang w:val="en-US" w:eastAsia="en-US" w:bidi="ar-SA"/>
      </w:rPr>
    </w:lvl>
    <w:lvl w:ilvl="4" w:tplc="1A8CBD56">
      <w:numFmt w:val="bullet"/>
      <w:lvlText w:val="•"/>
      <w:lvlJc w:val="left"/>
      <w:pPr>
        <w:ind w:left="4948" w:hanging="296"/>
      </w:pPr>
      <w:rPr>
        <w:rFonts w:hint="default"/>
        <w:lang w:val="en-US" w:eastAsia="en-US" w:bidi="ar-SA"/>
      </w:rPr>
    </w:lvl>
    <w:lvl w:ilvl="5" w:tplc="0A7ED8EA">
      <w:numFmt w:val="bullet"/>
      <w:lvlText w:val="•"/>
      <w:lvlJc w:val="left"/>
      <w:pPr>
        <w:ind w:left="5930" w:hanging="296"/>
      </w:pPr>
      <w:rPr>
        <w:rFonts w:hint="default"/>
        <w:lang w:val="en-US" w:eastAsia="en-US" w:bidi="ar-SA"/>
      </w:rPr>
    </w:lvl>
    <w:lvl w:ilvl="6" w:tplc="00262C98">
      <w:numFmt w:val="bullet"/>
      <w:lvlText w:val="•"/>
      <w:lvlJc w:val="left"/>
      <w:pPr>
        <w:ind w:left="6912" w:hanging="296"/>
      </w:pPr>
      <w:rPr>
        <w:rFonts w:hint="default"/>
        <w:lang w:val="en-US" w:eastAsia="en-US" w:bidi="ar-SA"/>
      </w:rPr>
    </w:lvl>
    <w:lvl w:ilvl="7" w:tplc="188AD2AC">
      <w:numFmt w:val="bullet"/>
      <w:lvlText w:val="•"/>
      <w:lvlJc w:val="left"/>
      <w:pPr>
        <w:ind w:left="7894" w:hanging="296"/>
      </w:pPr>
      <w:rPr>
        <w:rFonts w:hint="default"/>
        <w:lang w:val="en-US" w:eastAsia="en-US" w:bidi="ar-SA"/>
      </w:rPr>
    </w:lvl>
    <w:lvl w:ilvl="8" w:tplc="CC0205FE">
      <w:numFmt w:val="bullet"/>
      <w:lvlText w:val="•"/>
      <w:lvlJc w:val="left"/>
      <w:pPr>
        <w:ind w:left="8876" w:hanging="296"/>
      </w:pPr>
      <w:rPr>
        <w:rFonts w:hint="default"/>
        <w:lang w:val="en-US" w:eastAsia="en-US" w:bidi="ar-SA"/>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useFELayout/>
  </w:compat>
  <w:rsids>
    <w:rsidRoot w:val="009A553D"/>
    <w:rsid w:val="00036F85"/>
    <w:rsid w:val="000D37DB"/>
    <w:rsid w:val="001A60CC"/>
    <w:rsid w:val="00265181"/>
    <w:rsid w:val="002F62D5"/>
    <w:rsid w:val="005D4603"/>
    <w:rsid w:val="005E522A"/>
    <w:rsid w:val="006E05CF"/>
    <w:rsid w:val="007C6D96"/>
    <w:rsid w:val="00910927"/>
    <w:rsid w:val="009A553D"/>
    <w:rsid w:val="00A43AF9"/>
    <w:rsid w:val="00A61A2B"/>
    <w:rsid w:val="00AC2555"/>
    <w:rsid w:val="00AF745D"/>
    <w:rsid w:val="00EB655A"/>
    <w:rsid w:val="00F22118"/>
    <w:rsid w:val="00F3374D"/>
    <w:rsid w:val="00FE5D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2555"/>
    <w:rPr>
      <w:rFonts w:ascii="Times New Roman" w:eastAsia="Times New Roman" w:hAnsi="Times New Roman" w:cs="Times New Roman"/>
    </w:rPr>
  </w:style>
  <w:style w:type="paragraph" w:styleId="Heading1">
    <w:name w:val="heading 1"/>
    <w:basedOn w:val="Normal"/>
    <w:uiPriority w:val="1"/>
    <w:qFormat/>
    <w:rsid w:val="00AC2555"/>
    <w:pPr>
      <w:ind w:left="1020"/>
      <w:outlineLvl w:val="0"/>
    </w:pPr>
    <w:rPr>
      <w:b/>
      <w:bCs/>
      <w:sz w:val="24"/>
      <w:szCs w:val="24"/>
    </w:rPr>
  </w:style>
  <w:style w:type="paragraph" w:styleId="Heading2">
    <w:name w:val="heading 2"/>
    <w:basedOn w:val="Normal"/>
    <w:uiPriority w:val="1"/>
    <w:qFormat/>
    <w:rsid w:val="00AC2555"/>
    <w:pPr>
      <w:ind w:left="10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C2555"/>
    <w:rPr>
      <w:sz w:val="24"/>
      <w:szCs w:val="24"/>
    </w:rPr>
  </w:style>
  <w:style w:type="paragraph" w:styleId="Title">
    <w:name w:val="Title"/>
    <w:basedOn w:val="Normal"/>
    <w:uiPriority w:val="1"/>
    <w:qFormat/>
    <w:rsid w:val="00AC2555"/>
    <w:pPr>
      <w:spacing w:before="102"/>
      <w:ind w:left="1020" w:right="1157"/>
    </w:pPr>
    <w:rPr>
      <w:b/>
      <w:bCs/>
      <w:i/>
      <w:sz w:val="25"/>
      <w:szCs w:val="25"/>
    </w:rPr>
  </w:style>
  <w:style w:type="paragraph" w:styleId="ListParagraph">
    <w:name w:val="List Paragraph"/>
    <w:basedOn w:val="Normal"/>
    <w:uiPriority w:val="1"/>
    <w:qFormat/>
    <w:rsid w:val="00AC2555"/>
    <w:pPr>
      <w:ind w:left="2460" w:hanging="361"/>
    </w:pPr>
  </w:style>
  <w:style w:type="paragraph" w:customStyle="1" w:styleId="TableParagraph">
    <w:name w:val="Table Paragraph"/>
    <w:basedOn w:val="Normal"/>
    <w:uiPriority w:val="1"/>
    <w:qFormat/>
    <w:rsid w:val="00AC2555"/>
    <w:pPr>
      <w:ind w:left="97"/>
    </w:pPr>
  </w:style>
  <w:style w:type="paragraph" w:styleId="Header">
    <w:name w:val="header"/>
    <w:basedOn w:val="Normal"/>
    <w:link w:val="HeaderChar"/>
    <w:uiPriority w:val="99"/>
    <w:unhideWhenUsed/>
    <w:rsid w:val="00910927"/>
    <w:pPr>
      <w:tabs>
        <w:tab w:val="center" w:pos="4153"/>
        <w:tab w:val="right" w:pos="8306"/>
      </w:tabs>
    </w:pPr>
  </w:style>
  <w:style w:type="character" w:customStyle="1" w:styleId="HeaderChar">
    <w:name w:val="Header Char"/>
    <w:basedOn w:val="DefaultParagraphFont"/>
    <w:link w:val="Header"/>
    <w:uiPriority w:val="99"/>
    <w:rsid w:val="00910927"/>
    <w:rPr>
      <w:rFonts w:ascii="Times New Roman" w:eastAsia="Times New Roman" w:hAnsi="Times New Roman" w:cs="Times New Roman"/>
    </w:rPr>
  </w:style>
  <w:style w:type="paragraph" w:styleId="Footer">
    <w:name w:val="footer"/>
    <w:basedOn w:val="Normal"/>
    <w:link w:val="FooterChar"/>
    <w:uiPriority w:val="99"/>
    <w:unhideWhenUsed/>
    <w:rsid w:val="00910927"/>
    <w:pPr>
      <w:tabs>
        <w:tab w:val="center" w:pos="4153"/>
        <w:tab w:val="right" w:pos="8306"/>
      </w:tabs>
    </w:pPr>
  </w:style>
  <w:style w:type="character" w:customStyle="1" w:styleId="FooterChar">
    <w:name w:val="Footer Char"/>
    <w:basedOn w:val="DefaultParagraphFont"/>
    <w:link w:val="Footer"/>
    <w:uiPriority w:val="99"/>
    <w:rsid w:val="00910927"/>
    <w:rPr>
      <w:rFonts w:ascii="Times New Roman" w:eastAsia="Times New Roman" w:hAnsi="Times New Roman" w:cs="Times New Roman"/>
    </w:rPr>
  </w:style>
  <w:style w:type="character" w:styleId="Hyperlink">
    <w:name w:val="Hyperlink"/>
    <w:basedOn w:val="DefaultParagraphFont"/>
    <w:uiPriority w:val="99"/>
    <w:unhideWhenUsed/>
    <w:rsid w:val="00910927"/>
    <w:rPr>
      <w:color w:val="0000FF" w:themeColor="hyperlink"/>
      <w:u w:val="single"/>
    </w:rPr>
  </w:style>
  <w:style w:type="paragraph" w:styleId="BalloonText">
    <w:name w:val="Balloon Text"/>
    <w:basedOn w:val="Normal"/>
    <w:link w:val="BalloonTextChar"/>
    <w:uiPriority w:val="99"/>
    <w:semiHidden/>
    <w:unhideWhenUsed/>
    <w:rsid w:val="00A61A2B"/>
    <w:rPr>
      <w:rFonts w:ascii="Tahoma" w:hAnsi="Tahoma" w:cs="Tahoma"/>
      <w:sz w:val="16"/>
      <w:szCs w:val="16"/>
    </w:rPr>
  </w:style>
  <w:style w:type="character" w:customStyle="1" w:styleId="BalloonTextChar">
    <w:name w:val="Balloon Text Char"/>
    <w:basedOn w:val="DefaultParagraphFont"/>
    <w:link w:val="BalloonText"/>
    <w:uiPriority w:val="99"/>
    <w:semiHidden/>
    <w:rsid w:val="00A61A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0"/>
      <w:outlineLvl w:val="0"/>
    </w:pPr>
    <w:rPr>
      <w:b/>
      <w:bCs/>
      <w:sz w:val="24"/>
      <w:szCs w:val="24"/>
    </w:rPr>
  </w:style>
  <w:style w:type="paragraph" w:styleId="Heading2">
    <w:name w:val="heading 2"/>
    <w:basedOn w:val="Normal"/>
    <w:uiPriority w:val="1"/>
    <w:qFormat/>
    <w:pPr>
      <w:ind w:left="10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02"/>
      <w:ind w:left="1020" w:right="1157"/>
    </w:pPr>
    <w:rPr>
      <w:b/>
      <w:bCs/>
      <w:i/>
      <w:sz w:val="25"/>
      <w:szCs w:val="25"/>
    </w:rPr>
  </w:style>
  <w:style w:type="paragraph" w:styleId="ListParagraph">
    <w:name w:val="List Paragraph"/>
    <w:basedOn w:val="Normal"/>
    <w:uiPriority w:val="1"/>
    <w:qFormat/>
    <w:pPr>
      <w:ind w:left="2460" w:hanging="361"/>
    </w:pPr>
  </w:style>
  <w:style w:type="paragraph" w:customStyle="1" w:styleId="TableParagraph">
    <w:name w:val="Table Paragraph"/>
    <w:basedOn w:val="Normal"/>
    <w:uiPriority w:val="1"/>
    <w:qFormat/>
    <w:pPr>
      <w:ind w:left="97"/>
    </w:pPr>
  </w:style>
  <w:style w:type="paragraph" w:styleId="Header">
    <w:name w:val="header"/>
    <w:basedOn w:val="Normal"/>
    <w:link w:val="HeaderChar"/>
    <w:uiPriority w:val="99"/>
    <w:unhideWhenUsed/>
    <w:rsid w:val="00910927"/>
    <w:pPr>
      <w:tabs>
        <w:tab w:val="center" w:pos="4153"/>
        <w:tab w:val="right" w:pos="8306"/>
      </w:tabs>
    </w:pPr>
  </w:style>
  <w:style w:type="character" w:customStyle="1" w:styleId="HeaderChar">
    <w:name w:val="Header Char"/>
    <w:basedOn w:val="DefaultParagraphFont"/>
    <w:link w:val="Header"/>
    <w:uiPriority w:val="99"/>
    <w:rsid w:val="00910927"/>
    <w:rPr>
      <w:rFonts w:ascii="Times New Roman" w:eastAsia="Times New Roman" w:hAnsi="Times New Roman" w:cs="Times New Roman"/>
    </w:rPr>
  </w:style>
  <w:style w:type="paragraph" w:styleId="Footer">
    <w:name w:val="footer"/>
    <w:basedOn w:val="Normal"/>
    <w:link w:val="FooterChar"/>
    <w:uiPriority w:val="99"/>
    <w:unhideWhenUsed/>
    <w:rsid w:val="00910927"/>
    <w:pPr>
      <w:tabs>
        <w:tab w:val="center" w:pos="4153"/>
        <w:tab w:val="right" w:pos="8306"/>
      </w:tabs>
    </w:pPr>
  </w:style>
  <w:style w:type="character" w:customStyle="1" w:styleId="FooterChar">
    <w:name w:val="Footer Char"/>
    <w:basedOn w:val="DefaultParagraphFont"/>
    <w:link w:val="Footer"/>
    <w:uiPriority w:val="99"/>
    <w:rsid w:val="00910927"/>
    <w:rPr>
      <w:rFonts w:ascii="Times New Roman" w:eastAsia="Times New Roman" w:hAnsi="Times New Roman" w:cs="Times New Roman"/>
    </w:rPr>
  </w:style>
  <w:style w:type="character" w:styleId="Hyperlink">
    <w:name w:val="Hyperlink"/>
    <w:basedOn w:val="DefaultParagraphFont"/>
    <w:uiPriority w:val="99"/>
    <w:unhideWhenUsed/>
    <w:rsid w:val="0091092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www.sciencedirect.com/topics/medicine-and-dentistry/dydrogesterone" TargetMode="External"/><Relationship Id="rId18" Type="http://schemas.openxmlformats.org/officeDocument/2006/relationships/hyperlink" Target="https://www.sciencedirect.com/topics/medicine-and-dentistry/coitus" TargetMode="External"/><Relationship Id="rId3" Type="http://schemas.openxmlformats.org/officeDocument/2006/relationships/settings" Target="settings.xml"/><Relationship Id="rId7" Type="http://schemas.openxmlformats.org/officeDocument/2006/relationships/hyperlink" Target="mailto:dr_nahoola@yahoo.com" TargetMode="External"/><Relationship Id="rId12" Type="http://schemas.openxmlformats.org/officeDocument/2006/relationships/header" Target="header2.xml"/><Relationship Id="rId17" Type="http://schemas.openxmlformats.org/officeDocument/2006/relationships/hyperlink" Target="https://www.sciencedirect.com/topics/medicine-and-dentistry/vagina-bleeding" TargetMode="External"/><Relationship Id="rId2" Type="http://schemas.openxmlformats.org/officeDocument/2006/relationships/styles" Target="styles.xml"/><Relationship Id="rId16" Type="http://schemas.openxmlformats.org/officeDocument/2006/relationships/hyperlink" Target="https://www.sciencedirect.com/topics/medicine-and-dentistry/oocyte-retriev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sciencedirect.com/topics/medicine-and-dentistry/luteal-sup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130120.12" TargetMode="External"/><Relationship Id="rId14" Type="http://schemas.openxmlformats.org/officeDocument/2006/relationships/hyperlink" Target="https://www.sciencedirect.com/topics/medicine-and-dentistry/supplem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3930</Words>
  <Characters>22402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m7md</dc:creator>
  <cp:lastModifiedBy>Administrator</cp:lastModifiedBy>
  <cp:revision>4</cp:revision>
  <dcterms:created xsi:type="dcterms:W3CDTF">2019-12-28T14:29:00Z</dcterms:created>
  <dcterms:modified xsi:type="dcterms:W3CDTF">2019-12-29T06:43:00Z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2019-11-23T00:00:00Z</vt:filetime>
  </property>
  <property fmtid="{D5CDD505-2E9C-101B-9397-08002B2CF9AE}" pid="3" name="Creator">
    <vt:lpwstr>Microsoft® Word 2010</vt:lpwstr>
  </property>
  <property fmtid="{D5CDD505-2E9C-101B-9397-08002B2CF9AE}" pid="4" name="LastSaved">
    <vt:filetime>2019-12-27T00:00:00Z</vt:filetime>
  </property>
</Properties>
</file>