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63" w:rsidRPr="00C52063" w:rsidRDefault="00C52063" w:rsidP="00C52063">
      <w:pPr>
        <w:pStyle w:val="NoSpacing"/>
        <w:snapToGrid w:val="0"/>
        <w:jc w:val="center"/>
        <w:rPr>
          <w:rFonts w:eastAsiaTheme="minorEastAsia"/>
          <w:b/>
          <w:sz w:val="20"/>
          <w:szCs w:val="20"/>
          <w:lang w:eastAsia="zh-CN"/>
        </w:rPr>
      </w:pPr>
    </w:p>
    <w:p w:rsidR="00CF1619" w:rsidRPr="00C52063" w:rsidRDefault="006233F8" w:rsidP="00C52063">
      <w:pPr>
        <w:pStyle w:val="NoSpacing"/>
        <w:snapToGrid w:val="0"/>
        <w:jc w:val="center"/>
        <w:rPr>
          <w:b/>
          <w:sz w:val="20"/>
          <w:szCs w:val="20"/>
        </w:rPr>
      </w:pPr>
      <w:r w:rsidRPr="00C52063">
        <w:rPr>
          <w:b/>
          <w:sz w:val="20"/>
          <w:szCs w:val="20"/>
        </w:rPr>
        <w:t>CHA</w:t>
      </w:r>
      <w:r w:rsidR="00B81D0F" w:rsidRPr="00C52063">
        <w:rPr>
          <w:rFonts w:ascii="Cambria Math" w:hAnsi="Cambria Math"/>
          <w:b/>
          <w:sz w:val="20"/>
          <w:szCs w:val="20"/>
        </w:rPr>
        <w:t>₂</w:t>
      </w:r>
      <w:r w:rsidRPr="00C52063">
        <w:rPr>
          <w:b/>
          <w:sz w:val="20"/>
          <w:szCs w:val="20"/>
        </w:rPr>
        <w:t>DS</w:t>
      </w:r>
      <w:r w:rsidR="00B81D0F" w:rsidRPr="00C52063">
        <w:rPr>
          <w:rFonts w:ascii="Cambria Math" w:hAnsi="Cambria Math"/>
          <w:b/>
          <w:sz w:val="20"/>
          <w:szCs w:val="20"/>
        </w:rPr>
        <w:t>₂</w:t>
      </w:r>
      <w:r w:rsidR="00B81D0F" w:rsidRPr="00C52063">
        <w:rPr>
          <w:b/>
          <w:sz w:val="20"/>
          <w:szCs w:val="20"/>
        </w:rPr>
        <w:t>-Vasc</w:t>
      </w:r>
      <w:r w:rsidRPr="00C52063">
        <w:rPr>
          <w:b/>
          <w:sz w:val="20"/>
          <w:szCs w:val="20"/>
        </w:rPr>
        <w:t xml:space="preserve">HSF Score </w:t>
      </w:r>
      <w:r w:rsidR="00B81D0F" w:rsidRPr="00C52063">
        <w:rPr>
          <w:b/>
          <w:sz w:val="20"/>
          <w:szCs w:val="20"/>
        </w:rPr>
        <w:t xml:space="preserve">as a </w:t>
      </w:r>
      <w:r w:rsidRPr="00C52063">
        <w:rPr>
          <w:b/>
          <w:sz w:val="20"/>
          <w:szCs w:val="20"/>
        </w:rPr>
        <w:t xml:space="preserve">Predictor </w:t>
      </w:r>
      <w:r w:rsidR="00B81D0F" w:rsidRPr="00C52063">
        <w:rPr>
          <w:b/>
          <w:sz w:val="20"/>
          <w:szCs w:val="20"/>
        </w:rPr>
        <w:t xml:space="preserve">of </w:t>
      </w:r>
      <w:r w:rsidRPr="00C52063">
        <w:rPr>
          <w:b/>
          <w:sz w:val="20"/>
          <w:szCs w:val="20"/>
        </w:rPr>
        <w:t>No</w:t>
      </w:r>
      <w:r w:rsidR="00B81D0F" w:rsidRPr="00C52063">
        <w:rPr>
          <w:b/>
          <w:sz w:val="20"/>
          <w:szCs w:val="20"/>
        </w:rPr>
        <w:t>-</w:t>
      </w:r>
      <w:r w:rsidRPr="00C52063">
        <w:rPr>
          <w:b/>
          <w:sz w:val="20"/>
          <w:szCs w:val="20"/>
        </w:rPr>
        <w:t xml:space="preserve">Reflow </w:t>
      </w:r>
      <w:r w:rsidR="00B81D0F" w:rsidRPr="00C52063">
        <w:rPr>
          <w:b/>
          <w:sz w:val="20"/>
          <w:szCs w:val="20"/>
        </w:rPr>
        <w:t xml:space="preserve">in </w:t>
      </w:r>
      <w:r w:rsidRPr="00C52063">
        <w:rPr>
          <w:b/>
          <w:sz w:val="20"/>
          <w:szCs w:val="20"/>
        </w:rPr>
        <w:t xml:space="preserve">Patients </w:t>
      </w:r>
      <w:r w:rsidR="00B81D0F" w:rsidRPr="00C52063">
        <w:rPr>
          <w:b/>
          <w:sz w:val="20"/>
          <w:szCs w:val="20"/>
        </w:rPr>
        <w:t>with</w:t>
      </w:r>
      <w:r w:rsidRPr="00C52063">
        <w:rPr>
          <w:b/>
          <w:sz w:val="20"/>
          <w:szCs w:val="20"/>
        </w:rPr>
        <w:t xml:space="preserve"> ST</w:t>
      </w:r>
      <w:r w:rsidR="00B81D0F" w:rsidRPr="00C52063">
        <w:rPr>
          <w:b/>
          <w:sz w:val="20"/>
          <w:szCs w:val="20"/>
        </w:rPr>
        <w:t>-</w:t>
      </w:r>
      <w:r w:rsidRPr="00C52063">
        <w:rPr>
          <w:b/>
          <w:sz w:val="20"/>
          <w:szCs w:val="20"/>
        </w:rPr>
        <w:t>Segment Elevation Myocardial Infarction Who Underwent Pr</w:t>
      </w:r>
      <w:r w:rsidR="00020E0B" w:rsidRPr="00C52063">
        <w:rPr>
          <w:b/>
          <w:sz w:val="20"/>
          <w:szCs w:val="20"/>
        </w:rPr>
        <w:t>imary Percutaneous Intervention</w:t>
      </w:r>
    </w:p>
    <w:p w:rsidR="00CF1619" w:rsidRPr="00C52063" w:rsidRDefault="00CF1619" w:rsidP="00C52063">
      <w:pPr>
        <w:pStyle w:val="NoSpacing"/>
        <w:snapToGrid w:val="0"/>
        <w:jc w:val="center"/>
        <w:rPr>
          <w:b/>
          <w:sz w:val="20"/>
          <w:szCs w:val="20"/>
        </w:rPr>
      </w:pPr>
    </w:p>
    <w:p w:rsidR="00F60A3E" w:rsidRDefault="006233F8" w:rsidP="00C52063">
      <w:pPr>
        <w:pStyle w:val="NoSpacing"/>
        <w:snapToGrid w:val="0"/>
        <w:jc w:val="center"/>
        <w:rPr>
          <w:rFonts w:eastAsiaTheme="minorEastAsia"/>
          <w:sz w:val="20"/>
          <w:szCs w:val="19"/>
          <w:lang w:eastAsia="zh-CN"/>
        </w:rPr>
      </w:pPr>
      <w:r w:rsidRPr="00C52063">
        <w:rPr>
          <w:sz w:val="20"/>
          <w:szCs w:val="19"/>
        </w:rPr>
        <w:t>Ahmed</w:t>
      </w:r>
      <w:r w:rsidR="00196C43" w:rsidRPr="00C52063">
        <w:rPr>
          <w:sz w:val="20"/>
          <w:szCs w:val="19"/>
        </w:rPr>
        <w:t xml:space="preserve"> </w:t>
      </w:r>
      <w:r w:rsidR="002B72E3" w:rsidRPr="00C52063">
        <w:rPr>
          <w:sz w:val="20"/>
          <w:szCs w:val="19"/>
        </w:rPr>
        <w:t>Muhammed</w:t>
      </w:r>
      <w:r w:rsidR="00196C43" w:rsidRPr="00C52063">
        <w:rPr>
          <w:sz w:val="20"/>
          <w:szCs w:val="19"/>
        </w:rPr>
        <w:t xml:space="preserve"> </w:t>
      </w:r>
      <w:r w:rsidRPr="00C52063">
        <w:rPr>
          <w:sz w:val="20"/>
          <w:szCs w:val="19"/>
        </w:rPr>
        <w:t>Rashad MSc</w:t>
      </w:r>
      <w:r w:rsidR="00B81D0F" w:rsidRPr="00C52063">
        <w:rPr>
          <w:sz w:val="20"/>
          <w:szCs w:val="19"/>
        </w:rPr>
        <w:t>, Magdy</w:t>
      </w:r>
      <w:r w:rsidRPr="00C52063">
        <w:rPr>
          <w:sz w:val="20"/>
          <w:szCs w:val="19"/>
        </w:rPr>
        <w:t xml:space="preserve"> M. El-Masry MD</w:t>
      </w:r>
      <w:r w:rsidR="00B81D0F" w:rsidRPr="00C52063">
        <w:rPr>
          <w:sz w:val="20"/>
          <w:szCs w:val="19"/>
        </w:rPr>
        <w:t>, Sahar</w:t>
      </w:r>
      <w:r w:rsidR="00196C43" w:rsidRPr="00C52063">
        <w:rPr>
          <w:sz w:val="20"/>
          <w:szCs w:val="19"/>
        </w:rPr>
        <w:t xml:space="preserve"> </w:t>
      </w:r>
      <w:r w:rsidR="00B81D0F" w:rsidRPr="00C52063">
        <w:rPr>
          <w:sz w:val="20"/>
          <w:szCs w:val="19"/>
        </w:rPr>
        <w:t>A.</w:t>
      </w:r>
      <w:r w:rsidR="00196C43" w:rsidRPr="00C52063">
        <w:rPr>
          <w:sz w:val="20"/>
          <w:szCs w:val="19"/>
        </w:rPr>
        <w:t xml:space="preserve"> </w:t>
      </w:r>
      <w:r w:rsidR="00B81D0F" w:rsidRPr="00C52063">
        <w:rPr>
          <w:sz w:val="20"/>
          <w:szCs w:val="19"/>
        </w:rPr>
        <w:t>El</w:t>
      </w:r>
      <w:r w:rsidRPr="00C52063">
        <w:rPr>
          <w:sz w:val="20"/>
          <w:szCs w:val="19"/>
        </w:rPr>
        <w:t>-Shedoudy MD</w:t>
      </w:r>
      <w:r w:rsidR="00085F51" w:rsidRPr="00C52063">
        <w:rPr>
          <w:sz w:val="20"/>
          <w:szCs w:val="19"/>
        </w:rPr>
        <w:t xml:space="preserve"> and</w:t>
      </w:r>
      <w:r w:rsidRPr="00C52063">
        <w:rPr>
          <w:sz w:val="20"/>
          <w:szCs w:val="19"/>
        </w:rPr>
        <w:t xml:space="preserve"> Ayman</w:t>
      </w:r>
      <w:r w:rsidR="00196C43" w:rsidRPr="00C52063">
        <w:rPr>
          <w:sz w:val="20"/>
          <w:szCs w:val="19"/>
        </w:rPr>
        <w:t xml:space="preserve"> </w:t>
      </w:r>
      <w:r w:rsidRPr="00C52063">
        <w:rPr>
          <w:sz w:val="20"/>
          <w:szCs w:val="19"/>
        </w:rPr>
        <w:t>A</w:t>
      </w:r>
      <w:r w:rsidR="00C52063" w:rsidRPr="00C52063">
        <w:rPr>
          <w:sz w:val="20"/>
          <w:szCs w:val="19"/>
        </w:rPr>
        <w:t>.</w:t>
      </w:r>
      <w:r w:rsidR="00C52063">
        <w:rPr>
          <w:sz w:val="20"/>
          <w:szCs w:val="19"/>
        </w:rPr>
        <w:t xml:space="preserve"> </w:t>
      </w:r>
      <w:r w:rsidR="00C52063" w:rsidRPr="00C52063">
        <w:rPr>
          <w:sz w:val="20"/>
          <w:szCs w:val="19"/>
        </w:rPr>
        <w:t>E</w:t>
      </w:r>
      <w:r w:rsidRPr="00C52063">
        <w:rPr>
          <w:sz w:val="20"/>
          <w:szCs w:val="19"/>
        </w:rPr>
        <w:t>l-Sheikh MD.</w:t>
      </w:r>
    </w:p>
    <w:p w:rsidR="00C52063" w:rsidRPr="00C52063" w:rsidRDefault="00C52063" w:rsidP="00C52063">
      <w:pPr>
        <w:pStyle w:val="NoSpacing"/>
        <w:snapToGrid w:val="0"/>
        <w:jc w:val="center"/>
        <w:rPr>
          <w:rFonts w:eastAsiaTheme="minorEastAsia"/>
          <w:sz w:val="20"/>
          <w:szCs w:val="19"/>
          <w:lang w:eastAsia="zh-CN"/>
        </w:rPr>
      </w:pPr>
    </w:p>
    <w:p w:rsidR="00CF1619" w:rsidRPr="00C52063" w:rsidRDefault="006233F8" w:rsidP="00C52063">
      <w:pPr>
        <w:pStyle w:val="NoSpacing"/>
        <w:snapToGrid w:val="0"/>
        <w:jc w:val="center"/>
        <w:rPr>
          <w:sz w:val="20"/>
          <w:szCs w:val="20"/>
        </w:rPr>
      </w:pPr>
      <w:r w:rsidRPr="00C52063">
        <w:rPr>
          <w:sz w:val="20"/>
          <w:szCs w:val="20"/>
        </w:rPr>
        <w:t xml:space="preserve">Cardiology </w:t>
      </w:r>
      <w:r w:rsidR="00196C43" w:rsidRPr="00C52063">
        <w:rPr>
          <w:sz w:val="20"/>
          <w:szCs w:val="20"/>
        </w:rPr>
        <w:t xml:space="preserve">Department, </w:t>
      </w:r>
      <w:r w:rsidRPr="00C52063">
        <w:rPr>
          <w:sz w:val="20"/>
          <w:szCs w:val="20"/>
        </w:rPr>
        <w:t>Faculty</w:t>
      </w:r>
      <w:r w:rsidR="00196C43" w:rsidRPr="00C52063">
        <w:rPr>
          <w:sz w:val="20"/>
          <w:szCs w:val="20"/>
        </w:rPr>
        <w:t xml:space="preserve"> </w:t>
      </w:r>
      <w:r w:rsidRPr="00C52063">
        <w:rPr>
          <w:sz w:val="20"/>
          <w:szCs w:val="20"/>
        </w:rPr>
        <w:t>of</w:t>
      </w:r>
      <w:r w:rsidR="00196C43" w:rsidRPr="00C52063">
        <w:rPr>
          <w:sz w:val="20"/>
          <w:szCs w:val="20"/>
        </w:rPr>
        <w:t xml:space="preserve"> M</w:t>
      </w:r>
      <w:r w:rsidRPr="00C52063">
        <w:rPr>
          <w:sz w:val="20"/>
          <w:szCs w:val="20"/>
        </w:rPr>
        <w:t>edicine</w:t>
      </w:r>
      <w:r w:rsidR="00196C43" w:rsidRPr="00C52063">
        <w:rPr>
          <w:sz w:val="20"/>
          <w:szCs w:val="20"/>
        </w:rPr>
        <w:t xml:space="preserve">, Tanta University, </w:t>
      </w:r>
      <w:r w:rsidR="00F60A3E" w:rsidRPr="00C52063">
        <w:rPr>
          <w:sz w:val="20"/>
          <w:szCs w:val="20"/>
        </w:rPr>
        <w:t>Egypt</w:t>
      </w:r>
    </w:p>
    <w:p w:rsidR="00CF1619" w:rsidRPr="00C52063" w:rsidRDefault="00CF1619" w:rsidP="00C52063">
      <w:pPr>
        <w:pStyle w:val="NoSpacing"/>
        <w:snapToGrid w:val="0"/>
        <w:jc w:val="center"/>
        <w:rPr>
          <w:sz w:val="20"/>
          <w:szCs w:val="20"/>
        </w:rPr>
      </w:pPr>
    </w:p>
    <w:p w:rsidR="00B81D0F" w:rsidRPr="00C52063" w:rsidRDefault="00B81D0F" w:rsidP="00C52063">
      <w:pPr>
        <w:pStyle w:val="NoSpacing"/>
        <w:snapToGrid w:val="0"/>
        <w:jc w:val="both"/>
        <w:rPr>
          <w:sz w:val="20"/>
          <w:szCs w:val="20"/>
        </w:rPr>
      </w:pPr>
      <w:r w:rsidRPr="00C52063">
        <w:rPr>
          <w:b/>
          <w:sz w:val="20"/>
          <w:szCs w:val="20"/>
        </w:rPr>
        <w:t>Abstract</w:t>
      </w:r>
      <w:r w:rsidR="006233F8" w:rsidRPr="00C52063">
        <w:rPr>
          <w:b/>
          <w:sz w:val="20"/>
          <w:szCs w:val="20"/>
        </w:rPr>
        <w:t>:</w:t>
      </w:r>
      <w:r w:rsidRPr="00C52063">
        <w:rPr>
          <w:sz w:val="20"/>
          <w:szCs w:val="20"/>
        </w:rPr>
        <w:t xml:space="preserve"> Background: Primary percutaneous coronary intervention is the preferred reperfusion strategy used in patients with acute STEMI to prevent progression of myocardial necrosis. Besides the advantages of this strategy, there are situations in which myocardial reperfusion is not restored to its optimal level.</w:t>
      </w:r>
      <w:r w:rsidR="00196C43" w:rsidRPr="00C52063">
        <w:rPr>
          <w:sz w:val="20"/>
          <w:szCs w:val="20"/>
        </w:rPr>
        <w:t xml:space="preserve"> </w:t>
      </w:r>
      <w:r w:rsidRPr="00C52063">
        <w:rPr>
          <w:sz w:val="20"/>
          <w:szCs w:val="20"/>
        </w:rPr>
        <w:t>Angiographic no-reflow phenomenon, a reduced coronary antegrade flow (TIMI flow grade ≤ 2 ) without mechanical obstruction after recanalization, predicts poor LV functional recovery and survival in the early phase of STEMI</w:t>
      </w:r>
      <w:r w:rsidR="00641C07" w:rsidRPr="00C52063">
        <w:rPr>
          <w:sz w:val="20"/>
          <w:szCs w:val="20"/>
        </w:rPr>
        <w:fldChar w:fldCharType="begin" w:fldLock="1"/>
      </w:r>
      <w:r w:rsidRPr="00C52063">
        <w:rPr>
          <w:sz w:val="20"/>
          <w:szCs w:val="20"/>
        </w:rPr>
        <w:instrText>ADDIN CSL_CITATION {"citationItems":[{"id":"ITEM-1","itemData":{"author":[{"dropping-particle":"","family":"Okayama","given":"H Ito - Acta Med","non-dropping-particle":"","parse-names":false,"suffix":""},{"dropping-particle":"","family":"2009","given":"Undefined","non-dropping-particle":"","parse-names":false,"suffix":""}],"id":"ITEM-1","issued":{"date-parts":[["2009"]]},"title":"No-reflow phenomenon in patients with acute myocardial infarction: its pathophysiology and clinical implications","type":"article-journal"},"uris":["http://www.mendeley.com/documents/?uuid=cc3b9a9f-8857-3f0e-bb3b-a9a1281d083d"]}],"mendeley":{"formattedCitation":"&lt;sup&gt;1&lt;/sup&gt;","plainTextFormattedCitation":"1","previouslyFormattedCitation":"&lt;sup&gt;1&lt;/sup&gt;"},"properties":{"noteIndex":0},"schema":"https://github.com/citation-style-language/schema/raw/master/csl-citation.json"}</w:instrText>
      </w:r>
      <w:r w:rsidR="00641C07" w:rsidRPr="00C52063">
        <w:rPr>
          <w:sz w:val="20"/>
          <w:szCs w:val="20"/>
        </w:rPr>
        <w:fldChar w:fldCharType="separate"/>
      </w:r>
      <w:r w:rsidRPr="00C52063">
        <w:rPr>
          <w:noProof/>
          <w:sz w:val="20"/>
          <w:szCs w:val="20"/>
          <w:vertAlign w:val="superscript"/>
        </w:rPr>
        <w:t>1</w:t>
      </w:r>
      <w:r w:rsidR="00641C07" w:rsidRPr="00C52063">
        <w:rPr>
          <w:sz w:val="20"/>
          <w:szCs w:val="20"/>
        </w:rPr>
        <w:fldChar w:fldCharType="end"/>
      </w:r>
      <w:r w:rsidRPr="00C52063">
        <w:rPr>
          <w:sz w:val="20"/>
          <w:szCs w:val="20"/>
        </w:rPr>
        <w:t>. The no-reflow phenomenon is critical and, if not reversed, causes a high rate of morbidity and mortality</w:t>
      </w:r>
      <w:r w:rsidR="00C52063" w:rsidRPr="00C52063">
        <w:rPr>
          <w:sz w:val="20"/>
          <w:szCs w:val="20"/>
        </w:rPr>
        <w:t>.</w:t>
      </w:r>
      <w:r w:rsidR="00C52063">
        <w:rPr>
          <w:sz w:val="20"/>
          <w:szCs w:val="20"/>
        </w:rPr>
        <w:t xml:space="preserve"> </w:t>
      </w:r>
      <w:r w:rsidR="00C52063" w:rsidRPr="00C52063">
        <w:rPr>
          <w:sz w:val="20"/>
          <w:szCs w:val="20"/>
        </w:rPr>
        <w:t>C</w:t>
      </w:r>
      <w:r w:rsidRPr="00C52063">
        <w:rPr>
          <w:sz w:val="20"/>
          <w:szCs w:val="20"/>
        </w:rPr>
        <w:t>HA2DS2-VASc score is used to estimate the risk of thromboembolism in patients with atrial fibrillation</w:t>
      </w:r>
      <w:r w:rsidR="00641C07" w:rsidRPr="00C52063">
        <w:rPr>
          <w:sz w:val="20"/>
          <w:szCs w:val="20"/>
        </w:rPr>
        <w:fldChar w:fldCharType="begin" w:fldLock="1"/>
      </w:r>
      <w:r w:rsidRPr="00C52063">
        <w:rPr>
          <w:sz w:val="20"/>
          <w:szCs w:val="20"/>
        </w:rPr>
        <w:instrText>ADDIN CSL_CITATION {"citationItems":[{"id":"ITEM-1","itemData":{"author":[{"dropping-particle":"","family":"Hart","given":"RG","non-dropping-particle":"","parse-names":false,"suffix":""},{"dropping-particle":"","family":"Pearce","given":"LA","non-dropping-particle":"","parse-names":false,"suffix":""},{"dropping-particle":"","family":"Medicine","given":"MI Aguilar - Annals of internal","non-dropping-particle":"","parse-names":false,"suffix":""},{"dropping-particle":"","family":"2007","given":"Undefined","non-dropping-particle":"","parse-names":false,"suffix":""}],"container-title":"Am Coll Physicians","id":"ITEM-1","issued":{"date-parts":[["0"]]},"title":"Meta-analysis: antithrombotic therapy to prevent stroke in patients who have nonvalvular atrial fibrillation","type":"article-journal"},"uris":["http://www.mendeley.com/documents/?uuid=c98761d9-4c6c-3df8-ae7f-9f2e49008e61"]}],"mendeley":{"formattedCitation":"&lt;sup&gt;2&lt;/sup&gt;","plainTextFormattedCitation":"2","previouslyFormattedCitation":"&lt;sup&gt;2&lt;/sup&gt;"},"properties":{"noteIndex":0},"schema":"https://github.com/citation-style-language/schema/raw/master/csl-citation.json"}</w:instrText>
      </w:r>
      <w:r w:rsidR="00641C07" w:rsidRPr="00C52063">
        <w:rPr>
          <w:sz w:val="20"/>
          <w:szCs w:val="20"/>
        </w:rPr>
        <w:fldChar w:fldCharType="separate"/>
      </w:r>
      <w:r w:rsidRPr="00C52063">
        <w:rPr>
          <w:noProof/>
          <w:sz w:val="20"/>
          <w:szCs w:val="20"/>
          <w:vertAlign w:val="superscript"/>
        </w:rPr>
        <w:t>2</w:t>
      </w:r>
      <w:r w:rsidR="00641C07" w:rsidRPr="00C52063">
        <w:rPr>
          <w:sz w:val="20"/>
          <w:szCs w:val="20"/>
        </w:rPr>
        <w:fldChar w:fldCharType="end"/>
      </w:r>
      <w:r w:rsidRPr="00C52063">
        <w:rPr>
          <w:sz w:val="20"/>
          <w:szCs w:val="20"/>
        </w:rPr>
        <w:t>. Objectives: The aim of this study was to evaluate the new CHA</w:t>
      </w:r>
      <w:r w:rsidRPr="00C52063">
        <w:rPr>
          <w:rFonts w:ascii="Cambria Math" w:hAnsi="Cambria Math"/>
          <w:sz w:val="20"/>
          <w:szCs w:val="20"/>
        </w:rPr>
        <w:t>₂</w:t>
      </w:r>
      <w:r w:rsidRPr="00C52063">
        <w:rPr>
          <w:sz w:val="20"/>
          <w:szCs w:val="20"/>
        </w:rPr>
        <w:t>DS</w:t>
      </w:r>
      <w:r w:rsidRPr="00C52063">
        <w:rPr>
          <w:rFonts w:ascii="Cambria Math" w:hAnsi="Cambria Math"/>
          <w:sz w:val="20"/>
          <w:szCs w:val="20"/>
        </w:rPr>
        <w:t>₂</w:t>
      </w:r>
      <w:r w:rsidRPr="00C52063">
        <w:rPr>
          <w:sz w:val="20"/>
          <w:szCs w:val="20"/>
        </w:rPr>
        <w:t>-VASc HSF Score as a predictor of no-reflow in patients who underwent primary percutaneous intervention. Methods: The present study was conducted on 100 patients admitted with STEMI and treated with 1ry PCI at cardiovascular medicine department Tanta University Hospitals within 6 months from June 2018 to December 2018. Patients were divided into 2 groups according to no-reflow phenomenon. Group 1 consisted of 34 patients that had noreflow phenomenon</w:t>
      </w:r>
      <w:r w:rsidR="00CF1619" w:rsidRPr="00C52063">
        <w:rPr>
          <w:sz w:val="20"/>
          <w:szCs w:val="20"/>
        </w:rPr>
        <w:t xml:space="preserve"> &amp; </w:t>
      </w:r>
      <w:r w:rsidRPr="00C52063">
        <w:rPr>
          <w:sz w:val="20"/>
          <w:szCs w:val="20"/>
        </w:rPr>
        <w:t>group 2 consisted of 66 patients that had normal flow after primary PCI. Results: The occurrence of no-reflow phenomenon after primary PCI can be predicted using the simple CHA</w:t>
      </w:r>
      <w:r w:rsidRPr="00C52063">
        <w:rPr>
          <w:rFonts w:ascii="Cambria Math" w:hAnsi="Cambria Math"/>
          <w:sz w:val="20"/>
          <w:szCs w:val="20"/>
        </w:rPr>
        <w:t>₂</w:t>
      </w:r>
      <w:r w:rsidRPr="00C52063">
        <w:rPr>
          <w:sz w:val="20"/>
          <w:szCs w:val="20"/>
        </w:rPr>
        <w:t>DS</w:t>
      </w:r>
      <w:r w:rsidRPr="00C52063">
        <w:rPr>
          <w:rFonts w:ascii="Cambria Math" w:hAnsi="Cambria Math"/>
          <w:sz w:val="20"/>
          <w:szCs w:val="20"/>
        </w:rPr>
        <w:t>₂</w:t>
      </w:r>
      <w:r w:rsidRPr="00C52063">
        <w:rPr>
          <w:sz w:val="20"/>
          <w:szCs w:val="20"/>
        </w:rPr>
        <w:t>-VASc HSF Scoring system with 73.53 % sensitivity and 66.67 % specificity for a cut off level of ≥ 3 with (P=0.002). Conclusion: CHA</w:t>
      </w:r>
      <w:r w:rsidRPr="00C52063">
        <w:rPr>
          <w:rFonts w:ascii="Cambria Math" w:hAnsi="Cambria Math"/>
          <w:sz w:val="20"/>
          <w:szCs w:val="20"/>
        </w:rPr>
        <w:t>₂</w:t>
      </w:r>
      <w:r w:rsidRPr="00C52063">
        <w:rPr>
          <w:sz w:val="20"/>
          <w:szCs w:val="20"/>
        </w:rPr>
        <w:t>DS</w:t>
      </w:r>
      <w:r w:rsidRPr="00C52063">
        <w:rPr>
          <w:rFonts w:ascii="Cambria Math" w:hAnsi="Cambria Math"/>
          <w:sz w:val="20"/>
          <w:szCs w:val="20"/>
        </w:rPr>
        <w:t>₂</w:t>
      </w:r>
      <w:r w:rsidRPr="00C52063">
        <w:rPr>
          <w:sz w:val="20"/>
          <w:szCs w:val="20"/>
        </w:rPr>
        <w:t>-VASc HSF score can be used as a new, simple, and reliable tool to predict noreflow in patients with ST elevation myocardial infarction who underwent primary percutaneous coronary intervention.</w:t>
      </w:r>
    </w:p>
    <w:p w:rsidR="00C52063" w:rsidRPr="00C52063" w:rsidRDefault="00085F51" w:rsidP="00C52063">
      <w:pPr>
        <w:snapToGrid w:val="0"/>
        <w:jc w:val="both"/>
        <w:rPr>
          <w:b/>
          <w:sz w:val="20"/>
          <w:szCs w:val="20"/>
        </w:rPr>
      </w:pPr>
      <w:r w:rsidRPr="00C52063">
        <w:rPr>
          <w:sz w:val="20"/>
          <w:szCs w:val="20"/>
        </w:rPr>
        <w:t>[</w:t>
      </w:r>
      <w:r w:rsidR="00F60A3E" w:rsidRPr="00C52063">
        <w:rPr>
          <w:sz w:val="20"/>
          <w:szCs w:val="20"/>
        </w:rPr>
        <w:t>Ahme</w:t>
      </w:r>
      <w:r w:rsidRPr="00C52063">
        <w:rPr>
          <w:sz w:val="20"/>
          <w:szCs w:val="20"/>
        </w:rPr>
        <w:t xml:space="preserve">d </w:t>
      </w:r>
      <w:r w:rsidR="00F60A3E" w:rsidRPr="00C52063">
        <w:rPr>
          <w:sz w:val="20"/>
          <w:szCs w:val="20"/>
        </w:rPr>
        <w:t>Muhammed</w:t>
      </w:r>
      <w:r w:rsidR="00196C43" w:rsidRPr="00C52063">
        <w:rPr>
          <w:sz w:val="20"/>
          <w:szCs w:val="20"/>
        </w:rPr>
        <w:t xml:space="preserve"> </w:t>
      </w:r>
      <w:r w:rsidR="00F60A3E" w:rsidRPr="00C52063">
        <w:rPr>
          <w:sz w:val="20"/>
          <w:szCs w:val="20"/>
        </w:rPr>
        <w:t>Rashad, Magdy M. El-Masry, Sahar</w:t>
      </w:r>
      <w:r w:rsidR="00196C43" w:rsidRPr="00C52063">
        <w:rPr>
          <w:sz w:val="20"/>
          <w:szCs w:val="20"/>
        </w:rPr>
        <w:t xml:space="preserve"> </w:t>
      </w:r>
      <w:r w:rsidR="00F60A3E" w:rsidRPr="00C52063">
        <w:rPr>
          <w:sz w:val="20"/>
          <w:szCs w:val="20"/>
        </w:rPr>
        <w:t>A</w:t>
      </w:r>
      <w:r w:rsidR="00C52063" w:rsidRPr="00C52063">
        <w:rPr>
          <w:sz w:val="20"/>
          <w:szCs w:val="20"/>
        </w:rPr>
        <w:t>.</w:t>
      </w:r>
      <w:r w:rsidR="00C52063">
        <w:rPr>
          <w:sz w:val="20"/>
          <w:szCs w:val="20"/>
        </w:rPr>
        <w:t xml:space="preserve"> </w:t>
      </w:r>
      <w:r w:rsidR="00C52063" w:rsidRPr="00C52063">
        <w:rPr>
          <w:sz w:val="20"/>
          <w:szCs w:val="20"/>
        </w:rPr>
        <w:t>E</w:t>
      </w:r>
      <w:r w:rsidR="00F60A3E" w:rsidRPr="00C52063">
        <w:rPr>
          <w:sz w:val="20"/>
          <w:szCs w:val="20"/>
        </w:rPr>
        <w:t>l-Shedoud</w:t>
      </w:r>
      <w:r w:rsidRPr="00C52063">
        <w:rPr>
          <w:sz w:val="20"/>
          <w:szCs w:val="20"/>
        </w:rPr>
        <w:t xml:space="preserve">y and </w:t>
      </w:r>
      <w:r w:rsidR="00F60A3E" w:rsidRPr="00C52063">
        <w:rPr>
          <w:sz w:val="20"/>
          <w:szCs w:val="20"/>
        </w:rPr>
        <w:t>Ayman</w:t>
      </w:r>
      <w:r w:rsidR="00196C43" w:rsidRPr="00C52063">
        <w:rPr>
          <w:sz w:val="20"/>
          <w:szCs w:val="20"/>
        </w:rPr>
        <w:t xml:space="preserve"> </w:t>
      </w:r>
      <w:r w:rsidR="00F60A3E" w:rsidRPr="00C52063">
        <w:rPr>
          <w:sz w:val="20"/>
          <w:szCs w:val="20"/>
        </w:rPr>
        <w:t>A.</w:t>
      </w:r>
      <w:r w:rsidR="00196C43" w:rsidRPr="00C52063">
        <w:rPr>
          <w:sz w:val="20"/>
          <w:szCs w:val="20"/>
        </w:rPr>
        <w:t xml:space="preserve"> </w:t>
      </w:r>
      <w:r w:rsidR="00F60A3E" w:rsidRPr="00C52063">
        <w:rPr>
          <w:sz w:val="20"/>
          <w:szCs w:val="20"/>
        </w:rPr>
        <w:t>El-Sheikh</w:t>
      </w:r>
      <w:r w:rsidR="00C52063" w:rsidRPr="00C52063">
        <w:rPr>
          <w:rFonts w:eastAsiaTheme="minorEastAsia"/>
          <w:sz w:val="20"/>
          <w:szCs w:val="20"/>
          <w:lang w:eastAsia="zh-CN"/>
        </w:rPr>
        <w:t>.</w:t>
      </w:r>
      <w:r w:rsidR="00F60A3E" w:rsidRPr="00C52063">
        <w:rPr>
          <w:sz w:val="20"/>
          <w:szCs w:val="20"/>
        </w:rPr>
        <w:t xml:space="preserve"> </w:t>
      </w:r>
      <w:r w:rsidR="00F60A3E" w:rsidRPr="00C52063">
        <w:rPr>
          <w:b/>
          <w:sz w:val="20"/>
          <w:szCs w:val="20"/>
        </w:rPr>
        <w:t>CHA</w:t>
      </w:r>
      <w:r w:rsidR="00F60A3E" w:rsidRPr="00C52063">
        <w:rPr>
          <w:rFonts w:ascii="Cambria Math" w:hAnsi="Cambria Math"/>
          <w:b/>
          <w:sz w:val="20"/>
          <w:szCs w:val="20"/>
        </w:rPr>
        <w:t>₂</w:t>
      </w:r>
      <w:r w:rsidR="00F60A3E" w:rsidRPr="00C52063">
        <w:rPr>
          <w:b/>
          <w:sz w:val="20"/>
          <w:szCs w:val="20"/>
        </w:rPr>
        <w:t>DS</w:t>
      </w:r>
      <w:r w:rsidR="00F60A3E" w:rsidRPr="00C52063">
        <w:rPr>
          <w:rFonts w:ascii="Cambria Math" w:hAnsi="Cambria Math"/>
          <w:b/>
          <w:sz w:val="20"/>
          <w:szCs w:val="20"/>
        </w:rPr>
        <w:t>₂</w:t>
      </w:r>
      <w:r w:rsidR="00F60A3E" w:rsidRPr="00C52063">
        <w:rPr>
          <w:b/>
          <w:sz w:val="20"/>
          <w:szCs w:val="20"/>
        </w:rPr>
        <w:t>-Vasc HSF Score as a Predictor of No-Reflow in Patients with ST-Segment Elevation Myocardial Infarction Who Underwent Primary Percutaneous Intervention</w:t>
      </w:r>
      <w:r w:rsidR="00C52063" w:rsidRPr="00C52063">
        <w:rPr>
          <w:b/>
          <w:bCs/>
          <w:sz w:val="20"/>
          <w:szCs w:val="20"/>
          <w:lang w:bidi="fa-IR"/>
        </w:rPr>
        <w:t>.</w:t>
      </w:r>
      <w:r w:rsidR="00C52063" w:rsidRPr="00C52063">
        <w:rPr>
          <w:bCs/>
          <w:i/>
          <w:sz w:val="20"/>
          <w:szCs w:val="20"/>
        </w:rPr>
        <w:t xml:space="preserve"> N Y Sci J</w:t>
      </w:r>
      <w:r w:rsidR="00C52063" w:rsidRPr="00C52063">
        <w:rPr>
          <w:bCs/>
          <w:sz w:val="20"/>
          <w:szCs w:val="20"/>
        </w:rPr>
        <w:t xml:space="preserve"> </w:t>
      </w:r>
      <w:r w:rsidR="00C52063" w:rsidRPr="00C52063">
        <w:rPr>
          <w:sz w:val="20"/>
          <w:szCs w:val="20"/>
        </w:rPr>
        <w:t>2020;13(1):</w:t>
      </w:r>
      <w:r w:rsidR="001F4413">
        <w:rPr>
          <w:noProof/>
          <w:color w:val="000000"/>
          <w:sz w:val="20"/>
          <w:szCs w:val="20"/>
        </w:rPr>
        <w:t>101-107</w:t>
      </w:r>
      <w:r w:rsidR="00C52063" w:rsidRPr="00C52063">
        <w:rPr>
          <w:sz w:val="20"/>
          <w:szCs w:val="20"/>
        </w:rPr>
        <w:t xml:space="preserve">]. </w:t>
      </w:r>
      <w:r w:rsidR="00C52063" w:rsidRPr="00C52063">
        <w:rPr>
          <w:iCs/>
          <w:color w:val="000000"/>
          <w:sz w:val="20"/>
          <w:szCs w:val="20"/>
        </w:rPr>
        <w:t>ISSN 1554-0200 (print); ISSN 2375-723X (online)</w:t>
      </w:r>
      <w:r w:rsidR="00C52063" w:rsidRPr="00C52063">
        <w:rPr>
          <w:sz w:val="20"/>
          <w:szCs w:val="20"/>
        </w:rPr>
        <w:t xml:space="preserve">. </w:t>
      </w:r>
      <w:hyperlink r:id="rId8" w:history="1">
        <w:r w:rsidR="00C52063" w:rsidRPr="00C52063">
          <w:rPr>
            <w:rStyle w:val="Hyperlink"/>
            <w:rFonts w:eastAsiaTheme="majorEastAsia"/>
            <w:color w:val="0000FF"/>
            <w:sz w:val="20"/>
            <w:szCs w:val="20"/>
          </w:rPr>
          <w:t>http://www.sciencepub.net/newyork</w:t>
        </w:r>
      </w:hyperlink>
      <w:r w:rsidR="00C52063" w:rsidRPr="00C52063">
        <w:rPr>
          <w:sz w:val="20"/>
          <w:szCs w:val="20"/>
        </w:rPr>
        <w:t xml:space="preserve">. </w:t>
      </w:r>
      <w:r w:rsidR="00C52063">
        <w:rPr>
          <w:rFonts w:eastAsiaTheme="minorEastAsia" w:hint="eastAsia"/>
          <w:sz w:val="20"/>
          <w:szCs w:val="20"/>
          <w:lang w:eastAsia="zh-CN"/>
        </w:rPr>
        <w:t>14</w:t>
      </w:r>
      <w:r w:rsidR="00C52063" w:rsidRPr="00C52063">
        <w:rPr>
          <w:sz w:val="20"/>
          <w:szCs w:val="20"/>
        </w:rPr>
        <w:t xml:space="preserve">. </w:t>
      </w:r>
      <w:r w:rsidR="00C52063" w:rsidRPr="00C52063">
        <w:rPr>
          <w:color w:val="000000"/>
          <w:sz w:val="20"/>
          <w:szCs w:val="20"/>
          <w:shd w:val="clear" w:color="auto" w:fill="FFFFFF"/>
        </w:rPr>
        <w:t>doi:</w:t>
      </w:r>
      <w:hyperlink r:id="rId9" w:history="1">
        <w:r w:rsidR="00C52063" w:rsidRPr="00C52063">
          <w:rPr>
            <w:rStyle w:val="Hyperlink"/>
            <w:rFonts w:eastAsiaTheme="majorEastAsia"/>
            <w:color w:val="0000FF"/>
            <w:sz w:val="20"/>
            <w:szCs w:val="20"/>
            <w:shd w:val="clear" w:color="auto" w:fill="FFFFFF"/>
          </w:rPr>
          <w:t>10.7537/marsnys130120.</w:t>
        </w:r>
        <w:r w:rsidR="00C52063">
          <w:rPr>
            <w:rStyle w:val="Hyperlink"/>
            <w:rFonts w:eastAsiaTheme="majorEastAsia" w:hint="eastAsia"/>
            <w:color w:val="0000FF"/>
            <w:sz w:val="20"/>
            <w:szCs w:val="20"/>
            <w:shd w:val="clear" w:color="auto" w:fill="FFFFFF"/>
            <w:lang w:eastAsia="zh-CN"/>
          </w:rPr>
          <w:t>14</w:t>
        </w:r>
      </w:hyperlink>
      <w:r w:rsidR="00C52063" w:rsidRPr="00C52063">
        <w:rPr>
          <w:color w:val="000000"/>
          <w:sz w:val="20"/>
          <w:szCs w:val="20"/>
          <w:shd w:val="clear" w:color="auto" w:fill="FFFFFF"/>
        </w:rPr>
        <w:t>.</w:t>
      </w:r>
    </w:p>
    <w:p w:rsidR="00F60A3E" w:rsidRPr="00C52063" w:rsidRDefault="00F60A3E" w:rsidP="00C52063">
      <w:pPr>
        <w:tabs>
          <w:tab w:val="left" w:pos="3085"/>
          <w:tab w:val="right" w:pos="9440"/>
        </w:tabs>
        <w:snapToGrid w:val="0"/>
        <w:jc w:val="both"/>
        <w:rPr>
          <w:b/>
          <w:sz w:val="20"/>
          <w:szCs w:val="20"/>
        </w:rPr>
      </w:pPr>
    </w:p>
    <w:p w:rsidR="007F4728" w:rsidRPr="00C52063" w:rsidRDefault="006233F8" w:rsidP="00C52063">
      <w:pPr>
        <w:pStyle w:val="NoSpacing"/>
        <w:snapToGrid w:val="0"/>
        <w:jc w:val="both"/>
        <w:rPr>
          <w:sz w:val="20"/>
          <w:szCs w:val="20"/>
        </w:rPr>
      </w:pPr>
      <w:r w:rsidRPr="00C52063">
        <w:rPr>
          <w:b/>
          <w:bCs/>
          <w:sz w:val="20"/>
          <w:szCs w:val="20"/>
        </w:rPr>
        <w:t xml:space="preserve">Key </w:t>
      </w:r>
      <w:r w:rsidR="001E1556" w:rsidRPr="00C52063">
        <w:rPr>
          <w:b/>
          <w:bCs/>
          <w:sz w:val="20"/>
          <w:szCs w:val="20"/>
        </w:rPr>
        <w:t>W</w:t>
      </w:r>
      <w:r w:rsidRPr="00C52063">
        <w:rPr>
          <w:b/>
          <w:bCs/>
          <w:sz w:val="20"/>
          <w:szCs w:val="20"/>
        </w:rPr>
        <w:t>ords:</w:t>
      </w:r>
      <w:r w:rsidR="00D3355A" w:rsidRPr="00C52063">
        <w:rPr>
          <w:rFonts w:eastAsiaTheme="minorEastAsia"/>
          <w:b/>
          <w:bCs/>
          <w:sz w:val="20"/>
          <w:szCs w:val="20"/>
          <w:lang w:eastAsia="zh-CN"/>
        </w:rPr>
        <w:t xml:space="preserve"> </w:t>
      </w:r>
      <w:r w:rsidR="001E1556" w:rsidRPr="00C52063">
        <w:rPr>
          <w:sz w:val="20"/>
          <w:szCs w:val="20"/>
        </w:rPr>
        <w:t>P</w:t>
      </w:r>
      <w:r w:rsidRPr="00C52063">
        <w:rPr>
          <w:sz w:val="20"/>
          <w:szCs w:val="20"/>
        </w:rPr>
        <w:t>ercu</w:t>
      </w:r>
      <w:r w:rsidR="001E1556" w:rsidRPr="00C52063">
        <w:rPr>
          <w:sz w:val="20"/>
          <w:szCs w:val="20"/>
        </w:rPr>
        <w:t>taneous coronary intervention –</w:t>
      </w:r>
      <w:r w:rsidRPr="00C52063">
        <w:rPr>
          <w:sz w:val="20"/>
          <w:szCs w:val="20"/>
        </w:rPr>
        <w:t xml:space="preserve"> ST segment elevation acute myocardial infarction –</w:t>
      </w:r>
      <w:r w:rsidR="001E1556" w:rsidRPr="00C52063">
        <w:rPr>
          <w:sz w:val="20"/>
          <w:szCs w:val="20"/>
        </w:rPr>
        <w:t>No-reflow phenomenon</w:t>
      </w:r>
      <w:r w:rsidRPr="00C52063">
        <w:rPr>
          <w:sz w:val="20"/>
          <w:szCs w:val="20"/>
        </w:rPr>
        <w:t>.</w:t>
      </w:r>
    </w:p>
    <w:p w:rsidR="00F60A3E" w:rsidRPr="001F4413" w:rsidRDefault="00F60A3E" w:rsidP="00C52063">
      <w:pPr>
        <w:pStyle w:val="NoSpacing"/>
        <w:snapToGrid w:val="0"/>
        <w:ind w:firstLine="425"/>
        <w:jc w:val="both"/>
        <w:rPr>
          <w:sz w:val="24"/>
          <w:szCs w:val="10"/>
        </w:rPr>
      </w:pPr>
    </w:p>
    <w:p w:rsidR="00C52063" w:rsidRDefault="00C52063" w:rsidP="00C52063">
      <w:pPr>
        <w:pStyle w:val="NoSpacing"/>
        <w:snapToGrid w:val="0"/>
        <w:jc w:val="both"/>
        <w:rPr>
          <w:b/>
          <w:bCs/>
          <w:sz w:val="20"/>
          <w:szCs w:val="20"/>
        </w:rPr>
        <w:sectPr w:rsidR="00C52063" w:rsidSect="001F4413">
          <w:headerReference w:type="default" r:id="rId10"/>
          <w:footerReference w:type="default" r:id="rId11"/>
          <w:type w:val="continuous"/>
          <w:pgSz w:w="12240" w:h="15840" w:code="1"/>
          <w:pgMar w:top="1440" w:right="1440" w:bottom="1440" w:left="1440" w:header="720" w:footer="720" w:gutter="0"/>
          <w:pgNumType w:start="101"/>
          <w:cols w:space="720"/>
          <w:docGrid w:linePitch="299"/>
        </w:sectPr>
      </w:pPr>
    </w:p>
    <w:p w:rsidR="007F4728" w:rsidRPr="00C52063" w:rsidRDefault="00B81D0F" w:rsidP="00C52063">
      <w:pPr>
        <w:pStyle w:val="NoSpacing"/>
        <w:snapToGrid w:val="0"/>
        <w:jc w:val="both"/>
        <w:rPr>
          <w:b/>
          <w:bCs/>
          <w:sz w:val="20"/>
          <w:szCs w:val="20"/>
        </w:rPr>
      </w:pPr>
      <w:r w:rsidRPr="00C52063">
        <w:rPr>
          <w:b/>
          <w:bCs/>
          <w:sz w:val="20"/>
          <w:szCs w:val="20"/>
        </w:rPr>
        <w:lastRenderedPageBreak/>
        <w:t>1. Introduction</w:t>
      </w:r>
    </w:p>
    <w:p w:rsidR="0025058D" w:rsidRPr="00C52063" w:rsidRDefault="00A31BEB" w:rsidP="00C52063">
      <w:pPr>
        <w:pStyle w:val="NoSpacing"/>
        <w:snapToGrid w:val="0"/>
        <w:ind w:firstLine="425"/>
        <w:jc w:val="both"/>
        <w:rPr>
          <w:sz w:val="20"/>
          <w:szCs w:val="20"/>
        </w:rPr>
      </w:pPr>
      <w:r w:rsidRPr="00C52063">
        <w:rPr>
          <w:sz w:val="20"/>
          <w:szCs w:val="20"/>
        </w:rPr>
        <w:t>The goal of reperfusion therapy by PCI in acute myocardial infarction is to restore optimal blood flow in the infarct-related artery (IRA) to ensure adequate blood supply to the ischemic but yet viable myocardium and to reduce infarct size and mortality</w:t>
      </w:r>
      <w:r w:rsidR="00C52063" w:rsidRPr="00C52063">
        <w:rPr>
          <w:sz w:val="20"/>
          <w:szCs w:val="20"/>
        </w:rPr>
        <w:t>.</w:t>
      </w:r>
      <w:r w:rsidR="00C52063">
        <w:rPr>
          <w:sz w:val="20"/>
          <w:szCs w:val="20"/>
        </w:rPr>
        <w:t xml:space="preserve"> </w:t>
      </w:r>
      <w:r w:rsidR="00C52063" w:rsidRPr="00C52063">
        <w:rPr>
          <w:sz w:val="20"/>
          <w:szCs w:val="20"/>
        </w:rPr>
        <w:t>I</w:t>
      </w:r>
      <w:r w:rsidRPr="00C52063">
        <w:rPr>
          <w:sz w:val="20"/>
          <w:szCs w:val="20"/>
        </w:rPr>
        <w:t>n no reflow</w:t>
      </w:r>
      <w:r w:rsidR="00C52063" w:rsidRPr="00C52063">
        <w:rPr>
          <w:sz w:val="20"/>
          <w:szCs w:val="20"/>
        </w:rPr>
        <w:t>,</w:t>
      </w:r>
      <w:r w:rsidR="00C52063">
        <w:rPr>
          <w:sz w:val="20"/>
          <w:szCs w:val="20"/>
        </w:rPr>
        <w:t xml:space="preserve"> </w:t>
      </w:r>
      <w:r w:rsidR="00C52063" w:rsidRPr="00C52063">
        <w:rPr>
          <w:sz w:val="20"/>
          <w:szCs w:val="20"/>
        </w:rPr>
        <w:t>m</w:t>
      </w:r>
      <w:r w:rsidRPr="00C52063">
        <w:rPr>
          <w:sz w:val="20"/>
          <w:szCs w:val="20"/>
        </w:rPr>
        <w:t xml:space="preserve">yocardial reperfusion is not achieved </w:t>
      </w:r>
      <w:r w:rsidR="00750467" w:rsidRPr="00C52063">
        <w:rPr>
          <w:sz w:val="20"/>
          <w:szCs w:val="20"/>
        </w:rPr>
        <w:t>in spite</w:t>
      </w:r>
      <w:r w:rsidRPr="00C52063">
        <w:rPr>
          <w:sz w:val="20"/>
          <w:szCs w:val="20"/>
        </w:rPr>
        <w:t xml:space="preserve"> of patent IRA</w:t>
      </w:r>
      <w:r w:rsidR="00C52063" w:rsidRPr="00C52063">
        <w:rPr>
          <w:sz w:val="20"/>
          <w:szCs w:val="20"/>
        </w:rPr>
        <w:t>.</w:t>
      </w:r>
      <w:r w:rsidR="00C52063">
        <w:rPr>
          <w:sz w:val="20"/>
          <w:szCs w:val="20"/>
        </w:rPr>
        <w:t xml:space="preserve"> </w:t>
      </w:r>
      <w:r w:rsidR="00C52063" w:rsidRPr="00C52063">
        <w:rPr>
          <w:sz w:val="20"/>
          <w:szCs w:val="20"/>
        </w:rPr>
        <w:t>T</w:t>
      </w:r>
      <w:r w:rsidR="00861EE9" w:rsidRPr="00C52063">
        <w:rPr>
          <w:sz w:val="20"/>
          <w:szCs w:val="20"/>
        </w:rPr>
        <w:t xml:space="preserve">he no-reflow phenomenon is an acute </w:t>
      </w:r>
      <w:r w:rsidR="00750467" w:rsidRPr="00C52063">
        <w:rPr>
          <w:sz w:val="20"/>
          <w:szCs w:val="20"/>
        </w:rPr>
        <w:t>reduction in</w:t>
      </w:r>
      <w:r w:rsidR="00861EE9" w:rsidRPr="00C52063">
        <w:rPr>
          <w:sz w:val="20"/>
          <w:szCs w:val="20"/>
        </w:rPr>
        <w:t xml:space="preserve"> coronary blood flow in the absence of major epicardial coronary vessel obstruction, flow-limiting dissection, vessel spasm or thrombosis</w:t>
      </w:r>
      <w:r w:rsidR="00641C07" w:rsidRPr="00C52063">
        <w:rPr>
          <w:sz w:val="20"/>
          <w:szCs w:val="20"/>
        </w:rPr>
        <w:fldChar w:fldCharType="begin" w:fldLock="1"/>
      </w:r>
      <w:r w:rsidR="004F0530" w:rsidRPr="00C52063">
        <w:rPr>
          <w:sz w:val="20"/>
          <w:szCs w:val="20"/>
        </w:rPr>
        <w:instrText>ADDIN CSL_CITATION {"citationItems":[{"id":"ITEM-1","itemData":{"DOI":"10.1007/s00380-011-0144-2","ISSN":"09108327","abstract":"Independent no-reflow predictors should be evaluated in female patients with ST-segment elevation acute myocardial infarction (STEMI) and successfully treated with primary percutaneous coronary intervention (PPCI) in the current interventional equipment and techniques, thus to be constructed a no-reflow predicting model. In this study, 320 female patients with STEMI were successfully treated with PPCI within 12 h after the onset of AMI from 2007 to 2010. All clinical, angiographic, and procedural data were collected. Multiple logistic regression analysis was used to identify independent no-reflow predictors. The no-reflow was found in 81 (25.3%) of 320 female patients. Univariate and multivariate stepwise logistic regression analysis identified that low SBP on admission &lt; 100 mmHg (OR 1.991, 95% CI 1.018-3.896; p = 0.004), target lesion length &gt; 20 mm (OR 1.948, 95% CI 1.908-1.990; p = 0.016), collateral circulation 0-1 (OR 1.952, 95% CI 1.914-1.992; p = 0.019), pre-PCI thrombus score≤4 (OR 4.184, 95% CI 1.482-11.813; p = 0.007), and IABP use before PCI (OR 1.949, 95% CI 1.168-3.253; p = 0.011) were independent no-reflow predictors. The noreflow incidence significantly increased as the numbers of independent predictors increased [0% (0/2), 10.8% (9/84), 14.5% (17/117), 37.7% (29/77), 56.7% (17/30), and 81.8% (9/11) in female patients with 0, 1, 2, 3, 4, and 5 independent predictors, respectively; p &lt; 0.0001]. The five no-reflow predicting variables were admission SBP  &lt; 100 mmHg, target lesion length &gt; 20 mm, collateral circulation 0-1, pre-PCI thrombus score ≥4, and IABP use before PCI in female patients with STEMI treated with PPCI. © 2011 Springer.","author":[{"dropping-particle":"","family":"Chen","given":"Yundai","non-dropping-particle":"","parse-names":false,"suffix":""},{"dropping-particle":"","family":"Wang","given":"Changhua","non-dropping-particle":"","parse-names":false,"suffix":""},{"dropping-particle":"","family":"Yang","given":"Xinchun","non-dropping-particle":"","parse-names":false,"suffix":""},{"dropping-particle":"","family":"Wang","given":"Lefeng","non-dropping-particle":"","parse-names":false,"suffix":""},{"dropping-particle":"","family":"Sun","given":"Zhijun","non-dropping-particle":"","parse-names":false,"suffix":""},{"dropping-particle":"","family":"Liu","given":"Hongbin","non-dropping-particle":"","parse-names":false,"suffix":""},{"dropping-particle":"","family":"Chen","given":"Lian","non-dropping-particle":"","parse-names":false,"suffix":""}],"container-title":"Heart and Vessels","id":"ITEM-1","issued":{"date-parts":[["2012"]]},"title":"Independent no-reflow predictors in female patients with ST-elevation acute myocardial infarction treated with primary percutaneous coronary intervention","type":"article-journal"},"uris":["http://www.mendeley.com/documents/?uuid=a32e729f-3857-371a-a01e-2cb42e3fe840"]}],"mendeley":{"formattedCitation":"&lt;sup&gt;3&lt;/sup&gt;","plainTextFormattedCitation":"3","previouslyFormattedCitation":"&lt;sup&gt;3&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3</w:t>
      </w:r>
      <w:r w:rsidR="00641C07" w:rsidRPr="00C52063">
        <w:rPr>
          <w:sz w:val="20"/>
          <w:szCs w:val="20"/>
        </w:rPr>
        <w:fldChar w:fldCharType="end"/>
      </w:r>
      <w:r w:rsidR="00861EE9" w:rsidRPr="00C52063">
        <w:rPr>
          <w:sz w:val="20"/>
          <w:szCs w:val="20"/>
        </w:rPr>
        <w:t>.</w:t>
      </w:r>
    </w:p>
    <w:p w:rsidR="0025058D" w:rsidRPr="00C52063" w:rsidRDefault="0025058D" w:rsidP="00C52063">
      <w:pPr>
        <w:pStyle w:val="NoSpacing"/>
        <w:snapToGrid w:val="0"/>
        <w:ind w:firstLine="425"/>
        <w:jc w:val="both"/>
        <w:rPr>
          <w:sz w:val="20"/>
          <w:szCs w:val="20"/>
        </w:rPr>
      </w:pPr>
      <w:r w:rsidRPr="00C52063">
        <w:rPr>
          <w:sz w:val="20"/>
          <w:szCs w:val="20"/>
        </w:rPr>
        <w:t>The European Society of Cardiology has published atrial fibrillation-management guidelines in 2016 to advocate using the CHA2DS2-VASc score as a predictive scoring model for stroke in patients with atrial fibrillation</w:t>
      </w:r>
      <w:r w:rsidR="00641C07" w:rsidRPr="00C52063">
        <w:rPr>
          <w:sz w:val="20"/>
          <w:szCs w:val="20"/>
        </w:rPr>
        <w:fldChar w:fldCharType="begin" w:fldLock="1"/>
      </w:r>
      <w:r w:rsidR="004F0530" w:rsidRPr="00C52063">
        <w:rPr>
          <w:sz w:val="20"/>
          <w:szCs w:val="20"/>
        </w:rPr>
        <w:instrText>ADDIN CSL_CITATION {"citationItems":[{"id":"ITEM-1","itemData":{"author":[{"dropping-particle":"","family":"Kirchhof","given":"P","non-dropping-particle":"","parse-names":false,"suffix":""},{"dropping-particle":"","family":"Benussi","given":"S","non-dropping-particle":"","parse-names":false,"suffix":""},{"dropping-particle":"","family":"…","given":"D Kotecha - European journal of","non-dropping-particle":"","parse-names":false,"suffix":""},{"dropping-particle":"","family":"2016","given":"Undefined","non-dropping-particle":"","parse-names":false,"suffix":""}],"id":"ITEM-1","issued":{"date-parts":[["0"]]},"title":"2016 ESC Guidelines for the management of atrial fibrillation developed in collaboration with EACTS","type":"article-journal"},"uris":["http://www.mendeley.com/documents/?uuid=56559e52-3209-3ab2-9a71-8cac7d899ca1"]}],"mendeley":{"formattedCitation":"&lt;sup&gt;4&lt;/sup&gt;","plainTextFormattedCitation":"4","previouslyFormattedCitation":"&lt;sup&gt;4&lt;/sup&gt;"},"properties":{"noteIndex":0},"schema":"https://github.com/citation-style-language/schema/raw/master/csl-citation.json"}</w:instrText>
      </w:r>
      <w:r w:rsidR="00641C07" w:rsidRPr="00C52063">
        <w:rPr>
          <w:sz w:val="20"/>
          <w:szCs w:val="20"/>
        </w:rPr>
        <w:fldChar w:fldCharType="separate"/>
      </w:r>
      <w:r w:rsidRPr="00C52063">
        <w:rPr>
          <w:noProof/>
          <w:sz w:val="20"/>
          <w:szCs w:val="20"/>
          <w:vertAlign w:val="superscript"/>
        </w:rPr>
        <w:t>4</w:t>
      </w:r>
      <w:r w:rsidR="00641C07" w:rsidRPr="00C52063">
        <w:rPr>
          <w:sz w:val="20"/>
          <w:szCs w:val="20"/>
        </w:rPr>
        <w:fldChar w:fldCharType="end"/>
      </w:r>
      <w:r w:rsidRPr="00C52063">
        <w:rPr>
          <w:sz w:val="20"/>
          <w:szCs w:val="20"/>
        </w:rPr>
        <w:t>. In addition, the American Heart Association has already released similar recommendations for treatment of patients with atrial fibrillation in 2014</w:t>
      </w:r>
      <w:r w:rsidR="00641C07" w:rsidRPr="00C52063">
        <w:rPr>
          <w:sz w:val="20"/>
          <w:szCs w:val="20"/>
        </w:rPr>
        <w:fldChar w:fldCharType="begin" w:fldLock="1"/>
      </w:r>
      <w:r w:rsidR="004F0530" w:rsidRPr="00C52063">
        <w:rPr>
          <w:sz w:val="20"/>
          <w:szCs w:val="20"/>
        </w:rPr>
        <w:instrText>ADDIN CSL_CITATION {"citationItems":[{"id":"ITEM-1","itemData":{"author":[{"dropping-particle":"","family":"January","given":"CT","non-dropping-particle":"","parse-names":false,"suffix":""},{"dropping-particle":"","family":"Wann","given":"LS","non-dropping-particle":"","parse-names":false,"suffix":""},{"dropping-particle":"","family":"Alpert","given":"JS","non-dropping-particle":"","parse-names":false,"suffix":""},{"dropping-particle":"","family":"…","given":"H Calkins - Journal of the","non-dropping-particle":"","parse-names":false,"suffix":""},{"dropping-particle":"","family":"2014","given":"Undefined","non-dropping-particle":"","parse-names":false,"suffix":""}],"id":"ITEM-1","issued":{"date-parts":[["0"]]},"title":"with atrial fibrillation: a report of the American College of Cardiology/American Heart Association Task Force on Practice Guidelines and the Heart Rhythm Society","type":"article-journal"},"uris":["http://www.mendeley.com/documents/?uuid=af5c7a8c-6a34-3491-a727-8a6330dfd4c1"]}],"mendeley":{"formattedCitation":"&lt;sup&gt;5&lt;/sup&gt;","plainTextFormattedCitation":"5","previouslyFormattedCitation":"&lt;sup&gt;5&lt;/sup&gt;"},"properties":{"noteIndex":0},"schema":"https://github.com/citation-style-language/schema/raw/master/csl-citation.json"}</w:instrText>
      </w:r>
      <w:r w:rsidR="00641C07" w:rsidRPr="00C52063">
        <w:rPr>
          <w:sz w:val="20"/>
          <w:szCs w:val="20"/>
        </w:rPr>
        <w:fldChar w:fldCharType="separate"/>
      </w:r>
      <w:r w:rsidRPr="00C52063">
        <w:rPr>
          <w:noProof/>
          <w:sz w:val="20"/>
          <w:szCs w:val="20"/>
          <w:vertAlign w:val="superscript"/>
        </w:rPr>
        <w:t>5</w:t>
      </w:r>
      <w:r w:rsidR="00641C07" w:rsidRPr="00C52063">
        <w:rPr>
          <w:sz w:val="20"/>
          <w:szCs w:val="20"/>
        </w:rPr>
        <w:fldChar w:fldCharType="end"/>
      </w:r>
      <w:r w:rsidRPr="00C52063">
        <w:rPr>
          <w:sz w:val="20"/>
          <w:szCs w:val="20"/>
        </w:rPr>
        <w:t>.</w:t>
      </w:r>
    </w:p>
    <w:p w:rsidR="0025058D" w:rsidRPr="00C52063" w:rsidRDefault="0025058D" w:rsidP="00C52063">
      <w:pPr>
        <w:pStyle w:val="NoSpacing"/>
        <w:snapToGrid w:val="0"/>
        <w:ind w:firstLine="425"/>
        <w:jc w:val="both"/>
        <w:rPr>
          <w:sz w:val="20"/>
          <w:szCs w:val="20"/>
        </w:rPr>
      </w:pPr>
      <w:r w:rsidRPr="00C52063">
        <w:rPr>
          <w:sz w:val="20"/>
          <w:szCs w:val="20"/>
        </w:rPr>
        <w:lastRenderedPageBreak/>
        <w:t>This scoring system can also predict various categories of cardiovascular hospitalization events other than cerebrovascular accident events; the scores themselves were a composite of inflammatory risk factors</w:t>
      </w:r>
      <w:r w:rsidR="00641C07" w:rsidRPr="00C52063">
        <w:rPr>
          <w:sz w:val="20"/>
          <w:szCs w:val="20"/>
        </w:rPr>
        <w:fldChar w:fldCharType="begin" w:fldLock="1"/>
      </w:r>
      <w:r w:rsidR="004F0530" w:rsidRPr="00C52063">
        <w:rPr>
          <w:sz w:val="20"/>
          <w:szCs w:val="20"/>
        </w:rPr>
        <w:instrText>ADDIN CSL_CITATION {"citationItems":[{"id":"ITEM-1","itemData":{"DOI":"10.1177/2047487317726068","ISSN":"20474881","abstract":"© European Society of Cardiology. Background The CHA 2 DS 2 -VASc score well stratifies the risk for thromboembolic events in non-valvular atrial fibrillation (NVAF) patients. This score may also predict thromboembolic events in sinus rhythm populations. Purpose The purpose of this study was to assess the prognostic role of CHA 2 DS 2 -VASc in a Caucasian community population of patients with arterial hypertension and sinus rhythm. Methods A total of 12,599 arterial hypertension residents not receiving anticoagulation were selected from a community population in Trieste between November 2009 and October 2014: 11,159 sinus rhythm and 1440 NVAF patients. We considered thromboembolic events, cardiovascular hospitalisation and all-cause death in all patients divided according to CHA 2 DS 2 -VASc. Results Sinus rhythm patients were 74 (interquartile range 65-81) years old, 50% were women, 32% with CAD, mean CHA 2 DS 2 -VASc 3.68 ± 1.47 points, significantly lower than NVAF patients (4.26 ± 1.50, P  &lt;  0.001). After 37 months follow-up, an increasing CHA 2 DS 2 -VASc corresponded to a higher rate of thromboembolic events in sinus rhythm patients, ranging from 0% in patients with a score of 1 or 2 to 2.6% in those with a score of 6 or greater (P  &lt;  0.0001). A similar trend was found in the reference NVAF group. At Cox multivariable analysis, CHA 2 DS 2 -VASc predicted thromboembolic events (hazard ratio (HR) 2.12), cardiovascular hospitalisation (HR 1.55) and all-cause death (HR 1.57). The predictive accuracy of CHA 2 DS 2 -VASc was similar in sinus rhythm and NVAF patients for thromboembolic events, cardiovascular hospitalisation and all-cause death (area under the curve statistic 0.76 vs. 0.76, 0.68 vs. 0.66, 0.64 vs. 0.64, respectively). Conclusions In a community population of Caucasian arterial hypertension patients in sinus rhythm, CHA 2 DS 2 -VASc rather well stratifies for adverse clinical events at mid-term follow-up with a similar accuracy to NVAF patients. These results might be clinically relevant in this setting of sinus rhythm patients.","author":[{"dropping-particle":"","family":"Mazzone","given":"Carmine","non-dropping-particle":"","parse-names":false,"suffix":""},{"dropping-particle":"","family":"Cioffi","given":"Giovanni","non-dropping-particle":"","parse-names":false,"suffix":""},{"dropping-particle":"","family":"Carriere","given":"Cosimo","non-dropping-particle":"","parse-names":false,"suffix":""},{"dropping-particle":"","family":"Barbati","given":"Giulia","non-dropping-particle":"","parse-names":false,"suffix":""},{"dropping-particle":"","family":"Faganello","given":"Giorgio","non-dropping-particle":"","parse-names":false,"suffix":""},{"dropping-particle":"","family":"Russo","given":"Giulia","non-dropping-particle":"","parse-names":false,"suffix":""},{"dropping-particle":"","family":"Cherubini","given":"Antonella","non-dropping-particle":"","parse-names":false,"suffix":""},{"dropping-particle":"","family":"Sinagra","given":"Gianfranco","non-dropping-particle":"","parse-names":false,"suffix":""},{"dropping-particle":"","family":"Zeriali","given":"Nadia","non-dropping-particle":"","parse-names":false,"suffix":""},{"dropping-particle":"","family":"Lenarda","given":"Andrea","non-dropping-particle":"Di","parse-names":false,"suffix":""}],"container-title":"European Journal of Preventive Cardiology","id":"ITEM-1","issued":{"date-parts":[["2017"]]},"title":"Predictive role of CHA2DS2-VASc score for cardiovascular events and death in patients with arterial hypertension and stable sinus rhythm","type":"article-journal"},"uris":["http://www.mendeley.com/documents/?uuid=fb8fb9d6-08ca-3e35-bade-f6ecd301a430"]}],"mendeley":{"formattedCitation":"&lt;sup&gt;6&lt;/sup&gt;","plainTextFormattedCitation":"6","previouslyFormattedCitation":"&lt;sup&gt;6&lt;/sup&gt;"},"properties":{"noteIndex":0},"schema":"https://github.com/citation-style-language/schema/raw/master/csl-citation.json"}</w:instrText>
      </w:r>
      <w:r w:rsidR="00641C07" w:rsidRPr="00C52063">
        <w:rPr>
          <w:sz w:val="20"/>
          <w:szCs w:val="20"/>
        </w:rPr>
        <w:fldChar w:fldCharType="separate"/>
      </w:r>
      <w:r w:rsidRPr="00C52063">
        <w:rPr>
          <w:noProof/>
          <w:sz w:val="20"/>
          <w:szCs w:val="20"/>
          <w:vertAlign w:val="superscript"/>
        </w:rPr>
        <w:t>6</w:t>
      </w:r>
      <w:r w:rsidR="00641C07" w:rsidRPr="00C52063">
        <w:rPr>
          <w:sz w:val="20"/>
          <w:szCs w:val="20"/>
        </w:rPr>
        <w:fldChar w:fldCharType="end"/>
      </w:r>
      <w:r w:rsidRPr="00C52063">
        <w:rPr>
          <w:sz w:val="20"/>
          <w:szCs w:val="20"/>
        </w:rPr>
        <w:t>.</w:t>
      </w:r>
    </w:p>
    <w:p w:rsidR="007F4728" w:rsidRPr="00C52063" w:rsidRDefault="0025058D" w:rsidP="00C52063">
      <w:pPr>
        <w:pStyle w:val="NoSpacing"/>
        <w:snapToGrid w:val="0"/>
        <w:ind w:firstLine="425"/>
        <w:jc w:val="both"/>
        <w:rPr>
          <w:sz w:val="20"/>
          <w:szCs w:val="20"/>
        </w:rPr>
      </w:pPr>
      <w:r w:rsidRPr="00C52063">
        <w:rPr>
          <w:sz w:val="20"/>
          <w:szCs w:val="20"/>
        </w:rPr>
        <w:t>The new formulated score, CHA</w:t>
      </w:r>
      <w:r w:rsidRPr="00C52063">
        <w:rPr>
          <w:sz w:val="20"/>
          <w:szCs w:val="20"/>
          <w:vertAlign w:val="subscript"/>
        </w:rPr>
        <w:t>2</w:t>
      </w:r>
      <w:r w:rsidRPr="00C52063">
        <w:rPr>
          <w:sz w:val="20"/>
          <w:szCs w:val="20"/>
        </w:rPr>
        <w:t>DS</w:t>
      </w:r>
      <w:r w:rsidRPr="00C52063">
        <w:rPr>
          <w:sz w:val="20"/>
          <w:szCs w:val="20"/>
          <w:vertAlign w:val="subscript"/>
        </w:rPr>
        <w:t>2</w:t>
      </w:r>
      <w:r w:rsidRPr="00C52063">
        <w:rPr>
          <w:sz w:val="20"/>
          <w:szCs w:val="20"/>
        </w:rPr>
        <w:t>-VASc-HSF which included more variables like Hyperlipidemi</w:t>
      </w:r>
      <w:r w:rsidR="00CF1619" w:rsidRPr="00C52063">
        <w:rPr>
          <w:sz w:val="20"/>
          <w:szCs w:val="20"/>
        </w:rPr>
        <w:t>a (</w:t>
      </w:r>
      <w:r w:rsidRPr="00C52063">
        <w:rPr>
          <w:sz w:val="20"/>
          <w:szCs w:val="20"/>
        </w:rPr>
        <w:t>H), Smoking (S) and Family history of CAD (F) in addition to the previous risk factors was used also recently to predict major adverse cardiac events</w:t>
      </w:r>
      <w:r w:rsidR="00641C07" w:rsidRPr="00C52063">
        <w:rPr>
          <w:sz w:val="20"/>
          <w:szCs w:val="20"/>
        </w:rPr>
        <w:fldChar w:fldCharType="begin" w:fldLock="1"/>
      </w:r>
      <w:r w:rsidR="004F0530" w:rsidRPr="00C52063">
        <w:rPr>
          <w:sz w:val="20"/>
          <w:szCs w:val="20"/>
        </w:rPr>
        <w:instrText>ADDIN CSL_CITATION {"citationItems":[{"id":"ITEM-1","itemData":{"author":[{"dropping-particle":"","family":"Modi","given":"R","non-dropping-particle":"","parse-names":false,"suffix":""},{"dropping-particle":"","family":"Patted","given":"SV","non-dropping-particle":"","parse-names":false,"suffix":""},{"dropping-particle":"","family":"Halkati","given":"PC","non-dropping-particle":"","parse-names":false,"suffix":""},{"dropping-particle":"","family":"…","given":"S Porwal - International journal of","non-dropping-particle":"","parse-names":false,"suffix":""},{"dropping-particle":"","family":"2017","given":"Undefined","non-dropping-particle":"","parse-names":false,"suffix":""}],"container-title":"Elsevier","id":"ITEM-1","issued":{"date-parts":[["0"]]},"title":"CHA2DS2-VASc-HSF score–New predictor of severity of coronary artery disease in 2976 patients","type":"article-journal"},"uris":["http://www.mendeley.com/documents/?uuid=655e7fac-d0c4-32b7-a2e5-cb27038472f8"]}],"mendeley":{"formattedCitation":"&lt;sup&gt;7&lt;/sup&gt;","plainTextFormattedCitation":"7","previouslyFormattedCitation":"&lt;sup&gt;7&lt;/sup&gt;"},"properties":{"noteIndex":0},"schema":"https://github.com/citation-style-language/schema/raw/master/csl-citation.json"}</w:instrText>
      </w:r>
      <w:r w:rsidR="00641C07" w:rsidRPr="00C52063">
        <w:rPr>
          <w:sz w:val="20"/>
          <w:szCs w:val="20"/>
        </w:rPr>
        <w:fldChar w:fldCharType="separate"/>
      </w:r>
      <w:r w:rsidRPr="00C52063">
        <w:rPr>
          <w:noProof/>
          <w:sz w:val="20"/>
          <w:szCs w:val="20"/>
          <w:vertAlign w:val="superscript"/>
        </w:rPr>
        <w:t>7</w:t>
      </w:r>
      <w:r w:rsidR="00641C07" w:rsidRPr="00C52063">
        <w:rPr>
          <w:sz w:val="20"/>
          <w:szCs w:val="20"/>
        </w:rPr>
        <w:fldChar w:fldCharType="end"/>
      </w:r>
      <w:r w:rsidRPr="00C52063">
        <w:rPr>
          <w:sz w:val="20"/>
          <w:szCs w:val="20"/>
        </w:rPr>
        <w:t>.</w:t>
      </w:r>
    </w:p>
    <w:p w:rsidR="007F4728" w:rsidRPr="00C52063" w:rsidRDefault="00B81D0F" w:rsidP="00C52063">
      <w:pPr>
        <w:pStyle w:val="NoSpacing"/>
        <w:snapToGrid w:val="0"/>
        <w:jc w:val="both"/>
        <w:rPr>
          <w:b/>
          <w:bCs/>
          <w:sz w:val="20"/>
          <w:szCs w:val="20"/>
        </w:rPr>
      </w:pPr>
      <w:r w:rsidRPr="00C52063">
        <w:rPr>
          <w:b/>
          <w:bCs/>
          <w:sz w:val="20"/>
          <w:szCs w:val="20"/>
        </w:rPr>
        <w:t>Aim of the work</w:t>
      </w:r>
    </w:p>
    <w:p w:rsidR="007F4728" w:rsidRPr="00C52063" w:rsidRDefault="00861EE9" w:rsidP="00C52063">
      <w:pPr>
        <w:pStyle w:val="NoSpacing"/>
        <w:snapToGrid w:val="0"/>
        <w:ind w:firstLine="425"/>
        <w:jc w:val="both"/>
        <w:rPr>
          <w:sz w:val="20"/>
          <w:szCs w:val="20"/>
        </w:rPr>
      </w:pPr>
      <w:r w:rsidRPr="00C52063">
        <w:rPr>
          <w:sz w:val="20"/>
          <w:szCs w:val="20"/>
        </w:rPr>
        <w:t>The aim of this study was to evaluate the new CHA</w:t>
      </w:r>
      <w:r w:rsidRPr="00C52063">
        <w:rPr>
          <w:rFonts w:ascii="Cambria Math" w:hAnsi="Cambria Math"/>
          <w:sz w:val="20"/>
          <w:szCs w:val="20"/>
        </w:rPr>
        <w:t>₂</w:t>
      </w:r>
      <w:r w:rsidRPr="00C52063">
        <w:rPr>
          <w:sz w:val="20"/>
          <w:szCs w:val="20"/>
        </w:rPr>
        <w:t>DS</w:t>
      </w:r>
      <w:r w:rsidRPr="00C52063">
        <w:rPr>
          <w:rFonts w:ascii="Cambria Math" w:hAnsi="Cambria Math"/>
          <w:sz w:val="20"/>
          <w:szCs w:val="20"/>
        </w:rPr>
        <w:t>₂</w:t>
      </w:r>
      <w:r w:rsidRPr="00C52063">
        <w:rPr>
          <w:sz w:val="20"/>
          <w:szCs w:val="20"/>
        </w:rPr>
        <w:t>-VASc HSF Score as a predictor of no-reflow in patients who underwent primary percutaneous intervention.</w:t>
      </w:r>
    </w:p>
    <w:p w:rsidR="00861EE9" w:rsidRPr="00C52063" w:rsidRDefault="00861EE9" w:rsidP="00C52063">
      <w:pPr>
        <w:pStyle w:val="NoSpacing"/>
        <w:snapToGrid w:val="0"/>
        <w:ind w:firstLine="425"/>
        <w:jc w:val="both"/>
        <w:rPr>
          <w:sz w:val="20"/>
          <w:szCs w:val="14"/>
        </w:rPr>
      </w:pPr>
    </w:p>
    <w:p w:rsidR="007F4728" w:rsidRPr="00C52063" w:rsidRDefault="00B81D0F" w:rsidP="00C52063">
      <w:pPr>
        <w:pStyle w:val="NoSpacing"/>
        <w:snapToGrid w:val="0"/>
        <w:jc w:val="both"/>
        <w:rPr>
          <w:b/>
          <w:bCs/>
          <w:sz w:val="20"/>
          <w:szCs w:val="20"/>
        </w:rPr>
      </w:pPr>
      <w:r w:rsidRPr="00C52063">
        <w:rPr>
          <w:b/>
          <w:bCs/>
          <w:sz w:val="20"/>
          <w:szCs w:val="20"/>
        </w:rPr>
        <w:t>2. Patients and Methods:</w:t>
      </w:r>
    </w:p>
    <w:p w:rsidR="001F4413" w:rsidRDefault="001F4413" w:rsidP="00C52063">
      <w:pPr>
        <w:pStyle w:val="NoSpacing"/>
        <w:snapToGrid w:val="0"/>
        <w:ind w:firstLine="425"/>
        <w:jc w:val="both"/>
        <w:rPr>
          <w:b/>
          <w:bCs/>
          <w:sz w:val="20"/>
          <w:szCs w:val="20"/>
        </w:rPr>
        <w:sectPr w:rsidR="001F4413" w:rsidSect="00C52063">
          <w:type w:val="continuous"/>
          <w:pgSz w:w="12240" w:h="15840" w:code="1"/>
          <w:pgMar w:top="1440" w:right="1440" w:bottom="1440" w:left="1440" w:header="720" w:footer="720" w:gutter="0"/>
          <w:cols w:num="2" w:space="550"/>
          <w:docGrid w:linePitch="299"/>
        </w:sectPr>
      </w:pPr>
    </w:p>
    <w:p w:rsidR="00861EE9" w:rsidRPr="00C52063" w:rsidRDefault="00861EE9" w:rsidP="001F4413">
      <w:pPr>
        <w:pStyle w:val="NoSpacing"/>
        <w:snapToGrid w:val="0"/>
        <w:jc w:val="both"/>
        <w:rPr>
          <w:bCs/>
          <w:sz w:val="20"/>
          <w:szCs w:val="20"/>
          <w:u w:val="single"/>
        </w:rPr>
      </w:pPr>
      <w:r w:rsidRPr="00C52063">
        <w:rPr>
          <w:b/>
          <w:bCs/>
          <w:sz w:val="20"/>
          <w:szCs w:val="20"/>
        </w:rPr>
        <w:lastRenderedPageBreak/>
        <w:t>One hundred patients that fulfilled the inclusion criteria were recruited from Cardiology department in Tanta</w:t>
      </w:r>
      <w:r w:rsidRPr="00C52063">
        <w:rPr>
          <w:sz w:val="20"/>
          <w:szCs w:val="20"/>
        </w:rPr>
        <w:t xml:space="preserve"> University presented with ST segment elevation acute myocardial infarction, the patients were divided into two groups:</w:t>
      </w:r>
    </w:p>
    <w:p w:rsidR="00861EE9" w:rsidRPr="00C52063" w:rsidRDefault="00861EE9" w:rsidP="00C52063">
      <w:pPr>
        <w:pStyle w:val="NoSpacing"/>
        <w:snapToGrid w:val="0"/>
        <w:ind w:firstLine="425"/>
        <w:jc w:val="both"/>
        <w:rPr>
          <w:sz w:val="20"/>
          <w:szCs w:val="20"/>
        </w:rPr>
      </w:pPr>
      <w:r w:rsidRPr="00C52063">
        <w:rPr>
          <w:bCs/>
          <w:sz w:val="20"/>
          <w:szCs w:val="20"/>
        </w:rPr>
        <w:t>Group 1:</w:t>
      </w:r>
      <w:r w:rsidRPr="00C52063">
        <w:rPr>
          <w:sz w:val="20"/>
          <w:szCs w:val="20"/>
        </w:rPr>
        <w:t xml:space="preserve"> consisted of 34 patients with no reflow phenomenon after primary PCI.</w:t>
      </w:r>
    </w:p>
    <w:p w:rsidR="00861EE9" w:rsidRPr="00C52063" w:rsidRDefault="00861EE9" w:rsidP="00C52063">
      <w:pPr>
        <w:pStyle w:val="NoSpacing"/>
        <w:snapToGrid w:val="0"/>
        <w:ind w:firstLine="425"/>
        <w:jc w:val="both"/>
        <w:rPr>
          <w:sz w:val="20"/>
          <w:szCs w:val="20"/>
        </w:rPr>
      </w:pPr>
      <w:r w:rsidRPr="00C52063">
        <w:rPr>
          <w:bCs/>
          <w:sz w:val="20"/>
          <w:szCs w:val="20"/>
        </w:rPr>
        <w:t>Group 2:</w:t>
      </w:r>
      <w:r w:rsidRPr="00C52063">
        <w:rPr>
          <w:sz w:val="20"/>
          <w:szCs w:val="20"/>
        </w:rPr>
        <w:t xml:space="preserve"> consisted of 66 patients with normal flow after primary PCI.</w:t>
      </w:r>
    </w:p>
    <w:p w:rsidR="007F4728" w:rsidRPr="00C52063" w:rsidRDefault="006233F8" w:rsidP="00C52063">
      <w:pPr>
        <w:pStyle w:val="NoSpacing"/>
        <w:snapToGrid w:val="0"/>
        <w:jc w:val="both"/>
        <w:rPr>
          <w:b/>
          <w:bCs/>
          <w:sz w:val="20"/>
          <w:szCs w:val="20"/>
        </w:rPr>
      </w:pPr>
      <w:r w:rsidRPr="00C52063">
        <w:rPr>
          <w:b/>
          <w:bCs/>
          <w:sz w:val="20"/>
          <w:szCs w:val="20"/>
        </w:rPr>
        <w:t>Duration of the study:</w:t>
      </w:r>
    </w:p>
    <w:p w:rsidR="00861EE9" w:rsidRPr="00C52063" w:rsidRDefault="00861EE9" w:rsidP="00C52063">
      <w:pPr>
        <w:pStyle w:val="NoSpacing"/>
        <w:snapToGrid w:val="0"/>
        <w:ind w:firstLine="425"/>
        <w:jc w:val="both"/>
        <w:rPr>
          <w:sz w:val="20"/>
          <w:szCs w:val="20"/>
        </w:rPr>
      </w:pPr>
      <w:r w:rsidRPr="00C52063">
        <w:rPr>
          <w:sz w:val="20"/>
          <w:szCs w:val="20"/>
        </w:rPr>
        <w:t>This study was done in a period of six months starting from June 2018.</w:t>
      </w:r>
    </w:p>
    <w:p w:rsidR="00861EE9" w:rsidRPr="00C52063" w:rsidRDefault="00861EE9" w:rsidP="00C52063">
      <w:pPr>
        <w:pStyle w:val="NoSpacing"/>
        <w:snapToGrid w:val="0"/>
        <w:ind w:firstLine="425"/>
        <w:jc w:val="both"/>
        <w:rPr>
          <w:bCs/>
          <w:sz w:val="20"/>
          <w:szCs w:val="20"/>
        </w:rPr>
      </w:pPr>
      <w:r w:rsidRPr="00C52063">
        <w:rPr>
          <w:bCs/>
          <w:sz w:val="20"/>
          <w:szCs w:val="20"/>
        </w:rPr>
        <w:t>Inclusion criteria:</w:t>
      </w:r>
    </w:p>
    <w:p w:rsidR="00C52063" w:rsidRDefault="00861EE9" w:rsidP="00C52063">
      <w:pPr>
        <w:pStyle w:val="NoSpacing"/>
        <w:snapToGrid w:val="0"/>
        <w:ind w:firstLine="425"/>
        <w:jc w:val="both"/>
        <w:rPr>
          <w:sz w:val="20"/>
          <w:szCs w:val="20"/>
        </w:rPr>
      </w:pPr>
      <w:r w:rsidRPr="00C52063">
        <w:rPr>
          <w:sz w:val="20"/>
          <w:szCs w:val="20"/>
        </w:rPr>
        <w:t>Patients presenting by STEMI within 24 hours and treated with primary PC</w:t>
      </w:r>
      <w:r w:rsidR="00C52063" w:rsidRPr="00C52063">
        <w:rPr>
          <w:sz w:val="20"/>
          <w:szCs w:val="20"/>
        </w:rPr>
        <w:t>I</w:t>
      </w:r>
      <w:r w:rsidR="00C52063">
        <w:rPr>
          <w:sz w:val="20"/>
          <w:szCs w:val="20"/>
        </w:rPr>
        <w:t>.</w:t>
      </w:r>
    </w:p>
    <w:p w:rsidR="00861EE9" w:rsidRPr="00C52063" w:rsidRDefault="00861EE9" w:rsidP="00C52063">
      <w:pPr>
        <w:pStyle w:val="NoSpacing"/>
        <w:snapToGrid w:val="0"/>
        <w:jc w:val="both"/>
        <w:rPr>
          <w:b/>
          <w:sz w:val="20"/>
          <w:szCs w:val="20"/>
        </w:rPr>
      </w:pPr>
      <w:r w:rsidRPr="00C52063">
        <w:rPr>
          <w:b/>
          <w:sz w:val="20"/>
          <w:szCs w:val="20"/>
        </w:rPr>
        <w:t>Exclusion criteria:</w:t>
      </w:r>
    </w:p>
    <w:p w:rsidR="00861EE9" w:rsidRPr="00C52063" w:rsidRDefault="00861EE9" w:rsidP="00C52063">
      <w:pPr>
        <w:pStyle w:val="NoSpacing"/>
        <w:snapToGrid w:val="0"/>
        <w:ind w:firstLine="425"/>
        <w:jc w:val="both"/>
        <w:rPr>
          <w:sz w:val="20"/>
          <w:szCs w:val="20"/>
        </w:rPr>
      </w:pPr>
      <w:r w:rsidRPr="00C52063">
        <w:rPr>
          <w:sz w:val="20"/>
          <w:szCs w:val="20"/>
        </w:rPr>
        <w:t xml:space="preserve">Patients presenting after 24 hours </w:t>
      </w:r>
      <w:r w:rsidR="00750467" w:rsidRPr="00C52063">
        <w:rPr>
          <w:sz w:val="20"/>
          <w:szCs w:val="20"/>
        </w:rPr>
        <w:t>of symptoms</w:t>
      </w:r>
      <w:r w:rsidRPr="00C52063">
        <w:rPr>
          <w:sz w:val="20"/>
          <w:szCs w:val="20"/>
        </w:rPr>
        <w:t>.</w:t>
      </w:r>
    </w:p>
    <w:p w:rsidR="00861EE9" w:rsidRPr="00C52063" w:rsidRDefault="00861EE9" w:rsidP="00C52063">
      <w:pPr>
        <w:pStyle w:val="NoSpacing"/>
        <w:snapToGrid w:val="0"/>
        <w:ind w:firstLine="425"/>
        <w:jc w:val="both"/>
        <w:rPr>
          <w:sz w:val="20"/>
          <w:szCs w:val="20"/>
        </w:rPr>
      </w:pPr>
      <w:r w:rsidRPr="00C52063">
        <w:rPr>
          <w:sz w:val="20"/>
          <w:szCs w:val="20"/>
        </w:rPr>
        <w:t xml:space="preserve">Patient received </w:t>
      </w:r>
      <w:r w:rsidR="00F60A3E" w:rsidRPr="00C52063">
        <w:rPr>
          <w:sz w:val="20"/>
          <w:szCs w:val="20"/>
        </w:rPr>
        <w:t>thrombolytic therapy</w:t>
      </w:r>
      <w:r w:rsidRPr="00C52063">
        <w:rPr>
          <w:sz w:val="20"/>
          <w:szCs w:val="20"/>
        </w:rPr>
        <w:t>.</w:t>
      </w:r>
    </w:p>
    <w:p w:rsidR="0025058D" w:rsidRPr="00C52063" w:rsidRDefault="0025058D" w:rsidP="00C52063">
      <w:pPr>
        <w:pStyle w:val="NoSpacing"/>
        <w:snapToGrid w:val="0"/>
        <w:ind w:firstLine="425"/>
        <w:jc w:val="both"/>
        <w:rPr>
          <w:sz w:val="20"/>
          <w:szCs w:val="20"/>
        </w:rPr>
      </w:pPr>
      <w:r w:rsidRPr="00C52063">
        <w:rPr>
          <w:sz w:val="20"/>
          <w:szCs w:val="20"/>
        </w:rPr>
        <w:t>All recruited patients were subjected to:</w:t>
      </w:r>
    </w:p>
    <w:p w:rsidR="0025058D" w:rsidRPr="00C52063" w:rsidRDefault="0025058D" w:rsidP="00C52063">
      <w:pPr>
        <w:pStyle w:val="NoSpacing"/>
        <w:snapToGrid w:val="0"/>
        <w:ind w:firstLine="425"/>
        <w:jc w:val="both"/>
        <w:rPr>
          <w:sz w:val="20"/>
          <w:szCs w:val="20"/>
        </w:rPr>
      </w:pPr>
      <w:r w:rsidRPr="00C52063">
        <w:rPr>
          <w:sz w:val="20"/>
          <w:szCs w:val="20"/>
        </w:rPr>
        <w:t>An</w:t>
      </w:r>
      <w:r w:rsidR="00750467">
        <w:rPr>
          <w:rFonts w:eastAsiaTheme="minorEastAsia" w:hint="eastAsia"/>
          <w:sz w:val="20"/>
          <w:szCs w:val="20"/>
          <w:lang w:eastAsia="zh-CN"/>
        </w:rPr>
        <w:t xml:space="preserve"> </w:t>
      </w:r>
      <w:r w:rsidRPr="00C52063">
        <w:rPr>
          <w:sz w:val="20"/>
          <w:szCs w:val="20"/>
        </w:rPr>
        <w:t>informed</w:t>
      </w:r>
      <w:r w:rsidR="00750467">
        <w:rPr>
          <w:rFonts w:eastAsiaTheme="minorEastAsia" w:hint="eastAsia"/>
          <w:sz w:val="20"/>
          <w:szCs w:val="20"/>
          <w:lang w:eastAsia="zh-CN"/>
        </w:rPr>
        <w:t xml:space="preserve"> </w:t>
      </w:r>
      <w:r w:rsidRPr="00C52063">
        <w:rPr>
          <w:sz w:val="20"/>
          <w:szCs w:val="20"/>
        </w:rPr>
        <w:t>consent</w:t>
      </w:r>
      <w:r w:rsidR="00750467">
        <w:rPr>
          <w:rFonts w:eastAsiaTheme="minorEastAsia" w:hint="eastAsia"/>
          <w:sz w:val="20"/>
          <w:szCs w:val="20"/>
          <w:lang w:eastAsia="zh-CN"/>
        </w:rPr>
        <w:t xml:space="preserve"> </w:t>
      </w:r>
      <w:r w:rsidRPr="00C52063">
        <w:rPr>
          <w:sz w:val="20"/>
          <w:szCs w:val="20"/>
        </w:rPr>
        <w:t>was</w:t>
      </w:r>
      <w:r w:rsidR="00750467">
        <w:rPr>
          <w:rFonts w:eastAsiaTheme="minorEastAsia" w:hint="eastAsia"/>
          <w:sz w:val="20"/>
          <w:szCs w:val="20"/>
          <w:lang w:eastAsia="zh-CN"/>
        </w:rPr>
        <w:t xml:space="preserve"> </w:t>
      </w:r>
      <w:r w:rsidRPr="00C52063">
        <w:rPr>
          <w:sz w:val="20"/>
          <w:szCs w:val="20"/>
        </w:rPr>
        <w:t>obtained</w:t>
      </w:r>
      <w:r w:rsidR="00750467">
        <w:rPr>
          <w:rFonts w:eastAsiaTheme="minorEastAsia" w:hint="eastAsia"/>
          <w:sz w:val="20"/>
          <w:szCs w:val="20"/>
          <w:lang w:eastAsia="zh-CN"/>
        </w:rPr>
        <w:t xml:space="preserve"> </w:t>
      </w:r>
      <w:r w:rsidRPr="00C52063">
        <w:rPr>
          <w:sz w:val="20"/>
          <w:szCs w:val="20"/>
        </w:rPr>
        <w:t>from</w:t>
      </w:r>
      <w:r w:rsidR="00750467">
        <w:rPr>
          <w:rFonts w:eastAsiaTheme="minorEastAsia" w:hint="eastAsia"/>
          <w:sz w:val="20"/>
          <w:szCs w:val="20"/>
          <w:lang w:eastAsia="zh-CN"/>
        </w:rPr>
        <w:t xml:space="preserve"> </w:t>
      </w:r>
      <w:r w:rsidRPr="00C52063">
        <w:rPr>
          <w:sz w:val="20"/>
          <w:szCs w:val="20"/>
        </w:rPr>
        <w:t>all</w:t>
      </w:r>
      <w:r w:rsidR="00750467">
        <w:rPr>
          <w:rFonts w:eastAsiaTheme="minorEastAsia" w:hint="eastAsia"/>
          <w:sz w:val="20"/>
          <w:szCs w:val="20"/>
          <w:lang w:eastAsia="zh-CN"/>
        </w:rPr>
        <w:t xml:space="preserve"> </w:t>
      </w:r>
      <w:r w:rsidRPr="00C52063">
        <w:rPr>
          <w:sz w:val="20"/>
          <w:szCs w:val="20"/>
        </w:rPr>
        <w:t>participants</w:t>
      </w:r>
      <w:r w:rsidR="00750467">
        <w:rPr>
          <w:rFonts w:eastAsiaTheme="minorEastAsia" w:hint="eastAsia"/>
          <w:sz w:val="20"/>
          <w:szCs w:val="20"/>
          <w:lang w:eastAsia="zh-CN"/>
        </w:rPr>
        <w:t xml:space="preserve"> </w:t>
      </w:r>
      <w:r w:rsidRPr="00C52063">
        <w:rPr>
          <w:sz w:val="20"/>
          <w:szCs w:val="20"/>
        </w:rPr>
        <w:t>in</w:t>
      </w:r>
      <w:r w:rsidR="00750467">
        <w:rPr>
          <w:rFonts w:eastAsiaTheme="minorEastAsia" w:hint="eastAsia"/>
          <w:sz w:val="20"/>
          <w:szCs w:val="20"/>
          <w:lang w:eastAsia="zh-CN"/>
        </w:rPr>
        <w:t xml:space="preserve"> </w:t>
      </w:r>
      <w:r w:rsidRPr="00C52063">
        <w:rPr>
          <w:sz w:val="20"/>
          <w:szCs w:val="20"/>
        </w:rPr>
        <w:t>the</w:t>
      </w:r>
      <w:r w:rsidR="00750467">
        <w:rPr>
          <w:rFonts w:eastAsiaTheme="minorEastAsia" w:hint="eastAsia"/>
          <w:sz w:val="20"/>
          <w:szCs w:val="20"/>
          <w:lang w:eastAsia="zh-CN"/>
        </w:rPr>
        <w:t xml:space="preserve"> </w:t>
      </w:r>
      <w:r w:rsidRPr="00C52063">
        <w:rPr>
          <w:sz w:val="20"/>
          <w:szCs w:val="20"/>
        </w:rPr>
        <w:t>research.</w:t>
      </w:r>
    </w:p>
    <w:p w:rsidR="0025058D" w:rsidRPr="00C52063" w:rsidRDefault="0025058D" w:rsidP="00C52063">
      <w:pPr>
        <w:pStyle w:val="NoSpacing"/>
        <w:snapToGrid w:val="0"/>
        <w:ind w:firstLine="425"/>
        <w:jc w:val="both"/>
        <w:rPr>
          <w:sz w:val="20"/>
          <w:szCs w:val="20"/>
        </w:rPr>
      </w:pPr>
      <w:r w:rsidRPr="00C52063">
        <w:rPr>
          <w:sz w:val="20"/>
          <w:szCs w:val="20"/>
        </w:rPr>
        <w:t>Detailed clinical history: Age, sex, history of risk factors for coronary artery disease (CAD) as: Diabetes Mellitus, hypertension, smoking</w:t>
      </w:r>
      <w:r w:rsidR="00CF1619" w:rsidRPr="00C52063">
        <w:rPr>
          <w:sz w:val="20"/>
          <w:szCs w:val="20"/>
        </w:rPr>
        <w:t>,</w:t>
      </w:r>
      <w:r w:rsidRPr="00C52063">
        <w:rPr>
          <w:sz w:val="20"/>
          <w:szCs w:val="20"/>
        </w:rPr>
        <w:t xml:space="preserve"> Dyslipidemia, Histo</w:t>
      </w:r>
      <w:r w:rsidR="00F60A3E" w:rsidRPr="00C52063">
        <w:rPr>
          <w:sz w:val="20"/>
          <w:szCs w:val="20"/>
        </w:rPr>
        <w:t>ry of previous ischaemic stroke</w:t>
      </w:r>
      <w:r w:rsidRPr="00C52063">
        <w:rPr>
          <w:sz w:val="20"/>
          <w:szCs w:val="20"/>
        </w:rPr>
        <w:t>, transient</w:t>
      </w:r>
      <w:r w:rsidR="00750467">
        <w:rPr>
          <w:rFonts w:eastAsiaTheme="minorEastAsia" w:hint="eastAsia"/>
          <w:sz w:val="20"/>
          <w:szCs w:val="20"/>
          <w:lang w:eastAsia="zh-CN"/>
        </w:rPr>
        <w:t xml:space="preserve"> </w:t>
      </w:r>
      <w:r w:rsidRPr="00C52063">
        <w:rPr>
          <w:sz w:val="20"/>
          <w:szCs w:val="20"/>
        </w:rPr>
        <w:t>ischaemic attack (TIA) or thromboembolism, past history of</w:t>
      </w:r>
      <w:r w:rsidR="00CF1619" w:rsidRPr="00C52063">
        <w:rPr>
          <w:sz w:val="20"/>
          <w:szCs w:val="20"/>
        </w:rPr>
        <w:t xml:space="preserve"> </w:t>
      </w:r>
      <w:r w:rsidRPr="00C52063">
        <w:rPr>
          <w:sz w:val="20"/>
          <w:szCs w:val="20"/>
        </w:rPr>
        <w:t>premature coronary artery disease, family history of premature CAD and vascular disease</w:t>
      </w:r>
      <w:r w:rsidR="00CF1619" w:rsidRPr="00C52063">
        <w:rPr>
          <w:sz w:val="20"/>
          <w:szCs w:val="20"/>
        </w:rPr>
        <w:t xml:space="preserve"> </w:t>
      </w:r>
      <w:r w:rsidRPr="00C52063">
        <w:rPr>
          <w:sz w:val="20"/>
          <w:szCs w:val="20"/>
        </w:rPr>
        <w:t>(defined as previous myocardial infarction [MI] and peripheral artery disease including prior revascularisation, amputation or angiographic evidence or aortic plaque).</w:t>
      </w:r>
    </w:p>
    <w:p w:rsidR="0025058D" w:rsidRPr="00C52063" w:rsidRDefault="0025058D" w:rsidP="00C52063">
      <w:pPr>
        <w:pStyle w:val="NoSpacing"/>
        <w:snapToGrid w:val="0"/>
        <w:jc w:val="both"/>
        <w:rPr>
          <w:b/>
          <w:bCs/>
          <w:sz w:val="20"/>
          <w:szCs w:val="20"/>
        </w:rPr>
      </w:pPr>
      <w:r w:rsidRPr="00C52063">
        <w:rPr>
          <w:b/>
          <w:bCs/>
          <w:sz w:val="20"/>
          <w:szCs w:val="20"/>
        </w:rPr>
        <w:t xml:space="preserve">Full </w:t>
      </w:r>
      <w:r w:rsidR="00F60A3E" w:rsidRPr="00C52063">
        <w:rPr>
          <w:b/>
          <w:bCs/>
          <w:sz w:val="20"/>
          <w:szCs w:val="20"/>
        </w:rPr>
        <w:t>clinical examination</w:t>
      </w:r>
      <w:r w:rsidRPr="00C52063">
        <w:rPr>
          <w:b/>
          <w:bCs/>
          <w:sz w:val="20"/>
          <w:szCs w:val="20"/>
        </w:rPr>
        <w:t>:</w:t>
      </w:r>
    </w:p>
    <w:p w:rsidR="0025058D" w:rsidRPr="00C52063" w:rsidRDefault="0025058D" w:rsidP="00C52063">
      <w:pPr>
        <w:pStyle w:val="NoSpacing"/>
        <w:snapToGrid w:val="0"/>
        <w:ind w:firstLine="425"/>
        <w:jc w:val="both"/>
        <w:rPr>
          <w:sz w:val="20"/>
          <w:szCs w:val="20"/>
        </w:rPr>
      </w:pPr>
      <w:r w:rsidRPr="00C52063">
        <w:rPr>
          <w:sz w:val="20"/>
          <w:szCs w:val="20"/>
        </w:rPr>
        <w:t>Vital signs: heart rate, blood pressure and respiratory rate.</w:t>
      </w:r>
    </w:p>
    <w:p w:rsidR="0025058D" w:rsidRPr="00C52063" w:rsidRDefault="0025058D" w:rsidP="00C52063">
      <w:pPr>
        <w:pStyle w:val="NoSpacing"/>
        <w:snapToGrid w:val="0"/>
        <w:ind w:firstLine="425"/>
        <w:jc w:val="both"/>
        <w:rPr>
          <w:sz w:val="20"/>
          <w:szCs w:val="20"/>
        </w:rPr>
      </w:pPr>
      <w:r w:rsidRPr="00C52063">
        <w:rPr>
          <w:sz w:val="20"/>
          <w:szCs w:val="20"/>
        </w:rPr>
        <w:t>General examination: with attention to Height, weight, body mass index (BMI), patient look, decubitus, cyanosis, jaundice, with special attention to signs of heart failure.</w:t>
      </w:r>
    </w:p>
    <w:p w:rsidR="0025058D" w:rsidRPr="00C52063" w:rsidRDefault="0025058D" w:rsidP="00C52063">
      <w:pPr>
        <w:pStyle w:val="NoSpacing"/>
        <w:snapToGrid w:val="0"/>
        <w:ind w:firstLine="425"/>
        <w:jc w:val="both"/>
        <w:rPr>
          <w:sz w:val="20"/>
          <w:szCs w:val="20"/>
        </w:rPr>
      </w:pPr>
      <w:r w:rsidRPr="00C52063">
        <w:rPr>
          <w:sz w:val="20"/>
          <w:szCs w:val="20"/>
        </w:rPr>
        <w:t>Local cardiac examination: abnormal pulsation, Heart sounds</w:t>
      </w:r>
      <w:r w:rsidR="00CF1619" w:rsidRPr="00C52063">
        <w:rPr>
          <w:sz w:val="20"/>
          <w:szCs w:val="20"/>
        </w:rPr>
        <w:t xml:space="preserve"> &amp; </w:t>
      </w:r>
      <w:r w:rsidRPr="00C52063">
        <w:rPr>
          <w:sz w:val="20"/>
          <w:szCs w:val="20"/>
        </w:rPr>
        <w:t>murmurs.</w:t>
      </w:r>
    </w:p>
    <w:p w:rsidR="0025058D" w:rsidRPr="00C52063" w:rsidRDefault="0025058D" w:rsidP="00C52063">
      <w:pPr>
        <w:pStyle w:val="NoSpacing"/>
        <w:snapToGrid w:val="0"/>
        <w:ind w:firstLine="425"/>
        <w:jc w:val="both"/>
        <w:rPr>
          <w:sz w:val="20"/>
          <w:szCs w:val="20"/>
        </w:rPr>
      </w:pPr>
      <w:r w:rsidRPr="00C52063">
        <w:rPr>
          <w:sz w:val="20"/>
          <w:szCs w:val="20"/>
        </w:rPr>
        <w:t>Standard12-lea</w:t>
      </w:r>
      <w:r w:rsidR="00C52063" w:rsidRPr="00C52063">
        <w:rPr>
          <w:sz w:val="20"/>
          <w:szCs w:val="20"/>
        </w:rPr>
        <w:t>d</w:t>
      </w:r>
      <w:r w:rsidR="00C52063">
        <w:rPr>
          <w:sz w:val="20"/>
          <w:szCs w:val="20"/>
        </w:rPr>
        <w:t xml:space="preserve"> </w:t>
      </w:r>
      <w:r w:rsidR="00C52063" w:rsidRPr="00C52063">
        <w:rPr>
          <w:sz w:val="20"/>
          <w:szCs w:val="20"/>
        </w:rPr>
        <w:t>E</w:t>
      </w:r>
      <w:r w:rsidRPr="00C52063">
        <w:rPr>
          <w:sz w:val="20"/>
          <w:szCs w:val="20"/>
        </w:rPr>
        <w:t>CGwasobtainedwithin10minutesoffirstmedicalcontac</w:t>
      </w:r>
      <w:r w:rsidR="00CF1619" w:rsidRPr="00C52063">
        <w:rPr>
          <w:sz w:val="20"/>
          <w:szCs w:val="20"/>
        </w:rPr>
        <w:t>t (</w:t>
      </w:r>
      <w:r w:rsidRPr="00C52063">
        <w:rPr>
          <w:sz w:val="20"/>
          <w:szCs w:val="20"/>
        </w:rPr>
        <w:t xml:space="preserve">FMC) </w:t>
      </w:r>
      <w:r w:rsidR="00750467" w:rsidRPr="00C52063">
        <w:rPr>
          <w:sz w:val="20"/>
          <w:szCs w:val="20"/>
        </w:rPr>
        <w:t>according to</w:t>
      </w:r>
      <w:r w:rsidR="00C52063">
        <w:rPr>
          <w:sz w:val="20"/>
          <w:szCs w:val="20"/>
        </w:rPr>
        <w:t xml:space="preserve"> </w:t>
      </w:r>
      <w:r w:rsidR="00C52063" w:rsidRPr="00C52063">
        <w:rPr>
          <w:sz w:val="20"/>
          <w:szCs w:val="20"/>
        </w:rPr>
        <w:t>E</w:t>
      </w:r>
      <w:r w:rsidRPr="00C52063">
        <w:rPr>
          <w:sz w:val="20"/>
          <w:szCs w:val="20"/>
        </w:rPr>
        <w:t>SC guidelines2018(5).</w:t>
      </w:r>
    </w:p>
    <w:p w:rsidR="0025058D" w:rsidRPr="00C52063" w:rsidRDefault="0025058D" w:rsidP="00C52063">
      <w:pPr>
        <w:pStyle w:val="NoSpacing"/>
        <w:snapToGrid w:val="0"/>
        <w:ind w:firstLine="425"/>
        <w:jc w:val="both"/>
        <w:rPr>
          <w:sz w:val="20"/>
          <w:szCs w:val="20"/>
        </w:rPr>
      </w:pPr>
      <w:r w:rsidRPr="00C52063">
        <w:rPr>
          <w:sz w:val="20"/>
          <w:szCs w:val="20"/>
        </w:rPr>
        <w:t>Trans Thoracic Echocardiography (TTE) in the four standard views (Apical four, apical two, long parasternal, short parasternal) which was done either immediately on admission when hemodynamic instabilitywaspresentand/orwithinthefirst24hsincaseofstablepatients.</w:t>
      </w:r>
    </w:p>
    <w:p w:rsidR="0025058D" w:rsidRPr="00C52063" w:rsidRDefault="0025058D" w:rsidP="00C52063">
      <w:pPr>
        <w:pStyle w:val="NoSpacing"/>
        <w:snapToGrid w:val="0"/>
        <w:jc w:val="both"/>
        <w:rPr>
          <w:b/>
          <w:bCs/>
          <w:sz w:val="20"/>
          <w:szCs w:val="20"/>
        </w:rPr>
      </w:pPr>
      <w:r w:rsidRPr="00C52063">
        <w:rPr>
          <w:b/>
          <w:bCs/>
          <w:sz w:val="20"/>
          <w:szCs w:val="20"/>
        </w:rPr>
        <w:t xml:space="preserve">Routine laboratory </w:t>
      </w:r>
      <w:r w:rsidR="00C9623B" w:rsidRPr="00C52063">
        <w:rPr>
          <w:b/>
          <w:bCs/>
          <w:sz w:val="20"/>
          <w:szCs w:val="20"/>
        </w:rPr>
        <w:t>investigation including</w:t>
      </w:r>
      <w:r w:rsidRPr="00C52063">
        <w:rPr>
          <w:b/>
          <w:bCs/>
          <w:sz w:val="20"/>
          <w:szCs w:val="20"/>
        </w:rPr>
        <w:t>:</w:t>
      </w:r>
    </w:p>
    <w:p w:rsidR="0025058D" w:rsidRPr="00C52063" w:rsidRDefault="0025058D" w:rsidP="00C52063">
      <w:pPr>
        <w:pStyle w:val="NoSpacing"/>
        <w:snapToGrid w:val="0"/>
        <w:ind w:firstLine="425"/>
        <w:jc w:val="both"/>
        <w:rPr>
          <w:sz w:val="20"/>
          <w:szCs w:val="20"/>
        </w:rPr>
      </w:pPr>
      <w:r w:rsidRPr="00C52063">
        <w:rPr>
          <w:sz w:val="20"/>
          <w:szCs w:val="20"/>
        </w:rPr>
        <w:t>-CKMB/Troponin.</w:t>
      </w:r>
    </w:p>
    <w:p w:rsidR="0025058D" w:rsidRPr="00C52063" w:rsidRDefault="0025058D" w:rsidP="00C52063">
      <w:pPr>
        <w:pStyle w:val="NoSpacing"/>
        <w:snapToGrid w:val="0"/>
        <w:ind w:firstLine="425"/>
        <w:jc w:val="both"/>
        <w:rPr>
          <w:sz w:val="20"/>
          <w:szCs w:val="20"/>
        </w:rPr>
      </w:pPr>
      <w:r w:rsidRPr="00C52063">
        <w:rPr>
          <w:sz w:val="20"/>
          <w:szCs w:val="20"/>
        </w:rPr>
        <w:t>-Fasting and 2 hours post prandial blood sugar level.</w:t>
      </w:r>
    </w:p>
    <w:p w:rsidR="0025058D" w:rsidRPr="00C52063" w:rsidRDefault="0025058D" w:rsidP="00C52063">
      <w:pPr>
        <w:pStyle w:val="NoSpacing"/>
        <w:snapToGrid w:val="0"/>
        <w:ind w:firstLine="425"/>
        <w:jc w:val="both"/>
        <w:rPr>
          <w:sz w:val="20"/>
          <w:szCs w:val="20"/>
        </w:rPr>
      </w:pPr>
      <w:r w:rsidRPr="00C52063">
        <w:rPr>
          <w:sz w:val="20"/>
          <w:szCs w:val="20"/>
        </w:rPr>
        <w:t>-Total cholesterol, LDL, HDL, Triglycerides.</w:t>
      </w:r>
    </w:p>
    <w:p w:rsidR="0025058D" w:rsidRPr="00C52063" w:rsidRDefault="0025058D" w:rsidP="00C52063">
      <w:pPr>
        <w:pStyle w:val="NoSpacing"/>
        <w:snapToGrid w:val="0"/>
        <w:ind w:firstLine="425"/>
        <w:jc w:val="both"/>
        <w:rPr>
          <w:sz w:val="20"/>
          <w:szCs w:val="20"/>
        </w:rPr>
      </w:pPr>
      <w:r w:rsidRPr="00C52063">
        <w:rPr>
          <w:sz w:val="20"/>
          <w:szCs w:val="20"/>
        </w:rPr>
        <w:t xml:space="preserve">-Urea/Creatinine level before and 24hs after </w:t>
      </w:r>
      <w:r w:rsidRPr="00C52063">
        <w:rPr>
          <w:sz w:val="20"/>
          <w:szCs w:val="20"/>
        </w:rPr>
        <w:lastRenderedPageBreak/>
        <w:t>primary PCI.</w:t>
      </w:r>
    </w:p>
    <w:p w:rsidR="0025058D" w:rsidRPr="00C52063" w:rsidRDefault="0025058D" w:rsidP="00C52063">
      <w:pPr>
        <w:pStyle w:val="NoSpacing"/>
        <w:snapToGrid w:val="0"/>
        <w:ind w:firstLine="425"/>
        <w:jc w:val="both"/>
        <w:rPr>
          <w:sz w:val="20"/>
          <w:szCs w:val="20"/>
        </w:rPr>
      </w:pPr>
      <w:r w:rsidRPr="00C52063">
        <w:rPr>
          <w:sz w:val="20"/>
          <w:szCs w:val="20"/>
        </w:rPr>
        <w:t>-Liver function tests.</w:t>
      </w:r>
    </w:p>
    <w:p w:rsidR="0025058D" w:rsidRPr="00C52063" w:rsidRDefault="0025058D" w:rsidP="00C52063">
      <w:pPr>
        <w:pStyle w:val="NoSpacing"/>
        <w:snapToGrid w:val="0"/>
        <w:ind w:firstLine="425"/>
        <w:jc w:val="both"/>
        <w:rPr>
          <w:sz w:val="20"/>
          <w:szCs w:val="20"/>
        </w:rPr>
      </w:pPr>
      <w:r w:rsidRPr="00C52063">
        <w:rPr>
          <w:sz w:val="20"/>
          <w:szCs w:val="20"/>
        </w:rPr>
        <w:t>-Complete blood count.</w:t>
      </w:r>
    </w:p>
    <w:p w:rsidR="0025058D" w:rsidRPr="00C52063" w:rsidRDefault="0025058D" w:rsidP="00C52063">
      <w:pPr>
        <w:pStyle w:val="NoSpacing"/>
        <w:snapToGrid w:val="0"/>
        <w:ind w:firstLine="425"/>
        <w:jc w:val="both"/>
        <w:rPr>
          <w:sz w:val="20"/>
          <w:szCs w:val="20"/>
        </w:rPr>
      </w:pPr>
      <w:r w:rsidRPr="00C52063">
        <w:rPr>
          <w:sz w:val="20"/>
          <w:szCs w:val="20"/>
        </w:rPr>
        <w:t>-CRP.</w:t>
      </w:r>
    </w:p>
    <w:p w:rsidR="00726BC9" w:rsidRPr="00C52063" w:rsidRDefault="00726BC9" w:rsidP="00C52063">
      <w:pPr>
        <w:pStyle w:val="NoSpacing"/>
        <w:snapToGrid w:val="0"/>
        <w:ind w:firstLine="425"/>
        <w:jc w:val="both"/>
        <w:rPr>
          <w:bCs/>
          <w:sz w:val="20"/>
          <w:szCs w:val="20"/>
        </w:rPr>
      </w:pPr>
      <w:r w:rsidRPr="00C52063">
        <w:rPr>
          <w:sz w:val="20"/>
          <w:szCs w:val="20"/>
        </w:rPr>
        <w:t>CHA</w:t>
      </w:r>
      <w:r w:rsidRPr="00C52063">
        <w:rPr>
          <w:sz w:val="20"/>
          <w:szCs w:val="20"/>
          <w:vertAlign w:val="subscript"/>
        </w:rPr>
        <w:t>2</w:t>
      </w:r>
      <w:r w:rsidRPr="00C52063">
        <w:rPr>
          <w:sz w:val="20"/>
          <w:szCs w:val="20"/>
        </w:rPr>
        <w:t>DS</w:t>
      </w:r>
      <w:r w:rsidRPr="00C52063">
        <w:rPr>
          <w:sz w:val="20"/>
          <w:szCs w:val="20"/>
          <w:vertAlign w:val="subscript"/>
        </w:rPr>
        <w:t>2</w:t>
      </w:r>
      <w:r w:rsidRPr="00C52063">
        <w:rPr>
          <w:sz w:val="20"/>
          <w:szCs w:val="20"/>
        </w:rPr>
        <w:t>-VASc and CHA</w:t>
      </w:r>
      <w:r w:rsidRPr="00C52063">
        <w:rPr>
          <w:sz w:val="20"/>
          <w:szCs w:val="20"/>
          <w:vertAlign w:val="subscript"/>
        </w:rPr>
        <w:t>2</w:t>
      </w:r>
      <w:r w:rsidRPr="00C52063">
        <w:rPr>
          <w:sz w:val="20"/>
          <w:szCs w:val="20"/>
        </w:rPr>
        <w:t>DS</w:t>
      </w:r>
      <w:r w:rsidRPr="00C52063">
        <w:rPr>
          <w:sz w:val="20"/>
          <w:szCs w:val="20"/>
          <w:vertAlign w:val="subscript"/>
        </w:rPr>
        <w:t>2</w:t>
      </w:r>
      <w:r w:rsidRPr="00C52063">
        <w:rPr>
          <w:sz w:val="20"/>
          <w:szCs w:val="20"/>
        </w:rPr>
        <w:t>-VASc HSF scores were calculated</w:t>
      </w:r>
      <w:r w:rsidR="00CF1619" w:rsidRPr="00C52063">
        <w:rPr>
          <w:sz w:val="20"/>
          <w:szCs w:val="20"/>
        </w:rPr>
        <w:t xml:space="preserve"> </w:t>
      </w:r>
      <w:r w:rsidRPr="00C52063">
        <w:rPr>
          <w:sz w:val="20"/>
          <w:szCs w:val="20"/>
        </w:rPr>
        <w:t xml:space="preserve">for each </w:t>
      </w:r>
      <w:r w:rsidR="00750467" w:rsidRPr="00C52063">
        <w:rPr>
          <w:sz w:val="20"/>
          <w:szCs w:val="20"/>
        </w:rPr>
        <w:t>patient according</w:t>
      </w:r>
      <w:r w:rsidRPr="00C52063">
        <w:rPr>
          <w:sz w:val="20"/>
          <w:szCs w:val="20"/>
        </w:rPr>
        <w:t xml:space="preserve"> to the following table:</w:t>
      </w:r>
    </w:p>
    <w:p w:rsidR="003064B3" w:rsidRPr="00C52063" w:rsidRDefault="003064B3" w:rsidP="00C52063">
      <w:pPr>
        <w:pStyle w:val="NoSpacing"/>
        <w:snapToGrid w:val="0"/>
        <w:ind w:firstLine="425"/>
        <w:jc w:val="both"/>
        <w:rPr>
          <w:bCs/>
          <w:sz w:val="20"/>
          <w:szCs w:val="20"/>
        </w:rPr>
      </w:pPr>
    </w:p>
    <w:tbl>
      <w:tblPr>
        <w:tblStyle w:val="TableGrid"/>
        <w:tblW w:w="5000" w:type="pct"/>
        <w:jc w:val="center"/>
        <w:tblCellMar>
          <w:left w:w="57" w:type="dxa"/>
          <w:right w:w="57" w:type="dxa"/>
        </w:tblCellMar>
        <w:tblLook w:val="04A0"/>
      </w:tblPr>
      <w:tblGrid>
        <w:gridCol w:w="426"/>
        <w:gridCol w:w="3364"/>
        <w:gridCol w:w="729"/>
      </w:tblGrid>
      <w:tr w:rsidR="00C4073D" w:rsidRPr="00C52063" w:rsidTr="00CF1619">
        <w:trPr>
          <w:jc w:val="center"/>
        </w:trPr>
        <w:tc>
          <w:tcPr>
            <w:tcW w:w="471" w:type="pct"/>
            <w:vAlign w:val="center"/>
          </w:tcPr>
          <w:p w:rsidR="00726BC9" w:rsidRPr="00C52063" w:rsidRDefault="00726BC9" w:rsidP="00C52063">
            <w:pPr>
              <w:pStyle w:val="NoSpacing"/>
              <w:snapToGrid w:val="0"/>
              <w:jc w:val="both"/>
              <w:rPr>
                <w:bCs/>
                <w:sz w:val="20"/>
                <w:szCs w:val="18"/>
              </w:rPr>
            </w:pPr>
          </w:p>
        </w:tc>
        <w:tc>
          <w:tcPr>
            <w:tcW w:w="3722" w:type="pct"/>
            <w:vAlign w:val="center"/>
          </w:tcPr>
          <w:p w:rsidR="00726BC9" w:rsidRPr="00C52063" w:rsidRDefault="00726BC9" w:rsidP="00C52063">
            <w:pPr>
              <w:pStyle w:val="NoSpacing"/>
              <w:snapToGrid w:val="0"/>
              <w:jc w:val="both"/>
              <w:rPr>
                <w:sz w:val="20"/>
                <w:szCs w:val="18"/>
              </w:rPr>
            </w:pPr>
            <w:r w:rsidRPr="00C52063">
              <w:rPr>
                <w:sz w:val="20"/>
                <w:szCs w:val="18"/>
              </w:rPr>
              <w:t>Ris</w:t>
            </w:r>
            <w:r w:rsidR="00C4073D" w:rsidRPr="00C52063">
              <w:rPr>
                <w:sz w:val="20"/>
                <w:szCs w:val="18"/>
              </w:rPr>
              <w:t xml:space="preserve">k </w:t>
            </w:r>
            <w:r w:rsidRPr="00C52063">
              <w:rPr>
                <w:sz w:val="20"/>
                <w:szCs w:val="18"/>
              </w:rPr>
              <w:t>Factor</w:t>
            </w:r>
          </w:p>
        </w:tc>
        <w:tc>
          <w:tcPr>
            <w:tcW w:w="807" w:type="pct"/>
            <w:vAlign w:val="center"/>
          </w:tcPr>
          <w:p w:rsidR="00726BC9" w:rsidRPr="00C52063" w:rsidRDefault="00726BC9" w:rsidP="00C52063">
            <w:pPr>
              <w:pStyle w:val="NoSpacing"/>
              <w:snapToGrid w:val="0"/>
              <w:jc w:val="both"/>
              <w:rPr>
                <w:sz w:val="20"/>
                <w:szCs w:val="18"/>
              </w:rPr>
            </w:pPr>
            <w:r w:rsidRPr="00C52063">
              <w:rPr>
                <w:sz w:val="20"/>
                <w:szCs w:val="18"/>
              </w:rPr>
              <w:t>Points</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C</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Congestive heart failure</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H</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Hypertension</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color w:val="333333"/>
                <w:sz w:val="20"/>
                <w:szCs w:val="18"/>
              </w:rPr>
              <w:t>A</w:t>
            </w:r>
            <w:r w:rsidRPr="00C52063">
              <w:rPr>
                <w:color w:val="333333"/>
                <w:sz w:val="20"/>
                <w:szCs w:val="18"/>
                <w:vertAlign w:val="subscript"/>
              </w:rPr>
              <w:t>2</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Age ≥ 75</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+2</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D</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Diabetes Mellitus</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color w:val="333333"/>
                <w:sz w:val="20"/>
                <w:szCs w:val="18"/>
              </w:rPr>
              <w:t>S</w:t>
            </w:r>
            <w:r w:rsidRPr="00C52063">
              <w:rPr>
                <w:color w:val="333333"/>
                <w:sz w:val="20"/>
                <w:szCs w:val="18"/>
                <w:vertAlign w:val="subscript"/>
              </w:rPr>
              <w:t>2</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Previous Stroke or TIA</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+2</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V</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Vascular disease</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A</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Age (65- 74)</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SC</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Sex category (Female)</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H</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Hyperlipidemia</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S</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Smoking</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r w:rsidR="00726BC9" w:rsidRPr="00C52063" w:rsidTr="00CF1619">
        <w:trPr>
          <w:jc w:val="center"/>
        </w:trPr>
        <w:tc>
          <w:tcPr>
            <w:tcW w:w="471" w:type="pct"/>
            <w:vAlign w:val="center"/>
          </w:tcPr>
          <w:p w:rsidR="00726BC9" w:rsidRPr="00C52063" w:rsidRDefault="00726BC9" w:rsidP="00C52063">
            <w:pPr>
              <w:pStyle w:val="NoSpacing"/>
              <w:snapToGrid w:val="0"/>
              <w:jc w:val="both"/>
              <w:rPr>
                <w:sz w:val="20"/>
                <w:szCs w:val="18"/>
              </w:rPr>
            </w:pPr>
            <w:r w:rsidRPr="00C52063">
              <w:rPr>
                <w:sz w:val="20"/>
                <w:szCs w:val="18"/>
              </w:rPr>
              <w:t>F</w:t>
            </w:r>
          </w:p>
        </w:tc>
        <w:tc>
          <w:tcPr>
            <w:tcW w:w="3722" w:type="pct"/>
            <w:vAlign w:val="center"/>
          </w:tcPr>
          <w:p w:rsidR="00726BC9" w:rsidRPr="00C52063" w:rsidRDefault="00726BC9" w:rsidP="00C52063">
            <w:pPr>
              <w:pStyle w:val="NoSpacing"/>
              <w:snapToGrid w:val="0"/>
              <w:jc w:val="both"/>
              <w:rPr>
                <w:bCs/>
                <w:sz w:val="20"/>
                <w:szCs w:val="18"/>
              </w:rPr>
            </w:pPr>
            <w:r w:rsidRPr="00C52063">
              <w:rPr>
                <w:bCs/>
                <w:sz w:val="20"/>
                <w:szCs w:val="18"/>
              </w:rPr>
              <w:t>Family history of premature CAD</w:t>
            </w:r>
          </w:p>
        </w:tc>
        <w:tc>
          <w:tcPr>
            <w:tcW w:w="807" w:type="pct"/>
            <w:vAlign w:val="center"/>
          </w:tcPr>
          <w:p w:rsidR="00726BC9" w:rsidRPr="00C52063" w:rsidRDefault="00726BC9" w:rsidP="00C52063">
            <w:pPr>
              <w:pStyle w:val="NoSpacing"/>
              <w:snapToGrid w:val="0"/>
              <w:jc w:val="both"/>
              <w:rPr>
                <w:bCs/>
                <w:sz w:val="20"/>
                <w:szCs w:val="18"/>
              </w:rPr>
            </w:pPr>
            <w:r w:rsidRPr="00C52063">
              <w:rPr>
                <w:bCs/>
                <w:sz w:val="20"/>
                <w:szCs w:val="18"/>
              </w:rPr>
              <w:t>+1</w:t>
            </w:r>
          </w:p>
        </w:tc>
      </w:tr>
    </w:tbl>
    <w:p w:rsidR="00C52063" w:rsidRDefault="00C52063" w:rsidP="00C52063">
      <w:pPr>
        <w:pStyle w:val="NoSpacing"/>
        <w:snapToGrid w:val="0"/>
        <w:ind w:firstLine="425"/>
        <w:jc w:val="both"/>
        <w:rPr>
          <w:rFonts w:eastAsiaTheme="minorEastAsia"/>
          <w:sz w:val="20"/>
          <w:szCs w:val="20"/>
          <w:lang w:eastAsia="zh-CN"/>
        </w:rPr>
      </w:pPr>
    </w:p>
    <w:p w:rsidR="00C4073D" w:rsidRPr="00C52063" w:rsidRDefault="00C4073D" w:rsidP="00C52063">
      <w:pPr>
        <w:pStyle w:val="NoSpacing"/>
        <w:snapToGrid w:val="0"/>
        <w:ind w:firstLine="425"/>
        <w:jc w:val="both"/>
        <w:rPr>
          <w:bCs/>
          <w:sz w:val="20"/>
          <w:szCs w:val="20"/>
        </w:rPr>
      </w:pPr>
      <w:r w:rsidRPr="00C52063">
        <w:rPr>
          <w:sz w:val="20"/>
          <w:szCs w:val="20"/>
        </w:rPr>
        <w:t>Reperfusion through primary percutaneous intervention for Infarct related artery (IRA).</w:t>
      </w:r>
    </w:p>
    <w:p w:rsidR="00C4073D" w:rsidRPr="00C52063" w:rsidRDefault="00C4073D" w:rsidP="00C52063">
      <w:pPr>
        <w:pStyle w:val="NoSpacing"/>
        <w:snapToGrid w:val="0"/>
        <w:ind w:firstLine="425"/>
        <w:jc w:val="both"/>
        <w:rPr>
          <w:bCs/>
          <w:sz w:val="20"/>
          <w:szCs w:val="20"/>
        </w:rPr>
      </w:pPr>
      <w:r w:rsidRPr="00C52063">
        <w:rPr>
          <w:sz w:val="20"/>
          <w:szCs w:val="20"/>
        </w:rPr>
        <w:t>Angiographic films were reviewed and interpreted by an experienced interventional cardiologist as regard to TIMI flow before and after revascularization and myocardial blush grade.</w:t>
      </w:r>
    </w:p>
    <w:p w:rsidR="007F4728" w:rsidRPr="00C52063" w:rsidRDefault="00B81D0F" w:rsidP="00C52063">
      <w:pPr>
        <w:pStyle w:val="NoSpacing"/>
        <w:snapToGrid w:val="0"/>
        <w:ind w:firstLine="425"/>
        <w:jc w:val="both"/>
        <w:rPr>
          <w:sz w:val="20"/>
          <w:szCs w:val="20"/>
        </w:rPr>
      </w:pPr>
      <w:r w:rsidRPr="00C52063">
        <w:rPr>
          <w:sz w:val="20"/>
          <w:szCs w:val="20"/>
        </w:rPr>
        <w:t>Statistical methods</w:t>
      </w:r>
    </w:p>
    <w:p w:rsidR="00C4073D" w:rsidRPr="00C52063" w:rsidRDefault="00C4073D" w:rsidP="00C52063">
      <w:pPr>
        <w:pStyle w:val="NoSpacing"/>
        <w:snapToGrid w:val="0"/>
        <w:ind w:firstLine="425"/>
        <w:jc w:val="both"/>
        <w:rPr>
          <w:sz w:val="20"/>
          <w:szCs w:val="20"/>
        </w:rPr>
      </w:pPr>
      <w:r w:rsidRPr="00C52063">
        <w:rPr>
          <w:sz w:val="20"/>
          <w:szCs w:val="20"/>
        </w:rPr>
        <w:t>Normally distributed scale variables were expressed as mean + standard deviation. Non-normally distributed variables were expressed as median and range. Categorical variables were expressed in numbers and percentages. Analyses of categorical variables were performed by chi-square test. Parametric scale variables were analyzed by independent sample t test, and nonparametric scale variables were analyzed by Mann-Whitney U test. Multivariate logistic regression analyses were performed to determine the independent predictors of no-reflow in patients with STEMI.</w:t>
      </w:r>
    </w:p>
    <w:p w:rsidR="00C9623B" w:rsidRPr="00C52063" w:rsidRDefault="00C9623B" w:rsidP="00C52063">
      <w:pPr>
        <w:pStyle w:val="NoSpacing"/>
        <w:snapToGrid w:val="0"/>
        <w:jc w:val="both"/>
        <w:rPr>
          <w:b/>
          <w:bCs/>
          <w:sz w:val="20"/>
          <w:szCs w:val="20"/>
        </w:rPr>
      </w:pPr>
    </w:p>
    <w:p w:rsidR="007F4728" w:rsidRPr="00C52063" w:rsidRDefault="00B81D0F" w:rsidP="00C52063">
      <w:pPr>
        <w:pStyle w:val="NoSpacing"/>
        <w:snapToGrid w:val="0"/>
        <w:jc w:val="both"/>
        <w:rPr>
          <w:b/>
          <w:bCs/>
          <w:sz w:val="20"/>
          <w:szCs w:val="20"/>
        </w:rPr>
      </w:pPr>
      <w:r w:rsidRPr="00C52063">
        <w:rPr>
          <w:b/>
          <w:bCs/>
          <w:sz w:val="20"/>
          <w:szCs w:val="20"/>
        </w:rPr>
        <w:t>3. Results</w:t>
      </w:r>
    </w:p>
    <w:p w:rsidR="00747AAA" w:rsidRPr="00C52063" w:rsidRDefault="006233F8" w:rsidP="00C52063">
      <w:pPr>
        <w:pStyle w:val="NoSpacing"/>
        <w:snapToGrid w:val="0"/>
        <w:jc w:val="both"/>
        <w:rPr>
          <w:b/>
          <w:bCs/>
          <w:sz w:val="20"/>
          <w:szCs w:val="20"/>
        </w:rPr>
      </w:pPr>
      <w:r w:rsidRPr="00C52063">
        <w:rPr>
          <w:b/>
          <w:bCs/>
          <w:sz w:val="20"/>
          <w:szCs w:val="20"/>
        </w:rPr>
        <w:t>Patient demographics:</w:t>
      </w:r>
    </w:p>
    <w:p w:rsidR="00747AAA" w:rsidRPr="00C52063" w:rsidRDefault="00747AAA" w:rsidP="00C52063">
      <w:pPr>
        <w:pStyle w:val="NoSpacing"/>
        <w:snapToGrid w:val="0"/>
        <w:ind w:firstLine="425"/>
        <w:jc w:val="both"/>
        <w:rPr>
          <w:sz w:val="20"/>
          <w:szCs w:val="20"/>
        </w:rPr>
      </w:pPr>
      <w:r w:rsidRPr="00C52063">
        <w:rPr>
          <w:sz w:val="20"/>
          <w:szCs w:val="20"/>
        </w:rPr>
        <w:t>Age: The age of the study population ranged from 34 to 85 years. In Group I, the age of the patients ranged from 39.0 – 85.0 years with a mean age of 61.29 ± 12.8 years. In Group II, the age ranged from 34.0 – 85.0 years with a mean age of 55.83 ± 11.52 years. There was statistically significant difference between the studied groups (P value &lt; 0.04).</w:t>
      </w:r>
    </w:p>
    <w:p w:rsidR="00747AAA" w:rsidRPr="00C52063" w:rsidRDefault="00747AAA" w:rsidP="00C52063">
      <w:pPr>
        <w:pStyle w:val="NoSpacing"/>
        <w:snapToGrid w:val="0"/>
        <w:ind w:firstLine="425"/>
        <w:jc w:val="both"/>
        <w:rPr>
          <w:sz w:val="20"/>
          <w:szCs w:val="20"/>
        </w:rPr>
      </w:pPr>
      <w:r w:rsidRPr="00C52063">
        <w:rPr>
          <w:sz w:val="20"/>
          <w:szCs w:val="20"/>
        </w:rPr>
        <w:t>Gender distribution: 100 patients included in the study, 62 of the study population were males and 38werefemales</w:t>
      </w:r>
      <w:r w:rsidR="00C52063" w:rsidRPr="00C52063">
        <w:rPr>
          <w:sz w:val="20"/>
          <w:szCs w:val="20"/>
        </w:rPr>
        <w:t>.</w:t>
      </w:r>
      <w:r w:rsidR="00C52063">
        <w:rPr>
          <w:sz w:val="20"/>
          <w:szCs w:val="20"/>
        </w:rPr>
        <w:t xml:space="preserve"> </w:t>
      </w:r>
      <w:r w:rsidR="00C52063" w:rsidRPr="00C52063">
        <w:rPr>
          <w:sz w:val="20"/>
          <w:szCs w:val="20"/>
        </w:rPr>
        <w:t>G</w:t>
      </w:r>
      <w:r w:rsidRPr="00C52063">
        <w:rPr>
          <w:sz w:val="20"/>
          <w:szCs w:val="20"/>
        </w:rPr>
        <w:t>rou</w:t>
      </w:r>
      <w:r w:rsidR="00C52063" w:rsidRPr="00C52063">
        <w:rPr>
          <w:sz w:val="20"/>
          <w:szCs w:val="20"/>
        </w:rPr>
        <w:t>p</w:t>
      </w:r>
      <w:r w:rsidR="00C52063">
        <w:rPr>
          <w:sz w:val="20"/>
          <w:szCs w:val="20"/>
        </w:rPr>
        <w:t xml:space="preserve"> </w:t>
      </w:r>
      <w:r w:rsidR="00C52063" w:rsidRPr="00C52063">
        <w:rPr>
          <w:sz w:val="20"/>
          <w:szCs w:val="20"/>
        </w:rPr>
        <w:t>I</w:t>
      </w:r>
      <w:r w:rsidRPr="00C52063">
        <w:rPr>
          <w:sz w:val="20"/>
          <w:szCs w:val="20"/>
        </w:rPr>
        <w:t>included18male</w:t>
      </w:r>
      <w:r w:rsidR="00CF1619" w:rsidRPr="00C52063">
        <w:rPr>
          <w:sz w:val="20"/>
          <w:szCs w:val="20"/>
        </w:rPr>
        <w:t>s (</w:t>
      </w:r>
      <w:r w:rsidRPr="00C52063">
        <w:rPr>
          <w:sz w:val="20"/>
          <w:szCs w:val="20"/>
        </w:rPr>
        <w:t>52.9%)</w:t>
      </w:r>
      <w:r w:rsidR="00C52063">
        <w:rPr>
          <w:rFonts w:eastAsiaTheme="minorEastAsia" w:hint="eastAsia"/>
          <w:sz w:val="20"/>
          <w:szCs w:val="20"/>
          <w:lang w:eastAsia="zh-CN"/>
        </w:rPr>
        <w:t xml:space="preserve"> </w:t>
      </w:r>
      <w:r w:rsidRPr="00C52063">
        <w:rPr>
          <w:sz w:val="20"/>
          <w:szCs w:val="20"/>
        </w:rPr>
        <w:t>and</w:t>
      </w:r>
      <w:r w:rsidR="00C52063">
        <w:rPr>
          <w:rFonts w:eastAsiaTheme="minorEastAsia" w:hint="eastAsia"/>
          <w:sz w:val="20"/>
          <w:szCs w:val="20"/>
          <w:lang w:eastAsia="zh-CN"/>
        </w:rPr>
        <w:t xml:space="preserve"> </w:t>
      </w:r>
      <w:r w:rsidRPr="00C52063">
        <w:rPr>
          <w:sz w:val="20"/>
          <w:szCs w:val="20"/>
        </w:rPr>
        <w:t>16</w:t>
      </w:r>
      <w:r w:rsidR="00C52063">
        <w:rPr>
          <w:rFonts w:eastAsiaTheme="minorEastAsia" w:hint="eastAsia"/>
          <w:sz w:val="20"/>
          <w:szCs w:val="20"/>
          <w:lang w:eastAsia="zh-CN"/>
        </w:rPr>
        <w:t xml:space="preserve"> </w:t>
      </w:r>
      <w:r w:rsidRPr="00C52063">
        <w:rPr>
          <w:sz w:val="20"/>
          <w:szCs w:val="20"/>
        </w:rPr>
        <w:t>female</w:t>
      </w:r>
      <w:r w:rsidR="00CF1619" w:rsidRPr="00C52063">
        <w:rPr>
          <w:sz w:val="20"/>
          <w:szCs w:val="20"/>
        </w:rPr>
        <w:t>s (</w:t>
      </w:r>
      <w:r w:rsidRPr="00C52063">
        <w:rPr>
          <w:sz w:val="20"/>
          <w:szCs w:val="20"/>
        </w:rPr>
        <w:t>47.1%)</w:t>
      </w:r>
      <w:r w:rsidR="00C52063" w:rsidRPr="00C52063">
        <w:rPr>
          <w:sz w:val="20"/>
          <w:szCs w:val="20"/>
        </w:rPr>
        <w:t>.</w:t>
      </w:r>
      <w:r w:rsidR="00C52063">
        <w:rPr>
          <w:sz w:val="20"/>
          <w:szCs w:val="20"/>
        </w:rPr>
        <w:t xml:space="preserve"> </w:t>
      </w:r>
      <w:r w:rsidR="00C52063" w:rsidRPr="00C52063">
        <w:rPr>
          <w:sz w:val="20"/>
          <w:szCs w:val="20"/>
        </w:rPr>
        <w:t>G</w:t>
      </w:r>
      <w:r w:rsidRPr="00C52063">
        <w:rPr>
          <w:sz w:val="20"/>
          <w:szCs w:val="20"/>
        </w:rPr>
        <w:t>rou</w:t>
      </w:r>
      <w:r w:rsidR="00C52063" w:rsidRPr="00C52063">
        <w:rPr>
          <w:sz w:val="20"/>
          <w:szCs w:val="20"/>
        </w:rPr>
        <w:t>p</w:t>
      </w:r>
      <w:r w:rsidR="00C52063">
        <w:rPr>
          <w:sz w:val="20"/>
          <w:szCs w:val="20"/>
        </w:rPr>
        <w:t xml:space="preserve"> </w:t>
      </w:r>
      <w:r w:rsidR="00C52063" w:rsidRPr="00C52063">
        <w:rPr>
          <w:sz w:val="20"/>
          <w:szCs w:val="20"/>
        </w:rPr>
        <w:t>I</w:t>
      </w:r>
      <w:r w:rsidRPr="00C52063">
        <w:rPr>
          <w:sz w:val="20"/>
          <w:szCs w:val="20"/>
        </w:rPr>
        <w:t>Iincluded44 male</w:t>
      </w:r>
      <w:r w:rsidR="00CF1619" w:rsidRPr="00C52063">
        <w:rPr>
          <w:sz w:val="20"/>
          <w:szCs w:val="20"/>
        </w:rPr>
        <w:t>s (</w:t>
      </w:r>
      <w:r w:rsidRPr="00C52063">
        <w:rPr>
          <w:sz w:val="20"/>
          <w:szCs w:val="20"/>
        </w:rPr>
        <w:t>66.7%)</w:t>
      </w:r>
      <w:r w:rsidR="00C52063">
        <w:rPr>
          <w:rFonts w:eastAsiaTheme="minorEastAsia" w:hint="eastAsia"/>
          <w:sz w:val="20"/>
          <w:szCs w:val="20"/>
          <w:lang w:eastAsia="zh-CN"/>
        </w:rPr>
        <w:t xml:space="preserve"> </w:t>
      </w:r>
      <w:r w:rsidRPr="00C52063">
        <w:rPr>
          <w:sz w:val="20"/>
          <w:szCs w:val="20"/>
        </w:rPr>
        <w:t>and</w:t>
      </w:r>
      <w:r w:rsidR="00C52063">
        <w:rPr>
          <w:rFonts w:eastAsiaTheme="minorEastAsia" w:hint="eastAsia"/>
          <w:sz w:val="20"/>
          <w:szCs w:val="20"/>
          <w:lang w:eastAsia="zh-CN"/>
        </w:rPr>
        <w:t xml:space="preserve"> </w:t>
      </w:r>
      <w:r w:rsidRPr="00C52063">
        <w:rPr>
          <w:sz w:val="20"/>
          <w:szCs w:val="20"/>
        </w:rPr>
        <w:t>22</w:t>
      </w:r>
      <w:r w:rsidR="00C52063">
        <w:rPr>
          <w:rFonts w:eastAsiaTheme="minorEastAsia" w:hint="eastAsia"/>
          <w:sz w:val="20"/>
          <w:szCs w:val="20"/>
          <w:lang w:eastAsia="zh-CN"/>
        </w:rPr>
        <w:t xml:space="preserve"> </w:t>
      </w:r>
      <w:r w:rsidRPr="00C52063">
        <w:rPr>
          <w:sz w:val="20"/>
          <w:szCs w:val="20"/>
        </w:rPr>
        <w:t>female</w:t>
      </w:r>
      <w:r w:rsidR="00CF1619" w:rsidRPr="00C52063">
        <w:rPr>
          <w:sz w:val="20"/>
          <w:szCs w:val="20"/>
        </w:rPr>
        <w:t>s (</w:t>
      </w:r>
      <w:r w:rsidRPr="00C52063">
        <w:rPr>
          <w:sz w:val="20"/>
          <w:szCs w:val="20"/>
        </w:rPr>
        <w:t>39.4%)</w:t>
      </w:r>
      <w:r w:rsidR="00C52063" w:rsidRPr="00C52063">
        <w:rPr>
          <w:sz w:val="20"/>
          <w:szCs w:val="20"/>
        </w:rPr>
        <w:t>.</w:t>
      </w:r>
      <w:r w:rsidR="00C52063">
        <w:rPr>
          <w:sz w:val="20"/>
          <w:szCs w:val="20"/>
        </w:rPr>
        <w:t xml:space="preserve"> </w:t>
      </w:r>
      <w:r w:rsidR="00C52063" w:rsidRPr="00C52063">
        <w:rPr>
          <w:sz w:val="20"/>
          <w:szCs w:val="20"/>
        </w:rPr>
        <w:t>T</w:t>
      </w:r>
      <w:r w:rsidRPr="00C52063">
        <w:rPr>
          <w:sz w:val="20"/>
          <w:szCs w:val="20"/>
        </w:rPr>
        <w:t>here</w:t>
      </w:r>
      <w:r w:rsidR="00C52063">
        <w:rPr>
          <w:rFonts w:eastAsiaTheme="minorEastAsia" w:hint="eastAsia"/>
          <w:sz w:val="20"/>
          <w:szCs w:val="20"/>
          <w:lang w:eastAsia="zh-CN"/>
        </w:rPr>
        <w:t xml:space="preserve"> </w:t>
      </w:r>
      <w:r w:rsidRPr="00C52063">
        <w:rPr>
          <w:sz w:val="20"/>
          <w:szCs w:val="20"/>
        </w:rPr>
        <w:t>was</w:t>
      </w:r>
      <w:r w:rsidR="00C52063">
        <w:rPr>
          <w:rFonts w:eastAsiaTheme="minorEastAsia" w:hint="eastAsia"/>
          <w:sz w:val="20"/>
          <w:szCs w:val="20"/>
          <w:lang w:eastAsia="zh-CN"/>
        </w:rPr>
        <w:t xml:space="preserve"> </w:t>
      </w:r>
      <w:r w:rsidRPr="00C52063">
        <w:rPr>
          <w:sz w:val="20"/>
          <w:szCs w:val="20"/>
        </w:rPr>
        <w:t>no</w:t>
      </w:r>
      <w:r w:rsidR="00C52063">
        <w:rPr>
          <w:rFonts w:eastAsiaTheme="minorEastAsia" w:hint="eastAsia"/>
          <w:sz w:val="20"/>
          <w:szCs w:val="20"/>
          <w:lang w:eastAsia="zh-CN"/>
        </w:rPr>
        <w:t xml:space="preserve"> </w:t>
      </w:r>
      <w:r w:rsidRPr="00C52063">
        <w:rPr>
          <w:sz w:val="20"/>
          <w:szCs w:val="20"/>
        </w:rPr>
        <w:lastRenderedPageBreak/>
        <w:t>statistically</w:t>
      </w:r>
      <w:r w:rsidR="00C52063">
        <w:rPr>
          <w:rFonts w:eastAsiaTheme="minorEastAsia" w:hint="eastAsia"/>
          <w:sz w:val="20"/>
          <w:szCs w:val="20"/>
          <w:lang w:eastAsia="zh-CN"/>
        </w:rPr>
        <w:t xml:space="preserve"> </w:t>
      </w:r>
      <w:r w:rsidRPr="00C52063">
        <w:rPr>
          <w:sz w:val="20"/>
          <w:szCs w:val="20"/>
        </w:rPr>
        <w:t>significant</w:t>
      </w:r>
      <w:r w:rsidR="00C52063">
        <w:rPr>
          <w:rFonts w:eastAsiaTheme="minorEastAsia" w:hint="eastAsia"/>
          <w:sz w:val="20"/>
          <w:szCs w:val="20"/>
          <w:lang w:eastAsia="zh-CN"/>
        </w:rPr>
        <w:t xml:space="preserve"> </w:t>
      </w:r>
      <w:r w:rsidRPr="00C52063">
        <w:rPr>
          <w:sz w:val="20"/>
          <w:szCs w:val="20"/>
        </w:rPr>
        <w:t>difference</w:t>
      </w:r>
      <w:r w:rsidR="00C52063">
        <w:rPr>
          <w:rFonts w:eastAsiaTheme="minorEastAsia" w:hint="eastAsia"/>
          <w:sz w:val="20"/>
          <w:szCs w:val="20"/>
          <w:lang w:eastAsia="zh-CN"/>
        </w:rPr>
        <w:t xml:space="preserve"> </w:t>
      </w:r>
      <w:r w:rsidRPr="00C52063">
        <w:rPr>
          <w:sz w:val="20"/>
          <w:szCs w:val="20"/>
        </w:rPr>
        <w:t>between</w:t>
      </w:r>
      <w:r w:rsidR="00C52063">
        <w:rPr>
          <w:rFonts w:eastAsiaTheme="minorEastAsia" w:hint="eastAsia"/>
          <w:sz w:val="20"/>
          <w:szCs w:val="20"/>
          <w:lang w:eastAsia="zh-CN"/>
        </w:rPr>
        <w:t xml:space="preserve"> </w:t>
      </w:r>
      <w:r w:rsidRPr="00C52063">
        <w:rPr>
          <w:sz w:val="20"/>
          <w:szCs w:val="20"/>
        </w:rPr>
        <w:t xml:space="preserve">the two </w:t>
      </w:r>
      <w:r w:rsidRPr="00C52063">
        <w:rPr>
          <w:sz w:val="20"/>
          <w:szCs w:val="20"/>
        </w:rPr>
        <w:lastRenderedPageBreak/>
        <w:t>groups (P value =0.18)</w:t>
      </w:r>
      <w:r w:rsidR="00663989" w:rsidRPr="00C52063">
        <w:rPr>
          <w:sz w:val="20"/>
          <w:szCs w:val="20"/>
        </w:rPr>
        <w:t>.</w:t>
      </w:r>
    </w:p>
    <w:p w:rsidR="00C52063" w:rsidRDefault="00C52063" w:rsidP="00C52063">
      <w:pPr>
        <w:pStyle w:val="NoSpacing"/>
        <w:snapToGrid w:val="0"/>
        <w:ind w:firstLine="425"/>
        <w:jc w:val="both"/>
        <w:rPr>
          <w:rFonts w:eastAsiaTheme="minorEastAsia"/>
          <w:sz w:val="20"/>
          <w:szCs w:val="20"/>
          <w:lang w:eastAsia="zh-CN"/>
        </w:rPr>
        <w:sectPr w:rsidR="00C52063" w:rsidSect="001F4413">
          <w:headerReference w:type="default" r:id="rId12"/>
          <w:pgSz w:w="12240" w:h="15840" w:code="1"/>
          <w:pgMar w:top="1440" w:right="1440" w:bottom="1440" w:left="1440" w:header="720" w:footer="720" w:gutter="0"/>
          <w:cols w:num="2" w:space="550"/>
          <w:docGrid w:linePitch="299"/>
        </w:sectPr>
      </w:pPr>
    </w:p>
    <w:p w:rsidR="00085F51" w:rsidRPr="00C52063" w:rsidRDefault="00085F51" w:rsidP="00C52063">
      <w:pPr>
        <w:pStyle w:val="NoSpacing"/>
        <w:snapToGrid w:val="0"/>
        <w:ind w:firstLine="425"/>
        <w:jc w:val="both"/>
        <w:rPr>
          <w:rFonts w:eastAsiaTheme="minorEastAsia"/>
          <w:sz w:val="20"/>
          <w:szCs w:val="20"/>
          <w:lang w:eastAsia="zh-CN"/>
        </w:rPr>
      </w:pPr>
    </w:p>
    <w:tbl>
      <w:tblPr>
        <w:tblStyle w:val="TableGrid"/>
        <w:tblW w:w="5000" w:type="pct"/>
        <w:jc w:val="center"/>
        <w:tblCellMar>
          <w:left w:w="57" w:type="dxa"/>
          <w:right w:w="57" w:type="dxa"/>
        </w:tblCellMar>
        <w:tblLook w:val="01E0"/>
      </w:tblPr>
      <w:tblGrid>
        <w:gridCol w:w="516"/>
        <w:gridCol w:w="955"/>
        <w:gridCol w:w="4097"/>
        <w:gridCol w:w="2291"/>
        <w:gridCol w:w="855"/>
        <w:gridCol w:w="760"/>
      </w:tblGrid>
      <w:tr w:rsidR="003064B3" w:rsidRPr="00C52063" w:rsidTr="00C52063">
        <w:trPr>
          <w:jc w:val="center"/>
        </w:trPr>
        <w:tc>
          <w:tcPr>
            <w:tcW w:w="776" w:type="pct"/>
            <w:gridSpan w:val="2"/>
            <w:vAlign w:val="center"/>
          </w:tcPr>
          <w:p w:rsidR="003064B3" w:rsidRPr="00C52063" w:rsidRDefault="003064B3" w:rsidP="00C52063">
            <w:pPr>
              <w:pStyle w:val="NoSpacing"/>
              <w:snapToGrid w:val="0"/>
              <w:jc w:val="both"/>
              <w:rPr>
                <w:sz w:val="20"/>
                <w:szCs w:val="18"/>
              </w:rPr>
            </w:pPr>
          </w:p>
        </w:tc>
        <w:tc>
          <w:tcPr>
            <w:tcW w:w="2162" w:type="pct"/>
            <w:vAlign w:val="center"/>
          </w:tcPr>
          <w:p w:rsidR="003064B3" w:rsidRPr="00C52063" w:rsidRDefault="003064B3" w:rsidP="00C52063">
            <w:pPr>
              <w:pStyle w:val="NoSpacing"/>
              <w:snapToGrid w:val="0"/>
              <w:jc w:val="both"/>
              <w:rPr>
                <w:sz w:val="20"/>
                <w:szCs w:val="18"/>
              </w:rPr>
            </w:pPr>
            <w:r w:rsidRPr="00C52063">
              <w:rPr>
                <w:sz w:val="20"/>
                <w:szCs w:val="18"/>
              </w:rPr>
              <w:t>No-reflow (N=34) Mean ± SD (range)</w:t>
            </w:r>
          </w:p>
        </w:tc>
        <w:tc>
          <w:tcPr>
            <w:tcW w:w="1209" w:type="pct"/>
            <w:vAlign w:val="center"/>
          </w:tcPr>
          <w:p w:rsidR="003064B3" w:rsidRPr="00C52063" w:rsidRDefault="003064B3" w:rsidP="00C52063">
            <w:pPr>
              <w:pStyle w:val="NoSpacing"/>
              <w:snapToGrid w:val="0"/>
              <w:jc w:val="both"/>
              <w:rPr>
                <w:sz w:val="20"/>
                <w:szCs w:val="18"/>
              </w:rPr>
            </w:pPr>
            <w:r w:rsidRPr="00C52063">
              <w:rPr>
                <w:sz w:val="20"/>
                <w:szCs w:val="18"/>
              </w:rPr>
              <w:t>Normal flow (N=66)</w:t>
            </w:r>
          </w:p>
          <w:p w:rsidR="003064B3" w:rsidRPr="00C52063" w:rsidRDefault="003064B3" w:rsidP="00C52063">
            <w:pPr>
              <w:pStyle w:val="NoSpacing"/>
              <w:snapToGrid w:val="0"/>
              <w:jc w:val="both"/>
              <w:rPr>
                <w:sz w:val="20"/>
                <w:szCs w:val="18"/>
              </w:rPr>
            </w:pPr>
            <w:r w:rsidRPr="00C52063">
              <w:rPr>
                <w:sz w:val="20"/>
                <w:szCs w:val="18"/>
              </w:rPr>
              <w:t>Mean ± SD (range)</w:t>
            </w:r>
          </w:p>
        </w:tc>
        <w:tc>
          <w:tcPr>
            <w:tcW w:w="451" w:type="pct"/>
            <w:vAlign w:val="center"/>
          </w:tcPr>
          <w:p w:rsidR="003064B3" w:rsidRPr="00C52063" w:rsidRDefault="003064B3" w:rsidP="00C52063">
            <w:pPr>
              <w:pStyle w:val="NoSpacing"/>
              <w:snapToGrid w:val="0"/>
              <w:jc w:val="both"/>
              <w:rPr>
                <w:sz w:val="20"/>
                <w:szCs w:val="18"/>
              </w:rPr>
            </w:pPr>
            <w:r w:rsidRPr="00C52063">
              <w:rPr>
                <w:sz w:val="20"/>
                <w:szCs w:val="18"/>
              </w:rPr>
              <w:t>T.</w:t>
            </w:r>
          </w:p>
          <w:p w:rsidR="003064B3" w:rsidRPr="00C52063" w:rsidRDefault="003064B3" w:rsidP="00C52063">
            <w:pPr>
              <w:pStyle w:val="NoSpacing"/>
              <w:snapToGrid w:val="0"/>
              <w:jc w:val="both"/>
              <w:rPr>
                <w:sz w:val="20"/>
                <w:szCs w:val="18"/>
              </w:rPr>
            </w:pPr>
            <w:r w:rsidRPr="00C52063">
              <w:rPr>
                <w:sz w:val="20"/>
                <w:szCs w:val="18"/>
              </w:rPr>
              <w:t>test</w:t>
            </w:r>
          </w:p>
        </w:tc>
        <w:tc>
          <w:tcPr>
            <w:tcW w:w="401" w:type="pct"/>
            <w:vAlign w:val="center"/>
          </w:tcPr>
          <w:p w:rsidR="003064B3" w:rsidRPr="00C52063" w:rsidRDefault="003064B3" w:rsidP="00C52063">
            <w:pPr>
              <w:pStyle w:val="NoSpacing"/>
              <w:snapToGrid w:val="0"/>
              <w:jc w:val="both"/>
              <w:rPr>
                <w:sz w:val="20"/>
                <w:szCs w:val="18"/>
              </w:rPr>
            </w:pPr>
            <w:r w:rsidRPr="00C52063">
              <w:rPr>
                <w:sz w:val="20"/>
                <w:szCs w:val="18"/>
              </w:rPr>
              <w:t>P.</w:t>
            </w:r>
          </w:p>
          <w:p w:rsidR="003064B3" w:rsidRPr="00C52063" w:rsidRDefault="003064B3" w:rsidP="00C52063">
            <w:pPr>
              <w:pStyle w:val="NoSpacing"/>
              <w:snapToGrid w:val="0"/>
              <w:jc w:val="both"/>
              <w:rPr>
                <w:sz w:val="20"/>
                <w:szCs w:val="18"/>
              </w:rPr>
            </w:pPr>
            <w:r w:rsidRPr="00C52063">
              <w:rPr>
                <w:sz w:val="20"/>
                <w:szCs w:val="18"/>
              </w:rPr>
              <w:t>Value</w:t>
            </w:r>
          </w:p>
        </w:tc>
      </w:tr>
      <w:tr w:rsidR="003064B3" w:rsidRPr="00C52063" w:rsidTr="00C52063">
        <w:trPr>
          <w:jc w:val="center"/>
        </w:trPr>
        <w:tc>
          <w:tcPr>
            <w:tcW w:w="776" w:type="pct"/>
            <w:gridSpan w:val="2"/>
            <w:vMerge w:val="restart"/>
            <w:vAlign w:val="center"/>
          </w:tcPr>
          <w:p w:rsidR="003064B3" w:rsidRPr="00C52063" w:rsidRDefault="003064B3" w:rsidP="00C52063">
            <w:pPr>
              <w:pStyle w:val="NoSpacing"/>
              <w:snapToGrid w:val="0"/>
              <w:jc w:val="both"/>
              <w:rPr>
                <w:sz w:val="20"/>
                <w:szCs w:val="18"/>
              </w:rPr>
            </w:pPr>
            <w:r w:rsidRPr="00C52063">
              <w:rPr>
                <w:sz w:val="20"/>
                <w:szCs w:val="18"/>
              </w:rPr>
              <w:t>Age (n=100)</w:t>
            </w:r>
          </w:p>
        </w:tc>
        <w:tc>
          <w:tcPr>
            <w:tcW w:w="2162" w:type="pct"/>
            <w:vAlign w:val="center"/>
          </w:tcPr>
          <w:p w:rsidR="003064B3" w:rsidRPr="00C52063" w:rsidRDefault="003064B3" w:rsidP="00C52063">
            <w:pPr>
              <w:pStyle w:val="NoSpacing"/>
              <w:snapToGrid w:val="0"/>
              <w:jc w:val="both"/>
              <w:rPr>
                <w:sz w:val="20"/>
                <w:szCs w:val="18"/>
              </w:rPr>
            </w:pPr>
            <w:r w:rsidRPr="00C52063">
              <w:rPr>
                <w:sz w:val="20"/>
                <w:szCs w:val="18"/>
              </w:rPr>
              <w:t>61.29 ± 12.8</w:t>
            </w:r>
          </w:p>
        </w:tc>
        <w:tc>
          <w:tcPr>
            <w:tcW w:w="1209" w:type="pct"/>
            <w:vAlign w:val="center"/>
          </w:tcPr>
          <w:p w:rsidR="003064B3" w:rsidRPr="00C52063" w:rsidRDefault="003064B3" w:rsidP="00C52063">
            <w:pPr>
              <w:pStyle w:val="NoSpacing"/>
              <w:snapToGrid w:val="0"/>
              <w:jc w:val="both"/>
              <w:rPr>
                <w:sz w:val="20"/>
                <w:szCs w:val="18"/>
              </w:rPr>
            </w:pPr>
            <w:r w:rsidRPr="00C52063">
              <w:rPr>
                <w:sz w:val="20"/>
                <w:szCs w:val="18"/>
              </w:rPr>
              <w:t>55.83 ± 11.52</w:t>
            </w:r>
          </w:p>
        </w:tc>
        <w:tc>
          <w:tcPr>
            <w:tcW w:w="451" w:type="pct"/>
            <w:vAlign w:val="center"/>
          </w:tcPr>
          <w:p w:rsidR="003064B3" w:rsidRPr="00C52063" w:rsidRDefault="003064B3" w:rsidP="00C52063">
            <w:pPr>
              <w:pStyle w:val="NoSpacing"/>
              <w:snapToGrid w:val="0"/>
              <w:jc w:val="both"/>
              <w:rPr>
                <w:sz w:val="20"/>
                <w:szCs w:val="18"/>
              </w:rPr>
            </w:pPr>
            <w:r w:rsidRPr="00C52063">
              <w:rPr>
                <w:sz w:val="20"/>
                <w:szCs w:val="18"/>
              </w:rPr>
              <w:t>2.0892</w:t>
            </w:r>
          </w:p>
        </w:tc>
        <w:tc>
          <w:tcPr>
            <w:tcW w:w="401" w:type="pct"/>
            <w:vAlign w:val="center"/>
          </w:tcPr>
          <w:p w:rsidR="003064B3" w:rsidRPr="00C52063" w:rsidRDefault="003064B3" w:rsidP="00C52063">
            <w:pPr>
              <w:pStyle w:val="NoSpacing"/>
              <w:snapToGrid w:val="0"/>
              <w:jc w:val="both"/>
              <w:rPr>
                <w:sz w:val="20"/>
                <w:szCs w:val="18"/>
              </w:rPr>
            </w:pPr>
            <w:r w:rsidRPr="00C52063">
              <w:rPr>
                <w:sz w:val="20"/>
                <w:szCs w:val="18"/>
              </w:rPr>
              <w:t>0.04</w:t>
            </w:r>
          </w:p>
        </w:tc>
      </w:tr>
      <w:tr w:rsidR="003064B3" w:rsidRPr="00C52063" w:rsidTr="00C52063">
        <w:trPr>
          <w:jc w:val="center"/>
        </w:trPr>
        <w:tc>
          <w:tcPr>
            <w:tcW w:w="776" w:type="pct"/>
            <w:gridSpan w:val="2"/>
            <w:vMerge/>
            <w:vAlign w:val="center"/>
          </w:tcPr>
          <w:p w:rsidR="003064B3" w:rsidRPr="00C52063" w:rsidRDefault="003064B3" w:rsidP="00C52063">
            <w:pPr>
              <w:pStyle w:val="NoSpacing"/>
              <w:snapToGrid w:val="0"/>
              <w:jc w:val="both"/>
              <w:rPr>
                <w:sz w:val="20"/>
                <w:szCs w:val="18"/>
              </w:rPr>
            </w:pPr>
          </w:p>
        </w:tc>
        <w:tc>
          <w:tcPr>
            <w:tcW w:w="2162" w:type="pct"/>
            <w:vAlign w:val="center"/>
          </w:tcPr>
          <w:p w:rsidR="003064B3" w:rsidRPr="00C52063" w:rsidRDefault="003064B3" w:rsidP="00C52063">
            <w:pPr>
              <w:pStyle w:val="NoSpacing"/>
              <w:snapToGrid w:val="0"/>
              <w:jc w:val="both"/>
              <w:rPr>
                <w:sz w:val="20"/>
                <w:szCs w:val="18"/>
              </w:rPr>
            </w:pPr>
            <w:r w:rsidRPr="00C52063">
              <w:rPr>
                <w:sz w:val="20"/>
                <w:szCs w:val="18"/>
              </w:rPr>
              <w:t>39 –85</w:t>
            </w:r>
          </w:p>
        </w:tc>
        <w:tc>
          <w:tcPr>
            <w:tcW w:w="1209" w:type="pct"/>
            <w:vAlign w:val="center"/>
          </w:tcPr>
          <w:p w:rsidR="003064B3" w:rsidRPr="00C52063" w:rsidRDefault="003064B3" w:rsidP="00C52063">
            <w:pPr>
              <w:pStyle w:val="NoSpacing"/>
              <w:snapToGrid w:val="0"/>
              <w:jc w:val="both"/>
              <w:rPr>
                <w:sz w:val="20"/>
                <w:szCs w:val="18"/>
              </w:rPr>
            </w:pPr>
            <w:r w:rsidRPr="00C52063">
              <w:rPr>
                <w:sz w:val="20"/>
                <w:szCs w:val="18"/>
              </w:rPr>
              <w:t>34 –85</w:t>
            </w:r>
          </w:p>
        </w:tc>
        <w:tc>
          <w:tcPr>
            <w:tcW w:w="451" w:type="pct"/>
            <w:vAlign w:val="center"/>
          </w:tcPr>
          <w:p w:rsidR="003064B3" w:rsidRPr="00C52063" w:rsidRDefault="003064B3" w:rsidP="00C52063">
            <w:pPr>
              <w:pStyle w:val="NoSpacing"/>
              <w:snapToGrid w:val="0"/>
              <w:jc w:val="both"/>
              <w:rPr>
                <w:sz w:val="20"/>
                <w:szCs w:val="18"/>
              </w:rPr>
            </w:pPr>
          </w:p>
        </w:tc>
        <w:tc>
          <w:tcPr>
            <w:tcW w:w="401" w:type="pct"/>
            <w:vAlign w:val="center"/>
          </w:tcPr>
          <w:p w:rsidR="003064B3" w:rsidRPr="00C52063" w:rsidRDefault="003064B3" w:rsidP="00C52063">
            <w:pPr>
              <w:pStyle w:val="NoSpacing"/>
              <w:snapToGrid w:val="0"/>
              <w:jc w:val="both"/>
              <w:rPr>
                <w:sz w:val="20"/>
                <w:szCs w:val="18"/>
              </w:rPr>
            </w:pPr>
          </w:p>
        </w:tc>
      </w:tr>
      <w:tr w:rsidR="003064B3" w:rsidRPr="00C52063" w:rsidTr="00C52063">
        <w:trPr>
          <w:jc w:val="center"/>
        </w:trPr>
        <w:tc>
          <w:tcPr>
            <w:tcW w:w="272" w:type="pct"/>
            <w:vMerge w:val="restart"/>
            <w:vAlign w:val="center"/>
          </w:tcPr>
          <w:p w:rsidR="003064B3" w:rsidRPr="00C52063" w:rsidRDefault="003064B3" w:rsidP="00C52063">
            <w:pPr>
              <w:pStyle w:val="NoSpacing"/>
              <w:snapToGrid w:val="0"/>
              <w:jc w:val="both"/>
              <w:rPr>
                <w:bCs/>
                <w:sz w:val="20"/>
                <w:szCs w:val="18"/>
              </w:rPr>
            </w:pPr>
            <w:r w:rsidRPr="00C52063">
              <w:rPr>
                <w:bCs/>
                <w:sz w:val="20"/>
                <w:szCs w:val="18"/>
              </w:rPr>
              <w:t>sex</w:t>
            </w:r>
          </w:p>
        </w:tc>
        <w:tc>
          <w:tcPr>
            <w:tcW w:w="504" w:type="pct"/>
            <w:vAlign w:val="center"/>
          </w:tcPr>
          <w:p w:rsidR="003064B3" w:rsidRPr="00C52063" w:rsidRDefault="003064B3" w:rsidP="00C52063">
            <w:pPr>
              <w:pStyle w:val="NoSpacing"/>
              <w:snapToGrid w:val="0"/>
              <w:jc w:val="both"/>
              <w:rPr>
                <w:bCs/>
                <w:sz w:val="20"/>
                <w:szCs w:val="18"/>
              </w:rPr>
            </w:pPr>
            <w:r w:rsidRPr="00C52063">
              <w:rPr>
                <w:bCs/>
                <w:sz w:val="20"/>
                <w:szCs w:val="18"/>
              </w:rPr>
              <w:t>Male</w:t>
            </w:r>
          </w:p>
        </w:tc>
        <w:tc>
          <w:tcPr>
            <w:tcW w:w="2162" w:type="pct"/>
            <w:vAlign w:val="center"/>
          </w:tcPr>
          <w:p w:rsidR="003064B3" w:rsidRPr="00C52063" w:rsidRDefault="003064B3" w:rsidP="00C52063">
            <w:pPr>
              <w:pStyle w:val="NoSpacing"/>
              <w:snapToGrid w:val="0"/>
              <w:jc w:val="both"/>
              <w:rPr>
                <w:sz w:val="20"/>
                <w:szCs w:val="18"/>
              </w:rPr>
            </w:pPr>
            <w:r w:rsidRPr="00C52063">
              <w:rPr>
                <w:sz w:val="20"/>
                <w:szCs w:val="18"/>
              </w:rPr>
              <w:t>18 (52.9%)</w:t>
            </w:r>
          </w:p>
        </w:tc>
        <w:tc>
          <w:tcPr>
            <w:tcW w:w="1209" w:type="pct"/>
            <w:vAlign w:val="center"/>
          </w:tcPr>
          <w:p w:rsidR="003064B3" w:rsidRPr="00C52063" w:rsidRDefault="003064B3" w:rsidP="00C52063">
            <w:pPr>
              <w:pStyle w:val="NoSpacing"/>
              <w:snapToGrid w:val="0"/>
              <w:jc w:val="both"/>
              <w:rPr>
                <w:sz w:val="20"/>
                <w:szCs w:val="18"/>
              </w:rPr>
            </w:pPr>
            <w:r w:rsidRPr="00C52063">
              <w:rPr>
                <w:sz w:val="20"/>
                <w:szCs w:val="18"/>
              </w:rPr>
              <w:t>44 (66.7%)</w:t>
            </w:r>
          </w:p>
        </w:tc>
        <w:tc>
          <w:tcPr>
            <w:tcW w:w="451" w:type="pct"/>
            <w:vMerge w:val="restart"/>
            <w:vAlign w:val="center"/>
          </w:tcPr>
          <w:p w:rsidR="003064B3" w:rsidRPr="00C52063" w:rsidRDefault="003064B3" w:rsidP="00C52063">
            <w:pPr>
              <w:pStyle w:val="NoSpacing"/>
              <w:snapToGrid w:val="0"/>
              <w:jc w:val="both"/>
              <w:rPr>
                <w:sz w:val="20"/>
                <w:szCs w:val="18"/>
              </w:rPr>
            </w:pPr>
            <w:r w:rsidRPr="00C52063">
              <w:rPr>
                <w:sz w:val="20"/>
                <w:szCs w:val="18"/>
              </w:rPr>
              <w:t>1.794</w:t>
            </w:r>
          </w:p>
        </w:tc>
        <w:tc>
          <w:tcPr>
            <w:tcW w:w="401" w:type="pct"/>
            <w:vMerge w:val="restart"/>
            <w:vAlign w:val="center"/>
          </w:tcPr>
          <w:p w:rsidR="003064B3" w:rsidRPr="00C52063" w:rsidRDefault="003064B3" w:rsidP="00C52063">
            <w:pPr>
              <w:pStyle w:val="NoSpacing"/>
              <w:snapToGrid w:val="0"/>
              <w:jc w:val="both"/>
              <w:rPr>
                <w:sz w:val="20"/>
                <w:szCs w:val="18"/>
              </w:rPr>
            </w:pPr>
            <w:r w:rsidRPr="00C52063">
              <w:rPr>
                <w:sz w:val="20"/>
                <w:szCs w:val="18"/>
              </w:rPr>
              <w:t>0.18</w:t>
            </w:r>
          </w:p>
        </w:tc>
      </w:tr>
      <w:tr w:rsidR="003064B3" w:rsidRPr="00C52063" w:rsidTr="00C52063">
        <w:trPr>
          <w:jc w:val="center"/>
        </w:trPr>
        <w:tc>
          <w:tcPr>
            <w:tcW w:w="272" w:type="pct"/>
            <w:vMerge/>
            <w:vAlign w:val="center"/>
          </w:tcPr>
          <w:p w:rsidR="003064B3" w:rsidRPr="00C52063" w:rsidRDefault="003064B3" w:rsidP="00C52063">
            <w:pPr>
              <w:pStyle w:val="NoSpacing"/>
              <w:snapToGrid w:val="0"/>
              <w:jc w:val="both"/>
              <w:rPr>
                <w:sz w:val="20"/>
                <w:szCs w:val="18"/>
              </w:rPr>
            </w:pPr>
          </w:p>
        </w:tc>
        <w:tc>
          <w:tcPr>
            <w:tcW w:w="504" w:type="pct"/>
            <w:vAlign w:val="center"/>
          </w:tcPr>
          <w:p w:rsidR="003064B3" w:rsidRPr="00C52063" w:rsidRDefault="003064B3" w:rsidP="00C52063">
            <w:pPr>
              <w:pStyle w:val="NoSpacing"/>
              <w:snapToGrid w:val="0"/>
              <w:jc w:val="both"/>
              <w:rPr>
                <w:bCs/>
                <w:sz w:val="20"/>
                <w:szCs w:val="18"/>
              </w:rPr>
            </w:pPr>
            <w:r w:rsidRPr="00C52063">
              <w:rPr>
                <w:bCs/>
                <w:sz w:val="20"/>
                <w:szCs w:val="18"/>
              </w:rPr>
              <w:t>Female</w:t>
            </w:r>
          </w:p>
        </w:tc>
        <w:tc>
          <w:tcPr>
            <w:tcW w:w="2162" w:type="pct"/>
            <w:vAlign w:val="center"/>
          </w:tcPr>
          <w:p w:rsidR="003064B3" w:rsidRPr="00C52063" w:rsidRDefault="003064B3" w:rsidP="00C52063">
            <w:pPr>
              <w:pStyle w:val="NoSpacing"/>
              <w:snapToGrid w:val="0"/>
              <w:jc w:val="both"/>
              <w:rPr>
                <w:sz w:val="20"/>
                <w:szCs w:val="18"/>
              </w:rPr>
            </w:pPr>
            <w:r w:rsidRPr="00C52063">
              <w:rPr>
                <w:sz w:val="20"/>
                <w:szCs w:val="18"/>
              </w:rPr>
              <w:t>16 (47.1%)</w:t>
            </w:r>
          </w:p>
        </w:tc>
        <w:tc>
          <w:tcPr>
            <w:tcW w:w="1209" w:type="pct"/>
            <w:vAlign w:val="center"/>
          </w:tcPr>
          <w:p w:rsidR="003064B3" w:rsidRPr="00C52063" w:rsidRDefault="003064B3" w:rsidP="00C52063">
            <w:pPr>
              <w:pStyle w:val="NoSpacing"/>
              <w:snapToGrid w:val="0"/>
              <w:jc w:val="both"/>
              <w:rPr>
                <w:sz w:val="20"/>
                <w:szCs w:val="18"/>
              </w:rPr>
            </w:pPr>
            <w:r w:rsidRPr="00C52063">
              <w:rPr>
                <w:sz w:val="20"/>
                <w:szCs w:val="18"/>
              </w:rPr>
              <w:t>22 (39.4%)</w:t>
            </w:r>
          </w:p>
        </w:tc>
        <w:tc>
          <w:tcPr>
            <w:tcW w:w="451" w:type="pct"/>
            <w:vMerge/>
            <w:vAlign w:val="center"/>
          </w:tcPr>
          <w:p w:rsidR="003064B3" w:rsidRPr="00C52063" w:rsidRDefault="003064B3" w:rsidP="00C52063">
            <w:pPr>
              <w:pStyle w:val="NoSpacing"/>
              <w:snapToGrid w:val="0"/>
              <w:jc w:val="both"/>
              <w:rPr>
                <w:sz w:val="20"/>
                <w:szCs w:val="18"/>
              </w:rPr>
            </w:pPr>
          </w:p>
        </w:tc>
        <w:tc>
          <w:tcPr>
            <w:tcW w:w="401" w:type="pct"/>
            <w:vMerge/>
            <w:vAlign w:val="center"/>
          </w:tcPr>
          <w:p w:rsidR="003064B3" w:rsidRPr="00C52063" w:rsidRDefault="003064B3" w:rsidP="00C52063">
            <w:pPr>
              <w:pStyle w:val="NoSpacing"/>
              <w:snapToGrid w:val="0"/>
              <w:jc w:val="both"/>
              <w:rPr>
                <w:sz w:val="20"/>
                <w:szCs w:val="18"/>
              </w:rPr>
            </w:pPr>
          </w:p>
        </w:tc>
      </w:tr>
    </w:tbl>
    <w:p w:rsidR="00C52063" w:rsidRDefault="00C52063" w:rsidP="00C52063">
      <w:pPr>
        <w:pStyle w:val="NoSpacing"/>
        <w:snapToGrid w:val="0"/>
        <w:jc w:val="both"/>
        <w:rPr>
          <w:rFonts w:eastAsiaTheme="minorEastAsia"/>
          <w:b/>
          <w:bCs/>
          <w:sz w:val="20"/>
          <w:szCs w:val="20"/>
          <w:lang w:eastAsia="zh-CN"/>
        </w:rPr>
      </w:pPr>
    </w:p>
    <w:p w:rsidR="00C52063" w:rsidRDefault="00C52063" w:rsidP="00C52063">
      <w:pPr>
        <w:pStyle w:val="NoSpacing"/>
        <w:snapToGrid w:val="0"/>
        <w:jc w:val="both"/>
        <w:rPr>
          <w:b/>
          <w:bCs/>
          <w:sz w:val="20"/>
          <w:szCs w:val="20"/>
        </w:rPr>
        <w:sectPr w:rsidR="00C52063" w:rsidSect="00CF1619">
          <w:type w:val="continuous"/>
          <w:pgSz w:w="12240" w:h="15840" w:code="1"/>
          <w:pgMar w:top="1440" w:right="1440" w:bottom="1440" w:left="1440" w:header="720" w:footer="720" w:gutter="0"/>
          <w:cols w:space="720"/>
          <w:docGrid w:linePitch="299"/>
        </w:sectPr>
      </w:pPr>
    </w:p>
    <w:p w:rsidR="003064B3" w:rsidRPr="00C52063" w:rsidRDefault="003064B3" w:rsidP="00C52063">
      <w:pPr>
        <w:pStyle w:val="NoSpacing"/>
        <w:snapToGrid w:val="0"/>
        <w:jc w:val="both"/>
        <w:rPr>
          <w:b/>
          <w:bCs/>
          <w:sz w:val="20"/>
          <w:szCs w:val="20"/>
        </w:rPr>
      </w:pPr>
      <w:r w:rsidRPr="00C52063">
        <w:rPr>
          <w:b/>
          <w:bCs/>
          <w:sz w:val="20"/>
          <w:szCs w:val="20"/>
        </w:rPr>
        <w:lastRenderedPageBreak/>
        <w:t>Prevalence of risk factors within study population:</w:t>
      </w:r>
    </w:p>
    <w:p w:rsidR="003064B3" w:rsidRDefault="003064B3" w:rsidP="00C52063">
      <w:pPr>
        <w:pStyle w:val="NoSpacing"/>
        <w:snapToGrid w:val="0"/>
        <w:ind w:firstLine="425"/>
        <w:jc w:val="both"/>
        <w:rPr>
          <w:rFonts w:eastAsiaTheme="minorEastAsia"/>
          <w:sz w:val="20"/>
          <w:szCs w:val="20"/>
          <w:lang w:eastAsia="zh-CN" w:bidi="ar-EG"/>
        </w:rPr>
      </w:pPr>
      <w:r w:rsidRPr="00C52063">
        <w:rPr>
          <w:sz w:val="20"/>
          <w:szCs w:val="20"/>
          <w:lang w:bidi="ar-EG"/>
        </w:rPr>
        <w:t xml:space="preserve">In our study, some factors were found to be significant predictors of noreflow phenomenon. In the noreflow group, 18 patients were diabetics (52.9 %), </w:t>
      </w:r>
      <w:r w:rsidRPr="00C52063">
        <w:rPr>
          <w:sz w:val="20"/>
          <w:szCs w:val="20"/>
          <w:lang w:bidi="ar-EG"/>
        </w:rPr>
        <w:lastRenderedPageBreak/>
        <w:t>22 were hypertensiv</w:t>
      </w:r>
      <w:r w:rsidR="00CF1619" w:rsidRPr="00C52063">
        <w:rPr>
          <w:sz w:val="20"/>
          <w:szCs w:val="20"/>
          <w:lang w:bidi="ar-EG"/>
        </w:rPr>
        <w:t>e (</w:t>
      </w:r>
      <w:r w:rsidRPr="00C52063">
        <w:rPr>
          <w:sz w:val="20"/>
          <w:szCs w:val="20"/>
          <w:lang w:bidi="ar-EG"/>
        </w:rPr>
        <w:t>64.7 %)</w:t>
      </w:r>
      <w:r w:rsidR="00CF1619" w:rsidRPr="00C52063">
        <w:rPr>
          <w:sz w:val="20"/>
          <w:szCs w:val="20"/>
          <w:lang w:bidi="ar-EG"/>
        </w:rPr>
        <w:t>,</w:t>
      </w:r>
      <w:r w:rsidRPr="00C52063">
        <w:rPr>
          <w:sz w:val="20"/>
          <w:szCs w:val="20"/>
          <w:lang w:bidi="ar-EG"/>
        </w:rPr>
        <w:t xml:space="preserve"> six patients had a history of cerevrovascular stroke (17%)</w:t>
      </w:r>
      <w:r w:rsidR="00CF1619" w:rsidRPr="00C52063">
        <w:rPr>
          <w:sz w:val="20"/>
          <w:szCs w:val="20"/>
          <w:lang w:bidi="ar-EG"/>
        </w:rPr>
        <w:t xml:space="preserve"> </w:t>
      </w:r>
      <w:r w:rsidRPr="00C52063">
        <w:rPr>
          <w:sz w:val="20"/>
          <w:szCs w:val="20"/>
          <w:lang w:bidi="ar-EG"/>
        </w:rPr>
        <w:t>and</w:t>
      </w:r>
      <w:r w:rsidR="00CF1619" w:rsidRPr="00C52063">
        <w:rPr>
          <w:sz w:val="20"/>
          <w:szCs w:val="20"/>
          <w:lang w:bidi="ar-EG"/>
        </w:rPr>
        <w:t xml:space="preserve"> </w:t>
      </w:r>
      <w:r w:rsidRPr="00C52063">
        <w:rPr>
          <w:sz w:val="20"/>
          <w:szCs w:val="20"/>
          <w:lang w:bidi="ar-EG"/>
        </w:rPr>
        <w:t>four had</w:t>
      </w:r>
      <w:r w:rsidR="00CF1619" w:rsidRPr="00C52063">
        <w:rPr>
          <w:sz w:val="20"/>
          <w:szCs w:val="20"/>
          <w:lang w:bidi="ar-EG"/>
        </w:rPr>
        <w:t xml:space="preserve"> </w:t>
      </w:r>
      <w:r w:rsidRPr="00C52063">
        <w:rPr>
          <w:sz w:val="20"/>
          <w:szCs w:val="20"/>
          <w:lang w:bidi="ar-EG"/>
        </w:rPr>
        <w:t>a history of vascular dis</w:t>
      </w:r>
      <w:r w:rsidR="00F60A3E" w:rsidRPr="00C52063">
        <w:rPr>
          <w:sz w:val="20"/>
          <w:szCs w:val="20"/>
          <w:lang w:bidi="ar-EG"/>
        </w:rPr>
        <w:t>ease</w:t>
      </w:r>
      <w:r w:rsidR="00CF1619" w:rsidRPr="00C52063">
        <w:rPr>
          <w:sz w:val="20"/>
          <w:szCs w:val="20"/>
          <w:lang w:bidi="ar-EG"/>
        </w:rPr>
        <w:t>s (</w:t>
      </w:r>
      <w:r w:rsidR="00F60A3E" w:rsidRPr="00C52063">
        <w:rPr>
          <w:sz w:val="20"/>
          <w:szCs w:val="20"/>
          <w:lang w:bidi="ar-EG"/>
        </w:rPr>
        <w:t>11.8%).</w:t>
      </w:r>
    </w:p>
    <w:p w:rsidR="00C52063" w:rsidRDefault="00C52063" w:rsidP="00C52063">
      <w:pPr>
        <w:pStyle w:val="NoSpacing"/>
        <w:snapToGrid w:val="0"/>
        <w:ind w:firstLine="425"/>
        <w:jc w:val="both"/>
        <w:rPr>
          <w:rFonts w:eastAsiaTheme="minorEastAsia"/>
          <w:sz w:val="20"/>
          <w:szCs w:val="20"/>
          <w:lang w:eastAsia="zh-CN" w:bidi="ar-EG"/>
        </w:rPr>
        <w:sectPr w:rsidR="00C52063" w:rsidSect="00C52063">
          <w:type w:val="continuous"/>
          <w:pgSz w:w="12240" w:h="15840" w:code="1"/>
          <w:pgMar w:top="1440" w:right="1440" w:bottom="1440" w:left="1440" w:header="720" w:footer="720" w:gutter="0"/>
          <w:cols w:num="2" w:space="550"/>
          <w:docGrid w:linePitch="299"/>
        </w:sectPr>
      </w:pPr>
    </w:p>
    <w:p w:rsidR="00C52063" w:rsidRPr="00C52063" w:rsidRDefault="00C52063" w:rsidP="00C52063">
      <w:pPr>
        <w:pStyle w:val="NoSpacing"/>
        <w:snapToGrid w:val="0"/>
        <w:ind w:firstLine="425"/>
        <w:jc w:val="both"/>
        <w:rPr>
          <w:rFonts w:eastAsiaTheme="minorEastAsia"/>
          <w:sz w:val="20"/>
          <w:szCs w:val="20"/>
          <w:lang w:eastAsia="zh-CN" w:bidi="ar-EG"/>
        </w:rPr>
      </w:pPr>
    </w:p>
    <w:tbl>
      <w:tblPr>
        <w:tblStyle w:val="TableGrid"/>
        <w:tblW w:w="5000" w:type="pct"/>
        <w:jc w:val="center"/>
        <w:tblCellMar>
          <w:left w:w="57" w:type="dxa"/>
          <w:right w:w="57" w:type="dxa"/>
        </w:tblCellMar>
        <w:tblLook w:val="01E0"/>
      </w:tblPr>
      <w:tblGrid>
        <w:gridCol w:w="1367"/>
        <w:gridCol w:w="1684"/>
        <w:gridCol w:w="1891"/>
        <w:gridCol w:w="2802"/>
        <w:gridCol w:w="1730"/>
      </w:tblGrid>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p>
        </w:tc>
        <w:tc>
          <w:tcPr>
            <w:tcW w:w="889" w:type="pct"/>
            <w:vAlign w:val="center"/>
          </w:tcPr>
          <w:p w:rsidR="00DE604F" w:rsidRPr="00C52063" w:rsidRDefault="00DE604F" w:rsidP="00B5174A">
            <w:pPr>
              <w:pStyle w:val="NoSpacing"/>
              <w:snapToGrid w:val="0"/>
              <w:rPr>
                <w:sz w:val="20"/>
                <w:szCs w:val="18"/>
              </w:rPr>
            </w:pPr>
            <w:r w:rsidRPr="00C52063">
              <w:rPr>
                <w:sz w:val="20"/>
                <w:szCs w:val="18"/>
              </w:rPr>
              <w:t>No-reflow (N=34)</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Normal flow (N=66)</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OR (95%C.I)</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P value</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DM</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18 (52.9 %)</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19 (29.7%)</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2.75 Calculated by Fisher’s test</w:t>
            </w:r>
          </w:p>
          <w:p w:rsidR="00DE604F" w:rsidRPr="00C52063" w:rsidRDefault="00DE604F" w:rsidP="00B5174A">
            <w:pPr>
              <w:pStyle w:val="NoSpacing"/>
              <w:snapToGrid w:val="0"/>
              <w:rPr>
                <w:sz w:val="20"/>
                <w:szCs w:val="18"/>
              </w:rPr>
            </w:pPr>
            <w:r w:rsidRPr="00C52063">
              <w:rPr>
                <w:sz w:val="20"/>
                <w:szCs w:val="18"/>
              </w:rPr>
              <w:t>1.08-7.16</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0.0314</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HTN</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20 (58.8%)</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26 (39.4%)</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2.97 Calculated by Fisher’s test</w:t>
            </w:r>
          </w:p>
          <w:p w:rsidR="00DE604F" w:rsidRPr="00C52063" w:rsidRDefault="00DE604F" w:rsidP="00B5174A">
            <w:pPr>
              <w:pStyle w:val="NoSpacing"/>
              <w:snapToGrid w:val="0"/>
              <w:rPr>
                <w:sz w:val="20"/>
                <w:szCs w:val="18"/>
              </w:rPr>
            </w:pPr>
            <w:r w:rsidRPr="00C52063">
              <w:rPr>
                <w:sz w:val="20"/>
                <w:szCs w:val="18"/>
              </w:rPr>
              <w:t>(1.17-7.85)</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0.0195</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Smoking</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15 (44.1%)</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29 (43.9%)</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1 (0.44-2.32)</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0.986</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Family history</w:t>
            </w:r>
            <w:r w:rsidR="00B5174A">
              <w:rPr>
                <w:rFonts w:eastAsiaTheme="minorEastAsia" w:hint="eastAsia"/>
                <w:sz w:val="20"/>
                <w:szCs w:val="18"/>
                <w:lang w:eastAsia="zh-CN"/>
              </w:rPr>
              <w:t xml:space="preserve"> </w:t>
            </w:r>
            <w:r w:rsidRPr="00C52063">
              <w:rPr>
                <w:sz w:val="20"/>
                <w:szCs w:val="18"/>
              </w:rPr>
              <w:t>of premature</w:t>
            </w:r>
            <w:r w:rsidR="00B5174A">
              <w:rPr>
                <w:rFonts w:eastAsiaTheme="minorEastAsia" w:hint="eastAsia"/>
                <w:sz w:val="20"/>
                <w:szCs w:val="18"/>
                <w:lang w:eastAsia="zh-CN"/>
              </w:rPr>
              <w:t xml:space="preserve"> </w:t>
            </w:r>
            <w:r w:rsidRPr="00C52063">
              <w:rPr>
                <w:sz w:val="20"/>
                <w:szCs w:val="18"/>
              </w:rPr>
              <w:t>CAD</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5 (14.7%)</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7 (10.6%)</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1.45 (0.42-4.9)</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0.55</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CVS</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6 (17.6%)</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3 (4.5%)</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4.5 (1.05-19.3)</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0.03</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Vascular</w:t>
            </w:r>
          </w:p>
          <w:p w:rsidR="00DE604F" w:rsidRPr="00C52063" w:rsidRDefault="00DE604F" w:rsidP="00B5174A">
            <w:pPr>
              <w:pStyle w:val="NoSpacing"/>
              <w:snapToGrid w:val="0"/>
              <w:rPr>
                <w:sz w:val="20"/>
                <w:szCs w:val="18"/>
              </w:rPr>
            </w:pPr>
            <w:r w:rsidRPr="00C52063">
              <w:rPr>
                <w:sz w:val="20"/>
                <w:szCs w:val="18"/>
              </w:rPr>
              <w:t>diseases</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4 (11.8 %)</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1 (1.5%)</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8.7 (0.93-80.8)</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0.044 Calcula</w:t>
            </w:r>
          </w:p>
          <w:p w:rsidR="00DE604F" w:rsidRPr="00C52063" w:rsidRDefault="00DE604F" w:rsidP="00B5174A">
            <w:pPr>
              <w:pStyle w:val="NoSpacing"/>
              <w:snapToGrid w:val="0"/>
              <w:rPr>
                <w:sz w:val="20"/>
                <w:szCs w:val="18"/>
              </w:rPr>
            </w:pPr>
            <w:r w:rsidRPr="00C52063">
              <w:rPr>
                <w:sz w:val="20"/>
                <w:szCs w:val="18"/>
              </w:rPr>
              <w:t>ted by Fisher exact</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Killip Class</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11 (32.4%)</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13 (19.7%)</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1.9 (0.7-4.99)</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0.16</w:t>
            </w:r>
          </w:p>
        </w:tc>
      </w:tr>
      <w:tr w:rsidR="00CF1619" w:rsidRPr="00C52063" w:rsidTr="00CF1619">
        <w:trPr>
          <w:jc w:val="center"/>
        </w:trPr>
        <w:tc>
          <w:tcPr>
            <w:tcW w:w="721" w:type="pct"/>
            <w:vAlign w:val="center"/>
          </w:tcPr>
          <w:p w:rsidR="00DE604F" w:rsidRPr="00C52063" w:rsidRDefault="00DE604F" w:rsidP="00B5174A">
            <w:pPr>
              <w:pStyle w:val="NoSpacing"/>
              <w:snapToGrid w:val="0"/>
              <w:rPr>
                <w:sz w:val="20"/>
                <w:szCs w:val="18"/>
              </w:rPr>
            </w:pPr>
            <w:r w:rsidRPr="00C52063">
              <w:rPr>
                <w:sz w:val="20"/>
                <w:szCs w:val="18"/>
              </w:rPr>
              <w:t>Dyslipidemia</w:t>
            </w:r>
          </w:p>
        </w:tc>
        <w:tc>
          <w:tcPr>
            <w:tcW w:w="889" w:type="pct"/>
            <w:vAlign w:val="center"/>
          </w:tcPr>
          <w:p w:rsidR="00DE604F" w:rsidRPr="00C52063" w:rsidRDefault="00DE604F" w:rsidP="00B5174A">
            <w:pPr>
              <w:pStyle w:val="NoSpacing"/>
              <w:snapToGrid w:val="0"/>
              <w:rPr>
                <w:sz w:val="20"/>
                <w:szCs w:val="18"/>
              </w:rPr>
            </w:pPr>
            <w:r w:rsidRPr="00C52063">
              <w:rPr>
                <w:sz w:val="20"/>
                <w:szCs w:val="18"/>
              </w:rPr>
              <w:t>15 (44.1%)</w:t>
            </w:r>
          </w:p>
        </w:tc>
        <w:tc>
          <w:tcPr>
            <w:tcW w:w="998" w:type="pct"/>
            <w:vAlign w:val="center"/>
          </w:tcPr>
          <w:p w:rsidR="00DE604F" w:rsidRPr="00C52063" w:rsidRDefault="00DE604F" w:rsidP="00B5174A">
            <w:pPr>
              <w:pStyle w:val="NoSpacing"/>
              <w:snapToGrid w:val="0"/>
              <w:rPr>
                <w:sz w:val="20"/>
                <w:szCs w:val="18"/>
              </w:rPr>
            </w:pPr>
            <w:r w:rsidRPr="00C52063">
              <w:rPr>
                <w:sz w:val="20"/>
                <w:szCs w:val="18"/>
              </w:rPr>
              <w:t>23 (34.8%)</w:t>
            </w:r>
          </w:p>
        </w:tc>
        <w:tc>
          <w:tcPr>
            <w:tcW w:w="1479" w:type="pct"/>
            <w:vAlign w:val="center"/>
          </w:tcPr>
          <w:p w:rsidR="00DE604F" w:rsidRPr="00C52063" w:rsidRDefault="00DE604F" w:rsidP="00B5174A">
            <w:pPr>
              <w:pStyle w:val="NoSpacing"/>
              <w:snapToGrid w:val="0"/>
              <w:rPr>
                <w:sz w:val="20"/>
                <w:szCs w:val="18"/>
              </w:rPr>
            </w:pPr>
            <w:r w:rsidRPr="00C52063">
              <w:rPr>
                <w:sz w:val="20"/>
                <w:szCs w:val="18"/>
              </w:rPr>
              <w:t>1.47 (0.63-3.4)</w:t>
            </w:r>
          </w:p>
        </w:tc>
        <w:tc>
          <w:tcPr>
            <w:tcW w:w="913" w:type="pct"/>
            <w:vAlign w:val="center"/>
          </w:tcPr>
          <w:p w:rsidR="00DE604F" w:rsidRPr="00C52063" w:rsidRDefault="00DE604F" w:rsidP="00B5174A">
            <w:pPr>
              <w:pStyle w:val="NoSpacing"/>
              <w:snapToGrid w:val="0"/>
              <w:rPr>
                <w:sz w:val="20"/>
                <w:szCs w:val="18"/>
              </w:rPr>
            </w:pPr>
            <w:r w:rsidRPr="00C52063">
              <w:rPr>
                <w:sz w:val="20"/>
                <w:szCs w:val="18"/>
              </w:rPr>
              <w:t>0.366</w:t>
            </w:r>
          </w:p>
        </w:tc>
      </w:tr>
    </w:tbl>
    <w:p w:rsidR="007F4728" w:rsidRPr="00C52063" w:rsidRDefault="007F4728" w:rsidP="00C52063">
      <w:pPr>
        <w:pStyle w:val="NoSpacing"/>
        <w:snapToGrid w:val="0"/>
        <w:ind w:firstLine="425"/>
        <w:jc w:val="both"/>
        <w:rPr>
          <w:sz w:val="20"/>
          <w:szCs w:val="20"/>
        </w:rPr>
      </w:pPr>
    </w:p>
    <w:p w:rsidR="00C52063" w:rsidRDefault="00C52063" w:rsidP="00C52063">
      <w:pPr>
        <w:pStyle w:val="NoSpacing"/>
        <w:snapToGrid w:val="0"/>
        <w:jc w:val="both"/>
        <w:rPr>
          <w:b/>
          <w:bCs/>
          <w:sz w:val="20"/>
          <w:szCs w:val="20"/>
        </w:rPr>
        <w:sectPr w:rsidR="00C52063" w:rsidSect="00CF1619">
          <w:type w:val="continuous"/>
          <w:pgSz w:w="12240" w:h="15840" w:code="1"/>
          <w:pgMar w:top="1440" w:right="1440" w:bottom="1440" w:left="1440" w:header="720" w:footer="720" w:gutter="0"/>
          <w:cols w:space="720"/>
          <w:docGrid w:linePitch="299"/>
        </w:sectPr>
      </w:pPr>
    </w:p>
    <w:p w:rsidR="007F4728" w:rsidRPr="00C52063" w:rsidRDefault="006233F8" w:rsidP="00C52063">
      <w:pPr>
        <w:pStyle w:val="NoSpacing"/>
        <w:snapToGrid w:val="0"/>
        <w:jc w:val="both"/>
        <w:rPr>
          <w:b/>
          <w:bCs/>
          <w:sz w:val="20"/>
          <w:szCs w:val="20"/>
        </w:rPr>
      </w:pPr>
      <w:r w:rsidRPr="00C52063">
        <w:rPr>
          <w:b/>
          <w:bCs/>
          <w:sz w:val="20"/>
          <w:szCs w:val="20"/>
        </w:rPr>
        <w:lastRenderedPageBreak/>
        <w:t>Angiographic and procedural characteristics:</w:t>
      </w:r>
    </w:p>
    <w:p w:rsidR="005D28DF" w:rsidRPr="00C52063" w:rsidRDefault="005D28DF" w:rsidP="00C52063">
      <w:pPr>
        <w:pStyle w:val="NoSpacing"/>
        <w:snapToGrid w:val="0"/>
        <w:ind w:firstLine="425"/>
        <w:jc w:val="both"/>
        <w:rPr>
          <w:sz w:val="20"/>
          <w:szCs w:val="20"/>
        </w:rPr>
      </w:pPr>
      <w:r w:rsidRPr="00C52063">
        <w:rPr>
          <w:sz w:val="20"/>
          <w:szCs w:val="20"/>
        </w:rPr>
        <w:t>In our study, location of infarction was found to be a predictor of noreflow as noreflow occurred more commonly with anterior myocardial infarction (58%) in comparison to non anterior infarctio</w:t>
      </w:r>
      <w:r w:rsidR="00CF1619" w:rsidRPr="00C52063">
        <w:rPr>
          <w:sz w:val="20"/>
          <w:szCs w:val="20"/>
        </w:rPr>
        <w:t>n (</w:t>
      </w:r>
      <w:r w:rsidRPr="00C52063">
        <w:rPr>
          <w:sz w:val="20"/>
          <w:szCs w:val="20"/>
        </w:rPr>
        <w:t xml:space="preserve"> 41.1% )</w:t>
      </w:r>
      <w:r w:rsidR="00CF1619" w:rsidRPr="00C52063">
        <w:rPr>
          <w:sz w:val="20"/>
          <w:szCs w:val="20"/>
        </w:rPr>
        <w:t>,</w:t>
      </w:r>
      <w:r w:rsidRPr="00C52063">
        <w:rPr>
          <w:sz w:val="20"/>
          <w:szCs w:val="20"/>
        </w:rPr>
        <w:t xml:space="preserve"> P.value = 0.009</w:t>
      </w:r>
      <w:r w:rsidR="00C52063" w:rsidRPr="00C52063">
        <w:rPr>
          <w:sz w:val="20"/>
          <w:szCs w:val="20"/>
        </w:rPr>
        <w:t>.</w:t>
      </w:r>
      <w:r w:rsidR="00C52063">
        <w:rPr>
          <w:sz w:val="20"/>
          <w:szCs w:val="20"/>
        </w:rPr>
        <w:t xml:space="preserve"> </w:t>
      </w:r>
      <w:r w:rsidR="00C52063" w:rsidRPr="00C52063">
        <w:rPr>
          <w:sz w:val="20"/>
          <w:szCs w:val="20"/>
        </w:rPr>
        <w:t>A</w:t>
      </w:r>
      <w:r w:rsidR="007A4796" w:rsidRPr="00C52063">
        <w:rPr>
          <w:sz w:val="20"/>
          <w:szCs w:val="20"/>
        </w:rPr>
        <w:t>lso, 66 patients of the study population had multivessel disease</w:t>
      </w:r>
      <w:r w:rsidR="00CF1619" w:rsidRPr="00C52063">
        <w:rPr>
          <w:sz w:val="20"/>
          <w:szCs w:val="20"/>
        </w:rPr>
        <w:t>.</w:t>
      </w:r>
      <w:r w:rsidR="00B5174A">
        <w:rPr>
          <w:rFonts w:eastAsiaTheme="minorEastAsia" w:hint="eastAsia"/>
          <w:sz w:val="20"/>
          <w:szCs w:val="20"/>
          <w:lang w:eastAsia="zh-CN"/>
        </w:rPr>
        <w:t xml:space="preserve"> </w:t>
      </w:r>
      <w:r w:rsidR="007A4796" w:rsidRPr="00C52063">
        <w:rPr>
          <w:sz w:val="20"/>
          <w:szCs w:val="20"/>
        </w:rPr>
        <w:t xml:space="preserve">In group I, 27 </w:t>
      </w:r>
      <w:r w:rsidR="007A4796" w:rsidRPr="00C52063">
        <w:rPr>
          <w:sz w:val="20"/>
          <w:szCs w:val="20"/>
        </w:rPr>
        <w:lastRenderedPageBreak/>
        <w:t>(79.4%) of</w:t>
      </w:r>
      <w:r w:rsidR="00CF1619" w:rsidRPr="00C52063">
        <w:rPr>
          <w:sz w:val="20"/>
          <w:szCs w:val="20"/>
        </w:rPr>
        <w:t xml:space="preserve"> </w:t>
      </w:r>
      <w:r w:rsidR="007A4796" w:rsidRPr="00C52063">
        <w:rPr>
          <w:sz w:val="20"/>
          <w:szCs w:val="20"/>
        </w:rPr>
        <w:t>patient</w:t>
      </w:r>
      <w:r w:rsidR="00CF1619" w:rsidRPr="00C52063">
        <w:rPr>
          <w:sz w:val="20"/>
          <w:szCs w:val="20"/>
        </w:rPr>
        <w:t xml:space="preserve"> </w:t>
      </w:r>
      <w:r w:rsidR="007A4796" w:rsidRPr="00C52063">
        <w:rPr>
          <w:sz w:val="20"/>
          <w:szCs w:val="20"/>
        </w:rPr>
        <w:t>had</w:t>
      </w:r>
      <w:r w:rsidR="00CF1619" w:rsidRPr="00C52063">
        <w:rPr>
          <w:sz w:val="20"/>
          <w:szCs w:val="20"/>
        </w:rPr>
        <w:t xml:space="preserve"> </w:t>
      </w:r>
      <w:r w:rsidR="007A4796" w:rsidRPr="00C52063">
        <w:rPr>
          <w:sz w:val="20"/>
          <w:szCs w:val="20"/>
        </w:rPr>
        <w:t>multivessel</w:t>
      </w:r>
      <w:r w:rsidR="00CF1619" w:rsidRPr="00C52063">
        <w:rPr>
          <w:sz w:val="20"/>
          <w:szCs w:val="20"/>
        </w:rPr>
        <w:t xml:space="preserve"> </w:t>
      </w:r>
      <w:r w:rsidR="007A4796" w:rsidRPr="00C52063">
        <w:rPr>
          <w:sz w:val="20"/>
          <w:szCs w:val="20"/>
        </w:rPr>
        <w:t>disease while 39</w:t>
      </w:r>
      <w:r w:rsidR="00CF1619" w:rsidRPr="00C52063">
        <w:rPr>
          <w:sz w:val="20"/>
          <w:szCs w:val="20"/>
        </w:rPr>
        <w:t xml:space="preserve"> </w:t>
      </w:r>
      <w:r w:rsidR="007A4796" w:rsidRPr="00C52063">
        <w:rPr>
          <w:sz w:val="20"/>
          <w:szCs w:val="20"/>
        </w:rPr>
        <w:t>patients (59.1 %)</w:t>
      </w:r>
      <w:r w:rsidR="00CF1619" w:rsidRPr="00C52063">
        <w:rPr>
          <w:sz w:val="20"/>
          <w:szCs w:val="20"/>
        </w:rPr>
        <w:t xml:space="preserve"> </w:t>
      </w:r>
      <w:r w:rsidR="007A4796" w:rsidRPr="00C52063">
        <w:rPr>
          <w:sz w:val="20"/>
          <w:szCs w:val="20"/>
        </w:rPr>
        <w:t>had multivessel disease in</w:t>
      </w:r>
      <w:r w:rsidR="00CF1619" w:rsidRPr="00C52063">
        <w:rPr>
          <w:sz w:val="20"/>
          <w:szCs w:val="20"/>
        </w:rPr>
        <w:t xml:space="preserve"> </w:t>
      </w:r>
      <w:r w:rsidR="007A4796" w:rsidRPr="00C52063">
        <w:rPr>
          <w:sz w:val="20"/>
          <w:szCs w:val="20"/>
        </w:rPr>
        <w:t>group</w:t>
      </w:r>
      <w:r w:rsidR="00CF1619" w:rsidRPr="00C52063">
        <w:rPr>
          <w:sz w:val="20"/>
          <w:szCs w:val="20"/>
        </w:rPr>
        <w:t xml:space="preserve"> </w:t>
      </w:r>
      <w:r w:rsidR="007A4796" w:rsidRPr="00C52063">
        <w:rPr>
          <w:sz w:val="20"/>
          <w:szCs w:val="20"/>
        </w:rPr>
        <w:t>II</w:t>
      </w:r>
      <w:r w:rsidR="00CF1619" w:rsidRPr="00C52063">
        <w:rPr>
          <w:sz w:val="20"/>
          <w:szCs w:val="20"/>
        </w:rPr>
        <w:t>.</w:t>
      </w:r>
      <w:r w:rsidR="007A4796" w:rsidRPr="00C52063">
        <w:rPr>
          <w:sz w:val="20"/>
          <w:szCs w:val="20"/>
        </w:rPr>
        <w:t xml:space="preserve"> There was statistically significant difference between the studied groups (P value0.04).</w:t>
      </w:r>
    </w:p>
    <w:p w:rsidR="007A4796" w:rsidRPr="00C52063" w:rsidRDefault="007A4796" w:rsidP="00C52063">
      <w:pPr>
        <w:pStyle w:val="NoSpacing"/>
        <w:snapToGrid w:val="0"/>
        <w:ind w:firstLine="425"/>
        <w:jc w:val="both"/>
        <w:rPr>
          <w:sz w:val="20"/>
          <w:szCs w:val="20"/>
        </w:rPr>
      </w:pPr>
      <w:r w:rsidRPr="00C52063">
        <w:rPr>
          <w:sz w:val="20"/>
          <w:szCs w:val="20"/>
        </w:rPr>
        <w:t>In addition, we found that the no reflow group had a higher incidence when baseline TIMI flow</w:t>
      </w:r>
      <w:r w:rsidR="00CF1619" w:rsidRPr="00C52063">
        <w:rPr>
          <w:sz w:val="20"/>
          <w:szCs w:val="20"/>
        </w:rPr>
        <w:t xml:space="preserve"> </w:t>
      </w:r>
      <w:r w:rsidRPr="00C52063">
        <w:rPr>
          <w:sz w:val="20"/>
          <w:szCs w:val="20"/>
        </w:rPr>
        <w:t>is ≤ 1 compared with the normal flow group (P value 0.002).</w:t>
      </w:r>
    </w:p>
    <w:p w:rsidR="00C52063" w:rsidRDefault="00C52063" w:rsidP="00C52063">
      <w:pPr>
        <w:pStyle w:val="NoSpacing"/>
        <w:snapToGrid w:val="0"/>
        <w:ind w:firstLine="425"/>
        <w:jc w:val="both"/>
        <w:rPr>
          <w:sz w:val="20"/>
          <w:szCs w:val="20"/>
        </w:rPr>
        <w:sectPr w:rsidR="00C52063" w:rsidSect="00C52063">
          <w:type w:val="continuous"/>
          <w:pgSz w:w="12240" w:h="15840" w:code="1"/>
          <w:pgMar w:top="1440" w:right="1440" w:bottom="1440" w:left="1440" w:header="720" w:footer="720" w:gutter="0"/>
          <w:cols w:num="2" w:space="550"/>
          <w:docGrid w:linePitch="299"/>
        </w:sectPr>
      </w:pPr>
    </w:p>
    <w:p w:rsidR="00C73DEC" w:rsidRPr="00C52063" w:rsidRDefault="00C73DEC" w:rsidP="00C52063">
      <w:pPr>
        <w:pStyle w:val="NoSpacing"/>
        <w:snapToGrid w:val="0"/>
        <w:ind w:firstLine="425"/>
        <w:jc w:val="both"/>
        <w:rPr>
          <w:sz w:val="20"/>
          <w:szCs w:val="20"/>
        </w:rPr>
      </w:pPr>
    </w:p>
    <w:tbl>
      <w:tblPr>
        <w:tblStyle w:val="TableGrid"/>
        <w:tblW w:w="5000" w:type="pct"/>
        <w:jc w:val="center"/>
        <w:tblCellMar>
          <w:left w:w="57" w:type="dxa"/>
          <w:right w:w="57" w:type="dxa"/>
        </w:tblCellMar>
        <w:tblLook w:val="01E0"/>
      </w:tblPr>
      <w:tblGrid>
        <w:gridCol w:w="1102"/>
        <w:gridCol w:w="1126"/>
        <w:gridCol w:w="1681"/>
        <w:gridCol w:w="1885"/>
        <w:gridCol w:w="1262"/>
        <w:gridCol w:w="2418"/>
      </w:tblGrid>
      <w:tr w:rsidR="00C73DEC" w:rsidRPr="00C52063" w:rsidTr="00CF1619">
        <w:trPr>
          <w:jc w:val="center"/>
        </w:trPr>
        <w:tc>
          <w:tcPr>
            <w:tcW w:w="1176" w:type="pct"/>
            <w:gridSpan w:val="2"/>
            <w:vAlign w:val="center"/>
          </w:tcPr>
          <w:p w:rsidR="009255C6" w:rsidRPr="00C52063" w:rsidRDefault="009255C6" w:rsidP="00C52063">
            <w:pPr>
              <w:pStyle w:val="NoSpacing"/>
              <w:snapToGrid w:val="0"/>
              <w:jc w:val="both"/>
              <w:rPr>
                <w:sz w:val="20"/>
                <w:szCs w:val="20"/>
              </w:rPr>
            </w:pP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Noreflo-w (N=34)</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Normal flow (N=66)</w:t>
            </w:r>
          </w:p>
        </w:tc>
        <w:tc>
          <w:tcPr>
            <w:tcW w:w="666" w:type="pct"/>
            <w:vAlign w:val="center"/>
          </w:tcPr>
          <w:p w:rsidR="009255C6" w:rsidRPr="00C52063" w:rsidRDefault="009255C6" w:rsidP="00C52063">
            <w:pPr>
              <w:pStyle w:val="NoSpacing"/>
              <w:snapToGrid w:val="0"/>
              <w:jc w:val="both"/>
              <w:rPr>
                <w:sz w:val="20"/>
                <w:szCs w:val="20"/>
              </w:rPr>
            </w:pPr>
            <w:r w:rsidRPr="00C52063">
              <w:rPr>
                <w:sz w:val="20"/>
                <w:szCs w:val="20"/>
              </w:rPr>
              <w:t>OR (95%C.I)</w:t>
            </w:r>
          </w:p>
        </w:tc>
        <w:tc>
          <w:tcPr>
            <w:tcW w:w="1277" w:type="pct"/>
            <w:vAlign w:val="center"/>
          </w:tcPr>
          <w:p w:rsidR="009255C6" w:rsidRPr="00C52063" w:rsidRDefault="009255C6" w:rsidP="00C52063">
            <w:pPr>
              <w:pStyle w:val="NoSpacing"/>
              <w:snapToGrid w:val="0"/>
              <w:jc w:val="both"/>
              <w:rPr>
                <w:sz w:val="20"/>
                <w:szCs w:val="20"/>
              </w:rPr>
            </w:pPr>
            <w:r w:rsidRPr="00C52063">
              <w:rPr>
                <w:sz w:val="20"/>
                <w:szCs w:val="20"/>
              </w:rPr>
              <w:t>P value</w:t>
            </w:r>
          </w:p>
        </w:tc>
      </w:tr>
      <w:tr w:rsidR="00CF1619" w:rsidRPr="00C52063" w:rsidTr="00CF1619">
        <w:trPr>
          <w:jc w:val="center"/>
        </w:trPr>
        <w:tc>
          <w:tcPr>
            <w:tcW w:w="582" w:type="pct"/>
            <w:vMerge w:val="restart"/>
            <w:vAlign w:val="center"/>
          </w:tcPr>
          <w:p w:rsidR="009255C6" w:rsidRPr="00C52063" w:rsidRDefault="009255C6" w:rsidP="00C52063">
            <w:pPr>
              <w:pStyle w:val="NoSpacing"/>
              <w:snapToGrid w:val="0"/>
              <w:jc w:val="both"/>
              <w:rPr>
                <w:sz w:val="20"/>
                <w:szCs w:val="20"/>
              </w:rPr>
            </w:pPr>
            <w:r w:rsidRPr="00C52063">
              <w:rPr>
                <w:sz w:val="20"/>
                <w:szCs w:val="20"/>
              </w:rPr>
              <w:t>Location of</w:t>
            </w:r>
          </w:p>
          <w:p w:rsidR="009255C6" w:rsidRPr="00C52063" w:rsidRDefault="009255C6" w:rsidP="00C52063">
            <w:pPr>
              <w:pStyle w:val="NoSpacing"/>
              <w:snapToGrid w:val="0"/>
              <w:jc w:val="both"/>
              <w:rPr>
                <w:sz w:val="20"/>
                <w:szCs w:val="20"/>
              </w:rPr>
            </w:pPr>
            <w:r w:rsidRPr="00C52063">
              <w:rPr>
                <w:sz w:val="20"/>
                <w:szCs w:val="20"/>
              </w:rPr>
              <w:t>infarction</w:t>
            </w: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Ext anterior</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20 (58.8%)</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41 (62.1%)</w:t>
            </w:r>
          </w:p>
        </w:tc>
        <w:tc>
          <w:tcPr>
            <w:tcW w:w="666" w:type="pct"/>
            <w:vMerge w:val="restart"/>
            <w:vAlign w:val="center"/>
          </w:tcPr>
          <w:p w:rsidR="009255C6" w:rsidRPr="00C52063" w:rsidRDefault="009255C6" w:rsidP="00C52063">
            <w:pPr>
              <w:pStyle w:val="NoSpacing"/>
              <w:snapToGrid w:val="0"/>
              <w:jc w:val="both"/>
              <w:rPr>
                <w:sz w:val="20"/>
                <w:szCs w:val="20"/>
              </w:rPr>
            </w:pPr>
          </w:p>
        </w:tc>
        <w:tc>
          <w:tcPr>
            <w:tcW w:w="1277" w:type="pct"/>
            <w:vMerge w:val="restart"/>
            <w:vAlign w:val="center"/>
          </w:tcPr>
          <w:p w:rsidR="009255C6" w:rsidRPr="00C52063" w:rsidRDefault="009255C6" w:rsidP="00C52063">
            <w:pPr>
              <w:pStyle w:val="NoSpacing"/>
              <w:snapToGrid w:val="0"/>
              <w:jc w:val="both"/>
              <w:rPr>
                <w:sz w:val="20"/>
                <w:szCs w:val="20"/>
              </w:rPr>
            </w:pPr>
            <w:r w:rsidRPr="00C52063">
              <w:rPr>
                <w:sz w:val="20"/>
                <w:szCs w:val="20"/>
              </w:rPr>
              <w:t>0.009</w:t>
            </w:r>
            <w:r w:rsidR="00B5174A">
              <w:rPr>
                <w:rFonts w:eastAsiaTheme="minorEastAsia" w:hint="eastAsia"/>
                <w:sz w:val="20"/>
                <w:szCs w:val="20"/>
                <w:lang w:eastAsia="zh-CN"/>
              </w:rPr>
              <w:t xml:space="preserve"> </w:t>
            </w:r>
            <w:r w:rsidRPr="00C52063">
              <w:rPr>
                <w:sz w:val="20"/>
                <w:szCs w:val="20"/>
              </w:rPr>
              <w:t>Calcul</w:t>
            </w:r>
            <w:r w:rsidR="00B5174A">
              <w:rPr>
                <w:rFonts w:eastAsiaTheme="minorEastAsia" w:hint="eastAsia"/>
                <w:sz w:val="20"/>
                <w:szCs w:val="20"/>
                <w:lang w:eastAsia="zh-CN"/>
              </w:rPr>
              <w:t xml:space="preserve"> </w:t>
            </w:r>
            <w:r w:rsidRPr="00C52063">
              <w:rPr>
                <w:sz w:val="20"/>
                <w:szCs w:val="20"/>
              </w:rPr>
              <w:t>at</w:t>
            </w:r>
          </w:p>
          <w:p w:rsidR="009255C6" w:rsidRPr="00C52063" w:rsidRDefault="00681E02" w:rsidP="00C52063">
            <w:pPr>
              <w:pStyle w:val="NoSpacing"/>
              <w:snapToGrid w:val="0"/>
              <w:jc w:val="both"/>
              <w:rPr>
                <w:sz w:val="20"/>
                <w:szCs w:val="20"/>
              </w:rPr>
            </w:pPr>
            <w:r w:rsidRPr="00C52063">
              <w:rPr>
                <w:sz w:val="20"/>
                <w:szCs w:val="20"/>
              </w:rPr>
              <w:t>E</w:t>
            </w:r>
            <w:r w:rsidR="009255C6" w:rsidRPr="00C52063">
              <w:rPr>
                <w:sz w:val="20"/>
                <w:szCs w:val="20"/>
              </w:rPr>
              <w:t>d</w:t>
            </w:r>
            <w:r w:rsidR="00B5174A">
              <w:rPr>
                <w:rFonts w:eastAsiaTheme="minorEastAsia" w:hint="eastAsia"/>
                <w:sz w:val="20"/>
                <w:szCs w:val="20"/>
                <w:lang w:eastAsia="zh-CN"/>
              </w:rPr>
              <w:t xml:space="preserve"> </w:t>
            </w:r>
            <w:r w:rsidR="009255C6" w:rsidRPr="00C52063">
              <w:rPr>
                <w:sz w:val="20"/>
                <w:szCs w:val="20"/>
              </w:rPr>
              <w:t>b</w:t>
            </w:r>
            <w:r w:rsidR="00C52063" w:rsidRPr="00C52063">
              <w:rPr>
                <w:sz w:val="20"/>
                <w:szCs w:val="20"/>
              </w:rPr>
              <w:t>y</w:t>
            </w:r>
            <w:r w:rsidR="00C52063">
              <w:rPr>
                <w:sz w:val="20"/>
                <w:szCs w:val="20"/>
              </w:rPr>
              <w:t xml:space="preserve"> </w:t>
            </w:r>
            <w:r w:rsidR="00C52063" w:rsidRPr="00C52063">
              <w:rPr>
                <w:sz w:val="20"/>
                <w:szCs w:val="20"/>
              </w:rPr>
              <w:t>M</w:t>
            </w:r>
            <w:r w:rsidR="009255C6" w:rsidRPr="00C52063">
              <w:rPr>
                <w:sz w:val="20"/>
                <w:szCs w:val="20"/>
              </w:rPr>
              <w:t>onte Carlo</w:t>
            </w:r>
          </w:p>
        </w:tc>
      </w:tr>
      <w:tr w:rsidR="00CF1619" w:rsidRPr="00C52063" w:rsidTr="00CF1619">
        <w:trPr>
          <w:jc w:val="center"/>
        </w:trPr>
        <w:tc>
          <w:tcPr>
            <w:tcW w:w="582" w:type="pct"/>
            <w:vMerge/>
            <w:vAlign w:val="center"/>
          </w:tcPr>
          <w:p w:rsidR="009255C6" w:rsidRPr="00C52063" w:rsidRDefault="009255C6" w:rsidP="00C52063">
            <w:pPr>
              <w:pStyle w:val="NoSpacing"/>
              <w:snapToGrid w:val="0"/>
              <w:jc w:val="both"/>
              <w:rPr>
                <w:sz w:val="20"/>
                <w:szCs w:val="20"/>
              </w:rPr>
            </w:pP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Inferior</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8 (23.5%)</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24 (36.4%)</w:t>
            </w:r>
          </w:p>
        </w:tc>
        <w:tc>
          <w:tcPr>
            <w:tcW w:w="666" w:type="pct"/>
            <w:vMerge/>
            <w:vAlign w:val="center"/>
          </w:tcPr>
          <w:p w:rsidR="009255C6" w:rsidRPr="00C52063" w:rsidRDefault="009255C6" w:rsidP="00C52063">
            <w:pPr>
              <w:pStyle w:val="NoSpacing"/>
              <w:snapToGrid w:val="0"/>
              <w:jc w:val="both"/>
              <w:rPr>
                <w:sz w:val="20"/>
                <w:szCs w:val="20"/>
              </w:rPr>
            </w:pPr>
          </w:p>
        </w:tc>
        <w:tc>
          <w:tcPr>
            <w:tcW w:w="1277" w:type="pct"/>
            <w:vMerge/>
            <w:vAlign w:val="center"/>
          </w:tcPr>
          <w:p w:rsidR="009255C6" w:rsidRPr="00C52063" w:rsidRDefault="009255C6" w:rsidP="00C52063">
            <w:pPr>
              <w:pStyle w:val="NoSpacing"/>
              <w:snapToGrid w:val="0"/>
              <w:jc w:val="both"/>
              <w:rPr>
                <w:sz w:val="20"/>
                <w:szCs w:val="20"/>
              </w:rPr>
            </w:pPr>
          </w:p>
        </w:tc>
      </w:tr>
      <w:tr w:rsidR="00CF1619" w:rsidRPr="00C52063" w:rsidTr="00CF1619">
        <w:trPr>
          <w:jc w:val="center"/>
        </w:trPr>
        <w:tc>
          <w:tcPr>
            <w:tcW w:w="582" w:type="pct"/>
            <w:vMerge/>
            <w:vAlign w:val="center"/>
          </w:tcPr>
          <w:p w:rsidR="009255C6" w:rsidRPr="00C52063" w:rsidRDefault="009255C6" w:rsidP="00C52063">
            <w:pPr>
              <w:pStyle w:val="NoSpacing"/>
              <w:snapToGrid w:val="0"/>
              <w:jc w:val="both"/>
              <w:rPr>
                <w:sz w:val="20"/>
                <w:szCs w:val="20"/>
              </w:rPr>
            </w:pP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Lateral</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6 (17.6%)</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1 (1.5%)</w:t>
            </w:r>
          </w:p>
        </w:tc>
        <w:tc>
          <w:tcPr>
            <w:tcW w:w="666" w:type="pct"/>
            <w:vMerge/>
            <w:vAlign w:val="center"/>
          </w:tcPr>
          <w:p w:rsidR="009255C6" w:rsidRPr="00C52063" w:rsidRDefault="009255C6" w:rsidP="00C52063">
            <w:pPr>
              <w:pStyle w:val="NoSpacing"/>
              <w:snapToGrid w:val="0"/>
              <w:jc w:val="both"/>
              <w:rPr>
                <w:sz w:val="20"/>
                <w:szCs w:val="20"/>
              </w:rPr>
            </w:pPr>
          </w:p>
        </w:tc>
        <w:tc>
          <w:tcPr>
            <w:tcW w:w="1277" w:type="pct"/>
            <w:vMerge/>
            <w:vAlign w:val="center"/>
          </w:tcPr>
          <w:p w:rsidR="009255C6" w:rsidRPr="00C52063" w:rsidRDefault="009255C6" w:rsidP="00C52063">
            <w:pPr>
              <w:pStyle w:val="NoSpacing"/>
              <w:snapToGrid w:val="0"/>
              <w:jc w:val="both"/>
              <w:rPr>
                <w:sz w:val="20"/>
                <w:szCs w:val="20"/>
              </w:rPr>
            </w:pPr>
          </w:p>
        </w:tc>
      </w:tr>
      <w:tr w:rsidR="00C73DEC" w:rsidRPr="00C52063" w:rsidTr="00CF1619">
        <w:trPr>
          <w:jc w:val="center"/>
        </w:trPr>
        <w:tc>
          <w:tcPr>
            <w:tcW w:w="1176" w:type="pct"/>
            <w:gridSpan w:val="2"/>
            <w:vAlign w:val="center"/>
          </w:tcPr>
          <w:p w:rsidR="009255C6" w:rsidRPr="00C52063" w:rsidRDefault="009255C6" w:rsidP="00C52063">
            <w:pPr>
              <w:pStyle w:val="NoSpacing"/>
              <w:snapToGrid w:val="0"/>
              <w:jc w:val="both"/>
              <w:rPr>
                <w:sz w:val="20"/>
                <w:szCs w:val="20"/>
              </w:rPr>
            </w:pPr>
            <w:r w:rsidRPr="00C52063">
              <w:rPr>
                <w:sz w:val="20"/>
                <w:szCs w:val="20"/>
              </w:rPr>
              <w:t>MVD</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27 (79.4%)</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39 (59.1 %)</w:t>
            </w:r>
          </w:p>
        </w:tc>
        <w:tc>
          <w:tcPr>
            <w:tcW w:w="666" w:type="pct"/>
            <w:vAlign w:val="center"/>
          </w:tcPr>
          <w:p w:rsidR="009255C6" w:rsidRPr="00C52063" w:rsidRDefault="009255C6" w:rsidP="00C52063">
            <w:pPr>
              <w:pStyle w:val="NoSpacing"/>
              <w:snapToGrid w:val="0"/>
              <w:jc w:val="both"/>
              <w:rPr>
                <w:sz w:val="20"/>
                <w:szCs w:val="20"/>
              </w:rPr>
            </w:pPr>
            <w:r w:rsidRPr="00C52063">
              <w:rPr>
                <w:sz w:val="20"/>
                <w:szCs w:val="20"/>
              </w:rPr>
              <w:t>2.67(1.01-7)</w:t>
            </w:r>
          </w:p>
        </w:tc>
        <w:tc>
          <w:tcPr>
            <w:tcW w:w="1277" w:type="pct"/>
            <w:vAlign w:val="center"/>
          </w:tcPr>
          <w:p w:rsidR="009255C6" w:rsidRPr="00C52063" w:rsidRDefault="009255C6" w:rsidP="00C52063">
            <w:pPr>
              <w:pStyle w:val="NoSpacing"/>
              <w:snapToGrid w:val="0"/>
              <w:jc w:val="both"/>
              <w:rPr>
                <w:sz w:val="20"/>
                <w:szCs w:val="20"/>
              </w:rPr>
            </w:pPr>
            <w:r w:rsidRPr="00C52063">
              <w:rPr>
                <w:sz w:val="20"/>
                <w:szCs w:val="20"/>
              </w:rPr>
              <w:t>0.04</w:t>
            </w:r>
          </w:p>
        </w:tc>
      </w:tr>
      <w:tr w:rsidR="00CF1619" w:rsidRPr="00C52063" w:rsidTr="00CF1619">
        <w:trPr>
          <w:jc w:val="center"/>
        </w:trPr>
        <w:tc>
          <w:tcPr>
            <w:tcW w:w="582" w:type="pct"/>
            <w:vMerge w:val="restart"/>
            <w:vAlign w:val="center"/>
          </w:tcPr>
          <w:p w:rsidR="009255C6" w:rsidRPr="00C52063" w:rsidRDefault="009255C6" w:rsidP="00C52063">
            <w:pPr>
              <w:pStyle w:val="NoSpacing"/>
              <w:snapToGrid w:val="0"/>
              <w:jc w:val="both"/>
              <w:rPr>
                <w:sz w:val="20"/>
                <w:szCs w:val="20"/>
              </w:rPr>
            </w:pPr>
            <w:r w:rsidRPr="00C52063">
              <w:rPr>
                <w:sz w:val="20"/>
                <w:szCs w:val="20"/>
              </w:rPr>
              <w:t>IRA</w:t>
            </w: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LAD</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20 (58.8%)</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41 (62.1%)</w:t>
            </w:r>
          </w:p>
        </w:tc>
        <w:tc>
          <w:tcPr>
            <w:tcW w:w="666" w:type="pct"/>
            <w:vMerge w:val="restart"/>
            <w:vAlign w:val="center"/>
          </w:tcPr>
          <w:p w:rsidR="009255C6" w:rsidRPr="00C52063" w:rsidRDefault="009255C6" w:rsidP="00C52063">
            <w:pPr>
              <w:pStyle w:val="NoSpacing"/>
              <w:snapToGrid w:val="0"/>
              <w:jc w:val="both"/>
              <w:rPr>
                <w:sz w:val="20"/>
                <w:szCs w:val="20"/>
              </w:rPr>
            </w:pPr>
          </w:p>
        </w:tc>
        <w:tc>
          <w:tcPr>
            <w:tcW w:w="1277" w:type="pct"/>
            <w:vMerge w:val="restart"/>
            <w:vAlign w:val="center"/>
          </w:tcPr>
          <w:p w:rsidR="009255C6" w:rsidRPr="00C52063" w:rsidRDefault="009255C6" w:rsidP="00C52063">
            <w:pPr>
              <w:pStyle w:val="NoSpacing"/>
              <w:snapToGrid w:val="0"/>
              <w:jc w:val="both"/>
              <w:rPr>
                <w:sz w:val="20"/>
                <w:szCs w:val="20"/>
              </w:rPr>
            </w:pPr>
            <w:r w:rsidRPr="00C52063">
              <w:rPr>
                <w:sz w:val="20"/>
                <w:szCs w:val="20"/>
              </w:rPr>
              <w:t>0.135</w:t>
            </w:r>
          </w:p>
        </w:tc>
      </w:tr>
      <w:tr w:rsidR="00CF1619" w:rsidRPr="00C52063" w:rsidTr="00CF1619">
        <w:trPr>
          <w:jc w:val="center"/>
        </w:trPr>
        <w:tc>
          <w:tcPr>
            <w:tcW w:w="582" w:type="pct"/>
            <w:vMerge/>
            <w:vAlign w:val="center"/>
          </w:tcPr>
          <w:p w:rsidR="009255C6" w:rsidRPr="00C52063" w:rsidRDefault="009255C6" w:rsidP="00C52063">
            <w:pPr>
              <w:pStyle w:val="NoSpacing"/>
              <w:snapToGrid w:val="0"/>
              <w:jc w:val="both"/>
              <w:rPr>
                <w:sz w:val="20"/>
                <w:szCs w:val="20"/>
              </w:rPr>
            </w:pP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LCX</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9 (26.5 %)</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8 (12.1%)</w:t>
            </w:r>
          </w:p>
        </w:tc>
        <w:tc>
          <w:tcPr>
            <w:tcW w:w="666" w:type="pct"/>
            <w:vMerge/>
            <w:vAlign w:val="center"/>
          </w:tcPr>
          <w:p w:rsidR="009255C6" w:rsidRPr="00C52063" w:rsidRDefault="009255C6" w:rsidP="00C52063">
            <w:pPr>
              <w:pStyle w:val="NoSpacing"/>
              <w:snapToGrid w:val="0"/>
              <w:jc w:val="both"/>
              <w:rPr>
                <w:sz w:val="20"/>
                <w:szCs w:val="20"/>
              </w:rPr>
            </w:pPr>
          </w:p>
        </w:tc>
        <w:tc>
          <w:tcPr>
            <w:tcW w:w="1277" w:type="pct"/>
            <w:vMerge/>
            <w:vAlign w:val="center"/>
          </w:tcPr>
          <w:p w:rsidR="009255C6" w:rsidRPr="00C52063" w:rsidRDefault="009255C6" w:rsidP="00C52063">
            <w:pPr>
              <w:pStyle w:val="NoSpacing"/>
              <w:snapToGrid w:val="0"/>
              <w:jc w:val="both"/>
              <w:rPr>
                <w:sz w:val="20"/>
                <w:szCs w:val="20"/>
              </w:rPr>
            </w:pPr>
          </w:p>
        </w:tc>
      </w:tr>
      <w:tr w:rsidR="00CF1619" w:rsidRPr="00C52063" w:rsidTr="00CF1619">
        <w:trPr>
          <w:jc w:val="center"/>
        </w:trPr>
        <w:tc>
          <w:tcPr>
            <w:tcW w:w="582" w:type="pct"/>
            <w:vMerge/>
            <w:vAlign w:val="center"/>
          </w:tcPr>
          <w:p w:rsidR="009255C6" w:rsidRPr="00C52063" w:rsidRDefault="009255C6" w:rsidP="00C52063">
            <w:pPr>
              <w:pStyle w:val="NoSpacing"/>
              <w:snapToGrid w:val="0"/>
              <w:jc w:val="both"/>
              <w:rPr>
                <w:sz w:val="20"/>
                <w:szCs w:val="20"/>
              </w:rPr>
            </w:pP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RCA</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5 (14.7%)</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17 (25.8%)</w:t>
            </w:r>
          </w:p>
        </w:tc>
        <w:tc>
          <w:tcPr>
            <w:tcW w:w="666" w:type="pct"/>
            <w:vMerge/>
            <w:vAlign w:val="center"/>
          </w:tcPr>
          <w:p w:rsidR="009255C6" w:rsidRPr="00C52063" w:rsidRDefault="009255C6" w:rsidP="00C52063">
            <w:pPr>
              <w:pStyle w:val="NoSpacing"/>
              <w:snapToGrid w:val="0"/>
              <w:jc w:val="both"/>
              <w:rPr>
                <w:sz w:val="20"/>
                <w:szCs w:val="20"/>
              </w:rPr>
            </w:pPr>
          </w:p>
        </w:tc>
        <w:tc>
          <w:tcPr>
            <w:tcW w:w="1277" w:type="pct"/>
            <w:vMerge/>
            <w:vAlign w:val="center"/>
          </w:tcPr>
          <w:p w:rsidR="009255C6" w:rsidRPr="00C52063" w:rsidRDefault="009255C6" w:rsidP="00C52063">
            <w:pPr>
              <w:pStyle w:val="NoSpacing"/>
              <w:snapToGrid w:val="0"/>
              <w:jc w:val="both"/>
              <w:rPr>
                <w:sz w:val="20"/>
                <w:szCs w:val="20"/>
              </w:rPr>
            </w:pPr>
          </w:p>
        </w:tc>
      </w:tr>
      <w:tr w:rsidR="00C73DEC" w:rsidRPr="00C52063" w:rsidTr="00CF1619">
        <w:trPr>
          <w:jc w:val="center"/>
        </w:trPr>
        <w:tc>
          <w:tcPr>
            <w:tcW w:w="1176" w:type="pct"/>
            <w:gridSpan w:val="2"/>
            <w:vAlign w:val="center"/>
          </w:tcPr>
          <w:p w:rsidR="009255C6" w:rsidRPr="00C52063" w:rsidRDefault="009255C6" w:rsidP="00C52063">
            <w:pPr>
              <w:pStyle w:val="NoSpacing"/>
              <w:snapToGrid w:val="0"/>
              <w:jc w:val="both"/>
              <w:rPr>
                <w:sz w:val="20"/>
                <w:szCs w:val="20"/>
              </w:rPr>
            </w:pPr>
            <w:r w:rsidRPr="00C52063">
              <w:rPr>
                <w:sz w:val="20"/>
                <w:szCs w:val="20"/>
              </w:rPr>
              <w:t>PTCA</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31 (91.2 %)</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53 (80.3%)</w:t>
            </w:r>
          </w:p>
        </w:tc>
        <w:tc>
          <w:tcPr>
            <w:tcW w:w="666" w:type="pct"/>
            <w:vAlign w:val="center"/>
          </w:tcPr>
          <w:p w:rsidR="009255C6" w:rsidRPr="00C52063" w:rsidRDefault="009255C6" w:rsidP="00C52063">
            <w:pPr>
              <w:pStyle w:val="NoSpacing"/>
              <w:snapToGrid w:val="0"/>
              <w:jc w:val="both"/>
              <w:rPr>
                <w:sz w:val="20"/>
                <w:szCs w:val="20"/>
              </w:rPr>
            </w:pPr>
            <w:r w:rsidRPr="00C52063">
              <w:rPr>
                <w:sz w:val="20"/>
                <w:szCs w:val="20"/>
              </w:rPr>
              <w:t>2.53(0.6-9.6)</w:t>
            </w:r>
          </w:p>
        </w:tc>
        <w:tc>
          <w:tcPr>
            <w:tcW w:w="1277" w:type="pct"/>
            <w:vAlign w:val="center"/>
          </w:tcPr>
          <w:p w:rsidR="009255C6" w:rsidRPr="00C52063" w:rsidRDefault="009255C6" w:rsidP="00C52063">
            <w:pPr>
              <w:pStyle w:val="NoSpacing"/>
              <w:snapToGrid w:val="0"/>
              <w:jc w:val="both"/>
              <w:rPr>
                <w:sz w:val="20"/>
                <w:szCs w:val="20"/>
              </w:rPr>
            </w:pPr>
            <w:r w:rsidRPr="00C52063">
              <w:rPr>
                <w:sz w:val="20"/>
                <w:szCs w:val="20"/>
              </w:rPr>
              <w:t>0.16</w:t>
            </w:r>
          </w:p>
        </w:tc>
      </w:tr>
      <w:tr w:rsidR="00C73DEC" w:rsidRPr="00C52063" w:rsidTr="00CF1619">
        <w:trPr>
          <w:jc w:val="center"/>
        </w:trPr>
        <w:tc>
          <w:tcPr>
            <w:tcW w:w="1176" w:type="pct"/>
            <w:gridSpan w:val="2"/>
            <w:vAlign w:val="center"/>
          </w:tcPr>
          <w:p w:rsidR="009255C6" w:rsidRPr="00C52063" w:rsidRDefault="009255C6" w:rsidP="00C52063">
            <w:pPr>
              <w:pStyle w:val="NoSpacing"/>
              <w:snapToGrid w:val="0"/>
              <w:jc w:val="both"/>
              <w:rPr>
                <w:sz w:val="20"/>
                <w:szCs w:val="20"/>
              </w:rPr>
            </w:pPr>
            <w:r w:rsidRPr="00C52063">
              <w:rPr>
                <w:sz w:val="20"/>
                <w:szCs w:val="20"/>
              </w:rPr>
              <w:t>GP II</w:t>
            </w:r>
            <w:r w:rsidR="00C52063" w:rsidRPr="00C52063">
              <w:rPr>
                <w:sz w:val="20"/>
                <w:szCs w:val="20"/>
              </w:rPr>
              <w:t>b</w:t>
            </w:r>
            <w:r w:rsidR="00C52063">
              <w:rPr>
                <w:sz w:val="20"/>
                <w:szCs w:val="20"/>
              </w:rPr>
              <w:t xml:space="preserve"> </w:t>
            </w:r>
            <w:r w:rsidR="00C52063" w:rsidRPr="00C52063">
              <w:rPr>
                <w:sz w:val="20"/>
                <w:szCs w:val="20"/>
              </w:rPr>
              <w:t>I</w:t>
            </w:r>
            <w:r w:rsidRPr="00C52063">
              <w:rPr>
                <w:sz w:val="20"/>
                <w:szCs w:val="20"/>
              </w:rPr>
              <w:t>IIa</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24 (70.6%)</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47 (71.2%)</w:t>
            </w:r>
          </w:p>
        </w:tc>
        <w:tc>
          <w:tcPr>
            <w:tcW w:w="666" w:type="pct"/>
            <w:vAlign w:val="center"/>
          </w:tcPr>
          <w:p w:rsidR="009255C6" w:rsidRPr="00C52063" w:rsidRDefault="009255C6" w:rsidP="00C52063">
            <w:pPr>
              <w:pStyle w:val="NoSpacing"/>
              <w:snapToGrid w:val="0"/>
              <w:jc w:val="both"/>
              <w:rPr>
                <w:sz w:val="20"/>
                <w:szCs w:val="20"/>
              </w:rPr>
            </w:pPr>
            <w:r w:rsidRPr="00C52063">
              <w:rPr>
                <w:sz w:val="20"/>
                <w:szCs w:val="20"/>
              </w:rPr>
              <w:t>0.97(0.4-2.4)</w:t>
            </w:r>
          </w:p>
        </w:tc>
        <w:tc>
          <w:tcPr>
            <w:tcW w:w="1277" w:type="pct"/>
            <w:vAlign w:val="center"/>
          </w:tcPr>
          <w:p w:rsidR="009255C6" w:rsidRPr="00C52063" w:rsidRDefault="009255C6" w:rsidP="00C52063">
            <w:pPr>
              <w:pStyle w:val="NoSpacing"/>
              <w:snapToGrid w:val="0"/>
              <w:jc w:val="both"/>
              <w:rPr>
                <w:sz w:val="20"/>
                <w:szCs w:val="20"/>
              </w:rPr>
            </w:pPr>
            <w:r w:rsidRPr="00C52063">
              <w:rPr>
                <w:sz w:val="20"/>
                <w:szCs w:val="20"/>
              </w:rPr>
              <w:t>0.948</w:t>
            </w:r>
          </w:p>
        </w:tc>
      </w:tr>
      <w:tr w:rsidR="00CF1619" w:rsidRPr="00C52063" w:rsidTr="00CF1619">
        <w:trPr>
          <w:jc w:val="center"/>
        </w:trPr>
        <w:tc>
          <w:tcPr>
            <w:tcW w:w="582" w:type="pct"/>
            <w:vMerge w:val="restart"/>
            <w:vAlign w:val="center"/>
          </w:tcPr>
          <w:p w:rsidR="009255C6" w:rsidRPr="00C52063" w:rsidRDefault="009255C6" w:rsidP="00C52063">
            <w:pPr>
              <w:pStyle w:val="NoSpacing"/>
              <w:snapToGrid w:val="0"/>
              <w:jc w:val="both"/>
              <w:rPr>
                <w:sz w:val="20"/>
                <w:szCs w:val="20"/>
              </w:rPr>
            </w:pPr>
            <w:r w:rsidRPr="00C52063">
              <w:rPr>
                <w:sz w:val="20"/>
                <w:szCs w:val="20"/>
              </w:rPr>
              <w:t>Stent</w:t>
            </w: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No</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1 (2.9%)</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4 (6.1%)</w:t>
            </w:r>
          </w:p>
        </w:tc>
        <w:tc>
          <w:tcPr>
            <w:tcW w:w="666" w:type="pct"/>
            <w:vMerge w:val="restart"/>
            <w:vAlign w:val="center"/>
          </w:tcPr>
          <w:p w:rsidR="009255C6" w:rsidRPr="00C52063" w:rsidRDefault="009255C6" w:rsidP="00C52063">
            <w:pPr>
              <w:pStyle w:val="NoSpacing"/>
              <w:snapToGrid w:val="0"/>
              <w:jc w:val="both"/>
              <w:rPr>
                <w:sz w:val="20"/>
                <w:szCs w:val="20"/>
              </w:rPr>
            </w:pPr>
          </w:p>
        </w:tc>
        <w:tc>
          <w:tcPr>
            <w:tcW w:w="1277" w:type="pct"/>
            <w:vMerge w:val="restart"/>
            <w:vAlign w:val="center"/>
          </w:tcPr>
          <w:p w:rsidR="009255C6" w:rsidRPr="00C52063" w:rsidRDefault="009255C6" w:rsidP="00C52063">
            <w:pPr>
              <w:pStyle w:val="NoSpacing"/>
              <w:snapToGrid w:val="0"/>
              <w:jc w:val="both"/>
              <w:rPr>
                <w:sz w:val="20"/>
                <w:szCs w:val="20"/>
              </w:rPr>
            </w:pPr>
            <w:r w:rsidRPr="00C52063">
              <w:rPr>
                <w:sz w:val="20"/>
                <w:szCs w:val="20"/>
              </w:rPr>
              <w:t>0.767</w:t>
            </w:r>
          </w:p>
          <w:p w:rsidR="009255C6" w:rsidRPr="00C52063" w:rsidRDefault="009255C6" w:rsidP="00C52063">
            <w:pPr>
              <w:pStyle w:val="NoSpacing"/>
              <w:snapToGrid w:val="0"/>
              <w:jc w:val="both"/>
              <w:rPr>
                <w:sz w:val="20"/>
                <w:szCs w:val="20"/>
              </w:rPr>
            </w:pPr>
            <w:r w:rsidRPr="00C52063">
              <w:rPr>
                <w:sz w:val="20"/>
                <w:szCs w:val="20"/>
              </w:rPr>
              <w:t>Calculated by Monte Carlo</w:t>
            </w:r>
          </w:p>
        </w:tc>
      </w:tr>
      <w:tr w:rsidR="00CF1619" w:rsidRPr="00C52063" w:rsidTr="00CF1619">
        <w:trPr>
          <w:jc w:val="center"/>
        </w:trPr>
        <w:tc>
          <w:tcPr>
            <w:tcW w:w="582" w:type="pct"/>
            <w:vMerge/>
            <w:vAlign w:val="center"/>
          </w:tcPr>
          <w:p w:rsidR="009255C6" w:rsidRPr="00C52063" w:rsidRDefault="009255C6" w:rsidP="00C52063">
            <w:pPr>
              <w:pStyle w:val="NoSpacing"/>
              <w:snapToGrid w:val="0"/>
              <w:jc w:val="both"/>
              <w:rPr>
                <w:sz w:val="20"/>
                <w:szCs w:val="20"/>
              </w:rPr>
            </w:pP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BMS</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10 (29.4%)</w:t>
            </w:r>
          </w:p>
        </w:tc>
        <w:tc>
          <w:tcPr>
            <w:tcW w:w="995" w:type="pct"/>
            <w:vAlign w:val="center"/>
          </w:tcPr>
          <w:p w:rsidR="009255C6" w:rsidRPr="00C52063" w:rsidRDefault="009255C6" w:rsidP="00C52063">
            <w:pPr>
              <w:pStyle w:val="NoSpacing"/>
              <w:snapToGrid w:val="0"/>
              <w:jc w:val="both"/>
              <w:rPr>
                <w:sz w:val="20"/>
                <w:szCs w:val="20"/>
              </w:rPr>
            </w:pPr>
            <w:r w:rsidRPr="00C52063">
              <w:rPr>
                <w:sz w:val="20"/>
                <w:szCs w:val="20"/>
              </w:rPr>
              <w:t>21 (31.8%)</w:t>
            </w:r>
          </w:p>
        </w:tc>
        <w:tc>
          <w:tcPr>
            <w:tcW w:w="666" w:type="pct"/>
            <w:vMerge/>
            <w:vAlign w:val="center"/>
          </w:tcPr>
          <w:p w:rsidR="009255C6" w:rsidRPr="00C52063" w:rsidRDefault="009255C6" w:rsidP="00C52063">
            <w:pPr>
              <w:pStyle w:val="NoSpacing"/>
              <w:snapToGrid w:val="0"/>
              <w:jc w:val="both"/>
              <w:rPr>
                <w:sz w:val="20"/>
                <w:szCs w:val="20"/>
              </w:rPr>
            </w:pPr>
          </w:p>
        </w:tc>
        <w:tc>
          <w:tcPr>
            <w:tcW w:w="1277" w:type="pct"/>
            <w:vMerge/>
            <w:vAlign w:val="center"/>
          </w:tcPr>
          <w:p w:rsidR="009255C6" w:rsidRPr="00C52063" w:rsidRDefault="009255C6" w:rsidP="00C52063">
            <w:pPr>
              <w:pStyle w:val="NoSpacing"/>
              <w:snapToGrid w:val="0"/>
              <w:jc w:val="both"/>
              <w:rPr>
                <w:sz w:val="20"/>
                <w:szCs w:val="20"/>
              </w:rPr>
            </w:pPr>
          </w:p>
        </w:tc>
      </w:tr>
      <w:tr w:rsidR="00CF1619" w:rsidRPr="00C52063" w:rsidTr="00CF1619">
        <w:trPr>
          <w:jc w:val="center"/>
        </w:trPr>
        <w:tc>
          <w:tcPr>
            <w:tcW w:w="582" w:type="pct"/>
            <w:vMerge/>
            <w:vAlign w:val="center"/>
          </w:tcPr>
          <w:p w:rsidR="009255C6" w:rsidRPr="00C52063" w:rsidRDefault="009255C6" w:rsidP="00C52063">
            <w:pPr>
              <w:pStyle w:val="NoSpacing"/>
              <w:snapToGrid w:val="0"/>
              <w:jc w:val="both"/>
              <w:rPr>
                <w:sz w:val="20"/>
                <w:szCs w:val="20"/>
              </w:rPr>
            </w:pPr>
          </w:p>
        </w:tc>
        <w:tc>
          <w:tcPr>
            <w:tcW w:w="594" w:type="pct"/>
            <w:vAlign w:val="center"/>
          </w:tcPr>
          <w:p w:rsidR="009255C6" w:rsidRPr="00C52063" w:rsidRDefault="009255C6" w:rsidP="00C52063">
            <w:pPr>
              <w:pStyle w:val="NoSpacing"/>
              <w:snapToGrid w:val="0"/>
              <w:jc w:val="both"/>
              <w:rPr>
                <w:sz w:val="20"/>
                <w:szCs w:val="20"/>
              </w:rPr>
            </w:pPr>
            <w:r w:rsidRPr="00C52063">
              <w:rPr>
                <w:sz w:val="20"/>
                <w:szCs w:val="20"/>
              </w:rPr>
              <w:t>DES</w:t>
            </w:r>
          </w:p>
        </w:tc>
        <w:tc>
          <w:tcPr>
            <w:tcW w:w="887" w:type="pct"/>
            <w:vAlign w:val="center"/>
          </w:tcPr>
          <w:p w:rsidR="009255C6" w:rsidRPr="00C52063" w:rsidRDefault="009255C6" w:rsidP="00C52063">
            <w:pPr>
              <w:pStyle w:val="NoSpacing"/>
              <w:snapToGrid w:val="0"/>
              <w:jc w:val="both"/>
              <w:rPr>
                <w:sz w:val="20"/>
                <w:szCs w:val="20"/>
              </w:rPr>
            </w:pPr>
            <w:r w:rsidRPr="00C52063">
              <w:rPr>
                <w:sz w:val="20"/>
                <w:szCs w:val="20"/>
              </w:rPr>
              <w:t>23 (67.6%)</w:t>
            </w:r>
          </w:p>
        </w:tc>
        <w:tc>
          <w:tcPr>
            <w:tcW w:w="995" w:type="pct"/>
            <w:vAlign w:val="center"/>
          </w:tcPr>
          <w:p w:rsidR="009255C6" w:rsidRPr="00C52063" w:rsidRDefault="00C73DEC" w:rsidP="00C52063">
            <w:pPr>
              <w:pStyle w:val="NoSpacing"/>
              <w:snapToGrid w:val="0"/>
              <w:jc w:val="both"/>
              <w:rPr>
                <w:sz w:val="20"/>
                <w:szCs w:val="20"/>
              </w:rPr>
            </w:pPr>
            <w:r w:rsidRPr="00C52063">
              <w:rPr>
                <w:sz w:val="20"/>
                <w:szCs w:val="20"/>
              </w:rPr>
              <w:t>41 (</w:t>
            </w:r>
            <w:r w:rsidR="009255C6" w:rsidRPr="00C52063">
              <w:rPr>
                <w:sz w:val="20"/>
                <w:szCs w:val="20"/>
              </w:rPr>
              <w:t>62.1%)</w:t>
            </w:r>
          </w:p>
        </w:tc>
        <w:tc>
          <w:tcPr>
            <w:tcW w:w="666" w:type="pct"/>
            <w:vMerge/>
            <w:vAlign w:val="center"/>
          </w:tcPr>
          <w:p w:rsidR="009255C6" w:rsidRPr="00C52063" w:rsidRDefault="009255C6" w:rsidP="00C52063">
            <w:pPr>
              <w:pStyle w:val="NoSpacing"/>
              <w:snapToGrid w:val="0"/>
              <w:jc w:val="both"/>
              <w:rPr>
                <w:sz w:val="20"/>
                <w:szCs w:val="20"/>
              </w:rPr>
            </w:pPr>
          </w:p>
        </w:tc>
        <w:tc>
          <w:tcPr>
            <w:tcW w:w="1277" w:type="pct"/>
            <w:vMerge/>
            <w:vAlign w:val="center"/>
          </w:tcPr>
          <w:p w:rsidR="009255C6" w:rsidRPr="00C52063" w:rsidRDefault="009255C6" w:rsidP="00C52063">
            <w:pPr>
              <w:pStyle w:val="NoSpacing"/>
              <w:snapToGrid w:val="0"/>
              <w:jc w:val="both"/>
              <w:rPr>
                <w:sz w:val="20"/>
                <w:szCs w:val="20"/>
              </w:rPr>
            </w:pPr>
          </w:p>
        </w:tc>
      </w:tr>
    </w:tbl>
    <w:p w:rsidR="00F60A3E" w:rsidRPr="00C52063" w:rsidRDefault="00F60A3E" w:rsidP="00C52063">
      <w:pPr>
        <w:pStyle w:val="NoSpacing"/>
        <w:snapToGrid w:val="0"/>
        <w:ind w:firstLine="425"/>
        <w:jc w:val="both"/>
        <w:rPr>
          <w:color w:val="000000" w:themeColor="text1"/>
          <w:sz w:val="20"/>
          <w:szCs w:val="20"/>
        </w:rPr>
      </w:pPr>
    </w:p>
    <w:p w:rsidR="00C52063" w:rsidRDefault="00C52063" w:rsidP="00C52063">
      <w:pPr>
        <w:pStyle w:val="NoSpacing"/>
        <w:snapToGrid w:val="0"/>
        <w:jc w:val="both"/>
        <w:rPr>
          <w:b/>
          <w:bCs/>
          <w:color w:val="000000" w:themeColor="text1"/>
          <w:sz w:val="20"/>
          <w:szCs w:val="20"/>
        </w:rPr>
        <w:sectPr w:rsidR="00C52063" w:rsidSect="00CF1619">
          <w:type w:val="continuous"/>
          <w:pgSz w:w="12240" w:h="15840" w:code="1"/>
          <w:pgMar w:top="1440" w:right="1440" w:bottom="1440" w:left="1440" w:header="720" w:footer="720" w:gutter="0"/>
          <w:cols w:space="720"/>
          <w:docGrid w:linePitch="299"/>
        </w:sectPr>
      </w:pPr>
    </w:p>
    <w:p w:rsidR="004972F0" w:rsidRPr="00C52063" w:rsidRDefault="004972F0" w:rsidP="00C52063">
      <w:pPr>
        <w:pStyle w:val="NoSpacing"/>
        <w:snapToGrid w:val="0"/>
        <w:jc w:val="both"/>
        <w:rPr>
          <w:b/>
          <w:bCs/>
          <w:color w:val="000000" w:themeColor="text1"/>
          <w:sz w:val="20"/>
          <w:szCs w:val="20"/>
        </w:rPr>
      </w:pPr>
      <w:r w:rsidRPr="00C52063">
        <w:rPr>
          <w:b/>
          <w:bCs/>
          <w:color w:val="000000" w:themeColor="text1"/>
          <w:sz w:val="20"/>
          <w:szCs w:val="20"/>
        </w:rPr>
        <w:lastRenderedPageBreak/>
        <w:t>Regarding Ejection Fraction on admission:</w:t>
      </w:r>
    </w:p>
    <w:p w:rsidR="004972F0" w:rsidRPr="00C52063" w:rsidRDefault="004972F0" w:rsidP="00C52063">
      <w:pPr>
        <w:pStyle w:val="NoSpacing"/>
        <w:snapToGrid w:val="0"/>
        <w:ind w:firstLine="425"/>
        <w:jc w:val="both"/>
        <w:rPr>
          <w:bCs/>
          <w:color w:val="000000" w:themeColor="text1"/>
          <w:sz w:val="20"/>
          <w:szCs w:val="20"/>
        </w:rPr>
      </w:pPr>
      <w:r w:rsidRPr="00C52063">
        <w:rPr>
          <w:color w:val="000000" w:themeColor="text1"/>
          <w:sz w:val="20"/>
          <w:szCs w:val="20"/>
        </w:rPr>
        <w:t>In group I</w:t>
      </w:r>
      <w:r w:rsidR="00CF1619" w:rsidRPr="00C52063">
        <w:rPr>
          <w:color w:val="000000" w:themeColor="text1"/>
          <w:sz w:val="20"/>
          <w:szCs w:val="20"/>
        </w:rPr>
        <w:t>,</w:t>
      </w:r>
      <w:r w:rsidRPr="00C52063">
        <w:rPr>
          <w:color w:val="000000" w:themeColor="text1"/>
          <w:sz w:val="20"/>
          <w:szCs w:val="20"/>
        </w:rPr>
        <w:t xml:space="preserve"> The EF on admission ranged from (25 – 65) % with mean E.F 44.5 ± 10.6 %</w:t>
      </w:r>
      <w:r w:rsidR="00CF1619" w:rsidRPr="00C52063">
        <w:rPr>
          <w:color w:val="000000" w:themeColor="text1"/>
          <w:sz w:val="20"/>
          <w:szCs w:val="20"/>
        </w:rPr>
        <w:t xml:space="preserve"> </w:t>
      </w:r>
      <w:r w:rsidRPr="00C52063">
        <w:rPr>
          <w:color w:val="000000" w:themeColor="text1"/>
          <w:sz w:val="20"/>
          <w:szCs w:val="20"/>
        </w:rPr>
        <w:t>while it ranged from (23 – 65)%</w:t>
      </w:r>
      <w:r w:rsidR="00CF1619" w:rsidRPr="00C52063">
        <w:rPr>
          <w:color w:val="000000" w:themeColor="text1"/>
          <w:sz w:val="20"/>
          <w:szCs w:val="20"/>
        </w:rPr>
        <w:t xml:space="preserve"> </w:t>
      </w:r>
      <w:r w:rsidRPr="00C52063">
        <w:rPr>
          <w:color w:val="000000" w:themeColor="text1"/>
          <w:sz w:val="20"/>
          <w:szCs w:val="20"/>
        </w:rPr>
        <w:t xml:space="preserve">in group II with a mean EF of 48.09 </w:t>
      </w:r>
      <w:r w:rsidRPr="00C52063">
        <w:rPr>
          <w:color w:val="000000" w:themeColor="text1"/>
          <w:sz w:val="20"/>
          <w:szCs w:val="20"/>
        </w:rPr>
        <w:lastRenderedPageBreak/>
        <w:t>± 9.2 %, There was no statistically significant difference between the two groups (P value= 0.103).</w:t>
      </w:r>
    </w:p>
    <w:p w:rsidR="00C9623B" w:rsidRDefault="004972F0" w:rsidP="00C52063">
      <w:pPr>
        <w:pStyle w:val="NoSpacing"/>
        <w:snapToGrid w:val="0"/>
        <w:ind w:firstLine="425"/>
        <w:jc w:val="both"/>
        <w:rPr>
          <w:rFonts w:eastAsiaTheme="minorEastAsia"/>
          <w:color w:val="000000" w:themeColor="text1"/>
          <w:sz w:val="20"/>
          <w:szCs w:val="20"/>
          <w:lang w:eastAsia="zh-CN"/>
        </w:rPr>
      </w:pPr>
      <w:r w:rsidRPr="00C52063">
        <w:rPr>
          <w:color w:val="000000" w:themeColor="text1"/>
          <w:sz w:val="20"/>
          <w:szCs w:val="20"/>
        </w:rPr>
        <w:t>Comparison between the two studied groups according to Ejection Fraction on admission:</w:t>
      </w:r>
    </w:p>
    <w:p w:rsidR="00C52063" w:rsidRDefault="00C52063" w:rsidP="00C52063">
      <w:pPr>
        <w:pStyle w:val="NoSpacing"/>
        <w:snapToGrid w:val="0"/>
        <w:ind w:firstLine="425"/>
        <w:jc w:val="both"/>
        <w:rPr>
          <w:rFonts w:eastAsiaTheme="minorEastAsia"/>
          <w:color w:val="000000" w:themeColor="text1"/>
          <w:sz w:val="20"/>
          <w:szCs w:val="20"/>
          <w:lang w:eastAsia="zh-CN"/>
        </w:rPr>
        <w:sectPr w:rsidR="00C52063" w:rsidSect="00C52063">
          <w:type w:val="continuous"/>
          <w:pgSz w:w="12240" w:h="15840" w:code="1"/>
          <w:pgMar w:top="1440" w:right="1440" w:bottom="1440" w:left="1440" w:header="720" w:footer="720" w:gutter="0"/>
          <w:cols w:num="2" w:space="550"/>
          <w:docGrid w:linePitch="299"/>
        </w:sectPr>
      </w:pPr>
    </w:p>
    <w:p w:rsidR="00C52063" w:rsidRPr="00C52063" w:rsidRDefault="00C52063" w:rsidP="00C52063">
      <w:pPr>
        <w:pStyle w:val="NoSpacing"/>
        <w:snapToGrid w:val="0"/>
        <w:ind w:firstLine="425"/>
        <w:jc w:val="both"/>
        <w:rPr>
          <w:rFonts w:eastAsiaTheme="minorEastAsia"/>
          <w:color w:val="000000" w:themeColor="text1"/>
          <w:sz w:val="20"/>
          <w:szCs w:val="20"/>
          <w:lang w:eastAsia="zh-CN"/>
        </w:rPr>
      </w:pPr>
    </w:p>
    <w:tbl>
      <w:tblPr>
        <w:tblStyle w:val="TableGrid"/>
        <w:tblW w:w="5000" w:type="pct"/>
        <w:jc w:val="center"/>
        <w:tblCellMar>
          <w:left w:w="57" w:type="dxa"/>
          <w:right w:w="57" w:type="dxa"/>
        </w:tblCellMar>
        <w:tblLook w:val="04A0"/>
      </w:tblPr>
      <w:tblGrid>
        <w:gridCol w:w="1703"/>
        <w:gridCol w:w="1093"/>
        <w:gridCol w:w="527"/>
        <w:gridCol w:w="1093"/>
        <w:gridCol w:w="1423"/>
        <w:gridCol w:w="567"/>
        <w:gridCol w:w="919"/>
        <w:gridCol w:w="921"/>
        <w:gridCol w:w="1228"/>
      </w:tblGrid>
      <w:tr w:rsidR="00C9623B" w:rsidRPr="00C52063" w:rsidTr="00CF1619">
        <w:trPr>
          <w:jc w:val="center"/>
        </w:trPr>
        <w:tc>
          <w:tcPr>
            <w:tcW w:w="899" w:type="pct"/>
            <w:vMerge w:val="restart"/>
            <w:vAlign w:val="center"/>
          </w:tcPr>
          <w:p w:rsidR="00C9623B" w:rsidRPr="00C52063" w:rsidRDefault="00C9623B" w:rsidP="00C52063">
            <w:pPr>
              <w:pStyle w:val="NoSpacing"/>
              <w:snapToGrid w:val="0"/>
              <w:jc w:val="both"/>
              <w:rPr>
                <w:color w:val="000000" w:themeColor="text1"/>
                <w:sz w:val="20"/>
                <w:szCs w:val="20"/>
              </w:rPr>
            </w:pPr>
            <w:r w:rsidRPr="00C52063">
              <w:rPr>
                <w:color w:val="000000" w:themeColor="text1"/>
                <w:sz w:val="20"/>
                <w:szCs w:val="20"/>
              </w:rPr>
              <w:t>EF (n=100)</w:t>
            </w:r>
          </w:p>
        </w:tc>
        <w:tc>
          <w:tcPr>
            <w:tcW w:w="1432" w:type="pct"/>
            <w:gridSpan w:val="3"/>
            <w:tcBorders>
              <w:bottom w:val="single" w:sz="4" w:space="0" w:color="auto"/>
            </w:tcBorders>
            <w:vAlign w:val="center"/>
          </w:tcPr>
          <w:p w:rsidR="00C9623B" w:rsidRPr="00C52063" w:rsidRDefault="00C9623B" w:rsidP="00C52063">
            <w:pPr>
              <w:pStyle w:val="NoSpacing"/>
              <w:snapToGrid w:val="0"/>
              <w:jc w:val="both"/>
              <w:rPr>
                <w:color w:val="000000" w:themeColor="text1"/>
                <w:sz w:val="20"/>
                <w:szCs w:val="20"/>
              </w:rPr>
            </w:pPr>
            <w:r w:rsidRPr="00C52063">
              <w:rPr>
                <w:color w:val="000000" w:themeColor="text1"/>
                <w:sz w:val="20"/>
                <w:szCs w:val="20"/>
              </w:rPr>
              <w:t>No-reflow (N=34)</w:t>
            </w:r>
          </w:p>
          <w:p w:rsidR="00C9623B" w:rsidRPr="00C52063" w:rsidRDefault="00C9623B" w:rsidP="00C52063">
            <w:pPr>
              <w:pStyle w:val="NoSpacing"/>
              <w:snapToGrid w:val="0"/>
              <w:jc w:val="both"/>
              <w:rPr>
                <w:color w:val="000000" w:themeColor="text1"/>
                <w:sz w:val="20"/>
                <w:szCs w:val="20"/>
              </w:rPr>
            </w:pPr>
            <w:r w:rsidRPr="00C52063">
              <w:rPr>
                <w:color w:val="000000" w:themeColor="text1"/>
                <w:sz w:val="20"/>
                <w:szCs w:val="20"/>
              </w:rPr>
              <w:t>Mean ± SD (range)</w:t>
            </w:r>
          </w:p>
        </w:tc>
        <w:tc>
          <w:tcPr>
            <w:tcW w:w="1535" w:type="pct"/>
            <w:gridSpan w:val="3"/>
            <w:tcBorders>
              <w:bottom w:val="single" w:sz="4" w:space="0" w:color="auto"/>
            </w:tcBorders>
            <w:vAlign w:val="center"/>
          </w:tcPr>
          <w:p w:rsidR="00C9623B" w:rsidRPr="00C52063" w:rsidRDefault="00C9623B" w:rsidP="00C52063">
            <w:pPr>
              <w:pStyle w:val="NoSpacing"/>
              <w:snapToGrid w:val="0"/>
              <w:jc w:val="both"/>
              <w:rPr>
                <w:color w:val="000000" w:themeColor="text1"/>
                <w:sz w:val="20"/>
                <w:szCs w:val="20"/>
              </w:rPr>
            </w:pPr>
            <w:r w:rsidRPr="00C52063">
              <w:rPr>
                <w:color w:val="000000" w:themeColor="text1"/>
                <w:sz w:val="20"/>
                <w:szCs w:val="20"/>
              </w:rPr>
              <w:t>Normal flow (N=66)</w:t>
            </w:r>
          </w:p>
          <w:p w:rsidR="00C9623B" w:rsidRPr="00C52063" w:rsidRDefault="00C9623B" w:rsidP="00C52063">
            <w:pPr>
              <w:pStyle w:val="NoSpacing"/>
              <w:snapToGrid w:val="0"/>
              <w:jc w:val="both"/>
              <w:rPr>
                <w:color w:val="000000" w:themeColor="text1"/>
                <w:sz w:val="20"/>
                <w:szCs w:val="20"/>
              </w:rPr>
            </w:pPr>
            <w:r w:rsidRPr="00C52063">
              <w:rPr>
                <w:color w:val="000000" w:themeColor="text1"/>
                <w:sz w:val="20"/>
                <w:szCs w:val="20"/>
              </w:rPr>
              <w:t>Mean ± SD (range)</w:t>
            </w:r>
          </w:p>
        </w:tc>
        <w:tc>
          <w:tcPr>
            <w:tcW w:w="486" w:type="pct"/>
            <w:vAlign w:val="center"/>
          </w:tcPr>
          <w:p w:rsidR="00C9623B" w:rsidRPr="00C52063" w:rsidRDefault="00C9623B" w:rsidP="00C52063">
            <w:pPr>
              <w:pStyle w:val="NoSpacing"/>
              <w:snapToGrid w:val="0"/>
              <w:jc w:val="both"/>
              <w:rPr>
                <w:color w:val="000000" w:themeColor="text1"/>
                <w:sz w:val="20"/>
                <w:szCs w:val="20"/>
              </w:rPr>
            </w:pPr>
            <w:r w:rsidRPr="00C52063">
              <w:rPr>
                <w:color w:val="000000" w:themeColor="text1"/>
                <w:sz w:val="20"/>
                <w:szCs w:val="20"/>
              </w:rPr>
              <w:t>T test</w:t>
            </w:r>
          </w:p>
        </w:tc>
        <w:tc>
          <w:tcPr>
            <w:tcW w:w="648" w:type="pct"/>
            <w:vAlign w:val="center"/>
          </w:tcPr>
          <w:p w:rsidR="00C9623B" w:rsidRPr="00C52063" w:rsidRDefault="00C9623B" w:rsidP="00C52063">
            <w:pPr>
              <w:pStyle w:val="NoSpacing"/>
              <w:snapToGrid w:val="0"/>
              <w:jc w:val="both"/>
              <w:rPr>
                <w:color w:val="000000" w:themeColor="text1"/>
                <w:sz w:val="20"/>
                <w:szCs w:val="20"/>
              </w:rPr>
            </w:pPr>
            <w:r w:rsidRPr="00C52063">
              <w:rPr>
                <w:color w:val="000000" w:themeColor="text1"/>
                <w:sz w:val="20"/>
                <w:szCs w:val="20"/>
              </w:rPr>
              <w:t>P Value</w:t>
            </w:r>
          </w:p>
        </w:tc>
      </w:tr>
      <w:tr w:rsidR="00CF1619" w:rsidRPr="00C52063" w:rsidTr="00CF1619">
        <w:trPr>
          <w:jc w:val="center"/>
        </w:trPr>
        <w:tc>
          <w:tcPr>
            <w:tcW w:w="899" w:type="pct"/>
            <w:vMerge/>
            <w:tcBorders>
              <w:right w:val="single" w:sz="4" w:space="0" w:color="auto"/>
            </w:tcBorders>
            <w:vAlign w:val="center"/>
          </w:tcPr>
          <w:p w:rsidR="00C9623B" w:rsidRPr="00C52063" w:rsidRDefault="00C9623B" w:rsidP="00C52063">
            <w:pPr>
              <w:pStyle w:val="NoSpacing"/>
              <w:snapToGrid w:val="0"/>
              <w:jc w:val="both"/>
              <w:rPr>
                <w:color w:val="000000" w:themeColor="text1"/>
                <w:sz w:val="20"/>
                <w:szCs w:val="20"/>
              </w:rPr>
            </w:pPr>
          </w:p>
        </w:tc>
        <w:tc>
          <w:tcPr>
            <w:tcW w:w="577" w:type="pct"/>
            <w:tcBorders>
              <w:top w:val="single" w:sz="4" w:space="0" w:color="auto"/>
              <w:left w:val="single" w:sz="4" w:space="0" w:color="auto"/>
              <w:bottom w:val="single" w:sz="4" w:space="0" w:color="auto"/>
              <w:right w:val="nil"/>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44.5</w:t>
            </w:r>
          </w:p>
        </w:tc>
        <w:tc>
          <w:tcPr>
            <w:tcW w:w="278" w:type="pct"/>
            <w:tcBorders>
              <w:top w:val="single" w:sz="4" w:space="0" w:color="auto"/>
              <w:left w:val="nil"/>
              <w:bottom w:val="single" w:sz="4" w:space="0" w:color="auto"/>
              <w:right w:val="nil"/>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w:t>
            </w:r>
          </w:p>
        </w:tc>
        <w:tc>
          <w:tcPr>
            <w:tcW w:w="577" w:type="pct"/>
            <w:tcBorders>
              <w:top w:val="single" w:sz="4" w:space="0" w:color="auto"/>
              <w:left w:val="nil"/>
              <w:bottom w:val="single" w:sz="4" w:space="0" w:color="auto"/>
              <w:right w:val="single" w:sz="4" w:space="0" w:color="auto"/>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10.6</w:t>
            </w:r>
          </w:p>
        </w:tc>
        <w:tc>
          <w:tcPr>
            <w:tcW w:w="751" w:type="pct"/>
            <w:tcBorders>
              <w:top w:val="single" w:sz="4" w:space="0" w:color="auto"/>
              <w:left w:val="single" w:sz="4" w:space="0" w:color="auto"/>
              <w:bottom w:val="single" w:sz="4" w:space="0" w:color="auto"/>
              <w:right w:val="nil"/>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48.09</w:t>
            </w:r>
          </w:p>
        </w:tc>
        <w:tc>
          <w:tcPr>
            <w:tcW w:w="299" w:type="pct"/>
            <w:tcBorders>
              <w:top w:val="single" w:sz="4" w:space="0" w:color="auto"/>
              <w:left w:val="nil"/>
              <w:bottom w:val="single" w:sz="4" w:space="0" w:color="auto"/>
              <w:right w:val="nil"/>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w:t>
            </w:r>
          </w:p>
        </w:tc>
        <w:tc>
          <w:tcPr>
            <w:tcW w:w="485" w:type="pct"/>
            <w:tcBorders>
              <w:top w:val="single" w:sz="4" w:space="0" w:color="auto"/>
              <w:left w:val="nil"/>
              <w:bottom w:val="single" w:sz="4" w:space="0" w:color="auto"/>
              <w:right w:val="single" w:sz="4" w:space="0" w:color="auto"/>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9.2</w:t>
            </w:r>
          </w:p>
        </w:tc>
        <w:tc>
          <w:tcPr>
            <w:tcW w:w="486" w:type="pct"/>
            <w:vMerge w:val="restart"/>
            <w:tcBorders>
              <w:left w:val="single" w:sz="4" w:space="0" w:color="auto"/>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-1.65</w:t>
            </w:r>
          </w:p>
        </w:tc>
        <w:tc>
          <w:tcPr>
            <w:tcW w:w="648" w:type="pct"/>
            <w:vMerge w:val="restart"/>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0.103</w:t>
            </w:r>
          </w:p>
        </w:tc>
      </w:tr>
      <w:tr w:rsidR="00C9623B" w:rsidRPr="00C52063" w:rsidTr="00CF1619">
        <w:trPr>
          <w:jc w:val="center"/>
        </w:trPr>
        <w:tc>
          <w:tcPr>
            <w:tcW w:w="899" w:type="pct"/>
            <w:vMerge/>
            <w:vAlign w:val="center"/>
          </w:tcPr>
          <w:p w:rsidR="00C9623B" w:rsidRPr="00C52063" w:rsidRDefault="00C9623B" w:rsidP="00C52063">
            <w:pPr>
              <w:pStyle w:val="NoSpacing"/>
              <w:snapToGrid w:val="0"/>
              <w:jc w:val="both"/>
              <w:rPr>
                <w:color w:val="000000" w:themeColor="text1"/>
                <w:sz w:val="20"/>
                <w:szCs w:val="20"/>
              </w:rPr>
            </w:pPr>
          </w:p>
        </w:tc>
        <w:tc>
          <w:tcPr>
            <w:tcW w:w="1432" w:type="pct"/>
            <w:gridSpan w:val="3"/>
            <w:tcBorders>
              <w:top w:val="single" w:sz="4" w:space="0" w:color="auto"/>
            </w:tcBorders>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(25 – 65)</w:t>
            </w:r>
          </w:p>
        </w:tc>
        <w:tc>
          <w:tcPr>
            <w:tcW w:w="1535" w:type="pct"/>
            <w:gridSpan w:val="3"/>
            <w:vAlign w:val="center"/>
          </w:tcPr>
          <w:p w:rsidR="00C9623B" w:rsidRPr="00C52063" w:rsidRDefault="00C9623B" w:rsidP="00C52063">
            <w:pPr>
              <w:pStyle w:val="NoSpacing"/>
              <w:snapToGrid w:val="0"/>
              <w:jc w:val="both"/>
              <w:rPr>
                <w:bCs/>
                <w:color w:val="000000" w:themeColor="text1"/>
                <w:sz w:val="20"/>
                <w:szCs w:val="20"/>
              </w:rPr>
            </w:pPr>
            <w:r w:rsidRPr="00C52063">
              <w:rPr>
                <w:color w:val="000000" w:themeColor="text1"/>
                <w:sz w:val="20"/>
                <w:szCs w:val="20"/>
              </w:rPr>
              <w:t>(23 – 65)</w:t>
            </w:r>
          </w:p>
        </w:tc>
        <w:tc>
          <w:tcPr>
            <w:tcW w:w="486" w:type="pct"/>
            <w:vMerge/>
            <w:vAlign w:val="center"/>
          </w:tcPr>
          <w:p w:rsidR="00C9623B" w:rsidRPr="00C52063" w:rsidRDefault="00C9623B" w:rsidP="00C52063">
            <w:pPr>
              <w:pStyle w:val="NoSpacing"/>
              <w:snapToGrid w:val="0"/>
              <w:jc w:val="both"/>
              <w:rPr>
                <w:bCs/>
                <w:color w:val="000000" w:themeColor="text1"/>
                <w:sz w:val="20"/>
                <w:szCs w:val="20"/>
              </w:rPr>
            </w:pPr>
          </w:p>
        </w:tc>
        <w:tc>
          <w:tcPr>
            <w:tcW w:w="648" w:type="pct"/>
            <w:vMerge/>
            <w:vAlign w:val="center"/>
          </w:tcPr>
          <w:p w:rsidR="00C9623B" w:rsidRPr="00C52063" w:rsidRDefault="00C9623B" w:rsidP="00C52063">
            <w:pPr>
              <w:pStyle w:val="NoSpacing"/>
              <w:snapToGrid w:val="0"/>
              <w:jc w:val="both"/>
              <w:rPr>
                <w:bCs/>
                <w:color w:val="000000" w:themeColor="text1"/>
                <w:sz w:val="20"/>
                <w:szCs w:val="20"/>
              </w:rPr>
            </w:pPr>
          </w:p>
        </w:tc>
      </w:tr>
    </w:tbl>
    <w:p w:rsidR="00C52063" w:rsidRDefault="00C52063" w:rsidP="00C52063">
      <w:pPr>
        <w:pStyle w:val="NoSpacing"/>
        <w:snapToGrid w:val="0"/>
        <w:jc w:val="both"/>
        <w:rPr>
          <w:rFonts w:eastAsiaTheme="minorEastAsia"/>
          <w:b/>
          <w:bCs/>
          <w:color w:val="000000" w:themeColor="text1"/>
          <w:sz w:val="20"/>
          <w:szCs w:val="20"/>
          <w:lang w:eastAsia="zh-CN"/>
        </w:rPr>
      </w:pPr>
    </w:p>
    <w:p w:rsidR="00C52063" w:rsidRDefault="00C52063" w:rsidP="00C52063">
      <w:pPr>
        <w:pStyle w:val="NoSpacing"/>
        <w:snapToGrid w:val="0"/>
        <w:jc w:val="both"/>
        <w:rPr>
          <w:b/>
          <w:bCs/>
          <w:color w:val="000000" w:themeColor="text1"/>
          <w:sz w:val="20"/>
          <w:szCs w:val="20"/>
        </w:rPr>
        <w:sectPr w:rsidR="00C52063" w:rsidSect="00CF1619">
          <w:type w:val="continuous"/>
          <w:pgSz w:w="12240" w:h="15840" w:code="1"/>
          <w:pgMar w:top="1440" w:right="1440" w:bottom="1440" w:left="1440" w:header="720" w:footer="720" w:gutter="0"/>
          <w:cols w:space="720"/>
          <w:docGrid w:linePitch="299"/>
        </w:sectPr>
      </w:pPr>
    </w:p>
    <w:p w:rsidR="00E80EE8" w:rsidRPr="00C52063" w:rsidRDefault="00E80EE8" w:rsidP="00C52063">
      <w:pPr>
        <w:pStyle w:val="NoSpacing"/>
        <w:snapToGrid w:val="0"/>
        <w:jc w:val="both"/>
        <w:rPr>
          <w:b/>
          <w:bCs/>
          <w:color w:val="000000" w:themeColor="text1"/>
          <w:sz w:val="20"/>
          <w:szCs w:val="20"/>
        </w:rPr>
      </w:pPr>
      <w:r w:rsidRPr="00C52063">
        <w:rPr>
          <w:b/>
          <w:bCs/>
          <w:color w:val="000000" w:themeColor="text1"/>
          <w:sz w:val="20"/>
          <w:szCs w:val="20"/>
        </w:rPr>
        <w:lastRenderedPageBreak/>
        <w:t xml:space="preserve">Univariate and Multivariate analysis for predictors of </w:t>
      </w:r>
      <w:r w:rsidR="00F60A3E" w:rsidRPr="00C52063">
        <w:rPr>
          <w:b/>
          <w:bCs/>
          <w:color w:val="000000" w:themeColor="text1"/>
          <w:sz w:val="20"/>
          <w:szCs w:val="20"/>
        </w:rPr>
        <w:t>no reflow</w:t>
      </w:r>
      <w:r w:rsidRPr="00C52063">
        <w:rPr>
          <w:b/>
          <w:bCs/>
          <w:color w:val="000000" w:themeColor="text1"/>
          <w:sz w:val="20"/>
          <w:szCs w:val="20"/>
        </w:rPr>
        <w:t>:</w:t>
      </w:r>
    </w:p>
    <w:p w:rsidR="00E80EE8" w:rsidRPr="00C52063" w:rsidRDefault="00E80EE8" w:rsidP="00C52063">
      <w:pPr>
        <w:pStyle w:val="NoSpacing"/>
        <w:snapToGrid w:val="0"/>
        <w:ind w:firstLine="425"/>
        <w:jc w:val="both"/>
        <w:rPr>
          <w:bCs/>
          <w:sz w:val="20"/>
          <w:szCs w:val="20"/>
        </w:rPr>
      </w:pPr>
      <w:r w:rsidRPr="00C52063">
        <w:rPr>
          <w:bCs/>
          <w:sz w:val="20"/>
          <w:szCs w:val="20"/>
        </w:rPr>
        <w:t xml:space="preserve">Univariate and multivariate regression analysis were performed to investigate the possible predictors of </w:t>
      </w:r>
      <w:r w:rsidR="00F60A3E" w:rsidRPr="00C52063">
        <w:rPr>
          <w:bCs/>
          <w:sz w:val="20"/>
          <w:szCs w:val="20"/>
        </w:rPr>
        <w:t>no reflow</w:t>
      </w:r>
      <w:r w:rsidRPr="00C52063">
        <w:rPr>
          <w:bCs/>
          <w:sz w:val="20"/>
          <w:szCs w:val="20"/>
        </w:rPr>
        <w:t xml:space="preserve"> in the study population.</w:t>
      </w:r>
    </w:p>
    <w:p w:rsidR="00E80EE8" w:rsidRPr="00C52063" w:rsidRDefault="00E80EE8" w:rsidP="00C52063">
      <w:pPr>
        <w:pStyle w:val="NoSpacing"/>
        <w:snapToGrid w:val="0"/>
        <w:ind w:firstLine="425"/>
        <w:jc w:val="both"/>
        <w:rPr>
          <w:bCs/>
          <w:sz w:val="20"/>
          <w:szCs w:val="20"/>
        </w:rPr>
      </w:pPr>
      <w:r w:rsidRPr="00C52063">
        <w:rPr>
          <w:bCs/>
          <w:sz w:val="20"/>
          <w:szCs w:val="20"/>
        </w:rPr>
        <w:t>In univariate regression analysis, age, DM, HTN, history of cerebrovascular stroke or vascular events</w:t>
      </w:r>
      <w:r w:rsidR="00C52063" w:rsidRPr="00C52063">
        <w:rPr>
          <w:bCs/>
          <w:sz w:val="20"/>
          <w:szCs w:val="20"/>
        </w:rPr>
        <w:t>,</w:t>
      </w:r>
      <w:r w:rsidR="00C52063">
        <w:rPr>
          <w:bCs/>
          <w:sz w:val="20"/>
          <w:szCs w:val="20"/>
        </w:rPr>
        <w:t xml:space="preserve"> </w:t>
      </w:r>
      <w:r w:rsidR="00C52063" w:rsidRPr="00C52063">
        <w:rPr>
          <w:bCs/>
          <w:sz w:val="20"/>
          <w:szCs w:val="20"/>
        </w:rPr>
        <w:t>a</w:t>
      </w:r>
      <w:r w:rsidRPr="00C52063">
        <w:rPr>
          <w:bCs/>
          <w:sz w:val="20"/>
          <w:szCs w:val="20"/>
        </w:rPr>
        <w:t>nterior wall infarction</w:t>
      </w:r>
      <w:r w:rsidR="00CF1619" w:rsidRPr="00C52063">
        <w:rPr>
          <w:bCs/>
          <w:sz w:val="20"/>
          <w:szCs w:val="20"/>
        </w:rPr>
        <w:t>,</w:t>
      </w:r>
      <w:r w:rsidRPr="00C52063">
        <w:rPr>
          <w:bCs/>
          <w:sz w:val="20"/>
          <w:szCs w:val="20"/>
        </w:rPr>
        <w:t xml:space="preserve"> multivessel disease</w:t>
      </w:r>
      <w:r w:rsidR="00CF1619" w:rsidRPr="00C52063">
        <w:rPr>
          <w:bCs/>
          <w:sz w:val="20"/>
          <w:szCs w:val="20"/>
        </w:rPr>
        <w:t>,</w:t>
      </w:r>
      <w:r w:rsidRPr="00C52063">
        <w:rPr>
          <w:bCs/>
          <w:sz w:val="20"/>
          <w:szCs w:val="20"/>
        </w:rPr>
        <w:t xml:space="preserve"> CHA2DS2-VASc and CHA2DS2-VASc-HSF scores, TIMI Flow before Primary PCI were correlated with noreflow.</w:t>
      </w:r>
    </w:p>
    <w:p w:rsidR="00E80EE8" w:rsidRPr="00C52063" w:rsidRDefault="00E80EE8" w:rsidP="00C52063">
      <w:pPr>
        <w:pStyle w:val="NoSpacing"/>
        <w:snapToGrid w:val="0"/>
        <w:ind w:firstLine="425"/>
        <w:jc w:val="both"/>
        <w:rPr>
          <w:bCs/>
          <w:sz w:val="20"/>
          <w:szCs w:val="20"/>
        </w:rPr>
      </w:pPr>
      <w:r w:rsidRPr="00C52063">
        <w:rPr>
          <w:bCs/>
          <w:sz w:val="20"/>
          <w:szCs w:val="20"/>
        </w:rPr>
        <w:t xml:space="preserve">Variables with a significant P.value in univariate </w:t>
      </w:r>
      <w:r w:rsidRPr="00C52063">
        <w:rPr>
          <w:bCs/>
          <w:sz w:val="20"/>
          <w:szCs w:val="20"/>
        </w:rPr>
        <w:lastRenderedPageBreak/>
        <w:t>analysis were included into multivariate regression analysis. Risk factors involved in CHA2DS2-VASc score were excluded from this analysis to avoid multicollinearity.</w:t>
      </w:r>
    </w:p>
    <w:p w:rsidR="00E80EE8" w:rsidRPr="00C52063" w:rsidRDefault="00E80EE8" w:rsidP="00C52063">
      <w:pPr>
        <w:pStyle w:val="NoSpacing"/>
        <w:snapToGrid w:val="0"/>
        <w:ind w:firstLine="425"/>
        <w:jc w:val="both"/>
        <w:rPr>
          <w:bCs/>
          <w:sz w:val="20"/>
          <w:szCs w:val="20"/>
        </w:rPr>
      </w:pPr>
      <w:r w:rsidRPr="00C52063">
        <w:rPr>
          <w:bCs/>
          <w:sz w:val="20"/>
          <w:szCs w:val="20"/>
        </w:rPr>
        <w:t>According to the results of the multivariate regression analysis CHA2DS2-VASc-HSF score was an independent predictor (odds ratio [OR]: 1.618 -</w:t>
      </w:r>
      <w:r w:rsidR="00CF1619" w:rsidRPr="00C52063">
        <w:rPr>
          <w:bCs/>
          <w:sz w:val="20"/>
          <w:szCs w:val="20"/>
        </w:rPr>
        <w:t>,</w:t>
      </w:r>
      <w:r w:rsidRPr="00C52063">
        <w:rPr>
          <w:bCs/>
          <w:sz w:val="20"/>
          <w:szCs w:val="20"/>
        </w:rPr>
        <w:t xml:space="preserve"> 95% confidence interval [CI]: 1.186-1.979</w:t>
      </w:r>
      <w:r w:rsidR="00CF1619" w:rsidRPr="00C52063">
        <w:rPr>
          <w:bCs/>
          <w:sz w:val="20"/>
          <w:szCs w:val="20"/>
        </w:rPr>
        <w:t>,</w:t>
      </w:r>
      <w:r w:rsidRPr="00C52063">
        <w:rPr>
          <w:bCs/>
          <w:sz w:val="20"/>
          <w:szCs w:val="20"/>
        </w:rPr>
        <w:t xml:space="preserve"> P &lt;</w:t>
      </w:r>
      <w:r w:rsidR="00CF1619" w:rsidRPr="00C52063">
        <w:rPr>
          <w:bCs/>
          <w:sz w:val="20"/>
          <w:szCs w:val="20"/>
        </w:rPr>
        <w:t>.</w:t>
      </w:r>
      <w:r w:rsidRPr="00C52063">
        <w:rPr>
          <w:bCs/>
          <w:sz w:val="20"/>
          <w:szCs w:val="20"/>
        </w:rPr>
        <w:t>002) of no-reflow.</w:t>
      </w:r>
    </w:p>
    <w:p w:rsidR="00DE604F" w:rsidRPr="00C52063" w:rsidRDefault="00E80EE8" w:rsidP="00C52063">
      <w:pPr>
        <w:pStyle w:val="NoSpacing"/>
        <w:snapToGrid w:val="0"/>
        <w:ind w:firstLine="425"/>
        <w:jc w:val="both"/>
        <w:rPr>
          <w:bCs/>
          <w:color w:val="000000" w:themeColor="text1"/>
          <w:sz w:val="20"/>
          <w:szCs w:val="20"/>
        </w:rPr>
      </w:pPr>
      <w:r w:rsidRPr="00C52063">
        <w:rPr>
          <w:color w:val="000000" w:themeColor="text1"/>
          <w:sz w:val="20"/>
          <w:szCs w:val="20"/>
        </w:rPr>
        <w:t>Multivariate Regression Analysis of Predictors of No-Reflow in Study Population:</w:t>
      </w:r>
    </w:p>
    <w:p w:rsidR="00C52063" w:rsidRDefault="00C52063" w:rsidP="00C52063">
      <w:pPr>
        <w:pStyle w:val="NoSpacing"/>
        <w:snapToGrid w:val="0"/>
        <w:ind w:firstLine="425"/>
        <w:jc w:val="both"/>
        <w:rPr>
          <w:sz w:val="20"/>
          <w:szCs w:val="20"/>
        </w:rPr>
        <w:sectPr w:rsidR="00C52063" w:rsidSect="00C52063">
          <w:type w:val="continuous"/>
          <w:pgSz w:w="12240" w:h="15840" w:code="1"/>
          <w:pgMar w:top="1440" w:right="1440" w:bottom="1440" w:left="1440" w:header="720" w:footer="720" w:gutter="0"/>
          <w:cols w:num="2" w:space="550"/>
          <w:docGrid w:linePitch="299"/>
        </w:sectPr>
      </w:pPr>
    </w:p>
    <w:p w:rsidR="00DE604F" w:rsidRPr="00C52063" w:rsidRDefault="00DE604F" w:rsidP="00C52063">
      <w:pPr>
        <w:pStyle w:val="NoSpacing"/>
        <w:snapToGrid w:val="0"/>
        <w:ind w:firstLine="425"/>
        <w:jc w:val="both"/>
        <w:rPr>
          <w:sz w:val="20"/>
          <w:szCs w:val="20"/>
        </w:rPr>
      </w:pPr>
    </w:p>
    <w:tbl>
      <w:tblPr>
        <w:tblStyle w:val="TableGrid"/>
        <w:tblW w:w="5000" w:type="pct"/>
        <w:jc w:val="center"/>
        <w:tblCellMar>
          <w:left w:w="57" w:type="dxa"/>
          <w:right w:w="57" w:type="dxa"/>
        </w:tblCellMar>
        <w:tblLook w:val="01E0"/>
      </w:tblPr>
      <w:tblGrid>
        <w:gridCol w:w="2884"/>
        <w:gridCol w:w="1063"/>
        <w:gridCol w:w="1258"/>
        <w:gridCol w:w="820"/>
        <w:gridCol w:w="675"/>
        <w:gridCol w:w="820"/>
        <w:gridCol w:w="995"/>
        <w:gridCol w:w="959"/>
      </w:tblGrid>
      <w:tr w:rsidR="00CF1619" w:rsidRPr="00C52063" w:rsidTr="00CF1619">
        <w:trPr>
          <w:jc w:val="center"/>
        </w:trPr>
        <w:tc>
          <w:tcPr>
            <w:tcW w:w="1522" w:type="pct"/>
            <w:vMerge w:val="restart"/>
            <w:vAlign w:val="center"/>
          </w:tcPr>
          <w:p w:rsidR="009C7C0F" w:rsidRPr="00C52063" w:rsidRDefault="009C7C0F" w:rsidP="00C52063">
            <w:pPr>
              <w:pStyle w:val="NoSpacing"/>
              <w:snapToGrid w:val="0"/>
              <w:jc w:val="both"/>
              <w:rPr>
                <w:sz w:val="20"/>
                <w:szCs w:val="18"/>
              </w:rPr>
            </w:pPr>
          </w:p>
        </w:tc>
        <w:tc>
          <w:tcPr>
            <w:tcW w:w="561" w:type="pct"/>
            <w:vMerge w:val="restart"/>
            <w:vAlign w:val="center"/>
          </w:tcPr>
          <w:p w:rsidR="009C7C0F" w:rsidRPr="00C52063" w:rsidRDefault="009C7C0F" w:rsidP="00C52063">
            <w:pPr>
              <w:pStyle w:val="NoSpacing"/>
              <w:snapToGrid w:val="0"/>
              <w:jc w:val="both"/>
              <w:rPr>
                <w:sz w:val="20"/>
                <w:szCs w:val="18"/>
              </w:rPr>
            </w:pPr>
            <w:r w:rsidRPr="00C52063">
              <w:rPr>
                <w:sz w:val="20"/>
                <w:szCs w:val="18"/>
              </w:rPr>
              <w:t>B</w:t>
            </w:r>
          </w:p>
        </w:tc>
        <w:tc>
          <w:tcPr>
            <w:tcW w:w="664" w:type="pct"/>
            <w:vMerge w:val="restart"/>
            <w:vAlign w:val="center"/>
          </w:tcPr>
          <w:p w:rsidR="009C7C0F" w:rsidRPr="00C52063" w:rsidRDefault="009C7C0F" w:rsidP="00C52063">
            <w:pPr>
              <w:pStyle w:val="NoSpacing"/>
              <w:snapToGrid w:val="0"/>
              <w:jc w:val="both"/>
              <w:rPr>
                <w:sz w:val="20"/>
                <w:szCs w:val="18"/>
              </w:rPr>
            </w:pPr>
            <w:r w:rsidRPr="00C52063">
              <w:rPr>
                <w:sz w:val="20"/>
                <w:szCs w:val="18"/>
              </w:rPr>
              <w:t>S.E.</w:t>
            </w:r>
          </w:p>
        </w:tc>
        <w:tc>
          <w:tcPr>
            <w:tcW w:w="433" w:type="pct"/>
            <w:vMerge w:val="restart"/>
            <w:vAlign w:val="center"/>
          </w:tcPr>
          <w:p w:rsidR="009C7C0F" w:rsidRPr="00C52063" w:rsidRDefault="009C7C0F" w:rsidP="00C52063">
            <w:pPr>
              <w:pStyle w:val="NoSpacing"/>
              <w:snapToGrid w:val="0"/>
              <w:jc w:val="both"/>
              <w:rPr>
                <w:sz w:val="20"/>
                <w:szCs w:val="18"/>
              </w:rPr>
            </w:pPr>
            <w:r w:rsidRPr="00C52063">
              <w:rPr>
                <w:sz w:val="20"/>
                <w:szCs w:val="18"/>
              </w:rPr>
              <w:t>Wald</w:t>
            </w:r>
          </w:p>
        </w:tc>
        <w:tc>
          <w:tcPr>
            <w:tcW w:w="356" w:type="pct"/>
            <w:vMerge w:val="restart"/>
            <w:vAlign w:val="center"/>
          </w:tcPr>
          <w:p w:rsidR="009C7C0F" w:rsidRPr="00C52063" w:rsidRDefault="009C7C0F" w:rsidP="00C52063">
            <w:pPr>
              <w:pStyle w:val="NoSpacing"/>
              <w:snapToGrid w:val="0"/>
              <w:jc w:val="both"/>
              <w:rPr>
                <w:sz w:val="20"/>
                <w:szCs w:val="18"/>
              </w:rPr>
            </w:pPr>
            <w:r w:rsidRPr="00C52063">
              <w:rPr>
                <w:sz w:val="20"/>
                <w:szCs w:val="18"/>
              </w:rPr>
              <w:t>Sig.</w:t>
            </w:r>
          </w:p>
        </w:tc>
        <w:tc>
          <w:tcPr>
            <w:tcW w:w="433" w:type="pct"/>
            <w:vMerge w:val="restart"/>
            <w:vAlign w:val="center"/>
          </w:tcPr>
          <w:p w:rsidR="009C7C0F" w:rsidRPr="00C52063" w:rsidRDefault="009C7C0F" w:rsidP="00C52063">
            <w:pPr>
              <w:pStyle w:val="NoSpacing"/>
              <w:snapToGrid w:val="0"/>
              <w:jc w:val="both"/>
              <w:rPr>
                <w:sz w:val="20"/>
                <w:szCs w:val="18"/>
              </w:rPr>
            </w:pPr>
            <w:r w:rsidRPr="00C52063">
              <w:rPr>
                <w:sz w:val="20"/>
                <w:szCs w:val="18"/>
              </w:rPr>
              <w:t>OR</w:t>
            </w:r>
          </w:p>
        </w:tc>
        <w:tc>
          <w:tcPr>
            <w:tcW w:w="1031" w:type="pct"/>
            <w:gridSpan w:val="2"/>
            <w:vAlign w:val="center"/>
          </w:tcPr>
          <w:p w:rsidR="009C7C0F" w:rsidRPr="00C52063" w:rsidRDefault="009C7C0F" w:rsidP="00C52063">
            <w:pPr>
              <w:pStyle w:val="NoSpacing"/>
              <w:snapToGrid w:val="0"/>
              <w:jc w:val="both"/>
              <w:rPr>
                <w:sz w:val="20"/>
                <w:szCs w:val="18"/>
              </w:rPr>
            </w:pPr>
            <w:r w:rsidRPr="00C52063">
              <w:rPr>
                <w:sz w:val="20"/>
                <w:szCs w:val="18"/>
              </w:rPr>
              <w:t>95% C.I.fo</w:t>
            </w:r>
            <w:r w:rsidR="00C52063" w:rsidRPr="00C52063">
              <w:rPr>
                <w:sz w:val="20"/>
                <w:szCs w:val="18"/>
              </w:rPr>
              <w:t>r</w:t>
            </w:r>
            <w:r w:rsidR="00C52063">
              <w:rPr>
                <w:sz w:val="20"/>
                <w:szCs w:val="18"/>
              </w:rPr>
              <w:t xml:space="preserve"> </w:t>
            </w:r>
            <w:r w:rsidR="00C52063" w:rsidRPr="00C52063">
              <w:rPr>
                <w:sz w:val="20"/>
                <w:szCs w:val="18"/>
              </w:rPr>
              <w:t>O</w:t>
            </w:r>
            <w:r w:rsidRPr="00C52063">
              <w:rPr>
                <w:sz w:val="20"/>
                <w:szCs w:val="18"/>
              </w:rPr>
              <w:t>R</w:t>
            </w:r>
          </w:p>
        </w:tc>
      </w:tr>
      <w:tr w:rsidR="00CF1619" w:rsidRPr="00C52063" w:rsidTr="00CF1619">
        <w:trPr>
          <w:jc w:val="center"/>
        </w:trPr>
        <w:tc>
          <w:tcPr>
            <w:tcW w:w="1522" w:type="pct"/>
            <w:vMerge/>
            <w:vAlign w:val="center"/>
          </w:tcPr>
          <w:p w:rsidR="009C7C0F" w:rsidRPr="00C52063" w:rsidRDefault="009C7C0F" w:rsidP="00C52063">
            <w:pPr>
              <w:pStyle w:val="NoSpacing"/>
              <w:snapToGrid w:val="0"/>
              <w:jc w:val="both"/>
              <w:rPr>
                <w:sz w:val="20"/>
                <w:szCs w:val="18"/>
              </w:rPr>
            </w:pPr>
          </w:p>
        </w:tc>
        <w:tc>
          <w:tcPr>
            <w:tcW w:w="561" w:type="pct"/>
            <w:vMerge/>
            <w:vAlign w:val="center"/>
          </w:tcPr>
          <w:p w:rsidR="009C7C0F" w:rsidRPr="00C52063" w:rsidRDefault="009C7C0F" w:rsidP="00C52063">
            <w:pPr>
              <w:pStyle w:val="NoSpacing"/>
              <w:snapToGrid w:val="0"/>
              <w:jc w:val="both"/>
              <w:rPr>
                <w:sz w:val="20"/>
                <w:szCs w:val="18"/>
              </w:rPr>
            </w:pPr>
          </w:p>
        </w:tc>
        <w:tc>
          <w:tcPr>
            <w:tcW w:w="664" w:type="pct"/>
            <w:vMerge/>
            <w:vAlign w:val="center"/>
          </w:tcPr>
          <w:p w:rsidR="009C7C0F" w:rsidRPr="00C52063" w:rsidRDefault="009C7C0F" w:rsidP="00C52063">
            <w:pPr>
              <w:pStyle w:val="NoSpacing"/>
              <w:snapToGrid w:val="0"/>
              <w:jc w:val="both"/>
              <w:rPr>
                <w:sz w:val="20"/>
                <w:szCs w:val="18"/>
              </w:rPr>
            </w:pPr>
          </w:p>
        </w:tc>
        <w:tc>
          <w:tcPr>
            <w:tcW w:w="433" w:type="pct"/>
            <w:vMerge/>
            <w:vAlign w:val="center"/>
          </w:tcPr>
          <w:p w:rsidR="009C7C0F" w:rsidRPr="00C52063" w:rsidRDefault="009C7C0F" w:rsidP="00C52063">
            <w:pPr>
              <w:pStyle w:val="NoSpacing"/>
              <w:snapToGrid w:val="0"/>
              <w:jc w:val="both"/>
              <w:rPr>
                <w:sz w:val="20"/>
                <w:szCs w:val="18"/>
              </w:rPr>
            </w:pPr>
          </w:p>
        </w:tc>
        <w:tc>
          <w:tcPr>
            <w:tcW w:w="356" w:type="pct"/>
            <w:vMerge/>
            <w:vAlign w:val="center"/>
          </w:tcPr>
          <w:p w:rsidR="009C7C0F" w:rsidRPr="00C52063" w:rsidRDefault="009C7C0F" w:rsidP="00C52063">
            <w:pPr>
              <w:pStyle w:val="NoSpacing"/>
              <w:snapToGrid w:val="0"/>
              <w:jc w:val="both"/>
              <w:rPr>
                <w:sz w:val="20"/>
                <w:szCs w:val="18"/>
              </w:rPr>
            </w:pPr>
          </w:p>
        </w:tc>
        <w:tc>
          <w:tcPr>
            <w:tcW w:w="433" w:type="pct"/>
            <w:vMerge/>
            <w:vAlign w:val="center"/>
          </w:tcPr>
          <w:p w:rsidR="009C7C0F" w:rsidRPr="00C52063" w:rsidRDefault="009C7C0F" w:rsidP="00C52063">
            <w:pPr>
              <w:pStyle w:val="NoSpacing"/>
              <w:snapToGrid w:val="0"/>
              <w:jc w:val="both"/>
              <w:rPr>
                <w:sz w:val="20"/>
                <w:szCs w:val="18"/>
              </w:rPr>
            </w:pPr>
          </w:p>
        </w:tc>
        <w:tc>
          <w:tcPr>
            <w:tcW w:w="525" w:type="pct"/>
            <w:vAlign w:val="center"/>
          </w:tcPr>
          <w:p w:rsidR="009C7C0F" w:rsidRPr="00C52063" w:rsidRDefault="009C7C0F" w:rsidP="00C52063">
            <w:pPr>
              <w:pStyle w:val="NoSpacing"/>
              <w:snapToGrid w:val="0"/>
              <w:jc w:val="both"/>
              <w:rPr>
                <w:sz w:val="20"/>
                <w:szCs w:val="18"/>
              </w:rPr>
            </w:pPr>
            <w:r w:rsidRPr="00C52063">
              <w:rPr>
                <w:sz w:val="20"/>
                <w:szCs w:val="18"/>
              </w:rPr>
              <w:t>Lower</w:t>
            </w:r>
          </w:p>
        </w:tc>
        <w:tc>
          <w:tcPr>
            <w:tcW w:w="506" w:type="pct"/>
            <w:vAlign w:val="center"/>
          </w:tcPr>
          <w:p w:rsidR="009C7C0F" w:rsidRPr="00C52063" w:rsidRDefault="009C7C0F" w:rsidP="00C52063">
            <w:pPr>
              <w:pStyle w:val="NoSpacing"/>
              <w:snapToGrid w:val="0"/>
              <w:jc w:val="both"/>
              <w:rPr>
                <w:sz w:val="20"/>
                <w:szCs w:val="18"/>
              </w:rPr>
            </w:pPr>
            <w:r w:rsidRPr="00C52063">
              <w:rPr>
                <w:sz w:val="20"/>
                <w:szCs w:val="18"/>
              </w:rPr>
              <w:t>Upper</w:t>
            </w:r>
          </w:p>
        </w:tc>
      </w:tr>
      <w:tr w:rsidR="00CF1619" w:rsidRPr="00C52063" w:rsidTr="00CF1619">
        <w:trPr>
          <w:jc w:val="center"/>
        </w:trPr>
        <w:tc>
          <w:tcPr>
            <w:tcW w:w="1522" w:type="pct"/>
            <w:vAlign w:val="center"/>
          </w:tcPr>
          <w:p w:rsidR="009C7C0F" w:rsidRPr="00C52063" w:rsidRDefault="009C7C0F" w:rsidP="00C52063">
            <w:pPr>
              <w:pStyle w:val="NoSpacing"/>
              <w:snapToGrid w:val="0"/>
              <w:jc w:val="both"/>
              <w:rPr>
                <w:sz w:val="20"/>
                <w:szCs w:val="18"/>
              </w:rPr>
            </w:pPr>
            <w:r w:rsidRPr="00C52063">
              <w:rPr>
                <w:sz w:val="20"/>
                <w:szCs w:val="18"/>
              </w:rPr>
              <w:t>CHA2DS2-VASc-HSF</w:t>
            </w:r>
          </w:p>
        </w:tc>
        <w:tc>
          <w:tcPr>
            <w:tcW w:w="561" w:type="pct"/>
            <w:vAlign w:val="center"/>
          </w:tcPr>
          <w:p w:rsidR="009C7C0F" w:rsidRPr="00C52063" w:rsidRDefault="009C7C0F" w:rsidP="00C52063">
            <w:pPr>
              <w:pStyle w:val="NoSpacing"/>
              <w:snapToGrid w:val="0"/>
              <w:jc w:val="both"/>
              <w:rPr>
                <w:bCs/>
                <w:sz w:val="20"/>
                <w:szCs w:val="18"/>
              </w:rPr>
            </w:pPr>
            <w:r w:rsidRPr="00C52063">
              <w:rPr>
                <w:bCs/>
                <w:sz w:val="20"/>
                <w:szCs w:val="18"/>
              </w:rPr>
              <w:t>.417</w:t>
            </w:r>
          </w:p>
        </w:tc>
        <w:tc>
          <w:tcPr>
            <w:tcW w:w="664" w:type="pct"/>
            <w:vAlign w:val="center"/>
          </w:tcPr>
          <w:p w:rsidR="009C7C0F" w:rsidRPr="00C52063" w:rsidRDefault="009C7C0F" w:rsidP="00C52063">
            <w:pPr>
              <w:pStyle w:val="NoSpacing"/>
              <w:snapToGrid w:val="0"/>
              <w:jc w:val="both"/>
              <w:rPr>
                <w:bCs/>
                <w:sz w:val="20"/>
                <w:szCs w:val="18"/>
              </w:rPr>
            </w:pPr>
            <w:r w:rsidRPr="00C52063">
              <w:rPr>
                <w:bCs/>
                <w:sz w:val="20"/>
                <w:szCs w:val="18"/>
              </w:rPr>
              <w:t>.135</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9.530</w:t>
            </w:r>
          </w:p>
        </w:tc>
        <w:tc>
          <w:tcPr>
            <w:tcW w:w="356" w:type="pct"/>
            <w:vAlign w:val="center"/>
          </w:tcPr>
          <w:p w:rsidR="009C7C0F" w:rsidRPr="00C52063" w:rsidRDefault="009C7C0F" w:rsidP="00C52063">
            <w:pPr>
              <w:pStyle w:val="NoSpacing"/>
              <w:snapToGrid w:val="0"/>
              <w:jc w:val="both"/>
              <w:rPr>
                <w:bCs/>
                <w:sz w:val="20"/>
                <w:szCs w:val="18"/>
              </w:rPr>
            </w:pPr>
            <w:r w:rsidRPr="00C52063">
              <w:rPr>
                <w:bCs/>
                <w:sz w:val="20"/>
                <w:szCs w:val="18"/>
              </w:rPr>
              <w:t>.002</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1.518</w:t>
            </w:r>
          </w:p>
        </w:tc>
        <w:tc>
          <w:tcPr>
            <w:tcW w:w="525" w:type="pct"/>
            <w:vAlign w:val="center"/>
          </w:tcPr>
          <w:p w:rsidR="009C7C0F" w:rsidRPr="00C52063" w:rsidRDefault="009C7C0F" w:rsidP="00C52063">
            <w:pPr>
              <w:pStyle w:val="NoSpacing"/>
              <w:snapToGrid w:val="0"/>
              <w:jc w:val="both"/>
              <w:rPr>
                <w:bCs/>
                <w:sz w:val="20"/>
                <w:szCs w:val="18"/>
              </w:rPr>
            </w:pPr>
            <w:r w:rsidRPr="00C52063">
              <w:rPr>
                <w:bCs/>
                <w:sz w:val="20"/>
                <w:szCs w:val="18"/>
              </w:rPr>
              <w:t>1.165</w:t>
            </w:r>
          </w:p>
        </w:tc>
        <w:tc>
          <w:tcPr>
            <w:tcW w:w="506" w:type="pct"/>
            <w:vAlign w:val="center"/>
          </w:tcPr>
          <w:p w:rsidR="009C7C0F" w:rsidRPr="00C52063" w:rsidRDefault="009C7C0F" w:rsidP="00C52063">
            <w:pPr>
              <w:pStyle w:val="NoSpacing"/>
              <w:snapToGrid w:val="0"/>
              <w:jc w:val="both"/>
              <w:rPr>
                <w:bCs/>
                <w:sz w:val="20"/>
                <w:szCs w:val="18"/>
              </w:rPr>
            </w:pPr>
            <w:r w:rsidRPr="00C52063">
              <w:rPr>
                <w:bCs/>
                <w:sz w:val="20"/>
                <w:szCs w:val="18"/>
              </w:rPr>
              <w:t>1.979</w:t>
            </w:r>
          </w:p>
        </w:tc>
      </w:tr>
      <w:tr w:rsidR="00CF1619" w:rsidRPr="00C52063" w:rsidTr="00CF1619">
        <w:trPr>
          <w:jc w:val="center"/>
        </w:trPr>
        <w:tc>
          <w:tcPr>
            <w:tcW w:w="1522" w:type="pct"/>
            <w:vAlign w:val="center"/>
          </w:tcPr>
          <w:p w:rsidR="009C7C0F" w:rsidRPr="00C52063" w:rsidRDefault="009C7C0F" w:rsidP="00C52063">
            <w:pPr>
              <w:pStyle w:val="NoSpacing"/>
              <w:snapToGrid w:val="0"/>
              <w:jc w:val="both"/>
              <w:rPr>
                <w:sz w:val="20"/>
                <w:szCs w:val="18"/>
              </w:rPr>
            </w:pPr>
            <w:r w:rsidRPr="00C52063">
              <w:rPr>
                <w:sz w:val="20"/>
                <w:szCs w:val="18"/>
              </w:rPr>
              <w:t>Location of infarction</w:t>
            </w:r>
          </w:p>
        </w:tc>
        <w:tc>
          <w:tcPr>
            <w:tcW w:w="561" w:type="pct"/>
            <w:vAlign w:val="center"/>
          </w:tcPr>
          <w:p w:rsidR="009C7C0F" w:rsidRPr="00C52063" w:rsidRDefault="009C7C0F" w:rsidP="00C52063">
            <w:pPr>
              <w:pStyle w:val="NoSpacing"/>
              <w:snapToGrid w:val="0"/>
              <w:jc w:val="both"/>
              <w:rPr>
                <w:bCs/>
                <w:sz w:val="20"/>
                <w:szCs w:val="18"/>
              </w:rPr>
            </w:pPr>
            <w:r w:rsidRPr="00C52063">
              <w:rPr>
                <w:bCs/>
                <w:sz w:val="20"/>
                <w:szCs w:val="18"/>
              </w:rPr>
              <w:t>.135</w:t>
            </w:r>
          </w:p>
        </w:tc>
        <w:tc>
          <w:tcPr>
            <w:tcW w:w="664" w:type="pct"/>
            <w:vAlign w:val="center"/>
          </w:tcPr>
          <w:p w:rsidR="009C7C0F" w:rsidRPr="00C52063" w:rsidRDefault="009C7C0F" w:rsidP="00C52063">
            <w:pPr>
              <w:pStyle w:val="NoSpacing"/>
              <w:snapToGrid w:val="0"/>
              <w:jc w:val="both"/>
              <w:rPr>
                <w:bCs/>
                <w:sz w:val="20"/>
                <w:szCs w:val="18"/>
              </w:rPr>
            </w:pPr>
            <w:r w:rsidRPr="00C52063">
              <w:rPr>
                <w:bCs/>
                <w:sz w:val="20"/>
                <w:szCs w:val="18"/>
              </w:rPr>
              <w:t>.394</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.118</w:t>
            </w:r>
          </w:p>
        </w:tc>
        <w:tc>
          <w:tcPr>
            <w:tcW w:w="356" w:type="pct"/>
            <w:vAlign w:val="center"/>
          </w:tcPr>
          <w:p w:rsidR="009C7C0F" w:rsidRPr="00C52063" w:rsidRDefault="009C7C0F" w:rsidP="00C52063">
            <w:pPr>
              <w:pStyle w:val="NoSpacing"/>
              <w:snapToGrid w:val="0"/>
              <w:jc w:val="both"/>
              <w:rPr>
                <w:bCs/>
                <w:sz w:val="20"/>
                <w:szCs w:val="18"/>
              </w:rPr>
            </w:pPr>
            <w:r w:rsidRPr="00C52063">
              <w:rPr>
                <w:bCs/>
                <w:sz w:val="20"/>
                <w:szCs w:val="18"/>
              </w:rPr>
              <w:t>.731</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1.145</w:t>
            </w:r>
          </w:p>
        </w:tc>
        <w:tc>
          <w:tcPr>
            <w:tcW w:w="525" w:type="pct"/>
            <w:vAlign w:val="center"/>
          </w:tcPr>
          <w:p w:rsidR="009C7C0F" w:rsidRPr="00C52063" w:rsidRDefault="009C7C0F" w:rsidP="00C52063">
            <w:pPr>
              <w:pStyle w:val="NoSpacing"/>
              <w:snapToGrid w:val="0"/>
              <w:jc w:val="both"/>
              <w:rPr>
                <w:bCs/>
                <w:sz w:val="20"/>
                <w:szCs w:val="18"/>
              </w:rPr>
            </w:pPr>
            <w:r w:rsidRPr="00C52063">
              <w:rPr>
                <w:bCs/>
                <w:sz w:val="20"/>
                <w:szCs w:val="18"/>
              </w:rPr>
              <w:t>.529</w:t>
            </w:r>
          </w:p>
        </w:tc>
        <w:tc>
          <w:tcPr>
            <w:tcW w:w="506" w:type="pct"/>
            <w:vAlign w:val="center"/>
          </w:tcPr>
          <w:p w:rsidR="009C7C0F" w:rsidRPr="00C52063" w:rsidRDefault="009C7C0F" w:rsidP="00C52063">
            <w:pPr>
              <w:pStyle w:val="NoSpacing"/>
              <w:snapToGrid w:val="0"/>
              <w:jc w:val="both"/>
              <w:rPr>
                <w:bCs/>
                <w:sz w:val="20"/>
                <w:szCs w:val="18"/>
              </w:rPr>
            </w:pPr>
            <w:r w:rsidRPr="00C52063">
              <w:rPr>
                <w:bCs/>
                <w:sz w:val="20"/>
                <w:szCs w:val="18"/>
              </w:rPr>
              <w:t>2.478</w:t>
            </w:r>
          </w:p>
        </w:tc>
      </w:tr>
      <w:tr w:rsidR="00CF1619" w:rsidRPr="00C52063" w:rsidTr="00CF1619">
        <w:trPr>
          <w:jc w:val="center"/>
        </w:trPr>
        <w:tc>
          <w:tcPr>
            <w:tcW w:w="1522" w:type="pct"/>
            <w:vAlign w:val="center"/>
          </w:tcPr>
          <w:p w:rsidR="009C7C0F" w:rsidRPr="00C52063" w:rsidRDefault="009C7C0F" w:rsidP="00C52063">
            <w:pPr>
              <w:pStyle w:val="NoSpacing"/>
              <w:snapToGrid w:val="0"/>
              <w:jc w:val="both"/>
              <w:rPr>
                <w:sz w:val="20"/>
                <w:szCs w:val="18"/>
              </w:rPr>
            </w:pPr>
            <w:r w:rsidRPr="00C52063">
              <w:rPr>
                <w:sz w:val="20"/>
                <w:szCs w:val="18"/>
              </w:rPr>
              <w:t>MVD</w:t>
            </w:r>
          </w:p>
        </w:tc>
        <w:tc>
          <w:tcPr>
            <w:tcW w:w="561" w:type="pct"/>
            <w:vAlign w:val="center"/>
          </w:tcPr>
          <w:p w:rsidR="009C7C0F" w:rsidRPr="00C52063" w:rsidRDefault="009C7C0F" w:rsidP="00C52063">
            <w:pPr>
              <w:pStyle w:val="NoSpacing"/>
              <w:snapToGrid w:val="0"/>
              <w:jc w:val="both"/>
              <w:rPr>
                <w:bCs/>
                <w:sz w:val="20"/>
                <w:szCs w:val="18"/>
              </w:rPr>
            </w:pPr>
            <w:r w:rsidRPr="00C52063">
              <w:rPr>
                <w:bCs/>
                <w:sz w:val="20"/>
                <w:szCs w:val="18"/>
              </w:rPr>
              <w:t>.393</w:t>
            </w:r>
          </w:p>
        </w:tc>
        <w:tc>
          <w:tcPr>
            <w:tcW w:w="664" w:type="pct"/>
            <w:vAlign w:val="center"/>
          </w:tcPr>
          <w:p w:rsidR="009C7C0F" w:rsidRPr="00C52063" w:rsidRDefault="009C7C0F" w:rsidP="00C52063">
            <w:pPr>
              <w:pStyle w:val="NoSpacing"/>
              <w:snapToGrid w:val="0"/>
              <w:jc w:val="both"/>
              <w:rPr>
                <w:bCs/>
                <w:sz w:val="20"/>
                <w:szCs w:val="18"/>
              </w:rPr>
            </w:pPr>
            <w:r w:rsidRPr="00C52063">
              <w:rPr>
                <w:bCs/>
                <w:sz w:val="20"/>
                <w:szCs w:val="18"/>
              </w:rPr>
              <w:t>.578</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.464</w:t>
            </w:r>
          </w:p>
        </w:tc>
        <w:tc>
          <w:tcPr>
            <w:tcW w:w="356" w:type="pct"/>
            <w:vAlign w:val="center"/>
          </w:tcPr>
          <w:p w:rsidR="009C7C0F" w:rsidRPr="00C52063" w:rsidRDefault="009C7C0F" w:rsidP="00C52063">
            <w:pPr>
              <w:pStyle w:val="NoSpacing"/>
              <w:snapToGrid w:val="0"/>
              <w:jc w:val="both"/>
              <w:rPr>
                <w:bCs/>
                <w:sz w:val="20"/>
                <w:szCs w:val="18"/>
              </w:rPr>
            </w:pPr>
            <w:r w:rsidRPr="00C52063">
              <w:rPr>
                <w:bCs/>
                <w:sz w:val="20"/>
                <w:szCs w:val="18"/>
              </w:rPr>
              <w:t>.496</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1.482</w:t>
            </w:r>
          </w:p>
        </w:tc>
        <w:tc>
          <w:tcPr>
            <w:tcW w:w="525" w:type="pct"/>
            <w:vAlign w:val="center"/>
          </w:tcPr>
          <w:p w:rsidR="009C7C0F" w:rsidRPr="00C52063" w:rsidRDefault="009C7C0F" w:rsidP="00C52063">
            <w:pPr>
              <w:pStyle w:val="NoSpacing"/>
              <w:snapToGrid w:val="0"/>
              <w:jc w:val="both"/>
              <w:rPr>
                <w:bCs/>
                <w:sz w:val="20"/>
                <w:szCs w:val="18"/>
              </w:rPr>
            </w:pPr>
            <w:r w:rsidRPr="00C52063">
              <w:rPr>
                <w:bCs/>
                <w:sz w:val="20"/>
                <w:szCs w:val="18"/>
              </w:rPr>
              <w:t>.478</w:t>
            </w:r>
          </w:p>
        </w:tc>
        <w:tc>
          <w:tcPr>
            <w:tcW w:w="506" w:type="pct"/>
            <w:vAlign w:val="center"/>
          </w:tcPr>
          <w:p w:rsidR="009C7C0F" w:rsidRPr="00C52063" w:rsidRDefault="009C7C0F" w:rsidP="00C52063">
            <w:pPr>
              <w:pStyle w:val="NoSpacing"/>
              <w:snapToGrid w:val="0"/>
              <w:jc w:val="both"/>
              <w:rPr>
                <w:bCs/>
                <w:sz w:val="20"/>
                <w:szCs w:val="18"/>
              </w:rPr>
            </w:pPr>
            <w:r w:rsidRPr="00C52063">
              <w:rPr>
                <w:bCs/>
                <w:sz w:val="20"/>
                <w:szCs w:val="18"/>
              </w:rPr>
              <w:t>4.600</w:t>
            </w:r>
          </w:p>
        </w:tc>
      </w:tr>
      <w:tr w:rsidR="00CF1619" w:rsidRPr="00C52063" w:rsidTr="00CF1619">
        <w:trPr>
          <w:jc w:val="center"/>
        </w:trPr>
        <w:tc>
          <w:tcPr>
            <w:tcW w:w="1522" w:type="pct"/>
            <w:vAlign w:val="center"/>
          </w:tcPr>
          <w:p w:rsidR="009C7C0F" w:rsidRPr="00C52063" w:rsidRDefault="009C7C0F" w:rsidP="00C52063">
            <w:pPr>
              <w:pStyle w:val="NoSpacing"/>
              <w:snapToGrid w:val="0"/>
              <w:jc w:val="both"/>
              <w:rPr>
                <w:sz w:val="20"/>
                <w:szCs w:val="18"/>
              </w:rPr>
            </w:pPr>
            <w:r w:rsidRPr="00C52063">
              <w:rPr>
                <w:sz w:val="20"/>
                <w:szCs w:val="18"/>
              </w:rPr>
              <w:t>TIMI flow before</w:t>
            </w:r>
          </w:p>
        </w:tc>
        <w:tc>
          <w:tcPr>
            <w:tcW w:w="561" w:type="pct"/>
            <w:vAlign w:val="center"/>
          </w:tcPr>
          <w:p w:rsidR="009C7C0F" w:rsidRPr="00C52063" w:rsidRDefault="009C7C0F" w:rsidP="00C52063">
            <w:pPr>
              <w:pStyle w:val="NoSpacing"/>
              <w:snapToGrid w:val="0"/>
              <w:jc w:val="both"/>
              <w:rPr>
                <w:bCs/>
                <w:sz w:val="20"/>
                <w:szCs w:val="18"/>
              </w:rPr>
            </w:pPr>
            <w:r w:rsidRPr="00C52063">
              <w:rPr>
                <w:bCs/>
                <w:sz w:val="20"/>
                <w:szCs w:val="18"/>
              </w:rPr>
              <w:t>-18.523</w:t>
            </w:r>
          </w:p>
        </w:tc>
        <w:tc>
          <w:tcPr>
            <w:tcW w:w="664" w:type="pct"/>
            <w:vAlign w:val="center"/>
          </w:tcPr>
          <w:p w:rsidR="009C7C0F" w:rsidRPr="00C52063" w:rsidRDefault="009C7C0F" w:rsidP="00C52063">
            <w:pPr>
              <w:pStyle w:val="NoSpacing"/>
              <w:snapToGrid w:val="0"/>
              <w:jc w:val="both"/>
              <w:rPr>
                <w:bCs/>
                <w:sz w:val="20"/>
                <w:szCs w:val="18"/>
              </w:rPr>
            </w:pPr>
            <w:r w:rsidRPr="00C52063">
              <w:rPr>
                <w:bCs/>
                <w:sz w:val="20"/>
                <w:szCs w:val="18"/>
              </w:rPr>
              <w:t>5182.451</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.000</w:t>
            </w:r>
          </w:p>
        </w:tc>
        <w:tc>
          <w:tcPr>
            <w:tcW w:w="356" w:type="pct"/>
            <w:vAlign w:val="center"/>
          </w:tcPr>
          <w:p w:rsidR="009C7C0F" w:rsidRPr="00C52063" w:rsidRDefault="009C7C0F" w:rsidP="00C52063">
            <w:pPr>
              <w:pStyle w:val="NoSpacing"/>
              <w:snapToGrid w:val="0"/>
              <w:jc w:val="both"/>
              <w:rPr>
                <w:bCs/>
                <w:sz w:val="20"/>
                <w:szCs w:val="18"/>
              </w:rPr>
            </w:pPr>
            <w:r w:rsidRPr="00C52063">
              <w:rPr>
                <w:bCs/>
                <w:sz w:val="20"/>
                <w:szCs w:val="18"/>
              </w:rPr>
              <w:t>.997</w:t>
            </w:r>
          </w:p>
        </w:tc>
        <w:tc>
          <w:tcPr>
            <w:tcW w:w="433" w:type="pct"/>
            <w:vAlign w:val="center"/>
          </w:tcPr>
          <w:p w:rsidR="009C7C0F" w:rsidRPr="00C52063" w:rsidRDefault="009C7C0F" w:rsidP="00C52063">
            <w:pPr>
              <w:pStyle w:val="NoSpacing"/>
              <w:snapToGrid w:val="0"/>
              <w:jc w:val="both"/>
              <w:rPr>
                <w:bCs/>
                <w:sz w:val="20"/>
                <w:szCs w:val="18"/>
              </w:rPr>
            </w:pPr>
            <w:r w:rsidRPr="00C52063">
              <w:rPr>
                <w:bCs/>
                <w:sz w:val="20"/>
                <w:szCs w:val="18"/>
              </w:rPr>
              <w:t>.000</w:t>
            </w:r>
          </w:p>
        </w:tc>
        <w:tc>
          <w:tcPr>
            <w:tcW w:w="525" w:type="pct"/>
            <w:vAlign w:val="center"/>
          </w:tcPr>
          <w:p w:rsidR="009C7C0F" w:rsidRPr="00C52063" w:rsidRDefault="009C7C0F" w:rsidP="00C52063">
            <w:pPr>
              <w:pStyle w:val="NoSpacing"/>
              <w:snapToGrid w:val="0"/>
              <w:jc w:val="both"/>
              <w:rPr>
                <w:bCs/>
                <w:sz w:val="20"/>
                <w:szCs w:val="18"/>
              </w:rPr>
            </w:pPr>
            <w:r w:rsidRPr="00C52063">
              <w:rPr>
                <w:bCs/>
                <w:sz w:val="20"/>
                <w:szCs w:val="18"/>
              </w:rPr>
              <w:t>.000</w:t>
            </w:r>
          </w:p>
        </w:tc>
        <w:tc>
          <w:tcPr>
            <w:tcW w:w="506" w:type="pct"/>
            <w:vAlign w:val="center"/>
          </w:tcPr>
          <w:p w:rsidR="009C7C0F" w:rsidRPr="00C52063" w:rsidRDefault="009C7C0F" w:rsidP="00C52063">
            <w:pPr>
              <w:pStyle w:val="NoSpacing"/>
              <w:snapToGrid w:val="0"/>
              <w:jc w:val="both"/>
              <w:rPr>
                <w:bCs/>
                <w:sz w:val="20"/>
                <w:szCs w:val="18"/>
              </w:rPr>
            </w:pPr>
            <w:r w:rsidRPr="00C52063">
              <w:rPr>
                <w:bCs/>
                <w:sz w:val="20"/>
                <w:szCs w:val="18"/>
              </w:rPr>
              <w:t>.</w:t>
            </w:r>
          </w:p>
        </w:tc>
      </w:tr>
    </w:tbl>
    <w:p w:rsidR="00C9623B" w:rsidRPr="00C52063" w:rsidRDefault="00C9623B" w:rsidP="00C52063">
      <w:pPr>
        <w:pStyle w:val="NoSpacing"/>
        <w:snapToGrid w:val="0"/>
        <w:ind w:firstLine="425"/>
        <w:jc w:val="both"/>
        <w:rPr>
          <w:color w:val="000000" w:themeColor="text1"/>
          <w:sz w:val="20"/>
          <w:szCs w:val="20"/>
        </w:rPr>
      </w:pPr>
    </w:p>
    <w:p w:rsidR="00C52063" w:rsidRDefault="00C52063" w:rsidP="00C52063">
      <w:pPr>
        <w:pStyle w:val="NoSpacing"/>
        <w:snapToGrid w:val="0"/>
        <w:jc w:val="both"/>
        <w:rPr>
          <w:b/>
          <w:bCs/>
          <w:color w:val="000000" w:themeColor="text1"/>
          <w:sz w:val="20"/>
          <w:szCs w:val="20"/>
        </w:rPr>
        <w:sectPr w:rsidR="00C52063" w:rsidSect="00CF1619">
          <w:type w:val="continuous"/>
          <w:pgSz w:w="12240" w:h="15840" w:code="1"/>
          <w:pgMar w:top="1440" w:right="1440" w:bottom="1440" w:left="1440" w:header="720" w:footer="720" w:gutter="0"/>
          <w:cols w:space="720"/>
          <w:docGrid w:linePitch="299"/>
        </w:sectPr>
      </w:pPr>
    </w:p>
    <w:p w:rsidR="004972F0" w:rsidRPr="00C52063" w:rsidRDefault="004972F0" w:rsidP="00C52063">
      <w:pPr>
        <w:pStyle w:val="NoSpacing"/>
        <w:snapToGrid w:val="0"/>
        <w:jc w:val="both"/>
        <w:rPr>
          <w:b/>
          <w:bCs/>
          <w:color w:val="000000" w:themeColor="text1"/>
          <w:sz w:val="20"/>
          <w:szCs w:val="20"/>
        </w:rPr>
      </w:pPr>
      <w:r w:rsidRPr="00C52063">
        <w:rPr>
          <w:b/>
          <w:bCs/>
          <w:color w:val="000000" w:themeColor="text1"/>
          <w:sz w:val="20"/>
          <w:szCs w:val="20"/>
        </w:rPr>
        <w:lastRenderedPageBreak/>
        <w:t>ROC curve for CHA</w:t>
      </w:r>
      <w:r w:rsidRPr="00C52063">
        <w:rPr>
          <w:b/>
          <w:bCs/>
          <w:color w:val="000000" w:themeColor="text1"/>
          <w:sz w:val="20"/>
          <w:szCs w:val="20"/>
          <w:vertAlign w:val="subscript"/>
        </w:rPr>
        <w:t>2</w:t>
      </w:r>
      <w:r w:rsidRPr="00C52063">
        <w:rPr>
          <w:b/>
          <w:bCs/>
          <w:color w:val="000000" w:themeColor="text1"/>
          <w:sz w:val="20"/>
          <w:szCs w:val="20"/>
        </w:rPr>
        <w:t>DS</w:t>
      </w:r>
      <w:r w:rsidRPr="00C52063">
        <w:rPr>
          <w:b/>
          <w:bCs/>
          <w:color w:val="000000" w:themeColor="text1"/>
          <w:sz w:val="20"/>
          <w:szCs w:val="20"/>
          <w:vertAlign w:val="subscript"/>
        </w:rPr>
        <w:t>2</w:t>
      </w:r>
      <w:r w:rsidRPr="00C52063">
        <w:rPr>
          <w:b/>
          <w:bCs/>
          <w:color w:val="000000" w:themeColor="text1"/>
          <w:sz w:val="20"/>
          <w:szCs w:val="20"/>
        </w:rPr>
        <w:t>-VASc-HSF Score to predict no-reflow cases:</w:t>
      </w:r>
    </w:p>
    <w:p w:rsidR="00C73DEC" w:rsidRPr="00C52063" w:rsidRDefault="00C73DEC" w:rsidP="00C52063">
      <w:pPr>
        <w:pStyle w:val="NoSpacing"/>
        <w:snapToGrid w:val="0"/>
        <w:ind w:firstLine="425"/>
        <w:jc w:val="both"/>
        <w:rPr>
          <w:sz w:val="20"/>
          <w:szCs w:val="20"/>
        </w:rPr>
      </w:pPr>
      <w:r w:rsidRPr="00C52063">
        <w:rPr>
          <w:sz w:val="20"/>
          <w:szCs w:val="20"/>
        </w:rPr>
        <w:t xml:space="preserve">The receiver operating characteristic (ROC) analysis showing the performance and predictive accuracy of </w:t>
      </w:r>
      <w:r w:rsidRPr="00C52063">
        <w:rPr>
          <w:color w:val="333333"/>
          <w:sz w:val="20"/>
          <w:szCs w:val="20"/>
        </w:rPr>
        <w:t>CHA</w:t>
      </w:r>
      <w:r w:rsidRPr="00C52063">
        <w:rPr>
          <w:color w:val="333333"/>
          <w:sz w:val="20"/>
          <w:szCs w:val="20"/>
          <w:vertAlign w:val="subscript"/>
        </w:rPr>
        <w:t>2</w:t>
      </w:r>
      <w:r w:rsidRPr="00C52063">
        <w:rPr>
          <w:color w:val="333333"/>
          <w:sz w:val="20"/>
          <w:szCs w:val="20"/>
        </w:rPr>
        <w:t>DS</w:t>
      </w:r>
      <w:r w:rsidRPr="00C52063">
        <w:rPr>
          <w:color w:val="333333"/>
          <w:sz w:val="20"/>
          <w:szCs w:val="20"/>
          <w:vertAlign w:val="subscript"/>
        </w:rPr>
        <w:t>2</w:t>
      </w:r>
      <w:r w:rsidRPr="00C52063">
        <w:rPr>
          <w:color w:val="333333"/>
          <w:sz w:val="20"/>
          <w:szCs w:val="20"/>
        </w:rPr>
        <w:t xml:space="preserve">-VASc </w:t>
      </w:r>
      <w:r w:rsidRPr="00C52063">
        <w:rPr>
          <w:sz w:val="20"/>
          <w:szCs w:val="20"/>
        </w:rPr>
        <w:t>- HSF Score in predicting noreflow phenomenon, the area under the curve (AUC) was 0.71 confidence interva</w:t>
      </w:r>
      <w:r w:rsidR="00CF1619" w:rsidRPr="00C52063">
        <w:rPr>
          <w:sz w:val="20"/>
          <w:szCs w:val="20"/>
        </w:rPr>
        <w:t>l (</w:t>
      </w:r>
      <w:r w:rsidRPr="00C52063">
        <w:rPr>
          <w:sz w:val="20"/>
          <w:szCs w:val="20"/>
        </w:rPr>
        <w:t xml:space="preserve"> CI) 1.186-1.979 (P value 0.002)</w:t>
      </w:r>
      <w:r w:rsidR="00C52063" w:rsidRPr="00C52063">
        <w:rPr>
          <w:sz w:val="20"/>
          <w:szCs w:val="20"/>
        </w:rPr>
        <w:t>,</w:t>
      </w:r>
      <w:r w:rsidR="00C52063">
        <w:rPr>
          <w:sz w:val="20"/>
          <w:szCs w:val="20"/>
        </w:rPr>
        <w:t xml:space="preserve"> </w:t>
      </w:r>
      <w:r w:rsidR="00C52063" w:rsidRPr="00C52063">
        <w:rPr>
          <w:sz w:val="20"/>
          <w:szCs w:val="20"/>
        </w:rPr>
        <w:t>w</w:t>
      </w:r>
      <w:r w:rsidRPr="00C52063">
        <w:rPr>
          <w:sz w:val="20"/>
          <w:szCs w:val="20"/>
        </w:rPr>
        <w:t xml:space="preserve">ith cutoff value </w:t>
      </w:r>
      <w:r w:rsidRPr="00C52063">
        <w:rPr>
          <w:color w:val="333333"/>
          <w:sz w:val="20"/>
          <w:szCs w:val="20"/>
        </w:rPr>
        <w:t>CHA</w:t>
      </w:r>
      <w:r w:rsidRPr="00C52063">
        <w:rPr>
          <w:color w:val="333333"/>
          <w:sz w:val="20"/>
          <w:szCs w:val="20"/>
          <w:vertAlign w:val="subscript"/>
        </w:rPr>
        <w:t>2</w:t>
      </w:r>
      <w:r w:rsidRPr="00C52063">
        <w:rPr>
          <w:color w:val="333333"/>
          <w:sz w:val="20"/>
          <w:szCs w:val="20"/>
        </w:rPr>
        <w:t>DS</w:t>
      </w:r>
      <w:r w:rsidRPr="00C52063">
        <w:rPr>
          <w:color w:val="333333"/>
          <w:sz w:val="20"/>
          <w:szCs w:val="20"/>
          <w:vertAlign w:val="subscript"/>
        </w:rPr>
        <w:t>2</w:t>
      </w:r>
      <w:r w:rsidRPr="00C52063">
        <w:rPr>
          <w:color w:val="333333"/>
          <w:sz w:val="20"/>
          <w:szCs w:val="20"/>
        </w:rPr>
        <w:t xml:space="preserve">-VASc </w:t>
      </w:r>
      <w:r w:rsidRPr="00C52063">
        <w:rPr>
          <w:sz w:val="20"/>
          <w:szCs w:val="20"/>
        </w:rPr>
        <w:t>- HSF score equal or more than 3</w:t>
      </w:r>
      <w:r w:rsidR="00CF1619" w:rsidRPr="00C52063">
        <w:rPr>
          <w:sz w:val="20"/>
          <w:szCs w:val="20"/>
        </w:rPr>
        <w:t>,</w:t>
      </w:r>
      <w:r w:rsidRPr="00C52063">
        <w:rPr>
          <w:sz w:val="20"/>
          <w:szCs w:val="20"/>
        </w:rPr>
        <w:t xml:space="preserve"> with 73.53 % sensitivity and 66.67 % specificity.</w:t>
      </w:r>
    </w:p>
    <w:p w:rsidR="00C73DEC" w:rsidRPr="00C52063" w:rsidRDefault="00C73DEC" w:rsidP="00C52063">
      <w:pPr>
        <w:pStyle w:val="NoSpacing"/>
        <w:snapToGrid w:val="0"/>
        <w:ind w:firstLine="425"/>
        <w:jc w:val="both"/>
        <w:rPr>
          <w:sz w:val="20"/>
          <w:szCs w:val="20"/>
        </w:rPr>
      </w:pPr>
    </w:p>
    <w:p w:rsidR="00C73DEC" w:rsidRPr="00C52063" w:rsidRDefault="009C7C0F" w:rsidP="00C52063">
      <w:pPr>
        <w:pStyle w:val="NoSpacing"/>
        <w:snapToGrid w:val="0"/>
        <w:jc w:val="center"/>
        <w:rPr>
          <w:sz w:val="20"/>
          <w:szCs w:val="20"/>
        </w:rPr>
      </w:pPr>
      <w:r w:rsidRPr="00C52063">
        <w:rPr>
          <w:noProof/>
          <w:sz w:val="20"/>
          <w:szCs w:val="20"/>
          <w:lang w:eastAsia="zh-CN" w:bidi="ar-SA"/>
        </w:rPr>
        <w:drawing>
          <wp:inline distT="0" distB="0" distL="0" distR="0">
            <wp:extent cx="2609850" cy="2314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vvvvvvvvvvvvvvvvvvvvvvvv.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9850" cy="2314575"/>
                    </a:xfrm>
                    <a:prstGeom prst="rect">
                      <a:avLst/>
                    </a:prstGeom>
                  </pic:spPr>
                </pic:pic>
              </a:graphicData>
            </a:graphic>
          </wp:inline>
        </w:drawing>
      </w:r>
    </w:p>
    <w:p w:rsidR="00C73DEC" w:rsidRPr="00C52063" w:rsidRDefault="00C73DEC" w:rsidP="00C52063">
      <w:pPr>
        <w:pStyle w:val="NoSpacing"/>
        <w:snapToGrid w:val="0"/>
        <w:jc w:val="both"/>
        <w:rPr>
          <w:noProof/>
          <w:sz w:val="20"/>
          <w:szCs w:val="20"/>
        </w:rPr>
      </w:pPr>
      <w:r w:rsidRPr="00C52063">
        <w:rPr>
          <w:sz w:val="20"/>
          <w:szCs w:val="20"/>
        </w:rPr>
        <w:t>ROC curve of CHA2DS2-VASc- HSF score in predicting noreflow</w:t>
      </w:r>
    </w:p>
    <w:p w:rsidR="00C9623B" w:rsidRPr="00C52063" w:rsidRDefault="00C9623B" w:rsidP="00C52063">
      <w:pPr>
        <w:pStyle w:val="NoSpacing"/>
        <w:snapToGrid w:val="0"/>
        <w:jc w:val="both"/>
        <w:rPr>
          <w:b/>
          <w:bCs/>
          <w:sz w:val="20"/>
          <w:szCs w:val="20"/>
        </w:rPr>
      </w:pPr>
    </w:p>
    <w:p w:rsidR="009C7C0F" w:rsidRPr="00C52063" w:rsidRDefault="00C73DEC" w:rsidP="00C52063">
      <w:pPr>
        <w:pStyle w:val="NoSpacing"/>
        <w:snapToGrid w:val="0"/>
        <w:jc w:val="both"/>
        <w:rPr>
          <w:b/>
          <w:bCs/>
          <w:sz w:val="20"/>
          <w:szCs w:val="20"/>
        </w:rPr>
      </w:pPr>
      <w:r w:rsidRPr="00C52063">
        <w:rPr>
          <w:b/>
          <w:bCs/>
          <w:sz w:val="20"/>
          <w:szCs w:val="20"/>
        </w:rPr>
        <w:lastRenderedPageBreak/>
        <w:t>4. Discussion</w:t>
      </w:r>
    </w:p>
    <w:p w:rsidR="0025058D" w:rsidRPr="00C52063" w:rsidRDefault="00D67AA3" w:rsidP="00C52063">
      <w:pPr>
        <w:pStyle w:val="NoSpacing"/>
        <w:snapToGrid w:val="0"/>
        <w:ind w:firstLine="425"/>
        <w:jc w:val="both"/>
        <w:rPr>
          <w:bCs/>
          <w:sz w:val="20"/>
          <w:szCs w:val="20"/>
          <w:lang w:bidi="ar-EG"/>
        </w:rPr>
      </w:pPr>
      <w:r w:rsidRPr="00C52063">
        <w:rPr>
          <w:bCs/>
          <w:sz w:val="20"/>
          <w:szCs w:val="20"/>
          <w:lang w:bidi="ar-EG"/>
        </w:rPr>
        <w:t xml:space="preserve">Regarding </w:t>
      </w:r>
      <w:r w:rsidR="00C73DEC" w:rsidRPr="00C52063">
        <w:rPr>
          <w:bCs/>
          <w:sz w:val="20"/>
          <w:szCs w:val="20"/>
          <w:lang w:bidi="ar-EG"/>
        </w:rPr>
        <w:t>the demographics in this study:</w:t>
      </w:r>
    </w:p>
    <w:p w:rsidR="0025058D" w:rsidRPr="00C52063" w:rsidRDefault="0025058D" w:rsidP="00C52063">
      <w:pPr>
        <w:pStyle w:val="NoSpacing"/>
        <w:snapToGrid w:val="0"/>
        <w:ind w:firstLine="425"/>
        <w:jc w:val="both"/>
        <w:rPr>
          <w:sz w:val="20"/>
          <w:szCs w:val="20"/>
          <w:lang w:bidi="ar-EG"/>
        </w:rPr>
      </w:pPr>
      <w:r w:rsidRPr="00C52063">
        <w:rPr>
          <w:sz w:val="20"/>
          <w:szCs w:val="20"/>
          <w:lang w:bidi="ar-EG"/>
        </w:rPr>
        <w:t>In the present study, the incidence of noreflow</w:t>
      </w:r>
      <w:r w:rsidR="00B5174A">
        <w:rPr>
          <w:rFonts w:eastAsiaTheme="minorEastAsia" w:hint="eastAsia"/>
          <w:sz w:val="20"/>
          <w:szCs w:val="20"/>
          <w:lang w:eastAsia="zh-CN" w:bidi="ar-EG"/>
        </w:rPr>
        <w:t xml:space="preserve"> </w:t>
      </w:r>
      <w:r w:rsidRPr="00C52063">
        <w:rPr>
          <w:sz w:val="20"/>
          <w:szCs w:val="20"/>
          <w:lang w:bidi="ar-EG"/>
        </w:rPr>
        <w:t>is slightly more common in males (52.9% of noreflow group Vs 44% in normal flow group) but this difference was not statistically significant (P.value=0.18).</w:t>
      </w:r>
    </w:p>
    <w:p w:rsidR="0025058D" w:rsidRPr="00C52063" w:rsidRDefault="0025058D" w:rsidP="00C52063">
      <w:pPr>
        <w:pStyle w:val="NoSpacing"/>
        <w:snapToGrid w:val="0"/>
        <w:ind w:firstLine="425"/>
        <w:jc w:val="both"/>
        <w:rPr>
          <w:sz w:val="20"/>
          <w:szCs w:val="20"/>
          <w:lang w:bidi="ar-EG"/>
        </w:rPr>
      </w:pPr>
      <w:r w:rsidRPr="00C52063">
        <w:rPr>
          <w:sz w:val="20"/>
          <w:szCs w:val="20"/>
          <w:lang w:bidi="ar-EG"/>
        </w:rPr>
        <w:t>The patients in noreflow group were older: Mean age in no reflow group was</w:t>
      </w:r>
      <w:r w:rsidR="00CF1619" w:rsidRPr="00C52063">
        <w:rPr>
          <w:sz w:val="20"/>
          <w:szCs w:val="20"/>
          <w:lang w:bidi="ar-EG"/>
        </w:rPr>
        <w:t xml:space="preserve"> </w:t>
      </w:r>
      <w:r w:rsidRPr="00C52063">
        <w:rPr>
          <w:sz w:val="20"/>
          <w:szCs w:val="20"/>
          <w:lang w:bidi="ar-EG"/>
        </w:rPr>
        <w:t>61.29 years while it was 55 years in the other group.</w:t>
      </w:r>
    </w:p>
    <w:p w:rsidR="0025058D" w:rsidRPr="00C52063" w:rsidRDefault="0025058D" w:rsidP="00C52063">
      <w:pPr>
        <w:pStyle w:val="NoSpacing"/>
        <w:snapToGrid w:val="0"/>
        <w:ind w:firstLine="425"/>
        <w:jc w:val="both"/>
        <w:rPr>
          <w:sz w:val="20"/>
          <w:szCs w:val="20"/>
        </w:rPr>
      </w:pPr>
      <w:r w:rsidRPr="00C52063">
        <w:rPr>
          <w:sz w:val="20"/>
          <w:szCs w:val="20"/>
          <w:lang w:bidi="ar-EG"/>
        </w:rPr>
        <w:t xml:space="preserve">In contrast to our study, </w:t>
      </w:r>
      <w:r w:rsidRPr="00C52063">
        <w:rPr>
          <w:bCs/>
          <w:sz w:val="20"/>
          <w:szCs w:val="20"/>
          <w:lang w:bidi="ar-EG"/>
        </w:rPr>
        <w:t>Ipek et al.</w:t>
      </w:r>
      <w:r w:rsidR="00641C07" w:rsidRPr="00641C07">
        <w:rPr>
          <w:bCs/>
          <w:sz w:val="20"/>
          <w:szCs w:val="20"/>
          <w:lang w:bidi="ar-EG"/>
        </w:rPr>
        <w:fldChar w:fldCharType="begin" w:fldLock="1"/>
      </w:r>
      <w:r w:rsidR="004F0530" w:rsidRPr="00C52063">
        <w:rPr>
          <w:bCs/>
          <w:sz w:val="20"/>
          <w:szCs w:val="20"/>
          <w:lang w:bidi="ar-EG"/>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641C07">
        <w:rPr>
          <w:bCs/>
          <w:sz w:val="20"/>
          <w:szCs w:val="20"/>
          <w:lang w:bidi="ar-EG"/>
        </w:rPr>
        <w:fldChar w:fldCharType="separate"/>
      </w:r>
      <w:r w:rsidRPr="00C52063">
        <w:rPr>
          <w:bCs/>
          <w:noProof/>
          <w:sz w:val="20"/>
          <w:szCs w:val="20"/>
          <w:vertAlign w:val="superscript"/>
          <w:lang w:bidi="ar-EG"/>
        </w:rPr>
        <w:t>8</w:t>
      </w:r>
      <w:r w:rsidR="00641C07" w:rsidRPr="00C52063">
        <w:rPr>
          <w:sz w:val="20"/>
          <w:szCs w:val="20"/>
          <w:lang w:bidi="ar-EG"/>
        </w:rPr>
        <w:fldChar w:fldCharType="end"/>
      </w:r>
      <w:r w:rsidRPr="00C52063">
        <w:rPr>
          <w:sz w:val="20"/>
          <w:szCs w:val="20"/>
          <w:lang w:bidi="ar-EG"/>
        </w:rPr>
        <w:t xml:space="preserve"> revealed that </w:t>
      </w:r>
      <w:r w:rsidRPr="00C52063">
        <w:rPr>
          <w:sz w:val="20"/>
          <w:szCs w:val="20"/>
        </w:rPr>
        <w:t>female gender were significantly higher in the no-reflow group (27.9% vs 18.4%, P.value&lt; 0.01)</w:t>
      </w:r>
      <w:r w:rsidR="00641C07" w:rsidRPr="00C52063">
        <w:rPr>
          <w:sz w:val="20"/>
          <w:szCs w:val="20"/>
        </w:rPr>
        <w:fldChar w:fldCharType="begin" w:fldLock="1"/>
      </w:r>
      <w:r w:rsidR="004F0530" w:rsidRPr="00C52063">
        <w:rPr>
          <w:sz w:val="20"/>
          <w:szCs w:val="20"/>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C52063">
        <w:rPr>
          <w:sz w:val="20"/>
          <w:szCs w:val="20"/>
        </w:rPr>
        <w:fldChar w:fldCharType="separate"/>
      </w:r>
      <w:r w:rsidRPr="00C52063">
        <w:rPr>
          <w:noProof/>
          <w:sz w:val="20"/>
          <w:szCs w:val="20"/>
          <w:vertAlign w:val="superscript"/>
        </w:rPr>
        <w:t>8</w:t>
      </w:r>
      <w:r w:rsidR="00641C07" w:rsidRPr="00C52063">
        <w:rPr>
          <w:sz w:val="20"/>
          <w:szCs w:val="20"/>
          <w:lang w:bidi="ar-EG"/>
        </w:rPr>
        <w:fldChar w:fldCharType="end"/>
      </w:r>
      <w:r w:rsidRPr="00C52063">
        <w:rPr>
          <w:sz w:val="20"/>
          <w:szCs w:val="20"/>
        </w:rPr>
        <w:t>.</w:t>
      </w:r>
    </w:p>
    <w:p w:rsidR="0025058D" w:rsidRPr="00C52063" w:rsidRDefault="0025058D" w:rsidP="00C52063">
      <w:pPr>
        <w:pStyle w:val="NoSpacing"/>
        <w:snapToGrid w:val="0"/>
        <w:ind w:firstLine="425"/>
        <w:jc w:val="both"/>
        <w:rPr>
          <w:sz w:val="20"/>
          <w:szCs w:val="20"/>
          <w:lang w:bidi="ar-EG"/>
        </w:rPr>
      </w:pPr>
      <w:r w:rsidRPr="00C52063">
        <w:rPr>
          <w:sz w:val="20"/>
          <w:szCs w:val="20"/>
          <w:lang w:bidi="ar-EG"/>
        </w:rPr>
        <w:t>In a meta-analysis conducted b</w:t>
      </w:r>
      <w:r w:rsidR="00C52063" w:rsidRPr="00C52063">
        <w:rPr>
          <w:sz w:val="20"/>
          <w:szCs w:val="20"/>
          <w:lang w:bidi="ar-EG"/>
        </w:rPr>
        <w:t>y</w:t>
      </w:r>
      <w:r w:rsidR="00C52063">
        <w:rPr>
          <w:sz w:val="20"/>
          <w:szCs w:val="20"/>
          <w:lang w:bidi="ar-EG"/>
        </w:rPr>
        <w:t xml:space="preserve"> </w:t>
      </w:r>
      <w:r w:rsidR="00C52063" w:rsidRPr="00C52063">
        <w:rPr>
          <w:bCs/>
          <w:sz w:val="20"/>
          <w:szCs w:val="20"/>
          <w:lang w:bidi="ar-EG"/>
        </w:rPr>
        <w:t>F</w:t>
      </w:r>
      <w:r w:rsidRPr="00C52063">
        <w:rPr>
          <w:bCs/>
          <w:sz w:val="20"/>
          <w:szCs w:val="20"/>
          <w:lang w:bidi="ar-EG"/>
        </w:rPr>
        <w:t>ajar et al.</w:t>
      </w:r>
      <w:r w:rsidR="00641C07" w:rsidRPr="00C52063">
        <w:rPr>
          <w:sz w:val="20"/>
          <w:szCs w:val="20"/>
          <w:lang w:bidi="ar-EG"/>
        </w:rPr>
        <w:fldChar w:fldCharType="begin" w:fldLock="1"/>
      </w:r>
      <w:r w:rsidR="004F0530" w:rsidRPr="00C52063">
        <w:rPr>
          <w:sz w:val="20"/>
          <w:szCs w:val="20"/>
          <w:lang w:bidi="ar-EG"/>
        </w:rPr>
        <w:instrText>ADDIN CSL_CITATION {"citationItems":[{"id":"ITEM-1","itemData":{"author":[{"dropping-particle":"","family":"Fajar","given":"JK","non-dropping-particle":"","parse-names":false,"suffix":""},{"dropping-particle":"","family":"Heriansyah","given":"T","non-dropping-particle":"","parse-names":false,"suffix":""},{"dropping-particle":"","family":"Journal","given":"MS Rohman - Indian heart","non-dropping-particle":"","parse-names":false,"suffix":""},{"dropping-particle":"","family":"2018","given":"Undefined","non-dropping-particle":"","parse-names":false,"suffix":""}],"container-title":"Elsevier","id":"ITEM-1","issued":{"date-parts":[["0"]]},"title":"The predictors of no reflow phenomenon after percutaneous coronary intervention in patients with ST elevation myocardial infarction: A meta-analysis","type":"article-journal"},"uris":["http://www.mendeley.com/documents/?uuid=f0135113-e70d-3ad7-908d-3916e0f22efb"]}],"mendeley":{"formattedCitation":"&lt;sup&gt;9&lt;/sup&gt;","plainTextFormattedCitation":"9","previouslyFormattedCitation":"&lt;sup&gt;9&lt;/sup&gt;"},"properties":{"noteIndex":0},"schema":"https://github.com/citation-style-language/schema/raw/master/csl-citation.json"}</w:instrText>
      </w:r>
      <w:r w:rsidR="00641C07" w:rsidRPr="00C52063">
        <w:rPr>
          <w:sz w:val="20"/>
          <w:szCs w:val="20"/>
          <w:lang w:bidi="ar-EG"/>
        </w:rPr>
        <w:fldChar w:fldCharType="separate"/>
      </w:r>
      <w:r w:rsidR="004F0530" w:rsidRPr="00C52063">
        <w:rPr>
          <w:noProof/>
          <w:sz w:val="20"/>
          <w:szCs w:val="20"/>
          <w:vertAlign w:val="superscript"/>
          <w:lang w:bidi="ar-EG"/>
        </w:rPr>
        <w:t>9</w:t>
      </w:r>
      <w:r w:rsidR="00641C07" w:rsidRPr="00C52063">
        <w:rPr>
          <w:sz w:val="20"/>
          <w:szCs w:val="20"/>
          <w:lang w:bidi="ar-EG"/>
        </w:rPr>
        <w:fldChar w:fldCharType="end"/>
      </w:r>
      <w:r w:rsidRPr="00C52063">
        <w:rPr>
          <w:sz w:val="20"/>
          <w:szCs w:val="20"/>
          <w:lang w:bidi="ar-EG"/>
        </w:rPr>
        <w:t xml:space="preserve"> that included 46 papers between August</w:t>
      </w:r>
      <w:r w:rsidR="00CF1619" w:rsidRPr="00C52063">
        <w:rPr>
          <w:sz w:val="20"/>
          <w:szCs w:val="20"/>
          <w:lang w:bidi="ar-EG"/>
        </w:rPr>
        <w:t xml:space="preserve"> </w:t>
      </w:r>
      <w:r w:rsidRPr="00C52063">
        <w:rPr>
          <w:sz w:val="20"/>
          <w:szCs w:val="20"/>
          <w:lang w:bidi="ar-EG"/>
        </w:rPr>
        <w:t>and October 2017 and aimed to assess several factors (demographic and clinical characteristics, laboratory parameters, electrocardiogram, echocardiography, and angiographic findings) that might have an impact on noreflow phenomenon after PCI in patients with STEMI</w:t>
      </w:r>
      <w:r w:rsidR="00C52063" w:rsidRPr="00C52063">
        <w:rPr>
          <w:sz w:val="20"/>
          <w:szCs w:val="20"/>
          <w:lang w:bidi="ar-EG"/>
        </w:rPr>
        <w:t>.</w:t>
      </w:r>
      <w:r w:rsidR="00C52063">
        <w:rPr>
          <w:sz w:val="20"/>
          <w:szCs w:val="20"/>
          <w:lang w:bidi="ar-EG"/>
        </w:rPr>
        <w:t xml:space="preserve"> </w:t>
      </w:r>
      <w:r w:rsidR="00C52063" w:rsidRPr="00C52063">
        <w:rPr>
          <w:sz w:val="20"/>
          <w:szCs w:val="20"/>
          <w:lang w:bidi="ar-EG"/>
        </w:rPr>
        <w:t>I</w:t>
      </w:r>
      <w:r w:rsidRPr="00C52063">
        <w:rPr>
          <w:sz w:val="20"/>
          <w:szCs w:val="20"/>
          <w:lang w:bidi="ar-EG"/>
        </w:rPr>
        <w:t>n this study, noreflow phenomenon occurred in elder patients with a mean age of ( 61 Vs 59 years for no-reflow and normal flow group</w:t>
      </w:r>
      <w:r w:rsidR="00C52063" w:rsidRPr="00C52063">
        <w:rPr>
          <w:sz w:val="20"/>
          <w:szCs w:val="20"/>
          <w:lang w:bidi="ar-EG"/>
        </w:rPr>
        <w:t>,</w:t>
      </w:r>
      <w:r w:rsidR="00C52063">
        <w:rPr>
          <w:sz w:val="20"/>
          <w:szCs w:val="20"/>
          <w:lang w:bidi="ar-EG"/>
        </w:rPr>
        <w:t xml:space="preserve"> </w:t>
      </w:r>
      <w:r w:rsidR="00C52063" w:rsidRPr="00C52063">
        <w:rPr>
          <w:sz w:val="20"/>
          <w:szCs w:val="20"/>
          <w:lang w:bidi="ar-EG"/>
        </w:rPr>
        <w:t>r</w:t>
      </w:r>
      <w:r w:rsidRPr="00C52063">
        <w:rPr>
          <w:sz w:val="20"/>
          <w:szCs w:val="20"/>
          <w:lang w:bidi="ar-EG"/>
        </w:rPr>
        <w:t>espectively). Also, in agreement of our study</w:t>
      </w:r>
      <w:r w:rsidR="00C52063" w:rsidRPr="00C52063">
        <w:rPr>
          <w:sz w:val="20"/>
          <w:szCs w:val="20"/>
          <w:lang w:bidi="ar-EG"/>
        </w:rPr>
        <w:t>,</w:t>
      </w:r>
      <w:r w:rsidR="00C52063">
        <w:rPr>
          <w:sz w:val="20"/>
          <w:szCs w:val="20"/>
          <w:lang w:bidi="ar-EG"/>
        </w:rPr>
        <w:t xml:space="preserve"> </w:t>
      </w:r>
      <w:r w:rsidR="00C52063" w:rsidRPr="00C52063">
        <w:rPr>
          <w:sz w:val="20"/>
          <w:szCs w:val="20"/>
          <w:lang w:bidi="ar-EG"/>
        </w:rPr>
        <w:t>i</w:t>
      </w:r>
      <w:r w:rsidRPr="00C52063">
        <w:rPr>
          <w:sz w:val="20"/>
          <w:szCs w:val="20"/>
          <w:lang w:bidi="ar-EG"/>
        </w:rPr>
        <w:t>t found that noreflow phenomenon occurred more commonly in male patients (71.9%)</w:t>
      </w:r>
      <w:r w:rsidR="00641C07" w:rsidRPr="00C52063">
        <w:rPr>
          <w:sz w:val="20"/>
          <w:szCs w:val="20"/>
          <w:lang w:bidi="ar-EG"/>
        </w:rPr>
        <w:fldChar w:fldCharType="begin" w:fldLock="1"/>
      </w:r>
      <w:r w:rsidR="004F0530" w:rsidRPr="00C52063">
        <w:rPr>
          <w:sz w:val="20"/>
          <w:szCs w:val="20"/>
          <w:lang w:bidi="ar-EG"/>
        </w:rPr>
        <w:instrText>ADDIN CSL_CITATION {"citationItems":[{"id":"ITEM-1","itemData":{"author":[{"dropping-particle":"","family":"Fajar","given":"JK","non-dropping-particle":"","parse-names":false,"suffix":""},{"dropping-particle":"","family":"Heriansyah","given":"T","non-dropping-particle":"","parse-names":false,"suffix":""},{"dropping-particle":"","family":"Journal","given":"MS Rohman - Indian heart","non-dropping-particle":"","parse-names":false,"suffix":""},{"dropping-particle":"","family":"2018","given":"Undefined","non-dropping-particle":"","parse-names":false,"suffix":""}],"container-title":"Elsevier","id":"ITEM-1","issued":{"date-parts":[["0"]]},"title":"The predictors of no reflow phenomenon after percutaneous coronary intervention in patients with ST elevation myocardial infarction: A meta-analysis","type":"article-journal"},"uris":["http://www.mendeley.com/documents/?uuid=f0135113-e70d-3ad7-908d-3916e0f22efb"]}],"mendeley":{"formattedCitation":"&lt;sup&gt;9&lt;/sup&gt;","plainTextFormattedCitation":"9","previouslyFormattedCitation":"&lt;sup&gt;9&lt;/sup&gt;"},"properties":{"noteIndex":0},"schema":"https://github.com/citation-style-language/schema/raw/master/csl-citation.json"}</w:instrText>
      </w:r>
      <w:r w:rsidR="00641C07" w:rsidRPr="00C52063">
        <w:rPr>
          <w:sz w:val="20"/>
          <w:szCs w:val="20"/>
          <w:lang w:bidi="ar-EG"/>
        </w:rPr>
        <w:fldChar w:fldCharType="separate"/>
      </w:r>
      <w:r w:rsidR="004F0530" w:rsidRPr="00C52063">
        <w:rPr>
          <w:noProof/>
          <w:sz w:val="20"/>
          <w:szCs w:val="20"/>
          <w:vertAlign w:val="superscript"/>
          <w:lang w:bidi="ar-EG"/>
        </w:rPr>
        <w:t>9</w:t>
      </w:r>
      <w:r w:rsidR="00641C07" w:rsidRPr="00C52063">
        <w:rPr>
          <w:sz w:val="20"/>
          <w:szCs w:val="20"/>
          <w:lang w:bidi="ar-EG"/>
        </w:rPr>
        <w:fldChar w:fldCharType="end"/>
      </w:r>
      <w:r w:rsidRPr="00C52063">
        <w:rPr>
          <w:sz w:val="20"/>
          <w:szCs w:val="20"/>
          <w:lang w:bidi="ar-EG"/>
        </w:rPr>
        <w:t>.</w:t>
      </w:r>
    </w:p>
    <w:p w:rsidR="00D67AA3" w:rsidRPr="00B5174A" w:rsidRDefault="00B5174A" w:rsidP="00C52063">
      <w:pPr>
        <w:pStyle w:val="NoSpacing"/>
        <w:snapToGrid w:val="0"/>
        <w:ind w:firstLine="425"/>
        <w:jc w:val="both"/>
        <w:rPr>
          <w:rFonts w:eastAsiaTheme="minorEastAsia" w:hint="eastAsia"/>
          <w:bCs/>
          <w:sz w:val="20"/>
          <w:szCs w:val="20"/>
          <w:lang w:eastAsia="zh-CN" w:bidi="ar-EG"/>
        </w:rPr>
      </w:pPr>
      <w:r>
        <w:rPr>
          <w:bCs/>
          <w:sz w:val="20"/>
          <w:szCs w:val="20"/>
          <w:lang w:bidi="ar-EG"/>
        </w:rPr>
        <w:t>Regarding clinical features:</w:t>
      </w:r>
    </w:p>
    <w:p w:rsidR="00CF1619" w:rsidRPr="00C52063" w:rsidRDefault="00D67AA3" w:rsidP="00C52063">
      <w:pPr>
        <w:pStyle w:val="NoSpacing"/>
        <w:snapToGrid w:val="0"/>
        <w:ind w:firstLine="425"/>
        <w:jc w:val="both"/>
        <w:rPr>
          <w:sz w:val="20"/>
          <w:szCs w:val="20"/>
          <w:lang w:bidi="ar-EG"/>
        </w:rPr>
      </w:pPr>
      <w:r w:rsidRPr="00C52063">
        <w:rPr>
          <w:sz w:val="20"/>
          <w:szCs w:val="20"/>
          <w:lang w:bidi="ar-EG"/>
        </w:rPr>
        <w:t xml:space="preserve">In our study, some factors were found to be significant predictors of noreflow phenomenon. In the </w:t>
      </w:r>
      <w:r w:rsidRPr="00C52063">
        <w:rPr>
          <w:sz w:val="20"/>
          <w:szCs w:val="20"/>
          <w:lang w:bidi="ar-EG"/>
        </w:rPr>
        <w:lastRenderedPageBreak/>
        <w:t>noreflow group, 18 patients were diabetics (52.9 %), 22 (64.7 %) were hypertensive</w:t>
      </w:r>
      <w:r w:rsidR="00CF1619" w:rsidRPr="00C52063">
        <w:rPr>
          <w:sz w:val="20"/>
          <w:szCs w:val="20"/>
          <w:lang w:bidi="ar-EG"/>
        </w:rPr>
        <w:t>,</w:t>
      </w:r>
      <w:r w:rsidRPr="00C52063">
        <w:rPr>
          <w:sz w:val="20"/>
          <w:szCs w:val="20"/>
          <w:lang w:bidi="ar-EG"/>
        </w:rPr>
        <w:t xml:space="preserve"> six patients had a history of cerevrovascular stroke (17%)</w:t>
      </w:r>
      <w:r w:rsidR="00CF1619" w:rsidRPr="00C52063">
        <w:rPr>
          <w:sz w:val="20"/>
          <w:szCs w:val="20"/>
          <w:lang w:bidi="ar-EG"/>
        </w:rPr>
        <w:t xml:space="preserve"> </w:t>
      </w:r>
      <w:r w:rsidRPr="00C52063">
        <w:rPr>
          <w:sz w:val="20"/>
          <w:szCs w:val="20"/>
          <w:lang w:bidi="ar-EG"/>
        </w:rPr>
        <w:t>and</w:t>
      </w:r>
      <w:r w:rsidR="00CF1619" w:rsidRPr="00C52063">
        <w:rPr>
          <w:sz w:val="20"/>
          <w:szCs w:val="20"/>
          <w:lang w:bidi="ar-EG"/>
        </w:rPr>
        <w:t xml:space="preserve"> </w:t>
      </w:r>
      <w:r w:rsidRPr="00C52063">
        <w:rPr>
          <w:sz w:val="20"/>
          <w:szCs w:val="20"/>
          <w:lang w:bidi="ar-EG"/>
        </w:rPr>
        <w:t>four had</w:t>
      </w:r>
      <w:r w:rsidR="00CF1619" w:rsidRPr="00C52063">
        <w:rPr>
          <w:sz w:val="20"/>
          <w:szCs w:val="20"/>
          <w:lang w:bidi="ar-EG"/>
        </w:rPr>
        <w:t xml:space="preserve"> </w:t>
      </w:r>
      <w:r w:rsidRPr="00C52063">
        <w:rPr>
          <w:sz w:val="20"/>
          <w:szCs w:val="20"/>
          <w:lang w:bidi="ar-EG"/>
        </w:rPr>
        <w:t>history of vascular disease</w:t>
      </w:r>
      <w:r w:rsidR="00CF1619" w:rsidRPr="00C52063">
        <w:rPr>
          <w:sz w:val="20"/>
          <w:szCs w:val="20"/>
          <w:lang w:bidi="ar-EG"/>
        </w:rPr>
        <w:t>s (</w:t>
      </w:r>
      <w:r w:rsidRPr="00C52063">
        <w:rPr>
          <w:sz w:val="20"/>
          <w:szCs w:val="20"/>
          <w:lang w:bidi="ar-EG"/>
        </w:rPr>
        <w:t>11.8%).</w:t>
      </w:r>
    </w:p>
    <w:p w:rsidR="00D67AA3" w:rsidRPr="00C52063" w:rsidRDefault="00CF1619" w:rsidP="00C52063">
      <w:pPr>
        <w:pStyle w:val="NoSpacing"/>
        <w:snapToGrid w:val="0"/>
        <w:ind w:firstLine="425"/>
        <w:jc w:val="both"/>
        <w:rPr>
          <w:sz w:val="20"/>
          <w:szCs w:val="20"/>
        </w:rPr>
      </w:pPr>
      <w:r w:rsidRPr="00C52063">
        <w:rPr>
          <w:sz w:val="20"/>
          <w:szCs w:val="20"/>
          <w:lang w:bidi="ar-EG"/>
        </w:rPr>
        <w:t>T</w:t>
      </w:r>
      <w:r w:rsidR="00D67AA3" w:rsidRPr="00C52063">
        <w:rPr>
          <w:sz w:val="20"/>
          <w:szCs w:val="20"/>
          <w:lang w:bidi="ar-EG"/>
        </w:rPr>
        <w:t xml:space="preserve">his came in agreement with a meta-analysis conducted by </w:t>
      </w:r>
      <w:r w:rsidR="00D67AA3" w:rsidRPr="00C52063">
        <w:rPr>
          <w:bCs/>
          <w:sz w:val="20"/>
          <w:szCs w:val="20"/>
        </w:rPr>
        <w:t>Fajar et al</w:t>
      </w:r>
      <w:r w:rsidR="00D67AA3" w:rsidRPr="00C52063">
        <w:rPr>
          <w:sz w:val="20"/>
          <w:szCs w:val="20"/>
        </w:rPr>
        <w:t>. which found that</w:t>
      </w:r>
      <w:r w:rsidRPr="00C52063">
        <w:rPr>
          <w:sz w:val="20"/>
          <w:szCs w:val="20"/>
        </w:rPr>
        <w:t xml:space="preserve"> </w:t>
      </w:r>
      <w:r w:rsidR="00D67AA3" w:rsidRPr="00C52063">
        <w:rPr>
          <w:sz w:val="20"/>
          <w:szCs w:val="20"/>
        </w:rPr>
        <w:t>diabetes mellitus and hypertension were proven to be associated with the risk of no reflow</w:t>
      </w:r>
      <w:r w:rsidR="00641C07" w:rsidRPr="00C52063">
        <w:rPr>
          <w:sz w:val="20"/>
          <w:szCs w:val="20"/>
        </w:rPr>
        <w:fldChar w:fldCharType="begin" w:fldLock="1"/>
      </w:r>
      <w:r w:rsidR="004F0530" w:rsidRPr="00C52063">
        <w:rPr>
          <w:sz w:val="20"/>
          <w:szCs w:val="20"/>
        </w:rPr>
        <w:instrText>ADDIN CSL_CITATION {"citationItems":[{"id":"ITEM-1","itemData":{"author":[{"dropping-particle":"","family":"Fajar","given":"JK","non-dropping-particle":"","parse-names":false,"suffix":""},{"dropping-particle":"","family":"Heriansyah","given":"T","non-dropping-particle":"","parse-names":false,"suffix":""},{"dropping-particle":"","family":"Journal","given":"MS Rohman - Indian heart","non-dropping-particle":"","parse-names":false,"suffix":""},{"dropping-particle":"","family":"2018","given":"Undefined","non-dropping-particle":"","parse-names":false,"suffix":""}],"container-title":"Elsevier","id":"ITEM-1","issued":{"date-parts":[["0"]]},"title":"The predictors of no reflow phenomenon after percutaneous coronary intervention in patients with ST elevation myocardial infarction: A meta-analysis","type":"article-journal"},"uris":["http://www.mendeley.com/documents/?uuid=f0135113-e70d-3ad7-908d-3916e0f22efb"]}],"mendeley":{"formattedCitation":"&lt;sup&gt;9&lt;/sup&gt;","plainTextFormattedCitation":"9","previouslyFormattedCitation":"&lt;sup&gt;9&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9</w:t>
      </w:r>
      <w:r w:rsidR="00641C07" w:rsidRPr="00C52063">
        <w:rPr>
          <w:sz w:val="20"/>
          <w:szCs w:val="20"/>
        </w:rPr>
        <w:fldChar w:fldCharType="end"/>
      </w:r>
      <w:r w:rsidR="00D67AA3" w:rsidRPr="00C52063">
        <w:rPr>
          <w:sz w:val="20"/>
          <w:szCs w:val="20"/>
        </w:rPr>
        <w:t xml:space="preserve">. </w:t>
      </w:r>
    </w:p>
    <w:p w:rsidR="00D67AA3" w:rsidRPr="00C52063" w:rsidRDefault="00D67AA3" w:rsidP="00C52063">
      <w:pPr>
        <w:pStyle w:val="NoSpacing"/>
        <w:snapToGrid w:val="0"/>
        <w:ind w:firstLine="425"/>
        <w:jc w:val="both"/>
        <w:rPr>
          <w:sz w:val="20"/>
          <w:szCs w:val="20"/>
        </w:rPr>
      </w:pPr>
      <w:r w:rsidRPr="00C52063">
        <w:rPr>
          <w:sz w:val="20"/>
          <w:szCs w:val="20"/>
        </w:rPr>
        <w:t>Similarly, In a study conducted by Celik et al.</w:t>
      </w:r>
      <w:r w:rsidR="00641C07" w:rsidRPr="00C52063">
        <w:rPr>
          <w:sz w:val="20"/>
          <w:szCs w:val="20"/>
        </w:rPr>
        <w:fldChar w:fldCharType="begin" w:fldLock="1"/>
      </w:r>
      <w:r w:rsidR="004F0530" w:rsidRPr="00C52063">
        <w:rPr>
          <w:sz w:val="20"/>
          <w:szCs w:val="20"/>
        </w:rPr>
        <w:instrText>ADDIN CSL_CITATION {"citationItems":[{"id":"ITEM-1","itemData":{"DOI":"10.1177/0003319715605977","ISSN":"0003-3197","author":[{"dropping-particle":"","family":"Celik","given":"Turgay","non-dropping-particle":"","parse-names":false,"suffix":""},{"dropping-particle":"","family":"Balta","given":"Sevket","non-dropping-particle":"","parse-names":false,"suffix":""},{"dropping-particle":"","family":"Ozturk","given":"Cengiz","non-dropping-particle":"","parse-names":false,"suffix":""},{"dropping-particle":"","family":"Kaya","given":"Mehmet Gungor","non-dropping-particle":"","parse-names":false,"suffix":""},{"dropping-particle":"","family":"Aparci","given":"Mustafa","non-dropping-particle":"","parse-names":false,"suffix":""},{"dropping-particle":"","family":"Yildirim","given":"Osman A.","non-dropping-particle":"","parse-names":false,"suffix":""},{"dropping-particle":"","family":"Demir","given":"Mustafa","non-dropping-particle":"","parse-names":false,"suffix":""},{"dropping-particle":"","family":"Unlu","given":"Murat","non-dropping-particle":"","parse-names":false,"suffix":""},{"dropping-particle":"","family":"Demirkol","given":"Sait","non-dropping-particle":"","parse-names":false,"suffix":""},{"dropping-particle":"","family":"Kilic","given":"Selim","non-dropping-particle":"","parse-names":false,"suffix":""},{"dropping-particle":"","family":"Iyisoy","given":"Atila","non-dropping-particle":"","parse-names":false,"suffix":""}],"container-title":"Angiology","id":"ITEM-1","issue":"7","issued":{"date-parts":[["2016","8","13"]]},"page":"683-689","title":"Predictors of No-Reflow Phenomenon in Young Patients With Acute ST-Segment Elevation Myocardial Infarction Undergoing Primary Percutaneous Coronary Intervention","type":"article-journal","volume":"67"},"uris":["http://www.mendeley.com/documents/?uuid=0fbc0fa5-0afd-3e54-8c59-b4441a742473"]}],"mendeley":{"formattedCitation":"&lt;sup&gt;10&lt;/sup&gt;","plainTextFormattedCitation":"10","previouslyFormattedCitation":"&lt;sup&gt;10&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10</w:t>
      </w:r>
      <w:r w:rsidR="00641C07" w:rsidRPr="00C52063">
        <w:rPr>
          <w:sz w:val="20"/>
          <w:szCs w:val="20"/>
        </w:rPr>
        <w:fldChar w:fldCharType="end"/>
      </w:r>
      <w:r w:rsidRPr="00C52063">
        <w:rPr>
          <w:sz w:val="20"/>
          <w:szCs w:val="20"/>
        </w:rPr>
        <w:t>on</w:t>
      </w:r>
      <w:r w:rsidRPr="00C52063">
        <w:rPr>
          <w:rFonts w:eastAsiaTheme="minorHAnsi"/>
          <w:sz w:val="20"/>
          <w:szCs w:val="20"/>
        </w:rPr>
        <w:t>885 patients presented with STEMI and</w:t>
      </w:r>
      <w:r w:rsidR="00CF1619" w:rsidRPr="00C52063">
        <w:rPr>
          <w:rFonts w:eastAsiaTheme="minorHAnsi"/>
          <w:sz w:val="20"/>
          <w:szCs w:val="20"/>
        </w:rPr>
        <w:t xml:space="preserve"> </w:t>
      </w:r>
      <w:r w:rsidRPr="00C52063">
        <w:rPr>
          <w:rFonts w:eastAsiaTheme="minorHAnsi"/>
          <w:sz w:val="20"/>
          <w:szCs w:val="20"/>
        </w:rPr>
        <w:t>treated with primary PCI in two tertiary centers in Turkey from 2014 to 2015 to asses predictors of</w:t>
      </w:r>
      <w:r w:rsidR="00CF1619" w:rsidRPr="00C52063">
        <w:rPr>
          <w:rFonts w:eastAsiaTheme="minorHAnsi"/>
          <w:sz w:val="20"/>
          <w:szCs w:val="20"/>
        </w:rPr>
        <w:t xml:space="preserve"> </w:t>
      </w:r>
      <w:r w:rsidRPr="00C52063">
        <w:rPr>
          <w:rFonts w:eastAsiaTheme="minorHAnsi"/>
          <w:sz w:val="20"/>
          <w:szCs w:val="20"/>
        </w:rPr>
        <w:t>no-reflow phenomenon in young</w:t>
      </w:r>
      <w:r w:rsidR="00CF1619" w:rsidRPr="00C52063">
        <w:rPr>
          <w:rFonts w:eastAsiaTheme="minorHAnsi"/>
          <w:sz w:val="20"/>
          <w:szCs w:val="20"/>
        </w:rPr>
        <w:t xml:space="preserve"> </w:t>
      </w:r>
      <w:r w:rsidRPr="00C52063">
        <w:rPr>
          <w:rFonts w:eastAsiaTheme="minorHAnsi"/>
          <w:sz w:val="20"/>
          <w:szCs w:val="20"/>
        </w:rPr>
        <w:t>patients,</w:t>
      </w:r>
      <w:r w:rsidRPr="00C52063">
        <w:rPr>
          <w:sz w:val="20"/>
          <w:szCs w:val="20"/>
        </w:rPr>
        <w:t xml:space="preserve"> patients with no reflow were more likely to have diabetes and hypertension (29.6% vs 11.0%, P.value = 0.013 and 59.3% vs 27.1%, P.value 0.001, respectively)</w:t>
      </w:r>
      <w:r w:rsidR="00641C07" w:rsidRPr="00C52063">
        <w:rPr>
          <w:sz w:val="20"/>
          <w:szCs w:val="20"/>
        </w:rPr>
        <w:fldChar w:fldCharType="begin" w:fldLock="1"/>
      </w:r>
      <w:r w:rsidR="004F0530" w:rsidRPr="00C52063">
        <w:rPr>
          <w:sz w:val="20"/>
          <w:szCs w:val="20"/>
        </w:rPr>
        <w:instrText>ADDIN CSL_CITATION {"citationItems":[{"id":"ITEM-1","itemData":{"DOI":"10.1177/0003319715605977","ISSN":"0003-3197","author":[{"dropping-particle":"","family":"Celik","given":"Turgay","non-dropping-particle":"","parse-names":false,"suffix":""},{"dropping-particle":"","family":"Balta","given":"Sevket","non-dropping-particle":"","parse-names":false,"suffix":""},{"dropping-particle":"","family":"Ozturk","given":"Cengiz","non-dropping-particle":"","parse-names":false,"suffix":""},{"dropping-particle":"","family":"Kaya","given":"Mehmet Gungor","non-dropping-particle":"","parse-names":false,"suffix":""},{"dropping-particle":"","family":"Aparci","given":"Mustafa","non-dropping-particle":"","parse-names":false,"suffix":""},{"dropping-particle":"","family":"Yildirim","given":"Osman A.","non-dropping-particle":"","parse-names":false,"suffix":""},{"dropping-particle":"","family":"Demir","given":"Mustafa","non-dropping-particle":"","parse-names":false,"suffix":""},{"dropping-particle":"","family":"Unlu","given":"Murat","non-dropping-particle":"","parse-names":false,"suffix":""},{"dropping-particle":"","family":"Demirkol","given":"Sait","non-dropping-particle":"","parse-names":false,"suffix":""},{"dropping-particle":"","family":"Kilic","given":"Selim","non-dropping-particle":"","parse-names":false,"suffix":""},{"dropping-particle":"","family":"Iyisoy","given":"Atila","non-dropping-particle":"","parse-names":false,"suffix":""}],"container-title":"Angiology","id":"ITEM-1","issue":"7","issued":{"date-parts":[["2016","8","13"]]},"page":"683-689","title":"Predictors of No-Reflow Phenomenon in Young Patients With Acute ST-Segment Elevation Myocardial Infarction Undergoing Primary Percutaneous Coronary Intervention","type":"article-journal","volume":"67"},"uris":["http://www.mendeley.com/documents/?uuid=0fbc0fa5-0afd-3e54-8c59-b4441a742473"]}],"mendeley":{"formattedCitation":"&lt;sup&gt;10&lt;/sup&gt;","plainTextFormattedCitation":"10","previouslyFormattedCitation":"&lt;sup&gt;10&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10</w:t>
      </w:r>
      <w:r w:rsidR="00641C07" w:rsidRPr="00C52063">
        <w:rPr>
          <w:sz w:val="20"/>
          <w:szCs w:val="20"/>
        </w:rPr>
        <w:fldChar w:fldCharType="end"/>
      </w:r>
      <w:r w:rsidRPr="00C52063">
        <w:rPr>
          <w:sz w:val="20"/>
          <w:szCs w:val="20"/>
        </w:rPr>
        <w:t>.</w:t>
      </w:r>
    </w:p>
    <w:p w:rsidR="00D67AA3" w:rsidRPr="00C52063" w:rsidRDefault="00D67AA3" w:rsidP="00C52063">
      <w:pPr>
        <w:pStyle w:val="NoSpacing"/>
        <w:snapToGrid w:val="0"/>
        <w:ind w:firstLine="425"/>
        <w:jc w:val="both"/>
        <w:rPr>
          <w:rFonts w:eastAsiaTheme="minorHAnsi"/>
          <w:sz w:val="20"/>
          <w:szCs w:val="20"/>
        </w:rPr>
      </w:pPr>
      <w:r w:rsidRPr="00C52063">
        <w:rPr>
          <w:sz w:val="20"/>
          <w:szCs w:val="20"/>
        </w:rPr>
        <w:t xml:space="preserve">Also, a study conducted by </w:t>
      </w:r>
      <w:r w:rsidRPr="00C52063">
        <w:rPr>
          <w:bCs/>
          <w:sz w:val="20"/>
          <w:szCs w:val="20"/>
        </w:rPr>
        <w:t>Tian et al.</w:t>
      </w:r>
      <w:r w:rsidR="00641C07" w:rsidRPr="00C52063">
        <w:rPr>
          <w:bCs/>
          <w:sz w:val="20"/>
          <w:szCs w:val="20"/>
        </w:rPr>
        <w:fldChar w:fldCharType="begin" w:fldLock="1"/>
      </w:r>
      <w:r w:rsidR="004F0530" w:rsidRPr="00C52063">
        <w:rPr>
          <w:bCs/>
          <w:sz w:val="20"/>
          <w:szCs w:val="20"/>
        </w:rPr>
        <w:instrText>ADDIN CSL_CITATION {"citationItems":[{"id":"ITEM-1","itemData":{"author":[{"dropping-particle":"","family":"Tian","given":"J","non-dropping-particle":"","parse-names":false,"suffix":""},{"dropping-particle":"","family":"Liu","given":"Y","non-dropping-particle":"","parse-names":false,"suffix":""},{"dropping-particle":"","family":"Song","given":"X","non-dropping-particle":"","parse-names":false,"suffix":""},{"dropping-particle":"","family":"Zhang","given":"M","non-dropping-particle":"","parse-names":false,"suffix":""},{"dropping-particle":"","family":"…","given":"F Xu - BioMed research","non-dropping-particle":"","parse-names":false,"suffix":""},{"dropping-particle":"","family":"2016","given":"Undefined","non-dropping-particle":"","parse-names":false,"suffix":""}],"id":"ITEM-1","issued":{"date-parts":[["0"]]},"title":"Clinic predictive factors for insufficient myocardial reperfusion in ST-segment elevation myocardial infarction patients treated with selective aspiration Thrombectomy","type":"article-journal"},"uris":["http://www.mendeley.com/documents/?uuid=a1fd7767-de89-3d07-9d1c-56c6bd4159b5"]}],"mendeley":{"formattedCitation":"&lt;sup&gt;11&lt;/sup&gt;","plainTextFormattedCitation":"11","previouslyFormattedCitation":"&lt;sup&gt;11&lt;/sup&gt;"},"properties":{"noteIndex":0},"schema":"https://github.com/citation-style-language/schema/raw/master/csl-citation.json"}</w:instrText>
      </w:r>
      <w:r w:rsidR="00641C07" w:rsidRPr="00C52063">
        <w:rPr>
          <w:bCs/>
          <w:sz w:val="20"/>
          <w:szCs w:val="20"/>
        </w:rPr>
        <w:fldChar w:fldCharType="separate"/>
      </w:r>
      <w:r w:rsidR="004F0530" w:rsidRPr="00C52063">
        <w:rPr>
          <w:bCs/>
          <w:noProof/>
          <w:sz w:val="20"/>
          <w:szCs w:val="20"/>
          <w:vertAlign w:val="superscript"/>
        </w:rPr>
        <w:t>11</w:t>
      </w:r>
      <w:r w:rsidR="00641C07" w:rsidRPr="00C52063">
        <w:rPr>
          <w:bCs/>
          <w:sz w:val="20"/>
          <w:szCs w:val="20"/>
        </w:rPr>
        <w:fldChar w:fldCharType="end"/>
      </w:r>
      <w:r w:rsidRPr="00C52063">
        <w:rPr>
          <w:sz w:val="20"/>
          <w:szCs w:val="20"/>
        </w:rPr>
        <w:t xml:space="preserve"> and included </w:t>
      </w:r>
      <w:r w:rsidRPr="00C52063">
        <w:rPr>
          <w:rFonts w:eastAsiaTheme="minorHAnsi"/>
          <w:sz w:val="20"/>
          <w:szCs w:val="20"/>
        </w:rPr>
        <w:t xml:space="preserve">277 STEMI patients from January 2011 till December 2015 aiming to asses predictive factors for insufficient myocardial reperfusion in ST segment elevation myocardial infarction in patients treated with selective aspiration thrombectomy during primary PCI found that noreflow occurs more </w:t>
      </w:r>
      <w:r w:rsidR="00B5174A" w:rsidRPr="00C52063">
        <w:rPr>
          <w:rFonts w:eastAsiaTheme="minorHAnsi"/>
          <w:sz w:val="20"/>
          <w:szCs w:val="20"/>
        </w:rPr>
        <w:t>common</w:t>
      </w:r>
      <w:r w:rsidRPr="00C52063">
        <w:rPr>
          <w:rFonts w:eastAsiaTheme="minorHAnsi"/>
          <w:sz w:val="20"/>
          <w:szCs w:val="20"/>
        </w:rPr>
        <w:t xml:space="preserve"> in hypertensive patients in comparison to normal flow group</w:t>
      </w:r>
      <w:r w:rsidR="00C52063" w:rsidRPr="00C52063">
        <w:rPr>
          <w:rFonts w:eastAsiaTheme="minorHAnsi"/>
          <w:sz w:val="20"/>
          <w:szCs w:val="20"/>
        </w:rPr>
        <w:t>,</w:t>
      </w:r>
      <w:r w:rsidR="00C52063">
        <w:rPr>
          <w:rFonts w:eastAsiaTheme="minorHAnsi"/>
          <w:sz w:val="20"/>
          <w:szCs w:val="20"/>
        </w:rPr>
        <w:t xml:space="preserve"> </w:t>
      </w:r>
      <w:r w:rsidR="00C52063" w:rsidRPr="00C52063">
        <w:rPr>
          <w:rFonts w:eastAsiaTheme="minorHAnsi"/>
          <w:sz w:val="20"/>
          <w:szCs w:val="20"/>
        </w:rPr>
        <w:t>P</w:t>
      </w:r>
      <w:r w:rsidRPr="00C52063">
        <w:rPr>
          <w:rFonts w:eastAsiaTheme="minorHAnsi"/>
          <w:sz w:val="20"/>
          <w:szCs w:val="20"/>
        </w:rPr>
        <w:t>.value=0.002</w:t>
      </w:r>
      <w:r w:rsidR="00641C07" w:rsidRPr="00C52063">
        <w:rPr>
          <w:rFonts w:eastAsiaTheme="minorHAnsi"/>
          <w:sz w:val="20"/>
          <w:szCs w:val="20"/>
        </w:rPr>
        <w:fldChar w:fldCharType="begin" w:fldLock="1"/>
      </w:r>
      <w:r w:rsidR="004F0530" w:rsidRPr="00C52063">
        <w:rPr>
          <w:rFonts w:eastAsiaTheme="minorHAnsi"/>
          <w:sz w:val="20"/>
          <w:szCs w:val="20"/>
        </w:rPr>
        <w:instrText>ADDIN CSL_CITATION {"citationItems":[{"id":"ITEM-1","itemData":{"author":[{"dropping-particle":"","family":"Tian","given":"J","non-dropping-particle":"","parse-names":false,"suffix":""},{"dropping-particle":"","family":"Liu","given":"Y","non-dropping-particle":"","parse-names":false,"suffix":""},{"dropping-particle":"","family":"Song","given":"X","non-dropping-particle":"","parse-names":false,"suffix":""},{"dropping-particle":"","family":"Zhang","given":"M","non-dropping-particle":"","parse-names":false,"suffix":""},{"dropping-particle":"","family":"…","given":"F Xu - BioMed research","non-dropping-particle":"","parse-names":false,"suffix":""},{"dropping-particle":"","family":"2016","given":"Undefined","non-dropping-particle":"","parse-names":false,"suffix":""}],"id":"ITEM-1","issued":{"date-parts":[["0"]]},"title":"Clinic predictive factors for insufficient myocardial reperfusion in ST-segment elevation myocardial infarction patients treated with selective aspiration Thrombectomy","type":"article-journal"},"uris":["http://www.mendeley.com/documents/?uuid=a1fd7767-de89-3d07-9d1c-56c6bd4159b5"]}],"mendeley":{"formattedCitation":"&lt;sup&gt;11&lt;/sup&gt;","plainTextFormattedCitation":"11","previouslyFormattedCitation":"&lt;sup&gt;11&lt;/sup&gt;"},"properties":{"noteIndex":0},"schema":"https://github.com/citation-style-language/schema/raw/master/csl-citation.json"}</w:instrText>
      </w:r>
      <w:r w:rsidR="00641C07" w:rsidRPr="00C52063">
        <w:rPr>
          <w:rFonts w:eastAsiaTheme="minorHAnsi"/>
          <w:sz w:val="20"/>
          <w:szCs w:val="20"/>
        </w:rPr>
        <w:fldChar w:fldCharType="separate"/>
      </w:r>
      <w:r w:rsidR="004F0530" w:rsidRPr="00C52063">
        <w:rPr>
          <w:rFonts w:eastAsiaTheme="minorHAnsi"/>
          <w:noProof/>
          <w:sz w:val="20"/>
          <w:szCs w:val="20"/>
          <w:vertAlign w:val="superscript"/>
        </w:rPr>
        <w:t>11</w:t>
      </w:r>
      <w:r w:rsidR="00641C07" w:rsidRPr="00C52063">
        <w:rPr>
          <w:rFonts w:eastAsiaTheme="minorHAnsi"/>
          <w:sz w:val="20"/>
          <w:szCs w:val="20"/>
        </w:rPr>
        <w:fldChar w:fldCharType="end"/>
      </w:r>
      <w:r w:rsidRPr="00C52063">
        <w:rPr>
          <w:rFonts w:eastAsiaTheme="minorHAnsi"/>
          <w:sz w:val="20"/>
          <w:szCs w:val="20"/>
        </w:rPr>
        <w:t>.</w:t>
      </w:r>
    </w:p>
    <w:p w:rsidR="00D67AA3" w:rsidRPr="00C52063" w:rsidRDefault="00D67AA3" w:rsidP="00C52063">
      <w:pPr>
        <w:pStyle w:val="NoSpacing"/>
        <w:snapToGrid w:val="0"/>
        <w:ind w:firstLine="425"/>
        <w:jc w:val="both"/>
        <w:rPr>
          <w:sz w:val="20"/>
          <w:szCs w:val="20"/>
        </w:rPr>
      </w:pPr>
      <w:r w:rsidRPr="00C52063">
        <w:rPr>
          <w:sz w:val="20"/>
          <w:szCs w:val="20"/>
        </w:rPr>
        <w:t>The more prevalence of noreflow in patients with diabetes mellitus</w:t>
      </w:r>
      <w:r w:rsidR="00641C07" w:rsidRPr="00C52063">
        <w:rPr>
          <w:sz w:val="20"/>
          <w:szCs w:val="20"/>
        </w:rPr>
        <w:fldChar w:fldCharType="begin" w:fldLock="1"/>
      </w:r>
      <w:r w:rsidR="004F0530" w:rsidRPr="00C52063">
        <w:rPr>
          <w:sz w:val="20"/>
          <w:szCs w:val="20"/>
        </w:rPr>
        <w:instrText>ADDIN CSL_CITATION {"citationItems":[{"id":"ITEM-1","itemData":{"DOI":"10.1007/s11154-010-9134-4","ISSN":"13899155","abstract":"Cardiovascular disease is a major complication of diabetes mellitus, and improved strategies for prevention and treatment are needed. Endothelial dysfunction contributes to the pathogenesis and clinical expression of atherosclerosis in diabetes mellitus. This article reviews the evidence linking endothelial dysfunction to human diabetes mellitus and experimental studies that investigated the responsible mechanisms. We then discuss the implications of these studies for current management and for new approaches for the prevention and treatment of cardiovascular disease in patients with diabetes mellitus.","author":[{"dropping-particle":"","family":"Tabit","given":"Corey E.","non-dropping-particle":"","parse-names":false,"suffix":""},{"dropping-particle":"","family":"Chung","given":"William B.","non-dropping-particle":"","parse-names":false,"suffix":""},{"dropping-particle":"","family":"Hamburg","given":"Naomi M.","non-dropping-particle":"","parse-names":false,"suffix":""},{"dropping-particle":"","family":"Vita","given":"Joseph A.","non-dropping-particle":"","parse-names":false,"suffix":""}],"container-title":"Reviews in Endocrine and Metabolic Disorders","id":"ITEM-1","issued":{"date-parts":[["2010"]]},"title":"Endothelial dysfunction in diabetes mellitus: Molecular mechanisms and clinical implications","type":"article"},"uris":["http://www.mendeley.com/documents/?uuid=0088b095-795a-37f0-8e14-799987217203"]}],"mendeley":{"formattedCitation":"&lt;sup&gt;12&lt;/sup&gt;","plainTextFormattedCitation":"12","previouslyFormattedCitation":"&lt;sup&gt;12&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12</w:t>
      </w:r>
      <w:r w:rsidR="00641C07" w:rsidRPr="00C52063">
        <w:rPr>
          <w:sz w:val="20"/>
          <w:szCs w:val="20"/>
        </w:rPr>
        <w:fldChar w:fldCharType="end"/>
      </w:r>
      <w:r w:rsidRPr="00C52063">
        <w:rPr>
          <w:sz w:val="20"/>
          <w:szCs w:val="20"/>
        </w:rPr>
        <w:t xml:space="preserve"> and hypertension</w:t>
      </w:r>
      <w:r w:rsidR="00641C07" w:rsidRPr="00C52063">
        <w:rPr>
          <w:sz w:val="20"/>
          <w:szCs w:val="20"/>
        </w:rPr>
        <w:fldChar w:fldCharType="begin" w:fldLock="1"/>
      </w:r>
      <w:r w:rsidR="004F0530" w:rsidRPr="00C52063">
        <w:rPr>
          <w:sz w:val="20"/>
          <w:szCs w:val="20"/>
        </w:rPr>
        <w:instrText>ADDIN CSL_CITATION {"citationItems":[{"id":"ITEM-1","itemData":{"author":[{"dropping-particle":"","family":"Puddu","given":"P","non-dropping-particle":"","parse-names":false,"suffix":""},{"dropping-particle":"","family":"Puddu","given":"GM","non-dropping-particle":"","parse-names":false,"suffix":""},{"dropping-particle":"","family":"Zaca","given":"F","non-dropping-particle":"","parse-names":false,"suffix":""},{"dropping-particle":"","family":"Cardiologica","given":"A Muscari - Acta","non-dropping-particle":"","parse-names":false,"suffix":""},{"dropping-particle":"","family":"2000","given":"Undefined","non-dropping-particle":"","parse-names":false,"suffix":""}],"id":"ITEM-1","issued":{"date-parts":[["0"]]},"title":"Endothelial dysfunction in hypertension.","type":"article-journal"},"uris":["http://www.mendeley.com/documents/?uuid=d0cc9f13-2ce7-3d29-b20e-4a7d4d582d6f"]}],"mendeley":{"formattedCitation":"&lt;sup&gt;13&lt;/sup&gt;","plainTextFormattedCitation":"13","previouslyFormattedCitation":"&lt;sup&gt;13&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13</w:t>
      </w:r>
      <w:r w:rsidR="00641C07" w:rsidRPr="00C52063">
        <w:rPr>
          <w:sz w:val="20"/>
          <w:szCs w:val="20"/>
        </w:rPr>
        <w:fldChar w:fldCharType="end"/>
      </w:r>
      <w:r w:rsidRPr="00C52063">
        <w:rPr>
          <w:sz w:val="20"/>
          <w:szCs w:val="20"/>
        </w:rPr>
        <w:t xml:space="preserve"> correlates mainly with endothelial dysfunction.</w:t>
      </w:r>
    </w:p>
    <w:p w:rsidR="00D67AA3" w:rsidRPr="00C52063" w:rsidRDefault="00D67AA3" w:rsidP="00C52063">
      <w:pPr>
        <w:pStyle w:val="NoSpacing"/>
        <w:snapToGrid w:val="0"/>
        <w:ind w:firstLine="425"/>
        <w:jc w:val="both"/>
        <w:rPr>
          <w:sz w:val="20"/>
          <w:szCs w:val="20"/>
        </w:rPr>
      </w:pPr>
      <w:r w:rsidRPr="00C52063">
        <w:rPr>
          <w:sz w:val="20"/>
          <w:szCs w:val="20"/>
        </w:rPr>
        <w:t xml:space="preserve">In concordant with our study, a study conducted by </w:t>
      </w:r>
      <w:r w:rsidRPr="00C52063">
        <w:rPr>
          <w:rFonts w:eastAsiaTheme="minorHAnsi"/>
          <w:sz w:val="20"/>
          <w:szCs w:val="20"/>
        </w:rPr>
        <w:t>Avci et al.</w:t>
      </w:r>
      <w:r w:rsidR="00641C07" w:rsidRPr="00C52063">
        <w:rPr>
          <w:rFonts w:eastAsiaTheme="minorHAnsi"/>
          <w:sz w:val="20"/>
          <w:szCs w:val="20"/>
        </w:rPr>
        <w:fldChar w:fldCharType="begin" w:fldLock="1"/>
      </w:r>
      <w:r w:rsidR="004F0530" w:rsidRPr="00C52063">
        <w:rPr>
          <w:rFonts w:eastAsiaTheme="minorHAnsi"/>
          <w:sz w:val="20"/>
          <w:szCs w:val="20"/>
        </w:rPr>
        <w:instrText>ADDIN CSL_CITATION {"citationItems":[{"id":"ITEM-1","itemData":{"author":[{"dropping-particle":"","family":"Avci","given":"E","non-dropping-particle":"","parse-names":false,"suffix":""},{"dropping-particle":"","family":"Yildirim","given":"T","non-dropping-particle":"","parse-names":false,"suffix":""},{"dropping-particle":"","family":"Aydin","given":"G","non-dropping-particle":"","parse-names":false,"suffix":""},{"dropping-particle":"","family":"Kiris","given":"T","non-dropping-particle":"","parse-names":false,"suffix":""},{"dropping-particle":"","family":"Dolapoglu","given":"A","non-dropping-particle":"","parse-names":false,"suffix":""},{"dropping-particle":"","family":"Kadi","given":"H","non-dropping-particle":"","parse-names":false,"suffix":""},{"dropping-particle":"","family":"Safak","given":"O","non-dropping-particle":"","parse-names":false,"suffix":""},{"dropping-particle":"","family":"Bayata","given":"S","non-dropping-particle":"","parse-names":false,"suffix":""}],"id":"ITEM-1","issued":{"date-parts":[["0"]]},"title":"Combining clinical predictors to better predict for the no-reflow phenomenon","type":"report"},"uris":["http://www.mendeley.com/documents/?uuid=51ff6930-31d7-3c12-87f5-6165051fcc20"]}],"mendeley":{"formattedCitation":"&lt;sup&gt;14&lt;/sup&gt;","plainTextFormattedCitation":"14","previouslyFormattedCitation":"&lt;sup&gt;14&lt;/sup&gt;"},"properties":{"noteIndex":0},"schema":"https://github.com/citation-style-language/schema/raw/master/csl-citation.json"}</w:instrText>
      </w:r>
      <w:r w:rsidR="00641C07" w:rsidRPr="00C52063">
        <w:rPr>
          <w:rFonts w:eastAsiaTheme="minorHAnsi"/>
          <w:sz w:val="20"/>
          <w:szCs w:val="20"/>
        </w:rPr>
        <w:fldChar w:fldCharType="separate"/>
      </w:r>
      <w:r w:rsidR="004F0530" w:rsidRPr="00C52063">
        <w:rPr>
          <w:rFonts w:eastAsiaTheme="minorHAnsi"/>
          <w:noProof/>
          <w:sz w:val="20"/>
          <w:szCs w:val="20"/>
          <w:vertAlign w:val="superscript"/>
        </w:rPr>
        <w:t>14</w:t>
      </w:r>
      <w:r w:rsidR="00641C07" w:rsidRPr="00C52063">
        <w:rPr>
          <w:rFonts w:eastAsiaTheme="minorHAnsi"/>
          <w:sz w:val="20"/>
          <w:szCs w:val="20"/>
        </w:rPr>
        <w:fldChar w:fldCharType="end"/>
      </w:r>
      <w:r w:rsidRPr="00C52063">
        <w:rPr>
          <w:rFonts w:eastAsiaTheme="minorHAnsi"/>
          <w:sz w:val="20"/>
          <w:szCs w:val="20"/>
        </w:rPr>
        <w:t xml:space="preserve"> on </w:t>
      </w:r>
      <w:r w:rsidRPr="00C52063">
        <w:rPr>
          <w:rFonts w:eastAsia="Helvetica-Bold"/>
          <w:bCs/>
          <w:sz w:val="20"/>
          <w:szCs w:val="20"/>
        </w:rPr>
        <w:t>497 patients presented with STEMI found that history of vascular diseases and prior ischemic stroke or TIA are more prevalent in noreflow group in relation to normal flow group</w:t>
      </w:r>
      <w:r w:rsidRPr="00C52063">
        <w:rPr>
          <w:sz w:val="20"/>
          <w:szCs w:val="20"/>
        </w:rPr>
        <w:t xml:space="preserve"> (</w:t>
      </w:r>
      <w:r w:rsidRPr="00C52063">
        <w:rPr>
          <w:rFonts w:eastAsiaTheme="minorHAnsi"/>
          <w:sz w:val="20"/>
          <w:szCs w:val="20"/>
        </w:rPr>
        <w:t>5 % vs</w:t>
      </w:r>
      <w:r w:rsidR="00CF1619" w:rsidRPr="00C52063">
        <w:rPr>
          <w:rFonts w:eastAsiaTheme="minorHAnsi"/>
          <w:sz w:val="20"/>
          <w:szCs w:val="20"/>
        </w:rPr>
        <w:t xml:space="preserve"> </w:t>
      </w:r>
      <w:r w:rsidRPr="00C52063">
        <w:rPr>
          <w:rFonts w:eastAsiaTheme="minorHAnsi"/>
          <w:sz w:val="20"/>
          <w:szCs w:val="20"/>
        </w:rPr>
        <w:t>9%</w:t>
      </w:r>
      <w:r w:rsidR="00CF1619" w:rsidRPr="00C52063">
        <w:rPr>
          <w:rFonts w:eastAsiaTheme="minorHAnsi"/>
          <w:sz w:val="20"/>
          <w:szCs w:val="20"/>
        </w:rPr>
        <w:t>,</w:t>
      </w:r>
      <w:r w:rsidRPr="00C52063">
        <w:rPr>
          <w:rFonts w:eastAsiaTheme="minorHAnsi"/>
          <w:sz w:val="20"/>
          <w:szCs w:val="20"/>
        </w:rPr>
        <w:t xml:space="preserve"> P.value = 0.042</w:t>
      </w:r>
      <w:r w:rsidR="00CF1619" w:rsidRPr="00C52063">
        <w:rPr>
          <w:rFonts w:eastAsiaTheme="minorHAnsi"/>
          <w:sz w:val="20"/>
          <w:szCs w:val="20"/>
        </w:rPr>
        <w:t xml:space="preserve"> </w:t>
      </w:r>
      <w:r w:rsidRPr="00C52063">
        <w:rPr>
          <w:sz w:val="20"/>
          <w:szCs w:val="20"/>
        </w:rPr>
        <w:t>and</w:t>
      </w:r>
      <w:r w:rsidR="00CF1619" w:rsidRPr="00C52063">
        <w:rPr>
          <w:sz w:val="20"/>
          <w:szCs w:val="20"/>
        </w:rPr>
        <w:t xml:space="preserve"> </w:t>
      </w:r>
      <w:r w:rsidRPr="00C52063">
        <w:rPr>
          <w:rFonts w:eastAsiaTheme="minorHAnsi"/>
          <w:sz w:val="20"/>
          <w:szCs w:val="20"/>
        </w:rPr>
        <w:t>0.1 % vs 3%</w:t>
      </w:r>
      <w:r w:rsidR="00CF1619" w:rsidRPr="00C52063">
        <w:rPr>
          <w:rFonts w:eastAsiaTheme="minorHAnsi"/>
          <w:sz w:val="20"/>
          <w:szCs w:val="20"/>
        </w:rPr>
        <w:t>,</w:t>
      </w:r>
      <w:r w:rsidRPr="00C52063">
        <w:rPr>
          <w:rFonts w:eastAsiaTheme="minorHAnsi"/>
          <w:sz w:val="20"/>
          <w:szCs w:val="20"/>
        </w:rPr>
        <w:t xml:space="preserve"> </w:t>
      </w:r>
      <w:r w:rsidRPr="00C52063">
        <w:rPr>
          <w:sz w:val="20"/>
          <w:szCs w:val="20"/>
        </w:rPr>
        <w:t>P.value =</w:t>
      </w:r>
      <w:r w:rsidRPr="00C52063">
        <w:rPr>
          <w:rFonts w:eastAsiaTheme="minorHAnsi"/>
          <w:sz w:val="20"/>
          <w:szCs w:val="20"/>
        </w:rPr>
        <w:t>0.031)</w:t>
      </w:r>
      <w:r w:rsidRPr="00C52063">
        <w:rPr>
          <w:sz w:val="20"/>
          <w:szCs w:val="20"/>
        </w:rPr>
        <w:t>, respectively</w:t>
      </w:r>
      <w:r w:rsidR="00641C07" w:rsidRPr="00C52063">
        <w:rPr>
          <w:sz w:val="20"/>
          <w:szCs w:val="20"/>
        </w:rPr>
        <w:fldChar w:fldCharType="begin" w:fldLock="1"/>
      </w:r>
      <w:r w:rsidR="004F0530" w:rsidRPr="00C52063">
        <w:rPr>
          <w:sz w:val="20"/>
          <w:szCs w:val="20"/>
        </w:rPr>
        <w:instrText>ADDIN CSL_CITATION {"citationItems":[{"id":"ITEM-1","itemData":{"author":[{"dropping-particle":"","family":"Avci","given":"E","non-dropping-particle":"","parse-names":false,"suffix":""},{"dropping-particle":"","family":"Yildirim","given":"T","non-dropping-particle":"","parse-names":false,"suffix":""},{"dropping-particle":"","family":"Aydin","given":"G","non-dropping-particle":"","parse-names":false,"suffix":""},{"dropping-particle":"","family":"Kiris","given":"T","non-dropping-particle":"","parse-names":false,"suffix":""},{"dropping-particle":"","family":"Dolapoglu","given":"A","non-dropping-particle":"","parse-names":false,"suffix":""},{"dropping-particle":"","family":"Kadi","given":"H","non-dropping-particle":"","parse-names":false,"suffix":""},{"dropping-particle":"","family":"Safak","given":"O","non-dropping-particle":"","parse-names":false,"suffix":""},{"dropping-particle":"","family":"Bayata","given":"S","non-dropping-particle":"","parse-names":false,"suffix":""}],"id":"ITEM-1","issued":{"date-parts":[["0"]]},"title":"Combining clinical predictors to better predict for the no-reflow phenomenon","type":"report"},"uris":["http://www.mendeley.com/documents/?uuid=51ff6930-31d7-3c12-87f5-6165051fcc20"]}],"mendeley":{"formattedCitation":"&lt;sup&gt;14&lt;/sup&gt;","plainTextFormattedCitation":"14","previouslyFormattedCitation":"&lt;sup&gt;14&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14</w:t>
      </w:r>
      <w:r w:rsidR="00641C07" w:rsidRPr="00C52063">
        <w:rPr>
          <w:sz w:val="20"/>
          <w:szCs w:val="20"/>
        </w:rPr>
        <w:fldChar w:fldCharType="end"/>
      </w:r>
      <w:r w:rsidRPr="00C52063">
        <w:rPr>
          <w:sz w:val="20"/>
          <w:szCs w:val="20"/>
        </w:rPr>
        <w:t>.</w:t>
      </w:r>
    </w:p>
    <w:p w:rsidR="00CF1619" w:rsidRPr="00C52063" w:rsidRDefault="00D67AA3" w:rsidP="00C52063">
      <w:pPr>
        <w:pStyle w:val="NoSpacing"/>
        <w:snapToGrid w:val="0"/>
        <w:ind w:firstLine="425"/>
        <w:jc w:val="both"/>
        <w:rPr>
          <w:sz w:val="20"/>
          <w:szCs w:val="20"/>
        </w:rPr>
      </w:pPr>
      <w:r w:rsidRPr="00C52063">
        <w:rPr>
          <w:sz w:val="20"/>
          <w:szCs w:val="20"/>
        </w:rPr>
        <w:t>In our study we also found that noreflow phenomenon is more prevalent in smokers, dyslipidemics, those with positive family history of premature coronary artery disease and patients with</w:t>
      </w:r>
      <w:r w:rsidR="00CF1619" w:rsidRPr="00C52063">
        <w:rPr>
          <w:sz w:val="20"/>
          <w:szCs w:val="20"/>
        </w:rPr>
        <w:t xml:space="preserve"> </w:t>
      </w:r>
      <w:r w:rsidRPr="00C52063">
        <w:rPr>
          <w:sz w:val="20"/>
          <w:szCs w:val="20"/>
        </w:rPr>
        <w:t>congestive heart failure</w:t>
      </w:r>
      <w:r w:rsidR="00CF1619" w:rsidRPr="00C52063">
        <w:rPr>
          <w:sz w:val="20"/>
          <w:szCs w:val="20"/>
        </w:rPr>
        <w:t xml:space="preserve"> </w:t>
      </w:r>
      <w:r w:rsidRPr="00C52063">
        <w:rPr>
          <w:sz w:val="20"/>
          <w:szCs w:val="20"/>
        </w:rPr>
        <w:t>but the results were statistically insignificant, P.value&gt; 0.05 for all.</w:t>
      </w:r>
    </w:p>
    <w:p w:rsidR="00D67AA3" w:rsidRPr="00C52063" w:rsidRDefault="00CF1619" w:rsidP="00C52063">
      <w:pPr>
        <w:pStyle w:val="NoSpacing"/>
        <w:snapToGrid w:val="0"/>
        <w:ind w:firstLine="425"/>
        <w:jc w:val="both"/>
        <w:rPr>
          <w:sz w:val="20"/>
          <w:szCs w:val="20"/>
        </w:rPr>
      </w:pPr>
      <w:r w:rsidRPr="00C52063">
        <w:rPr>
          <w:sz w:val="20"/>
          <w:szCs w:val="20"/>
        </w:rPr>
        <w:t>O</w:t>
      </w:r>
      <w:r w:rsidR="00D67AA3" w:rsidRPr="00C52063">
        <w:rPr>
          <w:sz w:val="20"/>
          <w:szCs w:val="20"/>
        </w:rPr>
        <w:t>ur results showed that noreflow occurs more common in patients with clinical heart failure at time of admission</w:t>
      </w:r>
      <w:r w:rsidRPr="00C52063">
        <w:rPr>
          <w:sz w:val="20"/>
          <w:szCs w:val="20"/>
        </w:rPr>
        <w:t xml:space="preserve"> </w:t>
      </w:r>
      <w:r w:rsidR="00D67AA3" w:rsidRPr="00C52063">
        <w:rPr>
          <w:sz w:val="20"/>
          <w:szCs w:val="20"/>
        </w:rPr>
        <w:t xml:space="preserve">and that </w:t>
      </w:r>
      <w:r w:rsidR="00D67AA3" w:rsidRPr="00C52063">
        <w:rPr>
          <w:bCs/>
          <w:sz w:val="20"/>
          <w:szCs w:val="20"/>
        </w:rPr>
        <w:t>that the mean Ejection Fraction on admission was lower in noreflow</w:t>
      </w:r>
      <w:r w:rsidR="00B5174A">
        <w:rPr>
          <w:rFonts w:eastAsiaTheme="minorEastAsia" w:hint="eastAsia"/>
          <w:bCs/>
          <w:sz w:val="20"/>
          <w:szCs w:val="20"/>
          <w:lang w:eastAsia="zh-CN"/>
        </w:rPr>
        <w:t xml:space="preserve"> </w:t>
      </w:r>
      <w:r w:rsidR="00D67AA3" w:rsidRPr="00C52063">
        <w:rPr>
          <w:bCs/>
          <w:sz w:val="20"/>
          <w:szCs w:val="20"/>
        </w:rPr>
        <w:t>group</w:t>
      </w:r>
      <w:r w:rsidR="00C52063" w:rsidRPr="00C52063">
        <w:rPr>
          <w:bCs/>
          <w:sz w:val="20"/>
          <w:szCs w:val="20"/>
        </w:rPr>
        <w:t>.</w:t>
      </w:r>
      <w:r w:rsidR="00C52063">
        <w:rPr>
          <w:bCs/>
          <w:sz w:val="20"/>
          <w:szCs w:val="20"/>
        </w:rPr>
        <w:t xml:space="preserve"> </w:t>
      </w:r>
      <w:r w:rsidR="00C52063" w:rsidRPr="00C52063">
        <w:rPr>
          <w:sz w:val="20"/>
          <w:szCs w:val="20"/>
        </w:rPr>
        <w:t>b</w:t>
      </w:r>
      <w:r w:rsidR="00D67AA3" w:rsidRPr="00C52063">
        <w:rPr>
          <w:sz w:val="20"/>
          <w:szCs w:val="20"/>
        </w:rPr>
        <w:t>ut the results was statistically insignificant.</w:t>
      </w:r>
    </w:p>
    <w:p w:rsidR="00D67AA3" w:rsidRPr="00C52063" w:rsidRDefault="00D67AA3" w:rsidP="00C52063">
      <w:pPr>
        <w:pStyle w:val="NoSpacing"/>
        <w:snapToGrid w:val="0"/>
        <w:ind w:firstLine="425"/>
        <w:jc w:val="both"/>
        <w:rPr>
          <w:sz w:val="20"/>
          <w:szCs w:val="20"/>
        </w:rPr>
      </w:pPr>
      <w:r w:rsidRPr="00C52063">
        <w:rPr>
          <w:sz w:val="20"/>
          <w:szCs w:val="20"/>
        </w:rPr>
        <w:t xml:space="preserve">However, a study also conducted by </w:t>
      </w:r>
      <w:r w:rsidRPr="00C52063">
        <w:rPr>
          <w:bCs/>
          <w:sz w:val="20"/>
          <w:szCs w:val="20"/>
        </w:rPr>
        <w:t>Gagliard et al.</w:t>
      </w:r>
      <w:r w:rsidR="00641C07" w:rsidRPr="00C52063">
        <w:rPr>
          <w:sz w:val="20"/>
          <w:szCs w:val="20"/>
        </w:rPr>
        <w:fldChar w:fldCharType="begin" w:fldLock="1"/>
      </w:r>
      <w:r w:rsidR="004F0530" w:rsidRPr="00C52063">
        <w:rPr>
          <w:sz w:val="20"/>
          <w:szCs w:val="20"/>
        </w:rPr>
        <w:instrText>ADDIN CSL_CITATION {"citationItems":[{"id":"ITEM-1","itemData":{"author":[{"dropping-particle":"","family":"Gagliardi","given":"J","non-dropping-particle":"","parse-names":false,"suffix":""},{"dropping-particle":"","family":"Szarfer","given":"J","non-dropping-particle":"","parse-names":false,"suffix":""},{"dropping-particle":"","family":"…","given":"C Travetto - Argentine Journal of","non-dropping-particle":"","parse-names":false,"suffix":""},{"dropping-particle":"","family":"2013","given":"Undefined","non-dropping-particle":"","parse-names":false,"suffix":""}],"id":"ITEM-1","issued":{"date-parts":[["0"]]},"title":"Clinical predictors of no-reflow in percutaneous coronary Intervention for acute myocardial infarction","type":"article-journal"},"uris":["http://www.mendeley.com/documents/?uuid=dd9bfc54-cf58-3216-bc66-1418a8198ddb"]}],"mendeley":{"formattedCitation":"&lt;sup&gt;15&lt;/sup&gt;","plainTextFormattedCitation":"15","previouslyFormattedCitation":"&lt;sup&gt;15&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15</w:t>
      </w:r>
      <w:r w:rsidR="00641C07" w:rsidRPr="00C52063">
        <w:rPr>
          <w:sz w:val="20"/>
          <w:szCs w:val="20"/>
        </w:rPr>
        <w:fldChar w:fldCharType="end"/>
      </w:r>
      <w:r w:rsidRPr="00C52063">
        <w:rPr>
          <w:sz w:val="20"/>
          <w:szCs w:val="20"/>
        </w:rPr>
        <w:t xml:space="preserve"> including 742 patients with acute myocardial infarction treated with primary percutaneous coronary intervention between October 2001 and May 2011 found that heart failure at admission were significantly more common in patients with no-reflow ( 17.6% vs.10.1%; P.value= 0.01)</w:t>
      </w:r>
      <w:r w:rsidR="00641C07" w:rsidRPr="00C52063">
        <w:rPr>
          <w:sz w:val="20"/>
          <w:szCs w:val="20"/>
        </w:rPr>
        <w:fldChar w:fldCharType="begin" w:fldLock="1"/>
      </w:r>
      <w:r w:rsidR="004F0530" w:rsidRPr="00C52063">
        <w:rPr>
          <w:sz w:val="20"/>
          <w:szCs w:val="20"/>
        </w:rPr>
        <w:instrText>ADDIN CSL_CITATION {"citationItems":[{"id":"ITEM-1","itemData":{"author":[{"dropping-particle":"","family":"Gagliardi","given":"J","non-dropping-particle":"","parse-names":false,"suffix":""},{"dropping-particle":"","family":"Szarfer","given":"J","non-dropping-particle":"","parse-names":false,"suffix":""},{"dropping-particle":"","family":"…","given":"C Travetto - Argentine Journal of","non-dropping-particle":"","parse-names":false,"suffix":""},{"dropping-particle":"","family":"2013","given":"Undefined","non-dropping-particle":"","parse-names":false,"suffix":""}],"id":"ITEM-1","issued":{"date-parts":[["0"]]},"title":"Clinical predictors of no-reflow in percutaneous coronary Intervention for acute myocardial infarction","type":"article-journal"},"uris":["http://www.mendeley.com/documents/?uuid=dd9bfc54-cf58-3216-bc66-1418a8198ddb"]}],"mendeley":{"formattedCitation":"&lt;sup&gt;15&lt;/sup&gt;","plainTextFormattedCitation":"15","previouslyFormattedCitation":"&lt;sup&gt;15&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15</w:t>
      </w:r>
      <w:r w:rsidR="00641C07" w:rsidRPr="00C52063">
        <w:rPr>
          <w:sz w:val="20"/>
          <w:szCs w:val="20"/>
        </w:rPr>
        <w:fldChar w:fldCharType="end"/>
      </w:r>
      <w:r w:rsidR="002B72E3" w:rsidRPr="00C52063">
        <w:rPr>
          <w:sz w:val="20"/>
          <w:szCs w:val="20"/>
        </w:rPr>
        <w:t>.</w:t>
      </w:r>
    </w:p>
    <w:p w:rsidR="002B72E3" w:rsidRPr="00C52063" w:rsidRDefault="002B72E3" w:rsidP="00C52063">
      <w:pPr>
        <w:pStyle w:val="NoSpacing"/>
        <w:snapToGrid w:val="0"/>
        <w:ind w:firstLine="425"/>
        <w:jc w:val="both"/>
        <w:rPr>
          <w:bCs/>
          <w:sz w:val="20"/>
          <w:szCs w:val="20"/>
          <w:lang w:bidi="ar-EG"/>
        </w:rPr>
      </w:pPr>
      <w:r w:rsidRPr="00C52063">
        <w:rPr>
          <w:bCs/>
          <w:sz w:val="20"/>
          <w:szCs w:val="20"/>
          <w:lang w:bidi="ar-EG"/>
        </w:rPr>
        <w:t>Regarding the</w:t>
      </w:r>
      <w:r w:rsidR="00B5174A">
        <w:rPr>
          <w:rFonts w:eastAsiaTheme="minorEastAsia" w:hint="eastAsia"/>
          <w:bCs/>
          <w:sz w:val="20"/>
          <w:szCs w:val="20"/>
          <w:lang w:eastAsia="zh-CN" w:bidi="ar-EG"/>
        </w:rPr>
        <w:t xml:space="preserve"> </w:t>
      </w:r>
      <w:r w:rsidRPr="00C52063">
        <w:rPr>
          <w:bCs/>
          <w:sz w:val="20"/>
          <w:szCs w:val="20"/>
          <w:lang w:bidi="ar-EG"/>
        </w:rPr>
        <w:t>angiographic results:</w:t>
      </w:r>
    </w:p>
    <w:p w:rsidR="002B72E3" w:rsidRPr="00C52063" w:rsidRDefault="002B72E3" w:rsidP="00C52063">
      <w:pPr>
        <w:pStyle w:val="NoSpacing"/>
        <w:snapToGrid w:val="0"/>
        <w:ind w:firstLine="425"/>
        <w:jc w:val="both"/>
        <w:rPr>
          <w:sz w:val="20"/>
          <w:szCs w:val="20"/>
        </w:rPr>
      </w:pPr>
      <w:r w:rsidRPr="00C52063">
        <w:rPr>
          <w:sz w:val="20"/>
          <w:szCs w:val="20"/>
        </w:rPr>
        <w:t xml:space="preserve">In our study, location of infarction was found to be a predictor of noreflow as noreflow occurred more </w:t>
      </w:r>
      <w:r w:rsidRPr="00C52063">
        <w:rPr>
          <w:sz w:val="20"/>
          <w:szCs w:val="20"/>
        </w:rPr>
        <w:lastRenderedPageBreak/>
        <w:t>commonly with anterior myocardial infarction (58%) in comparison to non anterior infarctio</w:t>
      </w:r>
      <w:r w:rsidR="00CF1619" w:rsidRPr="00C52063">
        <w:rPr>
          <w:sz w:val="20"/>
          <w:szCs w:val="20"/>
        </w:rPr>
        <w:t>n (</w:t>
      </w:r>
      <w:r w:rsidRPr="00C52063">
        <w:rPr>
          <w:sz w:val="20"/>
          <w:szCs w:val="20"/>
        </w:rPr>
        <w:t xml:space="preserve"> 41.1% )</w:t>
      </w:r>
      <w:r w:rsidR="00CF1619" w:rsidRPr="00C52063">
        <w:rPr>
          <w:sz w:val="20"/>
          <w:szCs w:val="20"/>
        </w:rPr>
        <w:t>,</w:t>
      </w:r>
      <w:r w:rsidRPr="00C52063">
        <w:rPr>
          <w:sz w:val="20"/>
          <w:szCs w:val="20"/>
        </w:rPr>
        <w:t xml:space="preserve"> P.value = 0.009.</w:t>
      </w:r>
    </w:p>
    <w:p w:rsidR="002B72E3" w:rsidRPr="00C52063" w:rsidRDefault="002B72E3" w:rsidP="00C52063">
      <w:pPr>
        <w:pStyle w:val="NoSpacing"/>
        <w:snapToGrid w:val="0"/>
        <w:ind w:firstLine="425"/>
        <w:jc w:val="both"/>
        <w:rPr>
          <w:sz w:val="20"/>
          <w:szCs w:val="20"/>
        </w:rPr>
      </w:pPr>
      <w:r w:rsidRPr="00C52063">
        <w:rPr>
          <w:sz w:val="20"/>
          <w:szCs w:val="20"/>
        </w:rPr>
        <w:t>Also, we found that the infarct-related artery in most cases of noreflow was the LAD (58.8%), while LCX and RCA were the IRAs in (26.5 %) and (14.7%) of cases respectively.</w:t>
      </w:r>
    </w:p>
    <w:p w:rsidR="002B72E3" w:rsidRPr="00C52063" w:rsidRDefault="002B72E3" w:rsidP="00C52063">
      <w:pPr>
        <w:pStyle w:val="NoSpacing"/>
        <w:snapToGrid w:val="0"/>
        <w:ind w:firstLine="425"/>
        <w:jc w:val="both"/>
        <w:rPr>
          <w:sz w:val="20"/>
          <w:szCs w:val="20"/>
        </w:rPr>
      </w:pPr>
      <w:r w:rsidRPr="00C52063">
        <w:rPr>
          <w:sz w:val="20"/>
          <w:szCs w:val="20"/>
        </w:rPr>
        <w:t xml:space="preserve">Also, in agreement with our study, the study conducted by </w:t>
      </w:r>
      <w:r w:rsidRPr="00C52063">
        <w:rPr>
          <w:bCs/>
          <w:sz w:val="20"/>
          <w:szCs w:val="20"/>
        </w:rPr>
        <w:t>Ipek et al.</w:t>
      </w:r>
      <w:r w:rsidR="00641C07" w:rsidRPr="00C52063">
        <w:rPr>
          <w:bCs/>
          <w:sz w:val="20"/>
          <w:szCs w:val="20"/>
        </w:rPr>
        <w:fldChar w:fldCharType="begin" w:fldLock="1"/>
      </w:r>
      <w:r w:rsidR="004F0530" w:rsidRPr="00C52063">
        <w:rPr>
          <w:bCs/>
          <w:sz w:val="20"/>
          <w:szCs w:val="20"/>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C52063">
        <w:rPr>
          <w:bCs/>
          <w:sz w:val="20"/>
          <w:szCs w:val="20"/>
        </w:rPr>
        <w:fldChar w:fldCharType="separate"/>
      </w:r>
      <w:r w:rsidR="004F0530" w:rsidRPr="00C52063">
        <w:rPr>
          <w:bCs/>
          <w:noProof/>
          <w:sz w:val="20"/>
          <w:szCs w:val="20"/>
          <w:vertAlign w:val="superscript"/>
        </w:rPr>
        <w:t>8</w:t>
      </w:r>
      <w:r w:rsidR="00641C07" w:rsidRPr="00C52063">
        <w:rPr>
          <w:bCs/>
          <w:sz w:val="20"/>
          <w:szCs w:val="20"/>
        </w:rPr>
        <w:fldChar w:fldCharType="end"/>
      </w:r>
      <w:r w:rsidRPr="00C52063">
        <w:rPr>
          <w:sz w:val="20"/>
          <w:szCs w:val="20"/>
        </w:rPr>
        <w:t xml:space="preserve"> reported that</w:t>
      </w:r>
      <w:r w:rsidR="00CF1619" w:rsidRPr="00C52063">
        <w:rPr>
          <w:sz w:val="20"/>
          <w:szCs w:val="20"/>
        </w:rPr>
        <w:t xml:space="preserve"> </w:t>
      </w:r>
      <w:r w:rsidRPr="00C52063">
        <w:rPr>
          <w:sz w:val="20"/>
          <w:szCs w:val="20"/>
        </w:rPr>
        <w:t>noreflow is more common in patients presented with anterior myocardial infarction (60.4%) in comparison to non-anterior infarction (39.6%)</w:t>
      </w:r>
      <w:r w:rsidR="00641C07" w:rsidRPr="00C52063">
        <w:rPr>
          <w:sz w:val="20"/>
          <w:szCs w:val="20"/>
        </w:rPr>
        <w:fldChar w:fldCharType="begin" w:fldLock="1"/>
      </w:r>
      <w:r w:rsidR="004F0530" w:rsidRPr="00C52063">
        <w:rPr>
          <w:sz w:val="20"/>
          <w:szCs w:val="20"/>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8</w:t>
      </w:r>
      <w:r w:rsidR="00641C07" w:rsidRPr="00C52063">
        <w:rPr>
          <w:sz w:val="20"/>
          <w:szCs w:val="20"/>
        </w:rPr>
        <w:fldChar w:fldCharType="end"/>
      </w:r>
      <w:r w:rsidRPr="00C52063">
        <w:rPr>
          <w:sz w:val="20"/>
          <w:szCs w:val="20"/>
        </w:rPr>
        <w:t>.</w:t>
      </w:r>
    </w:p>
    <w:p w:rsidR="00D67AA3" w:rsidRPr="00C52063" w:rsidRDefault="00D67AA3" w:rsidP="00C52063">
      <w:pPr>
        <w:pStyle w:val="NoSpacing"/>
        <w:snapToGrid w:val="0"/>
        <w:ind w:firstLine="425"/>
        <w:jc w:val="both"/>
        <w:rPr>
          <w:bCs/>
          <w:sz w:val="20"/>
          <w:szCs w:val="20"/>
          <w:lang w:bidi="ar-EG"/>
        </w:rPr>
      </w:pPr>
      <w:r w:rsidRPr="00C52063">
        <w:rPr>
          <w:bCs/>
          <w:sz w:val="20"/>
          <w:szCs w:val="20"/>
          <w:lang w:bidi="ar-EG"/>
        </w:rPr>
        <w:t xml:space="preserve">Regarding </w:t>
      </w:r>
      <w:r w:rsidR="00B5174A" w:rsidRPr="00C52063">
        <w:rPr>
          <w:bCs/>
          <w:sz w:val="20"/>
          <w:szCs w:val="20"/>
          <w:lang w:bidi="ar-EG"/>
        </w:rPr>
        <w:t>the angiographic</w:t>
      </w:r>
      <w:r w:rsidRPr="00C52063">
        <w:rPr>
          <w:bCs/>
          <w:sz w:val="20"/>
          <w:szCs w:val="20"/>
          <w:lang w:bidi="ar-EG"/>
        </w:rPr>
        <w:t xml:space="preserve"> results:</w:t>
      </w:r>
    </w:p>
    <w:p w:rsidR="00D67AA3" w:rsidRPr="00C52063" w:rsidRDefault="00D67AA3" w:rsidP="00C52063">
      <w:pPr>
        <w:pStyle w:val="NoSpacing"/>
        <w:snapToGrid w:val="0"/>
        <w:ind w:firstLine="425"/>
        <w:jc w:val="both"/>
        <w:rPr>
          <w:sz w:val="20"/>
          <w:szCs w:val="20"/>
        </w:rPr>
      </w:pPr>
      <w:r w:rsidRPr="00C52063">
        <w:rPr>
          <w:sz w:val="20"/>
          <w:szCs w:val="20"/>
        </w:rPr>
        <w:t>In our study, location of infarction was found to be a predictor of noreflow as noreflow occurred more commonly with anterior myocardial infarction (58%) in comparison to non anterior infarctio</w:t>
      </w:r>
      <w:r w:rsidR="00CF1619" w:rsidRPr="00C52063">
        <w:rPr>
          <w:sz w:val="20"/>
          <w:szCs w:val="20"/>
        </w:rPr>
        <w:t>n (</w:t>
      </w:r>
      <w:r w:rsidRPr="00C52063">
        <w:rPr>
          <w:sz w:val="20"/>
          <w:szCs w:val="20"/>
        </w:rPr>
        <w:t xml:space="preserve"> 41.1% )</w:t>
      </w:r>
      <w:r w:rsidR="00CF1619" w:rsidRPr="00C52063">
        <w:rPr>
          <w:sz w:val="20"/>
          <w:szCs w:val="20"/>
        </w:rPr>
        <w:t>,</w:t>
      </w:r>
      <w:r w:rsidRPr="00C52063">
        <w:rPr>
          <w:sz w:val="20"/>
          <w:szCs w:val="20"/>
        </w:rPr>
        <w:t xml:space="preserve"> P.value = 0.009.</w:t>
      </w:r>
    </w:p>
    <w:p w:rsidR="00D67AA3" w:rsidRPr="00C52063" w:rsidRDefault="00D67AA3" w:rsidP="00C52063">
      <w:pPr>
        <w:pStyle w:val="NoSpacing"/>
        <w:snapToGrid w:val="0"/>
        <w:ind w:firstLine="425"/>
        <w:jc w:val="both"/>
        <w:rPr>
          <w:sz w:val="20"/>
          <w:szCs w:val="20"/>
        </w:rPr>
      </w:pPr>
      <w:r w:rsidRPr="00C52063">
        <w:rPr>
          <w:sz w:val="20"/>
          <w:szCs w:val="20"/>
        </w:rPr>
        <w:t>Also, we found that the infarct-related artery in most cases of noreflow was the LAD (58.8%), while LCX and RCA were the IRAs in (26.5 %) and (14.7%) of cases respectively.</w:t>
      </w:r>
    </w:p>
    <w:p w:rsidR="00D67AA3" w:rsidRPr="00C52063" w:rsidRDefault="00D67AA3" w:rsidP="00C52063">
      <w:pPr>
        <w:pStyle w:val="NoSpacing"/>
        <w:snapToGrid w:val="0"/>
        <w:ind w:firstLine="425"/>
        <w:jc w:val="both"/>
        <w:rPr>
          <w:sz w:val="20"/>
          <w:szCs w:val="20"/>
        </w:rPr>
      </w:pPr>
      <w:r w:rsidRPr="00C52063">
        <w:rPr>
          <w:sz w:val="20"/>
          <w:szCs w:val="20"/>
        </w:rPr>
        <w:t xml:space="preserve">Also, in agreement with our study, the study conducted by </w:t>
      </w:r>
      <w:r w:rsidRPr="00C52063">
        <w:rPr>
          <w:bCs/>
          <w:sz w:val="20"/>
          <w:szCs w:val="20"/>
        </w:rPr>
        <w:t>Ipek et al.</w:t>
      </w:r>
      <w:r w:rsidR="00641C07" w:rsidRPr="00C52063">
        <w:rPr>
          <w:bCs/>
          <w:sz w:val="20"/>
          <w:szCs w:val="20"/>
        </w:rPr>
        <w:fldChar w:fldCharType="begin" w:fldLock="1"/>
      </w:r>
      <w:r w:rsidR="004F0530" w:rsidRPr="00C52063">
        <w:rPr>
          <w:bCs/>
          <w:sz w:val="20"/>
          <w:szCs w:val="20"/>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C52063">
        <w:rPr>
          <w:bCs/>
          <w:sz w:val="20"/>
          <w:szCs w:val="20"/>
        </w:rPr>
        <w:fldChar w:fldCharType="separate"/>
      </w:r>
      <w:r w:rsidR="004F0530" w:rsidRPr="00C52063">
        <w:rPr>
          <w:bCs/>
          <w:noProof/>
          <w:sz w:val="20"/>
          <w:szCs w:val="20"/>
          <w:vertAlign w:val="superscript"/>
        </w:rPr>
        <w:t>8</w:t>
      </w:r>
      <w:r w:rsidR="00641C07" w:rsidRPr="00C52063">
        <w:rPr>
          <w:bCs/>
          <w:sz w:val="20"/>
          <w:szCs w:val="20"/>
        </w:rPr>
        <w:fldChar w:fldCharType="end"/>
      </w:r>
      <w:r w:rsidRPr="00C52063">
        <w:rPr>
          <w:sz w:val="20"/>
          <w:szCs w:val="20"/>
        </w:rPr>
        <w:t xml:space="preserve"> reported that</w:t>
      </w:r>
      <w:r w:rsidR="00CF1619" w:rsidRPr="00C52063">
        <w:rPr>
          <w:sz w:val="20"/>
          <w:szCs w:val="20"/>
        </w:rPr>
        <w:t xml:space="preserve"> </w:t>
      </w:r>
      <w:r w:rsidRPr="00C52063">
        <w:rPr>
          <w:sz w:val="20"/>
          <w:szCs w:val="20"/>
        </w:rPr>
        <w:t>noreflow is more common in patients presented with anterior myocardial infarction (60.4%) in comparison to non-anterior infarction (39.6%)</w:t>
      </w:r>
      <w:r w:rsidR="00641C07" w:rsidRPr="00C52063">
        <w:rPr>
          <w:sz w:val="20"/>
          <w:szCs w:val="20"/>
        </w:rPr>
        <w:fldChar w:fldCharType="begin" w:fldLock="1"/>
      </w:r>
      <w:r w:rsidR="004F0530" w:rsidRPr="00C52063">
        <w:rPr>
          <w:sz w:val="20"/>
          <w:szCs w:val="20"/>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C52063">
        <w:rPr>
          <w:sz w:val="20"/>
          <w:szCs w:val="20"/>
        </w:rPr>
        <w:fldChar w:fldCharType="separate"/>
      </w:r>
      <w:r w:rsidR="004F0530" w:rsidRPr="00C52063">
        <w:rPr>
          <w:noProof/>
          <w:sz w:val="20"/>
          <w:szCs w:val="20"/>
          <w:vertAlign w:val="superscript"/>
        </w:rPr>
        <w:t>8</w:t>
      </w:r>
      <w:r w:rsidR="00641C07" w:rsidRPr="00C52063">
        <w:rPr>
          <w:sz w:val="20"/>
          <w:szCs w:val="20"/>
        </w:rPr>
        <w:fldChar w:fldCharType="end"/>
      </w:r>
      <w:r w:rsidRPr="00C52063">
        <w:rPr>
          <w:sz w:val="20"/>
          <w:szCs w:val="20"/>
        </w:rPr>
        <w:t>.</w:t>
      </w:r>
    </w:p>
    <w:p w:rsidR="007F4728" w:rsidRPr="00C52063" w:rsidRDefault="00D67AA3" w:rsidP="00C52063">
      <w:pPr>
        <w:pStyle w:val="NoSpacing"/>
        <w:snapToGrid w:val="0"/>
        <w:ind w:firstLine="425"/>
        <w:jc w:val="both"/>
        <w:rPr>
          <w:sz w:val="20"/>
          <w:szCs w:val="20"/>
        </w:rPr>
      </w:pPr>
      <w:r w:rsidRPr="00C52063">
        <w:rPr>
          <w:sz w:val="20"/>
          <w:szCs w:val="20"/>
        </w:rPr>
        <w:t>Similarly</w:t>
      </w:r>
      <w:r w:rsidR="00CF1619" w:rsidRPr="00C52063">
        <w:rPr>
          <w:sz w:val="20"/>
          <w:szCs w:val="20"/>
        </w:rPr>
        <w:t>,</w:t>
      </w:r>
      <w:r w:rsidRPr="00C52063">
        <w:rPr>
          <w:sz w:val="20"/>
          <w:szCs w:val="20"/>
        </w:rPr>
        <w:t xml:space="preserve"> the study conducted </w:t>
      </w:r>
      <w:r w:rsidRPr="00C52063">
        <w:rPr>
          <w:bCs/>
          <w:sz w:val="20"/>
          <w:szCs w:val="20"/>
        </w:rPr>
        <w:t>by Hassan et al.</w:t>
      </w:r>
      <w:r w:rsidR="00641C07" w:rsidRPr="00C52063">
        <w:rPr>
          <w:sz w:val="20"/>
          <w:szCs w:val="20"/>
        </w:rPr>
        <w:fldChar w:fldCharType="begin" w:fldLock="1"/>
      </w:r>
      <w:r w:rsidR="004F0530" w:rsidRPr="00C52063">
        <w:rPr>
          <w:sz w:val="20"/>
          <w:szCs w:val="20"/>
        </w:rPr>
        <w:instrText>ADDIN CSL_CITATION {"citationItems":[{"id":"ITEM-1","itemData":{"author":[{"dropping-particle":"","family":"Hassan","given":"HSE Mohamed - The Egyptian Heart","non-dropping-particle":"","parse-names":false,"suffix":""},{"dropping-particle":"","family":"2018","given":"Undefined","non-dropping-particle":"","parse-names":false,"suffix":""}],"id":"ITEM-1","issued":{"date-parts":[["0"]]},"title":"Predictors of no-reflow in patients undergoing primary percutaneous coronary intervention. Thrombus aspiration was protective","type":"article-journal"},"uris":["http://www.mendeley.com/documents/?uuid=6dc9b908-c536-3fe7-bf19-521b308ec277"]}],"mendeley":{"formattedCitation":"&lt;sup&gt;16&lt;/sup&gt;","plainTextFormattedCitation":"16","previouslyFormattedCitation":"&lt;sup&gt;16&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16</w:t>
      </w:r>
      <w:r w:rsidR="00641C07" w:rsidRPr="00C52063">
        <w:rPr>
          <w:sz w:val="20"/>
          <w:szCs w:val="20"/>
        </w:rPr>
        <w:fldChar w:fldCharType="end"/>
      </w:r>
      <w:r w:rsidRPr="00C52063">
        <w:rPr>
          <w:sz w:val="20"/>
          <w:szCs w:val="20"/>
        </w:rPr>
        <w:t xml:space="preserve"> in Assiut University hospital between 1st of October 2015 and 30th of November 2016 and</w:t>
      </w:r>
      <w:r w:rsidR="00CF1619" w:rsidRPr="00C52063">
        <w:rPr>
          <w:sz w:val="20"/>
          <w:szCs w:val="20"/>
        </w:rPr>
        <w:t xml:space="preserve"> </w:t>
      </w:r>
      <w:r w:rsidRPr="00C52063">
        <w:rPr>
          <w:sz w:val="20"/>
          <w:szCs w:val="20"/>
        </w:rPr>
        <w:t>enrolled 310 consecutive STEMI</w:t>
      </w:r>
      <w:r w:rsidR="00CF1619" w:rsidRPr="00C52063">
        <w:rPr>
          <w:sz w:val="20"/>
          <w:szCs w:val="20"/>
        </w:rPr>
        <w:t xml:space="preserve"> </w:t>
      </w:r>
      <w:r w:rsidRPr="00C52063">
        <w:rPr>
          <w:sz w:val="20"/>
          <w:szCs w:val="20"/>
        </w:rPr>
        <w:t>patients reported that</w:t>
      </w:r>
      <w:r w:rsidR="00CF1619" w:rsidRPr="00C52063">
        <w:rPr>
          <w:sz w:val="20"/>
          <w:szCs w:val="20"/>
        </w:rPr>
        <w:t xml:space="preserve"> </w:t>
      </w:r>
      <w:r w:rsidRPr="00C52063">
        <w:rPr>
          <w:sz w:val="20"/>
          <w:szCs w:val="20"/>
        </w:rPr>
        <w:t>nore</w:t>
      </w:r>
      <w:bookmarkStart w:id="0" w:name="_GoBack"/>
      <w:bookmarkEnd w:id="0"/>
      <w:r w:rsidRPr="00C52063">
        <w:rPr>
          <w:sz w:val="20"/>
          <w:szCs w:val="20"/>
        </w:rPr>
        <w:t xml:space="preserve">flow is more common in anterior myocardial infarction (52.5%) in comparison to non-anterior infarction (47.5%), P.value =0.009. It also found that the noreflow occurs more commonly when the LAD is the culprit vessel (51.5% of cases of noreflow), </w:t>
      </w:r>
      <w:r w:rsidR="00C52063" w:rsidRPr="00C52063">
        <w:rPr>
          <w:sz w:val="20"/>
          <w:szCs w:val="20"/>
        </w:rPr>
        <w:t>P</w:t>
      </w:r>
      <w:r w:rsidRPr="00C52063">
        <w:rPr>
          <w:sz w:val="20"/>
          <w:szCs w:val="20"/>
        </w:rPr>
        <w:t>.value=0.002</w:t>
      </w:r>
      <w:r w:rsidR="00641C07" w:rsidRPr="00C52063">
        <w:rPr>
          <w:sz w:val="20"/>
          <w:szCs w:val="20"/>
        </w:rPr>
        <w:fldChar w:fldCharType="begin" w:fldLock="1"/>
      </w:r>
      <w:r w:rsidR="004F0530" w:rsidRPr="00C52063">
        <w:rPr>
          <w:sz w:val="20"/>
          <w:szCs w:val="20"/>
        </w:rPr>
        <w:instrText>ADDIN CSL_CITATION {"citationItems":[{"id":"ITEM-1","itemData":{"author":[{"dropping-particle":"","family":"Hassan","given":"HSE Mohamed - The Egyptian Heart","non-dropping-particle":"","parse-names":false,"suffix":""},{"dropping-particle":"","family":"2018","given":"Undefined","non-dropping-particle":"","parse-names":false,"suffix":""}],"id":"ITEM-1","issued":{"date-parts":[["0"]]},"title":"Predictors of no-reflow in patients undergoing primary percutaneous coronary intervention. Thrombus aspiration was protective","type":"article-journal"},"uris":["http://www.mendeley.com/documents/?uuid=6dc9b908-c536-3fe7-bf19-521b308ec277"]}],"mendeley":{"formattedCitation":"&lt;sup&gt;16&lt;/sup&gt;","plainTextFormattedCitation":"16","previouslyFormattedCitation":"&lt;sup&gt;16&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16</w:t>
      </w:r>
      <w:r w:rsidR="00641C07" w:rsidRPr="00C52063">
        <w:rPr>
          <w:sz w:val="20"/>
          <w:szCs w:val="20"/>
        </w:rPr>
        <w:fldChar w:fldCharType="end"/>
      </w:r>
      <w:r w:rsidRPr="00C52063">
        <w:rPr>
          <w:sz w:val="20"/>
          <w:szCs w:val="20"/>
        </w:rPr>
        <w:t>.</w:t>
      </w:r>
    </w:p>
    <w:p w:rsidR="00D67AA3" w:rsidRPr="00C52063" w:rsidRDefault="00D67AA3" w:rsidP="00C52063">
      <w:pPr>
        <w:pStyle w:val="NoSpacing"/>
        <w:snapToGrid w:val="0"/>
        <w:ind w:firstLine="425"/>
        <w:jc w:val="both"/>
        <w:rPr>
          <w:sz w:val="20"/>
          <w:szCs w:val="20"/>
        </w:rPr>
      </w:pPr>
      <w:r w:rsidRPr="00C52063">
        <w:rPr>
          <w:sz w:val="20"/>
          <w:szCs w:val="20"/>
        </w:rPr>
        <w:t>The association between the infarct size and no reflow may be explainable as local necrosis is associated with tissue destruction, including vascular tissue, edema, and mechanical compression which constitute potential mechanisms of no reflow</w:t>
      </w:r>
      <w:r w:rsidR="00641C07" w:rsidRPr="00C52063">
        <w:rPr>
          <w:sz w:val="20"/>
          <w:szCs w:val="20"/>
        </w:rPr>
        <w:fldChar w:fldCharType="begin" w:fldLock="1"/>
      </w:r>
      <w:r w:rsidR="004F0530" w:rsidRPr="00C52063">
        <w:rPr>
          <w:sz w:val="20"/>
          <w:szCs w:val="20"/>
        </w:rPr>
        <w:instrText>ADDIN CSL_CITATION {"citationItems":[{"id":"ITEM-1","itemData":{"DOI":"10.1152/ajpheart.00767.2001","ISSN":"0363-6135","abstract":"No reflow after acute myocardial infarction is an important predictor of infarct size and clinical outcome. However, the exact relationship between no reflow and infarct size remains to be determined, particularly because no reflow may progress during the time course of reperfusion. Control groups of five previous protocols using the anesthetized, open-chest rabbit model of coronary artery occlusion and reperfusion were retrospectively analyzed with respect to the correlation between regional myocardial blood flow (RMBF; radioactive microspheres) and infarct size (triphenyltetrazolium chloride) in the course of reperfusion. After 30 min of occlusion, reflow (defined as the ratio of RMBF in the risk area divided by the nonischemic area) declined from hyperemic values after 30 min of reperfusion (reflow ratio: 1.33 ± 0.81; RMBF in the risk area at the same time point: 2.25 ± 1.04 ml · g-1 · min-1) to 0.47 ± 0.22 after 120 min and 0.46 ± 0.13 after 180 min of reperfusion. After 120 min of ischemia, reflow at 30 min of reperfusion was 0.49 ± 0.24 and deteriorated by 120 min of reperfusion (0.26 ± 0.15). In every group, there was a strong correlation between infarct size and reflow (correlation coefficients: -0.62 to -0.82). The lines of regression for the groups with assessment of RMBF after 120 or 180 min of reperfusion were nearly identical regardless of the duration of ischemia. Thus microvascular reperfusion injury led to a striking decrease in RMBF within the first 2 h of reperfusion, with infarct size as the major determinant of reflow at a given time point of reperfusion.","author":[{"dropping-particle":"","family":"Reffelmann","given":"Thorsten","non-dropping-particle":"","parse-names":false,"suffix":""},{"dropping-particle":"","family":"Hale","given":"Sharon L.","non-dropping-particle":"","parse-names":false,"suffix":""},{"dropping-particle":"","family":"Li","given":"Guohu","non-dropping-particle":"","parse-names":false,"suffix":""},{"dropping-particle":"","family":"Kloner","given":"Robert A.","non-dropping-particle":"","parse-names":false,"suffix":""}],"container-title":"American Journal of Physiology-Heart and Circulatory Physiology","id":"ITEM-1","issued":{"date-parts":[["2002"]]},"title":"Relationship between no reflow and infarct size as influenced by the duration of ischemia and reperfusion","type":"article-journal"},"uris":["http://www.mendeley.com/documents/?uuid=7f59538d-8002-3c2b-9992-322de790686d"]}],"mendeley":{"formattedCitation":"&lt;sup&gt;17&lt;/sup&gt;","plainTextFormattedCitation":"17","previouslyFormattedCitation":"&lt;sup&gt;17&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17</w:t>
      </w:r>
      <w:r w:rsidR="00641C07" w:rsidRPr="00C52063">
        <w:rPr>
          <w:sz w:val="20"/>
          <w:szCs w:val="20"/>
        </w:rPr>
        <w:fldChar w:fldCharType="end"/>
      </w:r>
      <w:r w:rsidRPr="00C52063">
        <w:rPr>
          <w:sz w:val="20"/>
          <w:szCs w:val="20"/>
        </w:rPr>
        <w:t>.</w:t>
      </w:r>
    </w:p>
    <w:p w:rsidR="0025058D" w:rsidRPr="00C52063" w:rsidRDefault="00D67AA3" w:rsidP="00C52063">
      <w:pPr>
        <w:pStyle w:val="NoSpacing"/>
        <w:snapToGrid w:val="0"/>
        <w:ind w:firstLine="425"/>
        <w:jc w:val="both"/>
        <w:rPr>
          <w:bCs/>
          <w:sz w:val="20"/>
          <w:szCs w:val="20"/>
        </w:rPr>
      </w:pPr>
      <w:r w:rsidRPr="00C52063">
        <w:rPr>
          <w:bCs/>
          <w:sz w:val="20"/>
          <w:szCs w:val="20"/>
        </w:rPr>
        <w:t>Regarding PCI procedural aspects:</w:t>
      </w:r>
    </w:p>
    <w:p w:rsidR="00D67AA3" w:rsidRPr="00C52063" w:rsidRDefault="00D67AA3" w:rsidP="00C52063">
      <w:pPr>
        <w:pStyle w:val="NoSpacing"/>
        <w:snapToGrid w:val="0"/>
        <w:ind w:firstLine="425"/>
        <w:jc w:val="both"/>
        <w:rPr>
          <w:sz w:val="20"/>
          <w:szCs w:val="20"/>
        </w:rPr>
      </w:pPr>
      <w:r w:rsidRPr="00C52063">
        <w:rPr>
          <w:sz w:val="20"/>
          <w:szCs w:val="20"/>
        </w:rPr>
        <w:t>our results found no association between different</w:t>
      </w:r>
      <w:r w:rsidR="00CF1619" w:rsidRPr="00C52063">
        <w:rPr>
          <w:sz w:val="20"/>
          <w:szCs w:val="20"/>
        </w:rPr>
        <w:t xml:space="preserve"> </w:t>
      </w:r>
      <w:r w:rsidRPr="00C52063">
        <w:rPr>
          <w:sz w:val="20"/>
          <w:szCs w:val="20"/>
        </w:rPr>
        <w:t>types of intervention (PTCA alone, direct stenting with BMS or DES and usage of balloon for pre or post dilatation) and the risk of no reflow, (P.value&gt;0.05 for all).</w:t>
      </w:r>
    </w:p>
    <w:p w:rsidR="002B72E3" w:rsidRPr="00C52063" w:rsidRDefault="00D67AA3" w:rsidP="00C52063">
      <w:pPr>
        <w:pStyle w:val="NoSpacing"/>
        <w:snapToGrid w:val="0"/>
        <w:ind w:firstLine="425"/>
        <w:jc w:val="both"/>
        <w:rPr>
          <w:sz w:val="20"/>
          <w:szCs w:val="20"/>
        </w:rPr>
      </w:pPr>
      <w:r w:rsidRPr="00C52063">
        <w:rPr>
          <w:sz w:val="20"/>
          <w:szCs w:val="20"/>
        </w:rPr>
        <w:t>In contrast to our study, the no-reflow incidence was significantly higher in patients who had more postdilation (54.3 vs. 30.9%, for no-reflow and reflow,</w:t>
      </w:r>
      <w:r w:rsidR="00B5174A">
        <w:rPr>
          <w:rFonts w:eastAsiaTheme="minorEastAsia" w:hint="eastAsia"/>
          <w:sz w:val="20"/>
          <w:szCs w:val="20"/>
          <w:lang w:eastAsia="zh-CN"/>
        </w:rPr>
        <w:t xml:space="preserve"> </w:t>
      </w:r>
      <w:r w:rsidRPr="00C52063">
        <w:rPr>
          <w:sz w:val="20"/>
          <w:szCs w:val="20"/>
        </w:rPr>
        <w:t>respectively) in the study conducted by Chen et al.</w:t>
      </w:r>
      <w:r w:rsidR="00641C07" w:rsidRPr="00C52063">
        <w:rPr>
          <w:sz w:val="20"/>
          <w:szCs w:val="20"/>
        </w:rPr>
        <w:fldChar w:fldCharType="begin" w:fldLock="1"/>
      </w:r>
      <w:r w:rsidR="004F0530" w:rsidRPr="00C52063">
        <w:rPr>
          <w:sz w:val="20"/>
          <w:szCs w:val="20"/>
        </w:rPr>
        <w:instrText>ADDIN CSL_CITATION {"citationItems":[{"id":"ITEM-1","itemData":{"DOI":"10.1007/s00380-011-0144-2","ISSN":"09108327","abstract":"Independent no-reflow predictors should be evaluated in female patients with ST-segment elevation acute myocardial infarction (STEMI) and successfully treated with primary percutaneous coronary intervention (PPCI) in the current interventional equipment and techniques, thus to be constructed a no-reflow predicting model. In this study, 320 female patients with STEMI were successfully treated with PPCI within 12 h after the onset of AMI from 2007 to 2010. All clinical, angiographic, and procedural data were collected. Multiple logistic regression analysis was used to identify independent no-reflow predictors. The no-reflow was found in 81 (25.3%) of 320 female patients. Univariate and multivariate stepwise logistic regression analysis identified that low SBP on admission &lt; 100 mmHg (OR 1.991, 95% CI 1.018-3.896; p = 0.004), target lesion length &gt; 20 mm (OR 1.948, 95% CI 1.908-1.990; p = 0.016), collateral circulation 0-1 (OR 1.952, 95% CI 1.914-1.992; p = 0.019), pre-PCI thrombus score≤4 (OR 4.184, 95% CI 1.482-11.813; p = 0.007), and IABP use before PCI (OR 1.949, 95% CI 1.168-3.253; p = 0.011) were independent no-reflow predictors. The noreflow incidence significantly increased as the numbers of independent predictors increased [0% (0/2), 10.8% (9/84), 14.5% (17/117), 37.7% (29/77), 56.7% (17/30), and 81.8% (9/11) in female patients with 0, 1, 2, 3, 4, and 5 independent predictors, respectively; p &lt; 0.0001]. The five no-reflow predicting variables were admission SBP  &lt; 100 mmHg, target lesion length &gt; 20 mm, collateral circulation 0-1, pre-PCI thrombus score ≥4, and IABP use before PCI in female patients with STEMI treated with PPCI. © 2011 Springer.","author":[{"dropping-particle":"","family":"Chen","given":"Yundai","non-dropping-particle":"","parse-names":false,"suffix":""},{"dropping-particle":"","family":"Wang","given":"Changhua","non-dropping-particle":"","parse-names":false,"suffix":""},{"dropping-particle":"","family":"Yang","given":"Xinchun","non-dropping-particle":"","parse-names":false,"suffix":""},{"dropping-particle":"","family":"Wang","given":"Lefeng","non-dropping-particle":"","parse-names":false,"suffix":""},{"dropping-particle":"","family":"Sun","given":"Zhijun","non-dropping-particle":"","parse-names":false,"suffix":""},{"dropping-particle":"","family":"Liu","given":"Hongbin","non-dropping-particle":"","parse-names":false,"suffix":""},{"dropping-particle":"","family":"Chen","given":"Lian","non-dropping-particle":"","parse-names":false,"suffix":""}],"container-title":"Heart and Vessels","id":"ITEM-1","issued":{"date-parts":[["2012"]]},"title":"Independent no-reflow predictors in female patients with ST-elevation acute myocardial infarction treated with primary percutaneous coronary intervention","type":"article-journal"},"uris":["http://www.mendeley.com/documents/?uuid=a32e729f-3857-371a-a01e-2cb42e3fe840"]}],"mendeley":{"formattedCitation":"&lt;sup&gt;3&lt;/sup&gt;","plainTextFormattedCitation":"3","previouslyFormattedCitation":"&lt;sup&gt;3&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3</w:t>
      </w:r>
      <w:r w:rsidR="00641C07" w:rsidRPr="00C52063">
        <w:rPr>
          <w:sz w:val="20"/>
          <w:szCs w:val="20"/>
        </w:rPr>
        <w:fldChar w:fldCharType="end"/>
      </w:r>
      <w:r w:rsidRPr="00C52063">
        <w:rPr>
          <w:sz w:val="20"/>
          <w:szCs w:val="20"/>
        </w:rPr>
        <w:t xml:space="preserve"> on 320 female patients with STEMI and successfully treated with Primary PCI within 12 hours after the onset of symptoms from 2007 to 2010 in tertiary center in China</w:t>
      </w:r>
      <w:r w:rsidR="00641C07" w:rsidRPr="00C52063">
        <w:rPr>
          <w:sz w:val="20"/>
          <w:szCs w:val="20"/>
        </w:rPr>
        <w:fldChar w:fldCharType="begin" w:fldLock="1"/>
      </w:r>
      <w:r w:rsidR="004F0530" w:rsidRPr="00C52063">
        <w:rPr>
          <w:sz w:val="20"/>
          <w:szCs w:val="20"/>
        </w:rPr>
        <w:instrText>ADDIN CSL_CITATION {"citationItems":[{"id":"ITEM-1","itemData":{"DOI":"10.1007/s00380-011-0144-2","ISSN":"09108327","abstract":"Independent no-reflow predictors should be evaluated in female patients with ST-segment elevation acute myocardial infarction (STEMI) and successfully treated with primary percutaneous coronary intervention (PPCI) in the current interventional equipment and techniques, thus to be constructed a no-reflow predicting model. In this study, 320 female patients with STEMI were successfully treated with PPCI within 12 h after the onset of AMI from 2007 to 2010. All clinical, angiographic, and procedural data were collected. Multiple logistic regression analysis was used to identify independent no-reflow predictors. The no-reflow was found in 81 (25.3%) of 320 female patients. Univariate and multivariate stepwise logistic regression analysis identified that low SBP on admission &lt; 100 mmHg (OR 1.991, 95% CI 1.018-3.896; p = 0.004), target lesion length &gt; 20 mm (OR 1.948, 95% CI 1.908-1.990; p = 0.016), collateral circulation 0-1 (OR 1.952, 95% CI 1.914-1.992; p = 0.019), pre-PCI thrombus score≤4 (OR 4.184, 95% CI 1.482-11.813; p = 0.007), and IABP use before PCI (OR 1.949, 95% CI 1.168-3.253; p = 0.011) were independent no-reflow predictors. The noreflow incidence significantly increased as the numbers of independent predictors increased [0% (0/2), 10.8% (9/84), 14.5% (17/117), 37.7% (29/77), 56.7% (17/30), and 81.8% (9/11) in female patients with 0, 1, 2, 3, 4, and 5 independent predictors, respectively; p &lt; 0.0001]. The five no-reflow predicting variables were admission SBP  &lt; 100 mmHg, target lesion length &gt; 20 mm, collateral circulation 0-1, pre-PCI thrombus score ≥4, and IABP use before PCI in female patients with STEMI treated with PPCI. © 2011 Springer.","author":[{"dropping-particle":"","family":"Chen","given":"Yundai","non-dropping-particle":"","parse-names":false,"suffix":""},{"dropping-particle":"","family":"Wang","given":"Changhua","non-dropping-particle":"","parse-names":false,"suffix":""},{"dropping-particle":"","family":"Yang","given":"Xinchun","non-dropping-particle":"","parse-names":false,"suffix":""},{"dropping-particle":"","family":"Wang","given":"Lefeng","non-dropping-particle":"","parse-names":false,"suffix":""},{"dropping-particle":"","family":"Sun","given":"Zhijun","non-dropping-particle":"","parse-names":false,"suffix":""},{"dropping-particle":"","family":"Liu","given":"Hongbin","non-dropping-particle":"","parse-names":false,"suffix":""},{"dropping-particle":"","family":"Chen","given":"Lian","non-dropping-particle":"","parse-names":false,"suffix":""}],"container-title":"Heart and Vessels","id":"ITEM-1","issued":{"date-parts":[["2012"]]},"title":"Independent no-reflow predictors in female patients with ST-elevation acute myocardial infarction treated with primary percutaneous coronary intervention","type":"article-journal"},"uris":["http://www.mendeley.com/documents/?uuid=a32e729f-3857-371a-a01e-2cb42e3fe840"]}],"mendeley":{"formattedCitation":"&lt;sup&gt;3&lt;/sup&gt;","plainTextFormattedCitation":"3","previouslyFormattedCitation":"&lt;sup&gt;3&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3</w:t>
      </w:r>
      <w:r w:rsidR="00641C07" w:rsidRPr="00C52063">
        <w:rPr>
          <w:sz w:val="20"/>
          <w:szCs w:val="20"/>
        </w:rPr>
        <w:fldChar w:fldCharType="end"/>
      </w:r>
      <w:r w:rsidR="002B72E3" w:rsidRPr="00C52063">
        <w:rPr>
          <w:sz w:val="20"/>
          <w:szCs w:val="20"/>
        </w:rPr>
        <w:t>.</w:t>
      </w:r>
    </w:p>
    <w:p w:rsidR="002B72E3" w:rsidRPr="00C52063" w:rsidRDefault="002B72E3" w:rsidP="00C52063">
      <w:pPr>
        <w:pStyle w:val="NoSpacing"/>
        <w:snapToGrid w:val="0"/>
        <w:ind w:firstLine="425"/>
        <w:jc w:val="both"/>
        <w:rPr>
          <w:sz w:val="20"/>
          <w:szCs w:val="20"/>
        </w:rPr>
      </w:pPr>
      <w:r w:rsidRPr="00C52063">
        <w:rPr>
          <w:sz w:val="20"/>
          <w:szCs w:val="20"/>
        </w:rPr>
        <w:lastRenderedPageBreak/>
        <w:t>In addition, we found that the no reflow group had a higher incidence when baseline TIMI flow</w:t>
      </w:r>
      <w:r w:rsidR="00CF1619" w:rsidRPr="00C52063">
        <w:rPr>
          <w:sz w:val="20"/>
          <w:szCs w:val="20"/>
        </w:rPr>
        <w:t xml:space="preserve"> </w:t>
      </w:r>
      <w:r w:rsidRPr="00C52063">
        <w:rPr>
          <w:sz w:val="20"/>
          <w:szCs w:val="20"/>
        </w:rPr>
        <w:t xml:space="preserve">is ≤ 1 compared with the normal flow group. This finding was also reported by </w:t>
      </w:r>
      <w:r w:rsidRPr="00C52063">
        <w:rPr>
          <w:bCs/>
          <w:sz w:val="20"/>
          <w:szCs w:val="20"/>
        </w:rPr>
        <w:t>Soeda et al.</w:t>
      </w:r>
      <w:r w:rsidR="00641C07" w:rsidRPr="00C52063">
        <w:rPr>
          <w:sz w:val="20"/>
          <w:szCs w:val="20"/>
        </w:rPr>
        <w:fldChar w:fldCharType="begin" w:fldLock="1"/>
      </w:r>
      <w:r w:rsidR="004F0530" w:rsidRPr="00C52063">
        <w:rPr>
          <w:sz w:val="20"/>
          <w:szCs w:val="20"/>
        </w:rPr>
        <w:instrText>ADDIN CSL_CITATION {"citationItems":[{"id":"ITEM-1","itemData":{"author":[{"dropping-particle":"","family":"Soeda","given":"T","non-dropping-particle":"","parse-names":false,"suffix":""},{"dropping-particle":"","family":"Higuma","given":"T","non-dropping-particle":"","parse-names":false,"suffix":""},{"dropping-particle":"","family":"Abe","given":"N","non-dropping-particle":"","parse-names":false,"suffix":""},{"dropping-particle":"","family":"…","given":"M Yamada - European Heart","non-dropping-particle":"","parse-names":false,"suffix":""},{"dropping-particle":"","family":"2016","given":"Undefined","non-dropping-particle":"","parse-names":false,"suffix":""}],"id":"ITEM-1","issued":{"date-parts":[["0"]]},"title":"Morphological predictors for no reflow phenomenon after primary percutaneous coronary intervention in patients with ST-segment elevation myocardial infarction","type":"article-journal"},"uris":["http://www.mendeley.com/documents/?uuid=f99e521e-2628-3659-9b77-541595767f90"]}],"mendeley":{"formattedCitation":"&lt;sup&gt;18&lt;/sup&gt;","plainTextFormattedCitation":"18","previouslyFormattedCitation":"&lt;sup&gt;18&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18</w:t>
      </w:r>
      <w:r w:rsidR="00641C07" w:rsidRPr="00C52063">
        <w:rPr>
          <w:sz w:val="20"/>
          <w:szCs w:val="20"/>
        </w:rPr>
        <w:fldChar w:fldCharType="end"/>
      </w:r>
      <w:r w:rsidRPr="00C52063">
        <w:rPr>
          <w:sz w:val="20"/>
          <w:szCs w:val="20"/>
        </w:rPr>
        <w:t xml:space="preserve"> which concluded that initial TIMI flow is a predictor of noreflow</w:t>
      </w:r>
      <w:r w:rsidR="00641C07" w:rsidRPr="00C52063">
        <w:rPr>
          <w:bCs/>
          <w:sz w:val="20"/>
          <w:szCs w:val="20"/>
        </w:rPr>
        <w:fldChar w:fldCharType="begin" w:fldLock="1"/>
      </w:r>
      <w:r w:rsidR="004F0530" w:rsidRPr="00C52063">
        <w:rPr>
          <w:bCs/>
          <w:sz w:val="20"/>
          <w:szCs w:val="20"/>
        </w:rPr>
        <w:instrText>ADDIN CSL_CITATION {"citationItems":[{"id":"ITEM-1","itemData":{"author":[{"dropping-particle":"","family":"Soeda","given":"T","non-dropping-particle":"","parse-names":false,"suffix":""},{"dropping-particle":"","family":"Higuma","given":"T","non-dropping-particle":"","parse-names":false,"suffix":""},{"dropping-particle":"","family":"Abe","given":"N","non-dropping-particle":"","parse-names":false,"suffix":""},{"dropping-particle":"","family":"…","given":"M Yamada - European Heart","non-dropping-particle":"","parse-names":false,"suffix":""},{"dropping-particle":"","family":"2016","given":"Undefined","non-dropping-particle":"","parse-names":false,"suffix":""}],"id":"ITEM-1","issued":{"date-parts":[["0"]]},"title":"Morphological predictors for no reflow phenomenon after primary percutaneous coronary intervention in patients with ST-segment elevation myocardial infarction","type":"article-journal"},"uris":["http://www.mendeley.com/documents/?uuid=f99e521e-2628-3659-9b77-541595767f90"]}],"mendeley":{"formattedCitation":"&lt;sup&gt;18&lt;/sup&gt;","plainTextFormattedCitation":"18","previouslyFormattedCitation":"&lt;sup&gt;18&lt;/sup&gt;"},"properties":{"noteIndex":0},"schema":"https://github.com/citation-style-language/schema/raw/master/csl-citation.json"}</w:instrText>
      </w:r>
      <w:r w:rsidR="00641C07" w:rsidRPr="00C52063">
        <w:rPr>
          <w:bCs/>
          <w:sz w:val="20"/>
          <w:szCs w:val="20"/>
        </w:rPr>
        <w:fldChar w:fldCharType="separate"/>
      </w:r>
      <w:r w:rsidR="0025058D" w:rsidRPr="00C52063">
        <w:rPr>
          <w:bCs/>
          <w:noProof/>
          <w:sz w:val="20"/>
          <w:szCs w:val="20"/>
          <w:vertAlign w:val="superscript"/>
        </w:rPr>
        <w:t>18</w:t>
      </w:r>
      <w:r w:rsidR="00641C07" w:rsidRPr="00C52063">
        <w:rPr>
          <w:bCs/>
          <w:sz w:val="20"/>
          <w:szCs w:val="20"/>
        </w:rPr>
        <w:fldChar w:fldCharType="end"/>
      </w:r>
      <w:r w:rsidRPr="00C52063">
        <w:rPr>
          <w:bCs/>
          <w:sz w:val="20"/>
          <w:szCs w:val="20"/>
        </w:rPr>
        <w:t>.</w:t>
      </w:r>
    </w:p>
    <w:p w:rsidR="002B72E3" w:rsidRPr="00C52063" w:rsidRDefault="002B72E3" w:rsidP="00C52063">
      <w:pPr>
        <w:pStyle w:val="NoSpacing"/>
        <w:snapToGrid w:val="0"/>
        <w:ind w:firstLine="425"/>
        <w:jc w:val="both"/>
        <w:rPr>
          <w:sz w:val="20"/>
          <w:szCs w:val="20"/>
        </w:rPr>
      </w:pPr>
      <w:r w:rsidRPr="00C52063">
        <w:rPr>
          <w:sz w:val="20"/>
          <w:szCs w:val="20"/>
        </w:rPr>
        <w:t>No-reflow was also found to be more common in patients who had a low (≤ 1) initial TIMI flow</w:t>
      </w:r>
      <w:r w:rsidR="00CF1619" w:rsidRPr="00C52063">
        <w:rPr>
          <w:sz w:val="20"/>
          <w:szCs w:val="20"/>
        </w:rPr>
        <w:t xml:space="preserve"> </w:t>
      </w:r>
      <w:r w:rsidRPr="00C52063">
        <w:rPr>
          <w:sz w:val="20"/>
          <w:szCs w:val="20"/>
        </w:rPr>
        <w:t>(91.5% vs. 47%,</w:t>
      </w:r>
      <w:r w:rsidR="00CF1619" w:rsidRPr="00C52063">
        <w:rPr>
          <w:sz w:val="20"/>
          <w:szCs w:val="20"/>
        </w:rPr>
        <w:t xml:space="preserve"> </w:t>
      </w:r>
      <w:r w:rsidRPr="00C52063">
        <w:rPr>
          <w:sz w:val="20"/>
          <w:szCs w:val="20"/>
        </w:rPr>
        <w:t xml:space="preserve">P.value&lt;0.001) in a study conducted by </w:t>
      </w:r>
      <w:r w:rsidRPr="00C52063">
        <w:rPr>
          <w:bCs/>
          <w:sz w:val="20"/>
          <w:szCs w:val="20"/>
        </w:rPr>
        <w:t>Padmajan et al.</w:t>
      </w:r>
      <w:r w:rsidR="00641C07" w:rsidRPr="00C52063">
        <w:rPr>
          <w:bCs/>
          <w:sz w:val="20"/>
          <w:szCs w:val="20"/>
        </w:rPr>
        <w:fldChar w:fldCharType="begin" w:fldLock="1"/>
      </w:r>
      <w:r w:rsidR="004F0530" w:rsidRPr="00C52063">
        <w:rPr>
          <w:bCs/>
          <w:sz w:val="20"/>
          <w:szCs w:val="20"/>
        </w:rPr>
        <w:instrText>ADDIN CSL_CITATION {"citationItems":[{"id":"ITEM-1","itemData":{"author":[{"dropping-particle":"","family":"Sabin","given":"P","non-dropping-particle":"","parse-names":false,"suffix":""},{"dropping-particle":"","family":"Koshy","given":"AG","non-dropping-particle":"","parse-names":false,"suffix":""},{"dropping-particle":"","family":"Gupta","given":"PN","non-dropping-particle":"","parse-names":false,"suffix":""},{"dropping-particle":"","family":"Heart","given":"- Indian","non-dropping-particle":"","parse-names":false,"suffix":""},{"dropping-particle":"","family":"2017","given":"Undefined","non-dropping-particle":"","parse-names":false,"suffix":""}],"id":"ITEM-1","issued":{"date-parts":[["0"]]},"title":"Predictors of no-reflow during primary angioplasty for acute myocardial infarction, from Medical College Hospital, Trivandrum","type":"article-journal"},"uris":["http://www.mendeley.com/documents/?uuid=a6550060-c377-38b1-b245-54e4a6aaa5d8"]}],"mendeley":{"formattedCitation":"&lt;sup&gt;19&lt;/sup&gt;","plainTextFormattedCitation":"19","previouslyFormattedCitation":"&lt;sup&gt;19&lt;/sup&gt;"},"properties":{"noteIndex":0},"schema":"https://github.com/citation-style-language/schema/raw/master/csl-citation.json"}</w:instrText>
      </w:r>
      <w:r w:rsidR="00641C07" w:rsidRPr="00C52063">
        <w:rPr>
          <w:bCs/>
          <w:sz w:val="20"/>
          <w:szCs w:val="20"/>
        </w:rPr>
        <w:fldChar w:fldCharType="separate"/>
      </w:r>
      <w:r w:rsidR="0025058D" w:rsidRPr="00C52063">
        <w:rPr>
          <w:bCs/>
          <w:noProof/>
          <w:sz w:val="20"/>
          <w:szCs w:val="20"/>
          <w:vertAlign w:val="superscript"/>
        </w:rPr>
        <w:t>19</w:t>
      </w:r>
      <w:r w:rsidR="00641C07" w:rsidRPr="00C52063">
        <w:rPr>
          <w:bCs/>
          <w:sz w:val="20"/>
          <w:szCs w:val="20"/>
        </w:rPr>
        <w:fldChar w:fldCharType="end"/>
      </w:r>
      <w:r w:rsidRPr="00C52063">
        <w:rPr>
          <w:sz w:val="20"/>
          <w:szCs w:val="20"/>
        </w:rPr>
        <w:t xml:space="preserve"> which </w:t>
      </w:r>
      <w:r w:rsidR="00B5174A" w:rsidRPr="00C52063">
        <w:rPr>
          <w:sz w:val="20"/>
          <w:szCs w:val="20"/>
        </w:rPr>
        <w:t>analyzed</w:t>
      </w:r>
      <w:r w:rsidRPr="00C52063">
        <w:rPr>
          <w:sz w:val="20"/>
          <w:szCs w:val="20"/>
        </w:rPr>
        <w:t xml:space="preserve"> data from 781 consecutive patients who had undergone primary angioplasty from 2008 to 2012 in a tertiary center in India</w:t>
      </w:r>
      <w:r w:rsidR="00641C07" w:rsidRPr="00C52063">
        <w:rPr>
          <w:sz w:val="20"/>
          <w:szCs w:val="20"/>
        </w:rPr>
        <w:fldChar w:fldCharType="begin" w:fldLock="1"/>
      </w:r>
      <w:r w:rsidR="004F0530" w:rsidRPr="00C52063">
        <w:rPr>
          <w:sz w:val="20"/>
          <w:szCs w:val="20"/>
        </w:rPr>
        <w:instrText>ADDIN CSL_CITATION {"citationItems":[{"id":"ITEM-1","itemData":{"author":[{"dropping-particle":"","family":"Sabin","given":"P","non-dropping-particle":"","parse-names":false,"suffix":""},{"dropping-particle":"","family":"Koshy","given":"AG","non-dropping-particle":"","parse-names":false,"suffix":""},{"dropping-particle":"","family":"Gupta","given":"PN","non-dropping-particle":"","parse-names":false,"suffix":""},{"dropping-particle":"","family":"Heart","given":"- Indian","non-dropping-particle":"","parse-names":false,"suffix":""},{"dropping-particle":"","family":"2017","given":"Undefined","non-dropping-particle":"","parse-names":false,"suffix":""}],"id":"ITEM-1","issued":{"date-parts":[["0"]]},"title":"Predictors of no-reflow during primary angioplasty for acute myocardial infarction, from Medical College Hospital, Trivandrum","type":"article-journal"},"uris":["http://www.mendeley.com/documents/?uuid=a6550060-c377-38b1-b245-54e4a6aaa5d8"]}],"mendeley":{"formattedCitation":"&lt;sup&gt;19&lt;/sup&gt;","plainTextFormattedCitation":"19","previouslyFormattedCitation":"&lt;sup&gt;19&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19</w:t>
      </w:r>
      <w:r w:rsidR="00641C07" w:rsidRPr="00C52063">
        <w:rPr>
          <w:sz w:val="20"/>
          <w:szCs w:val="20"/>
        </w:rPr>
        <w:fldChar w:fldCharType="end"/>
      </w:r>
      <w:r w:rsidRPr="00C52063">
        <w:rPr>
          <w:sz w:val="20"/>
          <w:szCs w:val="20"/>
        </w:rPr>
        <w:t>.</w:t>
      </w:r>
    </w:p>
    <w:p w:rsidR="004F0530" w:rsidRPr="00C52063" w:rsidRDefault="002B72E3" w:rsidP="00C52063">
      <w:pPr>
        <w:pStyle w:val="NoSpacing"/>
        <w:snapToGrid w:val="0"/>
        <w:ind w:firstLine="425"/>
        <w:jc w:val="both"/>
        <w:rPr>
          <w:sz w:val="20"/>
          <w:szCs w:val="20"/>
        </w:rPr>
      </w:pPr>
      <w:r w:rsidRPr="00C52063">
        <w:rPr>
          <w:sz w:val="20"/>
          <w:szCs w:val="20"/>
        </w:rPr>
        <w:t>Several mechanisms may explain the association between initial TIMI and occurrence of noreflow</w:t>
      </w:r>
      <w:r w:rsidR="00C52063" w:rsidRPr="00C52063">
        <w:rPr>
          <w:sz w:val="20"/>
          <w:szCs w:val="20"/>
        </w:rPr>
        <w:t>.</w:t>
      </w:r>
      <w:r w:rsidR="00C52063">
        <w:rPr>
          <w:sz w:val="20"/>
          <w:szCs w:val="20"/>
        </w:rPr>
        <w:t xml:space="preserve"> </w:t>
      </w:r>
      <w:r w:rsidR="00C52063" w:rsidRPr="00C52063">
        <w:rPr>
          <w:sz w:val="20"/>
          <w:szCs w:val="20"/>
        </w:rPr>
        <w:t>T</w:t>
      </w:r>
      <w:r w:rsidRPr="00C52063">
        <w:rPr>
          <w:sz w:val="20"/>
          <w:szCs w:val="20"/>
        </w:rPr>
        <w:t xml:space="preserve">he protective role of residual blood flow in the infarct-related artery before reperfusion is the corner stone of these </w:t>
      </w:r>
      <w:r w:rsidR="00B5174A" w:rsidRPr="00C52063">
        <w:rPr>
          <w:sz w:val="20"/>
          <w:szCs w:val="20"/>
        </w:rPr>
        <w:t>mechanisms</w:t>
      </w:r>
      <w:r w:rsidRPr="00C52063">
        <w:rPr>
          <w:sz w:val="20"/>
          <w:szCs w:val="20"/>
        </w:rPr>
        <w:t>. First</w:t>
      </w:r>
      <w:r w:rsidR="00CF1619" w:rsidRPr="00C52063">
        <w:rPr>
          <w:sz w:val="20"/>
          <w:szCs w:val="20"/>
        </w:rPr>
        <w:t>,</w:t>
      </w:r>
      <w:r w:rsidRPr="00C52063">
        <w:rPr>
          <w:sz w:val="20"/>
          <w:szCs w:val="20"/>
        </w:rPr>
        <w:t xml:space="preserve"> residual blood flow in the infarct-related artery is associated with smaller infarct size. Second, infarct-related arteries prone to spontaneous recanalization may have less thrombotic burden meaning less distal </w:t>
      </w:r>
      <w:r w:rsidR="00B5174A" w:rsidRPr="00C52063">
        <w:rPr>
          <w:sz w:val="20"/>
          <w:szCs w:val="20"/>
        </w:rPr>
        <w:t>remobilization</w:t>
      </w:r>
      <w:r w:rsidRPr="00C52063">
        <w:rPr>
          <w:sz w:val="20"/>
          <w:szCs w:val="20"/>
        </w:rPr>
        <w:t xml:space="preserve">, which is considered an </w:t>
      </w:r>
      <w:r w:rsidR="00B5174A" w:rsidRPr="00C52063">
        <w:rPr>
          <w:sz w:val="20"/>
          <w:szCs w:val="20"/>
        </w:rPr>
        <w:t>important</w:t>
      </w:r>
      <w:r w:rsidRPr="00C52063">
        <w:rPr>
          <w:sz w:val="20"/>
          <w:szCs w:val="20"/>
        </w:rPr>
        <w:t xml:space="preserve"> factor for the development of no reflow after PCI. Third</w:t>
      </w:r>
      <w:r w:rsidR="00CF1619" w:rsidRPr="00C52063">
        <w:rPr>
          <w:sz w:val="20"/>
          <w:szCs w:val="20"/>
        </w:rPr>
        <w:t>,</w:t>
      </w:r>
      <w:r w:rsidRPr="00C52063">
        <w:rPr>
          <w:sz w:val="20"/>
          <w:szCs w:val="20"/>
        </w:rPr>
        <w:t xml:space="preserve"> early restoration of blood flow may alleviate tissue ischemia and prevent or attenuate the microvascular damage</w:t>
      </w:r>
      <w:r w:rsidR="00641C07" w:rsidRPr="00C52063">
        <w:rPr>
          <w:sz w:val="20"/>
          <w:szCs w:val="20"/>
        </w:rPr>
        <w:fldChar w:fldCharType="begin" w:fldLock="1"/>
      </w:r>
      <w:r w:rsidR="004F0530" w:rsidRPr="00C52063">
        <w:rPr>
          <w:sz w:val="20"/>
          <w:szCs w:val="20"/>
        </w:rPr>
        <w:instrText>ADDIN CSL_CITATION {"citationItems":[{"id":"ITEM-1","itemData":{"author":[{"dropping-particle":"","family":"Stone","given":"GW","non-dropping-particle":"","parse-names":false,"suffix":""},{"dropping-particle":"","family":"Cox","given":"D","non-dropping-particle":"","parse-names":false,"suffix":""},{"dropping-particle":"","family":"Garcia","given":"E","non-dropping-particle":"","parse-names":false,"suffix":""},{"dropping-particle":"","family":"Brodie","given":"BR","non-dropping-particle":"","parse-names":false,"suffix":""},{"dropping-particle":"","family":"Circulation","given":"MC Morice -","non-dropping-particle":"","parse-names":false,"suffix":""},{"dropping-particle":"","family":"2001","given":"Undefined","non-dropping-particle":"","parse-names":false,"suffix":""}],"container-title":"Am Heart Assoc","id":"ITEM-1","issued":{"date-parts":[["0"]]},"title":"Normal flow (TIMI-3) before mechanical reperfusion therapy is an independent determinant of survival in acute myocardial infarction: analysis from the primary","type":"article-journal"},"uris":["http://www.mendeley.com/documents/?uuid=89c1b6aa-a7c7-3bbc-869b-ff7fdd49d53d"]}],"mendeley":{"formattedCitation":"&lt;sup&gt;20&lt;/sup&gt;","plainTextFormattedCitation":"20","previouslyFormattedCitation":"&lt;sup&gt;20&lt;/sup&gt;"},"properties":{"noteIndex":0},"schema":"https://github.com/citation-style-language/schema/raw/master/csl-citation.json"}</w:instrText>
      </w:r>
      <w:r w:rsidR="00641C07" w:rsidRPr="00C52063">
        <w:rPr>
          <w:sz w:val="20"/>
          <w:szCs w:val="20"/>
        </w:rPr>
        <w:fldChar w:fldCharType="separate"/>
      </w:r>
      <w:r w:rsidR="0025058D" w:rsidRPr="00C52063">
        <w:rPr>
          <w:noProof/>
          <w:sz w:val="20"/>
          <w:szCs w:val="20"/>
          <w:vertAlign w:val="superscript"/>
        </w:rPr>
        <w:t>20</w:t>
      </w:r>
      <w:r w:rsidR="00641C07" w:rsidRPr="00C52063">
        <w:rPr>
          <w:sz w:val="20"/>
          <w:szCs w:val="20"/>
        </w:rPr>
        <w:fldChar w:fldCharType="end"/>
      </w:r>
      <w:r w:rsidRPr="00C52063">
        <w:rPr>
          <w:sz w:val="20"/>
          <w:szCs w:val="20"/>
        </w:rPr>
        <w:t>.</w:t>
      </w:r>
    </w:p>
    <w:p w:rsidR="004F0530" w:rsidRPr="00C52063" w:rsidRDefault="004F0530" w:rsidP="00C52063">
      <w:pPr>
        <w:pStyle w:val="NoSpacing"/>
        <w:snapToGrid w:val="0"/>
        <w:ind w:firstLine="425"/>
        <w:jc w:val="both"/>
        <w:rPr>
          <w:bCs/>
          <w:sz w:val="20"/>
          <w:szCs w:val="20"/>
        </w:rPr>
      </w:pPr>
      <w:r w:rsidRPr="00C52063">
        <w:rPr>
          <w:bCs/>
          <w:sz w:val="20"/>
          <w:szCs w:val="20"/>
        </w:rPr>
        <w:t>Regardin</w:t>
      </w:r>
      <w:r w:rsidR="00C52063" w:rsidRPr="00C52063">
        <w:rPr>
          <w:bCs/>
          <w:sz w:val="20"/>
          <w:szCs w:val="20"/>
        </w:rPr>
        <w:t>g</w:t>
      </w:r>
      <w:r w:rsidR="00C52063">
        <w:rPr>
          <w:bCs/>
          <w:sz w:val="20"/>
          <w:szCs w:val="20"/>
        </w:rPr>
        <w:t xml:space="preserve"> </w:t>
      </w:r>
      <w:r w:rsidR="00C52063" w:rsidRPr="00C52063">
        <w:rPr>
          <w:bCs/>
          <w:color w:val="333333"/>
          <w:sz w:val="20"/>
          <w:szCs w:val="20"/>
        </w:rPr>
        <w:t>C</w:t>
      </w:r>
      <w:r w:rsidRPr="00C52063">
        <w:rPr>
          <w:bCs/>
          <w:color w:val="333333"/>
          <w:sz w:val="20"/>
          <w:szCs w:val="20"/>
        </w:rPr>
        <w:t>HA</w:t>
      </w:r>
      <w:r w:rsidRPr="00C52063">
        <w:rPr>
          <w:bCs/>
          <w:color w:val="333333"/>
          <w:sz w:val="20"/>
          <w:szCs w:val="20"/>
          <w:vertAlign w:val="subscript"/>
        </w:rPr>
        <w:t>2</w:t>
      </w:r>
      <w:r w:rsidRPr="00C52063">
        <w:rPr>
          <w:bCs/>
          <w:color w:val="333333"/>
          <w:sz w:val="20"/>
          <w:szCs w:val="20"/>
        </w:rPr>
        <w:t>DS</w:t>
      </w:r>
      <w:r w:rsidRPr="00C52063">
        <w:rPr>
          <w:bCs/>
          <w:color w:val="333333"/>
          <w:sz w:val="20"/>
          <w:szCs w:val="20"/>
          <w:vertAlign w:val="subscript"/>
        </w:rPr>
        <w:t>2</w:t>
      </w:r>
      <w:r w:rsidRPr="00C52063">
        <w:rPr>
          <w:bCs/>
          <w:color w:val="333333"/>
          <w:sz w:val="20"/>
          <w:szCs w:val="20"/>
        </w:rPr>
        <w:t xml:space="preserve">-VASc </w:t>
      </w:r>
      <w:r w:rsidRPr="00C52063">
        <w:rPr>
          <w:bCs/>
          <w:sz w:val="20"/>
          <w:szCs w:val="20"/>
        </w:rPr>
        <w:t xml:space="preserve">and </w:t>
      </w:r>
      <w:smartTag w:uri="urn:schemas-microsoft-com:office:smarttags" w:element="stockticker">
        <w:r w:rsidRPr="00C52063">
          <w:rPr>
            <w:bCs/>
            <w:color w:val="333333"/>
            <w:sz w:val="20"/>
            <w:szCs w:val="20"/>
          </w:rPr>
          <w:t>CHA</w:t>
        </w:r>
      </w:smartTag>
      <w:r w:rsidRPr="00C52063">
        <w:rPr>
          <w:bCs/>
          <w:color w:val="333333"/>
          <w:sz w:val="20"/>
          <w:szCs w:val="20"/>
          <w:vertAlign w:val="subscript"/>
        </w:rPr>
        <w:t>2</w:t>
      </w:r>
      <w:r w:rsidRPr="00C52063">
        <w:rPr>
          <w:bCs/>
          <w:color w:val="333333"/>
          <w:sz w:val="20"/>
          <w:szCs w:val="20"/>
        </w:rPr>
        <w:t>DS</w:t>
      </w:r>
      <w:r w:rsidRPr="00C52063">
        <w:rPr>
          <w:bCs/>
          <w:color w:val="333333"/>
          <w:sz w:val="20"/>
          <w:szCs w:val="20"/>
          <w:vertAlign w:val="subscript"/>
        </w:rPr>
        <w:t>2</w:t>
      </w:r>
      <w:r w:rsidRPr="00C52063">
        <w:rPr>
          <w:bCs/>
          <w:color w:val="333333"/>
          <w:sz w:val="20"/>
          <w:szCs w:val="20"/>
        </w:rPr>
        <w:t>-VASc-</w:t>
      </w:r>
      <w:r w:rsidRPr="00C52063">
        <w:rPr>
          <w:bCs/>
          <w:sz w:val="20"/>
          <w:szCs w:val="20"/>
        </w:rPr>
        <w:t>HSFscores:</w:t>
      </w:r>
    </w:p>
    <w:p w:rsidR="002B72E3" w:rsidRPr="00C52063" w:rsidRDefault="002B72E3" w:rsidP="00C52063">
      <w:pPr>
        <w:pStyle w:val="NoSpacing"/>
        <w:snapToGrid w:val="0"/>
        <w:ind w:firstLine="425"/>
        <w:jc w:val="both"/>
        <w:rPr>
          <w:sz w:val="20"/>
          <w:szCs w:val="20"/>
        </w:rPr>
      </w:pPr>
      <w:r w:rsidRPr="00C52063">
        <w:rPr>
          <w:color w:val="333333"/>
          <w:sz w:val="20"/>
          <w:szCs w:val="20"/>
          <w:shd w:val="clear" w:color="auto" w:fill="FFFFFF"/>
        </w:rPr>
        <w:t>CHA</w:t>
      </w:r>
      <w:r w:rsidRPr="00C52063">
        <w:rPr>
          <w:color w:val="333333"/>
          <w:sz w:val="20"/>
          <w:szCs w:val="20"/>
          <w:shd w:val="clear" w:color="auto" w:fill="FFFFFF"/>
          <w:vertAlign w:val="subscript"/>
        </w:rPr>
        <w:t>2</w:t>
      </w:r>
      <w:r w:rsidRPr="00C52063">
        <w:rPr>
          <w:color w:val="333333"/>
          <w:sz w:val="20"/>
          <w:szCs w:val="20"/>
          <w:shd w:val="clear" w:color="auto" w:fill="FFFFFF"/>
        </w:rPr>
        <w:t>DS</w:t>
      </w:r>
      <w:r w:rsidRPr="00C52063">
        <w:rPr>
          <w:color w:val="333333"/>
          <w:sz w:val="20"/>
          <w:szCs w:val="20"/>
          <w:shd w:val="clear" w:color="auto" w:fill="FFFFFF"/>
          <w:vertAlign w:val="subscript"/>
        </w:rPr>
        <w:t>2</w:t>
      </w:r>
      <w:r w:rsidRPr="00C52063">
        <w:rPr>
          <w:color w:val="333333"/>
          <w:sz w:val="20"/>
          <w:szCs w:val="20"/>
          <w:shd w:val="clear" w:color="auto" w:fill="FFFFFF"/>
        </w:rPr>
        <w:t xml:space="preserve">-VASc score was found to be associated with higher risk of no-reflow in the study conducted by </w:t>
      </w:r>
      <w:r w:rsidRPr="00C52063">
        <w:rPr>
          <w:bCs/>
          <w:color w:val="333333"/>
          <w:sz w:val="20"/>
          <w:szCs w:val="20"/>
          <w:shd w:val="clear" w:color="auto" w:fill="FFFFFF"/>
        </w:rPr>
        <w:t>Ipek et al.</w:t>
      </w:r>
      <w:r w:rsidR="00641C07" w:rsidRPr="00C52063">
        <w:rPr>
          <w:bCs/>
          <w:color w:val="333333"/>
          <w:sz w:val="20"/>
          <w:szCs w:val="20"/>
          <w:shd w:val="clear" w:color="auto" w:fill="FFFFFF"/>
        </w:rPr>
        <w:fldChar w:fldCharType="begin" w:fldLock="1"/>
      </w:r>
      <w:r w:rsidR="004F0530" w:rsidRPr="00C52063">
        <w:rPr>
          <w:bCs/>
          <w:color w:val="333333"/>
          <w:sz w:val="20"/>
          <w:szCs w:val="20"/>
          <w:shd w:val="clear" w:color="auto" w:fill="FFFFFF"/>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C52063">
        <w:rPr>
          <w:bCs/>
          <w:color w:val="333333"/>
          <w:sz w:val="20"/>
          <w:szCs w:val="20"/>
          <w:shd w:val="clear" w:color="auto" w:fill="FFFFFF"/>
        </w:rPr>
        <w:fldChar w:fldCharType="separate"/>
      </w:r>
      <w:r w:rsidR="004F0530" w:rsidRPr="00C52063">
        <w:rPr>
          <w:bCs/>
          <w:noProof/>
          <w:color w:val="333333"/>
          <w:sz w:val="20"/>
          <w:szCs w:val="20"/>
          <w:shd w:val="clear" w:color="auto" w:fill="FFFFFF"/>
          <w:vertAlign w:val="superscript"/>
        </w:rPr>
        <w:t>8</w:t>
      </w:r>
      <w:r w:rsidR="00641C07" w:rsidRPr="00C52063">
        <w:rPr>
          <w:bCs/>
          <w:color w:val="333333"/>
          <w:sz w:val="20"/>
          <w:szCs w:val="20"/>
          <w:shd w:val="clear" w:color="auto" w:fill="FFFFFF"/>
        </w:rPr>
        <w:fldChar w:fldCharType="end"/>
      </w:r>
      <w:r w:rsidRPr="00C52063">
        <w:rPr>
          <w:color w:val="333333"/>
          <w:sz w:val="20"/>
          <w:szCs w:val="20"/>
          <w:shd w:val="clear" w:color="auto" w:fill="FFFFFF"/>
        </w:rPr>
        <w:t xml:space="preserve"> on patients undergoing primary PCI after STEMI</w:t>
      </w:r>
      <w:r w:rsidR="00641C07" w:rsidRPr="00C52063">
        <w:rPr>
          <w:color w:val="333333"/>
          <w:sz w:val="20"/>
          <w:szCs w:val="20"/>
          <w:shd w:val="clear" w:color="auto" w:fill="FFFFFF"/>
        </w:rPr>
        <w:fldChar w:fldCharType="begin" w:fldLock="1"/>
      </w:r>
      <w:r w:rsidR="004F0530" w:rsidRPr="00C52063">
        <w:rPr>
          <w:color w:val="333333"/>
          <w:sz w:val="20"/>
          <w:szCs w:val="20"/>
          <w:shd w:val="clear" w:color="auto" w:fill="FFFFFF"/>
        </w:rPr>
        <w:instrText>ADDIN CSL_CITATION {"citationItems":[{"id":"ITEM-1","itemData":{"DOI":"10.1177/0003319715622844","ISSN":"19401574","abstract":"Thrombosis and distal embolization play crucial role in the etiology of no-reflow. CHA2DS2-VASc score is used to estimate the risk of thromboembolism in patients with atrial fibrillation. We tested the hypothesis that CHA2DS2-VASc can predict no-reflow among patients who underwent primary percutaneous coronary intervention (PCI). A total number of 2375 consecutive patients with ST-segment elevation myocardial infarction were assessed for the study. Patients were divided into 2 groups as no-reflow (n = 111) and control (n = 1670) groups according to post-PCI no-reflow status. CHA2DS2-VASc scores were calculated for all patients. CHA2DS2-VASc scores were significantly higher in the no-reflow group compared to the control group. After a multivariate regression analysis, CHA2DS2-VASc score remained as an independent predictor (odds ratio: 1.58, 95% confidence interval: 1.33-1,88, P &lt; .001) of no-reflow. Receiver-operating characteristics analysis revealed the cutoff value of CHA2DS2-VASc score &gt;/=2 as a predictor of no-reflow with a sensitivity of 66% and a specificity of 59%. Moreover, in-hospital mortality was also associated with significantly higher CHA2DS2-VASc scores. In conclusion, CHA2DS2-VASc score is associated with higher risk of no-reflow and in-hospital mortality rates in patients who underwent primary PCI.","author":[{"dropping-particle":"","family":"Ipek","given":"Gokturk","non-dropping-particle":"","parse-names":false,"suffix":""},{"dropping-particle":"","family":"Onuk","given":"Tolga","non-dropping-particle":"","parse-names":false,"suffix":""},{"dropping-particle":"","family":"Ozturk","given":"Recep","non-dropping-particle":"","parse-names":false,"suffix":""},{"dropping-particle":"","family":"Bolca","given":"Osman","non-dropping-particle":"","parse-names":false,"suffix":""}],"container-title":"Angiology","id":"ITEM-1","issued":{"date-parts":[["2016"]]},"title":"CHA2DS2-VASc Score is a Predictor of No-Reflow in Patients with ST-Segment Elevation Myocardial Infarction Who Underwent Primary Percutaneous Intervention","type":"article-journal"},"uris":["http://www.mendeley.com/documents/?uuid=fae22f5d-c56a-316f-9635-c9b1cd7215ab"]}],"mendeley":{"formattedCitation":"&lt;sup&gt;8&lt;/sup&gt;","plainTextFormattedCitation":"8","previouslyFormattedCitation":"&lt;sup&gt;8&lt;/sup&gt;"},"properties":{"noteIndex":0},"schema":"https://github.com/citation-style-language/schema/raw/master/csl-citation.json"}</w:instrText>
      </w:r>
      <w:r w:rsidR="00641C07" w:rsidRPr="00C52063">
        <w:rPr>
          <w:color w:val="333333"/>
          <w:sz w:val="20"/>
          <w:szCs w:val="20"/>
          <w:shd w:val="clear" w:color="auto" w:fill="FFFFFF"/>
        </w:rPr>
        <w:fldChar w:fldCharType="separate"/>
      </w:r>
      <w:r w:rsidR="004F0530" w:rsidRPr="00C52063">
        <w:rPr>
          <w:noProof/>
          <w:color w:val="333333"/>
          <w:sz w:val="20"/>
          <w:szCs w:val="20"/>
          <w:shd w:val="clear" w:color="auto" w:fill="FFFFFF"/>
          <w:vertAlign w:val="superscript"/>
        </w:rPr>
        <w:t>8</w:t>
      </w:r>
      <w:r w:rsidR="00641C07" w:rsidRPr="00C52063">
        <w:rPr>
          <w:color w:val="333333"/>
          <w:sz w:val="20"/>
          <w:szCs w:val="20"/>
          <w:shd w:val="clear" w:color="auto" w:fill="FFFFFF"/>
        </w:rPr>
        <w:fldChar w:fldCharType="end"/>
      </w:r>
      <w:r w:rsidRPr="00C52063">
        <w:rPr>
          <w:color w:val="333333"/>
          <w:sz w:val="20"/>
          <w:szCs w:val="20"/>
          <w:shd w:val="clear" w:color="auto" w:fill="FFFFFF"/>
        </w:rPr>
        <w:t>.</w:t>
      </w:r>
    </w:p>
    <w:p w:rsidR="002B72E3" w:rsidRPr="00C52063" w:rsidRDefault="002B72E3" w:rsidP="00C52063">
      <w:pPr>
        <w:pStyle w:val="NoSpacing"/>
        <w:snapToGrid w:val="0"/>
        <w:ind w:firstLine="425"/>
        <w:jc w:val="both"/>
        <w:rPr>
          <w:sz w:val="20"/>
          <w:szCs w:val="20"/>
        </w:rPr>
      </w:pPr>
      <w:r w:rsidRPr="00C52063">
        <w:rPr>
          <w:sz w:val="20"/>
          <w:szCs w:val="20"/>
        </w:rPr>
        <w:t xml:space="preserve">Our study showed that </w:t>
      </w:r>
      <w:r w:rsidRPr="00C52063">
        <w:rPr>
          <w:color w:val="333333"/>
          <w:sz w:val="20"/>
          <w:szCs w:val="20"/>
        </w:rPr>
        <w:t>CHA</w:t>
      </w:r>
      <w:r w:rsidRPr="00C52063">
        <w:rPr>
          <w:color w:val="333333"/>
          <w:sz w:val="20"/>
          <w:szCs w:val="20"/>
          <w:vertAlign w:val="subscript"/>
        </w:rPr>
        <w:t>2</w:t>
      </w:r>
      <w:r w:rsidRPr="00C52063">
        <w:rPr>
          <w:color w:val="333333"/>
          <w:sz w:val="20"/>
          <w:szCs w:val="20"/>
        </w:rPr>
        <w:t>DS</w:t>
      </w:r>
      <w:r w:rsidRPr="00C52063">
        <w:rPr>
          <w:color w:val="333333"/>
          <w:sz w:val="20"/>
          <w:szCs w:val="20"/>
          <w:vertAlign w:val="subscript"/>
        </w:rPr>
        <w:t>2</w:t>
      </w:r>
      <w:r w:rsidRPr="00C52063">
        <w:rPr>
          <w:color w:val="333333"/>
          <w:sz w:val="20"/>
          <w:szCs w:val="20"/>
        </w:rPr>
        <w:t xml:space="preserve">-VASc </w:t>
      </w:r>
      <w:r w:rsidRPr="00C52063">
        <w:rPr>
          <w:sz w:val="20"/>
          <w:szCs w:val="20"/>
        </w:rPr>
        <w:t xml:space="preserve">and </w:t>
      </w:r>
      <w:r w:rsidRPr="00C52063">
        <w:rPr>
          <w:color w:val="333333"/>
          <w:sz w:val="20"/>
          <w:szCs w:val="20"/>
        </w:rPr>
        <w:t>CHA</w:t>
      </w:r>
      <w:r w:rsidRPr="00C52063">
        <w:rPr>
          <w:color w:val="333333"/>
          <w:sz w:val="20"/>
          <w:szCs w:val="20"/>
          <w:vertAlign w:val="subscript"/>
        </w:rPr>
        <w:t>2</w:t>
      </w:r>
      <w:r w:rsidRPr="00C52063">
        <w:rPr>
          <w:color w:val="333333"/>
          <w:sz w:val="20"/>
          <w:szCs w:val="20"/>
        </w:rPr>
        <w:t>DS</w:t>
      </w:r>
      <w:r w:rsidRPr="00C52063">
        <w:rPr>
          <w:color w:val="333333"/>
          <w:sz w:val="20"/>
          <w:szCs w:val="20"/>
          <w:vertAlign w:val="subscript"/>
        </w:rPr>
        <w:t>2</w:t>
      </w:r>
      <w:r w:rsidRPr="00C52063">
        <w:rPr>
          <w:color w:val="333333"/>
          <w:sz w:val="20"/>
          <w:szCs w:val="20"/>
        </w:rPr>
        <w:t>-VASc-</w:t>
      </w:r>
      <w:r w:rsidRPr="00C52063">
        <w:rPr>
          <w:sz w:val="20"/>
          <w:szCs w:val="20"/>
        </w:rPr>
        <w:t>HSFscores can be used as a new, simple, and reliable tool to predict noreflow in patients with ST elevation myocardial infarction who underwent primary percutaneous coronary intervention</w:t>
      </w:r>
      <w:r w:rsidR="00CF1619" w:rsidRPr="00C52063">
        <w:rPr>
          <w:sz w:val="20"/>
          <w:szCs w:val="20"/>
        </w:rPr>
        <w:t xml:space="preserve"> </w:t>
      </w:r>
      <w:r w:rsidRPr="00C52063">
        <w:rPr>
          <w:sz w:val="20"/>
          <w:szCs w:val="20"/>
        </w:rPr>
        <w:t xml:space="preserve">with superiority to </w:t>
      </w:r>
      <w:r w:rsidRPr="00C52063">
        <w:rPr>
          <w:color w:val="333333"/>
          <w:sz w:val="20"/>
          <w:szCs w:val="20"/>
        </w:rPr>
        <w:t>CHA</w:t>
      </w:r>
      <w:r w:rsidRPr="00C52063">
        <w:rPr>
          <w:color w:val="333333"/>
          <w:sz w:val="20"/>
          <w:szCs w:val="20"/>
          <w:vertAlign w:val="subscript"/>
        </w:rPr>
        <w:t>2</w:t>
      </w:r>
      <w:r w:rsidRPr="00C52063">
        <w:rPr>
          <w:color w:val="333333"/>
          <w:sz w:val="20"/>
          <w:szCs w:val="20"/>
        </w:rPr>
        <w:t>DS</w:t>
      </w:r>
      <w:r w:rsidRPr="00C52063">
        <w:rPr>
          <w:color w:val="333333"/>
          <w:sz w:val="20"/>
          <w:szCs w:val="20"/>
          <w:vertAlign w:val="subscript"/>
        </w:rPr>
        <w:t>2</w:t>
      </w:r>
      <w:r w:rsidRPr="00C52063">
        <w:rPr>
          <w:color w:val="333333"/>
          <w:sz w:val="20"/>
          <w:szCs w:val="20"/>
        </w:rPr>
        <w:t>-VASc-</w:t>
      </w:r>
      <w:r w:rsidRPr="00C52063">
        <w:rPr>
          <w:sz w:val="20"/>
          <w:szCs w:val="20"/>
        </w:rPr>
        <w:t xml:space="preserve">HSFas </w:t>
      </w:r>
      <w:r w:rsidRPr="00C52063">
        <w:rPr>
          <w:color w:val="333333"/>
          <w:sz w:val="20"/>
          <w:szCs w:val="20"/>
        </w:rPr>
        <w:t>CHA</w:t>
      </w:r>
      <w:r w:rsidRPr="00C52063">
        <w:rPr>
          <w:color w:val="333333"/>
          <w:sz w:val="20"/>
          <w:szCs w:val="20"/>
          <w:vertAlign w:val="subscript"/>
        </w:rPr>
        <w:t>2</w:t>
      </w:r>
      <w:r w:rsidRPr="00C52063">
        <w:rPr>
          <w:color w:val="333333"/>
          <w:sz w:val="20"/>
          <w:szCs w:val="20"/>
        </w:rPr>
        <w:t>DS</w:t>
      </w:r>
      <w:r w:rsidRPr="00C52063">
        <w:rPr>
          <w:color w:val="333333"/>
          <w:sz w:val="20"/>
          <w:szCs w:val="20"/>
          <w:vertAlign w:val="subscript"/>
        </w:rPr>
        <w:t>2</w:t>
      </w:r>
      <w:r w:rsidRPr="00C52063">
        <w:rPr>
          <w:color w:val="333333"/>
          <w:sz w:val="20"/>
          <w:szCs w:val="20"/>
        </w:rPr>
        <w:t>-VASc-</w:t>
      </w:r>
      <w:r w:rsidRPr="00C52063">
        <w:rPr>
          <w:sz w:val="20"/>
          <w:szCs w:val="20"/>
        </w:rPr>
        <w:t>HSFScore with a cut off level of ≥ 3 is an independent risk factor for noreflow with 73.53 % sensitivity 66.67 % specificity.</w:t>
      </w:r>
    </w:p>
    <w:p w:rsidR="00E5070E" w:rsidRPr="00C52063" w:rsidRDefault="00E5070E" w:rsidP="00C52063">
      <w:pPr>
        <w:pStyle w:val="NoSpacing"/>
        <w:snapToGrid w:val="0"/>
        <w:ind w:firstLine="425"/>
        <w:jc w:val="both"/>
        <w:rPr>
          <w:sz w:val="20"/>
          <w:szCs w:val="20"/>
        </w:rPr>
      </w:pPr>
    </w:p>
    <w:p w:rsidR="002B72E3" w:rsidRPr="00C52063" w:rsidRDefault="00E5070E" w:rsidP="00C52063">
      <w:pPr>
        <w:pStyle w:val="NoSpacing"/>
        <w:snapToGrid w:val="0"/>
        <w:jc w:val="both"/>
        <w:rPr>
          <w:b/>
          <w:bCs/>
          <w:sz w:val="20"/>
          <w:szCs w:val="20"/>
        </w:rPr>
      </w:pPr>
      <w:r w:rsidRPr="00C52063">
        <w:rPr>
          <w:b/>
          <w:bCs/>
          <w:sz w:val="20"/>
          <w:szCs w:val="20"/>
        </w:rPr>
        <w:t>Limitations of The Study</w:t>
      </w:r>
    </w:p>
    <w:p w:rsidR="002B72E3" w:rsidRPr="00C52063" w:rsidRDefault="002B72E3" w:rsidP="00C52063">
      <w:pPr>
        <w:pStyle w:val="NoSpacing"/>
        <w:snapToGrid w:val="0"/>
        <w:ind w:firstLine="425"/>
        <w:jc w:val="both"/>
        <w:rPr>
          <w:sz w:val="20"/>
          <w:szCs w:val="20"/>
        </w:rPr>
      </w:pPr>
      <w:r w:rsidRPr="00C52063">
        <w:rPr>
          <w:sz w:val="20"/>
          <w:szCs w:val="20"/>
        </w:rPr>
        <w:t xml:space="preserve">The study had some potential limitations such as; small size of study population, which was due to many factors, one of them was technical error in our </w:t>
      </w:r>
      <w:r w:rsidR="00B5174A" w:rsidRPr="00C52063">
        <w:rPr>
          <w:sz w:val="20"/>
          <w:szCs w:val="20"/>
        </w:rPr>
        <w:t>catch</w:t>
      </w:r>
      <w:r w:rsidRPr="00C52063">
        <w:rPr>
          <w:sz w:val="20"/>
          <w:szCs w:val="20"/>
        </w:rPr>
        <w:t xml:space="preserve"> lab for about 2 months during the period of the study, also some of cases came with late presentation after the accepted window of primary PCI.</w:t>
      </w:r>
    </w:p>
    <w:p w:rsidR="002B72E3" w:rsidRPr="00C52063" w:rsidRDefault="002B72E3" w:rsidP="00C52063">
      <w:pPr>
        <w:pStyle w:val="NoSpacing"/>
        <w:snapToGrid w:val="0"/>
        <w:ind w:firstLine="425"/>
        <w:jc w:val="both"/>
        <w:rPr>
          <w:rFonts w:eastAsiaTheme="minorEastAsia"/>
          <w:sz w:val="20"/>
          <w:szCs w:val="20"/>
          <w:lang w:eastAsia="zh-CN"/>
        </w:rPr>
      </w:pPr>
      <w:r w:rsidRPr="00C52063">
        <w:rPr>
          <w:sz w:val="20"/>
          <w:szCs w:val="20"/>
        </w:rPr>
        <w:t xml:space="preserve">Others refused doing PCI at our center due to logistic or cultural issues. Also the assessment of coronary flow was performed by the TIMI flow method which can be subjective, but this was performed by a single experienced cardiologist in order to maintain consistency. Also most previous studies have used TIMI flow as the method for assessing no-reflow it has been shown to be a </w:t>
      </w:r>
      <w:r w:rsidRPr="00C52063">
        <w:rPr>
          <w:sz w:val="20"/>
          <w:szCs w:val="20"/>
        </w:rPr>
        <w:lastRenderedPageBreak/>
        <w:t>predictor of mortality in numerous studies and so remains a useful marker that is practical and easy to measure in clinical practice</w:t>
      </w:r>
      <w:r w:rsidR="00C52063">
        <w:rPr>
          <w:rFonts w:eastAsiaTheme="minorEastAsia" w:hint="eastAsia"/>
          <w:sz w:val="20"/>
          <w:szCs w:val="20"/>
          <w:lang w:eastAsia="zh-CN"/>
        </w:rPr>
        <w:t>.</w:t>
      </w:r>
    </w:p>
    <w:p w:rsidR="002B72E3" w:rsidRPr="00C52063" w:rsidRDefault="002B72E3" w:rsidP="00C52063">
      <w:pPr>
        <w:pStyle w:val="NoSpacing"/>
        <w:snapToGrid w:val="0"/>
        <w:ind w:firstLine="425"/>
        <w:jc w:val="both"/>
        <w:rPr>
          <w:sz w:val="20"/>
          <w:szCs w:val="20"/>
        </w:rPr>
      </w:pPr>
    </w:p>
    <w:p w:rsidR="002B72E3" w:rsidRPr="00C52063" w:rsidRDefault="003064B3" w:rsidP="00C52063">
      <w:pPr>
        <w:pStyle w:val="NoSpacing"/>
        <w:snapToGrid w:val="0"/>
        <w:jc w:val="both"/>
        <w:rPr>
          <w:b/>
          <w:bCs/>
          <w:sz w:val="20"/>
          <w:szCs w:val="20"/>
        </w:rPr>
      </w:pPr>
      <w:r w:rsidRPr="00C52063">
        <w:rPr>
          <w:b/>
          <w:bCs/>
          <w:sz w:val="20"/>
          <w:szCs w:val="20"/>
        </w:rPr>
        <w:t>Conclusion</w:t>
      </w:r>
    </w:p>
    <w:p w:rsidR="002B72E3" w:rsidRPr="00C52063" w:rsidRDefault="002B72E3" w:rsidP="00C52063">
      <w:pPr>
        <w:pStyle w:val="NoSpacing"/>
        <w:snapToGrid w:val="0"/>
        <w:ind w:firstLine="425"/>
        <w:jc w:val="both"/>
        <w:rPr>
          <w:rFonts w:eastAsiaTheme="minorEastAsia"/>
          <w:sz w:val="20"/>
          <w:szCs w:val="20"/>
          <w:lang w:eastAsia="zh-CN"/>
        </w:rPr>
      </w:pPr>
      <w:r w:rsidRPr="00C52063">
        <w:rPr>
          <w:sz w:val="20"/>
          <w:szCs w:val="20"/>
        </w:rPr>
        <w:t>The study showed that CHA</w:t>
      </w:r>
      <w:r w:rsidRPr="00C52063">
        <w:rPr>
          <w:rFonts w:ascii="Cambria Math" w:hAnsi="Cambria Math"/>
          <w:sz w:val="20"/>
          <w:szCs w:val="20"/>
        </w:rPr>
        <w:t>₂</w:t>
      </w:r>
      <w:r w:rsidRPr="00C52063">
        <w:rPr>
          <w:sz w:val="20"/>
          <w:szCs w:val="20"/>
        </w:rPr>
        <w:t>DS</w:t>
      </w:r>
      <w:r w:rsidRPr="00C52063">
        <w:rPr>
          <w:rFonts w:ascii="Cambria Math" w:hAnsi="Cambria Math"/>
          <w:sz w:val="20"/>
          <w:szCs w:val="20"/>
        </w:rPr>
        <w:t>₂</w:t>
      </w:r>
      <w:r w:rsidRPr="00C52063">
        <w:rPr>
          <w:sz w:val="20"/>
          <w:szCs w:val="20"/>
        </w:rPr>
        <w:t>-VASc HSF score can be used as a new, simple, and reliable tool to predict noreflow in patients with ST elevation myocardial infarction who underwent primary percutaneous coronary intervention.</w:t>
      </w:r>
    </w:p>
    <w:p w:rsidR="00CF1619" w:rsidRPr="00C52063" w:rsidRDefault="00CF1619" w:rsidP="00C52063">
      <w:pPr>
        <w:pStyle w:val="NoSpacing"/>
        <w:snapToGrid w:val="0"/>
        <w:ind w:firstLine="425"/>
        <w:jc w:val="both"/>
        <w:rPr>
          <w:rFonts w:eastAsiaTheme="minorEastAsia"/>
          <w:sz w:val="20"/>
          <w:szCs w:val="20"/>
          <w:lang w:eastAsia="zh-CN"/>
        </w:rPr>
      </w:pPr>
    </w:p>
    <w:p w:rsidR="007F4728" w:rsidRPr="00C52063" w:rsidRDefault="003064B3" w:rsidP="00C52063">
      <w:pPr>
        <w:pStyle w:val="NoSpacing"/>
        <w:snapToGrid w:val="0"/>
        <w:ind w:left="425" w:hanging="425"/>
        <w:jc w:val="both"/>
        <w:rPr>
          <w:b/>
          <w:bCs/>
          <w:sz w:val="20"/>
          <w:szCs w:val="20"/>
        </w:rPr>
      </w:pPr>
      <w:r w:rsidRPr="00C52063">
        <w:rPr>
          <w:b/>
          <w:bCs/>
          <w:sz w:val="20"/>
          <w:szCs w:val="20"/>
        </w:rPr>
        <w:t>References:</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Okayama</w:t>
      </w:r>
      <w:r w:rsidR="00CF1619" w:rsidRPr="00C52063">
        <w:rPr>
          <w:noProof/>
          <w:sz w:val="20"/>
          <w:szCs w:val="20"/>
        </w:rPr>
        <w:t xml:space="preserve"> </w:t>
      </w:r>
      <w:r w:rsidRPr="00C52063">
        <w:rPr>
          <w:noProof/>
          <w:sz w:val="20"/>
          <w:szCs w:val="20"/>
        </w:rPr>
        <w:t>HI-AM,</w:t>
      </w:r>
      <w:r w:rsidR="00CF1619" w:rsidRPr="00C52063">
        <w:rPr>
          <w:noProof/>
          <w:sz w:val="20"/>
          <w:szCs w:val="20"/>
        </w:rPr>
        <w:t xml:space="preserve"> </w:t>
      </w:r>
      <w:r w:rsidRPr="00C52063">
        <w:rPr>
          <w:noProof/>
          <w:sz w:val="20"/>
          <w:szCs w:val="20"/>
        </w:rPr>
        <w:t>2009</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t>phenomenon</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acute</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its</w:t>
      </w:r>
      <w:r w:rsidR="00CF1619" w:rsidRPr="00C52063">
        <w:rPr>
          <w:noProof/>
          <w:sz w:val="20"/>
          <w:szCs w:val="20"/>
        </w:rPr>
        <w:t xml:space="preserve"> </w:t>
      </w:r>
      <w:r w:rsidRPr="00C52063">
        <w:rPr>
          <w:noProof/>
          <w:sz w:val="20"/>
          <w:szCs w:val="20"/>
        </w:rPr>
        <w:t>pathophysiology</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clinical</w:t>
      </w:r>
      <w:r w:rsidR="00CF1619" w:rsidRPr="00C52063">
        <w:rPr>
          <w:noProof/>
          <w:sz w:val="20"/>
          <w:szCs w:val="20"/>
        </w:rPr>
        <w:t xml:space="preserve"> </w:t>
      </w:r>
      <w:r w:rsidRPr="00C52063">
        <w:rPr>
          <w:noProof/>
          <w:sz w:val="20"/>
          <w:szCs w:val="20"/>
        </w:rPr>
        <w:t>implications.</w:t>
      </w:r>
      <w:r w:rsidR="00CF1619" w:rsidRPr="00C52063">
        <w:rPr>
          <w:noProof/>
          <w:sz w:val="20"/>
          <w:szCs w:val="20"/>
        </w:rPr>
        <w:t xml:space="preserve"> </w:t>
      </w:r>
      <w:r w:rsidRPr="00C52063">
        <w:rPr>
          <w:noProof/>
          <w:sz w:val="20"/>
          <w:szCs w:val="20"/>
        </w:rPr>
        <w:t>2009</w:t>
      </w:r>
      <w:r w:rsidR="00C52063">
        <w:rPr>
          <w:rFonts w:eastAsiaTheme="minorEastAsia" w:hint="eastAsia"/>
          <w:noProof/>
          <w:sz w:val="20"/>
          <w:szCs w:val="20"/>
          <w:lang w:eastAsia="zh-CN"/>
        </w:rPr>
        <w:t>.</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Hart</w:t>
      </w:r>
      <w:r w:rsidR="00CF1619" w:rsidRPr="00C52063">
        <w:rPr>
          <w:noProof/>
          <w:sz w:val="20"/>
          <w:szCs w:val="20"/>
        </w:rPr>
        <w:t xml:space="preserve"> </w:t>
      </w:r>
      <w:r w:rsidRPr="00C52063">
        <w:rPr>
          <w:noProof/>
          <w:sz w:val="20"/>
          <w:szCs w:val="20"/>
        </w:rPr>
        <w:t>R,</w:t>
      </w:r>
      <w:r w:rsidR="00CF1619" w:rsidRPr="00C52063">
        <w:rPr>
          <w:noProof/>
          <w:sz w:val="20"/>
          <w:szCs w:val="20"/>
        </w:rPr>
        <w:t xml:space="preserve"> </w:t>
      </w:r>
      <w:r w:rsidRPr="00C52063">
        <w:rPr>
          <w:noProof/>
          <w:sz w:val="20"/>
          <w:szCs w:val="20"/>
        </w:rPr>
        <w:t>Pearce</w:t>
      </w:r>
      <w:r w:rsidR="00CF1619" w:rsidRPr="00C52063">
        <w:rPr>
          <w:noProof/>
          <w:sz w:val="20"/>
          <w:szCs w:val="20"/>
        </w:rPr>
        <w:t xml:space="preserve"> </w:t>
      </w:r>
      <w:r w:rsidRPr="00C52063">
        <w:rPr>
          <w:noProof/>
          <w:sz w:val="20"/>
          <w:szCs w:val="20"/>
        </w:rPr>
        <w:t>L,</w:t>
      </w:r>
      <w:r w:rsidR="00CF1619" w:rsidRPr="00C52063">
        <w:rPr>
          <w:noProof/>
          <w:sz w:val="20"/>
          <w:szCs w:val="20"/>
        </w:rPr>
        <w:t xml:space="preserve"> </w:t>
      </w:r>
      <w:r w:rsidRPr="00C52063">
        <w:rPr>
          <w:noProof/>
          <w:sz w:val="20"/>
          <w:szCs w:val="20"/>
        </w:rPr>
        <w:t>Medicine</w:t>
      </w:r>
      <w:r w:rsidR="00CF1619" w:rsidRPr="00C52063">
        <w:rPr>
          <w:noProof/>
          <w:sz w:val="20"/>
          <w:szCs w:val="20"/>
        </w:rPr>
        <w:t xml:space="preserve"> </w:t>
      </w:r>
      <w:r w:rsidRPr="00C52063">
        <w:rPr>
          <w:noProof/>
          <w:sz w:val="20"/>
          <w:szCs w:val="20"/>
        </w:rPr>
        <w:t>MA-A</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internal,</w:t>
      </w:r>
      <w:r w:rsidR="00CF1619" w:rsidRPr="00C52063">
        <w:rPr>
          <w:noProof/>
          <w:sz w:val="20"/>
          <w:szCs w:val="20"/>
        </w:rPr>
        <w:t xml:space="preserve"> </w:t>
      </w:r>
      <w:r w:rsidRPr="00C52063">
        <w:rPr>
          <w:noProof/>
          <w:sz w:val="20"/>
          <w:szCs w:val="20"/>
        </w:rPr>
        <w:t>2007</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Meta-analysis:</w:t>
      </w:r>
      <w:r w:rsidR="00CF1619" w:rsidRPr="00C52063">
        <w:rPr>
          <w:noProof/>
          <w:sz w:val="20"/>
          <w:szCs w:val="20"/>
        </w:rPr>
        <w:t xml:space="preserve"> </w:t>
      </w:r>
      <w:r w:rsidRPr="00C52063">
        <w:rPr>
          <w:noProof/>
          <w:sz w:val="20"/>
          <w:szCs w:val="20"/>
        </w:rPr>
        <w:t>antithrombotic</w:t>
      </w:r>
      <w:r w:rsidR="00CF1619" w:rsidRPr="00C52063">
        <w:rPr>
          <w:noProof/>
          <w:sz w:val="20"/>
          <w:szCs w:val="20"/>
        </w:rPr>
        <w:t xml:space="preserve"> </w:t>
      </w:r>
      <w:r w:rsidRPr="00C52063">
        <w:rPr>
          <w:noProof/>
          <w:sz w:val="20"/>
          <w:szCs w:val="20"/>
        </w:rPr>
        <w:t>therapy</w:t>
      </w:r>
      <w:r w:rsidR="00CF1619" w:rsidRPr="00C52063">
        <w:rPr>
          <w:noProof/>
          <w:sz w:val="20"/>
          <w:szCs w:val="20"/>
        </w:rPr>
        <w:t xml:space="preserve"> </w:t>
      </w:r>
      <w:r w:rsidRPr="00C52063">
        <w:rPr>
          <w:noProof/>
          <w:sz w:val="20"/>
          <w:szCs w:val="20"/>
        </w:rPr>
        <w:t>to</w:t>
      </w:r>
      <w:r w:rsidR="00CF1619" w:rsidRPr="00C52063">
        <w:rPr>
          <w:noProof/>
          <w:sz w:val="20"/>
          <w:szCs w:val="20"/>
        </w:rPr>
        <w:t xml:space="preserve"> </w:t>
      </w:r>
      <w:r w:rsidRPr="00C52063">
        <w:rPr>
          <w:noProof/>
          <w:sz w:val="20"/>
          <w:szCs w:val="20"/>
        </w:rPr>
        <w:t>prevent</w:t>
      </w:r>
      <w:r w:rsidR="00CF1619" w:rsidRPr="00C52063">
        <w:rPr>
          <w:noProof/>
          <w:sz w:val="20"/>
          <w:szCs w:val="20"/>
        </w:rPr>
        <w:t xml:space="preserve"> </w:t>
      </w:r>
      <w:r w:rsidRPr="00C52063">
        <w:rPr>
          <w:noProof/>
          <w:sz w:val="20"/>
          <w:szCs w:val="20"/>
        </w:rPr>
        <w:t>stroke</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who</w:t>
      </w:r>
      <w:r w:rsidR="00CF1619" w:rsidRPr="00C52063">
        <w:rPr>
          <w:noProof/>
          <w:sz w:val="20"/>
          <w:szCs w:val="20"/>
        </w:rPr>
        <w:t xml:space="preserve"> </w:t>
      </w:r>
      <w:r w:rsidRPr="00C52063">
        <w:rPr>
          <w:noProof/>
          <w:sz w:val="20"/>
          <w:szCs w:val="20"/>
        </w:rPr>
        <w:t>have</w:t>
      </w:r>
      <w:r w:rsidR="00CF1619" w:rsidRPr="00C52063">
        <w:rPr>
          <w:noProof/>
          <w:sz w:val="20"/>
          <w:szCs w:val="20"/>
        </w:rPr>
        <w:t xml:space="preserve"> </w:t>
      </w:r>
      <w:r w:rsidRPr="00C52063">
        <w:rPr>
          <w:noProof/>
          <w:sz w:val="20"/>
          <w:szCs w:val="20"/>
        </w:rPr>
        <w:t>nonvalvular</w:t>
      </w:r>
      <w:r w:rsidR="00CF1619" w:rsidRPr="00C52063">
        <w:rPr>
          <w:noProof/>
          <w:sz w:val="20"/>
          <w:szCs w:val="20"/>
        </w:rPr>
        <w:t xml:space="preserve"> </w:t>
      </w:r>
      <w:r w:rsidRPr="00C52063">
        <w:rPr>
          <w:noProof/>
          <w:sz w:val="20"/>
          <w:szCs w:val="20"/>
        </w:rPr>
        <w:t>atrial</w:t>
      </w:r>
      <w:r w:rsidR="00CF1619" w:rsidRPr="00C52063">
        <w:rPr>
          <w:noProof/>
          <w:sz w:val="20"/>
          <w:szCs w:val="20"/>
        </w:rPr>
        <w:t xml:space="preserve"> </w:t>
      </w:r>
      <w:r w:rsidRPr="00C52063">
        <w:rPr>
          <w:noProof/>
          <w:sz w:val="20"/>
          <w:szCs w:val="20"/>
        </w:rPr>
        <w:t>fibrillation.</w:t>
      </w:r>
      <w:r w:rsidR="00CF1619" w:rsidRPr="00C52063">
        <w:rPr>
          <w:noProof/>
          <w:sz w:val="20"/>
          <w:szCs w:val="20"/>
        </w:rPr>
        <w:t xml:space="preserve"> </w:t>
      </w:r>
      <w:r w:rsidRPr="00C52063">
        <w:rPr>
          <w:noProof/>
          <w:sz w:val="20"/>
          <w:szCs w:val="20"/>
        </w:rPr>
        <w:t>Am</w:t>
      </w:r>
      <w:r w:rsidR="00CF1619" w:rsidRPr="00C52063">
        <w:rPr>
          <w:noProof/>
          <w:sz w:val="20"/>
          <w:szCs w:val="20"/>
        </w:rPr>
        <w:t xml:space="preserve"> </w:t>
      </w:r>
      <w:r w:rsidRPr="00C52063">
        <w:rPr>
          <w:noProof/>
          <w:sz w:val="20"/>
          <w:szCs w:val="20"/>
        </w:rPr>
        <w:t>Coll</w:t>
      </w:r>
      <w:r w:rsidR="00CF1619" w:rsidRPr="00C52063">
        <w:rPr>
          <w:noProof/>
          <w:sz w:val="20"/>
          <w:szCs w:val="20"/>
        </w:rPr>
        <w:t xml:space="preserve"> </w:t>
      </w:r>
      <w:r w:rsidRPr="00C52063">
        <w:rPr>
          <w:noProof/>
          <w:sz w:val="20"/>
          <w:szCs w:val="20"/>
        </w:rPr>
        <w:t>Physicians.</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Chen</w:t>
      </w:r>
      <w:r w:rsidR="00CF1619" w:rsidRPr="00C52063">
        <w:rPr>
          <w:noProof/>
          <w:sz w:val="20"/>
          <w:szCs w:val="20"/>
        </w:rPr>
        <w:t xml:space="preserve"> </w:t>
      </w:r>
      <w:r w:rsidRPr="00C52063">
        <w:rPr>
          <w:noProof/>
          <w:sz w:val="20"/>
          <w:szCs w:val="20"/>
        </w:rPr>
        <w:t>Y,</w:t>
      </w:r>
      <w:r w:rsidR="00CF1619" w:rsidRPr="00C52063">
        <w:rPr>
          <w:noProof/>
          <w:sz w:val="20"/>
          <w:szCs w:val="20"/>
        </w:rPr>
        <w:t xml:space="preserve"> </w:t>
      </w:r>
      <w:r w:rsidRPr="00C52063">
        <w:rPr>
          <w:noProof/>
          <w:sz w:val="20"/>
          <w:szCs w:val="20"/>
        </w:rPr>
        <w:t>Wang</w:t>
      </w:r>
      <w:r w:rsidR="00CF1619" w:rsidRPr="00C52063">
        <w:rPr>
          <w:noProof/>
          <w:sz w:val="20"/>
          <w:szCs w:val="20"/>
        </w:rPr>
        <w:t xml:space="preserve"> </w:t>
      </w:r>
      <w:r w:rsidRPr="00C52063">
        <w:rPr>
          <w:noProof/>
          <w:sz w:val="20"/>
          <w:szCs w:val="20"/>
        </w:rPr>
        <w:t>C,</w:t>
      </w:r>
      <w:r w:rsidR="00CF1619" w:rsidRPr="00C52063">
        <w:rPr>
          <w:noProof/>
          <w:sz w:val="20"/>
          <w:szCs w:val="20"/>
        </w:rPr>
        <w:t xml:space="preserve"> </w:t>
      </w:r>
      <w:r w:rsidRPr="00C52063">
        <w:rPr>
          <w:noProof/>
          <w:sz w:val="20"/>
          <w:szCs w:val="20"/>
        </w:rPr>
        <w:t>Yang</w:t>
      </w:r>
      <w:r w:rsidR="00CF1619" w:rsidRPr="00C52063">
        <w:rPr>
          <w:noProof/>
          <w:sz w:val="20"/>
          <w:szCs w:val="20"/>
        </w:rPr>
        <w:t xml:space="preserve"> </w:t>
      </w:r>
      <w:r w:rsidRPr="00C52063">
        <w:rPr>
          <w:noProof/>
          <w:sz w:val="20"/>
          <w:szCs w:val="20"/>
        </w:rPr>
        <w:t>X,</w:t>
      </w:r>
      <w:r w:rsidR="00CF1619" w:rsidRPr="00C52063">
        <w:rPr>
          <w:noProof/>
          <w:sz w:val="20"/>
          <w:szCs w:val="20"/>
        </w:rPr>
        <w:t xml:space="preserve"> </w:t>
      </w:r>
      <w:r w:rsidRPr="00C52063">
        <w:rPr>
          <w:noProof/>
          <w:sz w:val="20"/>
          <w:szCs w:val="20"/>
        </w:rPr>
        <w:t>Wang</w:t>
      </w:r>
      <w:r w:rsidR="00CF1619" w:rsidRPr="00C52063">
        <w:rPr>
          <w:noProof/>
          <w:sz w:val="20"/>
          <w:szCs w:val="20"/>
        </w:rPr>
        <w:t xml:space="preserve"> </w:t>
      </w:r>
      <w:r w:rsidRPr="00C52063">
        <w:rPr>
          <w:noProof/>
          <w:sz w:val="20"/>
          <w:szCs w:val="20"/>
        </w:rPr>
        <w:t>L,</w:t>
      </w:r>
      <w:r w:rsidR="00CF1619" w:rsidRPr="00C52063">
        <w:rPr>
          <w:noProof/>
          <w:sz w:val="20"/>
          <w:szCs w:val="20"/>
        </w:rPr>
        <w:t xml:space="preserve"> </w:t>
      </w:r>
      <w:r w:rsidRPr="00C52063">
        <w:rPr>
          <w:noProof/>
          <w:sz w:val="20"/>
          <w:szCs w:val="20"/>
        </w:rPr>
        <w:t>Sun</w:t>
      </w:r>
      <w:r w:rsidR="00CF1619" w:rsidRPr="00C52063">
        <w:rPr>
          <w:noProof/>
          <w:sz w:val="20"/>
          <w:szCs w:val="20"/>
        </w:rPr>
        <w:t xml:space="preserve"> </w:t>
      </w:r>
      <w:r w:rsidRPr="00C52063">
        <w:rPr>
          <w:noProof/>
          <w:sz w:val="20"/>
          <w:szCs w:val="20"/>
        </w:rPr>
        <w:t>Z,</w:t>
      </w:r>
      <w:r w:rsidR="00CF1619" w:rsidRPr="00C52063">
        <w:rPr>
          <w:noProof/>
          <w:sz w:val="20"/>
          <w:szCs w:val="20"/>
        </w:rPr>
        <w:t xml:space="preserve"> </w:t>
      </w:r>
      <w:r w:rsidRPr="00C52063">
        <w:rPr>
          <w:noProof/>
          <w:sz w:val="20"/>
          <w:szCs w:val="20"/>
        </w:rPr>
        <w:t>Liu</w:t>
      </w:r>
      <w:r w:rsidR="00CF1619" w:rsidRPr="00C52063">
        <w:rPr>
          <w:noProof/>
          <w:sz w:val="20"/>
          <w:szCs w:val="20"/>
        </w:rPr>
        <w:t xml:space="preserve"> </w:t>
      </w:r>
      <w:r w:rsidRPr="00C52063">
        <w:rPr>
          <w:noProof/>
          <w:sz w:val="20"/>
          <w:szCs w:val="20"/>
        </w:rPr>
        <w:t>H,</w:t>
      </w:r>
      <w:r w:rsidR="00CF1619" w:rsidRPr="00C52063">
        <w:rPr>
          <w:noProof/>
          <w:sz w:val="20"/>
          <w:szCs w:val="20"/>
        </w:rPr>
        <w:t xml:space="preserve"> </w:t>
      </w:r>
      <w:r w:rsidRPr="00C52063">
        <w:rPr>
          <w:noProof/>
          <w:sz w:val="20"/>
          <w:szCs w:val="20"/>
        </w:rPr>
        <w:t>et</w:t>
      </w:r>
      <w:r w:rsidR="00CF1619" w:rsidRPr="00C52063">
        <w:rPr>
          <w:noProof/>
          <w:sz w:val="20"/>
          <w:szCs w:val="20"/>
        </w:rPr>
        <w:t xml:space="preserve"> </w:t>
      </w:r>
      <w:r w:rsidRPr="00C52063">
        <w:rPr>
          <w:noProof/>
          <w:sz w:val="20"/>
          <w:szCs w:val="20"/>
        </w:rPr>
        <w:t>al.</w:t>
      </w:r>
      <w:r w:rsidR="00CF1619" w:rsidRPr="00C52063">
        <w:rPr>
          <w:noProof/>
          <w:sz w:val="20"/>
          <w:szCs w:val="20"/>
        </w:rPr>
        <w:t xml:space="preserve"> </w:t>
      </w:r>
      <w:r w:rsidRPr="00C52063">
        <w:rPr>
          <w:noProof/>
          <w:sz w:val="20"/>
          <w:szCs w:val="20"/>
        </w:rPr>
        <w:t>Independent</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female</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ST-elevation</w:t>
      </w:r>
      <w:r w:rsidR="00CF1619" w:rsidRPr="00C52063">
        <w:rPr>
          <w:noProof/>
          <w:sz w:val="20"/>
          <w:szCs w:val="20"/>
        </w:rPr>
        <w:t xml:space="preserve"> </w:t>
      </w:r>
      <w:r w:rsidRPr="00C52063">
        <w:rPr>
          <w:noProof/>
          <w:sz w:val="20"/>
          <w:szCs w:val="20"/>
        </w:rPr>
        <w:t>acute</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treated</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primary</w:t>
      </w:r>
      <w:r w:rsidR="00CF1619" w:rsidRPr="00C52063">
        <w:rPr>
          <w:noProof/>
          <w:sz w:val="20"/>
          <w:szCs w:val="20"/>
        </w:rPr>
        <w:t xml:space="preserve"> </w:t>
      </w:r>
      <w:r w:rsidRPr="00C52063">
        <w:rPr>
          <w:noProof/>
          <w:sz w:val="20"/>
          <w:szCs w:val="20"/>
        </w:rPr>
        <w:t>percutaneous</w:t>
      </w:r>
      <w:r w:rsidR="00CF1619" w:rsidRPr="00C52063">
        <w:rPr>
          <w:noProof/>
          <w:sz w:val="20"/>
          <w:szCs w:val="20"/>
        </w:rPr>
        <w:t xml:space="preserve"> </w:t>
      </w:r>
      <w:r w:rsidRPr="00C52063">
        <w:rPr>
          <w:noProof/>
          <w:sz w:val="20"/>
          <w:szCs w:val="20"/>
        </w:rPr>
        <w:t>coronary</w:t>
      </w:r>
      <w:r w:rsidR="00CF1619" w:rsidRPr="00C52063">
        <w:rPr>
          <w:noProof/>
          <w:sz w:val="20"/>
          <w:szCs w:val="20"/>
        </w:rPr>
        <w:t xml:space="preserve"> </w:t>
      </w:r>
      <w:r w:rsidRPr="00C52063">
        <w:rPr>
          <w:noProof/>
          <w:sz w:val="20"/>
          <w:szCs w:val="20"/>
        </w:rPr>
        <w:t>intervention.</w:t>
      </w:r>
      <w:r w:rsidR="00CF1619" w:rsidRPr="00C52063">
        <w:rPr>
          <w:noProof/>
          <w:sz w:val="20"/>
          <w:szCs w:val="20"/>
        </w:rPr>
        <w:t xml:space="preserve"> </w:t>
      </w:r>
      <w:r w:rsidRPr="00C52063">
        <w:rPr>
          <w:noProof/>
          <w:sz w:val="20"/>
          <w:szCs w:val="20"/>
        </w:rPr>
        <w:t>Heart</w:t>
      </w:r>
      <w:r w:rsidR="00CF1619" w:rsidRPr="00C52063">
        <w:rPr>
          <w:noProof/>
          <w:sz w:val="20"/>
          <w:szCs w:val="20"/>
        </w:rPr>
        <w:t xml:space="preserve"> </w:t>
      </w:r>
      <w:r w:rsidRPr="00C52063">
        <w:rPr>
          <w:noProof/>
          <w:sz w:val="20"/>
          <w:szCs w:val="20"/>
        </w:rPr>
        <w:t>Vessels.</w:t>
      </w:r>
      <w:r w:rsidR="00CF1619" w:rsidRPr="00C52063">
        <w:rPr>
          <w:noProof/>
          <w:sz w:val="20"/>
          <w:szCs w:val="20"/>
        </w:rPr>
        <w:t xml:space="preserve"> </w:t>
      </w:r>
      <w:r w:rsidRPr="00C52063">
        <w:rPr>
          <w:noProof/>
          <w:sz w:val="20"/>
          <w:szCs w:val="20"/>
        </w:rPr>
        <w:t>2012</w:t>
      </w:r>
      <w:r w:rsidR="00C52063">
        <w:rPr>
          <w:rFonts w:eastAsiaTheme="minorEastAsia" w:hint="eastAsia"/>
          <w:noProof/>
          <w:sz w:val="20"/>
          <w:szCs w:val="20"/>
          <w:lang w:eastAsia="zh-CN"/>
        </w:rPr>
        <w:t>.</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Kirchhof</w:t>
      </w:r>
      <w:r w:rsidR="00CF1619" w:rsidRPr="00C52063">
        <w:rPr>
          <w:noProof/>
          <w:sz w:val="20"/>
          <w:szCs w:val="20"/>
        </w:rPr>
        <w:t xml:space="preserve"> </w:t>
      </w:r>
      <w:r w:rsidRPr="00C52063">
        <w:rPr>
          <w:noProof/>
          <w:sz w:val="20"/>
          <w:szCs w:val="20"/>
        </w:rPr>
        <w:t>P,</w:t>
      </w:r>
      <w:r w:rsidR="00CF1619" w:rsidRPr="00C52063">
        <w:rPr>
          <w:noProof/>
          <w:sz w:val="20"/>
          <w:szCs w:val="20"/>
        </w:rPr>
        <w:t xml:space="preserve"> </w:t>
      </w:r>
      <w:r w:rsidRPr="00C52063">
        <w:rPr>
          <w:noProof/>
          <w:sz w:val="20"/>
          <w:szCs w:val="20"/>
        </w:rPr>
        <w:t>Benussi</w:t>
      </w:r>
      <w:r w:rsidR="00CF1619" w:rsidRPr="00C52063">
        <w:rPr>
          <w:noProof/>
          <w:sz w:val="20"/>
          <w:szCs w:val="20"/>
        </w:rPr>
        <w:t xml:space="preserve"> </w:t>
      </w:r>
      <w:r w:rsidRPr="00C52063">
        <w:rPr>
          <w:noProof/>
          <w:sz w:val="20"/>
          <w:szCs w:val="20"/>
        </w:rPr>
        <w:t>S,</w:t>
      </w:r>
      <w:r w:rsidR="00CF1619" w:rsidRPr="00C52063">
        <w:rPr>
          <w:noProof/>
          <w:sz w:val="20"/>
          <w:szCs w:val="20"/>
        </w:rPr>
        <w:t xml:space="preserve">… </w:t>
      </w:r>
      <w:r w:rsidRPr="00C52063">
        <w:rPr>
          <w:noProof/>
          <w:sz w:val="20"/>
          <w:szCs w:val="20"/>
        </w:rPr>
        <w:t>DK-E</w:t>
      </w:r>
      <w:r w:rsidR="00CF1619" w:rsidRPr="00C52063">
        <w:rPr>
          <w:noProof/>
          <w:sz w:val="20"/>
          <w:szCs w:val="20"/>
        </w:rPr>
        <w:t xml:space="preserve"> </w:t>
      </w:r>
      <w:r w:rsidRPr="00C52063">
        <w:rPr>
          <w:noProof/>
          <w:sz w:val="20"/>
          <w:szCs w:val="20"/>
        </w:rPr>
        <w:t>journal</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2016</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2016</w:t>
      </w:r>
      <w:r w:rsidR="00CF1619" w:rsidRPr="00C52063">
        <w:rPr>
          <w:noProof/>
          <w:sz w:val="20"/>
          <w:szCs w:val="20"/>
        </w:rPr>
        <w:t xml:space="preserve"> </w:t>
      </w:r>
      <w:r w:rsidRPr="00C52063">
        <w:rPr>
          <w:noProof/>
          <w:sz w:val="20"/>
          <w:szCs w:val="20"/>
        </w:rPr>
        <w:t>ESC</w:t>
      </w:r>
      <w:r w:rsidR="00CF1619" w:rsidRPr="00C52063">
        <w:rPr>
          <w:noProof/>
          <w:sz w:val="20"/>
          <w:szCs w:val="20"/>
        </w:rPr>
        <w:t xml:space="preserve"> </w:t>
      </w:r>
      <w:r w:rsidRPr="00C52063">
        <w:rPr>
          <w:noProof/>
          <w:sz w:val="20"/>
          <w:szCs w:val="20"/>
        </w:rPr>
        <w:t>Guidelines</w:t>
      </w:r>
      <w:r w:rsidR="00CF1619" w:rsidRPr="00C52063">
        <w:rPr>
          <w:noProof/>
          <w:sz w:val="20"/>
          <w:szCs w:val="20"/>
        </w:rPr>
        <w:t xml:space="preserve"> </w:t>
      </w:r>
      <w:r w:rsidRPr="00C52063">
        <w:rPr>
          <w:noProof/>
          <w:sz w:val="20"/>
          <w:szCs w:val="20"/>
        </w:rPr>
        <w:t>for</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management</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atrial</w:t>
      </w:r>
      <w:r w:rsidR="00CF1619" w:rsidRPr="00C52063">
        <w:rPr>
          <w:noProof/>
          <w:sz w:val="20"/>
          <w:szCs w:val="20"/>
        </w:rPr>
        <w:t xml:space="preserve"> </w:t>
      </w:r>
      <w:r w:rsidRPr="00C52063">
        <w:rPr>
          <w:noProof/>
          <w:sz w:val="20"/>
          <w:szCs w:val="20"/>
        </w:rPr>
        <w:t>fibrillation</w:t>
      </w:r>
      <w:r w:rsidR="00CF1619" w:rsidRPr="00C52063">
        <w:rPr>
          <w:noProof/>
          <w:sz w:val="20"/>
          <w:szCs w:val="20"/>
        </w:rPr>
        <w:t xml:space="preserve"> </w:t>
      </w:r>
      <w:r w:rsidRPr="00C52063">
        <w:rPr>
          <w:noProof/>
          <w:sz w:val="20"/>
          <w:szCs w:val="20"/>
        </w:rPr>
        <w:t>developed</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collaboration</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EACTS.</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January</w:t>
      </w:r>
      <w:r w:rsidR="00CF1619" w:rsidRPr="00C52063">
        <w:rPr>
          <w:noProof/>
          <w:sz w:val="20"/>
          <w:szCs w:val="20"/>
        </w:rPr>
        <w:t xml:space="preserve"> </w:t>
      </w:r>
      <w:r w:rsidRPr="00C52063">
        <w:rPr>
          <w:noProof/>
          <w:sz w:val="20"/>
          <w:szCs w:val="20"/>
        </w:rPr>
        <w:t>C,</w:t>
      </w:r>
      <w:r w:rsidR="00CF1619" w:rsidRPr="00C52063">
        <w:rPr>
          <w:noProof/>
          <w:sz w:val="20"/>
          <w:szCs w:val="20"/>
        </w:rPr>
        <w:t xml:space="preserve"> </w:t>
      </w:r>
      <w:r w:rsidRPr="00C52063">
        <w:rPr>
          <w:noProof/>
          <w:sz w:val="20"/>
          <w:szCs w:val="20"/>
        </w:rPr>
        <w:t>Wann</w:t>
      </w:r>
      <w:r w:rsidR="00CF1619" w:rsidRPr="00C52063">
        <w:rPr>
          <w:noProof/>
          <w:sz w:val="20"/>
          <w:szCs w:val="20"/>
        </w:rPr>
        <w:t xml:space="preserve"> </w:t>
      </w:r>
      <w:r w:rsidRPr="00C52063">
        <w:rPr>
          <w:noProof/>
          <w:sz w:val="20"/>
          <w:szCs w:val="20"/>
        </w:rPr>
        <w:t>L,</w:t>
      </w:r>
      <w:r w:rsidR="00CF1619" w:rsidRPr="00C52063">
        <w:rPr>
          <w:noProof/>
          <w:sz w:val="20"/>
          <w:szCs w:val="20"/>
        </w:rPr>
        <w:t xml:space="preserve"> </w:t>
      </w:r>
      <w:r w:rsidRPr="00C52063">
        <w:rPr>
          <w:noProof/>
          <w:sz w:val="20"/>
          <w:szCs w:val="20"/>
        </w:rPr>
        <w:t>Alpert</w:t>
      </w:r>
      <w:r w:rsidR="00CF1619" w:rsidRPr="00C52063">
        <w:rPr>
          <w:noProof/>
          <w:sz w:val="20"/>
          <w:szCs w:val="20"/>
        </w:rPr>
        <w:t xml:space="preserve"> </w:t>
      </w:r>
      <w:r w:rsidRPr="00C52063">
        <w:rPr>
          <w:noProof/>
          <w:sz w:val="20"/>
          <w:szCs w:val="20"/>
        </w:rPr>
        <w:t>J,</w:t>
      </w:r>
      <w:r w:rsidR="00CF1619" w:rsidRPr="00C52063">
        <w:rPr>
          <w:noProof/>
          <w:sz w:val="20"/>
          <w:szCs w:val="20"/>
        </w:rPr>
        <w:t xml:space="preserve">… </w:t>
      </w:r>
      <w:r w:rsidRPr="00C52063">
        <w:rPr>
          <w:noProof/>
          <w:sz w:val="20"/>
          <w:szCs w:val="20"/>
        </w:rPr>
        <w:t>HC-J</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2014</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atrial</w:t>
      </w:r>
      <w:r w:rsidR="00CF1619" w:rsidRPr="00C52063">
        <w:rPr>
          <w:noProof/>
          <w:sz w:val="20"/>
          <w:szCs w:val="20"/>
        </w:rPr>
        <w:t xml:space="preserve"> </w:t>
      </w:r>
      <w:r w:rsidRPr="00C52063">
        <w:rPr>
          <w:noProof/>
          <w:sz w:val="20"/>
          <w:szCs w:val="20"/>
        </w:rPr>
        <w:t>fibrillation:</w:t>
      </w:r>
      <w:r w:rsidR="00CF1619" w:rsidRPr="00C52063">
        <w:rPr>
          <w:noProof/>
          <w:sz w:val="20"/>
          <w:szCs w:val="20"/>
        </w:rPr>
        <w:t xml:space="preserve"> </w:t>
      </w:r>
      <w:r w:rsidRPr="00C52063">
        <w:rPr>
          <w:noProof/>
          <w:sz w:val="20"/>
          <w:szCs w:val="20"/>
        </w:rPr>
        <w:t>a</w:t>
      </w:r>
      <w:r w:rsidR="00CF1619" w:rsidRPr="00C52063">
        <w:rPr>
          <w:noProof/>
          <w:sz w:val="20"/>
          <w:szCs w:val="20"/>
        </w:rPr>
        <w:t xml:space="preserve"> </w:t>
      </w:r>
      <w:r w:rsidRPr="00C52063">
        <w:rPr>
          <w:noProof/>
          <w:sz w:val="20"/>
          <w:szCs w:val="20"/>
        </w:rPr>
        <w:t>report</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American</w:t>
      </w:r>
      <w:r w:rsidR="00CF1619" w:rsidRPr="00C52063">
        <w:rPr>
          <w:noProof/>
          <w:sz w:val="20"/>
          <w:szCs w:val="20"/>
        </w:rPr>
        <w:t xml:space="preserve"> </w:t>
      </w:r>
      <w:r w:rsidRPr="00C52063">
        <w:rPr>
          <w:noProof/>
          <w:sz w:val="20"/>
          <w:szCs w:val="20"/>
        </w:rPr>
        <w:t>College</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Cardiology/American</w:t>
      </w:r>
      <w:r w:rsidR="00CF1619" w:rsidRPr="00C52063">
        <w:rPr>
          <w:noProof/>
          <w:sz w:val="20"/>
          <w:szCs w:val="20"/>
        </w:rPr>
        <w:t xml:space="preserve"> </w:t>
      </w:r>
      <w:r w:rsidRPr="00C52063">
        <w:rPr>
          <w:noProof/>
          <w:sz w:val="20"/>
          <w:szCs w:val="20"/>
        </w:rPr>
        <w:t>Heart</w:t>
      </w:r>
      <w:r w:rsidR="00CF1619" w:rsidRPr="00C52063">
        <w:rPr>
          <w:noProof/>
          <w:sz w:val="20"/>
          <w:szCs w:val="20"/>
        </w:rPr>
        <w:t xml:space="preserve"> </w:t>
      </w:r>
      <w:r w:rsidRPr="00C52063">
        <w:rPr>
          <w:noProof/>
          <w:sz w:val="20"/>
          <w:szCs w:val="20"/>
        </w:rPr>
        <w:t>Association</w:t>
      </w:r>
      <w:r w:rsidR="00CF1619" w:rsidRPr="00C52063">
        <w:rPr>
          <w:noProof/>
          <w:sz w:val="20"/>
          <w:szCs w:val="20"/>
        </w:rPr>
        <w:t xml:space="preserve"> </w:t>
      </w:r>
      <w:r w:rsidRPr="00C52063">
        <w:rPr>
          <w:noProof/>
          <w:sz w:val="20"/>
          <w:szCs w:val="20"/>
        </w:rPr>
        <w:t>Task</w:t>
      </w:r>
      <w:r w:rsidR="00CF1619" w:rsidRPr="00C52063">
        <w:rPr>
          <w:noProof/>
          <w:sz w:val="20"/>
          <w:szCs w:val="20"/>
        </w:rPr>
        <w:t xml:space="preserve"> </w:t>
      </w:r>
      <w:r w:rsidRPr="00C52063">
        <w:rPr>
          <w:noProof/>
          <w:sz w:val="20"/>
          <w:szCs w:val="20"/>
        </w:rPr>
        <w:t>Force</w:t>
      </w:r>
      <w:r w:rsidR="00CF1619" w:rsidRPr="00C52063">
        <w:rPr>
          <w:noProof/>
          <w:sz w:val="20"/>
          <w:szCs w:val="20"/>
        </w:rPr>
        <w:t xml:space="preserve"> </w:t>
      </w:r>
      <w:r w:rsidRPr="00C52063">
        <w:rPr>
          <w:noProof/>
          <w:sz w:val="20"/>
          <w:szCs w:val="20"/>
        </w:rPr>
        <w:t>on</w:t>
      </w:r>
      <w:r w:rsidR="00CF1619" w:rsidRPr="00C52063">
        <w:rPr>
          <w:noProof/>
          <w:sz w:val="20"/>
          <w:szCs w:val="20"/>
        </w:rPr>
        <w:t xml:space="preserve"> </w:t>
      </w:r>
      <w:r w:rsidRPr="00C52063">
        <w:rPr>
          <w:noProof/>
          <w:sz w:val="20"/>
          <w:szCs w:val="20"/>
        </w:rPr>
        <w:t>Practice</w:t>
      </w:r>
      <w:r w:rsidR="00CF1619" w:rsidRPr="00C52063">
        <w:rPr>
          <w:noProof/>
          <w:sz w:val="20"/>
          <w:szCs w:val="20"/>
        </w:rPr>
        <w:t xml:space="preserve"> </w:t>
      </w:r>
      <w:r w:rsidRPr="00C52063">
        <w:rPr>
          <w:noProof/>
          <w:sz w:val="20"/>
          <w:szCs w:val="20"/>
        </w:rPr>
        <w:t>Guidelines</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Heart</w:t>
      </w:r>
      <w:r w:rsidR="00CF1619" w:rsidRPr="00C52063">
        <w:rPr>
          <w:noProof/>
          <w:sz w:val="20"/>
          <w:szCs w:val="20"/>
        </w:rPr>
        <w:t xml:space="preserve"> </w:t>
      </w:r>
      <w:r w:rsidRPr="00C52063">
        <w:rPr>
          <w:noProof/>
          <w:sz w:val="20"/>
          <w:szCs w:val="20"/>
        </w:rPr>
        <w:t>Rhythm</w:t>
      </w:r>
      <w:r w:rsidR="00CF1619" w:rsidRPr="00C52063">
        <w:rPr>
          <w:noProof/>
          <w:sz w:val="20"/>
          <w:szCs w:val="20"/>
        </w:rPr>
        <w:t xml:space="preserve"> </w:t>
      </w:r>
      <w:r w:rsidRPr="00C52063">
        <w:rPr>
          <w:noProof/>
          <w:sz w:val="20"/>
          <w:szCs w:val="20"/>
        </w:rPr>
        <w:t>Society.</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Mazzone</w:t>
      </w:r>
      <w:r w:rsidR="00CF1619" w:rsidRPr="00C52063">
        <w:rPr>
          <w:noProof/>
          <w:sz w:val="20"/>
          <w:szCs w:val="20"/>
        </w:rPr>
        <w:t xml:space="preserve"> </w:t>
      </w:r>
      <w:r w:rsidRPr="00C52063">
        <w:rPr>
          <w:noProof/>
          <w:sz w:val="20"/>
          <w:szCs w:val="20"/>
        </w:rPr>
        <w:t>C,</w:t>
      </w:r>
      <w:r w:rsidR="00CF1619" w:rsidRPr="00C52063">
        <w:rPr>
          <w:noProof/>
          <w:sz w:val="20"/>
          <w:szCs w:val="20"/>
        </w:rPr>
        <w:t xml:space="preserve"> </w:t>
      </w:r>
      <w:r w:rsidRPr="00C52063">
        <w:rPr>
          <w:noProof/>
          <w:sz w:val="20"/>
          <w:szCs w:val="20"/>
        </w:rPr>
        <w:t>Cioffi</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Carriere</w:t>
      </w:r>
      <w:r w:rsidR="00CF1619" w:rsidRPr="00C52063">
        <w:rPr>
          <w:noProof/>
          <w:sz w:val="20"/>
          <w:szCs w:val="20"/>
        </w:rPr>
        <w:t xml:space="preserve"> </w:t>
      </w:r>
      <w:r w:rsidRPr="00C52063">
        <w:rPr>
          <w:noProof/>
          <w:sz w:val="20"/>
          <w:szCs w:val="20"/>
        </w:rPr>
        <w:t>C,</w:t>
      </w:r>
      <w:r w:rsidR="00CF1619" w:rsidRPr="00C52063">
        <w:rPr>
          <w:noProof/>
          <w:sz w:val="20"/>
          <w:szCs w:val="20"/>
        </w:rPr>
        <w:t xml:space="preserve"> </w:t>
      </w:r>
      <w:r w:rsidRPr="00C52063">
        <w:rPr>
          <w:noProof/>
          <w:sz w:val="20"/>
          <w:szCs w:val="20"/>
        </w:rPr>
        <w:t>Barbati</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Faganello</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Russo</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et</w:t>
      </w:r>
      <w:r w:rsidR="00CF1619" w:rsidRPr="00C52063">
        <w:rPr>
          <w:noProof/>
          <w:sz w:val="20"/>
          <w:szCs w:val="20"/>
        </w:rPr>
        <w:t xml:space="preserve"> </w:t>
      </w:r>
      <w:r w:rsidRPr="00C52063">
        <w:rPr>
          <w:noProof/>
          <w:sz w:val="20"/>
          <w:szCs w:val="20"/>
        </w:rPr>
        <w:t>al.</w:t>
      </w:r>
      <w:r w:rsidR="00CF1619" w:rsidRPr="00C52063">
        <w:rPr>
          <w:noProof/>
          <w:sz w:val="20"/>
          <w:szCs w:val="20"/>
        </w:rPr>
        <w:t xml:space="preserve"> </w:t>
      </w:r>
      <w:r w:rsidRPr="00C52063">
        <w:rPr>
          <w:noProof/>
          <w:sz w:val="20"/>
          <w:szCs w:val="20"/>
        </w:rPr>
        <w:t>Predictive</w:t>
      </w:r>
      <w:r w:rsidR="00CF1619" w:rsidRPr="00C52063">
        <w:rPr>
          <w:noProof/>
          <w:sz w:val="20"/>
          <w:szCs w:val="20"/>
        </w:rPr>
        <w:t xml:space="preserve"> </w:t>
      </w:r>
      <w:r w:rsidRPr="00C52063">
        <w:rPr>
          <w:noProof/>
          <w:sz w:val="20"/>
          <w:szCs w:val="20"/>
        </w:rPr>
        <w:t>role</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CHA2DS2-VASc</w:t>
      </w:r>
      <w:r w:rsidR="00CF1619" w:rsidRPr="00C52063">
        <w:rPr>
          <w:noProof/>
          <w:sz w:val="20"/>
          <w:szCs w:val="20"/>
        </w:rPr>
        <w:t xml:space="preserve"> </w:t>
      </w:r>
      <w:r w:rsidRPr="00C52063">
        <w:rPr>
          <w:noProof/>
          <w:sz w:val="20"/>
          <w:szCs w:val="20"/>
        </w:rPr>
        <w:t>score</w:t>
      </w:r>
      <w:r w:rsidR="00CF1619" w:rsidRPr="00C52063">
        <w:rPr>
          <w:noProof/>
          <w:sz w:val="20"/>
          <w:szCs w:val="20"/>
        </w:rPr>
        <w:t xml:space="preserve"> </w:t>
      </w:r>
      <w:r w:rsidRPr="00C52063">
        <w:rPr>
          <w:noProof/>
          <w:sz w:val="20"/>
          <w:szCs w:val="20"/>
        </w:rPr>
        <w:t>for</w:t>
      </w:r>
      <w:r w:rsidR="00CF1619" w:rsidRPr="00C52063">
        <w:rPr>
          <w:noProof/>
          <w:sz w:val="20"/>
          <w:szCs w:val="20"/>
        </w:rPr>
        <w:t xml:space="preserve"> </w:t>
      </w:r>
      <w:r w:rsidRPr="00C52063">
        <w:rPr>
          <w:noProof/>
          <w:sz w:val="20"/>
          <w:szCs w:val="20"/>
        </w:rPr>
        <w:t>cardiovascular</w:t>
      </w:r>
      <w:r w:rsidR="00CF1619" w:rsidRPr="00C52063">
        <w:rPr>
          <w:noProof/>
          <w:sz w:val="20"/>
          <w:szCs w:val="20"/>
        </w:rPr>
        <w:t xml:space="preserve"> </w:t>
      </w:r>
      <w:r w:rsidRPr="00C52063">
        <w:rPr>
          <w:noProof/>
          <w:sz w:val="20"/>
          <w:szCs w:val="20"/>
        </w:rPr>
        <w:t>events</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death</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arterial</w:t>
      </w:r>
      <w:r w:rsidR="00CF1619" w:rsidRPr="00C52063">
        <w:rPr>
          <w:noProof/>
          <w:sz w:val="20"/>
          <w:szCs w:val="20"/>
        </w:rPr>
        <w:t xml:space="preserve"> </w:t>
      </w:r>
      <w:r w:rsidRPr="00C52063">
        <w:rPr>
          <w:noProof/>
          <w:sz w:val="20"/>
          <w:szCs w:val="20"/>
        </w:rPr>
        <w:t>hypertension</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stable</w:t>
      </w:r>
      <w:r w:rsidR="00CF1619" w:rsidRPr="00C52063">
        <w:rPr>
          <w:noProof/>
          <w:sz w:val="20"/>
          <w:szCs w:val="20"/>
        </w:rPr>
        <w:t xml:space="preserve"> </w:t>
      </w:r>
      <w:r w:rsidRPr="00C52063">
        <w:rPr>
          <w:noProof/>
          <w:sz w:val="20"/>
          <w:szCs w:val="20"/>
        </w:rPr>
        <w:t>sinus</w:t>
      </w:r>
      <w:r w:rsidR="00CF1619" w:rsidRPr="00C52063">
        <w:rPr>
          <w:noProof/>
          <w:sz w:val="20"/>
          <w:szCs w:val="20"/>
        </w:rPr>
        <w:t xml:space="preserve"> </w:t>
      </w:r>
      <w:r w:rsidRPr="00C52063">
        <w:rPr>
          <w:noProof/>
          <w:sz w:val="20"/>
          <w:szCs w:val="20"/>
        </w:rPr>
        <w:t>rhythm.</w:t>
      </w:r>
      <w:r w:rsidR="00CF1619" w:rsidRPr="00C52063">
        <w:rPr>
          <w:noProof/>
          <w:sz w:val="20"/>
          <w:szCs w:val="20"/>
        </w:rPr>
        <w:t xml:space="preserve"> </w:t>
      </w:r>
      <w:r w:rsidRPr="00C52063">
        <w:rPr>
          <w:noProof/>
          <w:sz w:val="20"/>
          <w:szCs w:val="20"/>
        </w:rPr>
        <w:t>Eur</w:t>
      </w:r>
      <w:r w:rsidR="00CF1619" w:rsidRPr="00C52063">
        <w:rPr>
          <w:noProof/>
          <w:sz w:val="20"/>
          <w:szCs w:val="20"/>
        </w:rPr>
        <w:t xml:space="preserve"> </w:t>
      </w:r>
      <w:r w:rsidRPr="00C52063">
        <w:rPr>
          <w:noProof/>
          <w:sz w:val="20"/>
          <w:szCs w:val="20"/>
        </w:rPr>
        <w:t>J</w:t>
      </w:r>
      <w:r w:rsidR="00CF1619" w:rsidRPr="00C52063">
        <w:rPr>
          <w:noProof/>
          <w:sz w:val="20"/>
          <w:szCs w:val="20"/>
        </w:rPr>
        <w:t xml:space="preserve"> </w:t>
      </w:r>
      <w:r w:rsidRPr="00C52063">
        <w:rPr>
          <w:noProof/>
          <w:sz w:val="20"/>
          <w:szCs w:val="20"/>
        </w:rPr>
        <w:t>Prev</w:t>
      </w:r>
      <w:r w:rsidR="00CF1619" w:rsidRPr="00C52063">
        <w:rPr>
          <w:noProof/>
          <w:sz w:val="20"/>
          <w:szCs w:val="20"/>
        </w:rPr>
        <w:t xml:space="preserve"> </w:t>
      </w:r>
      <w:r w:rsidRPr="00C52063">
        <w:rPr>
          <w:noProof/>
          <w:sz w:val="20"/>
          <w:szCs w:val="20"/>
        </w:rPr>
        <w:t>Cardiol.</w:t>
      </w:r>
      <w:r w:rsidR="00CF1619" w:rsidRPr="00C52063">
        <w:rPr>
          <w:noProof/>
          <w:sz w:val="20"/>
          <w:szCs w:val="20"/>
        </w:rPr>
        <w:t xml:space="preserve"> </w:t>
      </w:r>
      <w:r w:rsidRPr="00C52063">
        <w:rPr>
          <w:noProof/>
          <w:sz w:val="20"/>
          <w:szCs w:val="20"/>
        </w:rPr>
        <w:t>2017</w:t>
      </w:r>
      <w:r w:rsidR="00C52063">
        <w:rPr>
          <w:rFonts w:eastAsiaTheme="minorEastAsia" w:hint="eastAsia"/>
          <w:noProof/>
          <w:sz w:val="20"/>
          <w:szCs w:val="20"/>
          <w:lang w:eastAsia="zh-CN"/>
        </w:rPr>
        <w:t>.</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Modi</w:t>
      </w:r>
      <w:r w:rsidR="00CF1619" w:rsidRPr="00C52063">
        <w:rPr>
          <w:noProof/>
          <w:sz w:val="20"/>
          <w:szCs w:val="20"/>
        </w:rPr>
        <w:t xml:space="preserve"> </w:t>
      </w:r>
      <w:r w:rsidRPr="00C52063">
        <w:rPr>
          <w:noProof/>
          <w:sz w:val="20"/>
          <w:szCs w:val="20"/>
        </w:rPr>
        <w:t>R,</w:t>
      </w:r>
      <w:r w:rsidR="00CF1619" w:rsidRPr="00C52063">
        <w:rPr>
          <w:noProof/>
          <w:sz w:val="20"/>
          <w:szCs w:val="20"/>
        </w:rPr>
        <w:t xml:space="preserve"> </w:t>
      </w:r>
      <w:r w:rsidRPr="00C52063">
        <w:rPr>
          <w:noProof/>
          <w:sz w:val="20"/>
          <w:szCs w:val="20"/>
        </w:rPr>
        <w:t>Patted</w:t>
      </w:r>
      <w:r w:rsidR="00CF1619" w:rsidRPr="00C52063">
        <w:rPr>
          <w:noProof/>
          <w:sz w:val="20"/>
          <w:szCs w:val="20"/>
        </w:rPr>
        <w:t xml:space="preserve"> </w:t>
      </w:r>
      <w:r w:rsidRPr="00C52063">
        <w:rPr>
          <w:noProof/>
          <w:sz w:val="20"/>
          <w:szCs w:val="20"/>
        </w:rPr>
        <w:t>S,</w:t>
      </w:r>
      <w:r w:rsidR="00CF1619" w:rsidRPr="00C52063">
        <w:rPr>
          <w:noProof/>
          <w:sz w:val="20"/>
          <w:szCs w:val="20"/>
        </w:rPr>
        <w:t xml:space="preserve"> </w:t>
      </w:r>
      <w:r w:rsidRPr="00C52063">
        <w:rPr>
          <w:noProof/>
          <w:sz w:val="20"/>
          <w:szCs w:val="20"/>
        </w:rPr>
        <w:t>Halkati</w:t>
      </w:r>
      <w:r w:rsidR="00CF1619" w:rsidRPr="00C52063">
        <w:rPr>
          <w:noProof/>
          <w:sz w:val="20"/>
          <w:szCs w:val="20"/>
        </w:rPr>
        <w:t xml:space="preserve"> </w:t>
      </w:r>
      <w:r w:rsidRPr="00C52063">
        <w:rPr>
          <w:noProof/>
          <w:sz w:val="20"/>
          <w:szCs w:val="20"/>
        </w:rPr>
        <w:t>P,</w:t>
      </w:r>
      <w:r w:rsidR="00CF1619" w:rsidRPr="00C52063">
        <w:rPr>
          <w:noProof/>
          <w:sz w:val="20"/>
          <w:szCs w:val="20"/>
        </w:rPr>
        <w:t xml:space="preserve">… </w:t>
      </w:r>
      <w:r w:rsidRPr="00C52063">
        <w:rPr>
          <w:noProof/>
          <w:sz w:val="20"/>
          <w:szCs w:val="20"/>
        </w:rPr>
        <w:t>SP-I</w:t>
      </w:r>
      <w:r w:rsidR="00CF1619" w:rsidRPr="00C52063">
        <w:rPr>
          <w:noProof/>
          <w:sz w:val="20"/>
          <w:szCs w:val="20"/>
        </w:rPr>
        <w:t xml:space="preserve"> </w:t>
      </w:r>
      <w:r w:rsidRPr="00C52063">
        <w:rPr>
          <w:noProof/>
          <w:sz w:val="20"/>
          <w:szCs w:val="20"/>
        </w:rPr>
        <w:t>journal</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2017</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CHA2DS2-VASc-HSF</w:t>
      </w:r>
      <w:r w:rsidR="00CF1619" w:rsidRPr="00C52063">
        <w:rPr>
          <w:noProof/>
          <w:sz w:val="20"/>
          <w:szCs w:val="20"/>
        </w:rPr>
        <w:t xml:space="preserve"> </w:t>
      </w:r>
      <w:r w:rsidRPr="00C52063">
        <w:rPr>
          <w:noProof/>
          <w:sz w:val="20"/>
          <w:szCs w:val="20"/>
        </w:rPr>
        <w:t>score–New</w:t>
      </w:r>
      <w:r w:rsidR="00CF1619" w:rsidRPr="00C52063">
        <w:rPr>
          <w:noProof/>
          <w:sz w:val="20"/>
          <w:szCs w:val="20"/>
        </w:rPr>
        <w:t xml:space="preserve"> </w:t>
      </w:r>
      <w:r w:rsidRPr="00C52063">
        <w:rPr>
          <w:noProof/>
          <w:sz w:val="20"/>
          <w:szCs w:val="20"/>
        </w:rPr>
        <w:t>predictor</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severity</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coronary</w:t>
      </w:r>
      <w:r w:rsidR="00CF1619" w:rsidRPr="00C52063">
        <w:rPr>
          <w:noProof/>
          <w:sz w:val="20"/>
          <w:szCs w:val="20"/>
        </w:rPr>
        <w:t xml:space="preserve"> </w:t>
      </w:r>
      <w:r w:rsidRPr="00C52063">
        <w:rPr>
          <w:noProof/>
          <w:sz w:val="20"/>
          <w:szCs w:val="20"/>
        </w:rPr>
        <w:t>artery</w:t>
      </w:r>
      <w:r w:rsidR="00CF1619" w:rsidRPr="00C52063">
        <w:rPr>
          <w:noProof/>
          <w:sz w:val="20"/>
          <w:szCs w:val="20"/>
        </w:rPr>
        <w:t xml:space="preserve"> </w:t>
      </w:r>
      <w:r w:rsidRPr="00C52063">
        <w:rPr>
          <w:noProof/>
          <w:sz w:val="20"/>
          <w:szCs w:val="20"/>
        </w:rPr>
        <w:t>disease</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2976</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Elsevier.</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Ipek</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Onuk</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Ozturk</w:t>
      </w:r>
      <w:r w:rsidR="00CF1619" w:rsidRPr="00C52063">
        <w:rPr>
          <w:noProof/>
          <w:sz w:val="20"/>
          <w:szCs w:val="20"/>
        </w:rPr>
        <w:t xml:space="preserve"> </w:t>
      </w:r>
      <w:r w:rsidRPr="00C52063">
        <w:rPr>
          <w:noProof/>
          <w:sz w:val="20"/>
          <w:szCs w:val="20"/>
        </w:rPr>
        <w:t>R,</w:t>
      </w:r>
      <w:r w:rsidR="00CF1619" w:rsidRPr="00C52063">
        <w:rPr>
          <w:noProof/>
          <w:sz w:val="20"/>
          <w:szCs w:val="20"/>
        </w:rPr>
        <w:t xml:space="preserve"> </w:t>
      </w:r>
      <w:r w:rsidRPr="00C52063">
        <w:rPr>
          <w:noProof/>
          <w:sz w:val="20"/>
          <w:szCs w:val="20"/>
        </w:rPr>
        <w:t>Bolca</w:t>
      </w:r>
      <w:r w:rsidR="00CF1619" w:rsidRPr="00C52063">
        <w:rPr>
          <w:noProof/>
          <w:sz w:val="20"/>
          <w:szCs w:val="20"/>
        </w:rPr>
        <w:t xml:space="preserve"> </w:t>
      </w:r>
      <w:r w:rsidRPr="00C52063">
        <w:rPr>
          <w:noProof/>
          <w:sz w:val="20"/>
          <w:szCs w:val="20"/>
        </w:rPr>
        <w:t>O.</w:t>
      </w:r>
      <w:r w:rsidR="00CF1619" w:rsidRPr="00C52063">
        <w:rPr>
          <w:noProof/>
          <w:sz w:val="20"/>
          <w:szCs w:val="20"/>
        </w:rPr>
        <w:t xml:space="preserve"> </w:t>
      </w:r>
      <w:r w:rsidRPr="00C52063">
        <w:rPr>
          <w:noProof/>
          <w:sz w:val="20"/>
          <w:szCs w:val="20"/>
        </w:rPr>
        <w:t>CHA2DS2-VASc</w:t>
      </w:r>
      <w:r w:rsidR="00CF1619" w:rsidRPr="00C52063">
        <w:rPr>
          <w:noProof/>
          <w:sz w:val="20"/>
          <w:szCs w:val="20"/>
        </w:rPr>
        <w:t xml:space="preserve"> </w:t>
      </w:r>
      <w:r w:rsidRPr="00C52063">
        <w:rPr>
          <w:noProof/>
          <w:sz w:val="20"/>
          <w:szCs w:val="20"/>
        </w:rPr>
        <w:t>Score</w:t>
      </w:r>
      <w:r w:rsidR="00CF1619" w:rsidRPr="00C52063">
        <w:rPr>
          <w:noProof/>
          <w:sz w:val="20"/>
          <w:szCs w:val="20"/>
        </w:rPr>
        <w:t xml:space="preserve"> </w:t>
      </w:r>
      <w:r w:rsidRPr="00C52063">
        <w:rPr>
          <w:noProof/>
          <w:sz w:val="20"/>
          <w:szCs w:val="20"/>
        </w:rPr>
        <w:t>is</w:t>
      </w:r>
      <w:r w:rsidR="00CF1619" w:rsidRPr="00C52063">
        <w:rPr>
          <w:noProof/>
          <w:sz w:val="20"/>
          <w:szCs w:val="20"/>
        </w:rPr>
        <w:t xml:space="preserve"> </w:t>
      </w:r>
      <w:r w:rsidRPr="00C52063">
        <w:rPr>
          <w:noProof/>
          <w:sz w:val="20"/>
          <w:szCs w:val="20"/>
        </w:rPr>
        <w:t>a</w:t>
      </w:r>
      <w:r w:rsidR="00CF1619" w:rsidRPr="00C52063">
        <w:rPr>
          <w:noProof/>
          <w:sz w:val="20"/>
          <w:szCs w:val="20"/>
        </w:rPr>
        <w:t xml:space="preserve"> </w:t>
      </w:r>
      <w:r w:rsidRPr="00C52063">
        <w:rPr>
          <w:noProof/>
          <w:sz w:val="20"/>
          <w:szCs w:val="20"/>
        </w:rPr>
        <w:t>Predictor</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ST-Segment</w:t>
      </w:r>
      <w:r w:rsidR="00CF1619" w:rsidRPr="00C52063">
        <w:rPr>
          <w:noProof/>
          <w:sz w:val="20"/>
          <w:szCs w:val="20"/>
        </w:rPr>
        <w:t xml:space="preserve"> </w:t>
      </w:r>
      <w:r w:rsidRPr="00C52063">
        <w:rPr>
          <w:noProof/>
          <w:sz w:val="20"/>
          <w:szCs w:val="20"/>
        </w:rPr>
        <w:t>Elevation</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Who</w:t>
      </w:r>
      <w:r w:rsidR="00CF1619" w:rsidRPr="00C52063">
        <w:rPr>
          <w:noProof/>
          <w:sz w:val="20"/>
          <w:szCs w:val="20"/>
        </w:rPr>
        <w:t xml:space="preserve"> </w:t>
      </w:r>
      <w:r w:rsidRPr="00C52063">
        <w:rPr>
          <w:noProof/>
          <w:sz w:val="20"/>
          <w:szCs w:val="20"/>
        </w:rPr>
        <w:t>Underwent</w:t>
      </w:r>
      <w:r w:rsidR="00CF1619" w:rsidRPr="00C52063">
        <w:rPr>
          <w:noProof/>
          <w:sz w:val="20"/>
          <w:szCs w:val="20"/>
        </w:rPr>
        <w:t xml:space="preserve"> </w:t>
      </w:r>
      <w:r w:rsidRPr="00C52063">
        <w:rPr>
          <w:noProof/>
          <w:sz w:val="20"/>
          <w:szCs w:val="20"/>
        </w:rPr>
        <w:t>Primary</w:t>
      </w:r>
      <w:r w:rsidR="00CF1619" w:rsidRPr="00C52063">
        <w:rPr>
          <w:noProof/>
          <w:sz w:val="20"/>
          <w:szCs w:val="20"/>
        </w:rPr>
        <w:t xml:space="preserve"> </w:t>
      </w:r>
      <w:r w:rsidRPr="00C52063">
        <w:rPr>
          <w:noProof/>
          <w:sz w:val="20"/>
          <w:szCs w:val="20"/>
        </w:rPr>
        <w:t>Percutaneous</w:t>
      </w:r>
      <w:r w:rsidR="00CF1619" w:rsidRPr="00C52063">
        <w:rPr>
          <w:noProof/>
          <w:sz w:val="20"/>
          <w:szCs w:val="20"/>
        </w:rPr>
        <w:t xml:space="preserve"> </w:t>
      </w:r>
      <w:r w:rsidRPr="00C52063">
        <w:rPr>
          <w:noProof/>
          <w:sz w:val="20"/>
          <w:szCs w:val="20"/>
        </w:rPr>
        <w:t>Intervention.</w:t>
      </w:r>
      <w:r w:rsidR="00CF1619" w:rsidRPr="00C52063">
        <w:rPr>
          <w:noProof/>
          <w:sz w:val="20"/>
          <w:szCs w:val="20"/>
        </w:rPr>
        <w:t xml:space="preserve"> </w:t>
      </w:r>
      <w:r w:rsidRPr="00C52063">
        <w:rPr>
          <w:noProof/>
          <w:sz w:val="20"/>
          <w:szCs w:val="20"/>
        </w:rPr>
        <w:t>Angiology.</w:t>
      </w:r>
      <w:r w:rsidR="00CF1619" w:rsidRPr="00C52063">
        <w:rPr>
          <w:noProof/>
          <w:sz w:val="20"/>
          <w:szCs w:val="20"/>
        </w:rPr>
        <w:t xml:space="preserve"> </w:t>
      </w:r>
      <w:r w:rsidRPr="00C52063">
        <w:rPr>
          <w:noProof/>
          <w:sz w:val="20"/>
          <w:szCs w:val="20"/>
        </w:rPr>
        <w:t>2016</w:t>
      </w:r>
      <w:r w:rsidR="00C52063">
        <w:rPr>
          <w:rFonts w:eastAsiaTheme="minorEastAsia" w:hint="eastAsia"/>
          <w:noProof/>
          <w:sz w:val="20"/>
          <w:szCs w:val="20"/>
          <w:lang w:eastAsia="zh-CN"/>
        </w:rPr>
        <w:t>.</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Fajar</w:t>
      </w:r>
      <w:r w:rsidR="00CF1619" w:rsidRPr="00C52063">
        <w:rPr>
          <w:noProof/>
          <w:sz w:val="20"/>
          <w:szCs w:val="20"/>
        </w:rPr>
        <w:t xml:space="preserve"> </w:t>
      </w:r>
      <w:r w:rsidRPr="00C52063">
        <w:rPr>
          <w:noProof/>
          <w:sz w:val="20"/>
          <w:szCs w:val="20"/>
        </w:rPr>
        <w:t>J,</w:t>
      </w:r>
      <w:r w:rsidR="00CF1619" w:rsidRPr="00C52063">
        <w:rPr>
          <w:noProof/>
          <w:sz w:val="20"/>
          <w:szCs w:val="20"/>
        </w:rPr>
        <w:t xml:space="preserve"> </w:t>
      </w:r>
      <w:r w:rsidRPr="00C52063">
        <w:rPr>
          <w:noProof/>
          <w:sz w:val="20"/>
          <w:szCs w:val="20"/>
        </w:rPr>
        <w:t>Heriansyah</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Journal</w:t>
      </w:r>
      <w:r w:rsidR="00CF1619" w:rsidRPr="00C52063">
        <w:rPr>
          <w:noProof/>
          <w:sz w:val="20"/>
          <w:szCs w:val="20"/>
        </w:rPr>
        <w:t xml:space="preserve"> </w:t>
      </w:r>
      <w:r w:rsidRPr="00C52063">
        <w:rPr>
          <w:noProof/>
          <w:sz w:val="20"/>
          <w:szCs w:val="20"/>
        </w:rPr>
        <w:t>MR-I</w:t>
      </w:r>
      <w:r w:rsidR="00CF1619" w:rsidRPr="00C52063">
        <w:rPr>
          <w:noProof/>
          <w:sz w:val="20"/>
          <w:szCs w:val="20"/>
        </w:rPr>
        <w:t xml:space="preserve"> </w:t>
      </w:r>
      <w:r w:rsidRPr="00C52063">
        <w:rPr>
          <w:noProof/>
          <w:sz w:val="20"/>
          <w:szCs w:val="20"/>
        </w:rPr>
        <w:t>heart,</w:t>
      </w:r>
      <w:r w:rsidR="00CF1619" w:rsidRPr="00C52063">
        <w:rPr>
          <w:noProof/>
          <w:sz w:val="20"/>
          <w:szCs w:val="20"/>
        </w:rPr>
        <w:t xml:space="preserve"> </w:t>
      </w:r>
      <w:r w:rsidRPr="00C52063">
        <w:rPr>
          <w:noProof/>
          <w:sz w:val="20"/>
          <w:szCs w:val="20"/>
        </w:rPr>
        <w:t>2018</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no</w:t>
      </w:r>
      <w:r w:rsidR="00CF1619" w:rsidRPr="00C52063">
        <w:rPr>
          <w:noProof/>
          <w:sz w:val="20"/>
          <w:szCs w:val="20"/>
        </w:rPr>
        <w:t xml:space="preserve"> </w:t>
      </w:r>
      <w:r w:rsidRPr="00C52063">
        <w:rPr>
          <w:noProof/>
          <w:sz w:val="20"/>
          <w:szCs w:val="20"/>
        </w:rPr>
        <w:t>reflow</w:t>
      </w:r>
      <w:r w:rsidR="00CF1619" w:rsidRPr="00C52063">
        <w:rPr>
          <w:noProof/>
          <w:sz w:val="20"/>
          <w:szCs w:val="20"/>
        </w:rPr>
        <w:t xml:space="preserve"> </w:t>
      </w:r>
      <w:r w:rsidRPr="00C52063">
        <w:rPr>
          <w:noProof/>
          <w:sz w:val="20"/>
          <w:szCs w:val="20"/>
        </w:rPr>
        <w:t>phenomenon</w:t>
      </w:r>
      <w:r w:rsidR="00CF1619" w:rsidRPr="00C52063">
        <w:rPr>
          <w:noProof/>
          <w:sz w:val="20"/>
          <w:szCs w:val="20"/>
        </w:rPr>
        <w:t xml:space="preserve"> </w:t>
      </w:r>
      <w:r w:rsidRPr="00C52063">
        <w:rPr>
          <w:noProof/>
          <w:sz w:val="20"/>
          <w:szCs w:val="20"/>
        </w:rPr>
        <w:t>after</w:t>
      </w:r>
      <w:r w:rsidR="00CF1619" w:rsidRPr="00C52063">
        <w:rPr>
          <w:noProof/>
          <w:sz w:val="20"/>
          <w:szCs w:val="20"/>
        </w:rPr>
        <w:t xml:space="preserve"> </w:t>
      </w:r>
      <w:r w:rsidRPr="00C52063">
        <w:rPr>
          <w:noProof/>
          <w:sz w:val="20"/>
          <w:szCs w:val="20"/>
        </w:rPr>
        <w:t>percutaneous</w:t>
      </w:r>
      <w:r w:rsidR="00CF1619" w:rsidRPr="00C52063">
        <w:rPr>
          <w:noProof/>
          <w:sz w:val="20"/>
          <w:szCs w:val="20"/>
        </w:rPr>
        <w:t xml:space="preserve"> </w:t>
      </w:r>
      <w:r w:rsidRPr="00C52063">
        <w:rPr>
          <w:noProof/>
          <w:sz w:val="20"/>
          <w:szCs w:val="20"/>
        </w:rPr>
        <w:t>coronary</w:t>
      </w:r>
      <w:r w:rsidR="00CF1619" w:rsidRPr="00C52063">
        <w:rPr>
          <w:noProof/>
          <w:sz w:val="20"/>
          <w:szCs w:val="20"/>
        </w:rPr>
        <w:t xml:space="preserve"> </w:t>
      </w:r>
      <w:r w:rsidRPr="00C52063">
        <w:rPr>
          <w:noProof/>
          <w:sz w:val="20"/>
          <w:szCs w:val="20"/>
        </w:rPr>
        <w:t>intervention</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ST</w:t>
      </w:r>
      <w:r w:rsidR="00CF1619" w:rsidRPr="00C52063">
        <w:rPr>
          <w:noProof/>
          <w:sz w:val="20"/>
          <w:szCs w:val="20"/>
        </w:rPr>
        <w:t xml:space="preserve"> </w:t>
      </w:r>
      <w:r w:rsidRPr="00C52063">
        <w:rPr>
          <w:noProof/>
          <w:sz w:val="20"/>
          <w:szCs w:val="20"/>
        </w:rPr>
        <w:t>elevation</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A</w:t>
      </w:r>
      <w:r w:rsidR="00CF1619" w:rsidRPr="00C52063">
        <w:rPr>
          <w:noProof/>
          <w:sz w:val="20"/>
          <w:szCs w:val="20"/>
        </w:rPr>
        <w:t xml:space="preserve"> </w:t>
      </w:r>
      <w:r w:rsidRPr="00C52063">
        <w:rPr>
          <w:noProof/>
          <w:sz w:val="20"/>
          <w:szCs w:val="20"/>
        </w:rPr>
        <w:t>meta-analysis.</w:t>
      </w:r>
      <w:r w:rsidR="00CF1619" w:rsidRPr="00C52063">
        <w:rPr>
          <w:noProof/>
          <w:sz w:val="20"/>
          <w:szCs w:val="20"/>
        </w:rPr>
        <w:t xml:space="preserve"> </w:t>
      </w:r>
      <w:r w:rsidRPr="00C52063">
        <w:rPr>
          <w:noProof/>
          <w:sz w:val="20"/>
          <w:szCs w:val="20"/>
        </w:rPr>
        <w:t>Elsevier.</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Celik</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Balta</w:t>
      </w:r>
      <w:r w:rsidR="00CF1619" w:rsidRPr="00C52063">
        <w:rPr>
          <w:noProof/>
          <w:sz w:val="20"/>
          <w:szCs w:val="20"/>
        </w:rPr>
        <w:t xml:space="preserve"> </w:t>
      </w:r>
      <w:r w:rsidRPr="00C52063">
        <w:rPr>
          <w:noProof/>
          <w:sz w:val="20"/>
          <w:szCs w:val="20"/>
        </w:rPr>
        <w:t>S,</w:t>
      </w:r>
      <w:r w:rsidR="00CF1619" w:rsidRPr="00C52063">
        <w:rPr>
          <w:noProof/>
          <w:sz w:val="20"/>
          <w:szCs w:val="20"/>
        </w:rPr>
        <w:t xml:space="preserve"> </w:t>
      </w:r>
      <w:r w:rsidRPr="00C52063">
        <w:rPr>
          <w:noProof/>
          <w:sz w:val="20"/>
          <w:szCs w:val="20"/>
        </w:rPr>
        <w:t>Ozturk</w:t>
      </w:r>
      <w:r w:rsidR="00CF1619" w:rsidRPr="00C52063">
        <w:rPr>
          <w:noProof/>
          <w:sz w:val="20"/>
          <w:szCs w:val="20"/>
        </w:rPr>
        <w:t xml:space="preserve"> </w:t>
      </w:r>
      <w:r w:rsidRPr="00C52063">
        <w:rPr>
          <w:noProof/>
          <w:sz w:val="20"/>
          <w:szCs w:val="20"/>
        </w:rPr>
        <w:t>C,</w:t>
      </w:r>
      <w:r w:rsidR="00CF1619" w:rsidRPr="00C52063">
        <w:rPr>
          <w:noProof/>
          <w:sz w:val="20"/>
          <w:szCs w:val="20"/>
        </w:rPr>
        <w:t xml:space="preserve"> </w:t>
      </w:r>
      <w:r w:rsidRPr="00C52063">
        <w:rPr>
          <w:noProof/>
          <w:sz w:val="20"/>
          <w:szCs w:val="20"/>
        </w:rPr>
        <w:t>Kaya</w:t>
      </w:r>
      <w:r w:rsidR="00CF1619" w:rsidRPr="00C52063">
        <w:rPr>
          <w:noProof/>
          <w:sz w:val="20"/>
          <w:szCs w:val="20"/>
        </w:rPr>
        <w:t xml:space="preserve"> </w:t>
      </w:r>
      <w:r w:rsidRPr="00C52063">
        <w:rPr>
          <w:noProof/>
          <w:sz w:val="20"/>
          <w:szCs w:val="20"/>
        </w:rPr>
        <w:t>MG,</w:t>
      </w:r>
      <w:r w:rsidR="00CF1619" w:rsidRPr="00C52063">
        <w:rPr>
          <w:noProof/>
          <w:sz w:val="20"/>
          <w:szCs w:val="20"/>
        </w:rPr>
        <w:t xml:space="preserve"> </w:t>
      </w:r>
      <w:r w:rsidRPr="00C52063">
        <w:rPr>
          <w:noProof/>
          <w:sz w:val="20"/>
          <w:szCs w:val="20"/>
        </w:rPr>
        <w:t>Aparci</w:t>
      </w:r>
      <w:r w:rsidR="00CF1619" w:rsidRPr="00C52063">
        <w:rPr>
          <w:noProof/>
          <w:sz w:val="20"/>
          <w:szCs w:val="20"/>
        </w:rPr>
        <w:t xml:space="preserve"> </w:t>
      </w:r>
      <w:r w:rsidRPr="00C52063">
        <w:rPr>
          <w:noProof/>
          <w:sz w:val="20"/>
          <w:szCs w:val="20"/>
        </w:rPr>
        <w:t>M,</w:t>
      </w:r>
      <w:r w:rsidR="00CF1619" w:rsidRPr="00C52063">
        <w:rPr>
          <w:noProof/>
          <w:sz w:val="20"/>
          <w:szCs w:val="20"/>
        </w:rPr>
        <w:t xml:space="preserve"> </w:t>
      </w:r>
      <w:r w:rsidRPr="00C52063">
        <w:rPr>
          <w:noProof/>
          <w:sz w:val="20"/>
          <w:szCs w:val="20"/>
        </w:rPr>
        <w:t>Yildirim</w:t>
      </w:r>
      <w:r w:rsidR="00CF1619" w:rsidRPr="00C52063">
        <w:rPr>
          <w:noProof/>
          <w:sz w:val="20"/>
          <w:szCs w:val="20"/>
        </w:rPr>
        <w:t xml:space="preserve"> </w:t>
      </w:r>
      <w:r w:rsidRPr="00C52063">
        <w:rPr>
          <w:noProof/>
          <w:sz w:val="20"/>
          <w:szCs w:val="20"/>
        </w:rPr>
        <w:t>OA,</w:t>
      </w:r>
      <w:r w:rsidR="00CF1619" w:rsidRPr="00C52063">
        <w:rPr>
          <w:noProof/>
          <w:sz w:val="20"/>
          <w:szCs w:val="20"/>
        </w:rPr>
        <w:t xml:space="preserve"> </w:t>
      </w:r>
      <w:r w:rsidRPr="00C52063">
        <w:rPr>
          <w:noProof/>
          <w:sz w:val="20"/>
          <w:szCs w:val="20"/>
        </w:rPr>
        <w:t>et</w:t>
      </w:r>
      <w:r w:rsidR="00CF1619" w:rsidRPr="00C52063">
        <w:rPr>
          <w:noProof/>
          <w:sz w:val="20"/>
          <w:szCs w:val="20"/>
        </w:rPr>
        <w:t xml:space="preserve"> </w:t>
      </w:r>
      <w:r w:rsidRPr="00C52063">
        <w:rPr>
          <w:noProof/>
          <w:sz w:val="20"/>
          <w:szCs w:val="20"/>
        </w:rPr>
        <w:t>al.</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lastRenderedPageBreak/>
        <w:t>Phenomenon</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Young</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Acute</w:t>
      </w:r>
      <w:r w:rsidR="00CF1619" w:rsidRPr="00C52063">
        <w:rPr>
          <w:noProof/>
          <w:sz w:val="20"/>
          <w:szCs w:val="20"/>
        </w:rPr>
        <w:t xml:space="preserve"> </w:t>
      </w:r>
      <w:r w:rsidRPr="00C52063">
        <w:rPr>
          <w:noProof/>
          <w:sz w:val="20"/>
          <w:szCs w:val="20"/>
        </w:rPr>
        <w:t>ST-Segment</w:t>
      </w:r>
      <w:r w:rsidR="00CF1619" w:rsidRPr="00C52063">
        <w:rPr>
          <w:noProof/>
          <w:sz w:val="20"/>
          <w:szCs w:val="20"/>
        </w:rPr>
        <w:t xml:space="preserve"> </w:t>
      </w:r>
      <w:r w:rsidRPr="00C52063">
        <w:rPr>
          <w:noProof/>
          <w:sz w:val="20"/>
          <w:szCs w:val="20"/>
        </w:rPr>
        <w:t>Elevation</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Undergoing</w:t>
      </w:r>
      <w:r w:rsidR="00CF1619" w:rsidRPr="00C52063">
        <w:rPr>
          <w:noProof/>
          <w:sz w:val="20"/>
          <w:szCs w:val="20"/>
        </w:rPr>
        <w:t xml:space="preserve"> </w:t>
      </w:r>
      <w:r w:rsidRPr="00C52063">
        <w:rPr>
          <w:noProof/>
          <w:sz w:val="20"/>
          <w:szCs w:val="20"/>
        </w:rPr>
        <w:t>Primary</w:t>
      </w:r>
      <w:r w:rsidR="00CF1619" w:rsidRPr="00C52063">
        <w:rPr>
          <w:noProof/>
          <w:sz w:val="20"/>
          <w:szCs w:val="20"/>
        </w:rPr>
        <w:t xml:space="preserve"> </w:t>
      </w:r>
      <w:r w:rsidRPr="00C52063">
        <w:rPr>
          <w:noProof/>
          <w:sz w:val="20"/>
          <w:szCs w:val="20"/>
        </w:rPr>
        <w:t>Percutaneous</w:t>
      </w:r>
      <w:r w:rsidR="00CF1619" w:rsidRPr="00C52063">
        <w:rPr>
          <w:noProof/>
          <w:sz w:val="20"/>
          <w:szCs w:val="20"/>
        </w:rPr>
        <w:t xml:space="preserve"> </w:t>
      </w:r>
      <w:r w:rsidRPr="00C52063">
        <w:rPr>
          <w:noProof/>
          <w:sz w:val="20"/>
          <w:szCs w:val="20"/>
        </w:rPr>
        <w:t>Coronary</w:t>
      </w:r>
      <w:r w:rsidR="00CF1619" w:rsidRPr="00C52063">
        <w:rPr>
          <w:noProof/>
          <w:sz w:val="20"/>
          <w:szCs w:val="20"/>
        </w:rPr>
        <w:t xml:space="preserve"> </w:t>
      </w:r>
      <w:r w:rsidRPr="00C52063">
        <w:rPr>
          <w:noProof/>
          <w:sz w:val="20"/>
          <w:szCs w:val="20"/>
        </w:rPr>
        <w:t>Intervention.</w:t>
      </w:r>
      <w:r w:rsidR="00CF1619" w:rsidRPr="00C52063">
        <w:rPr>
          <w:noProof/>
          <w:sz w:val="20"/>
          <w:szCs w:val="20"/>
        </w:rPr>
        <w:t xml:space="preserve"> </w:t>
      </w:r>
      <w:r w:rsidRPr="00C52063">
        <w:rPr>
          <w:noProof/>
          <w:sz w:val="20"/>
          <w:szCs w:val="20"/>
        </w:rPr>
        <w:t>Angiology.</w:t>
      </w:r>
      <w:r w:rsidR="00CF1619" w:rsidRPr="00C52063">
        <w:rPr>
          <w:noProof/>
          <w:sz w:val="20"/>
          <w:szCs w:val="20"/>
        </w:rPr>
        <w:t xml:space="preserve"> </w:t>
      </w:r>
      <w:r w:rsidRPr="00C52063">
        <w:rPr>
          <w:noProof/>
          <w:sz w:val="20"/>
          <w:szCs w:val="20"/>
        </w:rPr>
        <w:t>2016</w:t>
      </w:r>
      <w:r w:rsidR="00CF1619" w:rsidRPr="00C52063">
        <w:rPr>
          <w:noProof/>
          <w:sz w:val="20"/>
          <w:szCs w:val="20"/>
        </w:rPr>
        <w:t xml:space="preserve"> </w:t>
      </w:r>
      <w:r w:rsidRPr="00C52063">
        <w:rPr>
          <w:noProof/>
          <w:sz w:val="20"/>
          <w:szCs w:val="20"/>
        </w:rPr>
        <w:t>Aug</w:t>
      </w:r>
      <w:r w:rsidR="00CF1619" w:rsidRPr="00C52063">
        <w:rPr>
          <w:noProof/>
          <w:sz w:val="20"/>
          <w:szCs w:val="20"/>
        </w:rPr>
        <w:t xml:space="preserve"> </w:t>
      </w:r>
      <w:r w:rsidRPr="00C52063">
        <w:rPr>
          <w:noProof/>
          <w:sz w:val="20"/>
          <w:szCs w:val="20"/>
        </w:rPr>
        <w:t>13;67(7):683–9.</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Tian</w:t>
      </w:r>
      <w:r w:rsidR="00CF1619" w:rsidRPr="00C52063">
        <w:rPr>
          <w:noProof/>
          <w:sz w:val="20"/>
          <w:szCs w:val="20"/>
        </w:rPr>
        <w:t xml:space="preserve"> </w:t>
      </w:r>
      <w:r w:rsidRPr="00C52063">
        <w:rPr>
          <w:noProof/>
          <w:sz w:val="20"/>
          <w:szCs w:val="20"/>
        </w:rPr>
        <w:t>J,</w:t>
      </w:r>
      <w:r w:rsidR="00CF1619" w:rsidRPr="00C52063">
        <w:rPr>
          <w:noProof/>
          <w:sz w:val="20"/>
          <w:szCs w:val="20"/>
        </w:rPr>
        <w:t xml:space="preserve"> </w:t>
      </w:r>
      <w:r w:rsidRPr="00C52063">
        <w:rPr>
          <w:noProof/>
          <w:sz w:val="20"/>
          <w:szCs w:val="20"/>
        </w:rPr>
        <w:t>Liu</w:t>
      </w:r>
      <w:r w:rsidR="00CF1619" w:rsidRPr="00C52063">
        <w:rPr>
          <w:noProof/>
          <w:sz w:val="20"/>
          <w:szCs w:val="20"/>
        </w:rPr>
        <w:t xml:space="preserve"> </w:t>
      </w:r>
      <w:r w:rsidRPr="00C52063">
        <w:rPr>
          <w:noProof/>
          <w:sz w:val="20"/>
          <w:szCs w:val="20"/>
        </w:rPr>
        <w:t>Y,</w:t>
      </w:r>
      <w:r w:rsidR="00CF1619" w:rsidRPr="00C52063">
        <w:rPr>
          <w:noProof/>
          <w:sz w:val="20"/>
          <w:szCs w:val="20"/>
        </w:rPr>
        <w:t xml:space="preserve"> </w:t>
      </w:r>
      <w:r w:rsidRPr="00C52063">
        <w:rPr>
          <w:noProof/>
          <w:sz w:val="20"/>
          <w:szCs w:val="20"/>
        </w:rPr>
        <w:t>Song</w:t>
      </w:r>
      <w:r w:rsidR="00CF1619" w:rsidRPr="00C52063">
        <w:rPr>
          <w:noProof/>
          <w:sz w:val="20"/>
          <w:szCs w:val="20"/>
        </w:rPr>
        <w:t xml:space="preserve"> </w:t>
      </w:r>
      <w:r w:rsidRPr="00C52063">
        <w:rPr>
          <w:noProof/>
          <w:sz w:val="20"/>
          <w:szCs w:val="20"/>
        </w:rPr>
        <w:t>X,</w:t>
      </w:r>
      <w:r w:rsidR="00CF1619" w:rsidRPr="00C52063">
        <w:rPr>
          <w:noProof/>
          <w:sz w:val="20"/>
          <w:szCs w:val="20"/>
        </w:rPr>
        <w:t xml:space="preserve"> </w:t>
      </w:r>
      <w:r w:rsidRPr="00C52063">
        <w:rPr>
          <w:noProof/>
          <w:sz w:val="20"/>
          <w:szCs w:val="20"/>
        </w:rPr>
        <w:t>Zhang</w:t>
      </w:r>
      <w:r w:rsidR="00CF1619" w:rsidRPr="00C52063">
        <w:rPr>
          <w:noProof/>
          <w:sz w:val="20"/>
          <w:szCs w:val="20"/>
        </w:rPr>
        <w:t xml:space="preserve"> </w:t>
      </w:r>
      <w:r w:rsidRPr="00C52063">
        <w:rPr>
          <w:noProof/>
          <w:sz w:val="20"/>
          <w:szCs w:val="20"/>
        </w:rPr>
        <w:t>M,</w:t>
      </w:r>
      <w:r w:rsidR="00CF1619" w:rsidRPr="00C52063">
        <w:rPr>
          <w:noProof/>
          <w:sz w:val="20"/>
          <w:szCs w:val="20"/>
        </w:rPr>
        <w:t xml:space="preserve">… </w:t>
      </w:r>
      <w:r w:rsidRPr="00C52063">
        <w:rPr>
          <w:noProof/>
          <w:sz w:val="20"/>
          <w:szCs w:val="20"/>
        </w:rPr>
        <w:t>FX-B</w:t>
      </w:r>
      <w:r w:rsidR="00CF1619" w:rsidRPr="00C52063">
        <w:rPr>
          <w:noProof/>
          <w:sz w:val="20"/>
          <w:szCs w:val="20"/>
        </w:rPr>
        <w:t xml:space="preserve"> </w:t>
      </w:r>
      <w:r w:rsidRPr="00C52063">
        <w:rPr>
          <w:noProof/>
          <w:sz w:val="20"/>
          <w:szCs w:val="20"/>
        </w:rPr>
        <w:t>research,</w:t>
      </w:r>
      <w:r w:rsidR="00CF1619" w:rsidRPr="00C52063">
        <w:rPr>
          <w:noProof/>
          <w:sz w:val="20"/>
          <w:szCs w:val="20"/>
        </w:rPr>
        <w:t xml:space="preserve"> </w:t>
      </w:r>
      <w:r w:rsidRPr="00C52063">
        <w:rPr>
          <w:noProof/>
          <w:sz w:val="20"/>
          <w:szCs w:val="20"/>
        </w:rPr>
        <w:t>2016</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Clinic</w:t>
      </w:r>
      <w:r w:rsidR="00CF1619" w:rsidRPr="00C52063">
        <w:rPr>
          <w:noProof/>
          <w:sz w:val="20"/>
          <w:szCs w:val="20"/>
        </w:rPr>
        <w:t xml:space="preserve"> </w:t>
      </w:r>
      <w:r w:rsidRPr="00C52063">
        <w:rPr>
          <w:noProof/>
          <w:sz w:val="20"/>
          <w:szCs w:val="20"/>
        </w:rPr>
        <w:t>predictive</w:t>
      </w:r>
      <w:r w:rsidR="00CF1619" w:rsidRPr="00C52063">
        <w:rPr>
          <w:noProof/>
          <w:sz w:val="20"/>
          <w:szCs w:val="20"/>
        </w:rPr>
        <w:t xml:space="preserve"> </w:t>
      </w:r>
      <w:r w:rsidRPr="00C52063">
        <w:rPr>
          <w:noProof/>
          <w:sz w:val="20"/>
          <w:szCs w:val="20"/>
        </w:rPr>
        <w:t>factors</w:t>
      </w:r>
      <w:r w:rsidR="00CF1619" w:rsidRPr="00C52063">
        <w:rPr>
          <w:noProof/>
          <w:sz w:val="20"/>
          <w:szCs w:val="20"/>
        </w:rPr>
        <w:t xml:space="preserve"> </w:t>
      </w:r>
      <w:r w:rsidRPr="00C52063">
        <w:rPr>
          <w:noProof/>
          <w:sz w:val="20"/>
          <w:szCs w:val="20"/>
        </w:rPr>
        <w:t>for</w:t>
      </w:r>
      <w:r w:rsidR="00CF1619" w:rsidRPr="00C52063">
        <w:rPr>
          <w:noProof/>
          <w:sz w:val="20"/>
          <w:szCs w:val="20"/>
        </w:rPr>
        <w:t xml:space="preserve"> </w:t>
      </w:r>
      <w:r w:rsidRPr="00C52063">
        <w:rPr>
          <w:noProof/>
          <w:sz w:val="20"/>
          <w:szCs w:val="20"/>
        </w:rPr>
        <w:t>insufficient</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reperfusion</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ST-segment</w:t>
      </w:r>
      <w:r w:rsidR="00CF1619" w:rsidRPr="00C52063">
        <w:rPr>
          <w:noProof/>
          <w:sz w:val="20"/>
          <w:szCs w:val="20"/>
        </w:rPr>
        <w:t xml:space="preserve"> </w:t>
      </w:r>
      <w:r w:rsidRPr="00C52063">
        <w:rPr>
          <w:noProof/>
          <w:sz w:val="20"/>
          <w:szCs w:val="20"/>
        </w:rPr>
        <w:t>elevation</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treated</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selective</w:t>
      </w:r>
      <w:r w:rsidR="00CF1619" w:rsidRPr="00C52063">
        <w:rPr>
          <w:noProof/>
          <w:sz w:val="20"/>
          <w:szCs w:val="20"/>
        </w:rPr>
        <w:t xml:space="preserve"> </w:t>
      </w:r>
      <w:r w:rsidRPr="00C52063">
        <w:rPr>
          <w:noProof/>
          <w:sz w:val="20"/>
          <w:szCs w:val="20"/>
        </w:rPr>
        <w:t>aspiration</w:t>
      </w:r>
      <w:r w:rsidR="00CF1619" w:rsidRPr="00C52063">
        <w:rPr>
          <w:noProof/>
          <w:sz w:val="20"/>
          <w:szCs w:val="20"/>
        </w:rPr>
        <w:t xml:space="preserve"> </w:t>
      </w:r>
      <w:r w:rsidRPr="00C52063">
        <w:rPr>
          <w:noProof/>
          <w:sz w:val="20"/>
          <w:szCs w:val="20"/>
        </w:rPr>
        <w:t>Thrombectomy.</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Tabit</w:t>
      </w:r>
      <w:r w:rsidR="00CF1619" w:rsidRPr="00C52063">
        <w:rPr>
          <w:noProof/>
          <w:sz w:val="20"/>
          <w:szCs w:val="20"/>
        </w:rPr>
        <w:t xml:space="preserve"> </w:t>
      </w:r>
      <w:r w:rsidRPr="00C52063">
        <w:rPr>
          <w:noProof/>
          <w:sz w:val="20"/>
          <w:szCs w:val="20"/>
        </w:rPr>
        <w:t>CE,</w:t>
      </w:r>
      <w:r w:rsidR="00CF1619" w:rsidRPr="00C52063">
        <w:rPr>
          <w:noProof/>
          <w:sz w:val="20"/>
          <w:szCs w:val="20"/>
        </w:rPr>
        <w:t xml:space="preserve"> </w:t>
      </w:r>
      <w:r w:rsidRPr="00C52063">
        <w:rPr>
          <w:noProof/>
          <w:sz w:val="20"/>
          <w:szCs w:val="20"/>
        </w:rPr>
        <w:t>Chung</w:t>
      </w:r>
      <w:r w:rsidR="00CF1619" w:rsidRPr="00C52063">
        <w:rPr>
          <w:noProof/>
          <w:sz w:val="20"/>
          <w:szCs w:val="20"/>
        </w:rPr>
        <w:t xml:space="preserve"> </w:t>
      </w:r>
      <w:r w:rsidRPr="00C52063">
        <w:rPr>
          <w:noProof/>
          <w:sz w:val="20"/>
          <w:szCs w:val="20"/>
        </w:rPr>
        <w:t>WB,</w:t>
      </w:r>
      <w:r w:rsidR="00CF1619" w:rsidRPr="00C52063">
        <w:rPr>
          <w:noProof/>
          <w:sz w:val="20"/>
          <w:szCs w:val="20"/>
        </w:rPr>
        <w:t xml:space="preserve"> </w:t>
      </w:r>
      <w:r w:rsidRPr="00C52063">
        <w:rPr>
          <w:noProof/>
          <w:sz w:val="20"/>
          <w:szCs w:val="20"/>
        </w:rPr>
        <w:t>Hamburg</w:t>
      </w:r>
      <w:r w:rsidR="00CF1619" w:rsidRPr="00C52063">
        <w:rPr>
          <w:noProof/>
          <w:sz w:val="20"/>
          <w:szCs w:val="20"/>
        </w:rPr>
        <w:t xml:space="preserve"> </w:t>
      </w:r>
      <w:r w:rsidRPr="00C52063">
        <w:rPr>
          <w:noProof/>
          <w:sz w:val="20"/>
          <w:szCs w:val="20"/>
        </w:rPr>
        <w:t>NM,</w:t>
      </w:r>
      <w:r w:rsidR="00CF1619" w:rsidRPr="00C52063">
        <w:rPr>
          <w:noProof/>
          <w:sz w:val="20"/>
          <w:szCs w:val="20"/>
        </w:rPr>
        <w:t xml:space="preserve"> </w:t>
      </w:r>
      <w:r w:rsidRPr="00C52063">
        <w:rPr>
          <w:noProof/>
          <w:sz w:val="20"/>
          <w:szCs w:val="20"/>
        </w:rPr>
        <w:t>Vita</w:t>
      </w:r>
      <w:r w:rsidR="00CF1619" w:rsidRPr="00C52063">
        <w:rPr>
          <w:noProof/>
          <w:sz w:val="20"/>
          <w:szCs w:val="20"/>
        </w:rPr>
        <w:t xml:space="preserve"> </w:t>
      </w:r>
      <w:r w:rsidRPr="00C52063">
        <w:rPr>
          <w:noProof/>
          <w:sz w:val="20"/>
          <w:szCs w:val="20"/>
        </w:rPr>
        <w:t>JA.</w:t>
      </w:r>
      <w:r w:rsidR="00CF1619" w:rsidRPr="00C52063">
        <w:rPr>
          <w:noProof/>
          <w:sz w:val="20"/>
          <w:szCs w:val="20"/>
        </w:rPr>
        <w:t xml:space="preserve"> </w:t>
      </w:r>
      <w:r w:rsidRPr="00C52063">
        <w:rPr>
          <w:noProof/>
          <w:sz w:val="20"/>
          <w:szCs w:val="20"/>
        </w:rPr>
        <w:t>Endothelial</w:t>
      </w:r>
      <w:r w:rsidR="00CF1619" w:rsidRPr="00C52063">
        <w:rPr>
          <w:noProof/>
          <w:sz w:val="20"/>
          <w:szCs w:val="20"/>
        </w:rPr>
        <w:t xml:space="preserve"> </w:t>
      </w:r>
      <w:r w:rsidRPr="00C52063">
        <w:rPr>
          <w:noProof/>
          <w:sz w:val="20"/>
          <w:szCs w:val="20"/>
        </w:rPr>
        <w:t>dysfunction</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diabetes</w:t>
      </w:r>
      <w:r w:rsidR="00CF1619" w:rsidRPr="00C52063">
        <w:rPr>
          <w:noProof/>
          <w:sz w:val="20"/>
          <w:szCs w:val="20"/>
        </w:rPr>
        <w:t xml:space="preserve"> </w:t>
      </w:r>
      <w:r w:rsidRPr="00C52063">
        <w:rPr>
          <w:noProof/>
          <w:sz w:val="20"/>
          <w:szCs w:val="20"/>
        </w:rPr>
        <w:t>mellitus:</w:t>
      </w:r>
      <w:r w:rsidR="00CF1619" w:rsidRPr="00C52063">
        <w:rPr>
          <w:noProof/>
          <w:sz w:val="20"/>
          <w:szCs w:val="20"/>
        </w:rPr>
        <w:t xml:space="preserve"> </w:t>
      </w:r>
      <w:r w:rsidRPr="00C52063">
        <w:rPr>
          <w:noProof/>
          <w:sz w:val="20"/>
          <w:szCs w:val="20"/>
        </w:rPr>
        <w:t>Molecular</w:t>
      </w:r>
      <w:r w:rsidR="00CF1619" w:rsidRPr="00C52063">
        <w:rPr>
          <w:noProof/>
          <w:sz w:val="20"/>
          <w:szCs w:val="20"/>
        </w:rPr>
        <w:t xml:space="preserve"> </w:t>
      </w:r>
      <w:r w:rsidRPr="00C52063">
        <w:rPr>
          <w:noProof/>
          <w:sz w:val="20"/>
          <w:szCs w:val="20"/>
        </w:rPr>
        <w:t>mechanisms</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clinical</w:t>
      </w:r>
      <w:r w:rsidR="00CF1619" w:rsidRPr="00C52063">
        <w:rPr>
          <w:noProof/>
          <w:sz w:val="20"/>
          <w:szCs w:val="20"/>
        </w:rPr>
        <w:t xml:space="preserve"> </w:t>
      </w:r>
      <w:r w:rsidRPr="00C52063">
        <w:rPr>
          <w:noProof/>
          <w:sz w:val="20"/>
          <w:szCs w:val="20"/>
        </w:rPr>
        <w:t>implications.</w:t>
      </w:r>
      <w:r w:rsidR="00CF1619" w:rsidRPr="00C52063">
        <w:rPr>
          <w:noProof/>
          <w:sz w:val="20"/>
          <w:szCs w:val="20"/>
        </w:rPr>
        <w:t xml:space="preserve"> </w:t>
      </w:r>
      <w:r w:rsidRPr="00C52063">
        <w:rPr>
          <w:noProof/>
          <w:sz w:val="20"/>
          <w:szCs w:val="20"/>
        </w:rPr>
        <w:t>Reviews</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Endocrine</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Metabolic</w:t>
      </w:r>
      <w:r w:rsidR="00CF1619" w:rsidRPr="00C52063">
        <w:rPr>
          <w:noProof/>
          <w:sz w:val="20"/>
          <w:szCs w:val="20"/>
        </w:rPr>
        <w:t xml:space="preserve"> </w:t>
      </w:r>
      <w:r w:rsidRPr="00C52063">
        <w:rPr>
          <w:noProof/>
          <w:sz w:val="20"/>
          <w:szCs w:val="20"/>
        </w:rPr>
        <w:t>Disorders.</w:t>
      </w:r>
      <w:r w:rsidR="00CF1619" w:rsidRPr="00C52063">
        <w:rPr>
          <w:noProof/>
          <w:sz w:val="20"/>
          <w:szCs w:val="20"/>
        </w:rPr>
        <w:t xml:space="preserve"> </w:t>
      </w:r>
      <w:r w:rsidRPr="00C52063">
        <w:rPr>
          <w:noProof/>
          <w:sz w:val="20"/>
          <w:szCs w:val="20"/>
        </w:rPr>
        <w:t>2010.</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Puddu</w:t>
      </w:r>
      <w:r w:rsidR="00CF1619" w:rsidRPr="00C52063">
        <w:rPr>
          <w:noProof/>
          <w:sz w:val="20"/>
          <w:szCs w:val="20"/>
        </w:rPr>
        <w:t xml:space="preserve"> </w:t>
      </w:r>
      <w:r w:rsidRPr="00C52063">
        <w:rPr>
          <w:noProof/>
          <w:sz w:val="20"/>
          <w:szCs w:val="20"/>
        </w:rPr>
        <w:t>P,</w:t>
      </w:r>
      <w:r w:rsidR="00CF1619" w:rsidRPr="00C52063">
        <w:rPr>
          <w:noProof/>
          <w:sz w:val="20"/>
          <w:szCs w:val="20"/>
        </w:rPr>
        <w:t xml:space="preserve"> </w:t>
      </w:r>
      <w:r w:rsidRPr="00C52063">
        <w:rPr>
          <w:noProof/>
          <w:sz w:val="20"/>
          <w:szCs w:val="20"/>
        </w:rPr>
        <w:t>Puddu</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Zaca</w:t>
      </w:r>
      <w:r w:rsidR="00CF1619" w:rsidRPr="00C52063">
        <w:rPr>
          <w:noProof/>
          <w:sz w:val="20"/>
          <w:szCs w:val="20"/>
        </w:rPr>
        <w:t xml:space="preserve"> </w:t>
      </w:r>
      <w:r w:rsidRPr="00C52063">
        <w:rPr>
          <w:noProof/>
          <w:sz w:val="20"/>
          <w:szCs w:val="20"/>
        </w:rPr>
        <w:t>F,</w:t>
      </w:r>
      <w:r w:rsidR="00CF1619" w:rsidRPr="00C52063">
        <w:rPr>
          <w:noProof/>
          <w:sz w:val="20"/>
          <w:szCs w:val="20"/>
        </w:rPr>
        <w:t xml:space="preserve"> </w:t>
      </w:r>
      <w:r w:rsidRPr="00C52063">
        <w:rPr>
          <w:noProof/>
          <w:sz w:val="20"/>
          <w:szCs w:val="20"/>
        </w:rPr>
        <w:t>Cardiologica</w:t>
      </w:r>
      <w:r w:rsidR="00CF1619" w:rsidRPr="00C52063">
        <w:rPr>
          <w:noProof/>
          <w:sz w:val="20"/>
          <w:szCs w:val="20"/>
        </w:rPr>
        <w:t xml:space="preserve"> </w:t>
      </w:r>
      <w:r w:rsidRPr="00C52063">
        <w:rPr>
          <w:noProof/>
          <w:sz w:val="20"/>
          <w:szCs w:val="20"/>
        </w:rPr>
        <w:t>AM-A,</w:t>
      </w:r>
      <w:r w:rsidR="00CF1619" w:rsidRPr="00C52063">
        <w:rPr>
          <w:noProof/>
          <w:sz w:val="20"/>
          <w:szCs w:val="20"/>
        </w:rPr>
        <w:t xml:space="preserve"> </w:t>
      </w:r>
      <w:r w:rsidRPr="00C52063">
        <w:rPr>
          <w:noProof/>
          <w:sz w:val="20"/>
          <w:szCs w:val="20"/>
        </w:rPr>
        <w:t>2000</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Endothelial</w:t>
      </w:r>
      <w:r w:rsidR="00CF1619" w:rsidRPr="00C52063">
        <w:rPr>
          <w:noProof/>
          <w:sz w:val="20"/>
          <w:szCs w:val="20"/>
        </w:rPr>
        <w:t xml:space="preserve"> </w:t>
      </w:r>
      <w:r w:rsidRPr="00C52063">
        <w:rPr>
          <w:noProof/>
          <w:sz w:val="20"/>
          <w:szCs w:val="20"/>
        </w:rPr>
        <w:t>dysfunction</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hypertension.</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Avci</w:t>
      </w:r>
      <w:r w:rsidR="00CF1619" w:rsidRPr="00C52063">
        <w:rPr>
          <w:noProof/>
          <w:sz w:val="20"/>
          <w:szCs w:val="20"/>
        </w:rPr>
        <w:t xml:space="preserve"> </w:t>
      </w:r>
      <w:r w:rsidRPr="00C52063">
        <w:rPr>
          <w:noProof/>
          <w:sz w:val="20"/>
          <w:szCs w:val="20"/>
        </w:rPr>
        <w:t>E,</w:t>
      </w:r>
      <w:r w:rsidR="00CF1619" w:rsidRPr="00C52063">
        <w:rPr>
          <w:noProof/>
          <w:sz w:val="20"/>
          <w:szCs w:val="20"/>
        </w:rPr>
        <w:t xml:space="preserve"> </w:t>
      </w:r>
      <w:r w:rsidRPr="00C52063">
        <w:rPr>
          <w:noProof/>
          <w:sz w:val="20"/>
          <w:szCs w:val="20"/>
        </w:rPr>
        <w:t>Yildirim</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Aydin</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Kiris</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Dolapoglu</w:t>
      </w:r>
      <w:r w:rsidR="00CF1619" w:rsidRPr="00C52063">
        <w:rPr>
          <w:noProof/>
          <w:sz w:val="20"/>
          <w:szCs w:val="20"/>
        </w:rPr>
        <w:t xml:space="preserve"> </w:t>
      </w:r>
      <w:r w:rsidRPr="00C52063">
        <w:rPr>
          <w:noProof/>
          <w:sz w:val="20"/>
          <w:szCs w:val="20"/>
        </w:rPr>
        <w:t>A,</w:t>
      </w:r>
      <w:r w:rsidR="00CF1619" w:rsidRPr="00C52063">
        <w:rPr>
          <w:noProof/>
          <w:sz w:val="20"/>
          <w:szCs w:val="20"/>
        </w:rPr>
        <w:t xml:space="preserve"> </w:t>
      </w:r>
      <w:r w:rsidRPr="00C52063">
        <w:rPr>
          <w:noProof/>
          <w:sz w:val="20"/>
          <w:szCs w:val="20"/>
        </w:rPr>
        <w:t>Kadi</w:t>
      </w:r>
      <w:r w:rsidR="00CF1619" w:rsidRPr="00C52063">
        <w:rPr>
          <w:noProof/>
          <w:sz w:val="20"/>
          <w:szCs w:val="20"/>
        </w:rPr>
        <w:t xml:space="preserve"> </w:t>
      </w:r>
      <w:r w:rsidRPr="00C52063">
        <w:rPr>
          <w:noProof/>
          <w:sz w:val="20"/>
          <w:szCs w:val="20"/>
        </w:rPr>
        <w:t>H,</w:t>
      </w:r>
      <w:r w:rsidR="00CF1619" w:rsidRPr="00C52063">
        <w:rPr>
          <w:noProof/>
          <w:sz w:val="20"/>
          <w:szCs w:val="20"/>
        </w:rPr>
        <w:t xml:space="preserve"> </w:t>
      </w:r>
      <w:r w:rsidRPr="00C52063">
        <w:rPr>
          <w:noProof/>
          <w:sz w:val="20"/>
          <w:szCs w:val="20"/>
        </w:rPr>
        <w:t>et</w:t>
      </w:r>
      <w:r w:rsidR="00CF1619" w:rsidRPr="00C52063">
        <w:rPr>
          <w:noProof/>
          <w:sz w:val="20"/>
          <w:szCs w:val="20"/>
        </w:rPr>
        <w:t xml:space="preserve"> </w:t>
      </w:r>
      <w:r w:rsidRPr="00C52063">
        <w:rPr>
          <w:noProof/>
          <w:sz w:val="20"/>
          <w:szCs w:val="20"/>
        </w:rPr>
        <w:t>al.</w:t>
      </w:r>
      <w:r w:rsidR="00CF1619" w:rsidRPr="00C52063">
        <w:rPr>
          <w:noProof/>
          <w:sz w:val="20"/>
          <w:szCs w:val="20"/>
        </w:rPr>
        <w:t xml:space="preserve"> </w:t>
      </w:r>
      <w:r w:rsidRPr="00C52063">
        <w:rPr>
          <w:noProof/>
          <w:sz w:val="20"/>
          <w:szCs w:val="20"/>
        </w:rPr>
        <w:t>Combining</w:t>
      </w:r>
      <w:r w:rsidR="00CF1619" w:rsidRPr="00C52063">
        <w:rPr>
          <w:noProof/>
          <w:sz w:val="20"/>
          <w:szCs w:val="20"/>
        </w:rPr>
        <w:t xml:space="preserve"> </w:t>
      </w:r>
      <w:r w:rsidRPr="00C52063">
        <w:rPr>
          <w:noProof/>
          <w:sz w:val="20"/>
          <w:szCs w:val="20"/>
        </w:rPr>
        <w:t>clinical</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to</w:t>
      </w:r>
      <w:r w:rsidR="00CF1619" w:rsidRPr="00C52063">
        <w:rPr>
          <w:noProof/>
          <w:sz w:val="20"/>
          <w:szCs w:val="20"/>
        </w:rPr>
        <w:t xml:space="preserve"> </w:t>
      </w:r>
      <w:r w:rsidRPr="00C52063">
        <w:rPr>
          <w:noProof/>
          <w:sz w:val="20"/>
          <w:szCs w:val="20"/>
        </w:rPr>
        <w:t>better</w:t>
      </w:r>
      <w:r w:rsidR="00CF1619" w:rsidRPr="00C52063">
        <w:rPr>
          <w:noProof/>
          <w:sz w:val="20"/>
          <w:szCs w:val="20"/>
        </w:rPr>
        <w:t xml:space="preserve"> </w:t>
      </w:r>
      <w:r w:rsidRPr="00C52063">
        <w:rPr>
          <w:noProof/>
          <w:sz w:val="20"/>
          <w:szCs w:val="20"/>
        </w:rPr>
        <w:t>predict</w:t>
      </w:r>
      <w:r w:rsidR="00CF1619" w:rsidRPr="00C52063">
        <w:rPr>
          <w:noProof/>
          <w:sz w:val="20"/>
          <w:szCs w:val="20"/>
        </w:rPr>
        <w:t xml:space="preserve"> </w:t>
      </w:r>
      <w:r w:rsidRPr="00C52063">
        <w:rPr>
          <w:noProof/>
          <w:sz w:val="20"/>
          <w:szCs w:val="20"/>
        </w:rPr>
        <w:t>for</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t>phenomenon.</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Gagliardi</w:t>
      </w:r>
      <w:r w:rsidR="00CF1619" w:rsidRPr="00C52063">
        <w:rPr>
          <w:noProof/>
          <w:sz w:val="20"/>
          <w:szCs w:val="20"/>
        </w:rPr>
        <w:t xml:space="preserve"> </w:t>
      </w:r>
      <w:r w:rsidRPr="00C52063">
        <w:rPr>
          <w:noProof/>
          <w:sz w:val="20"/>
          <w:szCs w:val="20"/>
        </w:rPr>
        <w:t>J,</w:t>
      </w:r>
      <w:r w:rsidR="00CF1619" w:rsidRPr="00C52063">
        <w:rPr>
          <w:noProof/>
          <w:sz w:val="20"/>
          <w:szCs w:val="20"/>
        </w:rPr>
        <w:t xml:space="preserve"> </w:t>
      </w:r>
      <w:r w:rsidRPr="00C52063">
        <w:rPr>
          <w:noProof/>
          <w:sz w:val="20"/>
          <w:szCs w:val="20"/>
        </w:rPr>
        <w:t>Szarfer</w:t>
      </w:r>
      <w:r w:rsidR="00CF1619" w:rsidRPr="00C52063">
        <w:rPr>
          <w:noProof/>
          <w:sz w:val="20"/>
          <w:szCs w:val="20"/>
        </w:rPr>
        <w:t xml:space="preserve"> </w:t>
      </w:r>
      <w:r w:rsidRPr="00C52063">
        <w:rPr>
          <w:noProof/>
          <w:sz w:val="20"/>
          <w:szCs w:val="20"/>
        </w:rPr>
        <w:t>J,</w:t>
      </w:r>
      <w:r w:rsidR="00CF1619" w:rsidRPr="00C52063">
        <w:rPr>
          <w:noProof/>
          <w:sz w:val="20"/>
          <w:szCs w:val="20"/>
        </w:rPr>
        <w:t xml:space="preserve">… </w:t>
      </w:r>
      <w:r w:rsidRPr="00C52063">
        <w:rPr>
          <w:noProof/>
          <w:sz w:val="20"/>
          <w:szCs w:val="20"/>
        </w:rPr>
        <w:t>CT-AJ</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2013</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Clinical</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percutaneous</w:t>
      </w:r>
      <w:r w:rsidR="00CF1619" w:rsidRPr="00C52063">
        <w:rPr>
          <w:noProof/>
          <w:sz w:val="20"/>
          <w:szCs w:val="20"/>
        </w:rPr>
        <w:t xml:space="preserve"> </w:t>
      </w:r>
      <w:r w:rsidRPr="00C52063">
        <w:rPr>
          <w:noProof/>
          <w:sz w:val="20"/>
          <w:szCs w:val="20"/>
        </w:rPr>
        <w:t>coronary</w:t>
      </w:r>
      <w:r w:rsidR="00CF1619" w:rsidRPr="00C52063">
        <w:rPr>
          <w:noProof/>
          <w:sz w:val="20"/>
          <w:szCs w:val="20"/>
        </w:rPr>
        <w:t xml:space="preserve"> </w:t>
      </w:r>
      <w:r w:rsidRPr="00C52063">
        <w:rPr>
          <w:noProof/>
          <w:sz w:val="20"/>
          <w:szCs w:val="20"/>
        </w:rPr>
        <w:t>Intervention</w:t>
      </w:r>
      <w:r w:rsidR="00CF1619" w:rsidRPr="00C52063">
        <w:rPr>
          <w:noProof/>
          <w:sz w:val="20"/>
          <w:szCs w:val="20"/>
        </w:rPr>
        <w:t xml:space="preserve"> </w:t>
      </w:r>
      <w:r w:rsidRPr="00C52063">
        <w:rPr>
          <w:noProof/>
          <w:sz w:val="20"/>
          <w:szCs w:val="20"/>
        </w:rPr>
        <w:t>for</w:t>
      </w:r>
      <w:r w:rsidR="00CF1619" w:rsidRPr="00C52063">
        <w:rPr>
          <w:noProof/>
          <w:sz w:val="20"/>
          <w:szCs w:val="20"/>
        </w:rPr>
        <w:t xml:space="preserve"> </w:t>
      </w:r>
      <w:r w:rsidRPr="00C52063">
        <w:rPr>
          <w:noProof/>
          <w:sz w:val="20"/>
          <w:szCs w:val="20"/>
        </w:rPr>
        <w:t>acute</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lastRenderedPageBreak/>
        <w:t>Hassan</w:t>
      </w:r>
      <w:r w:rsidR="00CF1619" w:rsidRPr="00C52063">
        <w:rPr>
          <w:noProof/>
          <w:sz w:val="20"/>
          <w:szCs w:val="20"/>
        </w:rPr>
        <w:t xml:space="preserve"> </w:t>
      </w:r>
      <w:r w:rsidRPr="00C52063">
        <w:rPr>
          <w:noProof/>
          <w:sz w:val="20"/>
          <w:szCs w:val="20"/>
        </w:rPr>
        <w:t>HM-TEH,</w:t>
      </w:r>
      <w:r w:rsidR="00CF1619" w:rsidRPr="00C52063">
        <w:rPr>
          <w:noProof/>
          <w:sz w:val="20"/>
          <w:szCs w:val="20"/>
        </w:rPr>
        <w:t xml:space="preserve"> </w:t>
      </w:r>
      <w:r w:rsidRPr="00C52063">
        <w:rPr>
          <w:noProof/>
          <w:sz w:val="20"/>
          <w:szCs w:val="20"/>
        </w:rPr>
        <w:t>2018</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undergoing</w:t>
      </w:r>
      <w:r w:rsidR="00CF1619" w:rsidRPr="00C52063">
        <w:rPr>
          <w:noProof/>
          <w:sz w:val="20"/>
          <w:szCs w:val="20"/>
        </w:rPr>
        <w:t xml:space="preserve"> </w:t>
      </w:r>
      <w:r w:rsidRPr="00C52063">
        <w:rPr>
          <w:noProof/>
          <w:sz w:val="20"/>
          <w:szCs w:val="20"/>
        </w:rPr>
        <w:t>primary</w:t>
      </w:r>
      <w:r w:rsidR="00CF1619" w:rsidRPr="00C52063">
        <w:rPr>
          <w:noProof/>
          <w:sz w:val="20"/>
          <w:szCs w:val="20"/>
        </w:rPr>
        <w:t xml:space="preserve"> </w:t>
      </w:r>
      <w:r w:rsidRPr="00C52063">
        <w:rPr>
          <w:noProof/>
          <w:sz w:val="20"/>
          <w:szCs w:val="20"/>
        </w:rPr>
        <w:t>percutaneous</w:t>
      </w:r>
      <w:r w:rsidR="00CF1619" w:rsidRPr="00C52063">
        <w:rPr>
          <w:noProof/>
          <w:sz w:val="20"/>
          <w:szCs w:val="20"/>
        </w:rPr>
        <w:t xml:space="preserve"> </w:t>
      </w:r>
      <w:r w:rsidRPr="00C52063">
        <w:rPr>
          <w:noProof/>
          <w:sz w:val="20"/>
          <w:szCs w:val="20"/>
        </w:rPr>
        <w:t>coronary</w:t>
      </w:r>
      <w:r w:rsidR="00CF1619" w:rsidRPr="00C52063">
        <w:rPr>
          <w:noProof/>
          <w:sz w:val="20"/>
          <w:szCs w:val="20"/>
        </w:rPr>
        <w:t xml:space="preserve"> </w:t>
      </w:r>
      <w:r w:rsidRPr="00C52063">
        <w:rPr>
          <w:noProof/>
          <w:sz w:val="20"/>
          <w:szCs w:val="20"/>
        </w:rPr>
        <w:t>intervention.</w:t>
      </w:r>
      <w:r w:rsidR="00CF1619" w:rsidRPr="00C52063">
        <w:rPr>
          <w:noProof/>
          <w:sz w:val="20"/>
          <w:szCs w:val="20"/>
        </w:rPr>
        <w:t xml:space="preserve"> </w:t>
      </w:r>
      <w:r w:rsidRPr="00C52063">
        <w:rPr>
          <w:noProof/>
          <w:sz w:val="20"/>
          <w:szCs w:val="20"/>
        </w:rPr>
        <w:t>Thrombus</w:t>
      </w:r>
      <w:r w:rsidR="00CF1619" w:rsidRPr="00C52063">
        <w:rPr>
          <w:noProof/>
          <w:sz w:val="20"/>
          <w:szCs w:val="20"/>
        </w:rPr>
        <w:t xml:space="preserve"> </w:t>
      </w:r>
      <w:r w:rsidRPr="00C52063">
        <w:rPr>
          <w:noProof/>
          <w:sz w:val="20"/>
          <w:szCs w:val="20"/>
        </w:rPr>
        <w:t>aspiration</w:t>
      </w:r>
      <w:r w:rsidR="00CF1619" w:rsidRPr="00C52063">
        <w:rPr>
          <w:noProof/>
          <w:sz w:val="20"/>
          <w:szCs w:val="20"/>
        </w:rPr>
        <w:t xml:space="preserve"> </w:t>
      </w:r>
      <w:r w:rsidRPr="00C52063">
        <w:rPr>
          <w:noProof/>
          <w:sz w:val="20"/>
          <w:szCs w:val="20"/>
        </w:rPr>
        <w:t>was</w:t>
      </w:r>
      <w:r w:rsidR="00CF1619" w:rsidRPr="00C52063">
        <w:rPr>
          <w:noProof/>
          <w:sz w:val="20"/>
          <w:szCs w:val="20"/>
        </w:rPr>
        <w:t xml:space="preserve"> </w:t>
      </w:r>
      <w:r w:rsidRPr="00C52063">
        <w:rPr>
          <w:noProof/>
          <w:sz w:val="20"/>
          <w:szCs w:val="20"/>
        </w:rPr>
        <w:t>protective.</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Reffelmann</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Hale</w:t>
      </w:r>
      <w:r w:rsidR="00CF1619" w:rsidRPr="00C52063">
        <w:rPr>
          <w:noProof/>
          <w:sz w:val="20"/>
          <w:szCs w:val="20"/>
        </w:rPr>
        <w:t xml:space="preserve"> </w:t>
      </w:r>
      <w:r w:rsidRPr="00C52063">
        <w:rPr>
          <w:noProof/>
          <w:sz w:val="20"/>
          <w:szCs w:val="20"/>
        </w:rPr>
        <w:t>SL,</w:t>
      </w:r>
      <w:r w:rsidR="00CF1619" w:rsidRPr="00C52063">
        <w:rPr>
          <w:noProof/>
          <w:sz w:val="20"/>
          <w:szCs w:val="20"/>
        </w:rPr>
        <w:t xml:space="preserve"> </w:t>
      </w:r>
      <w:r w:rsidRPr="00C52063">
        <w:rPr>
          <w:noProof/>
          <w:sz w:val="20"/>
          <w:szCs w:val="20"/>
        </w:rPr>
        <w:t>Li</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Kloner</w:t>
      </w:r>
      <w:r w:rsidR="00CF1619" w:rsidRPr="00C52063">
        <w:rPr>
          <w:noProof/>
          <w:sz w:val="20"/>
          <w:szCs w:val="20"/>
        </w:rPr>
        <w:t xml:space="preserve"> </w:t>
      </w:r>
      <w:r w:rsidRPr="00C52063">
        <w:rPr>
          <w:noProof/>
          <w:sz w:val="20"/>
          <w:szCs w:val="20"/>
        </w:rPr>
        <w:t>RA.</w:t>
      </w:r>
      <w:r w:rsidR="00CF1619" w:rsidRPr="00C52063">
        <w:rPr>
          <w:noProof/>
          <w:sz w:val="20"/>
          <w:szCs w:val="20"/>
        </w:rPr>
        <w:t xml:space="preserve"> </w:t>
      </w:r>
      <w:r w:rsidRPr="00C52063">
        <w:rPr>
          <w:noProof/>
          <w:sz w:val="20"/>
          <w:szCs w:val="20"/>
        </w:rPr>
        <w:t>Relationship</w:t>
      </w:r>
      <w:r w:rsidR="00CF1619" w:rsidRPr="00C52063">
        <w:rPr>
          <w:noProof/>
          <w:sz w:val="20"/>
          <w:szCs w:val="20"/>
        </w:rPr>
        <w:t xml:space="preserve"> </w:t>
      </w:r>
      <w:r w:rsidRPr="00C52063">
        <w:rPr>
          <w:noProof/>
          <w:sz w:val="20"/>
          <w:szCs w:val="20"/>
        </w:rPr>
        <w:t>between</w:t>
      </w:r>
      <w:r w:rsidR="00CF1619" w:rsidRPr="00C52063">
        <w:rPr>
          <w:noProof/>
          <w:sz w:val="20"/>
          <w:szCs w:val="20"/>
        </w:rPr>
        <w:t xml:space="preserve"> </w:t>
      </w:r>
      <w:r w:rsidRPr="00C52063">
        <w:rPr>
          <w:noProof/>
          <w:sz w:val="20"/>
          <w:szCs w:val="20"/>
        </w:rPr>
        <w:t>no</w:t>
      </w:r>
      <w:r w:rsidR="00CF1619" w:rsidRPr="00C52063">
        <w:rPr>
          <w:noProof/>
          <w:sz w:val="20"/>
          <w:szCs w:val="20"/>
        </w:rPr>
        <w:t xml:space="preserve"> </w:t>
      </w:r>
      <w:r w:rsidRPr="00C52063">
        <w:rPr>
          <w:noProof/>
          <w:sz w:val="20"/>
          <w:szCs w:val="20"/>
        </w:rPr>
        <w:t>reflow</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infarct</w:t>
      </w:r>
      <w:r w:rsidR="00CF1619" w:rsidRPr="00C52063">
        <w:rPr>
          <w:noProof/>
          <w:sz w:val="20"/>
          <w:szCs w:val="20"/>
        </w:rPr>
        <w:t xml:space="preserve"> </w:t>
      </w:r>
      <w:r w:rsidRPr="00C52063">
        <w:rPr>
          <w:noProof/>
          <w:sz w:val="20"/>
          <w:szCs w:val="20"/>
        </w:rPr>
        <w:t>size</w:t>
      </w:r>
      <w:r w:rsidR="00CF1619" w:rsidRPr="00C52063">
        <w:rPr>
          <w:noProof/>
          <w:sz w:val="20"/>
          <w:szCs w:val="20"/>
        </w:rPr>
        <w:t xml:space="preserve"> </w:t>
      </w:r>
      <w:r w:rsidRPr="00C52063">
        <w:rPr>
          <w:noProof/>
          <w:sz w:val="20"/>
          <w:szCs w:val="20"/>
        </w:rPr>
        <w:t>as</w:t>
      </w:r>
      <w:r w:rsidR="00CF1619" w:rsidRPr="00C52063">
        <w:rPr>
          <w:noProof/>
          <w:sz w:val="20"/>
          <w:szCs w:val="20"/>
        </w:rPr>
        <w:t xml:space="preserve"> </w:t>
      </w:r>
      <w:r w:rsidRPr="00C52063">
        <w:rPr>
          <w:noProof/>
          <w:sz w:val="20"/>
          <w:szCs w:val="20"/>
        </w:rPr>
        <w:t>influenced</w:t>
      </w:r>
      <w:r w:rsidR="00CF1619" w:rsidRPr="00C52063">
        <w:rPr>
          <w:noProof/>
          <w:sz w:val="20"/>
          <w:szCs w:val="20"/>
        </w:rPr>
        <w:t xml:space="preserve"> </w:t>
      </w:r>
      <w:r w:rsidRPr="00C52063">
        <w:rPr>
          <w:noProof/>
          <w:sz w:val="20"/>
          <w:szCs w:val="20"/>
        </w:rPr>
        <w:t>by</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duration</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ischemia</w:t>
      </w:r>
      <w:r w:rsidR="00CF1619" w:rsidRPr="00C52063">
        <w:rPr>
          <w:noProof/>
          <w:sz w:val="20"/>
          <w:szCs w:val="20"/>
        </w:rPr>
        <w:t xml:space="preserve"> </w:t>
      </w:r>
      <w:r w:rsidRPr="00C52063">
        <w:rPr>
          <w:noProof/>
          <w:sz w:val="20"/>
          <w:szCs w:val="20"/>
        </w:rPr>
        <w:t>and</w:t>
      </w:r>
      <w:r w:rsidR="00CF1619" w:rsidRPr="00C52063">
        <w:rPr>
          <w:noProof/>
          <w:sz w:val="20"/>
          <w:szCs w:val="20"/>
        </w:rPr>
        <w:t xml:space="preserve"> </w:t>
      </w:r>
      <w:r w:rsidRPr="00C52063">
        <w:rPr>
          <w:noProof/>
          <w:sz w:val="20"/>
          <w:szCs w:val="20"/>
        </w:rPr>
        <w:t>reperfusion.</w:t>
      </w:r>
      <w:r w:rsidR="00CF1619" w:rsidRPr="00C52063">
        <w:rPr>
          <w:noProof/>
          <w:sz w:val="20"/>
          <w:szCs w:val="20"/>
        </w:rPr>
        <w:t xml:space="preserve"> </w:t>
      </w:r>
      <w:r w:rsidRPr="00C52063">
        <w:rPr>
          <w:noProof/>
          <w:sz w:val="20"/>
          <w:szCs w:val="20"/>
        </w:rPr>
        <w:t>Am</w:t>
      </w:r>
      <w:r w:rsidR="00CF1619" w:rsidRPr="00C52063">
        <w:rPr>
          <w:noProof/>
          <w:sz w:val="20"/>
          <w:szCs w:val="20"/>
        </w:rPr>
        <w:t xml:space="preserve"> </w:t>
      </w:r>
      <w:r w:rsidRPr="00C52063">
        <w:rPr>
          <w:noProof/>
          <w:sz w:val="20"/>
          <w:szCs w:val="20"/>
        </w:rPr>
        <w:t>J</w:t>
      </w:r>
      <w:r w:rsidR="00CF1619" w:rsidRPr="00C52063">
        <w:rPr>
          <w:noProof/>
          <w:sz w:val="20"/>
          <w:szCs w:val="20"/>
        </w:rPr>
        <w:t xml:space="preserve"> </w:t>
      </w:r>
      <w:r w:rsidRPr="00C52063">
        <w:rPr>
          <w:noProof/>
          <w:sz w:val="20"/>
          <w:szCs w:val="20"/>
        </w:rPr>
        <w:t>Physiol</w:t>
      </w:r>
      <w:r w:rsidR="00CF1619" w:rsidRPr="00C52063">
        <w:rPr>
          <w:noProof/>
          <w:sz w:val="20"/>
          <w:szCs w:val="20"/>
        </w:rPr>
        <w:t xml:space="preserve"> </w:t>
      </w:r>
      <w:r w:rsidRPr="00C52063">
        <w:rPr>
          <w:noProof/>
          <w:sz w:val="20"/>
          <w:szCs w:val="20"/>
        </w:rPr>
        <w:t>Circ</w:t>
      </w:r>
      <w:r w:rsidR="00CF1619" w:rsidRPr="00C52063">
        <w:rPr>
          <w:noProof/>
          <w:sz w:val="20"/>
          <w:szCs w:val="20"/>
        </w:rPr>
        <w:t xml:space="preserve"> </w:t>
      </w:r>
      <w:r w:rsidRPr="00C52063">
        <w:rPr>
          <w:noProof/>
          <w:sz w:val="20"/>
          <w:szCs w:val="20"/>
        </w:rPr>
        <w:t>Physiol.</w:t>
      </w:r>
      <w:r w:rsidR="00CF1619" w:rsidRPr="00C52063">
        <w:rPr>
          <w:noProof/>
          <w:sz w:val="20"/>
          <w:szCs w:val="20"/>
        </w:rPr>
        <w:t xml:space="preserve"> </w:t>
      </w:r>
      <w:r w:rsidRPr="00C52063">
        <w:rPr>
          <w:noProof/>
          <w:sz w:val="20"/>
          <w:szCs w:val="20"/>
        </w:rPr>
        <w:t>2002</w:t>
      </w:r>
      <w:r w:rsidR="00C52063">
        <w:rPr>
          <w:rFonts w:eastAsiaTheme="minorEastAsia" w:hint="eastAsia"/>
          <w:noProof/>
          <w:sz w:val="20"/>
          <w:szCs w:val="20"/>
          <w:lang w:eastAsia="zh-CN"/>
        </w:rPr>
        <w:t>.</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Soeda</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Higuma</w:t>
      </w:r>
      <w:r w:rsidR="00CF1619" w:rsidRPr="00C52063">
        <w:rPr>
          <w:noProof/>
          <w:sz w:val="20"/>
          <w:szCs w:val="20"/>
        </w:rPr>
        <w:t xml:space="preserve"> </w:t>
      </w:r>
      <w:r w:rsidRPr="00C52063">
        <w:rPr>
          <w:noProof/>
          <w:sz w:val="20"/>
          <w:szCs w:val="20"/>
        </w:rPr>
        <w:t>T,</w:t>
      </w:r>
      <w:r w:rsidR="00CF1619" w:rsidRPr="00C52063">
        <w:rPr>
          <w:noProof/>
          <w:sz w:val="20"/>
          <w:szCs w:val="20"/>
        </w:rPr>
        <w:t xml:space="preserve"> </w:t>
      </w:r>
      <w:r w:rsidRPr="00C52063">
        <w:rPr>
          <w:noProof/>
          <w:sz w:val="20"/>
          <w:szCs w:val="20"/>
        </w:rPr>
        <w:t>Abe</w:t>
      </w:r>
      <w:r w:rsidR="00CF1619" w:rsidRPr="00C52063">
        <w:rPr>
          <w:noProof/>
          <w:sz w:val="20"/>
          <w:szCs w:val="20"/>
        </w:rPr>
        <w:t xml:space="preserve"> </w:t>
      </w:r>
      <w:r w:rsidRPr="00C52063">
        <w:rPr>
          <w:noProof/>
          <w:sz w:val="20"/>
          <w:szCs w:val="20"/>
        </w:rPr>
        <w:t>N,</w:t>
      </w:r>
      <w:r w:rsidR="00CF1619" w:rsidRPr="00C52063">
        <w:rPr>
          <w:noProof/>
          <w:sz w:val="20"/>
          <w:szCs w:val="20"/>
        </w:rPr>
        <w:t xml:space="preserve">… </w:t>
      </w:r>
      <w:r w:rsidRPr="00C52063">
        <w:rPr>
          <w:noProof/>
          <w:sz w:val="20"/>
          <w:szCs w:val="20"/>
        </w:rPr>
        <w:t>MY-EH,</w:t>
      </w:r>
      <w:r w:rsidR="00CF1619" w:rsidRPr="00C52063">
        <w:rPr>
          <w:noProof/>
          <w:sz w:val="20"/>
          <w:szCs w:val="20"/>
        </w:rPr>
        <w:t xml:space="preserve"> </w:t>
      </w:r>
      <w:r w:rsidRPr="00C52063">
        <w:rPr>
          <w:noProof/>
          <w:sz w:val="20"/>
          <w:szCs w:val="20"/>
        </w:rPr>
        <w:t>2016</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Morphological</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for</w:t>
      </w:r>
      <w:r w:rsidR="00CF1619" w:rsidRPr="00C52063">
        <w:rPr>
          <w:noProof/>
          <w:sz w:val="20"/>
          <w:szCs w:val="20"/>
        </w:rPr>
        <w:t xml:space="preserve"> </w:t>
      </w:r>
      <w:r w:rsidRPr="00C52063">
        <w:rPr>
          <w:noProof/>
          <w:sz w:val="20"/>
          <w:szCs w:val="20"/>
        </w:rPr>
        <w:t>no</w:t>
      </w:r>
      <w:r w:rsidR="00CF1619" w:rsidRPr="00C52063">
        <w:rPr>
          <w:noProof/>
          <w:sz w:val="20"/>
          <w:szCs w:val="20"/>
        </w:rPr>
        <w:t xml:space="preserve"> </w:t>
      </w:r>
      <w:r w:rsidRPr="00C52063">
        <w:rPr>
          <w:noProof/>
          <w:sz w:val="20"/>
          <w:szCs w:val="20"/>
        </w:rPr>
        <w:t>reflow</w:t>
      </w:r>
      <w:r w:rsidR="00CF1619" w:rsidRPr="00C52063">
        <w:rPr>
          <w:noProof/>
          <w:sz w:val="20"/>
          <w:szCs w:val="20"/>
        </w:rPr>
        <w:t xml:space="preserve"> </w:t>
      </w:r>
      <w:r w:rsidRPr="00C52063">
        <w:rPr>
          <w:noProof/>
          <w:sz w:val="20"/>
          <w:szCs w:val="20"/>
        </w:rPr>
        <w:t>phenomenon</w:t>
      </w:r>
      <w:r w:rsidR="00CF1619" w:rsidRPr="00C52063">
        <w:rPr>
          <w:noProof/>
          <w:sz w:val="20"/>
          <w:szCs w:val="20"/>
        </w:rPr>
        <w:t xml:space="preserve"> </w:t>
      </w:r>
      <w:r w:rsidRPr="00C52063">
        <w:rPr>
          <w:noProof/>
          <w:sz w:val="20"/>
          <w:szCs w:val="20"/>
        </w:rPr>
        <w:t>after</w:t>
      </w:r>
      <w:r w:rsidR="00CF1619" w:rsidRPr="00C52063">
        <w:rPr>
          <w:noProof/>
          <w:sz w:val="20"/>
          <w:szCs w:val="20"/>
        </w:rPr>
        <w:t xml:space="preserve"> </w:t>
      </w:r>
      <w:r w:rsidRPr="00C52063">
        <w:rPr>
          <w:noProof/>
          <w:sz w:val="20"/>
          <w:szCs w:val="20"/>
        </w:rPr>
        <w:t>primary</w:t>
      </w:r>
      <w:r w:rsidR="00CF1619" w:rsidRPr="00C52063">
        <w:rPr>
          <w:noProof/>
          <w:sz w:val="20"/>
          <w:szCs w:val="20"/>
        </w:rPr>
        <w:t xml:space="preserve"> </w:t>
      </w:r>
      <w:r w:rsidRPr="00C52063">
        <w:rPr>
          <w:noProof/>
          <w:sz w:val="20"/>
          <w:szCs w:val="20"/>
        </w:rPr>
        <w:t>percutaneous</w:t>
      </w:r>
      <w:r w:rsidR="00CF1619" w:rsidRPr="00C52063">
        <w:rPr>
          <w:noProof/>
          <w:sz w:val="20"/>
          <w:szCs w:val="20"/>
        </w:rPr>
        <w:t xml:space="preserve"> </w:t>
      </w:r>
      <w:r w:rsidRPr="00C52063">
        <w:rPr>
          <w:noProof/>
          <w:sz w:val="20"/>
          <w:szCs w:val="20"/>
        </w:rPr>
        <w:t>coronary</w:t>
      </w:r>
      <w:r w:rsidR="00CF1619" w:rsidRPr="00C52063">
        <w:rPr>
          <w:noProof/>
          <w:sz w:val="20"/>
          <w:szCs w:val="20"/>
        </w:rPr>
        <w:t xml:space="preserve"> </w:t>
      </w:r>
      <w:r w:rsidRPr="00C52063">
        <w:rPr>
          <w:noProof/>
          <w:sz w:val="20"/>
          <w:szCs w:val="20"/>
        </w:rPr>
        <w:t>intervention</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patients</w:t>
      </w:r>
      <w:r w:rsidR="00CF1619" w:rsidRPr="00C52063">
        <w:rPr>
          <w:noProof/>
          <w:sz w:val="20"/>
          <w:szCs w:val="20"/>
        </w:rPr>
        <w:t xml:space="preserve"> </w:t>
      </w:r>
      <w:r w:rsidRPr="00C52063">
        <w:rPr>
          <w:noProof/>
          <w:sz w:val="20"/>
          <w:szCs w:val="20"/>
        </w:rPr>
        <w:t>with</w:t>
      </w:r>
      <w:r w:rsidR="00CF1619" w:rsidRPr="00C52063">
        <w:rPr>
          <w:noProof/>
          <w:sz w:val="20"/>
          <w:szCs w:val="20"/>
        </w:rPr>
        <w:t xml:space="preserve"> </w:t>
      </w:r>
      <w:r w:rsidRPr="00C52063">
        <w:rPr>
          <w:noProof/>
          <w:sz w:val="20"/>
          <w:szCs w:val="20"/>
        </w:rPr>
        <w:t>ST-segment</w:t>
      </w:r>
      <w:r w:rsidR="00CF1619" w:rsidRPr="00C52063">
        <w:rPr>
          <w:noProof/>
          <w:sz w:val="20"/>
          <w:szCs w:val="20"/>
        </w:rPr>
        <w:t xml:space="preserve"> </w:t>
      </w:r>
      <w:r w:rsidRPr="00C52063">
        <w:rPr>
          <w:noProof/>
          <w:sz w:val="20"/>
          <w:szCs w:val="20"/>
        </w:rPr>
        <w:t>elevation</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Sabin</w:t>
      </w:r>
      <w:r w:rsidR="00CF1619" w:rsidRPr="00C52063">
        <w:rPr>
          <w:noProof/>
          <w:sz w:val="20"/>
          <w:szCs w:val="20"/>
        </w:rPr>
        <w:t xml:space="preserve"> </w:t>
      </w:r>
      <w:r w:rsidRPr="00C52063">
        <w:rPr>
          <w:noProof/>
          <w:sz w:val="20"/>
          <w:szCs w:val="20"/>
        </w:rPr>
        <w:t>P,</w:t>
      </w:r>
      <w:r w:rsidR="00CF1619" w:rsidRPr="00C52063">
        <w:rPr>
          <w:noProof/>
          <w:sz w:val="20"/>
          <w:szCs w:val="20"/>
        </w:rPr>
        <w:t xml:space="preserve"> </w:t>
      </w:r>
      <w:r w:rsidRPr="00C52063">
        <w:rPr>
          <w:noProof/>
          <w:sz w:val="20"/>
          <w:szCs w:val="20"/>
        </w:rPr>
        <w:t>Koshy</w:t>
      </w:r>
      <w:r w:rsidR="00CF1619" w:rsidRPr="00C52063">
        <w:rPr>
          <w:noProof/>
          <w:sz w:val="20"/>
          <w:szCs w:val="20"/>
        </w:rPr>
        <w:t xml:space="preserve"> </w:t>
      </w:r>
      <w:r w:rsidRPr="00C52063">
        <w:rPr>
          <w:noProof/>
          <w:sz w:val="20"/>
          <w:szCs w:val="20"/>
        </w:rPr>
        <w:t>A,</w:t>
      </w:r>
      <w:r w:rsidR="00CF1619" w:rsidRPr="00C52063">
        <w:rPr>
          <w:noProof/>
          <w:sz w:val="20"/>
          <w:szCs w:val="20"/>
        </w:rPr>
        <w:t xml:space="preserve"> </w:t>
      </w:r>
      <w:r w:rsidRPr="00C52063">
        <w:rPr>
          <w:noProof/>
          <w:sz w:val="20"/>
          <w:szCs w:val="20"/>
        </w:rPr>
        <w:t>Gupta</w:t>
      </w:r>
      <w:r w:rsidR="00CF1619" w:rsidRPr="00C52063">
        <w:rPr>
          <w:noProof/>
          <w:sz w:val="20"/>
          <w:szCs w:val="20"/>
        </w:rPr>
        <w:t xml:space="preserve"> </w:t>
      </w:r>
      <w:r w:rsidRPr="00C52063">
        <w:rPr>
          <w:noProof/>
          <w:sz w:val="20"/>
          <w:szCs w:val="20"/>
        </w:rPr>
        <w:t>P,</w:t>
      </w:r>
      <w:r w:rsidR="00CF1619" w:rsidRPr="00C52063">
        <w:rPr>
          <w:noProof/>
          <w:sz w:val="20"/>
          <w:szCs w:val="20"/>
        </w:rPr>
        <w:t xml:space="preserve"> </w:t>
      </w:r>
      <w:r w:rsidRPr="00C52063">
        <w:rPr>
          <w:noProof/>
          <w:sz w:val="20"/>
          <w:szCs w:val="20"/>
        </w:rPr>
        <w:t>Heart</w:t>
      </w:r>
      <w:r w:rsidR="00CF1619" w:rsidRPr="00C52063">
        <w:rPr>
          <w:noProof/>
          <w:sz w:val="20"/>
          <w:szCs w:val="20"/>
        </w:rPr>
        <w:t xml:space="preserve"> </w:t>
      </w:r>
      <w:r w:rsidRPr="00C52063">
        <w:rPr>
          <w:noProof/>
          <w:sz w:val="20"/>
          <w:szCs w:val="20"/>
        </w:rPr>
        <w:t>-</w:t>
      </w:r>
      <w:r w:rsidR="00CF1619" w:rsidRPr="00C52063">
        <w:rPr>
          <w:noProof/>
          <w:sz w:val="20"/>
          <w:szCs w:val="20"/>
        </w:rPr>
        <w:t xml:space="preserve"> </w:t>
      </w:r>
      <w:r w:rsidRPr="00C52063">
        <w:rPr>
          <w:noProof/>
          <w:sz w:val="20"/>
          <w:szCs w:val="20"/>
        </w:rPr>
        <w:t>Indian,</w:t>
      </w:r>
      <w:r w:rsidR="00CF1619" w:rsidRPr="00C52063">
        <w:rPr>
          <w:noProof/>
          <w:sz w:val="20"/>
          <w:szCs w:val="20"/>
        </w:rPr>
        <w:t xml:space="preserve"> </w:t>
      </w:r>
      <w:r w:rsidRPr="00C52063">
        <w:rPr>
          <w:noProof/>
          <w:sz w:val="20"/>
          <w:szCs w:val="20"/>
        </w:rPr>
        <w:t>2017</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Predictors</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no-reflow</w:t>
      </w:r>
      <w:r w:rsidR="00CF1619" w:rsidRPr="00C52063">
        <w:rPr>
          <w:noProof/>
          <w:sz w:val="20"/>
          <w:szCs w:val="20"/>
        </w:rPr>
        <w:t xml:space="preserve"> </w:t>
      </w:r>
      <w:r w:rsidRPr="00C52063">
        <w:rPr>
          <w:noProof/>
          <w:sz w:val="20"/>
          <w:szCs w:val="20"/>
        </w:rPr>
        <w:t>during</w:t>
      </w:r>
      <w:r w:rsidR="00CF1619" w:rsidRPr="00C52063">
        <w:rPr>
          <w:noProof/>
          <w:sz w:val="20"/>
          <w:szCs w:val="20"/>
        </w:rPr>
        <w:t xml:space="preserve"> </w:t>
      </w:r>
      <w:r w:rsidRPr="00C52063">
        <w:rPr>
          <w:noProof/>
          <w:sz w:val="20"/>
          <w:szCs w:val="20"/>
        </w:rPr>
        <w:t>primary</w:t>
      </w:r>
      <w:r w:rsidR="00CF1619" w:rsidRPr="00C52063">
        <w:rPr>
          <w:noProof/>
          <w:sz w:val="20"/>
          <w:szCs w:val="20"/>
        </w:rPr>
        <w:t xml:space="preserve"> </w:t>
      </w:r>
      <w:r w:rsidRPr="00C52063">
        <w:rPr>
          <w:noProof/>
          <w:sz w:val="20"/>
          <w:szCs w:val="20"/>
        </w:rPr>
        <w:t>angioplasty</w:t>
      </w:r>
      <w:r w:rsidR="00CF1619" w:rsidRPr="00C52063">
        <w:rPr>
          <w:noProof/>
          <w:sz w:val="20"/>
          <w:szCs w:val="20"/>
        </w:rPr>
        <w:t xml:space="preserve"> </w:t>
      </w:r>
      <w:r w:rsidRPr="00C52063">
        <w:rPr>
          <w:noProof/>
          <w:sz w:val="20"/>
          <w:szCs w:val="20"/>
        </w:rPr>
        <w:t>for</w:t>
      </w:r>
      <w:r w:rsidR="00CF1619" w:rsidRPr="00C52063">
        <w:rPr>
          <w:noProof/>
          <w:sz w:val="20"/>
          <w:szCs w:val="20"/>
        </w:rPr>
        <w:t xml:space="preserve"> </w:t>
      </w:r>
      <w:r w:rsidRPr="00C52063">
        <w:rPr>
          <w:noProof/>
          <w:sz w:val="20"/>
          <w:szCs w:val="20"/>
        </w:rPr>
        <w:t>acute</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from</w:t>
      </w:r>
      <w:r w:rsidR="00CF1619" w:rsidRPr="00C52063">
        <w:rPr>
          <w:noProof/>
          <w:sz w:val="20"/>
          <w:szCs w:val="20"/>
        </w:rPr>
        <w:t xml:space="preserve"> </w:t>
      </w:r>
      <w:r w:rsidRPr="00C52063">
        <w:rPr>
          <w:noProof/>
          <w:sz w:val="20"/>
          <w:szCs w:val="20"/>
        </w:rPr>
        <w:t>Medical</w:t>
      </w:r>
      <w:r w:rsidR="00CF1619" w:rsidRPr="00C52063">
        <w:rPr>
          <w:noProof/>
          <w:sz w:val="20"/>
          <w:szCs w:val="20"/>
        </w:rPr>
        <w:t xml:space="preserve"> </w:t>
      </w:r>
      <w:r w:rsidRPr="00C52063">
        <w:rPr>
          <w:noProof/>
          <w:sz w:val="20"/>
          <w:szCs w:val="20"/>
        </w:rPr>
        <w:t>College</w:t>
      </w:r>
      <w:r w:rsidR="00CF1619" w:rsidRPr="00C52063">
        <w:rPr>
          <w:noProof/>
          <w:sz w:val="20"/>
          <w:szCs w:val="20"/>
        </w:rPr>
        <w:t xml:space="preserve"> </w:t>
      </w:r>
      <w:r w:rsidRPr="00C52063">
        <w:rPr>
          <w:noProof/>
          <w:sz w:val="20"/>
          <w:szCs w:val="20"/>
        </w:rPr>
        <w:t>Hospital,</w:t>
      </w:r>
      <w:r w:rsidR="00CF1619" w:rsidRPr="00C52063">
        <w:rPr>
          <w:noProof/>
          <w:sz w:val="20"/>
          <w:szCs w:val="20"/>
        </w:rPr>
        <w:t xml:space="preserve"> </w:t>
      </w:r>
      <w:r w:rsidRPr="00C52063">
        <w:rPr>
          <w:noProof/>
          <w:sz w:val="20"/>
          <w:szCs w:val="20"/>
        </w:rPr>
        <w:t>Trivandrum.</w:t>
      </w:r>
      <w:r w:rsidR="00CF1619" w:rsidRPr="00C52063">
        <w:rPr>
          <w:noProof/>
          <w:sz w:val="20"/>
          <w:szCs w:val="20"/>
        </w:rPr>
        <w:t xml:space="preserve"> </w:t>
      </w:r>
    </w:p>
    <w:p w:rsidR="004F0530" w:rsidRPr="00C52063" w:rsidRDefault="004F0530" w:rsidP="00C52063">
      <w:pPr>
        <w:pStyle w:val="NoSpacing"/>
        <w:numPr>
          <w:ilvl w:val="0"/>
          <w:numId w:val="9"/>
        </w:numPr>
        <w:snapToGrid w:val="0"/>
        <w:ind w:left="425" w:hanging="425"/>
        <w:jc w:val="both"/>
        <w:rPr>
          <w:noProof/>
          <w:sz w:val="20"/>
          <w:szCs w:val="20"/>
        </w:rPr>
      </w:pPr>
      <w:r w:rsidRPr="00C52063">
        <w:rPr>
          <w:noProof/>
          <w:sz w:val="20"/>
          <w:szCs w:val="20"/>
        </w:rPr>
        <w:t>Stone</w:t>
      </w:r>
      <w:r w:rsidR="00CF1619" w:rsidRPr="00C52063">
        <w:rPr>
          <w:noProof/>
          <w:sz w:val="20"/>
          <w:szCs w:val="20"/>
        </w:rPr>
        <w:t xml:space="preserve"> </w:t>
      </w:r>
      <w:r w:rsidRPr="00C52063">
        <w:rPr>
          <w:noProof/>
          <w:sz w:val="20"/>
          <w:szCs w:val="20"/>
        </w:rPr>
        <w:t>G,</w:t>
      </w:r>
      <w:r w:rsidR="00CF1619" w:rsidRPr="00C52063">
        <w:rPr>
          <w:noProof/>
          <w:sz w:val="20"/>
          <w:szCs w:val="20"/>
        </w:rPr>
        <w:t xml:space="preserve"> </w:t>
      </w:r>
      <w:r w:rsidRPr="00C52063">
        <w:rPr>
          <w:noProof/>
          <w:sz w:val="20"/>
          <w:szCs w:val="20"/>
        </w:rPr>
        <w:t>Cox</w:t>
      </w:r>
      <w:r w:rsidR="00CF1619" w:rsidRPr="00C52063">
        <w:rPr>
          <w:noProof/>
          <w:sz w:val="20"/>
          <w:szCs w:val="20"/>
        </w:rPr>
        <w:t xml:space="preserve"> </w:t>
      </w:r>
      <w:r w:rsidRPr="00C52063">
        <w:rPr>
          <w:noProof/>
          <w:sz w:val="20"/>
          <w:szCs w:val="20"/>
        </w:rPr>
        <w:t>D,</w:t>
      </w:r>
      <w:r w:rsidR="00CF1619" w:rsidRPr="00C52063">
        <w:rPr>
          <w:noProof/>
          <w:sz w:val="20"/>
          <w:szCs w:val="20"/>
        </w:rPr>
        <w:t xml:space="preserve"> </w:t>
      </w:r>
      <w:r w:rsidRPr="00C52063">
        <w:rPr>
          <w:noProof/>
          <w:sz w:val="20"/>
          <w:szCs w:val="20"/>
        </w:rPr>
        <w:t>Garcia</w:t>
      </w:r>
      <w:r w:rsidR="00CF1619" w:rsidRPr="00C52063">
        <w:rPr>
          <w:noProof/>
          <w:sz w:val="20"/>
          <w:szCs w:val="20"/>
        </w:rPr>
        <w:t xml:space="preserve"> </w:t>
      </w:r>
      <w:r w:rsidRPr="00C52063">
        <w:rPr>
          <w:noProof/>
          <w:sz w:val="20"/>
          <w:szCs w:val="20"/>
        </w:rPr>
        <w:t>E,</w:t>
      </w:r>
      <w:r w:rsidR="00CF1619" w:rsidRPr="00C52063">
        <w:rPr>
          <w:noProof/>
          <w:sz w:val="20"/>
          <w:szCs w:val="20"/>
        </w:rPr>
        <w:t xml:space="preserve"> </w:t>
      </w:r>
      <w:r w:rsidRPr="00C52063">
        <w:rPr>
          <w:noProof/>
          <w:sz w:val="20"/>
          <w:szCs w:val="20"/>
        </w:rPr>
        <w:t>Brodie</w:t>
      </w:r>
      <w:r w:rsidR="00CF1619" w:rsidRPr="00C52063">
        <w:rPr>
          <w:noProof/>
          <w:sz w:val="20"/>
          <w:szCs w:val="20"/>
        </w:rPr>
        <w:t xml:space="preserve"> </w:t>
      </w:r>
      <w:r w:rsidRPr="00C52063">
        <w:rPr>
          <w:noProof/>
          <w:sz w:val="20"/>
          <w:szCs w:val="20"/>
        </w:rPr>
        <w:t>B,</w:t>
      </w:r>
      <w:r w:rsidR="00CF1619" w:rsidRPr="00C52063">
        <w:rPr>
          <w:noProof/>
          <w:sz w:val="20"/>
          <w:szCs w:val="20"/>
        </w:rPr>
        <w:t xml:space="preserve"> </w:t>
      </w:r>
      <w:r w:rsidRPr="00C52063">
        <w:rPr>
          <w:noProof/>
          <w:sz w:val="20"/>
          <w:szCs w:val="20"/>
        </w:rPr>
        <w:t>Circulation</w:t>
      </w:r>
      <w:r w:rsidR="00CF1619" w:rsidRPr="00C52063">
        <w:rPr>
          <w:noProof/>
          <w:sz w:val="20"/>
          <w:szCs w:val="20"/>
        </w:rPr>
        <w:t xml:space="preserve"> </w:t>
      </w:r>
      <w:r w:rsidRPr="00C52063">
        <w:rPr>
          <w:noProof/>
          <w:sz w:val="20"/>
          <w:szCs w:val="20"/>
        </w:rPr>
        <w:t>MM-,</w:t>
      </w:r>
      <w:r w:rsidR="00CF1619" w:rsidRPr="00C52063">
        <w:rPr>
          <w:noProof/>
          <w:sz w:val="20"/>
          <w:szCs w:val="20"/>
        </w:rPr>
        <w:t xml:space="preserve"> </w:t>
      </w:r>
      <w:r w:rsidRPr="00C52063">
        <w:rPr>
          <w:noProof/>
          <w:sz w:val="20"/>
          <w:szCs w:val="20"/>
        </w:rPr>
        <w:t>2001</w:t>
      </w:r>
      <w:r w:rsidR="00CF1619" w:rsidRPr="00C52063">
        <w:rPr>
          <w:noProof/>
          <w:sz w:val="20"/>
          <w:szCs w:val="20"/>
        </w:rPr>
        <w:t xml:space="preserve"> </w:t>
      </w:r>
      <w:r w:rsidRPr="00C52063">
        <w:rPr>
          <w:noProof/>
          <w:sz w:val="20"/>
          <w:szCs w:val="20"/>
        </w:rPr>
        <w:t>U.</w:t>
      </w:r>
      <w:r w:rsidR="00CF1619" w:rsidRPr="00C52063">
        <w:rPr>
          <w:noProof/>
          <w:sz w:val="20"/>
          <w:szCs w:val="20"/>
        </w:rPr>
        <w:t xml:space="preserve"> </w:t>
      </w:r>
      <w:r w:rsidRPr="00C52063">
        <w:rPr>
          <w:noProof/>
          <w:sz w:val="20"/>
          <w:szCs w:val="20"/>
        </w:rPr>
        <w:t>Normal</w:t>
      </w:r>
      <w:r w:rsidR="00CF1619" w:rsidRPr="00C52063">
        <w:rPr>
          <w:noProof/>
          <w:sz w:val="20"/>
          <w:szCs w:val="20"/>
        </w:rPr>
        <w:t xml:space="preserve"> </w:t>
      </w:r>
      <w:r w:rsidRPr="00C52063">
        <w:rPr>
          <w:noProof/>
          <w:sz w:val="20"/>
          <w:szCs w:val="20"/>
        </w:rPr>
        <w:t>flow</w:t>
      </w:r>
      <w:r w:rsidR="00CF1619" w:rsidRPr="00C52063">
        <w:rPr>
          <w:noProof/>
          <w:sz w:val="20"/>
          <w:szCs w:val="20"/>
        </w:rPr>
        <w:t xml:space="preserve"> </w:t>
      </w:r>
      <w:r w:rsidRPr="00C52063">
        <w:rPr>
          <w:noProof/>
          <w:sz w:val="20"/>
          <w:szCs w:val="20"/>
        </w:rPr>
        <w:t>(TIMI-3)</w:t>
      </w:r>
      <w:r w:rsidR="00CF1619" w:rsidRPr="00C52063">
        <w:rPr>
          <w:noProof/>
          <w:sz w:val="20"/>
          <w:szCs w:val="20"/>
        </w:rPr>
        <w:t xml:space="preserve"> </w:t>
      </w:r>
      <w:r w:rsidRPr="00C52063">
        <w:rPr>
          <w:noProof/>
          <w:sz w:val="20"/>
          <w:szCs w:val="20"/>
        </w:rPr>
        <w:t>before</w:t>
      </w:r>
      <w:r w:rsidR="00CF1619" w:rsidRPr="00C52063">
        <w:rPr>
          <w:noProof/>
          <w:sz w:val="20"/>
          <w:szCs w:val="20"/>
        </w:rPr>
        <w:t xml:space="preserve"> </w:t>
      </w:r>
      <w:r w:rsidRPr="00C52063">
        <w:rPr>
          <w:noProof/>
          <w:sz w:val="20"/>
          <w:szCs w:val="20"/>
        </w:rPr>
        <w:t>mechanical</w:t>
      </w:r>
      <w:r w:rsidR="00CF1619" w:rsidRPr="00C52063">
        <w:rPr>
          <w:noProof/>
          <w:sz w:val="20"/>
          <w:szCs w:val="20"/>
        </w:rPr>
        <w:t xml:space="preserve"> </w:t>
      </w:r>
      <w:r w:rsidRPr="00C52063">
        <w:rPr>
          <w:noProof/>
          <w:sz w:val="20"/>
          <w:szCs w:val="20"/>
        </w:rPr>
        <w:t>reperfusion</w:t>
      </w:r>
      <w:r w:rsidR="00CF1619" w:rsidRPr="00C52063">
        <w:rPr>
          <w:noProof/>
          <w:sz w:val="20"/>
          <w:szCs w:val="20"/>
        </w:rPr>
        <w:t xml:space="preserve"> </w:t>
      </w:r>
      <w:r w:rsidRPr="00C52063">
        <w:rPr>
          <w:noProof/>
          <w:sz w:val="20"/>
          <w:szCs w:val="20"/>
        </w:rPr>
        <w:t>therapy</w:t>
      </w:r>
      <w:r w:rsidR="00CF1619" w:rsidRPr="00C52063">
        <w:rPr>
          <w:noProof/>
          <w:sz w:val="20"/>
          <w:szCs w:val="20"/>
        </w:rPr>
        <w:t xml:space="preserve"> </w:t>
      </w:r>
      <w:r w:rsidRPr="00C52063">
        <w:rPr>
          <w:noProof/>
          <w:sz w:val="20"/>
          <w:szCs w:val="20"/>
        </w:rPr>
        <w:t>is</w:t>
      </w:r>
      <w:r w:rsidR="00CF1619" w:rsidRPr="00C52063">
        <w:rPr>
          <w:noProof/>
          <w:sz w:val="20"/>
          <w:szCs w:val="20"/>
        </w:rPr>
        <w:t xml:space="preserve"> </w:t>
      </w:r>
      <w:r w:rsidRPr="00C52063">
        <w:rPr>
          <w:noProof/>
          <w:sz w:val="20"/>
          <w:szCs w:val="20"/>
        </w:rPr>
        <w:t>an</w:t>
      </w:r>
      <w:r w:rsidR="00CF1619" w:rsidRPr="00C52063">
        <w:rPr>
          <w:noProof/>
          <w:sz w:val="20"/>
          <w:szCs w:val="20"/>
        </w:rPr>
        <w:t xml:space="preserve"> </w:t>
      </w:r>
      <w:r w:rsidRPr="00C52063">
        <w:rPr>
          <w:noProof/>
          <w:sz w:val="20"/>
          <w:szCs w:val="20"/>
        </w:rPr>
        <w:t>independent</w:t>
      </w:r>
      <w:r w:rsidR="00CF1619" w:rsidRPr="00C52063">
        <w:rPr>
          <w:noProof/>
          <w:sz w:val="20"/>
          <w:szCs w:val="20"/>
        </w:rPr>
        <w:t xml:space="preserve"> </w:t>
      </w:r>
      <w:r w:rsidRPr="00C52063">
        <w:rPr>
          <w:noProof/>
          <w:sz w:val="20"/>
          <w:szCs w:val="20"/>
        </w:rPr>
        <w:t>determinant</w:t>
      </w:r>
      <w:r w:rsidR="00CF1619" w:rsidRPr="00C52063">
        <w:rPr>
          <w:noProof/>
          <w:sz w:val="20"/>
          <w:szCs w:val="20"/>
        </w:rPr>
        <w:t xml:space="preserve"> </w:t>
      </w:r>
      <w:r w:rsidRPr="00C52063">
        <w:rPr>
          <w:noProof/>
          <w:sz w:val="20"/>
          <w:szCs w:val="20"/>
        </w:rPr>
        <w:t>of</w:t>
      </w:r>
      <w:r w:rsidR="00CF1619" w:rsidRPr="00C52063">
        <w:rPr>
          <w:noProof/>
          <w:sz w:val="20"/>
          <w:szCs w:val="20"/>
        </w:rPr>
        <w:t xml:space="preserve"> </w:t>
      </w:r>
      <w:r w:rsidRPr="00C52063">
        <w:rPr>
          <w:noProof/>
          <w:sz w:val="20"/>
          <w:szCs w:val="20"/>
        </w:rPr>
        <w:t>survival</w:t>
      </w:r>
      <w:r w:rsidR="00CF1619" w:rsidRPr="00C52063">
        <w:rPr>
          <w:noProof/>
          <w:sz w:val="20"/>
          <w:szCs w:val="20"/>
        </w:rPr>
        <w:t xml:space="preserve"> </w:t>
      </w:r>
      <w:r w:rsidRPr="00C52063">
        <w:rPr>
          <w:noProof/>
          <w:sz w:val="20"/>
          <w:szCs w:val="20"/>
        </w:rPr>
        <w:t>in</w:t>
      </w:r>
      <w:r w:rsidR="00CF1619" w:rsidRPr="00C52063">
        <w:rPr>
          <w:noProof/>
          <w:sz w:val="20"/>
          <w:szCs w:val="20"/>
        </w:rPr>
        <w:t xml:space="preserve"> </w:t>
      </w:r>
      <w:r w:rsidRPr="00C52063">
        <w:rPr>
          <w:noProof/>
          <w:sz w:val="20"/>
          <w:szCs w:val="20"/>
        </w:rPr>
        <w:t>acute</w:t>
      </w:r>
      <w:r w:rsidR="00CF1619" w:rsidRPr="00C52063">
        <w:rPr>
          <w:noProof/>
          <w:sz w:val="20"/>
          <w:szCs w:val="20"/>
        </w:rPr>
        <w:t xml:space="preserve"> </w:t>
      </w:r>
      <w:r w:rsidRPr="00C52063">
        <w:rPr>
          <w:noProof/>
          <w:sz w:val="20"/>
          <w:szCs w:val="20"/>
        </w:rPr>
        <w:t>myocardial</w:t>
      </w:r>
      <w:r w:rsidR="00CF1619" w:rsidRPr="00C52063">
        <w:rPr>
          <w:noProof/>
          <w:sz w:val="20"/>
          <w:szCs w:val="20"/>
        </w:rPr>
        <w:t xml:space="preserve"> </w:t>
      </w:r>
      <w:r w:rsidRPr="00C52063">
        <w:rPr>
          <w:noProof/>
          <w:sz w:val="20"/>
          <w:szCs w:val="20"/>
        </w:rPr>
        <w:t>infarction:</w:t>
      </w:r>
      <w:r w:rsidR="00CF1619" w:rsidRPr="00C52063">
        <w:rPr>
          <w:noProof/>
          <w:sz w:val="20"/>
          <w:szCs w:val="20"/>
        </w:rPr>
        <w:t xml:space="preserve"> </w:t>
      </w:r>
      <w:r w:rsidRPr="00C52063">
        <w:rPr>
          <w:noProof/>
          <w:sz w:val="20"/>
          <w:szCs w:val="20"/>
        </w:rPr>
        <w:t>analysis</w:t>
      </w:r>
      <w:r w:rsidR="00CF1619" w:rsidRPr="00C52063">
        <w:rPr>
          <w:noProof/>
          <w:sz w:val="20"/>
          <w:szCs w:val="20"/>
        </w:rPr>
        <w:t xml:space="preserve"> </w:t>
      </w:r>
      <w:r w:rsidRPr="00C52063">
        <w:rPr>
          <w:noProof/>
          <w:sz w:val="20"/>
          <w:szCs w:val="20"/>
        </w:rPr>
        <w:t>from</w:t>
      </w:r>
      <w:r w:rsidR="00CF1619" w:rsidRPr="00C52063">
        <w:rPr>
          <w:noProof/>
          <w:sz w:val="20"/>
          <w:szCs w:val="20"/>
        </w:rPr>
        <w:t xml:space="preserve"> </w:t>
      </w:r>
      <w:r w:rsidRPr="00C52063">
        <w:rPr>
          <w:noProof/>
          <w:sz w:val="20"/>
          <w:szCs w:val="20"/>
        </w:rPr>
        <w:t>the</w:t>
      </w:r>
      <w:r w:rsidR="00CF1619" w:rsidRPr="00C52063">
        <w:rPr>
          <w:noProof/>
          <w:sz w:val="20"/>
          <w:szCs w:val="20"/>
        </w:rPr>
        <w:t xml:space="preserve"> </w:t>
      </w:r>
      <w:r w:rsidRPr="00C52063">
        <w:rPr>
          <w:noProof/>
          <w:sz w:val="20"/>
          <w:szCs w:val="20"/>
        </w:rPr>
        <w:t>primary.</w:t>
      </w:r>
      <w:r w:rsidR="00CF1619" w:rsidRPr="00C52063">
        <w:rPr>
          <w:noProof/>
          <w:sz w:val="20"/>
          <w:szCs w:val="20"/>
        </w:rPr>
        <w:t xml:space="preserve"> </w:t>
      </w:r>
      <w:r w:rsidRPr="00C52063">
        <w:rPr>
          <w:noProof/>
          <w:sz w:val="20"/>
          <w:szCs w:val="20"/>
        </w:rPr>
        <w:t>Am</w:t>
      </w:r>
      <w:r w:rsidR="00CF1619" w:rsidRPr="00C52063">
        <w:rPr>
          <w:noProof/>
          <w:sz w:val="20"/>
          <w:szCs w:val="20"/>
        </w:rPr>
        <w:t xml:space="preserve"> </w:t>
      </w:r>
      <w:r w:rsidRPr="00C52063">
        <w:rPr>
          <w:noProof/>
          <w:sz w:val="20"/>
          <w:szCs w:val="20"/>
        </w:rPr>
        <w:t>Hear</w:t>
      </w:r>
      <w:r w:rsidR="00CF1619" w:rsidRPr="00C52063">
        <w:rPr>
          <w:noProof/>
          <w:sz w:val="20"/>
          <w:szCs w:val="20"/>
        </w:rPr>
        <w:t xml:space="preserve"> </w:t>
      </w:r>
      <w:r w:rsidRPr="00C52063">
        <w:rPr>
          <w:noProof/>
          <w:sz w:val="20"/>
          <w:szCs w:val="20"/>
        </w:rPr>
        <w:t>Assoc.</w:t>
      </w:r>
      <w:r w:rsidR="00CF1619" w:rsidRPr="00C52063">
        <w:rPr>
          <w:noProof/>
          <w:sz w:val="20"/>
          <w:szCs w:val="20"/>
        </w:rPr>
        <w:t xml:space="preserve"> </w:t>
      </w:r>
    </w:p>
    <w:p w:rsidR="00C52063" w:rsidRDefault="00C52063" w:rsidP="00C52063">
      <w:pPr>
        <w:pStyle w:val="NoSpacing"/>
        <w:snapToGrid w:val="0"/>
        <w:ind w:left="425" w:hanging="425"/>
        <w:jc w:val="both"/>
        <w:rPr>
          <w:noProof/>
          <w:sz w:val="20"/>
          <w:szCs w:val="20"/>
        </w:rPr>
        <w:sectPr w:rsidR="00C52063" w:rsidSect="00C52063">
          <w:type w:val="continuous"/>
          <w:pgSz w:w="12240" w:h="15840" w:code="1"/>
          <w:pgMar w:top="1440" w:right="1440" w:bottom="1440" w:left="1440" w:header="720" w:footer="720" w:gutter="0"/>
          <w:cols w:num="2" w:space="550"/>
          <w:docGrid w:linePitch="299"/>
        </w:sectPr>
      </w:pPr>
    </w:p>
    <w:p w:rsidR="00CF1619" w:rsidRDefault="00CF1619" w:rsidP="00C52063">
      <w:pPr>
        <w:pStyle w:val="NoSpacing"/>
        <w:snapToGrid w:val="0"/>
        <w:ind w:left="425" w:hanging="425"/>
        <w:jc w:val="both"/>
        <w:rPr>
          <w:rFonts w:eastAsiaTheme="minorEastAsia"/>
          <w:noProof/>
          <w:sz w:val="20"/>
          <w:szCs w:val="20"/>
          <w:lang w:eastAsia="zh-CN"/>
        </w:rPr>
      </w:pPr>
    </w:p>
    <w:p w:rsidR="00C52063" w:rsidRDefault="00C52063" w:rsidP="00C52063">
      <w:pPr>
        <w:pStyle w:val="NoSpacing"/>
        <w:snapToGrid w:val="0"/>
        <w:ind w:left="425" w:hanging="425"/>
        <w:jc w:val="both"/>
        <w:rPr>
          <w:rFonts w:eastAsiaTheme="minorEastAsia"/>
          <w:noProof/>
          <w:sz w:val="20"/>
          <w:szCs w:val="20"/>
          <w:lang w:eastAsia="zh-CN"/>
        </w:rPr>
      </w:pPr>
    </w:p>
    <w:p w:rsidR="00C52063" w:rsidRPr="00C52063" w:rsidRDefault="00C52063" w:rsidP="00C52063">
      <w:pPr>
        <w:pStyle w:val="NoSpacing"/>
        <w:snapToGrid w:val="0"/>
        <w:ind w:firstLine="425"/>
        <w:jc w:val="both"/>
        <w:rPr>
          <w:rFonts w:eastAsiaTheme="minorEastAsia"/>
          <w:noProof/>
          <w:sz w:val="20"/>
          <w:szCs w:val="20"/>
          <w:lang w:eastAsia="zh-CN"/>
        </w:rPr>
      </w:pPr>
    </w:p>
    <w:p w:rsidR="004F0530" w:rsidRPr="00C52063" w:rsidRDefault="00CF1619" w:rsidP="00C52063">
      <w:pPr>
        <w:pStyle w:val="NoSpacing"/>
        <w:snapToGrid w:val="0"/>
        <w:jc w:val="both"/>
        <w:rPr>
          <w:noProof/>
          <w:sz w:val="20"/>
          <w:szCs w:val="20"/>
        </w:rPr>
      </w:pPr>
      <w:r w:rsidRPr="00C52063">
        <w:rPr>
          <w:noProof/>
          <w:sz w:val="20"/>
          <w:szCs w:val="20"/>
        </w:rPr>
        <w:t>3/17/2020</w:t>
      </w:r>
    </w:p>
    <w:sectPr w:rsidR="004F0530" w:rsidRPr="00C52063" w:rsidSect="00CF1619">
      <w:type w:val="continuous"/>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701" w:rsidRDefault="00E87701" w:rsidP="00B81D0F">
      <w:r>
        <w:separator/>
      </w:r>
    </w:p>
  </w:endnote>
  <w:endnote w:type="continuationSeparator" w:id="0">
    <w:p w:rsidR="00E87701" w:rsidRDefault="00E87701" w:rsidP="00B81D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67" w:rsidRPr="004639E9" w:rsidRDefault="00750467" w:rsidP="004639E9">
    <w:pPr>
      <w:jc w:val="center"/>
      <w:rPr>
        <w:sz w:val="20"/>
      </w:rPr>
    </w:pPr>
    <w:r w:rsidRPr="004639E9">
      <w:rPr>
        <w:sz w:val="20"/>
      </w:rPr>
      <w:fldChar w:fldCharType="begin"/>
    </w:r>
    <w:r w:rsidRPr="004639E9">
      <w:rPr>
        <w:sz w:val="20"/>
      </w:rPr>
      <w:instrText xml:space="preserve"> page </w:instrText>
    </w:r>
    <w:r w:rsidRPr="004639E9">
      <w:rPr>
        <w:sz w:val="20"/>
      </w:rPr>
      <w:fldChar w:fldCharType="separate"/>
    </w:r>
    <w:r w:rsidR="00B5174A">
      <w:rPr>
        <w:noProof/>
        <w:sz w:val="20"/>
      </w:rPr>
      <w:t>107</w:t>
    </w:r>
    <w:r w:rsidRPr="004639E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701" w:rsidRDefault="00E87701" w:rsidP="00B81D0F">
      <w:r>
        <w:separator/>
      </w:r>
    </w:p>
  </w:footnote>
  <w:footnote w:type="continuationSeparator" w:id="0">
    <w:p w:rsidR="00E87701" w:rsidRDefault="00E87701" w:rsidP="00B8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67" w:rsidRPr="001F4413" w:rsidRDefault="00750467" w:rsidP="001F4413">
    <w:pPr>
      <w:pStyle w:val="Header"/>
      <w:rPr>
        <w:szCs w:val="20"/>
      </w:rPr>
    </w:pPr>
    <w:r>
      <w:rPr>
        <w:noProof/>
        <w:szCs w:val="20"/>
        <w:lang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67" w:rsidRPr="004639E9" w:rsidRDefault="00750467" w:rsidP="004639E9">
    <w:pPr>
      <w:pBdr>
        <w:bottom w:val="thinThickMediumGap" w:sz="12" w:space="1" w:color="auto"/>
      </w:pBdr>
      <w:tabs>
        <w:tab w:val="left" w:pos="851"/>
        <w:tab w:val="right" w:pos="8364"/>
      </w:tabs>
      <w:adjustRightInd w:val="0"/>
      <w:snapToGrid w:val="0"/>
      <w:jc w:val="both"/>
      <w:rPr>
        <w:iCs/>
        <w:sz w:val="20"/>
        <w:szCs w:val="20"/>
      </w:rPr>
    </w:pPr>
    <w:r w:rsidRPr="004639E9">
      <w:rPr>
        <w:rFonts w:hint="eastAsia"/>
        <w:sz w:val="20"/>
        <w:szCs w:val="20"/>
      </w:rPr>
      <w:tab/>
    </w:r>
    <w:r w:rsidRPr="004639E9">
      <w:rPr>
        <w:sz w:val="20"/>
        <w:szCs w:val="20"/>
      </w:rPr>
      <w:t>New York Science Journal 20</w:t>
    </w:r>
    <w:r w:rsidRPr="004639E9">
      <w:rPr>
        <w:rFonts w:hint="eastAsia"/>
        <w:sz w:val="20"/>
        <w:szCs w:val="20"/>
      </w:rPr>
      <w:t>20</w:t>
    </w:r>
    <w:r w:rsidRPr="004639E9">
      <w:rPr>
        <w:sz w:val="20"/>
        <w:szCs w:val="20"/>
      </w:rPr>
      <w:t>;</w:t>
    </w:r>
    <w:r w:rsidRPr="004639E9">
      <w:rPr>
        <w:rFonts w:hint="eastAsia"/>
        <w:sz w:val="20"/>
        <w:szCs w:val="20"/>
      </w:rPr>
      <w:t>13</w:t>
    </w:r>
    <w:r w:rsidRPr="004639E9">
      <w:rPr>
        <w:sz w:val="20"/>
        <w:szCs w:val="20"/>
      </w:rPr>
      <w:t>(</w:t>
    </w:r>
    <w:r w:rsidRPr="004639E9">
      <w:rPr>
        <w:rFonts w:hint="eastAsia"/>
        <w:sz w:val="20"/>
        <w:szCs w:val="20"/>
      </w:rPr>
      <w:t>1</w:t>
    </w:r>
    <w:r w:rsidRPr="004639E9">
      <w:rPr>
        <w:sz w:val="20"/>
        <w:szCs w:val="20"/>
      </w:rPr>
      <w:t>)</w:t>
    </w:r>
    <w:r w:rsidRPr="004639E9">
      <w:rPr>
        <w:iCs/>
        <w:sz w:val="20"/>
        <w:szCs w:val="20"/>
      </w:rPr>
      <w:t xml:space="preserve"> </w:t>
    </w:r>
    <w:r w:rsidRPr="004639E9">
      <w:rPr>
        <w:rFonts w:hint="eastAsia"/>
        <w:iCs/>
        <w:sz w:val="20"/>
        <w:szCs w:val="20"/>
      </w:rPr>
      <w:tab/>
    </w:r>
    <w:r w:rsidRPr="004639E9">
      <w:rPr>
        <w:iCs/>
        <w:sz w:val="20"/>
        <w:szCs w:val="20"/>
      </w:rPr>
      <w:t xml:space="preserve">  </w:t>
    </w:r>
    <w:hyperlink r:id="rId1" w:history="1">
      <w:r w:rsidRPr="004639E9">
        <w:rPr>
          <w:rStyle w:val="Hyperlink"/>
          <w:rFonts w:eastAsiaTheme="majorEastAsia"/>
          <w:color w:val="0000FF"/>
          <w:sz w:val="20"/>
          <w:szCs w:val="20"/>
        </w:rPr>
        <w:t>http://www.sciencepub.net/newyork</w:t>
      </w:r>
    </w:hyperlink>
    <w:r w:rsidRPr="004639E9">
      <w:rPr>
        <w:rFonts w:hint="eastAsia"/>
        <w:sz w:val="20"/>
      </w:rPr>
      <w:t xml:space="preserve">   </w:t>
    </w:r>
    <w:r w:rsidRPr="004639E9">
      <w:rPr>
        <w:rFonts w:hint="eastAsia"/>
        <w:b/>
        <w:i/>
        <w:color w:val="FF0000"/>
        <w:sz w:val="20"/>
        <w:szCs w:val="20"/>
        <w:bdr w:val="single" w:sz="4" w:space="0" w:color="FF0000"/>
      </w:rPr>
      <w:t>NYJ</w:t>
    </w:r>
  </w:p>
  <w:p w:rsidR="00750467" w:rsidRPr="004639E9" w:rsidRDefault="00750467" w:rsidP="004639E9">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A29"/>
    <w:multiLevelType w:val="hybridMultilevel"/>
    <w:tmpl w:val="6CD81D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47E93"/>
    <w:multiLevelType w:val="hybridMultilevel"/>
    <w:tmpl w:val="519C4914"/>
    <w:lvl w:ilvl="0" w:tplc="1AD017D8">
      <w:start w:val="1"/>
      <w:numFmt w:val="decimal"/>
      <w:lvlText w:val="%1-"/>
      <w:lvlJc w:val="left"/>
      <w:pPr>
        <w:ind w:left="1332" w:hanging="197"/>
        <w:jc w:val="left"/>
      </w:pPr>
      <w:rPr>
        <w:rFonts w:hint="default"/>
        <w:spacing w:val="0"/>
        <w:w w:val="102"/>
        <w:lang w:val="en-US" w:eastAsia="en-US" w:bidi="en-US"/>
      </w:rPr>
    </w:lvl>
    <w:lvl w:ilvl="1" w:tplc="3F807212">
      <w:numFmt w:val="bullet"/>
      <w:lvlText w:val="•"/>
      <w:lvlJc w:val="left"/>
      <w:pPr>
        <w:ind w:left="1230" w:hanging="197"/>
      </w:pPr>
      <w:rPr>
        <w:rFonts w:hint="default"/>
        <w:lang w:val="en-US" w:eastAsia="en-US" w:bidi="en-US"/>
      </w:rPr>
    </w:lvl>
    <w:lvl w:ilvl="2" w:tplc="A8E4D540">
      <w:numFmt w:val="bullet"/>
      <w:lvlText w:val="•"/>
      <w:lvlJc w:val="left"/>
      <w:pPr>
        <w:ind w:left="2160" w:hanging="197"/>
      </w:pPr>
      <w:rPr>
        <w:rFonts w:hint="default"/>
        <w:lang w:val="en-US" w:eastAsia="en-US" w:bidi="en-US"/>
      </w:rPr>
    </w:lvl>
    <w:lvl w:ilvl="3" w:tplc="7FE278B0">
      <w:numFmt w:val="bullet"/>
      <w:lvlText w:val="•"/>
      <w:lvlJc w:val="left"/>
      <w:pPr>
        <w:ind w:left="3090" w:hanging="197"/>
      </w:pPr>
      <w:rPr>
        <w:rFonts w:hint="default"/>
        <w:lang w:val="en-US" w:eastAsia="en-US" w:bidi="en-US"/>
      </w:rPr>
    </w:lvl>
    <w:lvl w:ilvl="4" w:tplc="900C94D8">
      <w:numFmt w:val="bullet"/>
      <w:lvlText w:val="•"/>
      <w:lvlJc w:val="left"/>
      <w:pPr>
        <w:ind w:left="4020" w:hanging="197"/>
      </w:pPr>
      <w:rPr>
        <w:rFonts w:hint="default"/>
        <w:lang w:val="en-US" w:eastAsia="en-US" w:bidi="en-US"/>
      </w:rPr>
    </w:lvl>
    <w:lvl w:ilvl="5" w:tplc="9C54B67A">
      <w:numFmt w:val="bullet"/>
      <w:lvlText w:val="•"/>
      <w:lvlJc w:val="left"/>
      <w:pPr>
        <w:ind w:left="4950" w:hanging="197"/>
      </w:pPr>
      <w:rPr>
        <w:rFonts w:hint="default"/>
        <w:lang w:val="en-US" w:eastAsia="en-US" w:bidi="en-US"/>
      </w:rPr>
    </w:lvl>
    <w:lvl w:ilvl="6" w:tplc="D8F0F76A">
      <w:numFmt w:val="bullet"/>
      <w:lvlText w:val="•"/>
      <w:lvlJc w:val="left"/>
      <w:pPr>
        <w:ind w:left="5880" w:hanging="197"/>
      </w:pPr>
      <w:rPr>
        <w:rFonts w:hint="default"/>
        <w:lang w:val="en-US" w:eastAsia="en-US" w:bidi="en-US"/>
      </w:rPr>
    </w:lvl>
    <w:lvl w:ilvl="7" w:tplc="2682D298">
      <w:numFmt w:val="bullet"/>
      <w:lvlText w:val="•"/>
      <w:lvlJc w:val="left"/>
      <w:pPr>
        <w:ind w:left="6810" w:hanging="197"/>
      </w:pPr>
      <w:rPr>
        <w:rFonts w:hint="default"/>
        <w:lang w:val="en-US" w:eastAsia="en-US" w:bidi="en-US"/>
      </w:rPr>
    </w:lvl>
    <w:lvl w:ilvl="8" w:tplc="CA047F64">
      <w:numFmt w:val="bullet"/>
      <w:lvlText w:val="•"/>
      <w:lvlJc w:val="left"/>
      <w:pPr>
        <w:ind w:left="7740" w:hanging="197"/>
      </w:pPr>
      <w:rPr>
        <w:rFonts w:hint="default"/>
        <w:lang w:val="en-US" w:eastAsia="en-US" w:bidi="en-US"/>
      </w:rPr>
    </w:lvl>
  </w:abstractNum>
  <w:abstractNum w:abstractNumId="2">
    <w:nsid w:val="258C1CB5"/>
    <w:multiLevelType w:val="hybridMultilevel"/>
    <w:tmpl w:val="2020BF28"/>
    <w:lvl w:ilvl="0" w:tplc="5A46A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686028"/>
    <w:multiLevelType w:val="hybridMultilevel"/>
    <w:tmpl w:val="763C77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714FD"/>
    <w:multiLevelType w:val="hybridMultilevel"/>
    <w:tmpl w:val="05A4CEDC"/>
    <w:lvl w:ilvl="0" w:tplc="716A7432">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C2A8A"/>
    <w:multiLevelType w:val="hybridMultilevel"/>
    <w:tmpl w:val="510A5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25778"/>
    <w:multiLevelType w:val="hybridMultilevel"/>
    <w:tmpl w:val="B466473C"/>
    <w:lvl w:ilvl="0" w:tplc="5B32FF9A">
      <w:start w:val="1"/>
      <w:numFmt w:val="decimal"/>
      <w:lvlText w:val="%1-"/>
      <w:lvlJc w:val="left"/>
      <w:pPr>
        <w:ind w:left="297" w:hanging="197"/>
        <w:jc w:val="left"/>
      </w:pPr>
      <w:rPr>
        <w:rFonts w:ascii="Times New Roman" w:eastAsia="Times New Roman" w:hAnsi="Times New Roman" w:cs="Times New Roman" w:hint="default"/>
        <w:spacing w:val="0"/>
        <w:w w:val="102"/>
        <w:sz w:val="20"/>
        <w:szCs w:val="20"/>
        <w:lang w:val="en-US" w:eastAsia="en-US" w:bidi="en-US"/>
      </w:rPr>
    </w:lvl>
    <w:lvl w:ilvl="1" w:tplc="4AC8420A">
      <w:numFmt w:val="bullet"/>
      <w:lvlText w:val="•"/>
      <w:lvlJc w:val="left"/>
      <w:pPr>
        <w:ind w:left="1230" w:hanging="197"/>
      </w:pPr>
      <w:rPr>
        <w:rFonts w:hint="default"/>
        <w:lang w:val="en-US" w:eastAsia="en-US" w:bidi="en-US"/>
      </w:rPr>
    </w:lvl>
    <w:lvl w:ilvl="2" w:tplc="E0A01174">
      <w:numFmt w:val="bullet"/>
      <w:lvlText w:val="•"/>
      <w:lvlJc w:val="left"/>
      <w:pPr>
        <w:ind w:left="2160" w:hanging="197"/>
      </w:pPr>
      <w:rPr>
        <w:rFonts w:hint="default"/>
        <w:lang w:val="en-US" w:eastAsia="en-US" w:bidi="en-US"/>
      </w:rPr>
    </w:lvl>
    <w:lvl w:ilvl="3" w:tplc="02C8EBD6">
      <w:numFmt w:val="bullet"/>
      <w:lvlText w:val="•"/>
      <w:lvlJc w:val="left"/>
      <w:pPr>
        <w:ind w:left="3090" w:hanging="197"/>
      </w:pPr>
      <w:rPr>
        <w:rFonts w:hint="default"/>
        <w:lang w:val="en-US" w:eastAsia="en-US" w:bidi="en-US"/>
      </w:rPr>
    </w:lvl>
    <w:lvl w:ilvl="4" w:tplc="36F26134">
      <w:numFmt w:val="bullet"/>
      <w:lvlText w:val="•"/>
      <w:lvlJc w:val="left"/>
      <w:pPr>
        <w:ind w:left="4020" w:hanging="197"/>
      </w:pPr>
      <w:rPr>
        <w:rFonts w:hint="default"/>
        <w:lang w:val="en-US" w:eastAsia="en-US" w:bidi="en-US"/>
      </w:rPr>
    </w:lvl>
    <w:lvl w:ilvl="5" w:tplc="79A429D6">
      <w:numFmt w:val="bullet"/>
      <w:lvlText w:val="•"/>
      <w:lvlJc w:val="left"/>
      <w:pPr>
        <w:ind w:left="4950" w:hanging="197"/>
      </w:pPr>
      <w:rPr>
        <w:rFonts w:hint="default"/>
        <w:lang w:val="en-US" w:eastAsia="en-US" w:bidi="en-US"/>
      </w:rPr>
    </w:lvl>
    <w:lvl w:ilvl="6" w:tplc="81760B6E">
      <w:numFmt w:val="bullet"/>
      <w:lvlText w:val="•"/>
      <w:lvlJc w:val="left"/>
      <w:pPr>
        <w:ind w:left="5880" w:hanging="197"/>
      </w:pPr>
      <w:rPr>
        <w:rFonts w:hint="default"/>
        <w:lang w:val="en-US" w:eastAsia="en-US" w:bidi="en-US"/>
      </w:rPr>
    </w:lvl>
    <w:lvl w:ilvl="7" w:tplc="CA605B98">
      <w:numFmt w:val="bullet"/>
      <w:lvlText w:val="•"/>
      <w:lvlJc w:val="left"/>
      <w:pPr>
        <w:ind w:left="6810" w:hanging="197"/>
      </w:pPr>
      <w:rPr>
        <w:rFonts w:hint="default"/>
        <w:lang w:val="en-US" w:eastAsia="en-US" w:bidi="en-US"/>
      </w:rPr>
    </w:lvl>
    <w:lvl w:ilvl="8" w:tplc="398C1C88">
      <w:numFmt w:val="bullet"/>
      <w:lvlText w:val="•"/>
      <w:lvlJc w:val="left"/>
      <w:pPr>
        <w:ind w:left="7740" w:hanging="197"/>
      </w:pPr>
      <w:rPr>
        <w:rFonts w:hint="default"/>
        <w:lang w:val="en-US" w:eastAsia="en-US" w:bidi="en-US"/>
      </w:rPr>
    </w:lvl>
  </w:abstractNum>
  <w:abstractNum w:abstractNumId="7">
    <w:nsid w:val="75C25AC0"/>
    <w:multiLevelType w:val="hybridMultilevel"/>
    <w:tmpl w:val="8544EEE4"/>
    <w:lvl w:ilvl="0" w:tplc="3B800BCC">
      <w:start w:val="1"/>
      <w:numFmt w:val="decimal"/>
      <w:lvlText w:val="%1."/>
      <w:lvlJc w:val="left"/>
      <w:pPr>
        <w:ind w:left="747" w:hanging="646"/>
        <w:jc w:val="left"/>
      </w:pPr>
      <w:rPr>
        <w:rFonts w:ascii="Times New Roman" w:eastAsia="Times New Roman" w:hAnsi="Times New Roman" w:cs="Times New Roman" w:hint="default"/>
        <w:spacing w:val="0"/>
        <w:w w:val="102"/>
        <w:sz w:val="22"/>
        <w:szCs w:val="22"/>
        <w:lang w:val="en-US" w:eastAsia="en-US" w:bidi="en-US"/>
      </w:rPr>
    </w:lvl>
    <w:lvl w:ilvl="1" w:tplc="CFBE48A8">
      <w:numFmt w:val="bullet"/>
      <w:lvlText w:val="•"/>
      <w:lvlJc w:val="left"/>
      <w:pPr>
        <w:ind w:left="1626" w:hanging="646"/>
      </w:pPr>
      <w:rPr>
        <w:rFonts w:hint="default"/>
        <w:lang w:val="en-US" w:eastAsia="en-US" w:bidi="en-US"/>
      </w:rPr>
    </w:lvl>
    <w:lvl w:ilvl="2" w:tplc="E2EC1B30">
      <w:numFmt w:val="bullet"/>
      <w:lvlText w:val="•"/>
      <w:lvlJc w:val="left"/>
      <w:pPr>
        <w:ind w:left="2512" w:hanging="646"/>
      </w:pPr>
      <w:rPr>
        <w:rFonts w:hint="default"/>
        <w:lang w:val="en-US" w:eastAsia="en-US" w:bidi="en-US"/>
      </w:rPr>
    </w:lvl>
    <w:lvl w:ilvl="3" w:tplc="5E52C950">
      <w:numFmt w:val="bullet"/>
      <w:lvlText w:val="•"/>
      <w:lvlJc w:val="left"/>
      <w:pPr>
        <w:ind w:left="3398" w:hanging="646"/>
      </w:pPr>
      <w:rPr>
        <w:rFonts w:hint="default"/>
        <w:lang w:val="en-US" w:eastAsia="en-US" w:bidi="en-US"/>
      </w:rPr>
    </w:lvl>
    <w:lvl w:ilvl="4" w:tplc="888CD3C8">
      <w:numFmt w:val="bullet"/>
      <w:lvlText w:val="•"/>
      <w:lvlJc w:val="left"/>
      <w:pPr>
        <w:ind w:left="4284" w:hanging="646"/>
      </w:pPr>
      <w:rPr>
        <w:rFonts w:hint="default"/>
        <w:lang w:val="en-US" w:eastAsia="en-US" w:bidi="en-US"/>
      </w:rPr>
    </w:lvl>
    <w:lvl w:ilvl="5" w:tplc="377AB48E">
      <w:numFmt w:val="bullet"/>
      <w:lvlText w:val="•"/>
      <w:lvlJc w:val="left"/>
      <w:pPr>
        <w:ind w:left="5170" w:hanging="646"/>
      </w:pPr>
      <w:rPr>
        <w:rFonts w:hint="default"/>
        <w:lang w:val="en-US" w:eastAsia="en-US" w:bidi="en-US"/>
      </w:rPr>
    </w:lvl>
    <w:lvl w:ilvl="6" w:tplc="30F22EC6">
      <w:numFmt w:val="bullet"/>
      <w:lvlText w:val="•"/>
      <w:lvlJc w:val="left"/>
      <w:pPr>
        <w:ind w:left="6056" w:hanging="646"/>
      </w:pPr>
      <w:rPr>
        <w:rFonts w:hint="default"/>
        <w:lang w:val="en-US" w:eastAsia="en-US" w:bidi="en-US"/>
      </w:rPr>
    </w:lvl>
    <w:lvl w:ilvl="7" w:tplc="EBEC4870">
      <w:numFmt w:val="bullet"/>
      <w:lvlText w:val="•"/>
      <w:lvlJc w:val="left"/>
      <w:pPr>
        <w:ind w:left="6942" w:hanging="646"/>
      </w:pPr>
      <w:rPr>
        <w:rFonts w:hint="default"/>
        <w:lang w:val="en-US" w:eastAsia="en-US" w:bidi="en-US"/>
      </w:rPr>
    </w:lvl>
    <w:lvl w:ilvl="8" w:tplc="6FA0C5DC">
      <w:numFmt w:val="bullet"/>
      <w:lvlText w:val="•"/>
      <w:lvlJc w:val="left"/>
      <w:pPr>
        <w:ind w:left="7828" w:hanging="646"/>
      </w:pPr>
      <w:rPr>
        <w:rFonts w:hint="default"/>
        <w:lang w:val="en-US" w:eastAsia="en-US" w:bidi="en-US"/>
      </w:rPr>
    </w:lvl>
  </w:abstractNum>
  <w:abstractNum w:abstractNumId="8">
    <w:nsid w:val="7A920900"/>
    <w:multiLevelType w:val="hybridMultilevel"/>
    <w:tmpl w:val="63B6D588"/>
    <w:lvl w:ilvl="0" w:tplc="2FFA149E">
      <w:numFmt w:val="bullet"/>
      <w:lvlText w:val="-"/>
      <w:lvlJc w:val="left"/>
      <w:pPr>
        <w:ind w:left="1080" w:hanging="360"/>
      </w:pPr>
      <w:rPr>
        <w:rFonts w:ascii="Calibri" w:eastAsiaTheme="minorHAnsi" w:hAnsi="Calibri" w:cs="Calibri" w:hint="default"/>
        <w:b/>
      </w:rPr>
    </w:lvl>
    <w:lvl w:ilvl="1" w:tplc="05A60D6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0"/>
  </w:num>
  <w:num w:numId="5">
    <w:abstractNumId w:val="8"/>
  </w:num>
  <w:num w:numId="6">
    <w:abstractNumId w:val="4"/>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useFELayout/>
  </w:compat>
  <w:rsids>
    <w:rsidRoot w:val="007F4728"/>
    <w:rsid w:val="00020E0B"/>
    <w:rsid w:val="000375D9"/>
    <w:rsid w:val="000470FF"/>
    <w:rsid w:val="00085F51"/>
    <w:rsid w:val="00093AD0"/>
    <w:rsid w:val="000C0EEF"/>
    <w:rsid w:val="000E2C9E"/>
    <w:rsid w:val="001762EF"/>
    <w:rsid w:val="00196C43"/>
    <w:rsid w:val="001A2837"/>
    <w:rsid w:val="001E1556"/>
    <w:rsid w:val="001F4413"/>
    <w:rsid w:val="0025058D"/>
    <w:rsid w:val="00255FCA"/>
    <w:rsid w:val="0028746E"/>
    <w:rsid w:val="002B72E3"/>
    <w:rsid w:val="002C1CF0"/>
    <w:rsid w:val="002C4FB5"/>
    <w:rsid w:val="00301440"/>
    <w:rsid w:val="003064B3"/>
    <w:rsid w:val="00321535"/>
    <w:rsid w:val="0038532F"/>
    <w:rsid w:val="003B3F95"/>
    <w:rsid w:val="003D322D"/>
    <w:rsid w:val="004639E9"/>
    <w:rsid w:val="004972F0"/>
    <w:rsid w:val="004D737F"/>
    <w:rsid w:val="004F0530"/>
    <w:rsid w:val="00591317"/>
    <w:rsid w:val="005D28DF"/>
    <w:rsid w:val="006233F8"/>
    <w:rsid w:val="00641C07"/>
    <w:rsid w:val="00663989"/>
    <w:rsid w:val="00664DD3"/>
    <w:rsid w:val="00681E02"/>
    <w:rsid w:val="006B2EA0"/>
    <w:rsid w:val="006B5B11"/>
    <w:rsid w:val="007260CF"/>
    <w:rsid w:val="00726BC9"/>
    <w:rsid w:val="00735954"/>
    <w:rsid w:val="00747AAA"/>
    <w:rsid w:val="00750467"/>
    <w:rsid w:val="007A4796"/>
    <w:rsid w:val="007B75F8"/>
    <w:rsid w:val="007F4728"/>
    <w:rsid w:val="00823A69"/>
    <w:rsid w:val="00861EE9"/>
    <w:rsid w:val="00894D7D"/>
    <w:rsid w:val="009255C6"/>
    <w:rsid w:val="009C7C0F"/>
    <w:rsid w:val="00A159A0"/>
    <w:rsid w:val="00A31BEB"/>
    <w:rsid w:val="00AB5A6E"/>
    <w:rsid w:val="00B0437E"/>
    <w:rsid w:val="00B5174A"/>
    <w:rsid w:val="00B81D0F"/>
    <w:rsid w:val="00BB4475"/>
    <w:rsid w:val="00C4073D"/>
    <w:rsid w:val="00C45588"/>
    <w:rsid w:val="00C52063"/>
    <w:rsid w:val="00C73DEC"/>
    <w:rsid w:val="00C9623B"/>
    <w:rsid w:val="00CF1619"/>
    <w:rsid w:val="00D3355A"/>
    <w:rsid w:val="00D5595E"/>
    <w:rsid w:val="00D67AA3"/>
    <w:rsid w:val="00DA2E7D"/>
    <w:rsid w:val="00DE604F"/>
    <w:rsid w:val="00E20628"/>
    <w:rsid w:val="00E5070E"/>
    <w:rsid w:val="00E80EE8"/>
    <w:rsid w:val="00E87701"/>
    <w:rsid w:val="00EC461E"/>
    <w:rsid w:val="00EF7654"/>
    <w:rsid w:val="00F60A3E"/>
    <w:rsid w:val="00F7601C"/>
    <w:rsid w:val="00FD6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437E"/>
    <w:rPr>
      <w:rFonts w:ascii="Times New Roman" w:eastAsia="Times New Roman" w:hAnsi="Times New Roman" w:cs="Times New Roman"/>
      <w:lang w:bidi="en-US"/>
    </w:rPr>
  </w:style>
  <w:style w:type="paragraph" w:styleId="Heading1">
    <w:name w:val="heading 1"/>
    <w:basedOn w:val="Normal"/>
    <w:uiPriority w:val="1"/>
    <w:qFormat/>
    <w:rsid w:val="00B0437E"/>
    <w:pPr>
      <w:spacing w:before="5"/>
      <w:ind w:left="224"/>
      <w:outlineLvl w:val="0"/>
    </w:pPr>
    <w:rPr>
      <w:b/>
      <w:bCs/>
      <w:sz w:val="24"/>
      <w:szCs w:val="24"/>
    </w:rPr>
  </w:style>
  <w:style w:type="paragraph" w:styleId="Heading2">
    <w:name w:val="heading 2"/>
    <w:basedOn w:val="Normal"/>
    <w:uiPriority w:val="1"/>
    <w:qFormat/>
    <w:rsid w:val="00B0437E"/>
    <w:pPr>
      <w:ind w:left="101"/>
      <w:outlineLvl w:val="1"/>
    </w:pPr>
    <w:rPr>
      <w:b/>
      <w:bCs/>
    </w:rPr>
  </w:style>
  <w:style w:type="paragraph" w:styleId="Heading3">
    <w:name w:val="heading 3"/>
    <w:basedOn w:val="Normal"/>
    <w:next w:val="Normal"/>
    <w:link w:val="Heading3Char"/>
    <w:uiPriority w:val="9"/>
    <w:semiHidden/>
    <w:unhideWhenUsed/>
    <w:qFormat/>
    <w:rsid w:val="00E80E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0E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2F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37E"/>
    <w:pPr>
      <w:ind w:left="101"/>
    </w:pPr>
  </w:style>
  <w:style w:type="paragraph" w:styleId="ListParagraph">
    <w:name w:val="List Paragraph"/>
    <w:basedOn w:val="Normal"/>
    <w:uiPriority w:val="34"/>
    <w:qFormat/>
    <w:rsid w:val="00B0437E"/>
    <w:pPr>
      <w:ind w:left="747" w:hanging="646"/>
    </w:pPr>
  </w:style>
  <w:style w:type="paragraph" w:customStyle="1" w:styleId="TableParagraph">
    <w:name w:val="Table Paragraph"/>
    <w:basedOn w:val="Normal"/>
    <w:uiPriority w:val="1"/>
    <w:qFormat/>
    <w:rsid w:val="00B0437E"/>
  </w:style>
  <w:style w:type="table" w:styleId="LightList">
    <w:name w:val="Light List"/>
    <w:basedOn w:val="TableNormal"/>
    <w:uiPriority w:val="61"/>
    <w:rsid w:val="00726BC9"/>
    <w:pPr>
      <w:widowControl/>
      <w:autoSpaceDE/>
      <w:autoSpaceDN/>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C40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80EE8"/>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E80EE8"/>
    <w:rPr>
      <w:rFonts w:asciiTheme="majorHAnsi" w:eastAsiaTheme="majorEastAsia" w:hAnsiTheme="majorHAnsi" w:cstheme="majorBidi"/>
      <w:b/>
      <w:bCs/>
      <w:i/>
      <w:iCs/>
      <w:color w:val="4F81BD" w:themeColor="accent1"/>
      <w:lang w:bidi="en-US"/>
    </w:rPr>
  </w:style>
  <w:style w:type="paragraph" w:styleId="Caption">
    <w:name w:val="caption"/>
    <w:basedOn w:val="Normal"/>
    <w:next w:val="Normal"/>
    <w:uiPriority w:val="35"/>
    <w:unhideWhenUsed/>
    <w:qFormat/>
    <w:rsid w:val="00E80EE8"/>
    <w:pPr>
      <w:spacing w:after="200"/>
    </w:pPr>
    <w:rPr>
      <w:b/>
      <w:bCs/>
      <w:color w:val="4F81BD" w:themeColor="accent1"/>
      <w:sz w:val="18"/>
      <w:szCs w:val="18"/>
    </w:rPr>
  </w:style>
  <w:style w:type="character" w:customStyle="1" w:styleId="Heading5Char">
    <w:name w:val="Heading 5 Char"/>
    <w:basedOn w:val="DefaultParagraphFont"/>
    <w:link w:val="Heading5"/>
    <w:uiPriority w:val="9"/>
    <w:semiHidden/>
    <w:rsid w:val="004972F0"/>
    <w:rPr>
      <w:rFonts w:asciiTheme="majorHAnsi" w:eastAsiaTheme="majorEastAsia" w:hAnsiTheme="majorHAnsi" w:cstheme="majorBidi"/>
      <w:color w:val="243F60" w:themeColor="accent1" w:themeShade="7F"/>
      <w:lang w:bidi="en-US"/>
    </w:rPr>
  </w:style>
  <w:style w:type="paragraph" w:styleId="Header">
    <w:name w:val="header"/>
    <w:basedOn w:val="Normal"/>
    <w:link w:val="HeaderChar"/>
    <w:uiPriority w:val="99"/>
    <w:unhideWhenUsed/>
    <w:rsid w:val="00B81D0F"/>
    <w:pPr>
      <w:tabs>
        <w:tab w:val="center" w:pos="4153"/>
        <w:tab w:val="right" w:pos="8306"/>
      </w:tabs>
    </w:pPr>
  </w:style>
  <w:style w:type="character" w:customStyle="1" w:styleId="HeaderChar">
    <w:name w:val="Header Char"/>
    <w:basedOn w:val="DefaultParagraphFont"/>
    <w:link w:val="Header"/>
    <w:uiPriority w:val="99"/>
    <w:rsid w:val="00B81D0F"/>
    <w:rPr>
      <w:rFonts w:ascii="Times New Roman" w:eastAsia="Times New Roman" w:hAnsi="Times New Roman" w:cs="Times New Roman"/>
      <w:lang w:bidi="en-US"/>
    </w:rPr>
  </w:style>
  <w:style w:type="paragraph" w:styleId="Footer">
    <w:name w:val="footer"/>
    <w:basedOn w:val="Normal"/>
    <w:link w:val="FooterChar"/>
    <w:uiPriority w:val="99"/>
    <w:unhideWhenUsed/>
    <w:rsid w:val="00B81D0F"/>
    <w:pPr>
      <w:tabs>
        <w:tab w:val="center" w:pos="4153"/>
        <w:tab w:val="right" w:pos="8306"/>
      </w:tabs>
    </w:pPr>
  </w:style>
  <w:style w:type="character" w:customStyle="1" w:styleId="FooterChar">
    <w:name w:val="Footer Char"/>
    <w:basedOn w:val="DefaultParagraphFont"/>
    <w:link w:val="Footer"/>
    <w:uiPriority w:val="99"/>
    <w:rsid w:val="00B81D0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60A3E"/>
    <w:rPr>
      <w:rFonts w:ascii="Tahoma" w:hAnsi="Tahoma" w:cs="Tahoma"/>
      <w:sz w:val="16"/>
      <w:szCs w:val="16"/>
    </w:rPr>
  </w:style>
  <w:style w:type="character" w:customStyle="1" w:styleId="BalloonTextChar">
    <w:name w:val="Balloon Text Char"/>
    <w:basedOn w:val="DefaultParagraphFont"/>
    <w:link w:val="BalloonText"/>
    <w:uiPriority w:val="99"/>
    <w:semiHidden/>
    <w:rsid w:val="00F60A3E"/>
    <w:rPr>
      <w:rFonts w:ascii="Tahoma" w:eastAsia="Times New Roman" w:hAnsi="Tahoma" w:cs="Tahoma"/>
      <w:sz w:val="16"/>
      <w:szCs w:val="16"/>
      <w:lang w:bidi="en-US"/>
    </w:rPr>
  </w:style>
  <w:style w:type="paragraph" w:styleId="NoSpacing">
    <w:name w:val="No Spacing"/>
    <w:uiPriority w:val="1"/>
    <w:qFormat/>
    <w:rsid w:val="00F60A3E"/>
    <w:rPr>
      <w:rFonts w:ascii="Times New Roman" w:eastAsia="Times New Roman" w:hAnsi="Times New Roman" w:cs="Times New Roman"/>
      <w:lang w:bidi="en-US"/>
    </w:rPr>
  </w:style>
  <w:style w:type="character" w:styleId="Hyperlink">
    <w:name w:val="Hyperlink"/>
    <w:basedOn w:val="DefaultParagraphFont"/>
    <w:uiPriority w:val="99"/>
    <w:unhideWhenUsed/>
    <w:rsid w:val="00196C4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30120.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3D19-FAC2-456A-B34B-BB8C23A1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14285</Words>
  <Characters>81431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Keshk</dc:creator>
  <cp:lastModifiedBy>Administrator</cp:lastModifiedBy>
  <cp:revision>3</cp:revision>
  <dcterms:created xsi:type="dcterms:W3CDTF">2020-03-20T10:40:00Z</dcterms:created>
  <dcterms:modified xsi:type="dcterms:W3CDTF">2020-03-21T03:41:00Z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Microsoft® Word 2016</vt:lpwstr>
  </property>
  <property fmtid="{D5CDD505-2E9C-101B-9397-08002B2CF9AE}" pid="4" name="LastSaved">
    <vt:filetime>2019-11-29T00:00:00Z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y fmtid="{D5CDD505-2E9C-101B-9397-08002B2CF9AE}" pid="25" name="Mendeley Document_1">
    <vt:lpwstr>True</vt:lpwstr>
  </property>
  <property fmtid="{D5CDD505-2E9C-101B-9397-08002B2CF9AE}" pid="26" name="Mendeley Unique User Id_1">
    <vt:lpwstr>8f1e1730-6537-340a-84bc-dbbac3cdef2a</vt:lpwstr>
  </property>
  <property fmtid="{D5CDD505-2E9C-101B-9397-08002B2CF9AE}" pid="27" name="Mendeley Citation Style_1">
    <vt:lpwstr>http://www.zotero.org/styles/vancouver-superscript</vt:lpwstr>
  </property>
</Properties>
</file>