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A" w:rsidRPr="00C70115" w:rsidRDefault="008A59AA" w:rsidP="00C70115">
      <w:pPr>
        <w:bidi w:val="0"/>
        <w:snapToGrid w:val="0"/>
        <w:spacing w:after="0" w:line="240" w:lineRule="auto"/>
        <w:jc w:val="center"/>
        <w:rPr>
          <w:rFonts w:ascii="Times New Roman" w:hAnsi="Times New Roman" w:cs="Times New Roman"/>
          <w:b/>
          <w:bCs/>
          <w:sz w:val="20"/>
          <w:szCs w:val="20"/>
          <w:lang w:eastAsia="zh-CN"/>
        </w:rPr>
      </w:pPr>
    </w:p>
    <w:p w:rsidR="00FF6FF7" w:rsidRPr="00C70115" w:rsidRDefault="00394008" w:rsidP="00C70115">
      <w:pPr>
        <w:bidi w:val="0"/>
        <w:snapToGrid w:val="0"/>
        <w:spacing w:after="0" w:line="240" w:lineRule="auto"/>
        <w:jc w:val="center"/>
        <w:rPr>
          <w:rFonts w:ascii="Times New Roman" w:hAnsi="Times New Roman" w:cs="Times New Roman"/>
          <w:b/>
          <w:bCs/>
          <w:sz w:val="20"/>
          <w:szCs w:val="20"/>
        </w:rPr>
      </w:pPr>
      <w:r w:rsidRPr="00C70115">
        <w:rPr>
          <w:rFonts w:ascii="Times New Roman" w:hAnsi="Times New Roman" w:cs="Times New Roman"/>
          <w:b/>
          <w:bCs/>
          <w:sz w:val="20"/>
          <w:szCs w:val="20"/>
        </w:rPr>
        <w:t>Prevalence of expiratory central airway collapse in children undergoing flexible fiberoptic bronchoscopy</w:t>
      </w:r>
    </w:p>
    <w:p w:rsidR="00FF6FF7" w:rsidRPr="00C70115" w:rsidRDefault="00FF6FF7" w:rsidP="00C70115">
      <w:pPr>
        <w:bidi w:val="0"/>
        <w:snapToGrid w:val="0"/>
        <w:spacing w:after="0" w:line="240" w:lineRule="auto"/>
        <w:jc w:val="center"/>
        <w:rPr>
          <w:rFonts w:ascii="Times New Roman" w:hAnsi="Times New Roman" w:cs="Times New Roman"/>
          <w:b/>
          <w:bCs/>
          <w:sz w:val="20"/>
          <w:szCs w:val="20"/>
        </w:rPr>
      </w:pPr>
    </w:p>
    <w:p w:rsidR="00FF6FF7" w:rsidRPr="00C70115" w:rsidRDefault="004F3DE2" w:rsidP="00C70115">
      <w:pPr>
        <w:bidi w:val="0"/>
        <w:snapToGrid w:val="0"/>
        <w:spacing w:after="0" w:line="240" w:lineRule="auto"/>
        <w:jc w:val="center"/>
        <w:rPr>
          <w:rFonts w:ascii="Times New Roman" w:hAnsi="Times New Roman" w:cs="Times New Roman"/>
          <w:sz w:val="20"/>
          <w:szCs w:val="20"/>
        </w:rPr>
      </w:pPr>
      <w:r w:rsidRPr="00C70115">
        <w:rPr>
          <w:rFonts w:ascii="Times New Roman" w:hAnsi="Times New Roman" w:cs="Times New Roman"/>
          <w:sz w:val="20"/>
          <w:szCs w:val="20"/>
        </w:rPr>
        <w:t>Rehab Zaki</w:t>
      </w:r>
      <w:r w:rsidR="006B34FC" w:rsidRPr="00C70115">
        <w:rPr>
          <w:rFonts w:ascii="Times New Roman" w:hAnsi="Times New Roman" w:cs="Times New Roman" w:hint="eastAsia"/>
          <w:sz w:val="20"/>
          <w:szCs w:val="20"/>
          <w:lang w:eastAsia="zh-CN"/>
        </w:rPr>
        <w:t xml:space="preserve"> </w:t>
      </w:r>
      <w:r w:rsidRPr="00C70115">
        <w:rPr>
          <w:rFonts w:ascii="Times New Roman" w:hAnsi="Times New Roman" w:cs="Times New Roman"/>
          <w:sz w:val="20"/>
          <w:szCs w:val="20"/>
        </w:rPr>
        <w:t>Elmeazawy, MSc.</w:t>
      </w:r>
      <w:r w:rsidRPr="00C70115">
        <w:rPr>
          <w:rFonts w:ascii="Times New Roman" w:hAnsi="Times New Roman" w:cs="Times New Roman"/>
          <w:sz w:val="20"/>
          <w:szCs w:val="20"/>
          <w:vertAlign w:val="superscript"/>
        </w:rPr>
        <w:t>1</w:t>
      </w:r>
      <w:r w:rsidRPr="00C70115">
        <w:rPr>
          <w:rFonts w:ascii="Times New Roman" w:hAnsi="Times New Roman" w:cs="Times New Roman"/>
          <w:sz w:val="20"/>
          <w:szCs w:val="20"/>
        </w:rPr>
        <w:t>, Nader Abdelmonem</w:t>
      </w:r>
      <w:r w:rsidR="006B34FC" w:rsidRPr="00C70115">
        <w:rPr>
          <w:rFonts w:ascii="Times New Roman" w:hAnsi="Times New Roman" w:cs="Times New Roman" w:hint="eastAsia"/>
          <w:sz w:val="20"/>
          <w:szCs w:val="20"/>
          <w:lang w:eastAsia="zh-CN"/>
        </w:rPr>
        <w:t xml:space="preserve"> </w:t>
      </w:r>
      <w:r w:rsidRPr="00C70115">
        <w:rPr>
          <w:rFonts w:ascii="Times New Roman" w:hAnsi="Times New Roman" w:cs="Times New Roman"/>
          <w:sz w:val="20"/>
          <w:szCs w:val="20"/>
        </w:rPr>
        <w:t>Fasseeh, MD</w:t>
      </w:r>
      <w:r w:rsidRPr="00C70115">
        <w:rPr>
          <w:rFonts w:ascii="Times New Roman" w:hAnsi="Times New Roman" w:cs="Times New Roman"/>
          <w:sz w:val="20"/>
          <w:szCs w:val="20"/>
          <w:vertAlign w:val="superscript"/>
        </w:rPr>
        <w:t>2</w:t>
      </w:r>
      <w:r w:rsidRPr="00C70115">
        <w:rPr>
          <w:rFonts w:ascii="Times New Roman" w:hAnsi="Times New Roman" w:cs="Times New Roman"/>
          <w:sz w:val="20"/>
          <w:szCs w:val="20"/>
        </w:rPr>
        <w:t>, Amr Ahmed Mubarak, MD.</w:t>
      </w:r>
      <w:r w:rsidRPr="00C70115">
        <w:rPr>
          <w:rFonts w:ascii="Times New Roman" w:hAnsi="Times New Roman" w:cs="Times New Roman"/>
          <w:sz w:val="20"/>
          <w:szCs w:val="20"/>
          <w:vertAlign w:val="superscript"/>
        </w:rPr>
        <w:t>3</w:t>
      </w:r>
      <w:r w:rsidRPr="00C70115">
        <w:rPr>
          <w:rFonts w:ascii="Times New Roman" w:hAnsi="Times New Roman" w:cs="Times New Roman"/>
          <w:sz w:val="20"/>
          <w:szCs w:val="20"/>
        </w:rPr>
        <w:t>, Ahmad Mohammed Abdelrazik, MD.</w:t>
      </w:r>
      <w:r w:rsidRPr="00C70115">
        <w:rPr>
          <w:rFonts w:ascii="Times New Roman" w:hAnsi="Times New Roman" w:cs="Times New Roman"/>
          <w:sz w:val="20"/>
          <w:szCs w:val="20"/>
          <w:vertAlign w:val="superscript"/>
        </w:rPr>
        <w:t>1</w:t>
      </w:r>
      <w:r w:rsidRPr="00C70115">
        <w:rPr>
          <w:rFonts w:ascii="Times New Roman" w:hAnsi="Times New Roman" w:cs="Times New Roman"/>
          <w:sz w:val="20"/>
          <w:szCs w:val="20"/>
        </w:rPr>
        <w:t>,</w:t>
      </w:r>
      <w:r w:rsidR="006B34FC" w:rsidRPr="00C70115">
        <w:rPr>
          <w:rFonts w:ascii="Times New Roman" w:hAnsi="Times New Roman" w:cs="Times New Roman" w:hint="eastAsia"/>
          <w:sz w:val="20"/>
          <w:szCs w:val="20"/>
          <w:lang w:eastAsia="zh-CN"/>
        </w:rPr>
        <w:t xml:space="preserve"> </w:t>
      </w:r>
      <w:r w:rsidRPr="00C70115">
        <w:rPr>
          <w:rFonts w:ascii="Times New Roman" w:hAnsi="Times New Roman" w:cs="Times New Roman"/>
          <w:sz w:val="20"/>
          <w:szCs w:val="20"/>
        </w:rPr>
        <w:t>Nabil Moustafa</w:t>
      </w:r>
      <w:r w:rsidR="006B34FC" w:rsidRPr="00C70115">
        <w:rPr>
          <w:rFonts w:ascii="Times New Roman" w:hAnsi="Times New Roman" w:cs="Times New Roman" w:hint="eastAsia"/>
          <w:sz w:val="20"/>
          <w:szCs w:val="20"/>
          <w:lang w:eastAsia="zh-CN"/>
        </w:rPr>
        <w:t xml:space="preserve"> </w:t>
      </w:r>
      <w:r w:rsidRPr="00C70115">
        <w:rPr>
          <w:rFonts w:ascii="Times New Roman" w:hAnsi="Times New Roman" w:cs="Times New Roman"/>
          <w:sz w:val="20"/>
          <w:szCs w:val="20"/>
        </w:rPr>
        <w:t>Elesawy, MD.</w:t>
      </w:r>
      <w:r w:rsidRPr="00C70115">
        <w:rPr>
          <w:rFonts w:ascii="Times New Roman" w:hAnsi="Times New Roman" w:cs="Times New Roman"/>
          <w:sz w:val="20"/>
          <w:szCs w:val="20"/>
          <w:vertAlign w:val="superscript"/>
        </w:rPr>
        <w:t>1</w:t>
      </w:r>
    </w:p>
    <w:p w:rsidR="00FF6FF7" w:rsidRPr="00C70115" w:rsidRDefault="00FF6FF7" w:rsidP="00C70115">
      <w:pPr>
        <w:bidi w:val="0"/>
        <w:snapToGrid w:val="0"/>
        <w:spacing w:after="0" w:line="240" w:lineRule="auto"/>
        <w:jc w:val="center"/>
        <w:rPr>
          <w:rFonts w:ascii="Times New Roman" w:hAnsi="Times New Roman" w:cs="Times New Roman"/>
          <w:sz w:val="20"/>
          <w:szCs w:val="20"/>
        </w:rPr>
      </w:pPr>
    </w:p>
    <w:p w:rsidR="004F3DE2" w:rsidRPr="00C70115" w:rsidRDefault="004F3DE2" w:rsidP="00C70115">
      <w:pPr>
        <w:bidi w:val="0"/>
        <w:snapToGrid w:val="0"/>
        <w:spacing w:after="0" w:line="240" w:lineRule="auto"/>
        <w:jc w:val="center"/>
        <w:rPr>
          <w:rFonts w:ascii="Times New Roman" w:hAnsi="Times New Roman" w:cs="Times New Roman"/>
          <w:sz w:val="20"/>
          <w:szCs w:val="20"/>
          <w:lang w:bidi="ar-EG"/>
        </w:rPr>
      </w:pPr>
      <w:r w:rsidRPr="00C70115">
        <w:rPr>
          <w:rFonts w:ascii="Times New Roman" w:hAnsi="Times New Roman" w:cs="Times New Roman"/>
          <w:sz w:val="20"/>
          <w:szCs w:val="20"/>
          <w:vertAlign w:val="superscript"/>
          <w:lang w:bidi="ar-EG"/>
        </w:rPr>
        <w:t>1</w:t>
      </w:r>
      <w:r w:rsidRPr="00C70115">
        <w:rPr>
          <w:rFonts w:ascii="Times New Roman" w:hAnsi="Times New Roman" w:cs="Times New Roman"/>
          <w:sz w:val="20"/>
          <w:szCs w:val="20"/>
          <w:lang w:bidi="ar-EG"/>
        </w:rPr>
        <w:t>Department of Pediatrics, Faculty of Medicine, Tanta University, Tanta, Egypt</w:t>
      </w:r>
    </w:p>
    <w:p w:rsidR="004F3DE2" w:rsidRPr="00C70115" w:rsidRDefault="004F3DE2" w:rsidP="00C70115">
      <w:pPr>
        <w:bidi w:val="0"/>
        <w:snapToGrid w:val="0"/>
        <w:spacing w:after="0" w:line="240" w:lineRule="auto"/>
        <w:jc w:val="center"/>
        <w:rPr>
          <w:rFonts w:ascii="Times New Roman" w:hAnsi="Times New Roman" w:cs="Times New Roman"/>
          <w:sz w:val="20"/>
          <w:szCs w:val="20"/>
          <w:lang w:bidi="ar-EG"/>
        </w:rPr>
      </w:pPr>
      <w:r w:rsidRPr="00C70115">
        <w:rPr>
          <w:rFonts w:ascii="Times New Roman" w:hAnsi="Times New Roman" w:cs="Times New Roman"/>
          <w:sz w:val="20"/>
          <w:szCs w:val="20"/>
          <w:vertAlign w:val="superscript"/>
          <w:lang w:bidi="ar-EG"/>
        </w:rPr>
        <w:t>2</w:t>
      </w:r>
      <w:r w:rsidRPr="00C70115">
        <w:rPr>
          <w:rFonts w:ascii="Times New Roman" w:hAnsi="Times New Roman" w:cs="Times New Roman"/>
          <w:sz w:val="20"/>
          <w:szCs w:val="20"/>
          <w:lang w:bidi="ar-EG"/>
        </w:rPr>
        <w:t>Department of Pediatrics, Faculty of Medicine, Alexandria University, Alexandria, Egypt</w:t>
      </w:r>
    </w:p>
    <w:p w:rsidR="004F3DE2" w:rsidRPr="00C70115" w:rsidRDefault="004F3DE2" w:rsidP="00C70115">
      <w:pPr>
        <w:bidi w:val="0"/>
        <w:snapToGrid w:val="0"/>
        <w:spacing w:after="0" w:line="240" w:lineRule="auto"/>
        <w:jc w:val="center"/>
        <w:rPr>
          <w:rFonts w:ascii="Times New Roman" w:hAnsi="Times New Roman" w:cs="Times New Roman"/>
          <w:sz w:val="20"/>
          <w:szCs w:val="20"/>
          <w:lang w:bidi="ar-EG"/>
        </w:rPr>
      </w:pPr>
      <w:r w:rsidRPr="00C70115">
        <w:rPr>
          <w:rFonts w:ascii="Times New Roman" w:hAnsi="Times New Roman" w:cs="Times New Roman"/>
          <w:sz w:val="20"/>
          <w:szCs w:val="20"/>
          <w:vertAlign w:val="superscript"/>
          <w:lang w:bidi="ar-EG"/>
        </w:rPr>
        <w:t>3</w:t>
      </w:r>
      <w:r w:rsidRPr="00C70115">
        <w:rPr>
          <w:rFonts w:ascii="Times New Roman" w:hAnsi="Times New Roman" w:cs="Times New Roman"/>
          <w:sz w:val="20"/>
          <w:szCs w:val="20"/>
          <w:lang w:bidi="ar-EG"/>
        </w:rPr>
        <w:t>Department of Diagnostic radiology, Faculty of Medicine, Tanta University, Tanta, Egypt</w:t>
      </w:r>
    </w:p>
    <w:p w:rsidR="00FF6FF7" w:rsidRPr="00C70115" w:rsidRDefault="00330422" w:rsidP="00C70115">
      <w:pPr>
        <w:bidi w:val="0"/>
        <w:snapToGrid w:val="0"/>
        <w:spacing w:after="0" w:line="240" w:lineRule="auto"/>
        <w:jc w:val="center"/>
        <w:rPr>
          <w:rFonts w:ascii="Times New Roman" w:hAnsi="Times New Roman" w:cs="Times New Roman"/>
          <w:sz w:val="20"/>
          <w:szCs w:val="20"/>
          <w:lang w:bidi="ar-EG"/>
        </w:rPr>
      </w:pPr>
      <w:hyperlink r:id="rId8" w:history="1">
        <w:r w:rsidR="00646F32" w:rsidRPr="00C70115">
          <w:rPr>
            <w:rStyle w:val="Hyperlink"/>
            <w:rFonts w:ascii="Times New Roman" w:hAnsi="Times New Roman" w:cs="Times New Roman"/>
            <w:sz w:val="20"/>
            <w:szCs w:val="20"/>
            <w:lang w:bidi="ar-EG"/>
          </w:rPr>
          <w:t>rehab_zaki2013@yahoo.com</w:t>
        </w:r>
      </w:hyperlink>
    </w:p>
    <w:p w:rsidR="00FF6FF7" w:rsidRPr="00C70115" w:rsidRDefault="00FF6FF7" w:rsidP="00C70115">
      <w:pPr>
        <w:bidi w:val="0"/>
        <w:snapToGrid w:val="0"/>
        <w:spacing w:after="0" w:line="240" w:lineRule="auto"/>
        <w:jc w:val="center"/>
        <w:rPr>
          <w:rFonts w:ascii="Times New Roman" w:hAnsi="Times New Roman" w:cs="Times New Roman"/>
          <w:sz w:val="20"/>
          <w:szCs w:val="20"/>
          <w:lang w:bidi="ar-EG"/>
        </w:rPr>
      </w:pPr>
    </w:p>
    <w:p w:rsidR="00147BE7" w:rsidRPr="00C70115" w:rsidRDefault="0029202B" w:rsidP="00C70115">
      <w:pPr>
        <w:bidi w:val="0"/>
        <w:snapToGrid w:val="0"/>
        <w:spacing w:after="0" w:line="240" w:lineRule="auto"/>
        <w:jc w:val="both"/>
        <w:rPr>
          <w:rFonts w:ascii="Times New Roman" w:eastAsia="Calibri" w:hAnsi="Times New Roman" w:cs="Times New Roman"/>
          <w:sz w:val="20"/>
          <w:szCs w:val="20"/>
          <w:lang w:bidi="ar-EG"/>
        </w:rPr>
      </w:pPr>
      <w:r w:rsidRPr="00C70115">
        <w:rPr>
          <w:rFonts w:ascii="Times New Roman" w:hAnsi="Times New Roman" w:cs="Times New Roman"/>
          <w:b/>
          <w:bCs/>
          <w:sz w:val="20"/>
          <w:szCs w:val="20"/>
          <w:lang w:bidi="ar-EG"/>
        </w:rPr>
        <w:t>Abstract:</w:t>
      </w:r>
      <w:r w:rsidR="006B34FC" w:rsidRPr="00C70115">
        <w:rPr>
          <w:rFonts w:ascii="Times New Roman" w:hAnsi="Times New Roman" w:cs="Times New Roman" w:hint="eastAsia"/>
          <w:b/>
          <w:bCs/>
          <w:sz w:val="20"/>
          <w:szCs w:val="20"/>
          <w:lang w:eastAsia="zh-CN" w:bidi="ar-EG"/>
        </w:rPr>
        <w:t xml:space="preserve"> </w:t>
      </w:r>
      <w:r w:rsidRPr="00C70115">
        <w:rPr>
          <w:rFonts w:ascii="Times New Roman" w:hAnsi="Times New Roman" w:cs="Times New Roman"/>
          <w:color w:val="000000" w:themeColor="text1"/>
          <w:sz w:val="20"/>
          <w:szCs w:val="20"/>
        </w:rPr>
        <w:t>Objective</w:t>
      </w:r>
      <w:r w:rsidR="000C58F6" w:rsidRPr="00C70115">
        <w:rPr>
          <w:rFonts w:ascii="Times New Roman" w:hAnsi="Times New Roman" w:cs="Times New Roman"/>
          <w:color w:val="000000" w:themeColor="text1"/>
          <w:sz w:val="20"/>
          <w:szCs w:val="20"/>
        </w:rPr>
        <w:t>s</w:t>
      </w:r>
      <w:r w:rsidRPr="00C70115">
        <w:rPr>
          <w:rFonts w:ascii="Times New Roman" w:hAnsi="Times New Roman" w:cs="Times New Roman"/>
          <w:color w:val="000000" w:themeColor="text1"/>
          <w:sz w:val="20"/>
          <w:szCs w:val="20"/>
        </w:rPr>
        <w:t>:</w:t>
      </w:r>
      <w:r w:rsidR="006B34FC" w:rsidRPr="00C70115">
        <w:rPr>
          <w:rFonts w:ascii="Times New Roman" w:hAnsi="Times New Roman" w:cs="Times New Roman" w:hint="eastAsia"/>
          <w:color w:val="000000" w:themeColor="text1"/>
          <w:sz w:val="20"/>
          <w:szCs w:val="20"/>
          <w:lang w:eastAsia="zh-CN"/>
        </w:rPr>
        <w:t xml:space="preserve"> </w:t>
      </w:r>
      <w:r w:rsidRPr="00C70115">
        <w:rPr>
          <w:rFonts w:ascii="Times New Roman" w:eastAsia="Calibri" w:hAnsi="Times New Roman" w:cs="Times New Roman"/>
          <w:sz w:val="20"/>
          <w:szCs w:val="20"/>
          <w:lang w:bidi="ar-EG"/>
        </w:rPr>
        <w:t>T</w:t>
      </w:r>
      <w:r w:rsidR="00BC6707" w:rsidRPr="00C70115">
        <w:rPr>
          <w:rFonts w:ascii="Times New Roman" w:eastAsia="Calibri" w:hAnsi="Times New Roman" w:cs="Times New Roman"/>
          <w:sz w:val="20"/>
          <w:szCs w:val="20"/>
          <w:lang w:bidi="ar-EG"/>
        </w:rPr>
        <w:t xml:space="preserve">o </w:t>
      </w:r>
      <w:r w:rsidR="00ED4C0B" w:rsidRPr="00C70115">
        <w:rPr>
          <w:rFonts w:ascii="Times New Roman" w:eastAsia="Calibri" w:hAnsi="Times New Roman" w:cs="Times New Roman"/>
          <w:sz w:val="20"/>
          <w:szCs w:val="20"/>
          <w:lang w:bidi="ar-EG"/>
        </w:rPr>
        <w:t xml:space="preserve">determine </w:t>
      </w:r>
      <w:r w:rsidR="00BC6707" w:rsidRPr="00C70115">
        <w:rPr>
          <w:rFonts w:ascii="Times New Roman" w:eastAsia="Calibri" w:hAnsi="Times New Roman" w:cs="Times New Roman"/>
          <w:sz w:val="20"/>
          <w:szCs w:val="20"/>
          <w:lang w:bidi="ar-EG"/>
        </w:rPr>
        <w:t>the prevalence of expiratory central airway collapse in children undergoing f</w:t>
      </w:r>
      <w:r w:rsidR="008264C4" w:rsidRPr="00C70115">
        <w:rPr>
          <w:rFonts w:ascii="Times New Roman" w:eastAsia="Calibri" w:hAnsi="Times New Roman" w:cs="Times New Roman"/>
          <w:sz w:val="20"/>
          <w:szCs w:val="20"/>
          <w:lang w:bidi="ar-EG"/>
        </w:rPr>
        <w:t>lexible</w:t>
      </w:r>
      <w:r w:rsidR="00346A07" w:rsidRPr="00C70115">
        <w:rPr>
          <w:rFonts w:ascii="Times New Roman" w:eastAsia="Calibri" w:hAnsi="Times New Roman" w:cs="Times New Roman"/>
          <w:sz w:val="20"/>
          <w:szCs w:val="20"/>
          <w:lang w:bidi="ar-EG"/>
        </w:rPr>
        <w:t xml:space="preserve"> bronchoscopy.</w:t>
      </w:r>
      <w:r w:rsidR="006B34FC" w:rsidRPr="00C70115">
        <w:rPr>
          <w:rFonts w:ascii="Times New Roman" w:hAnsi="Times New Roman" w:cs="Times New Roman" w:hint="eastAsia"/>
          <w:sz w:val="20"/>
          <w:szCs w:val="20"/>
          <w:lang w:eastAsia="zh-CN" w:bidi="ar-EG"/>
        </w:rPr>
        <w:t xml:space="preserve"> </w:t>
      </w:r>
      <w:r w:rsidR="00FD0720" w:rsidRPr="00C70115">
        <w:rPr>
          <w:rFonts w:ascii="Times New Roman" w:hAnsi="Times New Roman" w:cs="Times New Roman"/>
          <w:b/>
          <w:bCs/>
          <w:color w:val="000000" w:themeColor="text1"/>
          <w:sz w:val="20"/>
          <w:szCs w:val="20"/>
        </w:rPr>
        <w:t>Methods:</w:t>
      </w:r>
      <w:r w:rsidR="006B34FC" w:rsidRPr="00C70115">
        <w:rPr>
          <w:rFonts w:ascii="Times New Roman" w:hAnsi="Times New Roman" w:cs="Times New Roman" w:hint="eastAsia"/>
          <w:b/>
          <w:bCs/>
          <w:color w:val="000000" w:themeColor="text1"/>
          <w:sz w:val="20"/>
          <w:szCs w:val="20"/>
          <w:lang w:eastAsia="zh-CN"/>
        </w:rPr>
        <w:t xml:space="preserve"> </w:t>
      </w:r>
      <w:r w:rsidR="00FD0720" w:rsidRPr="00C70115">
        <w:rPr>
          <w:rFonts w:ascii="Times New Roman" w:eastAsia="Calibri" w:hAnsi="Times New Roman" w:cs="Times New Roman"/>
          <w:color w:val="000000" w:themeColor="text1"/>
          <w:sz w:val="20"/>
          <w:szCs w:val="20"/>
          <w:lang w:bidi="ar-EG"/>
        </w:rPr>
        <w:t>This study was carried out on 113 patients below the age of 16 years who have sympt</w:t>
      </w:r>
      <w:r w:rsidR="00640AFA" w:rsidRPr="00C70115">
        <w:rPr>
          <w:rFonts w:ascii="Times New Roman" w:eastAsia="Calibri" w:hAnsi="Times New Roman" w:cs="Times New Roman"/>
          <w:color w:val="000000" w:themeColor="text1"/>
          <w:sz w:val="20"/>
          <w:szCs w:val="20"/>
          <w:lang w:bidi="ar-EG"/>
        </w:rPr>
        <w:t xml:space="preserve">oms and signs suggestive of </w:t>
      </w:r>
      <w:r w:rsidR="00640AFA" w:rsidRPr="00C70115">
        <w:rPr>
          <w:rFonts w:ascii="Times New Roman" w:eastAsia="Calibri" w:hAnsi="Times New Roman" w:cs="Times New Roman"/>
          <w:sz w:val="20"/>
          <w:szCs w:val="20"/>
          <w:lang w:bidi="ar-EG"/>
        </w:rPr>
        <w:t>expiratory central airway collapse</w:t>
      </w:r>
      <w:r w:rsidR="00640AFA" w:rsidRPr="00C70115">
        <w:rPr>
          <w:rFonts w:ascii="Times New Roman" w:eastAsia="Calibri" w:hAnsi="Times New Roman" w:cs="Times New Roman"/>
          <w:color w:val="000000" w:themeColor="text1"/>
          <w:sz w:val="20"/>
          <w:szCs w:val="20"/>
          <w:lang w:bidi="ar-EG"/>
        </w:rPr>
        <w:t xml:space="preserve">. </w:t>
      </w:r>
      <w:r w:rsidR="00FD0720" w:rsidRPr="00C70115">
        <w:rPr>
          <w:rFonts w:ascii="Times New Roman" w:eastAsia="Calibri" w:hAnsi="Times New Roman" w:cs="Times New Roman"/>
          <w:color w:val="000000" w:themeColor="text1"/>
          <w:sz w:val="20"/>
          <w:szCs w:val="20"/>
          <w:lang w:bidi="ar-EG"/>
        </w:rPr>
        <w:t xml:space="preserve">Thirty eight patients (20 male and 18 female) were diagnosed with </w:t>
      </w:r>
      <w:r w:rsidR="00640AFA" w:rsidRPr="00C70115">
        <w:rPr>
          <w:rFonts w:ascii="Times New Roman" w:eastAsia="Calibri" w:hAnsi="Times New Roman" w:cs="Times New Roman"/>
          <w:sz w:val="20"/>
          <w:szCs w:val="20"/>
          <w:lang w:bidi="ar-EG"/>
        </w:rPr>
        <w:t xml:space="preserve">expiratory central airway collapse </w:t>
      </w:r>
      <w:r w:rsidR="00FD0720" w:rsidRPr="00C70115">
        <w:rPr>
          <w:rFonts w:ascii="Times New Roman" w:eastAsia="Calibri" w:hAnsi="Times New Roman" w:cs="Times New Roman"/>
          <w:color w:val="000000" w:themeColor="text1"/>
          <w:sz w:val="20"/>
          <w:szCs w:val="20"/>
          <w:lang w:bidi="ar-EG"/>
        </w:rPr>
        <w:t>by f</w:t>
      </w:r>
      <w:r w:rsidR="00640AFA" w:rsidRPr="00C70115">
        <w:rPr>
          <w:rFonts w:ascii="Times New Roman" w:eastAsia="Calibri" w:hAnsi="Times New Roman" w:cs="Times New Roman"/>
          <w:color w:val="000000" w:themeColor="text1"/>
          <w:sz w:val="20"/>
          <w:szCs w:val="20"/>
          <w:lang w:bidi="ar-EG"/>
        </w:rPr>
        <w:t xml:space="preserve">lexible </w:t>
      </w:r>
      <w:r w:rsidR="00FD0720" w:rsidRPr="00C70115">
        <w:rPr>
          <w:rFonts w:ascii="Times New Roman" w:eastAsia="Calibri" w:hAnsi="Times New Roman" w:cs="Times New Roman"/>
          <w:color w:val="000000" w:themeColor="text1"/>
          <w:sz w:val="20"/>
          <w:szCs w:val="20"/>
          <w:lang w:bidi="ar-EG"/>
        </w:rPr>
        <w:t>bronchoscopy. End-inspiratory and dynamic expiratory cross-sectional airway areas at aorta, carina and bronchus intermedius were recorded in order to assess the degree of dynamic airway collapse by cine CT in 23 of the 38 patients included in the study and</w:t>
      </w:r>
      <w:r w:rsidR="00FD0720" w:rsidRPr="00C70115">
        <w:rPr>
          <w:rFonts w:ascii="Times New Roman" w:hAnsi="Times New Roman" w:cs="Times New Roman"/>
          <w:color w:val="000000" w:themeColor="text1"/>
          <w:sz w:val="20"/>
          <w:szCs w:val="20"/>
          <w:lang w:bidi="ar-EG"/>
        </w:rPr>
        <w:t xml:space="preserve"> t</w:t>
      </w:r>
      <w:r w:rsidR="00FD0720" w:rsidRPr="00C70115">
        <w:rPr>
          <w:rFonts w:ascii="Times New Roman" w:eastAsia="Calibri" w:hAnsi="Times New Roman" w:cs="Times New Roman"/>
          <w:color w:val="000000" w:themeColor="text1"/>
          <w:sz w:val="20"/>
          <w:szCs w:val="20"/>
          <w:lang w:bidi="ar-EG"/>
        </w:rPr>
        <w:t>he percentage of luminal collapse was calculated</w:t>
      </w:r>
      <w:r w:rsidR="00C70115" w:rsidRPr="00C70115">
        <w:rPr>
          <w:rFonts w:ascii="Times New Roman" w:eastAsia="Calibri" w:hAnsi="Times New Roman" w:cs="Times New Roman"/>
          <w:color w:val="000000" w:themeColor="text1"/>
          <w:sz w:val="20"/>
          <w:szCs w:val="20"/>
          <w:lang w:bidi="ar-EG"/>
        </w:rPr>
        <w:t>.</w:t>
      </w:r>
      <w:r w:rsidR="00C70115">
        <w:rPr>
          <w:rFonts w:ascii="Times New Roman" w:eastAsia="Calibri" w:hAnsi="Times New Roman" w:cs="Times New Roman"/>
          <w:color w:val="000000" w:themeColor="text1"/>
          <w:sz w:val="20"/>
          <w:szCs w:val="20"/>
          <w:lang w:bidi="ar-EG"/>
        </w:rPr>
        <w:t xml:space="preserve"> </w:t>
      </w:r>
      <w:r w:rsidR="00C70115" w:rsidRPr="00C70115">
        <w:rPr>
          <w:rFonts w:ascii="Times New Roman" w:hAnsi="Times New Roman" w:cs="Times New Roman"/>
          <w:color w:val="000000" w:themeColor="text1"/>
          <w:sz w:val="20"/>
          <w:szCs w:val="20"/>
        </w:rPr>
        <w:t>R</w:t>
      </w:r>
      <w:r w:rsidR="00DD1207" w:rsidRPr="00C70115">
        <w:rPr>
          <w:rFonts w:ascii="Times New Roman" w:hAnsi="Times New Roman" w:cs="Times New Roman"/>
          <w:color w:val="000000" w:themeColor="text1"/>
          <w:sz w:val="20"/>
          <w:szCs w:val="20"/>
        </w:rPr>
        <w:t>esults</w:t>
      </w:r>
      <w:r w:rsidR="00C70115" w:rsidRPr="00C70115">
        <w:rPr>
          <w:rFonts w:ascii="Times New Roman" w:hAnsi="Times New Roman" w:cs="Times New Roman"/>
          <w:color w:val="000000" w:themeColor="text1"/>
          <w:sz w:val="20"/>
          <w:szCs w:val="20"/>
        </w:rPr>
        <w:t>:</w:t>
      </w:r>
      <w:r w:rsidR="00C70115">
        <w:rPr>
          <w:rFonts w:ascii="Times New Roman" w:hAnsi="Times New Roman" w:cs="Times New Roman"/>
          <w:color w:val="000000" w:themeColor="text1"/>
          <w:sz w:val="20"/>
          <w:szCs w:val="20"/>
        </w:rPr>
        <w:t xml:space="preserve"> </w:t>
      </w:r>
      <w:r w:rsidR="00C70115" w:rsidRPr="00C70115">
        <w:rPr>
          <w:rFonts w:ascii="Times New Roman" w:eastAsia="Calibri" w:hAnsi="Times New Roman" w:cs="Times New Roman"/>
          <w:sz w:val="20"/>
          <w:szCs w:val="20"/>
          <w:lang w:bidi="ar-EG"/>
        </w:rPr>
        <w:t>T</w:t>
      </w:r>
      <w:r w:rsidR="00DD1207" w:rsidRPr="00C70115">
        <w:rPr>
          <w:rFonts w:ascii="Times New Roman" w:eastAsia="Calibri" w:hAnsi="Times New Roman" w:cs="Times New Roman"/>
          <w:sz w:val="20"/>
          <w:szCs w:val="20"/>
          <w:lang w:bidi="ar-EG"/>
        </w:rPr>
        <w:t>hirty eight patie</w:t>
      </w:r>
      <w:r w:rsidR="00364FAC" w:rsidRPr="00C70115">
        <w:rPr>
          <w:rFonts w:ascii="Times New Roman" w:eastAsia="Calibri" w:hAnsi="Times New Roman" w:cs="Times New Roman"/>
          <w:sz w:val="20"/>
          <w:szCs w:val="20"/>
          <w:lang w:bidi="ar-EG"/>
        </w:rPr>
        <w:t xml:space="preserve">nts (20 male and 18 female; median age </w:t>
      </w:r>
      <w:r w:rsidR="00DD1207" w:rsidRPr="00C70115">
        <w:rPr>
          <w:rFonts w:ascii="Times New Roman" w:eastAsia="Calibri" w:hAnsi="Times New Roman" w:cs="Times New Roman"/>
          <w:sz w:val="20"/>
          <w:szCs w:val="20"/>
          <w:lang w:bidi="ar-EG"/>
        </w:rPr>
        <w:t>13 months with range 3</w:t>
      </w:r>
      <w:r w:rsidR="00364FAC" w:rsidRPr="00C70115">
        <w:rPr>
          <w:rFonts w:ascii="Times New Roman" w:eastAsia="Calibri" w:hAnsi="Times New Roman" w:cs="Times New Roman"/>
          <w:sz w:val="20"/>
          <w:szCs w:val="20"/>
          <w:lang w:bidi="ar-EG"/>
        </w:rPr>
        <w:t>-39</w:t>
      </w:r>
      <w:r w:rsidR="00DD1207" w:rsidRPr="00C70115">
        <w:rPr>
          <w:rFonts w:ascii="Times New Roman" w:eastAsia="Calibri" w:hAnsi="Times New Roman" w:cs="Times New Roman"/>
          <w:sz w:val="20"/>
          <w:szCs w:val="20"/>
          <w:lang w:bidi="ar-EG"/>
        </w:rPr>
        <w:t xml:space="preserve"> months) w</w:t>
      </w:r>
      <w:r w:rsidR="00364FAC" w:rsidRPr="00C70115">
        <w:rPr>
          <w:rFonts w:ascii="Times New Roman" w:eastAsia="Calibri" w:hAnsi="Times New Roman" w:cs="Times New Roman"/>
          <w:sz w:val="20"/>
          <w:szCs w:val="20"/>
          <w:lang w:bidi="ar-EG"/>
        </w:rPr>
        <w:t>ere actually diagnosed with</w:t>
      </w:r>
      <w:r w:rsidR="00E12792">
        <w:rPr>
          <w:rFonts w:ascii="Times New Roman" w:hAnsi="Times New Roman" w:cs="Times New Roman" w:hint="eastAsia"/>
          <w:sz w:val="20"/>
          <w:szCs w:val="20"/>
          <w:lang w:eastAsia="zh-CN" w:bidi="ar-EG"/>
        </w:rPr>
        <w:t xml:space="preserve"> </w:t>
      </w:r>
      <w:r w:rsidR="00364FAC" w:rsidRPr="00C70115">
        <w:rPr>
          <w:rFonts w:ascii="Times New Roman" w:eastAsia="Calibri" w:hAnsi="Times New Roman" w:cs="Times New Roman"/>
          <w:sz w:val="20"/>
          <w:szCs w:val="20"/>
          <w:lang w:bidi="ar-EG"/>
        </w:rPr>
        <w:t>expiratory central airway collapse</w:t>
      </w:r>
      <w:r w:rsidR="00DD1207" w:rsidRPr="00C70115">
        <w:rPr>
          <w:rFonts w:ascii="Times New Roman" w:eastAsia="Calibri" w:hAnsi="Times New Roman" w:cs="Times New Roman"/>
          <w:sz w:val="20"/>
          <w:szCs w:val="20"/>
          <w:lang w:bidi="ar-EG"/>
        </w:rPr>
        <w:t>, indicating a prevalence of 33.6% of the disease. The most common presenting symptoms were recurrent chest infection in 14 patients (36.8%), stridor in 13 patients (34.2%)</w:t>
      </w:r>
      <w:r w:rsidR="008F799E" w:rsidRPr="00C70115">
        <w:rPr>
          <w:rFonts w:ascii="Times New Roman" w:eastAsia="Calibri" w:hAnsi="Times New Roman" w:cs="Times New Roman"/>
          <w:sz w:val="20"/>
          <w:szCs w:val="20"/>
          <w:lang w:bidi="ar-EG"/>
        </w:rPr>
        <w:t>, wheeze</w:t>
      </w:r>
      <w:r w:rsidR="007161E2" w:rsidRPr="00C70115">
        <w:rPr>
          <w:rFonts w:ascii="Times New Roman" w:eastAsia="Calibri" w:hAnsi="Times New Roman" w:cs="Times New Roman"/>
          <w:sz w:val="20"/>
          <w:szCs w:val="20"/>
          <w:lang w:bidi="ar-EG"/>
        </w:rPr>
        <w:t xml:space="preserve"> in 9 patients (23.7%)</w:t>
      </w:r>
      <w:r w:rsidR="008F799E" w:rsidRPr="00C70115">
        <w:rPr>
          <w:rFonts w:ascii="Times New Roman" w:eastAsia="Calibri" w:hAnsi="Times New Roman" w:cs="Times New Roman"/>
          <w:sz w:val="20"/>
          <w:szCs w:val="20"/>
          <w:lang w:bidi="ar-EG"/>
        </w:rPr>
        <w:t>, cough</w:t>
      </w:r>
      <w:r w:rsidR="007161E2" w:rsidRPr="00C70115">
        <w:rPr>
          <w:rFonts w:ascii="Times New Roman" w:eastAsia="Calibri" w:hAnsi="Times New Roman" w:cs="Times New Roman"/>
          <w:sz w:val="20"/>
          <w:szCs w:val="20"/>
          <w:lang w:bidi="ar-EG"/>
        </w:rPr>
        <w:t xml:space="preserve"> in 9 patients (23.7%)</w:t>
      </w:r>
      <w:r w:rsidR="00C70115" w:rsidRPr="00C70115">
        <w:rPr>
          <w:rFonts w:ascii="Times New Roman" w:eastAsia="Calibri" w:hAnsi="Times New Roman" w:cs="Times New Roman"/>
          <w:sz w:val="20"/>
          <w:szCs w:val="20"/>
          <w:lang w:bidi="ar-EG"/>
        </w:rPr>
        <w:t>,</w:t>
      </w:r>
      <w:r w:rsidR="00C70115">
        <w:rPr>
          <w:rFonts w:ascii="Times New Roman" w:eastAsia="Calibri" w:hAnsi="Times New Roman" w:cs="Times New Roman"/>
          <w:sz w:val="20"/>
          <w:szCs w:val="20"/>
          <w:lang w:bidi="ar-EG"/>
        </w:rPr>
        <w:t xml:space="preserve"> </w:t>
      </w:r>
      <w:r w:rsidR="00C70115" w:rsidRPr="00C70115">
        <w:rPr>
          <w:rFonts w:ascii="Times New Roman" w:eastAsia="Calibri" w:hAnsi="Times New Roman" w:cs="Times New Roman"/>
          <w:sz w:val="20"/>
          <w:szCs w:val="20"/>
          <w:lang w:bidi="ar-EG"/>
        </w:rPr>
        <w:t>r</w:t>
      </w:r>
      <w:r w:rsidR="007161E2" w:rsidRPr="00C70115">
        <w:rPr>
          <w:rFonts w:ascii="Times New Roman" w:eastAsia="Calibri" w:hAnsi="Times New Roman" w:cs="Times New Roman"/>
          <w:sz w:val="20"/>
          <w:szCs w:val="20"/>
          <w:lang w:bidi="ar-EG"/>
        </w:rPr>
        <w:t>attling in 6patients (15.8%</w:t>
      </w:r>
      <w:r w:rsidR="00C70115" w:rsidRPr="00C70115">
        <w:rPr>
          <w:rFonts w:ascii="Times New Roman" w:eastAsia="Calibri" w:hAnsi="Times New Roman" w:cs="Times New Roman"/>
          <w:sz w:val="20"/>
          <w:szCs w:val="20"/>
          <w:lang w:bidi="ar-EG"/>
        </w:rPr>
        <w:t>)</w:t>
      </w:r>
      <w:r w:rsidR="00C70115">
        <w:rPr>
          <w:rFonts w:ascii="Times New Roman" w:eastAsia="Calibri" w:hAnsi="Times New Roman" w:cs="Times New Roman"/>
          <w:sz w:val="20"/>
          <w:szCs w:val="20"/>
          <w:lang w:bidi="ar-EG"/>
        </w:rPr>
        <w:t xml:space="preserve"> </w:t>
      </w:r>
      <w:r w:rsidR="00E12792" w:rsidRPr="00C70115">
        <w:rPr>
          <w:rFonts w:ascii="Times New Roman" w:eastAsia="Calibri" w:hAnsi="Times New Roman" w:cs="Times New Roman"/>
          <w:sz w:val="20"/>
          <w:szCs w:val="20"/>
          <w:lang w:bidi="ar-EG"/>
        </w:rPr>
        <w:t>and cyanosis</w:t>
      </w:r>
      <w:r w:rsidR="00DD1207" w:rsidRPr="00C70115">
        <w:rPr>
          <w:rFonts w:ascii="Times New Roman" w:eastAsia="Calibri" w:hAnsi="Times New Roman" w:cs="Times New Roman"/>
          <w:sz w:val="20"/>
          <w:szCs w:val="20"/>
          <w:lang w:bidi="ar-EG"/>
        </w:rPr>
        <w:t xml:space="preserve"> in 1 patient (2.6%)</w:t>
      </w:r>
      <w:r w:rsidR="00C70115" w:rsidRPr="00C70115">
        <w:rPr>
          <w:rFonts w:ascii="Times New Roman" w:eastAsia="Calibri" w:hAnsi="Times New Roman" w:cs="Times New Roman"/>
          <w:sz w:val="20"/>
          <w:szCs w:val="20"/>
          <w:lang w:bidi="ar-EG"/>
        </w:rPr>
        <w:t>.</w:t>
      </w:r>
      <w:r w:rsidR="00C70115">
        <w:rPr>
          <w:rFonts w:ascii="Times New Roman" w:eastAsia="Calibri" w:hAnsi="Times New Roman" w:cs="Times New Roman"/>
          <w:sz w:val="20"/>
          <w:szCs w:val="20"/>
          <w:lang w:bidi="ar-EG"/>
        </w:rPr>
        <w:t xml:space="preserve"> </w:t>
      </w:r>
      <w:r w:rsidR="00C70115" w:rsidRPr="00C70115">
        <w:rPr>
          <w:rFonts w:ascii="Times New Roman" w:hAnsi="Times New Roman" w:cs="Times New Roman"/>
          <w:color w:val="000000" w:themeColor="text1"/>
          <w:sz w:val="20"/>
          <w:szCs w:val="20"/>
        </w:rPr>
        <w:t>C</w:t>
      </w:r>
      <w:r w:rsidR="00DD1207" w:rsidRPr="00C70115">
        <w:rPr>
          <w:rFonts w:ascii="Times New Roman" w:hAnsi="Times New Roman" w:cs="Times New Roman"/>
          <w:color w:val="000000" w:themeColor="text1"/>
          <w:sz w:val="20"/>
          <w:szCs w:val="20"/>
        </w:rPr>
        <w:t>onclusion</w:t>
      </w:r>
      <w:r w:rsidR="00C70115" w:rsidRPr="00C70115">
        <w:rPr>
          <w:rFonts w:ascii="Times New Roman" w:hAnsi="Times New Roman" w:cs="Times New Roman"/>
          <w:color w:val="000000" w:themeColor="text1"/>
          <w:sz w:val="20"/>
          <w:szCs w:val="20"/>
        </w:rPr>
        <w:t>:</w:t>
      </w:r>
      <w:r w:rsidR="00C70115">
        <w:rPr>
          <w:rFonts w:ascii="Times New Roman" w:hAnsi="Times New Roman" w:cs="Times New Roman"/>
          <w:color w:val="000000" w:themeColor="text1"/>
          <w:sz w:val="20"/>
          <w:szCs w:val="20"/>
        </w:rPr>
        <w:t xml:space="preserve"> </w:t>
      </w:r>
      <w:r w:rsidR="00C70115" w:rsidRPr="00C70115">
        <w:rPr>
          <w:rFonts w:ascii="Times New Roman" w:eastAsia="Calibri" w:hAnsi="Times New Roman" w:cs="Times New Roman"/>
          <w:sz w:val="20"/>
          <w:szCs w:val="20"/>
          <w:lang w:bidi="ar-EG"/>
        </w:rPr>
        <w:t>F</w:t>
      </w:r>
      <w:r w:rsidR="00ED4C0B" w:rsidRPr="00C70115">
        <w:rPr>
          <w:rFonts w:ascii="Times New Roman" w:eastAsia="Calibri" w:hAnsi="Times New Roman" w:cs="Times New Roman"/>
          <w:sz w:val="20"/>
          <w:szCs w:val="20"/>
          <w:lang w:bidi="ar-EG"/>
        </w:rPr>
        <w:t>lexible bronchoscopy is the “gold standard” for diagnosing and assessing changes in airway luminal size associated with expiratory central airway collapse.</w:t>
      </w:r>
    </w:p>
    <w:p w:rsidR="008A59AA" w:rsidRPr="00C70115" w:rsidRDefault="00646F32" w:rsidP="00C70115">
      <w:pPr>
        <w:bidi w:val="0"/>
        <w:snapToGrid w:val="0"/>
        <w:spacing w:after="0" w:line="240" w:lineRule="auto"/>
        <w:jc w:val="both"/>
        <w:rPr>
          <w:rFonts w:ascii="Times New Roman" w:hAnsi="Times New Roman" w:cs="Times New Roman"/>
          <w:color w:val="000000"/>
          <w:sz w:val="20"/>
          <w:szCs w:val="20"/>
          <w:shd w:val="clear" w:color="auto" w:fill="FFFFFF"/>
          <w:lang w:eastAsia="zh-CN"/>
        </w:rPr>
      </w:pPr>
      <w:r w:rsidRPr="00C70115">
        <w:rPr>
          <w:rFonts w:ascii="Times New Roman" w:eastAsia="Calibri" w:hAnsi="Times New Roman" w:cs="Times New Roman"/>
          <w:b/>
          <w:bCs/>
          <w:sz w:val="20"/>
          <w:szCs w:val="20"/>
          <w:lang w:bidi="ar-EG"/>
        </w:rPr>
        <w:t>[</w:t>
      </w:r>
      <w:r w:rsidRPr="00C70115">
        <w:rPr>
          <w:rFonts w:ascii="Times New Roman" w:hAnsi="Times New Roman" w:cs="Times New Roman"/>
          <w:sz w:val="20"/>
          <w:szCs w:val="20"/>
        </w:rPr>
        <w:t>Rehab Zak</w:t>
      </w:r>
      <w:r w:rsidR="00C70115" w:rsidRPr="00C70115">
        <w:rPr>
          <w:rFonts w:ascii="Times New Roman" w:hAnsi="Times New Roman" w:cs="Times New Roman"/>
          <w:sz w:val="20"/>
          <w:szCs w:val="20"/>
        </w:rPr>
        <w:t>i</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E</w:t>
      </w:r>
      <w:r w:rsidRPr="00C70115">
        <w:rPr>
          <w:rFonts w:ascii="Times New Roman" w:hAnsi="Times New Roman" w:cs="Times New Roman"/>
          <w:sz w:val="20"/>
          <w:szCs w:val="20"/>
        </w:rPr>
        <w:t>lmeazawy, Nader Abdelmone</w:t>
      </w:r>
      <w:r w:rsidR="00C70115" w:rsidRPr="00C70115">
        <w:rPr>
          <w:rFonts w:ascii="Times New Roman" w:hAnsi="Times New Roman" w:cs="Times New Roman"/>
          <w:sz w:val="20"/>
          <w:szCs w:val="20"/>
        </w:rPr>
        <w:t>m</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F</w:t>
      </w:r>
      <w:r w:rsidRPr="00C70115">
        <w:rPr>
          <w:rFonts w:ascii="Times New Roman" w:hAnsi="Times New Roman" w:cs="Times New Roman"/>
          <w:sz w:val="20"/>
          <w:szCs w:val="20"/>
        </w:rPr>
        <w:t>asseeh, Amr Ahmed Mubarak, Ahmad Mohammed Abdelrazik, and Nabi</w:t>
      </w:r>
      <w:r w:rsidR="00C70115" w:rsidRPr="00C70115">
        <w:rPr>
          <w:rFonts w:ascii="Times New Roman" w:hAnsi="Times New Roman" w:cs="Times New Roman"/>
          <w:sz w:val="20"/>
          <w:szCs w:val="20"/>
        </w:rPr>
        <w:t>l</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M</w:t>
      </w:r>
      <w:r w:rsidRPr="00C70115">
        <w:rPr>
          <w:rFonts w:ascii="Times New Roman" w:hAnsi="Times New Roman" w:cs="Times New Roman"/>
          <w:sz w:val="20"/>
          <w:szCs w:val="20"/>
        </w:rPr>
        <w:t>oustaf</w:t>
      </w:r>
      <w:r w:rsidR="00C70115" w:rsidRPr="00C70115">
        <w:rPr>
          <w:rFonts w:ascii="Times New Roman" w:hAnsi="Times New Roman" w:cs="Times New Roman"/>
          <w:sz w:val="20"/>
          <w:szCs w:val="20"/>
        </w:rPr>
        <w:t>a</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E</w:t>
      </w:r>
      <w:r w:rsidRPr="00C70115">
        <w:rPr>
          <w:rFonts w:ascii="Times New Roman" w:hAnsi="Times New Roman" w:cs="Times New Roman"/>
          <w:sz w:val="20"/>
          <w:szCs w:val="20"/>
        </w:rPr>
        <w:t xml:space="preserve">lesawy. </w:t>
      </w:r>
      <w:r w:rsidRPr="00C70115">
        <w:rPr>
          <w:rFonts w:ascii="Times New Roman" w:hAnsi="Times New Roman" w:cs="Times New Roman"/>
          <w:b/>
          <w:bCs/>
          <w:sz w:val="20"/>
          <w:szCs w:val="20"/>
        </w:rPr>
        <w:t>Prevalence of expiratory central airway collapse in children undergoing flexible fiberoptic bronchoscopy</w:t>
      </w:r>
      <w:r w:rsidR="008A59AA" w:rsidRPr="00C70115">
        <w:rPr>
          <w:rFonts w:ascii="Times New Roman" w:eastAsia="Times New Roman" w:hAnsi="Times New Roman" w:cs="Times New Roman"/>
          <w:b/>
          <w:bCs/>
          <w:sz w:val="20"/>
          <w:szCs w:val="20"/>
          <w:lang w:bidi="fa-IR"/>
        </w:rPr>
        <w:t>.</w:t>
      </w:r>
      <w:r w:rsidR="008A59AA" w:rsidRPr="00C70115">
        <w:rPr>
          <w:rFonts w:ascii="Times New Roman" w:hAnsi="Times New Roman" w:cs="Times New Roman"/>
          <w:bCs/>
          <w:i/>
          <w:sz w:val="20"/>
          <w:szCs w:val="20"/>
        </w:rPr>
        <w:t xml:space="preserve"> N Y Sci J</w:t>
      </w:r>
      <w:r w:rsidR="008A59AA" w:rsidRPr="00C70115">
        <w:rPr>
          <w:rFonts w:ascii="Times New Roman" w:hAnsi="Times New Roman" w:cs="Times New Roman"/>
          <w:bCs/>
          <w:sz w:val="20"/>
          <w:szCs w:val="20"/>
        </w:rPr>
        <w:t xml:space="preserve"> </w:t>
      </w:r>
      <w:r w:rsidR="008A59AA" w:rsidRPr="00C70115">
        <w:rPr>
          <w:rFonts w:ascii="Times New Roman" w:hAnsi="Times New Roman" w:cs="Times New Roman"/>
          <w:sz w:val="20"/>
          <w:szCs w:val="20"/>
        </w:rPr>
        <w:t>20</w:t>
      </w:r>
      <w:r w:rsidR="008A59AA" w:rsidRPr="00C70115">
        <w:rPr>
          <w:rFonts w:ascii="Times New Roman" w:hAnsi="Times New Roman" w:cs="Times New Roman" w:hint="eastAsia"/>
          <w:sz w:val="20"/>
          <w:szCs w:val="20"/>
        </w:rPr>
        <w:t>20</w:t>
      </w:r>
      <w:r w:rsidR="008A59AA" w:rsidRPr="00C70115">
        <w:rPr>
          <w:rFonts w:ascii="Times New Roman" w:hAnsi="Times New Roman" w:cs="Times New Roman"/>
          <w:sz w:val="20"/>
          <w:szCs w:val="20"/>
        </w:rPr>
        <w:t>;</w:t>
      </w:r>
      <w:r w:rsidR="008A59AA" w:rsidRPr="00C70115">
        <w:rPr>
          <w:rFonts w:ascii="Times New Roman" w:hAnsi="Times New Roman" w:cs="Times New Roman" w:hint="eastAsia"/>
          <w:sz w:val="20"/>
          <w:szCs w:val="20"/>
        </w:rPr>
        <w:t>13</w:t>
      </w:r>
      <w:r w:rsidR="008A59AA" w:rsidRPr="00C70115">
        <w:rPr>
          <w:rFonts w:ascii="Times New Roman" w:hAnsi="Times New Roman" w:cs="Times New Roman"/>
          <w:sz w:val="20"/>
          <w:szCs w:val="20"/>
        </w:rPr>
        <w:t>(</w:t>
      </w:r>
      <w:r w:rsidR="008A59AA" w:rsidRPr="00C70115">
        <w:rPr>
          <w:rFonts w:ascii="Times New Roman" w:hAnsi="Times New Roman" w:cs="Times New Roman" w:hint="eastAsia"/>
          <w:sz w:val="20"/>
          <w:szCs w:val="20"/>
          <w:lang w:eastAsia="zh-CN"/>
        </w:rPr>
        <w:t>2</w:t>
      </w:r>
      <w:r w:rsidR="008A59AA" w:rsidRPr="00C70115">
        <w:rPr>
          <w:rFonts w:ascii="Times New Roman" w:hAnsi="Times New Roman" w:cs="Times New Roman"/>
          <w:sz w:val="20"/>
          <w:szCs w:val="20"/>
        </w:rPr>
        <w:t>):</w:t>
      </w:r>
      <w:r w:rsidR="00AD2640">
        <w:rPr>
          <w:rFonts w:ascii="Times New Roman" w:hAnsi="Times New Roman" w:cs="Times New Roman"/>
          <w:noProof/>
          <w:color w:val="000000"/>
          <w:sz w:val="20"/>
          <w:szCs w:val="20"/>
        </w:rPr>
        <w:t>33-37</w:t>
      </w:r>
      <w:r w:rsidR="008A59AA" w:rsidRPr="00C70115">
        <w:rPr>
          <w:rFonts w:ascii="Times New Roman" w:hAnsi="Times New Roman" w:cs="Times New Roman"/>
          <w:sz w:val="20"/>
          <w:szCs w:val="20"/>
        </w:rPr>
        <w:t xml:space="preserve">]. </w:t>
      </w:r>
      <w:r w:rsidR="008A59AA" w:rsidRPr="00C70115">
        <w:rPr>
          <w:rFonts w:ascii="Times New Roman" w:hAnsi="Times New Roman" w:cs="Times New Roman"/>
          <w:iCs/>
          <w:color w:val="000000"/>
          <w:sz w:val="20"/>
          <w:szCs w:val="20"/>
        </w:rPr>
        <w:t>ISSN 1554-0200 (print); ISSN 2375-723X (online)</w:t>
      </w:r>
      <w:r w:rsidR="008A59AA" w:rsidRPr="00C70115">
        <w:rPr>
          <w:rFonts w:ascii="Times New Roman" w:hAnsi="Times New Roman" w:cs="Times New Roman"/>
          <w:sz w:val="20"/>
          <w:szCs w:val="20"/>
        </w:rPr>
        <w:t xml:space="preserve">. </w:t>
      </w:r>
      <w:hyperlink r:id="rId9" w:history="1">
        <w:r w:rsidR="008A59AA" w:rsidRPr="00C70115">
          <w:rPr>
            <w:rStyle w:val="Hyperlink"/>
            <w:rFonts w:ascii="Times New Roman" w:hAnsi="Times New Roman" w:cs="Times New Roman"/>
            <w:color w:val="0000FF"/>
            <w:sz w:val="20"/>
            <w:szCs w:val="20"/>
          </w:rPr>
          <w:t>http://www.sciencepub.net/newyork</w:t>
        </w:r>
      </w:hyperlink>
      <w:r w:rsidR="008A59AA" w:rsidRPr="00C70115">
        <w:rPr>
          <w:rFonts w:ascii="Times New Roman" w:hAnsi="Times New Roman" w:cs="Times New Roman"/>
          <w:sz w:val="20"/>
          <w:szCs w:val="20"/>
        </w:rPr>
        <w:t xml:space="preserve">. </w:t>
      </w:r>
      <w:r w:rsidR="008A59AA" w:rsidRPr="00C70115">
        <w:rPr>
          <w:rFonts w:ascii="Times New Roman" w:hAnsi="Times New Roman" w:cs="Times New Roman" w:hint="eastAsia"/>
          <w:sz w:val="20"/>
          <w:szCs w:val="20"/>
          <w:lang w:eastAsia="zh-CN"/>
        </w:rPr>
        <w:t>3</w:t>
      </w:r>
      <w:r w:rsidR="008A59AA" w:rsidRPr="00C70115">
        <w:rPr>
          <w:rFonts w:ascii="Times New Roman" w:hAnsi="Times New Roman" w:cs="Times New Roman" w:hint="eastAsia"/>
          <w:sz w:val="20"/>
          <w:szCs w:val="20"/>
        </w:rPr>
        <w:t xml:space="preserve">. </w:t>
      </w:r>
      <w:r w:rsidR="008A59AA" w:rsidRPr="00C70115">
        <w:rPr>
          <w:rFonts w:ascii="Times New Roman" w:hAnsi="Times New Roman" w:cs="Times New Roman"/>
          <w:color w:val="000000"/>
          <w:sz w:val="20"/>
          <w:szCs w:val="20"/>
          <w:shd w:val="clear" w:color="auto" w:fill="FFFFFF"/>
        </w:rPr>
        <w:t>doi:</w:t>
      </w:r>
      <w:hyperlink r:id="rId10" w:history="1">
        <w:r w:rsidR="008A59AA" w:rsidRPr="00C70115">
          <w:rPr>
            <w:rStyle w:val="Hyperlink"/>
            <w:rFonts w:ascii="Times New Roman" w:hAnsi="Times New Roman" w:cs="Times New Roman"/>
            <w:color w:val="0000FF"/>
            <w:sz w:val="20"/>
            <w:szCs w:val="20"/>
            <w:shd w:val="clear" w:color="auto" w:fill="FFFFFF"/>
          </w:rPr>
          <w:t>10.7537/mars</w:t>
        </w:r>
        <w:r w:rsidR="008A59AA" w:rsidRPr="00C70115">
          <w:rPr>
            <w:rStyle w:val="Hyperlink"/>
            <w:rFonts w:ascii="Times New Roman" w:hAnsi="Times New Roman" w:cs="Times New Roman" w:hint="eastAsia"/>
            <w:color w:val="0000FF"/>
            <w:sz w:val="20"/>
            <w:szCs w:val="20"/>
            <w:shd w:val="clear" w:color="auto" w:fill="FFFFFF"/>
          </w:rPr>
          <w:t>nys130</w:t>
        </w:r>
        <w:r w:rsidR="008A59AA" w:rsidRPr="00C70115">
          <w:rPr>
            <w:rStyle w:val="Hyperlink"/>
            <w:rFonts w:ascii="Times New Roman" w:hAnsi="Times New Roman" w:cs="Times New Roman" w:hint="eastAsia"/>
            <w:color w:val="0000FF"/>
            <w:sz w:val="20"/>
            <w:szCs w:val="20"/>
            <w:shd w:val="clear" w:color="auto" w:fill="FFFFFF"/>
            <w:lang w:eastAsia="zh-CN"/>
          </w:rPr>
          <w:t>2</w:t>
        </w:r>
        <w:r w:rsidR="008A59AA" w:rsidRPr="00C70115">
          <w:rPr>
            <w:rStyle w:val="Hyperlink"/>
            <w:rFonts w:ascii="Times New Roman" w:hAnsi="Times New Roman" w:cs="Times New Roman" w:hint="eastAsia"/>
            <w:color w:val="0000FF"/>
            <w:sz w:val="20"/>
            <w:szCs w:val="20"/>
            <w:shd w:val="clear" w:color="auto" w:fill="FFFFFF"/>
          </w:rPr>
          <w:t>20.</w:t>
        </w:r>
        <w:r w:rsidR="008A59AA" w:rsidRPr="00C70115">
          <w:rPr>
            <w:rStyle w:val="Hyperlink"/>
            <w:rFonts w:ascii="Times New Roman" w:hAnsi="Times New Roman" w:cs="Times New Roman"/>
            <w:color w:val="0000FF"/>
            <w:sz w:val="20"/>
            <w:szCs w:val="20"/>
            <w:shd w:val="clear" w:color="auto" w:fill="FFFFFF"/>
          </w:rPr>
          <w:t>0</w:t>
        </w:r>
        <w:r w:rsidR="008A59AA" w:rsidRPr="00C70115">
          <w:rPr>
            <w:rStyle w:val="Hyperlink"/>
            <w:rFonts w:ascii="Times New Roman" w:hAnsi="Times New Roman" w:cs="Times New Roman" w:hint="eastAsia"/>
            <w:color w:val="0000FF"/>
            <w:sz w:val="20"/>
            <w:szCs w:val="20"/>
            <w:shd w:val="clear" w:color="auto" w:fill="FFFFFF"/>
            <w:lang w:eastAsia="zh-CN"/>
          </w:rPr>
          <w:t>3</w:t>
        </w:r>
      </w:hyperlink>
      <w:r w:rsidR="008A59AA" w:rsidRPr="00C70115">
        <w:rPr>
          <w:rFonts w:ascii="Times New Roman" w:hAnsi="Times New Roman" w:cs="Times New Roman"/>
          <w:color w:val="000000"/>
          <w:sz w:val="20"/>
          <w:szCs w:val="20"/>
          <w:shd w:val="clear" w:color="auto" w:fill="FFFFFF"/>
        </w:rPr>
        <w:t>.</w:t>
      </w:r>
    </w:p>
    <w:p w:rsidR="008A59AA" w:rsidRPr="00C70115" w:rsidRDefault="008A59AA" w:rsidP="00C70115">
      <w:pPr>
        <w:bidi w:val="0"/>
        <w:snapToGrid w:val="0"/>
        <w:spacing w:after="0" w:line="240" w:lineRule="auto"/>
        <w:jc w:val="both"/>
        <w:rPr>
          <w:rFonts w:ascii="Times New Roman" w:hAnsi="Times New Roman" w:cs="Times New Roman"/>
          <w:b/>
          <w:bCs/>
          <w:sz w:val="20"/>
          <w:szCs w:val="20"/>
          <w:lang w:eastAsia="zh-CN"/>
        </w:rPr>
      </w:pPr>
    </w:p>
    <w:p w:rsidR="00147BE7" w:rsidRPr="00C70115" w:rsidRDefault="00147BE7" w:rsidP="00C70115">
      <w:pPr>
        <w:bidi w:val="0"/>
        <w:snapToGrid w:val="0"/>
        <w:spacing w:after="0" w:line="240" w:lineRule="auto"/>
        <w:jc w:val="both"/>
        <w:rPr>
          <w:rFonts w:ascii="Times New Roman" w:hAnsi="Times New Roman" w:cs="Times New Roman"/>
          <w:sz w:val="20"/>
          <w:szCs w:val="20"/>
          <w:lang w:bidi="ar-EG"/>
        </w:rPr>
      </w:pPr>
      <w:r w:rsidRPr="00C70115">
        <w:rPr>
          <w:rFonts w:ascii="Times New Roman" w:eastAsia="Calibri" w:hAnsi="Times New Roman" w:cs="Times New Roman"/>
          <w:b/>
          <w:bCs/>
          <w:sz w:val="20"/>
          <w:szCs w:val="20"/>
          <w:lang w:bidi="ar-EG"/>
        </w:rPr>
        <w:t>Keywords:</w:t>
      </w:r>
      <w:r w:rsidR="006B34FC" w:rsidRPr="00C70115">
        <w:rPr>
          <w:rFonts w:ascii="Times New Roman" w:hAnsi="Times New Roman" w:cs="Times New Roman" w:hint="eastAsia"/>
          <w:b/>
          <w:bCs/>
          <w:sz w:val="20"/>
          <w:szCs w:val="20"/>
          <w:lang w:eastAsia="zh-CN" w:bidi="ar-EG"/>
        </w:rPr>
        <w:t xml:space="preserve"> </w:t>
      </w:r>
      <w:r w:rsidRPr="00C70115">
        <w:rPr>
          <w:rFonts w:ascii="Times New Roman" w:hAnsi="Times New Roman" w:cs="Times New Roman"/>
          <w:sz w:val="20"/>
          <w:szCs w:val="20"/>
          <w:lang w:bidi="ar-EG"/>
        </w:rPr>
        <w:t>Expiratory centr</w:t>
      </w:r>
      <w:r w:rsidR="00EC6413" w:rsidRPr="00C70115">
        <w:rPr>
          <w:rFonts w:ascii="Times New Roman" w:hAnsi="Times New Roman" w:cs="Times New Roman"/>
          <w:sz w:val="20"/>
          <w:szCs w:val="20"/>
          <w:lang w:bidi="ar-EG"/>
        </w:rPr>
        <w:t>al airway collapse, Bronchoscope, Children</w:t>
      </w:r>
    </w:p>
    <w:p w:rsidR="00147BE7" w:rsidRPr="00AD2640" w:rsidRDefault="00147BE7" w:rsidP="00C70115">
      <w:pPr>
        <w:bidi w:val="0"/>
        <w:snapToGrid w:val="0"/>
        <w:spacing w:after="0" w:line="240" w:lineRule="auto"/>
        <w:ind w:firstLine="425"/>
        <w:jc w:val="both"/>
        <w:rPr>
          <w:rFonts w:ascii="Times New Roman" w:hAnsi="Times New Roman" w:cs="Times New Roman"/>
          <w:szCs w:val="20"/>
          <w:lang w:bidi="ar-EG"/>
        </w:rPr>
      </w:pPr>
    </w:p>
    <w:p w:rsidR="008A59AA" w:rsidRPr="00C70115" w:rsidRDefault="008A59AA" w:rsidP="00C70115">
      <w:pPr>
        <w:bidi w:val="0"/>
        <w:snapToGrid w:val="0"/>
        <w:spacing w:after="0" w:line="240" w:lineRule="auto"/>
        <w:jc w:val="both"/>
        <w:rPr>
          <w:rFonts w:ascii="Times New Roman" w:hAnsi="Times New Roman" w:cs="Times New Roman"/>
          <w:b/>
          <w:bCs/>
          <w:sz w:val="20"/>
          <w:szCs w:val="20"/>
          <w:lang w:bidi="ar-EG"/>
        </w:rPr>
        <w:sectPr w:rsidR="008A59AA" w:rsidRPr="00C70115" w:rsidSect="00AD2640">
          <w:headerReference w:type="default" r:id="rId11"/>
          <w:footerReference w:type="default" r:id="rId12"/>
          <w:type w:val="continuous"/>
          <w:pgSz w:w="12240" w:h="15840" w:code="9"/>
          <w:pgMar w:top="1440" w:right="1440" w:bottom="1440" w:left="1440" w:header="720" w:footer="720" w:gutter="0"/>
          <w:pgNumType w:start="33"/>
          <w:cols w:space="720"/>
          <w:bidi/>
          <w:rtlGutter/>
          <w:docGrid w:linePitch="360"/>
        </w:sectPr>
      </w:pPr>
    </w:p>
    <w:p w:rsidR="00147BE7" w:rsidRPr="00C70115" w:rsidRDefault="00646F32" w:rsidP="00C70115">
      <w:pPr>
        <w:bidi w:val="0"/>
        <w:snapToGrid w:val="0"/>
        <w:spacing w:after="0" w:line="240" w:lineRule="auto"/>
        <w:jc w:val="both"/>
        <w:rPr>
          <w:rFonts w:ascii="Times New Roman" w:hAnsi="Times New Roman" w:cs="Times New Roman"/>
          <w:b/>
          <w:bCs/>
          <w:sz w:val="20"/>
          <w:szCs w:val="20"/>
          <w:lang w:bidi="ar-EG"/>
        </w:rPr>
      </w:pPr>
      <w:r w:rsidRPr="00C70115">
        <w:rPr>
          <w:rFonts w:ascii="Times New Roman" w:hAnsi="Times New Roman" w:cs="Times New Roman"/>
          <w:b/>
          <w:bCs/>
          <w:sz w:val="20"/>
          <w:szCs w:val="20"/>
          <w:lang w:bidi="ar-EG"/>
        </w:rPr>
        <w:lastRenderedPageBreak/>
        <w:t xml:space="preserve">1. </w:t>
      </w:r>
      <w:r w:rsidR="00147BE7" w:rsidRPr="00C70115">
        <w:rPr>
          <w:rFonts w:ascii="Times New Roman" w:hAnsi="Times New Roman" w:cs="Times New Roman"/>
          <w:b/>
          <w:bCs/>
          <w:sz w:val="20"/>
          <w:szCs w:val="20"/>
          <w:lang w:bidi="ar-EG"/>
        </w:rPr>
        <w:t>Introduction:</w:t>
      </w:r>
    </w:p>
    <w:p w:rsidR="00587319" w:rsidRPr="00C70115" w:rsidRDefault="00EC6413"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Expiratory Central Airway Collapse (ECAC) is defined by excessive airway collapse during expiration either from cartilaginous weakening or redundancy of the posterior membranous wall and includes two entities tracheobronchomalacia (TBM) and excessive dynamic airway collapse (EDAC)</w:t>
      </w:r>
      <w:r w:rsidR="00DA7A99" w:rsidRPr="00C70115">
        <w:rPr>
          <w:rFonts w:ascii="Times New Roman" w:hAnsi="Times New Roman" w:cs="Times New Roman"/>
          <w:sz w:val="20"/>
          <w:szCs w:val="20"/>
          <w:lang w:bidi="ar-EG"/>
        </w:rPr>
        <w:t xml:space="preserve"> (1).</w:t>
      </w:r>
    </w:p>
    <w:p w:rsidR="00EC6413" w:rsidRPr="00C70115" w:rsidRDefault="00EC6413"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Excessive Dynamic Airway Collapse (EDAC) refers to abnormal and exaggerated bulging of the posterior membrane within the airway lumen during exhalation causing a reduction in cross sectional area by 50 % or more</w:t>
      </w:r>
      <w:r w:rsidR="00DA7A99" w:rsidRPr="00C70115">
        <w:rPr>
          <w:rFonts w:ascii="Times New Roman" w:hAnsi="Times New Roman" w:cs="Times New Roman"/>
          <w:sz w:val="20"/>
          <w:szCs w:val="20"/>
          <w:lang w:bidi="ar-EG"/>
        </w:rPr>
        <w:t xml:space="preserve"> (2).</w:t>
      </w:r>
    </w:p>
    <w:p w:rsidR="00EC6413" w:rsidRPr="00C70115" w:rsidRDefault="00EC6413"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 xml:space="preserve">Tracheobronchomalacia (TBM) is weakness of the tracheal and / or bronchial walls and supporting cartilages in a diffuse or segmental distribution with the resultant collapsibility of central airways </w:t>
      </w:r>
      <w:r w:rsidR="00DA7A99" w:rsidRPr="00C70115">
        <w:rPr>
          <w:rFonts w:ascii="Times New Roman" w:hAnsi="Times New Roman" w:cs="Times New Roman"/>
          <w:sz w:val="20"/>
          <w:szCs w:val="20"/>
          <w:lang w:bidi="ar-EG"/>
        </w:rPr>
        <w:t>(3).</w:t>
      </w:r>
    </w:p>
    <w:p w:rsidR="00EC6413" w:rsidRPr="00C70115" w:rsidRDefault="00EC6413"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The term tracheobronchomalacia (TBM) and excessive dynamic airway collapse (EDAC) are often used interchangeably, but they are different in pathophysiology and morphology. Although sometimes they coexist in the same patient</w:t>
      </w:r>
      <w:r w:rsidR="00D96CAD" w:rsidRPr="00C70115">
        <w:rPr>
          <w:rFonts w:ascii="Times New Roman" w:hAnsi="Times New Roman" w:cs="Times New Roman"/>
          <w:sz w:val="20"/>
          <w:szCs w:val="20"/>
          <w:lang w:bidi="ar-EG"/>
        </w:rPr>
        <w:t xml:space="preserve"> (4). </w:t>
      </w:r>
    </w:p>
    <w:p w:rsidR="00D96CAD" w:rsidRPr="00C70115" w:rsidRDefault="00EC6413"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 xml:space="preserve">The prevalence of TBM and EDAC depends on the patient age, sex, associated co-morbidities and </w:t>
      </w:r>
      <w:r w:rsidRPr="00C70115">
        <w:rPr>
          <w:rFonts w:ascii="Times New Roman" w:hAnsi="Times New Roman" w:cs="Times New Roman"/>
          <w:sz w:val="20"/>
          <w:szCs w:val="20"/>
          <w:lang w:bidi="ar-EG"/>
        </w:rPr>
        <w:lastRenderedPageBreak/>
        <w:t>underlying etiologies, diagnostic tools and criteria used to define the airway collapse while prevalence of stand-alone EDAC still unclear</w:t>
      </w:r>
      <w:r w:rsidR="00D96CAD" w:rsidRPr="00C70115">
        <w:rPr>
          <w:rFonts w:ascii="Times New Roman" w:hAnsi="Times New Roman" w:cs="Times New Roman"/>
          <w:sz w:val="20"/>
          <w:szCs w:val="20"/>
          <w:lang w:bidi="ar-EG"/>
        </w:rPr>
        <w:t xml:space="preserve"> (5).</w:t>
      </w:r>
    </w:p>
    <w:p w:rsidR="00EC6413" w:rsidRPr="00C70115" w:rsidRDefault="00EC6413"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Expiratory Central Airway Collapse presents clinically with nonspecific respiratory symptoms.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 neonates clinical features include harsh cough, central wheeze, dyspnea, gasping, stridor, feeding difficulties and blue spells.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older</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infants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expiratory wheeze,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chronic</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cough,</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apneic</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episodes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recurrent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respiratory tract infections due to impaired clearance of secretions are common symptoms</w:t>
      </w:r>
      <w:r w:rsidR="00D96CAD" w:rsidRPr="00C70115">
        <w:rPr>
          <w:rFonts w:ascii="Times New Roman" w:hAnsi="Times New Roman" w:cs="Times New Roman"/>
          <w:sz w:val="20"/>
          <w:szCs w:val="20"/>
          <w:lang w:bidi="ar-EG"/>
        </w:rPr>
        <w:t xml:space="preserve"> (6).</w:t>
      </w:r>
    </w:p>
    <w:p w:rsidR="00DA7A99" w:rsidRPr="00C70115" w:rsidRDefault="00DA7A99"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Bronchoscopy is a valuable tool in the diagnostic work up of TBM and EDAC. Bronchoscopy allows for the real time evaluation of the tracheal and bronchial tree with tidal respirations and with forced expiratory maneuvers. Bronchoscopy with airway exam is considered the gold standard to diagnose TBM and EDAC</w:t>
      </w:r>
      <w:r w:rsidR="00D96CAD" w:rsidRPr="00C70115">
        <w:rPr>
          <w:rFonts w:ascii="Times New Roman" w:hAnsi="Times New Roman" w:cs="Times New Roman"/>
          <w:sz w:val="20"/>
          <w:szCs w:val="20"/>
          <w:lang w:bidi="ar-EG"/>
        </w:rPr>
        <w:t xml:space="preserve"> (7).</w:t>
      </w:r>
    </w:p>
    <w:p w:rsidR="00546C2A" w:rsidRPr="00C70115" w:rsidRDefault="00863D2E" w:rsidP="00C70115">
      <w:pPr>
        <w:bidi w:val="0"/>
        <w:snapToGrid w:val="0"/>
        <w:spacing w:after="0" w:line="240" w:lineRule="auto"/>
        <w:jc w:val="both"/>
        <w:rPr>
          <w:rFonts w:ascii="Times New Roman" w:hAnsi="Times New Roman" w:cs="Times New Roman"/>
          <w:b/>
          <w:bCs/>
          <w:sz w:val="20"/>
          <w:szCs w:val="20"/>
          <w:lang w:bidi="ar-EG"/>
        </w:rPr>
      </w:pPr>
      <w:r w:rsidRPr="00C70115">
        <w:rPr>
          <w:rFonts w:ascii="Times New Roman" w:hAnsi="Times New Roman" w:cs="Times New Roman"/>
          <w:b/>
          <w:bCs/>
          <w:sz w:val="20"/>
          <w:szCs w:val="20"/>
          <w:lang w:bidi="ar-EG"/>
        </w:rPr>
        <w:t>Methods:</w:t>
      </w:r>
    </w:p>
    <w:p w:rsidR="00863D2E" w:rsidRPr="00C70115" w:rsidRDefault="00863D2E" w:rsidP="00C70115">
      <w:pPr>
        <w:bidi w:val="0"/>
        <w:snapToGrid w:val="0"/>
        <w:spacing w:after="0" w:line="240" w:lineRule="auto"/>
        <w:jc w:val="both"/>
        <w:rPr>
          <w:rFonts w:ascii="Times New Roman" w:hAnsi="Times New Roman" w:cs="Times New Roman"/>
          <w:b/>
          <w:bCs/>
          <w:sz w:val="20"/>
          <w:szCs w:val="20"/>
          <w:lang w:bidi="ar-EG"/>
        </w:rPr>
      </w:pPr>
      <w:r w:rsidRPr="00C70115">
        <w:rPr>
          <w:rFonts w:ascii="Times New Roman" w:hAnsi="Times New Roman" w:cs="Times New Roman"/>
          <w:b/>
          <w:bCs/>
          <w:sz w:val="20"/>
          <w:szCs w:val="20"/>
          <w:lang w:bidi="ar-EG"/>
        </w:rPr>
        <w:t>Study design:</w:t>
      </w:r>
    </w:p>
    <w:p w:rsidR="00AD2640" w:rsidRDefault="008D4C0E" w:rsidP="00C70115">
      <w:pPr>
        <w:pStyle w:val="Title2"/>
        <w:snapToGrid w:val="0"/>
        <w:spacing w:after="0" w:line="240" w:lineRule="auto"/>
        <w:ind w:firstLine="425"/>
        <w:jc w:val="both"/>
        <w:rPr>
          <w:b w:val="0"/>
          <w:bCs w:val="0"/>
          <w:sz w:val="20"/>
          <w:szCs w:val="20"/>
        </w:rPr>
        <w:sectPr w:rsidR="00AD2640" w:rsidSect="008A59AA">
          <w:type w:val="continuous"/>
          <w:pgSz w:w="12240" w:h="15840" w:code="9"/>
          <w:pgMar w:top="1440" w:right="1440" w:bottom="1440" w:left="1440" w:header="720" w:footer="720" w:gutter="0"/>
          <w:cols w:num="2" w:space="550"/>
          <w:rtlGutter/>
          <w:docGrid w:linePitch="360"/>
        </w:sectPr>
      </w:pPr>
      <w:r w:rsidRPr="00C70115">
        <w:rPr>
          <w:b w:val="0"/>
          <w:bCs w:val="0"/>
          <w:sz w:val="20"/>
          <w:szCs w:val="20"/>
        </w:rPr>
        <w:t xml:space="preserve">This is a cross-sectional prospective study that enrolled 113 patients below the age of 16 years who had symptoms and signs suggestive of expiratory </w:t>
      </w:r>
    </w:p>
    <w:p w:rsidR="008D4C0E" w:rsidRPr="00C70115" w:rsidRDefault="008D4C0E" w:rsidP="00AD2640">
      <w:pPr>
        <w:pStyle w:val="Title2"/>
        <w:snapToGrid w:val="0"/>
        <w:spacing w:after="0" w:line="240" w:lineRule="auto"/>
        <w:jc w:val="both"/>
        <w:rPr>
          <w:b w:val="0"/>
          <w:bCs w:val="0"/>
          <w:sz w:val="20"/>
          <w:szCs w:val="20"/>
        </w:rPr>
      </w:pPr>
      <w:r w:rsidRPr="00C70115">
        <w:rPr>
          <w:b w:val="0"/>
          <w:bCs w:val="0"/>
          <w:sz w:val="20"/>
          <w:szCs w:val="20"/>
        </w:rPr>
        <w:lastRenderedPageBreak/>
        <w:t>central airway collapse and were referred to Tanta university hospitals and Alexandria university hospitals between July 2016 to July 2018.</w:t>
      </w:r>
    </w:p>
    <w:p w:rsidR="008D4C0E" w:rsidRPr="00C70115" w:rsidRDefault="008D4C0E" w:rsidP="00C70115">
      <w:pPr>
        <w:bidi w:val="0"/>
        <w:snapToGrid w:val="0"/>
        <w:spacing w:after="0" w:line="240" w:lineRule="auto"/>
        <w:jc w:val="both"/>
        <w:rPr>
          <w:rFonts w:ascii="Times New Roman" w:hAnsi="Times New Roman" w:cs="Times New Roman"/>
          <w:b/>
          <w:bCs/>
          <w:sz w:val="20"/>
          <w:szCs w:val="20"/>
          <w:lang w:bidi="ar-EG"/>
        </w:rPr>
      </w:pPr>
      <w:r w:rsidRPr="00C70115">
        <w:rPr>
          <w:rFonts w:ascii="Times New Roman" w:hAnsi="Times New Roman" w:cs="Times New Roman"/>
          <w:b/>
          <w:bCs/>
          <w:sz w:val="20"/>
          <w:szCs w:val="20"/>
          <w:lang w:bidi="ar-EG"/>
        </w:rPr>
        <w:t>Study population:</w:t>
      </w:r>
    </w:p>
    <w:p w:rsidR="00966FFC" w:rsidRPr="00C70115" w:rsidRDefault="008D4C0E" w:rsidP="00C7011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70115">
        <w:rPr>
          <w:rFonts w:ascii="Times New Roman" w:hAnsi="Times New Roman" w:cs="Times New Roman"/>
          <w:sz w:val="20"/>
          <w:szCs w:val="20"/>
        </w:rPr>
        <w:t>All children ≤ 16 years of age who</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 xml:space="preserve">were clinically suspected to have expiratory central airway collapse and presented with one or more of these symptoms; persistent stridor, persistent wheeze, barking cough, anoxic spells, recurrent pulmonary infections, apnea and persistent respiratory noisy breathing; rattling, </w:t>
      </w:r>
      <w:r w:rsidR="00E12792" w:rsidRPr="00C70115">
        <w:rPr>
          <w:rFonts w:ascii="Times New Roman" w:hAnsi="Times New Roman" w:cs="Times New Roman"/>
          <w:sz w:val="20"/>
          <w:szCs w:val="20"/>
        </w:rPr>
        <w:t>grunting were</w:t>
      </w:r>
      <w:r w:rsidR="004F06C7" w:rsidRPr="00C70115">
        <w:rPr>
          <w:rFonts w:ascii="Times New Roman" w:hAnsi="Times New Roman" w:cs="Times New Roman"/>
          <w:sz w:val="20"/>
          <w:szCs w:val="20"/>
        </w:rPr>
        <w:t xml:space="preserve"> subjected to informed consent, thorough history taking and clinical examination</w:t>
      </w:r>
      <w:r w:rsidR="00C70115" w:rsidRPr="00C70115">
        <w:rPr>
          <w:rFonts w:ascii="Times New Roman" w:hAnsi="Times New Roman" w:cs="Times New Roman"/>
          <w:sz w:val="20"/>
          <w:szCs w:val="20"/>
        </w:rPr>
        <w:t>.</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T</w:t>
      </w:r>
      <w:r w:rsidR="00A92B96" w:rsidRPr="00C70115">
        <w:rPr>
          <w:rFonts w:ascii="Times New Roman" w:hAnsi="Times New Roman" w:cs="Times New Roman"/>
          <w:sz w:val="20"/>
          <w:szCs w:val="20"/>
        </w:rPr>
        <w:t>hey were also subjected to flexible bronchosco</w:t>
      </w:r>
      <w:r w:rsidR="00D96CAD" w:rsidRPr="00C70115">
        <w:rPr>
          <w:rFonts w:ascii="Times New Roman" w:hAnsi="Times New Roman" w:cs="Times New Roman"/>
          <w:sz w:val="20"/>
          <w:szCs w:val="20"/>
        </w:rPr>
        <w:t>py.</w:t>
      </w:r>
    </w:p>
    <w:p w:rsidR="00696744" w:rsidRPr="00C70115" w:rsidRDefault="00696744" w:rsidP="00C70115">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70115">
        <w:rPr>
          <w:rFonts w:ascii="Times New Roman" w:hAnsi="Times New Roman" w:cs="Times New Roman"/>
          <w:b/>
          <w:bCs/>
          <w:sz w:val="20"/>
          <w:szCs w:val="20"/>
        </w:rPr>
        <w:t>Bronchoscopy:</w:t>
      </w:r>
    </w:p>
    <w:p w:rsidR="00696744" w:rsidRPr="00C70115" w:rsidRDefault="00696744" w:rsidP="00C7011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70115">
        <w:rPr>
          <w:rFonts w:ascii="Times New Roman" w:hAnsi="Times New Roman" w:cs="Times New Roman"/>
          <w:sz w:val="20"/>
          <w:szCs w:val="20"/>
        </w:rPr>
        <w:t xml:space="preserve">Flexible fiberoptic bronchoscopy was carried out on 113 pediatric patients as </w:t>
      </w:r>
      <w:r w:rsidR="004D74B9" w:rsidRPr="00C70115">
        <w:rPr>
          <w:rFonts w:ascii="Times New Roman" w:hAnsi="Times New Roman" w:cs="Times New Roman"/>
          <w:sz w:val="20"/>
          <w:szCs w:val="20"/>
        </w:rPr>
        <w:t>a part of their routine</w:t>
      </w:r>
      <w:r w:rsidRPr="00C70115">
        <w:rPr>
          <w:rFonts w:ascii="Times New Roman" w:hAnsi="Times New Roman" w:cs="Times New Roman"/>
          <w:sz w:val="20"/>
          <w:szCs w:val="20"/>
        </w:rPr>
        <w:t xml:space="preserve"> workup</w:t>
      </w:r>
      <w:r w:rsidR="004D74B9" w:rsidRPr="00C70115">
        <w:rPr>
          <w:rFonts w:ascii="Times New Roman" w:hAnsi="Times New Roman" w:cs="Times New Roman"/>
          <w:sz w:val="20"/>
          <w:szCs w:val="20"/>
        </w:rPr>
        <w:t xml:space="preserve"> diagnosis</w:t>
      </w:r>
      <w:r w:rsidR="00C70115" w:rsidRPr="00C70115">
        <w:rPr>
          <w:rFonts w:ascii="Times New Roman" w:hAnsi="Times New Roman" w:cs="Times New Roman"/>
          <w:sz w:val="20"/>
          <w:szCs w:val="20"/>
        </w:rPr>
        <w:t>.</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W</w:t>
      </w:r>
      <w:r w:rsidR="004D74B9" w:rsidRPr="00C70115">
        <w:rPr>
          <w:rFonts w:ascii="Times New Roman" w:hAnsi="Times New Roman" w:cs="Times New Roman"/>
          <w:sz w:val="20"/>
          <w:szCs w:val="20"/>
        </w:rPr>
        <w:t>e</w:t>
      </w:r>
      <w:r w:rsidRPr="00C70115">
        <w:rPr>
          <w:rFonts w:ascii="Times New Roman" w:hAnsi="Times New Roman" w:cs="Times New Roman"/>
          <w:sz w:val="20"/>
          <w:szCs w:val="20"/>
        </w:rPr>
        <w:t xml:space="preserve"> used two sizes of flexible bronchoscopy (Olympus BF-3C160 video bronchoscope with external diameter 3.7mm</w:t>
      </w:r>
      <w:r w:rsidR="00FF6FF7" w:rsidRPr="00C70115">
        <w:rPr>
          <w:rFonts w:ascii="Times New Roman" w:hAnsi="Times New Roman" w:cs="Times New Roman"/>
          <w:sz w:val="20"/>
          <w:szCs w:val="20"/>
        </w:rPr>
        <w:t xml:space="preserve"> &amp; </w:t>
      </w:r>
      <w:r w:rsidRPr="00C70115">
        <w:rPr>
          <w:rFonts w:ascii="Times New Roman" w:hAnsi="Times New Roman" w:cs="Times New Roman"/>
          <w:sz w:val="20"/>
          <w:szCs w:val="20"/>
        </w:rPr>
        <w:t>working channel 1.2mm) or (KARL STORZ with external diameter 2.8mm</w:t>
      </w:r>
      <w:r w:rsidR="00FF6FF7" w:rsidRPr="00C70115">
        <w:rPr>
          <w:rFonts w:ascii="Times New Roman" w:hAnsi="Times New Roman" w:cs="Times New Roman"/>
          <w:sz w:val="20"/>
          <w:szCs w:val="20"/>
        </w:rPr>
        <w:t xml:space="preserve"> &amp; </w:t>
      </w:r>
      <w:r w:rsidRPr="00C70115">
        <w:rPr>
          <w:rFonts w:ascii="Times New Roman" w:hAnsi="Times New Roman" w:cs="Times New Roman"/>
          <w:sz w:val="20"/>
          <w:szCs w:val="20"/>
        </w:rPr>
        <w:t>working channel 1.2mm) according to the patient's age under general anesthesia laryngeal mask ventilation with spontaneous respiration.</w:t>
      </w:r>
    </w:p>
    <w:p w:rsidR="00A3041D" w:rsidRPr="00C70115" w:rsidRDefault="004D74B9" w:rsidP="00C7011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70115">
        <w:rPr>
          <w:rFonts w:ascii="Times New Roman" w:hAnsi="Times New Roman" w:cs="Times New Roman"/>
          <w:sz w:val="20"/>
          <w:szCs w:val="20"/>
        </w:rPr>
        <w:t>During bronchoscopy bowing of the cartilage wall as well as excessive invagination of the posterior wall of the trachea and bronchi to the point where the bronchoscope cannot be advance</w:t>
      </w:r>
      <w:r w:rsidR="00D96CAD" w:rsidRPr="00C70115">
        <w:rPr>
          <w:rFonts w:ascii="Times New Roman" w:hAnsi="Times New Roman" w:cs="Times New Roman"/>
          <w:sz w:val="20"/>
          <w:szCs w:val="20"/>
        </w:rPr>
        <w:t>d any further were observed a</w:t>
      </w:r>
      <w:r w:rsidRPr="00C70115">
        <w:rPr>
          <w:rFonts w:ascii="Times New Roman" w:hAnsi="Times New Roman" w:cs="Times New Roman"/>
          <w:sz w:val="20"/>
          <w:szCs w:val="20"/>
        </w:rPr>
        <w:t>nd expiratory central airway collapse was defined as ≥ 50% reduction of the airway</w:t>
      </w:r>
      <w:r w:rsidR="005F7D9B" w:rsidRPr="00C70115">
        <w:rPr>
          <w:rFonts w:ascii="Times New Roman" w:hAnsi="Times New Roman" w:cs="Times New Roman"/>
          <w:sz w:val="20"/>
          <w:szCs w:val="20"/>
        </w:rPr>
        <w:t xml:space="preserve"> lumen.</w:t>
      </w:r>
    </w:p>
    <w:p w:rsidR="007D7EB9" w:rsidRPr="00C70115" w:rsidRDefault="007D7EB9" w:rsidP="00C70115">
      <w:pPr>
        <w:bidi w:val="0"/>
        <w:snapToGrid w:val="0"/>
        <w:spacing w:after="0" w:line="240" w:lineRule="auto"/>
        <w:jc w:val="both"/>
        <w:rPr>
          <w:rFonts w:ascii="Times New Roman" w:hAnsi="Times New Roman" w:cs="Times New Roman"/>
          <w:b/>
          <w:bCs/>
          <w:sz w:val="20"/>
          <w:szCs w:val="20"/>
        </w:rPr>
      </w:pPr>
      <w:r w:rsidRPr="00C70115">
        <w:rPr>
          <w:rFonts w:ascii="Times New Roman" w:hAnsi="Times New Roman" w:cs="Times New Roman"/>
          <w:b/>
          <w:bCs/>
          <w:sz w:val="20"/>
          <w:szCs w:val="20"/>
        </w:rPr>
        <w:t>Statistical Analysis</w:t>
      </w:r>
    </w:p>
    <w:p w:rsidR="007D7EB9" w:rsidRPr="00C70115" w:rsidRDefault="007D7EB9" w:rsidP="00C7011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70115">
        <w:rPr>
          <w:rFonts w:ascii="Times New Roman" w:hAnsi="Times New Roman" w:cs="Times New Roman"/>
          <w:sz w:val="20"/>
          <w:szCs w:val="20"/>
        </w:rPr>
        <w:t xml:space="preserve">Data were collected, revised and edited into a master table using Microsoft Excel 2013. Data were then revised, </w:t>
      </w:r>
      <w:r w:rsidR="00E12792" w:rsidRPr="00C70115">
        <w:rPr>
          <w:rFonts w:ascii="Times New Roman" w:hAnsi="Times New Roman" w:cs="Times New Roman"/>
          <w:sz w:val="20"/>
          <w:szCs w:val="20"/>
        </w:rPr>
        <w:t>coded and</w:t>
      </w:r>
      <w:r w:rsidRPr="00C70115">
        <w:rPr>
          <w:rFonts w:ascii="Times New Roman" w:hAnsi="Times New Roman" w:cs="Times New Roman"/>
          <w:sz w:val="20"/>
          <w:szCs w:val="20"/>
        </w:rPr>
        <w:t xml:space="preserve"> entered to the statistical package for social science (SPSS) version 22</w:t>
      </w:r>
      <w:r w:rsidR="00C70115" w:rsidRPr="00C70115">
        <w:rPr>
          <w:rFonts w:ascii="Times New Roman" w:hAnsi="Times New Roman" w:cs="Times New Roman"/>
          <w:sz w:val="20"/>
          <w:szCs w:val="20"/>
        </w:rPr>
        <w:t>.</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P</w:t>
      </w:r>
      <w:r w:rsidRPr="00C70115">
        <w:rPr>
          <w:rFonts w:ascii="Times New Roman" w:hAnsi="Times New Roman" w:cs="Times New Roman"/>
          <w:sz w:val="20"/>
          <w:szCs w:val="20"/>
        </w:rPr>
        <w:t>atient demographic characteristics were presented as mean and standard deviation for continuous variables with normal distribution, median and interquartile range (IQR) for continuous variables with non-normal distributions and as proportions (percentages) for categorical variables. The distributions of quantitative variables were tested for normality using Kolmogorov-Smirnov test, Shapiro-Wilk test and D'Agstino test, also Histogram and QQ plot were used for vision test. If it reveals normal data distribution, parametric tests were applied. If the data were abnormally distributed, non-parametric tests were used</w:t>
      </w:r>
      <w:r w:rsidR="00C70115" w:rsidRPr="00C70115">
        <w:rPr>
          <w:rFonts w:ascii="Times New Roman" w:hAnsi="Times New Roman" w:cs="Times New Roman"/>
          <w:sz w:val="20"/>
          <w:szCs w:val="20"/>
        </w:rPr>
        <w:t>.</w:t>
      </w:r>
      <w:r w:rsidR="00C70115">
        <w:rPr>
          <w:rFonts w:ascii="Times New Roman" w:hAnsi="Times New Roman" w:cs="Times New Roman"/>
          <w:sz w:val="20"/>
          <w:szCs w:val="20"/>
        </w:rPr>
        <w:t xml:space="preserve"> </w:t>
      </w:r>
      <w:r w:rsidR="00C70115" w:rsidRPr="00C70115">
        <w:rPr>
          <w:rFonts w:ascii="Times New Roman" w:hAnsi="Times New Roman" w:cs="Times New Roman"/>
          <w:sz w:val="20"/>
          <w:szCs w:val="20"/>
        </w:rPr>
        <w:t>R</w:t>
      </w:r>
      <w:r w:rsidRPr="00C70115">
        <w:rPr>
          <w:rFonts w:ascii="Times New Roman" w:hAnsi="Times New Roman" w:cs="Times New Roman"/>
          <w:sz w:val="20"/>
          <w:szCs w:val="20"/>
        </w:rPr>
        <w:t>elated sample testing was done to compare results of both diagnostic modalities. The confidence interval was set to 95% and the margin of error accepted was set to 5%. So the p-value was considered significant if it’s &lt;0.05.</w:t>
      </w:r>
    </w:p>
    <w:p w:rsidR="00646F32" w:rsidRPr="00C70115" w:rsidRDefault="00646F32" w:rsidP="00C70115">
      <w:pPr>
        <w:bidi w:val="0"/>
        <w:snapToGrid w:val="0"/>
        <w:spacing w:after="0" w:line="240" w:lineRule="auto"/>
        <w:jc w:val="both"/>
        <w:rPr>
          <w:rFonts w:ascii="Times New Roman" w:hAnsi="Times New Roman" w:cs="Times New Roman"/>
          <w:b/>
          <w:bCs/>
          <w:sz w:val="20"/>
          <w:szCs w:val="12"/>
        </w:rPr>
      </w:pPr>
    </w:p>
    <w:p w:rsidR="007D7EB9" w:rsidRPr="00C70115" w:rsidRDefault="00646F32" w:rsidP="00C70115">
      <w:pPr>
        <w:bidi w:val="0"/>
        <w:snapToGrid w:val="0"/>
        <w:spacing w:after="0" w:line="240" w:lineRule="auto"/>
        <w:jc w:val="both"/>
        <w:rPr>
          <w:rFonts w:ascii="Times New Roman" w:hAnsi="Times New Roman" w:cs="Times New Roman"/>
          <w:sz w:val="20"/>
          <w:szCs w:val="20"/>
        </w:rPr>
      </w:pPr>
      <w:r w:rsidRPr="00C70115">
        <w:rPr>
          <w:rFonts w:ascii="Times New Roman" w:hAnsi="Times New Roman" w:cs="Times New Roman"/>
          <w:b/>
          <w:bCs/>
          <w:sz w:val="20"/>
          <w:szCs w:val="20"/>
        </w:rPr>
        <w:t xml:space="preserve">3. </w:t>
      </w:r>
      <w:r w:rsidR="007D7EB9" w:rsidRPr="00C70115">
        <w:rPr>
          <w:rFonts w:ascii="Times New Roman" w:hAnsi="Times New Roman" w:cs="Times New Roman"/>
          <w:b/>
          <w:bCs/>
          <w:sz w:val="20"/>
          <w:szCs w:val="20"/>
        </w:rPr>
        <w:t>Results</w:t>
      </w:r>
      <w:r w:rsidR="007D7EB9" w:rsidRPr="00C70115">
        <w:rPr>
          <w:rFonts w:ascii="Times New Roman" w:hAnsi="Times New Roman" w:cs="Times New Roman"/>
          <w:sz w:val="20"/>
          <w:szCs w:val="20"/>
        </w:rPr>
        <w:t>:</w:t>
      </w:r>
    </w:p>
    <w:p w:rsidR="00646F32" w:rsidRPr="00C70115" w:rsidRDefault="00646F32" w:rsidP="00C70115">
      <w:pPr>
        <w:bidi w:val="0"/>
        <w:snapToGrid w:val="0"/>
        <w:spacing w:after="0" w:line="240" w:lineRule="auto"/>
        <w:jc w:val="both"/>
        <w:rPr>
          <w:rFonts w:ascii="Times New Roman" w:hAnsi="Times New Roman" w:cs="Times New Roman"/>
          <w:b/>
          <w:bCs/>
          <w:sz w:val="20"/>
          <w:szCs w:val="20"/>
          <w:u w:val="single"/>
        </w:rPr>
      </w:pPr>
    </w:p>
    <w:p w:rsidR="00646F32" w:rsidRPr="00C70115" w:rsidRDefault="00646F32" w:rsidP="00C70115">
      <w:pPr>
        <w:bidi w:val="0"/>
        <w:snapToGrid w:val="0"/>
        <w:spacing w:after="0" w:line="240" w:lineRule="auto"/>
        <w:jc w:val="center"/>
        <w:rPr>
          <w:rFonts w:ascii="Times New Roman" w:hAnsi="Times New Roman" w:cs="Times New Roman"/>
          <w:b/>
          <w:bCs/>
          <w:sz w:val="20"/>
          <w:szCs w:val="20"/>
        </w:rPr>
      </w:pPr>
      <w:r w:rsidRPr="00C70115">
        <w:rPr>
          <w:rFonts w:ascii="Times New Roman" w:hAnsi="Times New Roman" w:cs="Times New Roman"/>
          <w:noProof/>
          <w:sz w:val="20"/>
          <w:szCs w:val="20"/>
          <w:lang w:eastAsia="zh-CN"/>
        </w:rPr>
        <w:lastRenderedPageBreak/>
        <w:drawing>
          <wp:inline distT="0" distB="0" distL="0" distR="0">
            <wp:extent cx="2716198" cy="1232148"/>
            <wp:effectExtent l="19050" t="0" r="27002" b="6102"/>
            <wp:docPr id="1"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6F32" w:rsidRPr="00C70115" w:rsidRDefault="00646F32" w:rsidP="00C70115">
      <w:pPr>
        <w:pStyle w:val="Title2"/>
        <w:snapToGrid w:val="0"/>
        <w:spacing w:after="0" w:line="240" w:lineRule="auto"/>
        <w:jc w:val="both"/>
        <w:rPr>
          <w:sz w:val="20"/>
          <w:szCs w:val="20"/>
        </w:rPr>
      </w:pPr>
      <w:r w:rsidRPr="00C70115">
        <w:rPr>
          <w:sz w:val="20"/>
          <w:szCs w:val="20"/>
        </w:rPr>
        <w:t>Figure 1</w:t>
      </w:r>
      <w:r w:rsidR="00C70115" w:rsidRPr="00C70115">
        <w:rPr>
          <w:sz w:val="20"/>
          <w:szCs w:val="20"/>
        </w:rPr>
        <w:t>.</w:t>
      </w:r>
      <w:r w:rsidR="00C70115">
        <w:rPr>
          <w:sz w:val="20"/>
          <w:szCs w:val="20"/>
        </w:rPr>
        <w:t xml:space="preserve"> </w:t>
      </w:r>
      <w:r w:rsidR="00C70115" w:rsidRPr="00C70115">
        <w:rPr>
          <w:sz w:val="20"/>
          <w:szCs w:val="20"/>
        </w:rPr>
        <w:t>A</w:t>
      </w:r>
      <w:r w:rsidRPr="00C70115">
        <w:rPr>
          <w:sz w:val="20"/>
          <w:szCs w:val="20"/>
        </w:rPr>
        <w:t xml:space="preserve"> pie chart showing prevalence of ECAC.</w:t>
      </w:r>
    </w:p>
    <w:p w:rsidR="00646F32" w:rsidRPr="00C70115" w:rsidRDefault="00646F32" w:rsidP="00C70115">
      <w:pPr>
        <w:pStyle w:val="Title2"/>
        <w:snapToGrid w:val="0"/>
        <w:spacing w:after="0" w:line="240" w:lineRule="auto"/>
        <w:jc w:val="both"/>
        <w:rPr>
          <w:sz w:val="20"/>
          <w:szCs w:val="6"/>
          <w:lang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19"/>
      </w:tblGrid>
      <w:tr w:rsidR="00646F32" w:rsidRPr="00C70115" w:rsidTr="00FF6FF7">
        <w:trPr>
          <w:jc w:val="center"/>
        </w:trPr>
        <w:tc>
          <w:tcPr>
            <w:tcW w:w="5000" w:type="pct"/>
            <w:vAlign w:val="center"/>
          </w:tcPr>
          <w:p w:rsidR="00646F32" w:rsidRPr="00C70115" w:rsidRDefault="00646F32" w:rsidP="00C70115">
            <w:pPr>
              <w:pStyle w:val="Title2"/>
              <w:snapToGrid w:val="0"/>
              <w:spacing w:line="240" w:lineRule="auto"/>
              <w:jc w:val="both"/>
              <w:rPr>
                <w:sz w:val="20"/>
                <w:szCs w:val="20"/>
              </w:rPr>
            </w:pPr>
            <w:r w:rsidRPr="00C70115">
              <w:rPr>
                <w:noProof/>
                <w:sz w:val="20"/>
                <w:szCs w:val="20"/>
                <w:lang w:eastAsia="zh-CN"/>
              </w:rPr>
              <w:drawing>
                <wp:inline distT="0" distB="0" distL="0" distR="0">
                  <wp:extent cx="2713990" cy="1343771"/>
                  <wp:effectExtent l="19050" t="0" r="10160" b="8779"/>
                  <wp:docPr id="2"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646F32" w:rsidRPr="00C70115" w:rsidRDefault="00646F32" w:rsidP="00C70115">
      <w:pPr>
        <w:pStyle w:val="Title2"/>
        <w:snapToGrid w:val="0"/>
        <w:spacing w:after="0" w:line="240" w:lineRule="auto"/>
        <w:jc w:val="both"/>
        <w:rPr>
          <w:sz w:val="20"/>
          <w:szCs w:val="20"/>
        </w:rPr>
      </w:pPr>
      <w:r w:rsidRPr="00C70115">
        <w:rPr>
          <w:sz w:val="20"/>
          <w:szCs w:val="20"/>
        </w:rPr>
        <w:t>Figure 2</w:t>
      </w:r>
      <w:r w:rsidR="00C70115" w:rsidRPr="00C70115">
        <w:rPr>
          <w:sz w:val="20"/>
          <w:szCs w:val="20"/>
        </w:rPr>
        <w:t>.</w:t>
      </w:r>
      <w:r w:rsidR="00C70115">
        <w:rPr>
          <w:sz w:val="20"/>
          <w:szCs w:val="20"/>
        </w:rPr>
        <w:t xml:space="preserve"> </w:t>
      </w:r>
      <w:r w:rsidR="00C70115" w:rsidRPr="00C70115">
        <w:rPr>
          <w:sz w:val="20"/>
          <w:szCs w:val="20"/>
        </w:rPr>
        <w:t>A</w:t>
      </w:r>
      <w:r w:rsidRPr="00C70115">
        <w:rPr>
          <w:sz w:val="20"/>
          <w:szCs w:val="20"/>
        </w:rPr>
        <w:t xml:space="preserve"> pie chart showing gender distribution among study population.</w:t>
      </w:r>
    </w:p>
    <w:p w:rsidR="008A59AA" w:rsidRPr="00C70115" w:rsidRDefault="008A59AA" w:rsidP="00C70115">
      <w:pPr>
        <w:bidi w:val="0"/>
        <w:snapToGrid w:val="0"/>
        <w:spacing w:after="0" w:line="240" w:lineRule="auto"/>
        <w:jc w:val="both"/>
        <w:rPr>
          <w:rFonts w:ascii="Times New Roman" w:hAnsi="Times New Roman" w:cs="Times New Roman"/>
          <w:b/>
          <w:bCs/>
          <w:sz w:val="20"/>
          <w:szCs w:val="20"/>
          <w:lang w:eastAsia="zh-CN"/>
        </w:rPr>
      </w:pPr>
    </w:p>
    <w:p w:rsidR="008A59AA" w:rsidRPr="00C70115" w:rsidRDefault="00C70115" w:rsidP="00C70115">
      <w:pPr>
        <w:bidi w:val="0"/>
        <w:snapToGrid w:val="0"/>
        <w:spacing w:after="0" w:line="240" w:lineRule="auto"/>
        <w:jc w:val="both"/>
        <w:rPr>
          <w:rFonts w:ascii="Times New Roman" w:hAnsi="Times New Roman" w:cs="Times New Roman"/>
          <w:b/>
          <w:bCs/>
          <w:sz w:val="20"/>
          <w:szCs w:val="20"/>
          <w:lang w:eastAsia="zh-CN"/>
        </w:rPr>
      </w:pPr>
      <w:r w:rsidRPr="00C70115">
        <w:rPr>
          <w:rFonts w:ascii="Times New Roman" w:hAnsi="Times New Roman" w:cs="Times New Roman"/>
          <w:noProof/>
          <w:sz w:val="20"/>
        </w:rPr>
        <w:t>Flexible Bronchoscopy</w:t>
      </w:r>
    </w:p>
    <w:p w:rsidR="00C70115" w:rsidRPr="00C70115" w:rsidRDefault="00C70115" w:rsidP="00C70115">
      <w:pPr>
        <w:bidi w:val="0"/>
        <w:snapToGrid w:val="0"/>
        <w:spacing w:after="0" w:line="240" w:lineRule="auto"/>
        <w:jc w:val="both"/>
        <w:rPr>
          <w:rFonts w:ascii="Times New Roman" w:hAnsi="Times New Roman" w:cs="Times New Roman"/>
          <w:b/>
          <w:bCs/>
          <w:sz w:val="20"/>
          <w:szCs w:val="24"/>
          <w:lang w:eastAsia="zh-CN"/>
        </w:rPr>
      </w:pPr>
    </w:p>
    <w:p w:rsidR="00C70115" w:rsidRPr="00C70115" w:rsidRDefault="00C70115" w:rsidP="00C70115">
      <w:pPr>
        <w:bidi w:val="0"/>
        <w:snapToGrid w:val="0"/>
        <w:spacing w:after="0" w:line="240" w:lineRule="auto"/>
        <w:jc w:val="center"/>
        <w:rPr>
          <w:rFonts w:ascii="Times New Roman" w:hAnsi="Times New Roman" w:cs="Times New Roman"/>
          <w:b/>
          <w:bCs/>
          <w:sz w:val="20"/>
          <w:szCs w:val="24"/>
          <w:lang w:eastAsia="zh-CN"/>
        </w:rPr>
      </w:pPr>
      <w:r w:rsidRPr="00C70115">
        <w:rPr>
          <w:rFonts w:ascii="Times New Roman" w:hAnsi="Times New Roman" w:cs="Times New Roman" w:hint="eastAsia"/>
          <w:b/>
          <w:bCs/>
          <w:noProof/>
          <w:sz w:val="20"/>
          <w:szCs w:val="24"/>
          <w:lang w:eastAsia="zh-CN"/>
        </w:rPr>
        <w:drawing>
          <wp:inline distT="0" distB="0" distL="0" distR="0">
            <wp:extent cx="2652588" cy="170699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57075" cy="1709878"/>
                    </a:xfrm>
                    <a:prstGeom prst="rect">
                      <a:avLst/>
                    </a:prstGeom>
                    <a:noFill/>
                    <a:ln w="9525">
                      <a:noFill/>
                      <a:miter lim="800000"/>
                      <a:headEnd/>
                      <a:tailEnd/>
                    </a:ln>
                  </pic:spPr>
                </pic:pic>
              </a:graphicData>
            </a:graphic>
          </wp:inline>
        </w:drawing>
      </w:r>
    </w:p>
    <w:p w:rsidR="00C70115" w:rsidRPr="00C70115" w:rsidRDefault="00C70115" w:rsidP="00C70115">
      <w:pPr>
        <w:bidi w:val="0"/>
        <w:snapToGrid w:val="0"/>
        <w:spacing w:after="0" w:line="240" w:lineRule="auto"/>
        <w:jc w:val="center"/>
        <w:rPr>
          <w:rFonts w:ascii="Times New Roman" w:hAnsi="Times New Roman" w:cs="Times New Roman"/>
          <w:sz w:val="20"/>
          <w:szCs w:val="24"/>
          <w:lang w:bidi="ar-EG"/>
        </w:rPr>
      </w:pPr>
      <w:r w:rsidRPr="00C70115">
        <w:rPr>
          <w:rFonts w:ascii="Times New Roman" w:hAnsi="Times New Roman" w:cs="Times New Roman"/>
          <w:b/>
          <w:bCs/>
          <w:sz w:val="20"/>
          <w:szCs w:val="24"/>
        </w:rPr>
        <w:t>Inspiration</w:t>
      </w:r>
    </w:p>
    <w:p w:rsidR="008A59AA" w:rsidRPr="00C70115" w:rsidRDefault="008A59AA" w:rsidP="00C70115">
      <w:pPr>
        <w:bidi w:val="0"/>
        <w:snapToGrid w:val="0"/>
        <w:spacing w:after="0" w:line="240" w:lineRule="auto"/>
        <w:jc w:val="both"/>
        <w:rPr>
          <w:rFonts w:ascii="Times New Roman" w:hAnsi="Times New Roman" w:cs="Times New Roman"/>
          <w:b/>
          <w:bCs/>
          <w:sz w:val="20"/>
          <w:szCs w:val="20"/>
          <w:lang w:eastAsia="zh-CN"/>
        </w:rPr>
      </w:pPr>
    </w:p>
    <w:p w:rsidR="008A59AA" w:rsidRPr="00C70115" w:rsidRDefault="00C70115" w:rsidP="00C70115">
      <w:pPr>
        <w:bidi w:val="0"/>
        <w:snapToGrid w:val="0"/>
        <w:spacing w:after="0" w:line="240" w:lineRule="auto"/>
        <w:jc w:val="center"/>
        <w:rPr>
          <w:rFonts w:ascii="Times New Roman" w:hAnsi="Times New Roman" w:cs="Times New Roman"/>
          <w:b/>
          <w:bCs/>
          <w:sz w:val="20"/>
          <w:szCs w:val="20"/>
          <w:lang w:eastAsia="zh-CN"/>
        </w:rPr>
      </w:pPr>
      <w:r w:rsidRPr="00C70115">
        <w:rPr>
          <w:rFonts w:ascii="Times New Roman" w:hAnsi="Times New Roman" w:cs="Times New Roman"/>
          <w:noProof/>
          <w:sz w:val="20"/>
          <w:lang w:eastAsia="zh-CN"/>
        </w:rPr>
        <w:drawing>
          <wp:inline distT="0" distB="0" distL="0" distR="0">
            <wp:extent cx="2762107" cy="1765189"/>
            <wp:effectExtent l="19050" t="0" r="143" b="0"/>
            <wp:docPr id="8" name="Picture 4" descr="E:\bronchoscope\My MD cases\Yossef walid mohamm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bronchoscope\My MD cases\Yossef walid mohammed\6.jpg"/>
                    <pic:cNvPicPr>
                      <a:picLocks noChangeAspect="1" noChangeArrowheads="1"/>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4083" cy="1766452"/>
                    </a:xfrm>
                    <a:prstGeom prst="rect">
                      <a:avLst/>
                    </a:prstGeom>
                    <a:noFill/>
                    <a:ln>
                      <a:noFill/>
                    </a:ln>
                  </pic:spPr>
                </pic:pic>
              </a:graphicData>
            </a:graphic>
          </wp:inline>
        </w:drawing>
      </w:r>
    </w:p>
    <w:p w:rsidR="00C70115" w:rsidRPr="00C70115" w:rsidRDefault="00C70115" w:rsidP="00C70115">
      <w:pPr>
        <w:bidi w:val="0"/>
        <w:snapToGrid w:val="0"/>
        <w:spacing w:after="0" w:line="240" w:lineRule="auto"/>
        <w:jc w:val="center"/>
        <w:rPr>
          <w:rFonts w:ascii="Times New Roman" w:hAnsi="Times New Roman" w:cs="Times New Roman"/>
          <w:sz w:val="20"/>
          <w:szCs w:val="24"/>
        </w:rPr>
      </w:pPr>
      <w:r w:rsidRPr="00C70115">
        <w:rPr>
          <w:rFonts w:ascii="Times New Roman" w:hAnsi="Times New Roman" w:cs="Times New Roman"/>
          <w:b/>
          <w:bCs/>
          <w:sz w:val="20"/>
          <w:szCs w:val="24"/>
        </w:rPr>
        <w:t>Expiration</w:t>
      </w:r>
    </w:p>
    <w:p w:rsidR="00646F32" w:rsidRPr="00C70115" w:rsidRDefault="00646F32" w:rsidP="00C70115">
      <w:pPr>
        <w:bidi w:val="0"/>
        <w:snapToGrid w:val="0"/>
        <w:spacing w:after="0" w:line="240" w:lineRule="auto"/>
        <w:jc w:val="both"/>
        <w:rPr>
          <w:rFonts w:ascii="Times New Roman" w:hAnsi="Times New Roman" w:cs="Times New Roman"/>
          <w:b/>
          <w:bCs/>
          <w:sz w:val="20"/>
          <w:szCs w:val="20"/>
        </w:rPr>
      </w:pPr>
      <w:r w:rsidRPr="00C70115">
        <w:rPr>
          <w:rFonts w:ascii="Times New Roman" w:hAnsi="Times New Roman" w:cs="Times New Roman"/>
          <w:b/>
          <w:bCs/>
          <w:sz w:val="20"/>
          <w:szCs w:val="20"/>
          <w:lang w:bidi="ar-EG"/>
        </w:rPr>
        <w:t>Figure 3</w:t>
      </w:r>
      <w:r w:rsidR="00C70115" w:rsidRPr="00C70115">
        <w:rPr>
          <w:rFonts w:ascii="Times New Roman" w:hAnsi="Times New Roman" w:cs="Times New Roman"/>
          <w:b/>
          <w:bCs/>
          <w:sz w:val="20"/>
          <w:szCs w:val="20"/>
          <w:lang w:bidi="ar-EG"/>
        </w:rPr>
        <w:t>.</w:t>
      </w:r>
      <w:r w:rsidR="00C70115">
        <w:rPr>
          <w:rFonts w:ascii="Times New Roman" w:hAnsi="Times New Roman" w:cs="Times New Roman"/>
          <w:b/>
          <w:bCs/>
          <w:sz w:val="20"/>
          <w:szCs w:val="20"/>
          <w:lang w:bidi="ar-EG"/>
        </w:rPr>
        <w:t xml:space="preserve"> </w:t>
      </w:r>
      <w:r w:rsidR="00C70115" w:rsidRPr="00C70115">
        <w:rPr>
          <w:rFonts w:ascii="Times New Roman" w:hAnsi="Times New Roman" w:cs="Times New Roman"/>
          <w:b/>
          <w:bCs/>
          <w:sz w:val="20"/>
          <w:szCs w:val="20"/>
          <w:lang w:bidi="ar-EG"/>
        </w:rPr>
        <w:t>B</w:t>
      </w:r>
      <w:r w:rsidRPr="00C70115">
        <w:rPr>
          <w:rFonts w:ascii="Times New Roman" w:hAnsi="Times New Roman" w:cs="Times New Roman"/>
          <w:b/>
          <w:bCs/>
          <w:sz w:val="20"/>
          <w:szCs w:val="20"/>
          <w:lang w:bidi="ar-EG"/>
        </w:rPr>
        <w:t>ronchoscopic image of trachea during inspiration and expiration of the previous male patient which show moderate degree of airway collapse 75% during expiration.</w:t>
      </w:r>
    </w:p>
    <w:p w:rsidR="00C579A8" w:rsidRPr="00C70115" w:rsidRDefault="00C579A8" w:rsidP="00C579A8">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lastRenderedPageBreak/>
        <w:t xml:space="preserve">Out of the 113 patients included in the study who presented with clinical picture suggestive of expiratory central airway collapse, only 38 patients </w:t>
      </w:r>
      <w:r w:rsidRPr="00C70115">
        <w:rPr>
          <w:rFonts w:ascii="Times New Roman" w:eastAsia="Calibri" w:hAnsi="Times New Roman" w:cs="Times New Roman"/>
          <w:sz w:val="20"/>
          <w:szCs w:val="20"/>
          <w:lang w:bidi="ar-EG"/>
        </w:rPr>
        <w:t xml:space="preserve">(20 male and 18 female; median age 13 months with range 3-39 months) </w:t>
      </w:r>
      <w:r w:rsidRPr="00C70115">
        <w:rPr>
          <w:rFonts w:ascii="Times New Roman" w:hAnsi="Times New Roman" w:cs="Times New Roman"/>
          <w:sz w:val="20"/>
          <w:szCs w:val="20"/>
          <w:lang w:bidi="ar-EG"/>
        </w:rPr>
        <w:t xml:space="preserve">were diagnosed by flexible bronchoscopy </w:t>
      </w:r>
      <w:r w:rsidR="00E12792" w:rsidRPr="00C70115">
        <w:rPr>
          <w:rFonts w:ascii="Times New Roman" w:hAnsi="Times New Roman" w:cs="Times New Roman"/>
          <w:sz w:val="20"/>
          <w:szCs w:val="20"/>
          <w:lang w:bidi="ar-EG"/>
        </w:rPr>
        <w:t>as expiratory</w:t>
      </w:r>
      <w:r w:rsidRPr="00C70115">
        <w:rPr>
          <w:rFonts w:ascii="Times New Roman" w:hAnsi="Times New Roman" w:cs="Times New Roman"/>
          <w:sz w:val="20"/>
          <w:szCs w:val="20"/>
          <w:lang w:bidi="ar-EG"/>
        </w:rPr>
        <w:t xml:space="preserve"> central airway collapse, indicating a prevalence of 33.6% of the disease (Figure 1,2).</w:t>
      </w:r>
    </w:p>
    <w:p w:rsidR="00C579A8" w:rsidRPr="00C70115" w:rsidRDefault="00C579A8" w:rsidP="00C579A8">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 xml:space="preserve">The age of first symptoms had median age 1 month with range 1 – 4months, this denotes that 50% of study population had their first symptoms during the first month of life and 75% of population had their </w:t>
      </w:r>
      <w:r w:rsidRPr="00C70115">
        <w:rPr>
          <w:rFonts w:ascii="Times New Roman" w:hAnsi="Times New Roman" w:cs="Times New Roman"/>
          <w:sz w:val="20"/>
          <w:szCs w:val="20"/>
          <w:lang w:bidi="ar-EG"/>
        </w:rPr>
        <w:lastRenderedPageBreak/>
        <w:t>first symptoms till before the age of 4 months (Table 1).</w:t>
      </w:r>
    </w:p>
    <w:p w:rsidR="00C579A8" w:rsidRPr="00C70115" w:rsidRDefault="00C579A8" w:rsidP="00C579A8">
      <w:pPr>
        <w:bidi w:val="0"/>
        <w:snapToGrid w:val="0"/>
        <w:spacing w:after="0" w:line="240" w:lineRule="auto"/>
        <w:ind w:firstLine="425"/>
        <w:jc w:val="both"/>
        <w:rPr>
          <w:rFonts w:ascii="Times New Roman" w:eastAsia="Calibri" w:hAnsi="Times New Roman" w:cs="Times New Roman"/>
          <w:sz w:val="20"/>
          <w:szCs w:val="20"/>
          <w:lang w:bidi="ar-EG"/>
        </w:rPr>
      </w:pPr>
      <w:r w:rsidRPr="00C70115">
        <w:rPr>
          <w:rFonts w:ascii="Times New Roman" w:eastAsia="Calibri" w:hAnsi="Times New Roman" w:cs="Times New Roman"/>
          <w:sz w:val="20"/>
          <w:szCs w:val="20"/>
          <w:lang w:bidi="ar-EG"/>
        </w:rPr>
        <w:t>The most common presenting symptoms were recurrent chest infection in 14 patients (36.8%), stridor in 13 patients (34.2%), wheeze in 9 patients (23.7%), cough in 9 patients (23.7%), rattling in 6patients (15.8%)</w:t>
      </w:r>
      <w:r>
        <w:rPr>
          <w:rFonts w:ascii="Times New Roman" w:eastAsia="Calibri" w:hAnsi="Times New Roman" w:cs="Times New Roman"/>
          <w:sz w:val="20"/>
          <w:szCs w:val="20"/>
          <w:lang w:bidi="ar-EG"/>
        </w:rPr>
        <w:t xml:space="preserve"> </w:t>
      </w:r>
      <w:r w:rsidR="00E12792" w:rsidRPr="00C70115">
        <w:rPr>
          <w:rFonts w:ascii="Times New Roman" w:eastAsia="Calibri" w:hAnsi="Times New Roman" w:cs="Times New Roman"/>
          <w:sz w:val="20"/>
          <w:szCs w:val="20"/>
          <w:lang w:bidi="ar-EG"/>
        </w:rPr>
        <w:t>and cyanosis</w:t>
      </w:r>
      <w:r w:rsidRPr="00C70115">
        <w:rPr>
          <w:rFonts w:ascii="Times New Roman" w:eastAsia="Calibri" w:hAnsi="Times New Roman" w:cs="Times New Roman"/>
          <w:sz w:val="20"/>
          <w:szCs w:val="20"/>
          <w:lang w:bidi="ar-EG"/>
        </w:rPr>
        <w:t xml:space="preserve"> in 1 patient (2.6%) (Table 2).</w:t>
      </w:r>
    </w:p>
    <w:p w:rsidR="00C579A8" w:rsidRPr="00C70115" w:rsidRDefault="00C579A8" w:rsidP="00C579A8">
      <w:pPr>
        <w:bidi w:val="0"/>
        <w:snapToGrid w:val="0"/>
        <w:spacing w:after="0" w:line="240" w:lineRule="auto"/>
        <w:ind w:firstLine="425"/>
        <w:jc w:val="both"/>
        <w:rPr>
          <w:rFonts w:ascii="Times New Roman" w:eastAsia="Calibri" w:hAnsi="Times New Roman" w:cs="Times New Roman"/>
          <w:sz w:val="20"/>
          <w:szCs w:val="20"/>
          <w:lang w:bidi="ar-EG"/>
        </w:rPr>
      </w:pPr>
      <w:r w:rsidRPr="00C70115">
        <w:rPr>
          <w:rFonts w:ascii="Times New Roman" w:eastAsia="Calibri" w:hAnsi="Times New Roman" w:cs="Times New Roman"/>
          <w:sz w:val="20"/>
          <w:szCs w:val="20"/>
          <w:lang w:bidi="ar-EG"/>
        </w:rPr>
        <w:t>Out of 38 patients 22 (57.9 %) patients had primary (idiopathic) cause of ECAC and 16 (42.1 %) had secondary cause of ECAC (Table 3).</w:t>
      </w:r>
    </w:p>
    <w:p w:rsidR="00C579A8" w:rsidRPr="00C70115" w:rsidRDefault="00C579A8" w:rsidP="00C579A8">
      <w:pPr>
        <w:bidi w:val="0"/>
        <w:snapToGrid w:val="0"/>
        <w:spacing w:after="0" w:line="240" w:lineRule="auto"/>
        <w:jc w:val="center"/>
        <w:rPr>
          <w:rFonts w:ascii="Times New Roman" w:hAnsi="Times New Roman" w:cs="Times New Roman"/>
          <w:b/>
          <w:bCs/>
          <w:sz w:val="20"/>
          <w:szCs w:val="20"/>
          <w:lang w:eastAsia="zh-CN"/>
        </w:rPr>
        <w:sectPr w:rsidR="00C579A8" w:rsidRPr="00C70115" w:rsidSect="00AD2640">
          <w:headerReference w:type="default" r:id="rId22"/>
          <w:pgSz w:w="12240" w:h="15840" w:code="9"/>
          <w:pgMar w:top="1440" w:right="1440" w:bottom="1440" w:left="1440" w:header="720" w:footer="720" w:gutter="0"/>
          <w:cols w:num="2" w:space="550"/>
          <w:rtlGutter/>
          <w:docGrid w:linePitch="360"/>
        </w:sectPr>
      </w:pPr>
    </w:p>
    <w:p w:rsidR="00646F32" w:rsidRPr="00C70115" w:rsidRDefault="00646F32" w:rsidP="00C70115">
      <w:pPr>
        <w:bidi w:val="0"/>
        <w:snapToGrid w:val="0"/>
        <w:spacing w:after="0" w:line="240" w:lineRule="auto"/>
        <w:jc w:val="center"/>
        <w:rPr>
          <w:rFonts w:ascii="Times New Roman" w:hAnsi="Times New Roman" w:cs="Times New Roman"/>
          <w:b/>
          <w:bCs/>
          <w:sz w:val="20"/>
          <w:szCs w:val="20"/>
        </w:rPr>
      </w:pPr>
    </w:p>
    <w:p w:rsidR="00646F32" w:rsidRPr="00C70115" w:rsidRDefault="00646F32" w:rsidP="00C70115">
      <w:pPr>
        <w:pStyle w:val="Caption"/>
        <w:bidi w:val="0"/>
        <w:snapToGrid w:val="0"/>
        <w:spacing w:after="0"/>
        <w:jc w:val="center"/>
        <w:rPr>
          <w:rFonts w:ascii="Times New Roman" w:hAnsi="Times New Roman" w:cs="Times New Roman"/>
          <w:color w:val="000000" w:themeColor="text1"/>
          <w:sz w:val="20"/>
          <w:szCs w:val="20"/>
          <w:lang w:bidi="ar-EG"/>
        </w:rPr>
      </w:pPr>
      <w:bookmarkStart w:id="0" w:name="_Ref1377188"/>
      <w:r w:rsidRPr="00C70115">
        <w:rPr>
          <w:rFonts w:ascii="Times New Roman" w:hAnsi="Times New Roman" w:cs="Times New Roman"/>
          <w:color w:val="000000" w:themeColor="text1"/>
          <w:sz w:val="20"/>
          <w:szCs w:val="20"/>
        </w:rPr>
        <w:t xml:space="preserve">Table </w:t>
      </w:r>
      <w:r w:rsidR="00330422" w:rsidRPr="00C70115">
        <w:rPr>
          <w:rFonts w:ascii="Times New Roman" w:eastAsia="Calibri" w:hAnsi="Times New Roman" w:cs="Times New Roman"/>
          <w:color w:val="000000" w:themeColor="text1"/>
          <w:sz w:val="20"/>
          <w:szCs w:val="20"/>
        </w:rPr>
        <w:fldChar w:fldCharType="begin"/>
      </w:r>
      <w:r w:rsidRPr="00C70115">
        <w:rPr>
          <w:rFonts w:ascii="Times New Roman" w:eastAsia="Calibri" w:hAnsi="Times New Roman" w:cs="Times New Roman"/>
          <w:color w:val="000000" w:themeColor="text1"/>
          <w:sz w:val="20"/>
          <w:szCs w:val="20"/>
        </w:rPr>
        <w:instrText xml:space="preserve"> SEQ Table \* ARABIC </w:instrText>
      </w:r>
      <w:r w:rsidR="00330422" w:rsidRPr="00C70115">
        <w:rPr>
          <w:rFonts w:ascii="Times New Roman" w:eastAsia="Calibri" w:hAnsi="Times New Roman" w:cs="Times New Roman"/>
          <w:color w:val="000000" w:themeColor="text1"/>
          <w:sz w:val="20"/>
          <w:szCs w:val="20"/>
        </w:rPr>
        <w:fldChar w:fldCharType="separate"/>
      </w:r>
      <w:r w:rsidRPr="00C70115">
        <w:rPr>
          <w:rFonts w:ascii="Times New Roman" w:eastAsia="Calibri" w:hAnsi="Times New Roman" w:cs="Times New Roman"/>
          <w:noProof/>
          <w:color w:val="000000" w:themeColor="text1"/>
          <w:sz w:val="20"/>
          <w:szCs w:val="20"/>
        </w:rPr>
        <w:t>1</w:t>
      </w:r>
      <w:r w:rsidR="00330422" w:rsidRPr="00C70115">
        <w:rPr>
          <w:rFonts w:ascii="Times New Roman" w:eastAsia="Calibri" w:hAnsi="Times New Roman" w:cs="Times New Roman"/>
          <w:color w:val="000000" w:themeColor="text1"/>
          <w:sz w:val="20"/>
          <w:szCs w:val="20"/>
        </w:rPr>
        <w:fldChar w:fldCharType="end"/>
      </w:r>
      <w:bookmarkEnd w:id="0"/>
      <w:r w:rsidR="00C70115" w:rsidRPr="00C70115">
        <w:rPr>
          <w:rFonts w:ascii="Times New Roman" w:eastAsia="Calibri" w:hAnsi="Times New Roman" w:cs="Times New Roman"/>
          <w:color w:val="000000" w:themeColor="text1"/>
          <w:sz w:val="20"/>
          <w:szCs w:val="20"/>
        </w:rPr>
        <w:t>.</w:t>
      </w:r>
      <w:r w:rsidR="00C70115">
        <w:rPr>
          <w:rFonts w:ascii="Times New Roman" w:eastAsia="Calibri" w:hAnsi="Times New Roman" w:cs="Times New Roman"/>
          <w:color w:val="000000" w:themeColor="text1"/>
          <w:sz w:val="20"/>
          <w:szCs w:val="20"/>
        </w:rPr>
        <w:t xml:space="preserve"> </w:t>
      </w:r>
      <w:r w:rsidR="00C70115" w:rsidRPr="00C70115">
        <w:rPr>
          <w:rFonts w:ascii="Times New Roman" w:eastAsia="Calibri" w:hAnsi="Times New Roman" w:cs="Times New Roman"/>
          <w:color w:val="000000" w:themeColor="text1"/>
          <w:sz w:val="20"/>
          <w:szCs w:val="20"/>
        </w:rPr>
        <w:t>D</w:t>
      </w:r>
      <w:r w:rsidRPr="00C70115">
        <w:rPr>
          <w:rFonts w:ascii="Times New Roman" w:eastAsia="Calibri" w:hAnsi="Times New Roman" w:cs="Times New Roman"/>
          <w:color w:val="000000" w:themeColor="text1"/>
          <w:sz w:val="20"/>
          <w:szCs w:val="20"/>
        </w:rPr>
        <w:t>istribution of demographic data among study population.</w:t>
      </w:r>
    </w:p>
    <w:tbl>
      <w:tblPr>
        <w:tblStyle w:val="MediumShading1-Accent1"/>
        <w:tblW w:w="5000" w:type="pct"/>
        <w:jc w:val="center"/>
        <w:tblCellMar>
          <w:left w:w="57" w:type="dxa"/>
          <w:right w:w="57" w:type="dxa"/>
        </w:tblCellMar>
        <w:tblLook w:val="04A0"/>
      </w:tblPr>
      <w:tblGrid>
        <w:gridCol w:w="6799"/>
        <w:gridCol w:w="2675"/>
      </w:tblGrid>
      <w:tr w:rsidR="00646F32" w:rsidRPr="00C70115" w:rsidTr="00FF6FF7">
        <w:trPr>
          <w:cnfStyle w:val="100000000000"/>
          <w:jc w:val="center"/>
        </w:trPr>
        <w:tc>
          <w:tcPr>
            <w:cnfStyle w:val="001000000000"/>
            <w:tcW w:w="3588" w:type="pct"/>
            <w:vAlign w:val="center"/>
          </w:tcPr>
          <w:p w:rsidR="00646F32" w:rsidRPr="00C70115" w:rsidRDefault="00646F32" w:rsidP="00C70115">
            <w:pPr>
              <w:bidi w:val="0"/>
              <w:snapToGrid w:val="0"/>
              <w:jc w:val="both"/>
              <w:rPr>
                <w:rFonts w:ascii="Times New Roman" w:eastAsia="Calibri" w:hAnsi="Times New Roman" w:cs="Times New Roman"/>
                <w:b w:val="0"/>
                <w:bCs w:val="0"/>
              </w:rPr>
            </w:pPr>
            <w:r w:rsidRPr="00C70115">
              <w:rPr>
                <w:rFonts w:ascii="Times New Roman" w:eastAsia="Calibri" w:hAnsi="Times New Roman" w:cs="Times New Roman"/>
              </w:rPr>
              <w:t>Parameter</w:t>
            </w:r>
          </w:p>
        </w:tc>
        <w:tc>
          <w:tcPr>
            <w:tcW w:w="1412" w:type="pct"/>
            <w:vAlign w:val="center"/>
          </w:tcPr>
          <w:p w:rsidR="00646F32" w:rsidRPr="00C70115" w:rsidRDefault="00646F32" w:rsidP="00C70115">
            <w:pPr>
              <w:bidi w:val="0"/>
              <w:snapToGrid w:val="0"/>
              <w:jc w:val="both"/>
              <w:cnfStyle w:val="100000000000"/>
              <w:rPr>
                <w:rFonts w:ascii="Times New Roman" w:eastAsia="Calibri" w:hAnsi="Times New Roman" w:cs="Times New Roman"/>
                <w:b w:val="0"/>
                <w:bCs w:val="0"/>
              </w:rPr>
            </w:pPr>
            <w:r w:rsidRPr="00C70115">
              <w:rPr>
                <w:rFonts w:ascii="Times New Roman" w:eastAsia="Calibri" w:hAnsi="Times New Roman" w:cs="Times New Roman"/>
              </w:rPr>
              <w:t xml:space="preserve">Description </w:t>
            </w:r>
          </w:p>
        </w:tc>
      </w:tr>
      <w:tr w:rsidR="00646F32" w:rsidRPr="00C70115" w:rsidTr="00FF6FF7">
        <w:trPr>
          <w:cnfStyle w:val="000000100000"/>
          <w:jc w:val="center"/>
        </w:trPr>
        <w:tc>
          <w:tcPr>
            <w:cnfStyle w:val="001000000000"/>
            <w:tcW w:w="3588" w:type="pct"/>
            <w:vAlign w:val="center"/>
          </w:tcPr>
          <w:p w:rsidR="00646F32" w:rsidRPr="00C70115" w:rsidRDefault="00646F32" w:rsidP="00C70115">
            <w:pPr>
              <w:tabs>
                <w:tab w:val="left" w:pos="142"/>
              </w:tabs>
              <w:bidi w:val="0"/>
              <w:snapToGrid w:val="0"/>
              <w:jc w:val="both"/>
              <w:rPr>
                <w:rFonts w:ascii="Times New Roman" w:eastAsia="Calibri" w:hAnsi="Times New Roman" w:cs="Times New Roman"/>
              </w:rPr>
            </w:pPr>
            <w:r w:rsidRPr="00C70115">
              <w:rPr>
                <w:rFonts w:ascii="Times New Roman" w:eastAsia="Calibri" w:hAnsi="Times New Roman" w:cs="Times New Roman"/>
              </w:rPr>
              <w:t>Age (months)</w:t>
            </w:r>
          </w:p>
          <w:p w:rsidR="00646F32" w:rsidRPr="00C70115" w:rsidRDefault="00646F32" w:rsidP="00C70115">
            <w:pPr>
              <w:tabs>
                <w:tab w:val="left" w:pos="142"/>
              </w:tabs>
              <w:bidi w:val="0"/>
              <w:snapToGrid w:val="0"/>
              <w:jc w:val="both"/>
              <w:rPr>
                <w:rFonts w:ascii="Times New Roman" w:eastAsia="Calibri" w:hAnsi="Times New Roman" w:cs="Times New Roman"/>
              </w:rPr>
            </w:pPr>
            <w:r w:rsidRPr="00C70115">
              <w:rPr>
                <w:rFonts w:ascii="Times New Roman" w:eastAsia="Calibri" w:hAnsi="Times New Roman" w:cs="Times New Roman"/>
              </w:rPr>
              <w:t>Range</w:t>
            </w:r>
          </w:p>
        </w:tc>
        <w:tc>
          <w:tcPr>
            <w:tcW w:w="1412" w:type="pct"/>
            <w:vAlign w:val="center"/>
          </w:tcPr>
          <w:p w:rsidR="00646F32" w:rsidRPr="00C70115" w:rsidRDefault="00646F32" w:rsidP="00C70115">
            <w:pPr>
              <w:tabs>
                <w:tab w:val="left" w:pos="426"/>
              </w:tabs>
              <w:bidi w:val="0"/>
              <w:snapToGrid w:val="0"/>
              <w:jc w:val="both"/>
              <w:cnfStyle w:val="000000100000"/>
              <w:rPr>
                <w:rFonts w:ascii="Times New Roman" w:eastAsia="Calibri" w:hAnsi="Times New Roman" w:cs="Times New Roman"/>
              </w:rPr>
            </w:pPr>
            <w:r w:rsidRPr="00C70115">
              <w:rPr>
                <w:rFonts w:ascii="Times New Roman" w:eastAsia="Calibri" w:hAnsi="Times New Roman" w:cs="Times New Roman"/>
              </w:rPr>
              <w:t>13 (3</w:t>
            </w:r>
            <w:r w:rsidR="00FF6FF7" w:rsidRPr="00C70115">
              <w:rPr>
                <w:rFonts w:ascii="Times New Roman" w:eastAsia="Calibri" w:hAnsi="Times New Roman" w:cs="Times New Roman"/>
              </w:rPr>
              <w:t>,</w:t>
            </w:r>
            <w:r w:rsidRPr="00C70115">
              <w:rPr>
                <w:rFonts w:ascii="Times New Roman" w:eastAsia="Calibri" w:hAnsi="Times New Roman" w:cs="Times New Roman"/>
              </w:rPr>
              <w:t xml:space="preserve"> 39)</w:t>
            </w:r>
          </w:p>
          <w:p w:rsidR="00646F32" w:rsidRPr="00C70115" w:rsidRDefault="00646F32" w:rsidP="00C70115">
            <w:pPr>
              <w:tabs>
                <w:tab w:val="left" w:pos="426"/>
              </w:tabs>
              <w:bidi w:val="0"/>
              <w:snapToGrid w:val="0"/>
              <w:jc w:val="both"/>
              <w:cnfStyle w:val="000000100000"/>
              <w:rPr>
                <w:rFonts w:ascii="Times New Roman" w:eastAsia="Calibri" w:hAnsi="Times New Roman" w:cs="Times New Roman"/>
              </w:rPr>
            </w:pPr>
            <w:r w:rsidRPr="00C70115">
              <w:rPr>
                <w:rFonts w:ascii="Times New Roman" w:eastAsia="Calibri" w:hAnsi="Times New Roman" w:cs="Times New Roman"/>
              </w:rPr>
              <w:t>1 – 144</w:t>
            </w:r>
          </w:p>
        </w:tc>
      </w:tr>
      <w:tr w:rsidR="00646F32" w:rsidRPr="00C70115" w:rsidTr="00FF6FF7">
        <w:trPr>
          <w:cnfStyle w:val="000000010000"/>
          <w:jc w:val="center"/>
        </w:trPr>
        <w:tc>
          <w:tcPr>
            <w:cnfStyle w:val="001000000000"/>
            <w:tcW w:w="3588" w:type="pct"/>
            <w:vAlign w:val="center"/>
          </w:tcPr>
          <w:p w:rsidR="00646F32" w:rsidRPr="00C70115" w:rsidRDefault="00646F32" w:rsidP="00C70115">
            <w:pPr>
              <w:tabs>
                <w:tab w:val="left" w:pos="142"/>
              </w:tabs>
              <w:bidi w:val="0"/>
              <w:snapToGrid w:val="0"/>
              <w:jc w:val="both"/>
              <w:rPr>
                <w:rFonts w:ascii="Times New Roman" w:eastAsia="Calibri" w:hAnsi="Times New Roman" w:cs="Times New Roman"/>
              </w:rPr>
            </w:pPr>
            <w:r w:rsidRPr="00C70115">
              <w:rPr>
                <w:rFonts w:ascii="Times New Roman" w:eastAsia="Calibri" w:hAnsi="Times New Roman" w:cs="Times New Roman"/>
              </w:rPr>
              <w:t>Age of first symptoms (months)</w:t>
            </w:r>
          </w:p>
          <w:p w:rsidR="00646F32" w:rsidRPr="00C70115" w:rsidRDefault="00646F32" w:rsidP="00C70115">
            <w:pPr>
              <w:tabs>
                <w:tab w:val="left" w:pos="142"/>
              </w:tabs>
              <w:bidi w:val="0"/>
              <w:snapToGrid w:val="0"/>
              <w:jc w:val="both"/>
              <w:rPr>
                <w:rFonts w:ascii="Times New Roman" w:eastAsia="Calibri" w:hAnsi="Times New Roman" w:cs="Times New Roman"/>
              </w:rPr>
            </w:pPr>
            <w:r w:rsidRPr="00C70115">
              <w:rPr>
                <w:rFonts w:ascii="Times New Roman" w:eastAsia="Calibri" w:hAnsi="Times New Roman" w:cs="Times New Roman"/>
              </w:rPr>
              <w:t>Range</w:t>
            </w:r>
          </w:p>
        </w:tc>
        <w:tc>
          <w:tcPr>
            <w:tcW w:w="1412" w:type="pct"/>
            <w:vAlign w:val="center"/>
          </w:tcPr>
          <w:p w:rsidR="00646F32" w:rsidRPr="00C70115" w:rsidRDefault="00646F32" w:rsidP="00C70115">
            <w:pPr>
              <w:tabs>
                <w:tab w:val="left" w:pos="426"/>
              </w:tabs>
              <w:bidi w:val="0"/>
              <w:snapToGrid w:val="0"/>
              <w:jc w:val="both"/>
              <w:cnfStyle w:val="000000010000"/>
              <w:rPr>
                <w:rFonts w:ascii="Times New Roman" w:eastAsia="Calibri" w:hAnsi="Times New Roman" w:cs="Times New Roman"/>
              </w:rPr>
            </w:pPr>
            <w:r w:rsidRPr="00C70115">
              <w:rPr>
                <w:rFonts w:ascii="Times New Roman" w:eastAsia="Calibri" w:hAnsi="Times New Roman" w:cs="Times New Roman"/>
              </w:rPr>
              <w:t>1 (1</w:t>
            </w:r>
            <w:r w:rsidR="00FF6FF7" w:rsidRPr="00C70115">
              <w:rPr>
                <w:rFonts w:ascii="Times New Roman" w:eastAsia="Calibri" w:hAnsi="Times New Roman" w:cs="Times New Roman"/>
              </w:rPr>
              <w:t>,</w:t>
            </w:r>
            <w:r w:rsidRPr="00C70115">
              <w:rPr>
                <w:rFonts w:ascii="Times New Roman" w:eastAsia="Calibri" w:hAnsi="Times New Roman" w:cs="Times New Roman"/>
              </w:rPr>
              <w:t xml:space="preserve"> 4)</w:t>
            </w:r>
          </w:p>
          <w:p w:rsidR="00646F32" w:rsidRPr="00C70115" w:rsidRDefault="00646F32" w:rsidP="00C70115">
            <w:pPr>
              <w:tabs>
                <w:tab w:val="left" w:pos="426"/>
              </w:tabs>
              <w:bidi w:val="0"/>
              <w:snapToGrid w:val="0"/>
              <w:jc w:val="both"/>
              <w:cnfStyle w:val="000000010000"/>
              <w:rPr>
                <w:rFonts w:ascii="Times New Roman" w:eastAsia="Calibri" w:hAnsi="Times New Roman" w:cs="Times New Roman"/>
              </w:rPr>
            </w:pPr>
            <w:r w:rsidRPr="00C70115">
              <w:rPr>
                <w:rFonts w:ascii="Times New Roman" w:eastAsia="Calibri" w:hAnsi="Times New Roman" w:cs="Times New Roman"/>
              </w:rPr>
              <w:t>1 – 132</w:t>
            </w:r>
          </w:p>
        </w:tc>
      </w:tr>
      <w:tr w:rsidR="00646F32" w:rsidRPr="00C70115" w:rsidTr="00FF6FF7">
        <w:trPr>
          <w:cnfStyle w:val="000000100000"/>
          <w:jc w:val="center"/>
        </w:trPr>
        <w:tc>
          <w:tcPr>
            <w:cnfStyle w:val="001000000000"/>
            <w:tcW w:w="3588" w:type="pct"/>
            <w:vAlign w:val="center"/>
          </w:tcPr>
          <w:p w:rsidR="00646F32" w:rsidRPr="00C70115" w:rsidRDefault="00646F32" w:rsidP="00C70115">
            <w:pPr>
              <w:tabs>
                <w:tab w:val="left" w:pos="142"/>
              </w:tabs>
              <w:bidi w:val="0"/>
              <w:snapToGrid w:val="0"/>
              <w:jc w:val="both"/>
              <w:rPr>
                <w:rFonts w:ascii="Times New Roman" w:eastAsia="Calibri" w:hAnsi="Times New Roman" w:cs="Times New Roman"/>
              </w:rPr>
            </w:pPr>
            <w:r w:rsidRPr="00C70115">
              <w:rPr>
                <w:rFonts w:ascii="Times New Roman" w:eastAsia="Calibri" w:hAnsi="Times New Roman" w:cs="Times New Roman"/>
              </w:rPr>
              <w:t>Gender (male)</w:t>
            </w:r>
          </w:p>
        </w:tc>
        <w:tc>
          <w:tcPr>
            <w:tcW w:w="1412" w:type="pct"/>
            <w:vAlign w:val="center"/>
          </w:tcPr>
          <w:p w:rsidR="00646F32" w:rsidRPr="00C70115" w:rsidRDefault="00646F32" w:rsidP="00C70115">
            <w:pPr>
              <w:tabs>
                <w:tab w:val="left" w:pos="426"/>
              </w:tabs>
              <w:bidi w:val="0"/>
              <w:snapToGrid w:val="0"/>
              <w:jc w:val="both"/>
              <w:cnfStyle w:val="000000100000"/>
              <w:rPr>
                <w:rFonts w:ascii="Times New Roman" w:eastAsia="Calibri" w:hAnsi="Times New Roman" w:cs="Times New Roman"/>
              </w:rPr>
            </w:pPr>
            <w:r w:rsidRPr="00C70115">
              <w:rPr>
                <w:rFonts w:ascii="Times New Roman" w:eastAsia="Calibri" w:hAnsi="Times New Roman" w:cs="Times New Roman"/>
              </w:rPr>
              <w:t>20 (52.6%)</w:t>
            </w:r>
          </w:p>
        </w:tc>
      </w:tr>
      <w:tr w:rsidR="00646F32" w:rsidRPr="00C70115" w:rsidTr="00FF6FF7">
        <w:trPr>
          <w:cnfStyle w:val="000000010000"/>
          <w:jc w:val="center"/>
        </w:trPr>
        <w:tc>
          <w:tcPr>
            <w:cnfStyle w:val="001000000000"/>
            <w:tcW w:w="5000" w:type="pct"/>
            <w:gridSpan w:val="2"/>
            <w:vAlign w:val="center"/>
          </w:tcPr>
          <w:p w:rsidR="00646F32" w:rsidRPr="00C70115" w:rsidRDefault="00646F32" w:rsidP="00C70115">
            <w:pPr>
              <w:tabs>
                <w:tab w:val="left" w:pos="284"/>
              </w:tabs>
              <w:bidi w:val="0"/>
              <w:snapToGrid w:val="0"/>
              <w:jc w:val="both"/>
              <w:rPr>
                <w:rFonts w:ascii="Times New Roman" w:eastAsia="Calibri" w:hAnsi="Times New Roman" w:cs="Times New Roman"/>
              </w:rPr>
            </w:pPr>
            <w:r w:rsidRPr="00C70115">
              <w:rPr>
                <w:rFonts w:ascii="Times New Roman" w:eastAsia="Calibri" w:hAnsi="Times New Roman" w:cs="Times New Roman"/>
              </w:rPr>
              <w:t>*</w:t>
            </w:r>
            <w:r w:rsidRPr="00C70115">
              <w:rPr>
                <w:rFonts w:ascii="Times New Roman" w:eastAsia="Calibri" w:hAnsi="Times New Roman" w:cs="Times New Roman"/>
              </w:rPr>
              <w:tab/>
              <w:t>Categorical variables are presented as proportions (percentages).</w:t>
            </w:r>
          </w:p>
          <w:p w:rsidR="00646F32" w:rsidRPr="00C70115" w:rsidRDefault="00646F32" w:rsidP="00C70115">
            <w:pPr>
              <w:tabs>
                <w:tab w:val="left" w:pos="284"/>
              </w:tabs>
              <w:bidi w:val="0"/>
              <w:snapToGrid w:val="0"/>
              <w:jc w:val="both"/>
              <w:rPr>
                <w:rFonts w:ascii="Times New Roman" w:eastAsia="Calibri" w:hAnsi="Times New Roman" w:cs="Times New Roman"/>
              </w:rPr>
            </w:pPr>
            <w:r w:rsidRPr="00C70115">
              <w:rPr>
                <w:rFonts w:ascii="Times New Roman" w:eastAsia="Calibri" w:hAnsi="Times New Roman" w:cs="Times New Roman"/>
              </w:rPr>
              <w:tab/>
              <w:t>Continuous variables with non-normal distributions are presented as median and interquartile range.</w:t>
            </w:r>
          </w:p>
        </w:tc>
      </w:tr>
    </w:tbl>
    <w:p w:rsidR="00646F32" w:rsidRPr="00C70115" w:rsidRDefault="00646F32" w:rsidP="00C70115">
      <w:pPr>
        <w:bidi w:val="0"/>
        <w:snapToGrid w:val="0"/>
        <w:spacing w:after="0" w:line="240" w:lineRule="auto"/>
        <w:jc w:val="center"/>
        <w:rPr>
          <w:rFonts w:ascii="Times New Roman" w:hAnsi="Times New Roman" w:cs="Times New Roman"/>
          <w:sz w:val="20"/>
          <w:szCs w:val="20"/>
          <w:lang w:bidi="ar-EG"/>
        </w:rPr>
      </w:pPr>
    </w:p>
    <w:p w:rsidR="00646F32" w:rsidRPr="00C70115" w:rsidRDefault="00646F32" w:rsidP="00C70115">
      <w:pPr>
        <w:pStyle w:val="Title"/>
        <w:snapToGrid w:val="0"/>
        <w:spacing w:before="0" w:after="0" w:line="240" w:lineRule="auto"/>
        <w:rPr>
          <w:kern w:val="0"/>
          <w:sz w:val="20"/>
          <w:szCs w:val="20"/>
          <w:lang w:bidi="ar-EG"/>
        </w:rPr>
      </w:pPr>
      <w:bookmarkStart w:id="1" w:name="_Toc532909949"/>
      <w:bookmarkStart w:id="2" w:name="_Toc532908278"/>
      <w:bookmarkStart w:id="3" w:name="_Ref1377227"/>
      <w:r w:rsidRPr="00C70115">
        <w:rPr>
          <w:kern w:val="0"/>
          <w:sz w:val="20"/>
          <w:szCs w:val="20"/>
        </w:rPr>
        <w:t>Table 2</w:t>
      </w:r>
      <w:r w:rsidR="00C70115" w:rsidRPr="00C70115">
        <w:rPr>
          <w:kern w:val="0"/>
          <w:sz w:val="20"/>
          <w:szCs w:val="20"/>
        </w:rPr>
        <w:t>.</w:t>
      </w:r>
      <w:r w:rsidR="00C70115">
        <w:rPr>
          <w:kern w:val="0"/>
          <w:sz w:val="20"/>
          <w:szCs w:val="20"/>
        </w:rPr>
        <w:t xml:space="preserve"> </w:t>
      </w:r>
      <w:r w:rsidR="00C70115" w:rsidRPr="00C70115">
        <w:rPr>
          <w:kern w:val="0"/>
          <w:sz w:val="20"/>
          <w:szCs w:val="20"/>
        </w:rPr>
        <w:t>D</w:t>
      </w:r>
      <w:r w:rsidRPr="00C70115">
        <w:rPr>
          <w:kern w:val="0"/>
          <w:sz w:val="20"/>
          <w:szCs w:val="20"/>
        </w:rPr>
        <w:t>istribution of presenting manifestations among study population.</w:t>
      </w:r>
      <w:bookmarkEnd w:id="1"/>
      <w:bookmarkEnd w:id="2"/>
    </w:p>
    <w:tbl>
      <w:tblPr>
        <w:tblStyle w:val="MediumShading1-Accent1"/>
        <w:tblW w:w="5000" w:type="pct"/>
        <w:jc w:val="center"/>
        <w:tblCellMar>
          <w:left w:w="57" w:type="dxa"/>
          <w:right w:w="57" w:type="dxa"/>
        </w:tblCellMar>
        <w:tblLook w:val="04A0"/>
      </w:tblPr>
      <w:tblGrid>
        <w:gridCol w:w="6548"/>
        <w:gridCol w:w="2926"/>
      </w:tblGrid>
      <w:tr w:rsidR="00646F32" w:rsidRPr="00C70115" w:rsidTr="00FF6FF7">
        <w:trPr>
          <w:cnfStyle w:val="100000000000"/>
          <w:jc w:val="center"/>
        </w:trPr>
        <w:tc>
          <w:tcPr>
            <w:cnfStyle w:val="001000000000"/>
            <w:tcW w:w="3456" w:type="pct"/>
            <w:vAlign w:val="center"/>
          </w:tcPr>
          <w:bookmarkEnd w:id="3"/>
          <w:p w:rsidR="00646F32" w:rsidRPr="00C70115" w:rsidRDefault="00646F32" w:rsidP="00C70115">
            <w:pPr>
              <w:bidi w:val="0"/>
              <w:snapToGrid w:val="0"/>
              <w:jc w:val="both"/>
              <w:rPr>
                <w:rFonts w:ascii="Times New Roman" w:hAnsi="Times New Roman" w:cs="Times New Roman"/>
              </w:rPr>
            </w:pPr>
            <w:r w:rsidRPr="00C70115">
              <w:rPr>
                <w:rFonts w:ascii="Times New Roman" w:hAnsi="Times New Roman" w:cs="Times New Roman"/>
              </w:rPr>
              <w:t>Parameter</w:t>
            </w:r>
          </w:p>
        </w:tc>
        <w:tc>
          <w:tcPr>
            <w:tcW w:w="1544" w:type="pct"/>
            <w:vAlign w:val="center"/>
          </w:tcPr>
          <w:p w:rsidR="00646F32" w:rsidRPr="00C70115" w:rsidRDefault="00646F32" w:rsidP="00C70115">
            <w:pPr>
              <w:bidi w:val="0"/>
              <w:snapToGrid w:val="0"/>
              <w:jc w:val="both"/>
              <w:cnfStyle w:val="100000000000"/>
              <w:rPr>
                <w:rFonts w:ascii="Times New Roman" w:hAnsi="Times New Roman" w:cs="Times New Roman"/>
              </w:rPr>
            </w:pPr>
            <w:r w:rsidRPr="00C70115">
              <w:rPr>
                <w:rFonts w:ascii="Times New Roman" w:hAnsi="Times New Roman" w:cs="Times New Roman"/>
              </w:rPr>
              <w:t xml:space="preserve">[No. (%)] </w:t>
            </w:r>
          </w:p>
        </w:tc>
      </w:tr>
      <w:tr w:rsidR="00646F32" w:rsidRPr="00C70115" w:rsidTr="00FF6FF7">
        <w:trPr>
          <w:cnfStyle w:val="00000010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Recurrent chest infection</w:t>
            </w:r>
          </w:p>
        </w:tc>
        <w:tc>
          <w:tcPr>
            <w:tcW w:w="1544" w:type="pct"/>
            <w:vAlign w:val="center"/>
          </w:tcPr>
          <w:p w:rsidR="00646F32" w:rsidRPr="00C70115" w:rsidRDefault="00646F32" w:rsidP="00C70115">
            <w:pPr>
              <w:bidi w:val="0"/>
              <w:snapToGrid w:val="0"/>
              <w:jc w:val="both"/>
              <w:cnfStyle w:val="000000100000"/>
              <w:rPr>
                <w:rFonts w:ascii="Times New Roman" w:hAnsi="Times New Roman" w:cs="Times New Roman"/>
                <w:color w:val="000000"/>
              </w:rPr>
            </w:pPr>
            <w:r w:rsidRPr="00C70115">
              <w:rPr>
                <w:rFonts w:ascii="Times New Roman" w:hAnsi="Times New Roman" w:cs="Times New Roman"/>
                <w:color w:val="000000"/>
              </w:rPr>
              <w:t>14 (36.8%)</w:t>
            </w:r>
          </w:p>
        </w:tc>
      </w:tr>
      <w:tr w:rsidR="00646F32" w:rsidRPr="00C70115" w:rsidTr="00FF6FF7">
        <w:trPr>
          <w:cnfStyle w:val="00000001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Stridor</w:t>
            </w:r>
          </w:p>
        </w:tc>
        <w:tc>
          <w:tcPr>
            <w:tcW w:w="1544" w:type="pct"/>
            <w:vAlign w:val="center"/>
          </w:tcPr>
          <w:p w:rsidR="00646F32" w:rsidRPr="00C70115" w:rsidRDefault="00646F32" w:rsidP="00C70115">
            <w:pPr>
              <w:bidi w:val="0"/>
              <w:snapToGrid w:val="0"/>
              <w:jc w:val="both"/>
              <w:cnfStyle w:val="000000010000"/>
              <w:rPr>
                <w:rFonts w:ascii="Times New Roman" w:hAnsi="Times New Roman" w:cs="Times New Roman"/>
                <w:color w:val="000000"/>
              </w:rPr>
            </w:pPr>
            <w:r w:rsidRPr="00C70115">
              <w:rPr>
                <w:rFonts w:ascii="Times New Roman" w:hAnsi="Times New Roman" w:cs="Times New Roman"/>
                <w:color w:val="000000"/>
              </w:rPr>
              <w:t>13 (34.2%)</w:t>
            </w:r>
          </w:p>
        </w:tc>
      </w:tr>
      <w:tr w:rsidR="00646F32" w:rsidRPr="00C70115" w:rsidTr="00FF6FF7">
        <w:trPr>
          <w:cnfStyle w:val="00000010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Rattling</w:t>
            </w:r>
          </w:p>
        </w:tc>
        <w:tc>
          <w:tcPr>
            <w:tcW w:w="1544" w:type="pct"/>
            <w:vAlign w:val="center"/>
          </w:tcPr>
          <w:p w:rsidR="00646F32" w:rsidRPr="00C70115" w:rsidRDefault="00646F32" w:rsidP="00C70115">
            <w:pPr>
              <w:bidi w:val="0"/>
              <w:snapToGrid w:val="0"/>
              <w:jc w:val="both"/>
              <w:cnfStyle w:val="000000100000"/>
              <w:rPr>
                <w:rFonts w:ascii="Times New Roman" w:hAnsi="Times New Roman" w:cs="Times New Roman"/>
                <w:color w:val="000000"/>
              </w:rPr>
            </w:pPr>
            <w:r w:rsidRPr="00C70115">
              <w:rPr>
                <w:rFonts w:ascii="Times New Roman" w:hAnsi="Times New Roman" w:cs="Times New Roman"/>
                <w:color w:val="000000"/>
              </w:rPr>
              <w:t>6 (15.8%)</w:t>
            </w:r>
          </w:p>
        </w:tc>
      </w:tr>
      <w:tr w:rsidR="00646F32" w:rsidRPr="00C70115" w:rsidTr="00FF6FF7">
        <w:trPr>
          <w:cnfStyle w:val="00000001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Recurrent wheeze</w:t>
            </w:r>
          </w:p>
        </w:tc>
        <w:tc>
          <w:tcPr>
            <w:tcW w:w="1544" w:type="pct"/>
            <w:vAlign w:val="center"/>
          </w:tcPr>
          <w:p w:rsidR="00646F32" w:rsidRPr="00C70115" w:rsidRDefault="00646F32" w:rsidP="00C70115">
            <w:pPr>
              <w:bidi w:val="0"/>
              <w:snapToGrid w:val="0"/>
              <w:jc w:val="both"/>
              <w:cnfStyle w:val="000000010000"/>
              <w:rPr>
                <w:rFonts w:ascii="Times New Roman" w:hAnsi="Times New Roman" w:cs="Times New Roman"/>
                <w:color w:val="000000"/>
              </w:rPr>
            </w:pPr>
            <w:r w:rsidRPr="00C70115">
              <w:rPr>
                <w:rFonts w:ascii="Times New Roman" w:hAnsi="Times New Roman" w:cs="Times New Roman"/>
                <w:color w:val="000000"/>
              </w:rPr>
              <w:t>6 (15.8%)</w:t>
            </w:r>
          </w:p>
        </w:tc>
      </w:tr>
      <w:tr w:rsidR="00646F32" w:rsidRPr="00C70115" w:rsidTr="00FF6FF7">
        <w:trPr>
          <w:cnfStyle w:val="00000010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Aspiration</w:t>
            </w:r>
          </w:p>
        </w:tc>
        <w:tc>
          <w:tcPr>
            <w:tcW w:w="1544" w:type="pct"/>
            <w:vAlign w:val="center"/>
          </w:tcPr>
          <w:p w:rsidR="00646F32" w:rsidRPr="00C70115" w:rsidRDefault="00646F32" w:rsidP="00C70115">
            <w:pPr>
              <w:bidi w:val="0"/>
              <w:snapToGrid w:val="0"/>
              <w:jc w:val="both"/>
              <w:cnfStyle w:val="000000100000"/>
              <w:rPr>
                <w:rFonts w:ascii="Times New Roman" w:hAnsi="Times New Roman" w:cs="Times New Roman"/>
                <w:color w:val="000000"/>
              </w:rPr>
            </w:pPr>
            <w:r w:rsidRPr="00C70115">
              <w:rPr>
                <w:rFonts w:ascii="Times New Roman" w:hAnsi="Times New Roman" w:cs="Times New Roman"/>
                <w:color w:val="000000"/>
              </w:rPr>
              <w:t>5 (13.2%)</w:t>
            </w:r>
          </w:p>
        </w:tc>
      </w:tr>
      <w:tr w:rsidR="00646F32" w:rsidRPr="00C70115" w:rsidTr="00FF6FF7">
        <w:trPr>
          <w:cnfStyle w:val="00000001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Wet cough</w:t>
            </w:r>
          </w:p>
        </w:tc>
        <w:tc>
          <w:tcPr>
            <w:tcW w:w="1544" w:type="pct"/>
            <w:vAlign w:val="center"/>
          </w:tcPr>
          <w:p w:rsidR="00646F32" w:rsidRPr="00C70115" w:rsidRDefault="00646F32" w:rsidP="00C70115">
            <w:pPr>
              <w:bidi w:val="0"/>
              <w:snapToGrid w:val="0"/>
              <w:jc w:val="both"/>
              <w:cnfStyle w:val="000000010000"/>
              <w:rPr>
                <w:rFonts w:ascii="Times New Roman" w:hAnsi="Times New Roman" w:cs="Times New Roman"/>
                <w:color w:val="000000"/>
              </w:rPr>
            </w:pPr>
            <w:r w:rsidRPr="00C70115">
              <w:rPr>
                <w:rFonts w:ascii="Times New Roman" w:hAnsi="Times New Roman" w:cs="Times New Roman"/>
                <w:color w:val="000000"/>
              </w:rPr>
              <w:t>5 (13.2%)</w:t>
            </w:r>
          </w:p>
        </w:tc>
      </w:tr>
      <w:tr w:rsidR="00646F32" w:rsidRPr="00C70115" w:rsidTr="00FF6FF7">
        <w:trPr>
          <w:cnfStyle w:val="00000010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Barking cough</w:t>
            </w:r>
          </w:p>
        </w:tc>
        <w:tc>
          <w:tcPr>
            <w:tcW w:w="1544" w:type="pct"/>
            <w:vAlign w:val="center"/>
          </w:tcPr>
          <w:p w:rsidR="00646F32" w:rsidRPr="00C70115" w:rsidRDefault="00646F32" w:rsidP="00C70115">
            <w:pPr>
              <w:bidi w:val="0"/>
              <w:snapToGrid w:val="0"/>
              <w:jc w:val="both"/>
              <w:cnfStyle w:val="000000100000"/>
              <w:rPr>
                <w:rFonts w:ascii="Times New Roman" w:hAnsi="Times New Roman" w:cs="Times New Roman"/>
                <w:color w:val="000000"/>
              </w:rPr>
            </w:pPr>
            <w:r w:rsidRPr="00C70115">
              <w:rPr>
                <w:rFonts w:ascii="Times New Roman" w:hAnsi="Times New Roman" w:cs="Times New Roman"/>
                <w:color w:val="000000"/>
              </w:rPr>
              <w:t>4 (10.5%)</w:t>
            </w:r>
          </w:p>
        </w:tc>
      </w:tr>
      <w:tr w:rsidR="00646F32" w:rsidRPr="00C70115" w:rsidTr="00FF6FF7">
        <w:trPr>
          <w:cnfStyle w:val="00000001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Persistent wheeze</w:t>
            </w:r>
          </w:p>
        </w:tc>
        <w:tc>
          <w:tcPr>
            <w:tcW w:w="1544" w:type="pct"/>
            <w:vAlign w:val="center"/>
          </w:tcPr>
          <w:p w:rsidR="00646F32" w:rsidRPr="00C70115" w:rsidRDefault="00646F32" w:rsidP="00C70115">
            <w:pPr>
              <w:bidi w:val="0"/>
              <w:snapToGrid w:val="0"/>
              <w:jc w:val="both"/>
              <w:cnfStyle w:val="000000010000"/>
              <w:rPr>
                <w:rFonts w:ascii="Times New Roman" w:hAnsi="Times New Roman" w:cs="Times New Roman"/>
                <w:color w:val="000000"/>
              </w:rPr>
            </w:pPr>
            <w:r w:rsidRPr="00C70115">
              <w:rPr>
                <w:rFonts w:ascii="Times New Roman" w:hAnsi="Times New Roman" w:cs="Times New Roman"/>
                <w:color w:val="000000"/>
              </w:rPr>
              <w:t>3 (7.9%)</w:t>
            </w:r>
          </w:p>
        </w:tc>
      </w:tr>
      <w:tr w:rsidR="00646F32" w:rsidRPr="00C70115" w:rsidTr="00FF6FF7">
        <w:trPr>
          <w:cnfStyle w:val="000000100000"/>
          <w:jc w:val="center"/>
        </w:trPr>
        <w:tc>
          <w:tcPr>
            <w:cnfStyle w:val="001000000000"/>
            <w:tcW w:w="3456" w:type="pct"/>
            <w:vAlign w:val="center"/>
          </w:tcPr>
          <w:p w:rsidR="00646F32" w:rsidRPr="00C70115" w:rsidRDefault="00646F32" w:rsidP="00C70115">
            <w:pPr>
              <w:bidi w:val="0"/>
              <w:snapToGrid w:val="0"/>
              <w:jc w:val="both"/>
              <w:rPr>
                <w:rFonts w:ascii="Times New Roman" w:hAnsi="Times New Roman" w:cs="Times New Roman"/>
                <w:color w:val="000000"/>
              </w:rPr>
            </w:pPr>
            <w:r w:rsidRPr="00C70115">
              <w:rPr>
                <w:rFonts w:ascii="Times New Roman" w:hAnsi="Times New Roman" w:cs="Times New Roman"/>
                <w:color w:val="000000"/>
              </w:rPr>
              <w:t>Cyanosis</w:t>
            </w:r>
          </w:p>
        </w:tc>
        <w:tc>
          <w:tcPr>
            <w:tcW w:w="1544" w:type="pct"/>
            <w:vAlign w:val="center"/>
          </w:tcPr>
          <w:p w:rsidR="00646F32" w:rsidRPr="00C70115" w:rsidRDefault="00646F32" w:rsidP="00C70115">
            <w:pPr>
              <w:bidi w:val="0"/>
              <w:snapToGrid w:val="0"/>
              <w:jc w:val="both"/>
              <w:cnfStyle w:val="000000100000"/>
              <w:rPr>
                <w:rFonts w:ascii="Times New Roman" w:hAnsi="Times New Roman" w:cs="Times New Roman"/>
                <w:color w:val="000000"/>
              </w:rPr>
            </w:pPr>
            <w:r w:rsidRPr="00C70115">
              <w:rPr>
                <w:rFonts w:ascii="Times New Roman" w:hAnsi="Times New Roman" w:cs="Times New Roman"/>
                <w:color w:val="000000"/>
              </w:rPr>
              <w:t>1 (2.6%)</w:t>
            </w:r>
          </w:p>
        </w:tc>
      </w:tr>
    </w:tbl>
    <w:p w:rsidR="00646F32" w:rsidRPr="00C70115" w:rsidRDefault="00646F32" w:rsidP="00C70115">
      <w:pPr>
        <w:bidi w:val="0"/>
        <w:snapToGrid w:val="0"/>
        <w:spacing w:after="0" w:line="240" w:lineRule="auto"/>
        <w:ind w:firstLine="425"/>
        <w:jc w:val="both"/>
        <w:rPr>
          <w:rFonts w:ascii="Times New Roman" w:hAnsi="Times New Roman" w:cs="Times New Roman"/>
          <w:sz w:val="20"/>
          <w:szCs w:val="20"/>
          <w:lang w:bidi="ar-EG"/>
        </w:rPr>
      </w:pPr>
    </w:p>
    <w:p w:rsidR="00646F32" w:rsidRPr="00C70115" w:rsidRDefault="00646F32" w:rsidP="00C70115">
      <w:pPr>
        <w:pStyle w:val="Title"/>
        <w:snapToGrid w:val="0"/>
        <w:spacing w:before="0" w:after="0" w:line="240" w:lineRule="auto"/>
        <w:rPr>
          <w:kern w:val="0"/>
          <w:sz w:val="20"/>
          <w:szCs w:val="20"/>
          <w:lang w:bidi="ar-EG"/>
        </w:rPr>
      </w:pPr>
      <w:bookmarkStart w:id="4" w:name="_Toc532909951"/>
      <w:bookmarkStart w:id="5" w:name="_Toc532908281"/>
      <w:r w:rsidRPr="00C70115">
        <w:rPr>
          <w:kern w:val="0"/>
          <w:sz w:val="20"/>
          <w:szCs w:val="20"/>
        </w:rPr>
        <w:t>Table 3</w:t>
      </w:r>
      <w:r w:rsidR="00C70115" w:rsidRPr="00C70115">
        <w:rPr>
          <w:kern w:val="0"/>
          <w:sz w:val="20"/>
          <w:szCs w:val="20"/>
        </w:rPr>
        <w:t>.</w:t>
      </w:r>
      <w:r w:rsidR="00C70115">
        <w:rPr>
          <w:kern w:val="0"/>
          <w:sz w:val="20"/>
          <w:szCs w:val="20"/>
        </w:rPr>
        <w:t xml:space="preserve"> </w:t>
      </w:r>
      <w:r w:rsidR="00C70115" w:rsidRPr="00C70115">
        <w:rPr>
          <w:kern w:val="0"/>
          <w:sz w:val="20"/>
          <w:szCs w:val="20"/>
          <w:lang w:bidi="ar-EG"/>
        </w:rPr>
        <w:t>D</w:t>
      </w:r>
      <w:r w:rsidRPr="00C70115">
        <w:rPr>
          <w:kern w:val="0"/>
          <w:sz w:val="20"/>
          <w:szCs w:val="20"/>
          <w:lang w:bidi="ar-EG"/>
        </w:rPr>
        <w:t>istribution of the etiology of ECAC.</w:t>
      </w:r>
      <w:bookmarkEnd w:id="4"/>
      <w:bookmarkEnd w:id="5"/>
    </w:p>
    <w:tbl>
      <w:tblPr>
        <w:tblStyle w:val="MediumShading1-Accent1"/>
        <w:tblW w:w="5000" w:type="pct"/>
        <w:jc w:val="center"/>
        <w:tblCellMar>
          <w:left w:w="57" w:type="dxa"/>
          <w:right w:w="57" w:type="dxa"/>
        </w:tblCellMar>
        <w:tblLook w:val="04A0"/>
      </w:tblPr>
      <w:tblGrid>
        <w:gridCol w:w="7132"/>
        <w:gridCol w:w="2342"/>
      </w:tblGrid>
      <w:tr w:rsidR="00646F32" w:rsidRPr="00C70115" w:rsidTr="00FF6FF7">
        <w:trPr>
          <w:cnfStyle w:val="100000000000"/>
          <w:jc w:val="center"/>
        </w:trPr>
        <w:tc>
          <w:tcPr>
            <w:cnfStyle w:val="001000000000"/>
            <w:tcW w:w="3764" w:type="pct"/>
            <w:vAlign w:val="center"/>
          </w:tcPr>
          <w:p w:rsidR="00646F32" w:rsidRPr="00C70115" w:rsidRDefault="00FF6FF7" w:rsidP="00C70115">
            <w:pPr>
              <w:bidi w:val="0"/>
              <w:snapToGrid w:val="0"/>
              <w:jc w:val="both"/>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Parameter</w:t>
            </w:r>
          </w:p>
        </w:tc>
        <w:tc>
          <w:tcPr>
            <w:tcW w:w="1236" w:type="pct"/>
            <w:vAlign w:val="center"/>
          </w:tcPr>
          <w:p w:rsidR="00646F32" w:rsidRPr="00C70115" w:rsidRDefault="00FF6FF7" w:rsidP="00C70115">
            <w:pPr>
              <w:bidi w:val="0"/>
              <w:snapToGrid w:val="0"/>
              <w:jc w:val="both"/>
              <w:cnfStyle w:val="100000000000"/>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[No</w:t>
            </w:r>
            <w:r w:rsidRPr="00C70115">
              <w:rPr>
                <w:rFonts w:ascii="Times New Roman" w:hAnsi="Times New Roman" w:cs="Times New Roman"/>
                <w:lang w:bidi="ar-EG"/>
              </w:rPr>
              <w:t>. (</w:t>
            </w:r>
            <w:r w:rsidR="00646F32" w:rsidRPr="00C70115">
              <w:rPr>
                <w:rFonts w:ascii="Times New Roman" w:hAnsi="Times New Roman" w:cs="Times New Roman"/>
                <w:lang w:bidi="ar-EG"/>
              </w:rPr>
              <w:t>%)]</w:t>
            </w:r>
          </w:p>
        </w:tc>
      </w:tr>
      <w:tr w:rsidR="00646F32" w:rsidRPr="00C70115" w:rsidTr="00FF6FF7">
        <w:trPr>
          <w:cnfStyle w:val="000000100000"/>
          <w:jc w:val="center"/>
        </w:trPr>
        <w:tc>
          <w:tcPr>
            <w:cnfStyle w:val="001000000000"/>
            <w:tcW w:w="3764" w:type="pct"/>
            <w:vAlign w:val="center"/>
          </w:tcPr>
          <w:p w:rsidR="00646F32" w:rsidRPr="00C70115" w:rsidRDefault="00646F32" w:rsidP="00C70115">
            <w:pPr>
              <w:bidi w:val="0"/>
              <w:snapToGrid w:val="0"/>
              <w:jc w:val="both"/>
              <w:rPr>
                <w:rFonts w:ascii="Times New Roman" w:hAnsi="Times New Roman" w:cs="Times New Roman"/>
                <w:lang w:bidi="ar-EG"/>
              </w:rPr>
            </w:pPr>
            <w:r w:rsidRPr="00C70115">
              <w:rPr>
                <w:rFonts w:ascii="Times New Roman" w:hAnsi="Times New Roman" w:cs="Times New Roman"/>
                <w:lang w:bidi="ar-EG"/>
              </w:rPr>
              <w:t>Primary (dynamic) airway narrowing</w:t>
            </w:r>
          </w:p>
        </w:tc>
        <w:tc>
          <w:tcPr>
            <w:tcW w:w="1236" w:type="pct"/>
            <w:vAlign w:val="center"/>
          </w:tcPr>
          <w:p w:rsidR="00646F32" w:rsidRPr="00C70115" w:rsidRDefault="00646F32" w:rsidP="00C70115">
            <w:pPr>
              <w:bidi w:val="0"/>
              <w:snapToGrid w:val="0"/>
              <w:jc w:val="both"/>
              <w:cnfStyle w:val="000000100000"/>
              <w:rPr>
                <w:rFonts w:ascii="Times New Roman" w:hAnsi="Times New Roman" w:cs="Times New Roman"/>
                <w:b/>
                <w:bCs/>
                <w:lang w:bidi="ar-EG"/>
              </w:rPr>
            </w:pPr>
            <w:r w:rsidRPr="00C70115">
              <w:rPr>
                <w:rFonts w:ascii="Times New Roman" w:hAnsi="Times New Roman" w:cs="Times New Roman"/>
                <w:b/>
                <w:bCs/>
                <w:lang w:bidi="ar-EG"/>
              </w:rPr>
              <w:t>22 (57.9%)</w:t>
            </w:r>
          </w:p>
        </w:tc>
      </w:tr>
      <w:tr w:rsidR="00646F32" w:rsidRPr="00C70115" w:rsidTr="00FF6FF7">
        <w:trPr>
          <w:cnfStyle w:val="000000010000"/>
          <w:jc w:val="center"/>
        </w:trPr>
        <w:tc>
          <w:tcPr>
            <w:cnfStyle w:val="001000000000"/>
            <w:tcW w:w="3764" w:type="pct"/>
            <w:vAlign w:val="center"/>
          </w:tcPr>
          <w:p w:rsidR="00646F32" w:rsidRPr="00C70115" w:rsidRDefault="00646F32" w:rsidP="00C70115">
            <w:pPr>
              <w:pStyle w:val="ListParagraph"/>
              <w:numPr>
                <w:ilvl w:val="0"/>
                <w:numId w:val="11"/>
              </w:numPr>
              <w:bidi w:val="0"/>
              <w:snapToGrid w:val="0"/>
              <w:ind w:left="0" w:firstLine="0"/>
              <w:jc w:val="both"/>
              <w:rPr>
                <w:rFonts w:ascii="Times New Roman" w:hAnsi="Times New Roman" w:cs="Times New Roman"/>
                <w:b w:val="0"/>
                <w:bCs w:val="0"/>
                <w:lang w:bidi="ar-EG"/>
              </w:rPr>
            </w:pPr>
            <w:r w:rsidRPr="00C70115">
              <w:rPr>
                <w:rFonts w:ascii="Times New Roman" w:hAnsi="Times New Roman" w:cs="Times New Roman"/>
                <w:b w:val="0"/>
                <w:bCs w:val="0"/>
                <w:lang w:bidi="ar-EG"/>
              </w:rPr>
              <w:t>EDAC</w:t>
            </w:r>
          </w:p>
          <w:p w:rsidR="00646F32" w:rsidRPr="00C70115" w:rsidRDefault="00646F32" w:rsidP="00C70115">
            <w:pPr>
              <w:pStyle w:val="ListParagraph"/>
              <w:numPr>
                <w:ilvl w:val="0"/>
                <w:numId w:val="11"/>
              </w:numPr>
              <w:bidi w:val="0"/>
              <w:snapToGrid w:val="0"/>
              <w:ind w:left="0" w:firstLine="0"/>
              <w:jc w:val="both"/>
              <w:rPr>
                <w:rFonts w:ascii="Times New Roman" w:hAnsi="Times New Roman" w:cs="Times New Roman"/>
                <w:lang w:bidi="ar-EG"/>
              </w:rPr>
            </w:pPr>
            <w:r w:rsidRPr="00C70115">
              <w:rPr>
                <w:rFonts w:ascii="Times New Roman" w:hAnsi="Times New Roman" w:cs="Times New Roman"/>
                <w:b w:val="0"/>
                <w:bCs w:val="0"/>
                <w:lang w:bidi="ar-EG"/>
              </w:rPr>
              <w:t>Tracheobronchomalacia</w:t>
            </w:r>
          </w:p>
        </w:tc>
        <w:tc>
          <w:tcPr>
            <w:tcW w:w="1236" w:type="pct"/>
            <w:vAlign w:val="center"/>
          </w:tcPr>
          <w:p w:rsidR="00FF6FF7" w:rsidRPr="00C70115" w:rsidRDefault="00646F32" w:rsidP="00C70115">
            <w:pPr>
              <w:bidi w:val="0"/>
              <w:snapToGrid w:val="0"/>
              <w:jc w:val="both"/>
              <w:cnfStyle w:val="000000010000"/>
              <w:rPr>
                <w:rFonts w:ascii="Times New Roman" w:hAnsi="Times New Roman" w:cs="Times New Roman"/>
                <w:lang w:bidi="ar-EG"/>
              </w:rPr>
            </w:pPr>
            <w:r w:rsidRPr="00C70115">
              <w:rPr>
                <w:rFonts w:ascii="Times New Roman" w:hAnsi="Times New Roman" w:cs="Times New Roman"/>
                <w:lang w:bidi="ar-EG"/>
              </w:rPr>
              <w:t>16 (42.1%)</w:t>
            </w:r>
          </w:p>
          <w:p w:rsidR="00646F32" w:rsidRPr="00C70115" w:rsidRDefault="00FF6FF7" w:rsidP="00C70115">
            <w:pPr>
              <w:bidi w:val="0"/>
              <w:snapToGrid w:val="0"/>
              <w:jc w:val="both"/>
              <w:cnfStyle w:val="000000010000"/>
              <w:rPr>
                <w:rFonts w:ascii="Times New Roman" w:hAnsi="Times New Roman" w:cs="Times New Roman"/>
                <w:b/>
                <w:bCs/>
                <w:lang w:bidi="ar-EG"/>
              </w:rPr>
            </w:pPr>
            <w:r w:rsidRPr="00C70115">
              <w:rPr>
                <w:rFonts w:ascii="Times New Roman" w:hAnsi="Times New Roman" w:cs="Times New Roman"/>
                <w:lang w:bidi="ar-EG"/>
              </w:rPr>
              <w:t>6</w:t>
            </w:r>
            <w:r w:rsidR="00646F32" w:rsidRPr="00C70115">
              <w:rPr>
                <w:rFonts w:ascii="Times New Roman" w:hAnsi="Times New Roman" w:cs="Times New Roman"/>
                <w:lang w:bidi="ar-EG"/>
              </w:rPr>
              <w:t xml:space="preserve"> (15.7%)</w:t>
            </w:r>
          </w:p>
        </w:tc>
      </w:tr>
      <w:tr w:rsidR="00646F32" w:rsidRPr="00C70115" w:rsidTr="00FF6FF7">
        <w:trPr>
          <w:cnfStyle w:val="000000100000"/>
          <w:jc w:val="center"/>
        </w:trPr>
        <w:tc>
          <w:tcPr>
            <w:cnfStyle w:val="001000000000"/>
            <w:tcW w:w="3764" w:type="pct"/>
            <w:vAlign w:val="center"/>
          </w:tcPr>
          <w:p w:rsidR="00646F32" w:rsidRPr="00C70115" w:rsidRDefault="00646F32" w:rsidP="00C70115">
            <w:pPr>
              <w:bidi w:val="0"/>
              <w:snapToGrid w:val="0"/>
              <w:jc w:val="both"/>
              <w:rPr>
                <w:rFonts w:ascii="Times New Roman" w:hAnsi="Times New Roman" w:cs="Times New Roman"/>
                <w:lang w:bidi="ar-EG"/>
              </w:rPr>
            </w:pPr>
            <w:r w:rsidRPr="00C70115">
              <w:rPr>
                <w:rFonts w:ascii="Times New Roman" w:hAnsi="Times New Roman" w:cs="Times New Roman"/>
                <w:lang w:bidi="ar-EG"/>
              </w:rPr>
              <w:t>Secondary (fixed) airway narrowing</w:t>
            </w:r>
          </w:p>
        </w:tc>
        <w:tc>
          <w:tcPr>
            <w:tcW w:w="1236" w:type="pct"/>
            <w:vAlign w:val="center"/>
          </w:tcPr>
          <w:p w:rsidR="00646F32" w:rsidRPr="00C70115" w:rsidRDefault="00FF6FF7" w:rsidP="00C70115">
            <w:pPr>
              <w:bidi w:val="0"/>
              <w:snapToGrid w:val="0"/>
              <w:jc w:val="both"/>
              <w:cnfStyle w:val="000000100000"/>
              <w:rPr>
                <w:rFonts w:ascii="Times New Roman" w:hAnsi="Times New Roman" w:cs="Times New Roman"/>
                <w:b/>
                <w:bCs/>
                <w:lang w:bidi="ar-EG"/>
              </w:rPr>
            </w:pPr>
            <w:r w:rsidRPr="00C70115">
              <w:rPr>
                <w:rFonts w:ascii="Times New Roman" w:hAnsi="Times New Roman" w:cs="Times New Roman"/>
                <w:b/>
                <w:bCs/>
                <w:lang w:bidi="ar-EG"/>
              </w:rPr>
              <w:t xml:space="preserve"> </w:t>
            </w:r>
            <w:r w:rsidR="00646F32" w:rsidRPr="00C70115">
              <w:rPr>
                <w:rFonts w:ascii="Times New Roman" w:hAnsi="Times New Roman" w:cs="Times New Roman"/>
                <w:b/>
                <w:bCs/>
                <w:lang w:bidi="ar-EG"/>
              </w:rPr>
              <w:t>16 (42.1%)</w:t>
            </w:r>
          </w:p>
        </w:tc>
      </w:tr>
      <w:tr w:rsidR="00646F32" w:rsidRPr="00C70115" w:rsidTr="00FF6FF7">
        <w:trPr>
          <w:cnfStyle w:val="000000010000"/>
          <w:jc w:val="center"/>
        </w:trPr>
        <w:tc>
          <w:tcPr>
            <w:cnfStyle w:val="001000000000"/>
            <w:tcW w:w="3764" w:type="pct"/>
            <w:vAlign w:val="center"/>
          </w:tcPr>
          <w:p w:rsidR="00646F32" w:rsidRPr="00C70115" w:rsidRDefault="00646F32" w:rsidP="00C70115">
            <w:pPr>
              <w:pStyle w:val="ListParagraph"/>
              <w:numPr>
                <w:ilvl w:val="0"/>
                <w:numId w:val="12"/>
              </w:numPr>
              <w:bidi w:val="0"/>
              <w:snapToGrid w:val="0"/>
              <w:ind w:left="0" w:firstLine="0"/>
              <w:jc w:val="both"/>
              <w:rPr>
                <w:rFonts w:ascii="Times New Roman" w:hAnsi="Times New Roman" w:cs="Times New Roman"/>
                <w:b w:val="0"/>
                <w:bCs w:val="0"/>
                <w:lang w:bidi="ar-EG"/>
              </w:rPr>
            </w:pPr>
            <w:r w:rsidRPr="00C70115">
              <w:rPr>
                <w:rFonts w:ascii="Times New Roman" w:hAnsi="Times New Roman" w:cs="Times New Roman"/>
                <w:b w:val="0"/>
                <w:bCs w:val="0"/>
                <w:lang w:bidi="ar-EG"/>
              </w:rPr>
              <w:t>Vascular ring</w:t>
            </w:r>
          </w:p>
        </w:tc>
        <w:tc>
          <w:tcPr>
            <w:tcW w:w="1236" w:type="pct"/>
            <w:vAlign w:val="center"/>
          </w:tcPr>
          <w:p w:rsidR="00646F32" w:rsidRPr="00C70115" w:rsidRDefault="00FF6FF7" w:rsidP="00C70115">
            <w:pPr>
              <w:bidi w:val="0"/>
              <w:snapToGrid w:val="0"/>
              <w:jc w:val="both"/>
              <w:cnfStyle w:val="000000010000"/>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11(28.9%)</w:t>
            </w:r>
          </w:p>
        </w:tc>
      </w:tr>
      <w:tr w:rsidR="00646F32" w:rsidRPr="00C70115" w:rsidTr="00FF6FF7">
        <w:trPr>
          <w:cnfStyle w:val="000000100000"/>
          <w:jc w:val="center"/>
        </w:trPr>
        <w:tc>
          <w:tcPr>
            <w:cnfStyle w:val="001000000000"/>
            <w:tcW w:w="3764" w:type="pct"/>
            <w:vAlign w:val="center"/>
          </w:tcPr>
          <w:p w:rsidR="00646F32" w:rsidRPr="00C70115" w:rsidRDefault="00646F32" w:rsidP="00C70115">
            <w:pPr>
              <w:pStyle w:val="ListParagraph"/>
              <w:numPr>
                <w:ilvl w:val="0"/>
                <w:numId w:val="12"/>
              </w:numPr>
              <w:bidi w:val="0"/>
              <w:snapToGrid w:val="0"/>
              <w:ind w:left="0" w:firstLine="0"/>
              <w:jc w:val="both"/>
              <w:rPr>
                <w:rFonts w:ascii="Times New Roman" w:hAnsi="Times New Roman" w:cs="Times New Roman"/>
                <w:b w:val="0"/>
                <w:bCs w:val="0"/>
                <w:lang w:bidi="ar-EG"/>
              </w:rPr>
            </w:pPr>
            <w:r w:rsidRPr="00C70115">
              <w:rPr>
                <w:rFonts w:ascii="Times New Roman" w:hAnsi="Times New Roman" w:cs="Times New Roman"/>
                <w:b w:val="0"/>
                <w:bCs w:val="0"/>
                <w:lang w:bidi="ar-EG"/>
              </w:rPr>
              <w:t>TEF</w:t>
            </w:r>
          </w:p>
        </w:tc>
        <w:tc>
          <w:tcPr>
            <w:tcW w:w="1236" w:type="pct"/>
            <w:vAlign w:val="center"/>
          </w:tcPr>
          <w:p w:rsidR="00646F32" w:rsidRPr="00C70115" w:rsidRDefault="00FF6FF7" w:rsidP="00C70115">
            <w:pPr>
              <w:bidi w:val="0"/>
              <w:snapToGrid w:val="0"/>
              <w:jc w:val="both"/>
              <w:cnfStyle w:val="000000100000"/>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2 (5.2%)</w:t>
            </w:r>
          </w:p>
        </w:tc>
      </w:tr>
      <w:tr w:rsidR="00646F32" w:rsidRPr="00C70115" w:rsidTr="00FF6FF7">
        <w:trPr>
          <w:cnfStyle w:val="000000010000"/>
          <w:jc w:val="center"/>
        </w:trPr>
        <w:tc>
          <w:tcPr>
            <w:cnfStyle w:val="001000000000"/>
            <w:tcW w:w="3764" w:type="pct"/>
            <w:vAlign w:val="center"/>
          </w:tcPr>
          <w:p w:rsidR="00646F32" w:rsidRPr="00C70115" w:rsidRDefault="00646F32" w:rsidP="00C70115">
            <w:pPr>
              <w:pStyle w:val="ListParagraph"/>
              <w:numPr>
                <w:ilvl w:val="0"/>
                <w:numId w:val="12"/>
              </w:numPr>
              <w:bidi w:val="0"/>
              <w:snapToGrid w:val="0"/>
              <w:ind w:left="0" w:firstLine="0"/>
              <w:jc w:val="both"/>
              <w:rPr>
                <w:rFonts w:ascii="Times New Roman" w:hAnsi="Times New Roman" w:cs="Times New Roman"/>
                <w:b w:val="0"/>
                <w:bCs w:val="0"/>
                <w:lang w:bidi="ar-EG"/>
              </w:rPr>
            </w:pPr>
            <w:r w:rsidRPr="00C70115">
              <w:rPr>
                <w:rFonts w:ascii="Times New Roman" w:hAnsi="Times New Roman" w:cs="Times New Roman"/>
                <w:b w:val="0"/>
                <w:bCs w:val="0"/>
                <w:lang w:bidi="ar-EG"/>
              </w:rPr>
              <w:t>Bronchogenic cyst</w:t>
            </w:r>
          </w:p>
        </w:tc>
        <w:tc>
          <w:tcPr>
            <w:tcW w:w="1236" w:type="pct"/>
            <w:vAlign w:val="center"/>
          </w:tcPr>
          <w:p w:rsidR="00646F32" w:rsidRPr="00C70115" w:rsidRDefault="00FF6FF7" w:rsidP="00C70115">
            <w:pPr>
              <w:bidi w:val="0"/>
              <w:snapToGrid w:val="0"/>
              <w:jc w:val="both"/>
              <w:cnfStyle w:val="000000010000"/>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1 (2.6%)</w:t>
            </w:r>
          </w:p>
        </w:tc>
      </w:tr>
      <w:tr w:rsidR="00646F32" w:rsidRPr="00C70115" w:rsidTr="00FF6FF7">
        <w:trPr>
          <w:cnfStyle w:val="000000100000"/>
          <w:jc w:val="center"/>
        </w:trPr>
        <w:tc>
          <w:tcPr>
            <w:cnfStyle w:val="001000000000"/>
            <w:tcW w:w="3764" w:type="pct"/>
            <w:vAlign w:val="center"/>
          </w:tcPr>
          <w:p w:rsidR="00646F32" w:rsidRPr="00C70115" w:rsidRDefault="00646F32" w:rsidP="00C70115">
            <w:pPr>
              <w:pStyle w:val="ListParagraph"/>
              <w:numPr>
                <w:ilvl w:val="0"/>
                <w:numId w:val="12"/>
              </w:numPr>
              <w:bidi w:val="0"/>
              <w:snapToGrid w:val="0"/>
              <w:ind w:left="0" w:firstLine="0"/>
              <w:jc w:val="both"/>
              <w:rPr>
                <w:rFonts w:ascii="Times New Roman" w:hAnsi="Times New Roman" w:cs="Times New Roman"/>
                <w:b w:val="0"/>
                <w:bCs w:val="0"/>
                <w:lang w:bidi="ar-EG"/>
              </w:rPr>
            </w:pPr>
            <w:r w:rsidRPr="00C70115">
              <w:rPr>
                <w:rFonts w:ascii="Times New Roman" w:hAnsi="Times New Roman" w:cs="Times New Roman"/>
                <w:b w:val="0"/>
                <w:bCs w:val="0"/>
                <w:lang w:bidi="ar-EG"/>
              </w:rPr>
              <w:t>Mediastinalteratoma</w:t>
            </w:r>
          </w:p>
        </w:tc>
        <w:tc>
          <w:tcPr>
            <w:tcW w:w="1236" w:type="pct"/>
            <w:vAlign w:val="center"/>
          </w:tcPr>
          <w:p w:rsidR="00646F32" w:rsidRPr="00C70115" w:rsidRDefault="00FF6FF7" w:rsidP="00C70115">
            <w:pPr>
              <w:bidi w:val="0"/>
              <w:snapToGrid w:val="0"/>
              <w:jc w:val="both"/>
              <w:cnfStyle w:val="000000100000"/>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1 (2.6%)</w:t>
            </w:r>
          </w:p>
        </w:tc>
      </w:tr>
      <w:tr w:rsidR="00646F32" w:rsidRPr="00C70115" w:rsidTr="00FF6FF7">
        <w:trPr>
          <w:cnfStyle w:val="000000010000"/>
          <w:jc w:val="center"/>
        </w:trPr>
        <w:tc>
          <w:tcPr>
            <w:cnfStyle w:val="001000000000"/>
            <w:tcW w:w="3764" w:type="pct"/>
            <w:vAlign w:val="center"/>
          </w:tcPr>
          <w:p w:rsidR="00646F32" w:rsidRPr="00C70115" w:rsidRDefault="00646F32" w:rsidP="00C70115">
            <w:pPr>
              <w:pStyle w:val="ListParagraph"/>
              <w:numPr>
                <w:ilvl w:val="0"/>
                <w:numId w:val="12"/>
              </w:numPr>
              <w:bidi w:val="0"/>
              <w:snapToGrid w:val="0"/>
              <w:ind w:left="0" w:firstLine="0"/>
              <w:jc w:val="both"/>
              <w:rPr>
                <w:rFonts w:ascii="Times New Roman" w:hAnsi="Times New Roman" w:cs="Times New Roman"/>
                <w:b w:val="0"/>
                <w:bCs w:val="0"/>
                <w:lang w:bidi="ar-EG"/>
              </w:rPr>
            </w:pPr>
            <w:r w:rsidRPr="00C70115">
              <w:rPr>
                <w:rFonts w:ascii="Times New Roman" w:hAnsi="Times New Roman" w:cs="Times New Roman"/>
                <w:b w:val="0"/>
                <w:bCs w:val="0"/>
                <w:lang w:bidi="ar-EG"/>
              </w:rPr>
              <w:t>HLH</w:t>
            </w:r>
          </w:p>
        </w:tc>
        <w:tc>
          <w:tcPr>
            <w:tcW w:w="1236" w:type="pct"/>
            <w:vAlign w:val="center"/>
          </w:tcPr>
          <w:p w:rsidR="00646F32" w:rsidRPr="00C70115" w:rsidRDefault="00FF6FF7" w:rsidP="00C70115">
            <w:pPr>
              <w:bidi w:val="0"/>
              <w:snapToGrid w:val="0"/>
              <w:jc w:val="both"/>
              <w:cnfStyle w:val="000000010000"/>
              <w:rPr>
                <w:rFonts w:ascii="Times New Roman" w:hAnsi="Times New Roman" w:cs="Times New Roman"/>
                <w:lang w:bidi="ar-EG"/>
              </w:rPr>
            </w:pPr>
            <w:r w:rsidRPr="00C70115">
              <w:rPr>
                <w:rFonts w:ascii="Times New Roman" w:hAnsi="Times New Roman" w:cs="Times New Roman"/>
                <w:lang w:bidi="ar-EG"/>
              </w:rPr>
              <w:t xml:space="preserve"> </w:t>
            </w:r>
            <w:r w:rsidR="00646F32" w:rsidRPr="00C70115">
              <w:rPr>
                <w:rFonts w:ascii="Times New Roman" w:hAnsi="Times New Roman" w:cs="Times New Roman"/>
                <w:lang w:bidi="ar-EG"/>
              </w:rPr>
              <w:t>1 (2.6%)</w:t>
            </w:r>
          </w:p>
        </w:tc>
      </w:tr>
    </w:tbl>
    <w:p w:rsidR="00646F32" w:rsidRPr="00C70115" w:rsidRDefault="00646F32" w:rsidP="00C70115">
      <w:pPr>
        <w:bidi w:val="0"/>
        <w:snapToGrid w:val="0"/>
        <w:spacing w:after="0" w:line="240" w:lineRule="auto"/>
        <w:ind w:firstLine="425"/>
        <w:jc w:val="both"/>
        <w:rPr>
          <w:rFonts w:ascii="Times New Roman" w:hAnsi="Times New Roman" w:cs="Times New Roman"/>
          <w:sz w:val="20"/>
          <w:szCs w:val="20"/>
          <w:lang w:bidi="ar-EG"/>
        </w:rPr>
      </w:pPr>
    </w:p>
    <w:p w:rsidR="008A59AA" w:rsidRPr="00C70115" w:rsidRDefault="008A59AA" w:rsidP="00C70115">
      <w:pPr>
        <w:bidi w:val="0"/>
        <w:snapToGrid w:val="0"/>
        <w:spacing w:after="0" w:line="240" w:lineRule="auto"/>
        <w:jc w:val="both"/>
        <w:rPr>
          <w:rFonts w:ascii="Times New Roman" w:hAnsi="Times New Roman" w:cs="Times New Roman"/>
          <w:b/>
          <w:bCs/>
          <w:sz w:val="20"/>
          <w:szCs w:val="20"/>
        </w:rPr>
        <w:sectPr w:rsidR="008A59AA" w:rsidRPr="00C70115" w:rsidSect="00FF6FF7">
          <w:type w:val="continuous"/>
          <w:pgSz w:w="12240" w:h="15840" w:code="9"/>
          <w:pgMar w:top="1440" w:right="1440" w:bottom="1440" w:left="1440" w:header="720" w:footer="720" w:gutter="0"/>
          <w:cols w:space="720"/>
          <w:bidi/>
          <w:rtlGutter/>
          <w:docGrid w:linePitch="360"/>
        </w:sectPr>
      </w:pPr>
    </w:p>
    <w:p w:rsidR="00A56A8D" w:rsidRPr="00C70115" w:rsidRDefault="00646F32" w:rsidP="00C70115">
      <w:pPr>
        <w:bidi w:val="0"/>
        <w:snapToGrid w:val="0"/>
        <w:spacing w:after="0" w:line="240" w:lineRule="auto"/>
        <w:jc w:val="both"/>
        <w:rPr>
          <w:rFonts w:ascii="Times New Roman" w:hAnsi="Times New Roman" w:cs="Times New Roman"/>
          <w:sz w:val="20"/>
          <w:szCs w:val="20"/>
        </w:rPr>
      </w:pPr>
      <w:r w:rsidRPr="00C70115">
        <w:rPr>
          <w:rFonts w:ascii="Times New Roman" w:hAnsi="Times New Roman" w:cs="Times New Roman"/>
          <w:b/>
          <w:bCs/>
          <w:sz w:val="20"/>
          <w:szCs w:val="20"/>
        </w:rPr>
        <w:lastRenderedPageBreak/>
        <w:t xml:space="preserve">4. </w:t>
      </w:r>
      <w:r w:rsidR="00A56A8D" w:rsidRPr="00C70115">
        <w:rPr>
          <w:rFonts w:ascii="Times New Roman" w:hAnsi="Times New Roman" w:cs="Times New Roman"/>
          <w:b/>
          <w:bCs/>
          <w:sz w:val="20"/>
          <w:szCs w:val="20"/>
        </w:rPr>
        <w:t>Discussion</w:t>
      </w:r>
    </w:p>
    <w:p w:rsidR="00D9292E" w:rsidRPr="00C70115" w:rsidRDefault="008E3881"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The prevalence of ECAC is variable in different studies especially in pediatrics as there are no many studies about this issue. Our study showed that the prevalence of ECAC in pediatric populations who underwent bronchoscopy was 33.6%. In study done by Nygaard</w:t>
      </w:r>
      <w:r w:rsidR="00E12792">
        <w:rPr>
          <w:rFonts w:ascii="Times New Roman" w:hAnsi="Times New Roman" w:cs="Times New Roman" w:hint="eastAsia"/>
          <w:sz w:val="20"/>
          <w:szCs w:val="20"/>
          <w:lang w:eastAsia="zh-CN" w:bidi="ar-EG"/>
        </w:rPr>
        <w:t xml:space="preserve"> </w:t>
      </w:r>
      <w:r w:rsidRPr="00C70115">
        <w:rPr>
          <w:rFonts w:ascii="Times New Roman" w:hAnsi="Times New Roman" w:cs="Times New Roman"/>
          <w:sz w:val="20"/>
          <w:szCs w:val="20"/>
          <w:lang w:bidi="ar-EG"/>
        </w:rPr>
        <w:t>et</w:t>
      </w:r>
      <w:r w:rsidR="00C70115" w:rsidRPr="00C70115">
        <w:rPr>
          <w:rFonts w:ascii="Times New Roman" w:hAnsi="Times New Roman" w:cs="Times New Roman"/>
          <w:sz w:val="20"/>
          <w:szCs w:val="20"/>
          <w:lang w:bidi="ar-EG"/>
        </w:rPr>
        <w:t>,</w:t>
      </w:r>
      <w:r w:rsidR="00C70115">
        <w:rPr>
          <w:rFonts w:ascii="Times New Roman" w:hAnsi="Times New Roman" w:cs="Times New Roman"/>
          <w:sz w:val="20"/>
          <w:szCs w:val="20"/>
          <w:lang w:bidi="ar-EG"/>
        </w:rPr>
        <w:t xml:space="preserve"> </w:t>
      </w:r>
      <w:r w:rsidR="00C70115" w:rsidRPr="00C70115">
        <w:rPr>
          <w:rFonts w:ascii="Times New Roman" w:hAnsi="Times New Roman" w:cs="Times New Roman"/>
          <w:sz w:val="20"/>
          <w:szCs w:val="20"/>
          <w:lang w:bidi="ar-EG"/>
        </w:rPr>
        <w:t>a</w:t>
      </w:r>
      <w:r w:rsidRPr="00C70115">
        <w:rPr>
          <w:rFonts w:ascii="Times New Roman" w:hAnsi="Times New Roman" w:cs="Times New Roman"/>
          <w:sz w:val="20"/>
          <w:szCs w:val="20"/>
          <w:lang w:bidi="ar-EG"/>
        </w:rPr>
        <w:t xml:space="preserve">l. they found that the prevalence of tracheal collapse in adult patients varied from 10.7% </w:t>
      </w:r>
      <w:r w:rsidRPr="00C70115">
        <w:rPr>
          <w:rFonts w:ascii="Times New Roman" w:hAnsi="Times New Roman" w:cs="Times New Roman"/>
          <w:sz w:val="20"/>
          <w:szCs w:val="20"/>
          <w:lang w:bidi="ar-EG"/>
        </w:rPr>
        <w:lastRenderedPageBreak/>
        <w:t>to 19.5% when using an expiratory collapse of 50% as a threshold (8).</w:t>
      </w:r>
    </w:p>
    <w:p w:rsidR="008E3881" w:rsidRPr="00C70115" w:rsidRDefault="008E3881" w:rsidP="00C70115">
      <w:pPr>
        <w:bidi w:val="0"/>
        <w:snapToGrid w:val="0"/>
        <w:spacing w:after="0" w:line="240" w:lineRule="auto"/>
        <w:ind w:firstLine="425"/>
        <w:jc w:val="both"/>
        <w:rPr>
          <w:rFonts w:ascii="Times New Roman" w:hAnsi="Times New Roman" w:cs="Times New Roman" w:hint="eastAsia"/>
          <w:sz w:val="20"/>
          <w:szCs w:val="20"/>
          <w:lang w:eastAsia="zh-CN" w:bidi="ar-EG"/>
        </w:rPr>
      </w:pPr>
      <w:r w:rsidRPr="00C70115">
        <w:rPr>
          <w:rFonts w:ascii="Times New Roman" w:hAnsi="Times New Roman" w:cs="Times New Roman"/>
          <w:sz w:val="20"/>
          <w:szCs w:val="20"/>
          <w:lang w:bidi="ar-EG"/>
        </w:rPr>
        <w:t>Our study was concordant with the study done by Mair and Parsons which was carried out on Thirty-eight infants and toddlers 3 years old and younger. They found that major airway collapse presented in 30% of 129 children who underwent bronchoscopy for respiratory distress (9)</w:t>
      </w:r>
      <w:r w:rsidR="00E12792">
        <w:rPr>
          <w:rFonts w:ascii="Times New Roman" w:hAnsi="Times New Roman" w:cs="Times New Roman" w:hint="eastAsia"/>
          <w:sz w:val="20"/>
          <w:szCs w:val="20"/>
          <w:lang w:eastAsia="zh-CN" w:bidi="ar-EG"/>
        </w:rPr>
        <w:t>.</w:t>
      </w:r>
    </w:p>
    <w:p w:rsidR="00894A95" w:rsidRPr="00C70115" w:rsidRDefault="00894A95"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lastRenderedPageBreak/>
        <w:t xml:space="preserve">In our study on 113 pediatric patients underwent flexible bronchoscopy because of recurrent chest infection, stridor, barking cough, recurrent wheeze, persistent wheeze, rattling, aspiration and cyanosis there were 38 patients diagnosed with ECAC and the other 75 patients had different diagnosis. </w:t>
      </w:r>
    </w:p>
    <w:p w:rsidR="00894A95" w:rsidRPr="00C70115" w:rsidRDefault="00894A95"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This comes in agreement with Pan et al, who found in their large study on 2749 children presented with chronic cough, recurrent wheeze, recurrent airway infections, atelectasis etc., for performing fiberoptic bronchoscopy, among whom 459 children were diagnosed with airway malacia and they represented 16.70% of all the patients underwent bronchoscopy due to the same symptoms and signs (10).</w:t>
      </w:r>
    </w:p>
    <w:p w:rsidR="00894A95" w:rsidRPr="00C70115" w:rsidRDefault="00894A95"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Regarding the origin of the disease (57.9%) of our patients had idiopathic ECAC while (42.1%) of our patients have secondary ECAC. And this is in disagreement with study done by Murgu and Colt who found that (5.5%) patient had idiopathic origin and (94.4%) patients with secondary origin. The difference may be because their study was on adults patients (11).</w:t>
      </w:r>
    </w:p>
    <w:p w:rsidR="00894A95" w:rsidRPr="00C70115" w:rsidRDefault="00894A95"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 xml:space="preserve">Boogaard et al found that airway malacia was diagnosed in 160 children (94 males) at a median age of 4.0 years. The airway malacia was classified as primary in 136 (85%) children and secondary in 24 (15%) children and this concordant with our study regarding the origin of </w:t>
      </w:r>
      <w:r w:rsidR="00E12792" w:rsidRPr="00C70115">
        <w:rPr>
          <w:rFonts w:ascii="Times New Roman" w:hAnsi="Times New Roman" w:cs="Times New Roman"/>
          <w:sz w:val="20"/>
          <w:szCs w:val="20"/>
          <w:lang w:bidi="ar-EG"/>
        </w:rPr>
        <w:t>central airway</w:t>
      </w:r>
      <w:r w:rsidRPr="00C70115">
        <w:rPr>
          <w:rFonts w:ascii="Times New Roman" w:hAnsi="Times New Roman" w:cs="Times New Roman"/>
          <w:sz w:val="20"/>
          <w:szCs w:val="20"/>
          <w:lang w:bidi="ar-EG"/>
        </w:rPr>
        <w:t xml:space="preserve"> collapse in children. From these studies we can notice that the origin of ECAC in pediatrics differ from that in adults (12).</w:t>
      </w:r>
    </w:p>
    <w:p w:rsidR="007078FB" w:rsidRPr="00C70115" w:rsidRDefault="003420BF"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According to the previous literatures, the secondary causes of ECAC were mainly tracheoesophageal fistula, vascular malformations, congenital cysts, mass lesions causing mechanical compression, malignancy and any process causing chronic irritation/inflammation of the airway (ie, aspiration, reflux, chronic asthma). We found in our study that the most common causes of secondary ECAC was external vascular compression and it represent 28.9% of the secondary causes, while TEF was noticed in 5.2%</w:t>
      </w:r>
      <w:r w:rsidR="00C70115" w:rsidRPr="00C70115">
        <w:rPr>
          <w:rFonts w:ascii="Times New Roman" w:hAnsi="Times New Roman" w:cs="Times New Roman"/>
          <w:sz w:val="20"/>
          <w:szCs w:val="20"/>
          <w:lang w:bidi="ar-EG"/>
        </w:rPr>
        <w:t>.</w:t>
      </w:r>
      <w:r w:rsidR="00C70115">
        <w:rPr>
          <w:rFonts w:ascii="Times New Roman" w:hAnsi="Times New Roman" w:cs="Times New Roman"/>
          <w:sz w:val="20"/>
          <w:szCs w:val="20"/>
          <w:lang w:bidi="ar-EG"/>
        </w:rPr>
        <w:t xml:space="preserve"> </w:t>
      </w:r>
      <w:r w:rsidR="00C70115" w:rsidRPr="00C70115">
        <w:rPr>
          <w:rFonts w:ascii="Times New Roman" w:hAnsi="Times New Roman" w:cs="Times New Roman"/>
          <w:sz w:val="20"/>
          <w:szCs w:val="20"/>
          <w:lang w:bidi="ar-EG"/>
        </w:rPr>
        <w:t>T</w:t>
      </w:r>
      <w:r w:rsidRPr="00C70115">
        <w:rPr>
          <w:rFonts w:ascii="Times New Roman" w:hAnsi="Times New Roman" w:cs="Times New Roman"/>
          <w:sz w:val="20"/>
          <w:szCs w:val="20"/>
          <w:lang w:bidi="ar-EG"/>
        </w:rPr>
        <w:t>he least causes was bronchogenic cyst, mediastinalteratoma and HLH each represented by 2.6% of the secondary causes of ECAC.</w:t>
      </w:r>
    </w:p>
    <w:p w:rsidR="003420BF" w:rsidRPr="00C70115" w:rsidRDefault="003420BF"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In our study on the severity of ECAC, we used the cut off value ≥ 50% reduction in the cross-sectional area of airway to diagnose ECAC by flexible bronchoscopy</w:t>
      </w:r>
      <w:r w:rsidR="00C70115" w:rsidRPr="00C70115">
        <w:rPr>
          <w:rFonts w:ascii="Times New Roman" w:hAnsi="Times New Roman" w:cs="Times New Roman"/>
          <w:sz w:val="20"/>
          <w:szCs w:val="20"/>
          <w:lang w:bidi="ar-EG"/>
        </w:rPr>
        <w:t>.</w:t>
      </w:r>
      <w:r w:rsidR="00C70115">
        <w:rPr>
          <w:rFonts w:ascii="Times New Roman" w:hAnsi="Times New Roman" w:cs="Times New Roman"/>
          <w:sz w:val="20"/>
          <w:szCs w:val="20"/>
          <w:lang w:bidi="ar-EG"/>
        </w:rPr>
        <w:t xml:space="preserve"> </w:t>
      </w:r>
      <w:r w:rsidR="00C70115" w:rsidRPr="00C70115">
        <w:rPr>
          <w:rFonts w:ascii="Times New Roman" w:hAnsi="Times New Roman" w:cs="Times New Roman"/>
          <w:sz w:val="20"/>
          <w:szCs w:val="20"/>
          <w:lang w:bidi="ar-EG"/>
        </w:rPr>
        <w:t>M</w:t>
      </w:r>
      <w:r w:rsidRPr="00C70115">
        <w:rPr>
          <w:rFonts w:ascii="Times New Roman" w:hAnsi="Times New Roman" w:cs="Times New Roman"/>
          <w:sz w:val="20"/>
          <w:szCs w:val="20"/>
          <w:lang w:bidi="ar-EG"/>
        </w:rPr>
        <w:t>ajid et al 2014 reported in their study that a decrease in tracheal lumen size by 50% or less during exhalation is regarded as nonpathologic, between 51 and 75% as mild obstruction, between 76 and 90% as moderate obstruction, and between 91 and 100% as severe obstruction</w:t>
      </w:r>
      <w:r w:rsidR="000B2181" w:rsidRPr="00C70115">
        <w:rPr>
          <w:rFonts w:ascii="Times New Roman" w:hAnsi="Times New Roman" w:cs="Times New Roman"/>
          <w:sz w:val="20"/>
          <w:szCs w:val="20"/>
          <w:lang w:bidi="ar-EG"/>
        </w:rPr>
        <w:t xml:space="preserve"> (13).</w:t>
      </w:r>
    </w:p>
    <w:p w:rsidR="0044682F" w:rsidRPr="00C70115" w:rsidRDefault="0044682F"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lastRenderedPageBreak/>
        <w:t>Weinstein and coworkers in their study, used a 75% cutoff value, which is a reasonable criterion to avoid false positives (14).</w:t>
      </w:r>
    </w:p>
    <w:p w:rsidR="007078FB" w:rsidRPr="00C70115" w:rsidRDefault="007078FB" w:rsidP="00C70115">
      <w:pPr>
        <w:pStyle w:val="Heading4"/>
        <w:numPr>
          <w:ilvl w:val="0"/>
          <w:numId w:val="0"/>
        </w:numPr>
        <w:tabs>
          <w:tab w:val="clear" w:pos="142"/>
          <w:tab w:val="clear" w:pos="284"/>
        </w:tabs>
        <w:snapToGrid w:val="0"/>
        <w:spacing w:after="0" w:line="240" w:lineRule="auto"/>
        <w:contextualSpacing w:val="0"/>
        <w:rPr>
          <w:rFonts w:ascii="Times New Roman" w:hAnsi="Times New Roman" w:cs="Times New Roman"/>
          <w:sz w:val="20"/>
          <w:szCs w:val="20"/>
        </w:rPr>
      </w:pPr>
      <w:r w:rsidRPr="00C70115">
        <w:rPr>
          <w:rFonts w:ascii="Times New Roman" w:hAnsi="Times New Roman" w:cs="Times New Roman"/>
          <w:sz w:val="20"/>
          <w:szCs w:val="20"/>
        </w:rPr>
        <w:t>Limitations of our study:</w:t>
      </w:r>
    </w:p>
    <w:p w:rsidR="007078FB" w:rsidRPr="00C70115" w:rsidRDefault="007078FB" w:rsidP="00C70115">
      <w:pPr>
        <w:bidi w:val="0"/>
        <w:snapToGrid w:val="0"/>
        <w:spacing w:after="0" w:line="240" w:lineRule="auto"/>
        <w:ind w:firstLine="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This prospective study had several limitations. First, bronchoscopy was not performed in controls. However, bronchoscopy is an invasive procedure particularly in children as it is difficult to justify in a control group of young children.</w:t>
      </w:r>
      <w:r w:rsidRPr="00C70115">
        <w:rPr>
          <w:rFonts w:ascii="Times New Roman" w:hAnsi="Times New Roman" w:cs="Times New Roman"/>
          <w:sz w:val="20"/>
          <w:szCs w:val="20"/>
        </w:rPr>
        <w:t xml:space="preserve"> Second, </w:t>
      </w:r>
      <w:r w:rsidRPr="00C70115">
        <w:rPr>
          <w:rFonts w:ascii="Times New Roman" w:hAnsi="Times New Roman" w:cs="Times New Roman"/>
          <w:sz w:val="20"/>
          <w:szCs w:val="20"/>
          <w:lang w:bidi="ar-EG"/>
        </w:rPr>
        <w:t>another limitation of our study is that the lumen size was subjectively estimated by anteroposterior diameter and not quantitatively measured by cross-sectional area by bronchoscopy.</w:t>
      </w:r>
    </w:p>
    <w:p w:rsidR="00646F32" w:rsidRPr="00C70115" w:rsidRDefault="00646F32" w:rsidP="00C70115">
      <w:pPr>
        <w:bidi w:val="0"/>
        <w:snapToGrid w:val="0"/>
        <w:spacing w:after="0" w:line="240" w:lineRule="auto"/>
        <w:jc w:val="both"/>
        <w:rPr>
          <w:rFonts w:ascii="Times New Roman" w:hAnsi="Times New Roman" w:cs="Times New Roman"/>
          <w:b/>
          <w:bCs/>
          <w:sz w:val="20"/>
          <w:szCs w:val="20"/>
        </w:rPr>
      </w:pPr>
    </w:p>
    <w:p w:rsidR="00670A20" w:rsidRPr="00C70115" w:rsidRDefault="00646F32" w:rsidP="00C70115">
      <w:pPr>
        <w:bidi w:val="0"/>
        <w:snapToGrid w:val="0"/>
        <w:spacing w:after="0" w:line="240" w:lineRule="auto"/>
        <w:jc w:val="both"/>
        <w:rPr>
          <w:rFonts w:ascii="Times New Roman" w:hAnsi="Times New Roman" w:cs="Times New Roman"/>
          <w:sz w:val="20"/>
          <w:szCs w:val="20"/>
        </w:rPr>
      </w:pPr>
      <w:r w:rsidRPr="00C70115">
        <w:rPr>
          <w:rFonts w:ascii="Times New Roman" w:hAnsi="Times New Roman" w:cs="Times New Roman"/>
          <w:b/>
          <w:bCs/>
          <w:sz w:val="20"/>
          <w:szCs w:val="20"/>
        </w:rPr>
        <w:t xml:space="preserve">5. </w:t>
      </w:r>
      <w:r w:rsidR="00670A20" w:rsidRPr="00C70115">
        <w:rPr>
          <w:rFonts w:ascii="Times New Roman" w:hAnsi="Times New Roman" w:cs="Times New Roman"/>
          <w:b/>
          <w:bCs/>
          <w:sz w:val="20"/>
          <w:szCs w:val="20"/>
        </w:rPr>
        <w:t>Conclusion</w:t>
      </w:r>
    </w:p>
    <w:p w:rsidR="00670A20" w:rsidRPr="00C70115" w:rsidRDefault="00B22F4A" w:rsidP="00C70115">
      <w:pPr>
        <w:bidi w:val="0"/>
        <w:snapToGrid w:val="0"/>
        <w:spacing w:after="0" w:line="240" w:lineRule="auto"/>
        <w:ind w:firstLine="425"/>
        <w:jc w:val="both"/>
        <w:rPr>
          <w:rFonts w:ascii="Times New Roman" w:eastAsia="Calibri" w:hAnsi="Times New Roman" w:cs="Times New Roman"/>
          <w:sz w:val="20"/>
          <w:szCs w:val="20"/>
          <w:lang w:bidi="ar-EG"/>
        </w:rPr>
      </w:pPr>
      <w:r w:rsidRPr="00C70115">
        <w:rPr>
          <w:rFonts w:ascii="Times New Roman" w:eastAsia="Calibri" w:hAnsi="Times New Roman" w:cs="Times New Roman"/>
          <w:sz w:val="20"/>
          <w:szCs w:val="20"/>
          <w:lang w:bidi="ar-EG"/>
        </w:rPr>
        <w:t>Flexible bronchoscopy is the “gold standard” for diagnosing and assessing changes in airway luminal size associated with expiratory central airway collapse</w:t>
      </w:r>
      <w:r w:rsidR="00C70115" w:rsidRPr="00C70115">
        <w:rPr>
          <w:rFonts w:ascii="Times New Roman" w:eastAsia="Calibri" w:hAnsi="Times New Roman" w:cs="Times New Roman"/>
          <w:sz w:val="20"/>
          <w:szCs w:val="20"/>
          <w:lang w:bidi="ar-EG"/>
        </w:rPr>
        <w:t>.</w:t>
      </w:r>
      <w:r w:rsidR="00C70115">
        <w:rPr>
          <w:rFonts w:ascii="Times New Roman" w:eastAsia="Calibri" w:hAnsi="Times New Roman" w:cs="Times New Roman"/>
          <w:sz w:val="20"/>
          <w:szCs w:val="20"/>
          <w:lang w:bidi="ar-EG"/>
        </w:rPr>
        <w:t xml:space="preserve"> </w:t>
      </w:r>
      <w:r w:rsidR="00C70115" w:rsidRPr="00C70115">
        <w:rPr>
          <w:rFonts w:ascii="Times New Roman" w:eastAsia="Calibri" w:hAnsi="Times New Roman" w:cs="Times New Roman"/>
          <w:sz w:val="20"/>
          <w:szCs w:val="20"/>
          <w:lang w:bidi="ar-EG"/>
        </w:rPr>
        <w:t>T</w:t>
      </w:r>
      <w:r w:rsidRPr="00C70115">
        <w:rPr>
          <w:rFonts w:ascii="Times New Roman" w:eastAsia="Calibri" w:hAnsi="Times New Roman" w:cs="Times New Roman"/>
          <w:sz w:val="20"/>
          <w:szCs w:val="20"/>
          <w:lang w:bidi="ar-EG"/>
        </w:rPr>
        <w:t>he prevalence of TBM and EDAC depends upon the patient population, associated comorbidities and underlying etiologies, diagnostic tools used and criteria used to define the airway collapse.</w:t>
      </w:r>
    </w:p>
    <w:p w:rsidR="00B22F4A" w:rsidRPr="00C70115" w:rsidRDefault="00B22F4A" w:rsidP="00C70115">
      <w:pPr>
        <w:bidi w:val="0"/>
        <w:snapToGrid w:val="0"/>
        <w:spacing w:after="0" w:line="240" w:lineRule="auto"/>
        <w:jc w:val="both"/>
        <w:rPr>
          <w:rFonts w:ascii="Times New Roman" w:hAnsi="Times New Roman" w:cs="Times New Roman"/>
          <w:b/>
          <w:bCs/>
          <w:sz w:val="20"/>
          <w:szCs w:val="20"/>
        </w:rPr>
      </w:pPr>
    </w:p>
    <w:p w:rsidR="00670A20" w:rsidRPr="00C70115" w:rsidRDefault="00670A20" w:rsidP="00C70115">
      <w:pPr>
        <w:bidi w:val="0"/>
        <w:snapToGrid w:val="0"/>
        <w:spacing w:after="0" w:line="240" w:lineRule="auto"/>
        <w:jc w:val="both"/>
        <w:rPr>
          <w:rFonts w:ascii="Times New Roman" w:hAnsi="Times New Roman" w:cs="Times New Roman"/>
          <w:sz w:val="20"/>
          <w:szCs w:val="20"/>
        </w:rPr>
      </w:pPr>
      <w:r w:rsidRPr="00C70115">
        <w:rPr>
          <w:rFonts w:ascii="Times New Roman" w:hAnsi="Times New Roman" w:cs="Times New Roman"/>
          <w:b/>
          <w:bCs/>
          <w:sz w:val="20"/>
          <w:szCs w:val="20"/>
        </w:rPr>
        <w:t>Declaration of Conflicting Interests</w:t>
      </w:r>
    </w:p>
    <w:p w:rsidR="00670A20" w:rsidRPr="00C70115" w:rsidRDefault="00670A20" w:rsidP="00C70115">
      <w:pPr>
        <w:bidi w:val="0"/>
        <w:snapToGrid w:val="0"/>
        <w:spacing w:after="0" w:line="240" w:lineRule="auto"/>
        <w:ind w:firstLine="425"/>
        <w:jc w:val="both"/>
        <w:rPr>
          <w:rFonts w:ascii="Times New Roman" w:hAnsi="Times New Roman" w:cs="Times New Roman"/>
          <w:sz w:val="20"/>
          <w:szCs w:val="20"/>
        </w:rPr>
      </w:pPr>
      <w:r w:rsidRPr="00C70115">
        <w:rPr>
          <w:rFonts w:ascii="Times New Roman" w:hAnsi="Times New Roman" w:cs="Times New Roman"/>
          <w:sz w:val="20"/>
          <w:szCs w:val="20"/>
        </w:rPr>
        <w:t>The autho</w:t>
      </w:r>
      <w:r w:rsidR="00FF6FF7" w:rsidRPr="00C70115">
        <w:rPr>
          <w:rFonts w:ascii="Times New Roman" w:hAnsi="Times New Roman" w:cs="Times New Roman"/>
          <w:sz w:val="20"/>
          <w:szCs w:val="20"/>
        </w:rPr>
        <w:t>r (</w:t>
      </w:r>
      <w:r w:rsidRPr="00C70115">
        <w:rPr>
          <w:rFonts w:ascii="Times New Roman" w:hAnsi="Times New Roman" w:cs="Times New Roman"/>
          <w:sz w:val="20"/>
          <w:szCs w:val="20"/>
        </w:rPr>
        <w:t>s) declared no potential conflicts of interest with respect to the research, authorship, and/or publication of this article.</w:t>
      </w:r>
    </w:p>
    <w:p w:rsidR="00670A20" w:rsidRPr="00C70115" w:rsidRDefault="00670A20" w:rsidP="00C70115">
      <w:pPr>
        <w:bidi w:val="0"/>
        <w:snapToGrid w:val="0"/>
        <w:spacing w:after="0" w:line="240" w:lineRule="auto"/>
        <w:jc w:val="both"/>
        <w:rPr>
          <w:rFonts w:ascii="Times New Roman" w:hAnsi="Times New Roman" w:cs="Times New Roman"/>
          <w:b/>
          <w:bCs/>
          <w:sz w:val="20"/>
          <w:szCs w:val="20"/>
        </w:rPr>
      </w:pPr>
    </w:p>
    <w:p w:rsidR="00670A20" w:rsidRPr="00C70115" w:rsidRDefault="00670A20" w:rsidP="00C70115">
      <w:pPr>
        <w:bidi w:val="0"/>
        <w:snapToGrid w:val="0"/>
        <w:spacing w:after="0" w:line="240" w:lineRule="auto"/>
        <w:jc w:val="both"/>
        <w:rPr>
          <w:rFonts w:ascii="Times New Roman" w:hAnsi="Times New Roman" w:cs="Times New Roman"/>
          <w:sz w:val="20"/>
          <w:szCs w:val="20"/>
        </w:rPr>
      </w:pPr>
      <w:r w:rsidRPr="00C70115">
        <w:rPr>
          <w:rFonts w:ascii="Times New Roman" w:hAnsi="Times New Roman" w:cs="Times New Roman"/>
          <w:b/>
          <w:bCs/>
          <w:sz w:val="20"/>
          <w:szCs w:val="20"/>
        </w:rPr>
        <w:t>Funding</w:t>
      </w:r>
    </w:p>
    <w:p w:rsidR="00670A20" w:rsidRPr="00C70115" w:rsidRDefault="00670A20" w:rsidP="00C70115">
      <w:pPr>
        <w:bidi w:val="0"/>
        <w:snapToGrid w:val="0"/>
        <w:spacing w:after="0" w:line="240" w:lineRule="auto"/>
        <w:ind w:firstLine="425"/>
        <w:jc w:val="both"/>
        <w:rPr>
          <w:rFonts w:ascii="Times New Roman" w:hAnsi="Times New Roman" w:cs="Times New Roman"/>
          <w:sz w:val="20"/>
          <w:szCs w:val="20"/>
        </w:rPr>
      </w:pPr>
      <w:r w:rsidRPr="00C70115">
        <w:rPr>
          <w:rFonts w:ascii="Times New Roman" w:hAnsi="Times New Roman" w:cs="Times New Roman"/>
          <w:sz w:val="20"/>
          <w:szCs w:val="20"/>
        </w:rPr>
        <w:t>The autho</w:t>
      </w:r>
      <w:r w:rsidR="00FF6FF7" w:rsidRPr="00C70115">
        <w:rPr>
          <w:rFonts w:ascii="Times New Roman" w:hAnsi="Times New Roman" w:cs="Times New Roman"/>
          <w:sz w:val="20"/>
          <w:szCs w:val="20"/>
        </w:rPr>
        <w:t>r (</w:t>
      </w:r>
      <w:r w:rsidRPr="00C70115">
        <w:rPr>
          <w:rFonts w:ascii="Times New Roman" w:hAnsi="Times New Roman" w:cs="Times New Roman"/>
          <w:sz w:val="20"/>
          <w:szCs w:val="20"/>
        </w:rPr>
        <w:t>s) received no financial support for the research, authorship, and/or publication of this article.</w:t>
      </w:r>
    </w:p>
    <w:p w:rsidR="00A72FFD" w:rsidRPr="00C70115" w:rsidRDefault="00A72FFD" w:rsidP="00C70115">
      <w:pPr>
        <w:bidi w:val="0"/>
        <w:snapToGrid w:val="0"/>
        <w:spacing w:after="0" w:line="240" w:lineRule="auto"/>
        <w:ind w:firstLine="425"/>
        <w:jc w:val="both"/>
        <w:rPr>
          <w:rFonts w:ascii="Times New Roman" w:hAnsi="Times New Roman" w:cs="Times New Roman"/>
          <w:sz w:val="20"/>
          <w:szCs w:val="20"/>
        </w:rPr>
      </w:pPr>
    </w:p>
    <w:p w:rsidR="00646F32" w:rsidRPr="00C70115" w:rsidRDefault="00646F32" w:rsidP="00C70115">
      <w:pPr>
        <w:bidi w:val="0"/>
        <w:snapToGrid w:val="0"/>
        <w:spacing w:after="0" w:line="240" w:lineRule="auto"/>
        <w:jc w:val="both"/>
        <w:rPr>
          <w:rFonts w:ascii="Times New Roman" w:hAnsi="Times New Roman" w:cs="Times New Roman"/>
          <w:b/>
          <w:bCs/>
          <w:sz w:val="20"/>
          <w:szCs w:val="20"/>
          <w:lang w:bidi="ar-EG"/>
        </w:rPr>
      </w:pPr>
      <w:r w:rsidRPr="00C70115">
        <w:rPr>
          <w:rFonts w:ascii="Times New Roman" w:hAnsi="Times New Roman" w:cs="Times New Roman"/>
          <w:b/>
          <w:bCs/>
          <w:sz w:val="20"/>
          <w:szCs w:val="20"/>
          <w:lang w:bidi="ar-EG"/>
        </w:rPr>
        <w:t>Corresponding author:</w:t>
      </w:r>
    </w:p>
    <w:p w:rsidR="00646F32" w:rsidRPr="00C70115" w:rsidRDefault="00646F32" w:rsidP="00C70115">
      <w:pPr>
        <w:bidi w:val="0"/>
        <w:snapToGrid w:val="0"/>
        <w:spacing w:after="0" w:line="240" w:lineRule="auto"/>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Rehab Zak</w:t>
      </w:r>
      <w:r w:rsidR="00C70115" w:rsidRPr="00C70115">
        <w:rPr>
          <w:rFonts w:ascii="Times New Roman" w:hAnsi="Times New Roman" w:cs="Times New Roman"/>
          <w:sz w:val="20"/>
          <w:szCs w:val="20"/>
          <w:lang w:bidi="ar-EG"/>
        </w:rPr>
        <w:t>i</w:t>
      </w:r>
      <w:r w:rsidR="00C70115">
        <w:rPr>
          <w:rFonts w:ascii="Times New Roman" w:hAnsi="Times New Roman" w:cs="Times New Roman"/>
          <w:sz w:val="20"/>
          <w:szCs w:val="20"/>
          <w:lang w:bidi="ar-EG"/>
        </w:rPr>
        <w:t xml:space="preserve"> </w:t>
      </w:r>
      <w:r w:rsidR="00C70115" w:rsidRPr="00C70115">
        <w:rPr>
          <w:rFonts w:ascii="Times New Roman" w:hAnsi="Times New Roman" w:cs="Times New Roman"/>
          <w:sz w:val="20"/>
          <w:szCs w:val="20"/>
          <w:lang w:bidi="ar-EG"/>
        </w:rPr>
        <w:t>E</w:t>
      </w:r>
      <w:r w:rsidRPr="00C70115">
        <w:rPr>
          <w:rFonts w:ascii="Times New Roman" w:hAnsi="Times New Roman" w:cs="Times New Roman"/>
          <w:sz w:val="20"/>
          <w:szCs w:val="20"/>
          <w:lang w:bidi="ar-EG"/>
        </w:rPr>
        <w:t>lmeazawy, MSc.</w:t>
      </w:r>
    </w:p>
    <w:p w:rsidR="00646F32" w:rsidRPr="00C70115" w:rsidRDefault="00646F32" w:rsidP="00C70115">
      <w:pPr>
        <w:bidi w:val="0"/>
        <w:snapToGrid w:val="0"/>
        <w:spacing w:after="0" w:line="240" w:lineRule="auto"/>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Department of Pediatrics, Tanta University, Tanta, Egypt.</w:t>
      </w:r>
    </w:p>
    <w:p w:rsidR="00646F32" w:rsidRPr="00C70115" w:rsidRDefault="00646F32" w:rsidP="00C70115">
      <w:pPr>
        <w:bidi w:val="0"/>
        <w:snapToGrid w:val="0"/>
        <w:spacing w:after="0" w:line="240" w:lineRule="auto"/>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 xml:space="preserve">Email: </w:t>
      </w:r>
      <w:hyperlink r:id="rId23" w:history="1">
        <w:r w:rsidRPr="00C70115">
          <w:rPr>
            <w:rStyle w:val="Hyperlink"/>
            <w:rFonts w:ascii="Times New Roman" w:hAnsi="Times New Roman" w:cs="Times New Roman"/>
            <w:sz w:val="20"/>
            <w:szCs w:val="20"/>
            <w:lang w:bidi="ar-EG"/>
          </w:rPr>
          <w:t>rehab_zaki2013@yahoo.com</w:t>
        </w:r>
      </w:hyperlink>
    </w:p>
    <w:p w:rsidR="008E3881" w:rsidRPr="00C70115" w:rsidRDefault="008E3881" w:rsidP="00C70115">
      <w:pPr>
        <w:bidi w:val="0"/>
        <w:snapToGrid w:val="0"/>
        <w:spacing w:after="0" w:line="240" w:lineRule="auto"/>
        <w:jc w:val="both"/>
        <w:rPr>
          <w:rFonts w:ascii="Times New Roman" w:hAnsi="Times New Roman" w:cs="Times New Roman"/>
          <w:b/>
          <w:bCs/>
          <w:sz w:val="20"/>
          <w:szCs w:val="20"/>
        </w:rPr>
      </w:pPr>
    </w:p>
    <w:p w:rsidR="00A72FFD" w:rsidRPr="00C70115" w:rsidRDefault="00A72FFD" w:rsidP="00C70115">
      <w:pPr>
        <w:bidi w:val="0"/>
        <w:snapToGrid w:val="0"/>
        <w:spacing w:after="0" w:line="240" w:lineRule="auto"/>
        <w:jc w:val="both"/>
        <w:rPr>
          <w:rFonts w:ascii="Times New Roman" w:hAnsi="Times New Roman" w:cs="Times New Roman"/>
          <w:b/>
          <w:bCs/>
          <w:sz w:val="20"/>
          <w:szCs w:val="20"/>
        </w:rPr>
      </w:pPr>
      <w:r w:rsidRPr="00C70115">
        <w:rPr>
          <w:rFonts w:ascii="Times New Roman" w:hAnsi="Times New Roman" w:cs="Times New Roman"/>
          <w:b/>
          <w:bCs/>
          <w:sz w:val="20"/>
          <w:szCs w:val="20"/>
        </w:rPr>
        <w:t>References</w:t>
      </w:r>
    </w:p>
    <w:p w:rsidR="00DA7A99" w:rsidRPr="00C70115" w:rsidRDefault="0072158A"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Murgu</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Colt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H</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Tracheobronchomalacia</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excessive</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dynamic</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airway</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collapse.</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Clinics</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in</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chest</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medicine</w:t>
      </w:r>
      <w:r w:rsidRPr="00C70115">
        <w:rPr>
          <w:rFonts w:ascii="Times New Roman" w:hAnsi="Times New Roman" w:cs="Times New Roman"/>
          <w:noProof/>
          <w:sz w:val="20"/>
          <w:szCs w:val="20"/>
        </w:rPr>
        <w:t>.2013</w:t>
      </w:r>
      <w:r w:rsidR="00DA7A99" w:rsidRPr="00C70115">
        <w:rPr>
          <w:rFonts w:ascii="Times New Roman" w:hAnsi="Times New Roman" w:cs="Times New Roman"/>
          <w:noProof/>
          <w:sz w:val="20"/>
          <w:szCs w:val="20"/>
        </w:rPr>
        <w:t>;</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34:</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527–555.</w:t>
      </w:r>
      <w:r w:rsidR="00FF6FF7" w:rsidRPr="00C70115">
        <w:rPr>
          <w:rFonts w:ascii="Times New Roman" w:hAnsi="Times New Roman" w:cs="Times New Roman"/>
          <w:noProof/>
          <w:sz w:val="20"/>
          <w:szCs w:val="20"/>
        </w:rPr>
        <w:t xml:space="preserve"> </w:t>
      </w:r>
    </w:p>
    <w:p w:rsidR="00DA7A99" w:rsidRPr="00C70115" w:rsidRDefault="0072158A"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Murgu</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Colt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H</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G</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Expiratory</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central</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airway</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collapse:</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a</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concise</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review.</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Egyptian</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Journal</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Bronchology</w:t>
      </w:r>
      <w:r w:rsidRPr="00C70115">
        <w:rPr>
          <w:rFonts w:ascii="Times New Roman" w:hAnsi="Times New Roman" w:cs="Times New Roman"/>
          <w:noProof/>
          <w:sz w:val="20"/>
          <w:szCs w:val="20"/>
        </w:rPr>
        <w:t>.2007a</w:t>
      </w:r>
      <w:r w:rsidR="00DA7A99" w:rsidRPr="00C70115">
        <w:rPr>
          <w:rFonts w:ascii="Times New Roman" w:hAnsi="Times New Roman" w:cs="Times New Roman"/>
          <w:noProof/>
          <w:sz w:val="20"/>
          <w:szCs w:val="20"/>
        </w:rPr>
        <w:t>;</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1:</w:t>
      </w:r>
      <w:r w:rsidR="00FF6FF7" w:rsidRPr="00C70115">
        <w:rPr>
          <w:rFonts w:ascii="Times New Roman" w:hAnsi="Times New Roman" w:cs="Times New Roman"/>
          <w:noProof/>
          <w:sz w:val="20"/>
          <w:szCs w:val="20"/>
        </w:rPr>
        <w:t xml:space="preserve"> </w:t>
      </w:r>
      <w:r w:rsidR="00DA7A99" w:rsidRPr="00C70115">
        <w:rPr>
          <w:rFonts w:ascii="Times New Roman" w:hAnsi="Times New Roman" w:cs="Times New Roman"/>
          <w:noProof/>
          <w:sz w:val="20"/>
          <w:szCs w:val="20"/>
        </w:rPr>
        <w:t>87–99.</w:t>
      </w:r>
      <w:r w:rsidR="00FF6FF7" w:rsidRPr="00C70115">
        <w:rPr>
          <w:rFonts w:ascii="Times New Roman" w:hAnsi="Times New Roman" w:cs="Times New Roman"/>
          <w:noProof/>
          <w:sz w:val="20"/>
          <w:szCs w:val="20"/>
        </w:rPr>
        <w:t xml:space="preserve"> </w:t>
      </w:r>
    </w:p>
    <w:p w:rsidR="00DA7A99" w:rsidRPr="00C70115" w:rsidRDefault="00DA7A99"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Folch</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Tracheobronchomalacia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bookmarkStart w:id="6" w:name="_GoBack"/>
      <w:bookmarkEnd w:id="6"/>
      <w:r w:rsidRPr="00C70115">
        <w:rPr>
          <w:rFonts w:ascii="Times New Roman" w:hAnsi="Times New Roman" w:cs="Times New Roman"/>
          <w:noProof/>
          <w:sz w:val="20"/>
          <w:szCs w:val="20"/>
        </w:rPr>
        <w:t>Excessive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Dynamic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Airway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Collapse.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Dis.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Cent.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Airways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Springe</w:t>
      </w:r>
      <w:r w:rsidR="0072158A" w:rsidRPr="00C70115">
        <w:rPr>
          <w:rFonts w:ascii="Times New Roman" w:hAnsi="Times New Roman" w:cs="Times New Roman"/>
          <w:noProof/>
          <w:sz w:val="20"/>
          <w:szCs w:val="20"/>
        </w:rPr>
        <w:t>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2016</w:t>
      </w:r>
      <w:r w:rsidR="0072158A" w:rsidRPr="00C70115">
        <w:rPr>
          <w:rFonts w:ascii="Times New Roman" w:hAnsi="Times New Roman" w:cs="Times New Roman"/>
          <w:noProof/>
          <w:sz w:val="20"/>
          <w:szCs w:val="20"/>
        </w:rPr>
        <w: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133–146.</w:t>
      </w:r>
    </w:p>
    <w:p w:rsidR="00D96CAD" w:rsidRPr="00C70115" w:rsidRDefault="00D96CAD"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Caliskan</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T,</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Sungurlu</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S</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Murgu</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Personalized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interventions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for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tracheobronchomalacia.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Journal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thoracic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disease</w:t>
      </w:r>
      <w:r w:rsidR="0072158A" w:rsidRPr="00C70115">
        <w:rPr>
          <w:rFonts w:ascii="Times New Roman" w:hAnsi="Times New Roman" w:cs="Times New Roman"/>
          <w:noProof/>
          <w:sz w:val="20"/>
          <w:szCs w:val="20"/>
        </w:rPr>
        <w:t>.2016</w:t>
      </w:r>
      <w:r w:rsidRPr="00C70115">
        <w:rPr>
          <w:rFonts w:ascii="Times New Roman" w:hAnsi="Times New Roman" w:cs="Times New Roman"/>
          <w:noProof/>
          <w:sz w:val="20"/>
          <w:szCs w:val="20"/>
        </w:rPr>
        <w: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8:</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3486.</w:t>
      </w:r>
      <w:r w:rsidR="00FF6FF7" w:rsidRPr="00C70115">
        <w:rPr>
          <w:rFonts w:ascii="Times New Roman" w:hAnsi="Times New Roman" w:cs="Times New Roman"/>
          <w:noProof/>
          <w:sz w:val="20"/>
          <w:szCs w:val="20"/>
        </w:rPr>
        <w:t xml:space="preserve"> </w:t>
      </w:r>
    </w:p>
    <w:p w:rsidR="00D96CAD" w:rsidRPr="00C70115" w:rsidRDefault="00D96CAD"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Kalra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Abouzgheib</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W,</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Gajera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M,</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Palaniswamy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Puri</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N,</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Dellinger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RP.</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Excessive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dynamic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airway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collapse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for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the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internist: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new</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lastRenderedPageBreak/>
        <w:t>nomenclature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different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entity?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Postgrad.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Med.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J</w:t>
      </w:r>
      <w:r w:rsidRPr="00C70115">
        <w:rPr>
          <w:rFonts w:ascii="Times New Roman" w:hAnsi="Times New Roman" w:cs="Times New Roman"/>
          <w:i/>
          <w:iCs/>
          <w:noProof/>
          <w:sz w:val="20"/>
          <w:szCs w:val="20"/>
        </w:rPr>
        <w: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The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Fell</w:t>
      </w:r>
      <w:r w:rsidR="0072158A" w:rsidRPr="00C70115">
        <w:rPr>
          <w:rFonts w:ascii="Times New Roman" w:hAnsi="Times New Roman" w:cs="Times New Roman"/>
          <w:noProof/>
          <w:sz w:val="20"/>
          <w:szCs w:val="20"/>
        </w:rPr>
        <w:t>owship</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Postgraduate</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Medicine.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2011;</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87:</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482–486.</w:t>
      </w:r>
    </w:p>
    <w:p w:rsidR="00DA7A99" w:rsidRPr="00C70115" w:rsidRDefault="00D96CAD"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Deacon</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JWF,</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Widger</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J</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Soma</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MA.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Paediatric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tracheomalaci</w:t>
      </w:r>
      <w:r w:rsidR="00C70115" w:rsidRPr="00C70115">
        <w:rPr>
          <w:rFonts w:ascii="Times New Roman" w:hAnsi="Times New Roman" w:cs="Times New Roman"/>
          <w:noProof/>
          <w:sz w:val="20"/>
          <w:szCs w:val="20"/>
        </w:rPr>
        <w:t>a</w:t>
      </w:r>
      <w:r w:rsidR="00C70115">
        <w:rPr>
          <w:rFonts w:ascii="Times New Roman" w:hAnsi="Times New Roman" w:cs="Times New Roman"/>
          <w:noProof/>
          <w:sz w:val="20"/>
          <w:szCs w:val="20"/>
        </w:rPr>
        <w:t xml:space="preserve"> </w:t>
      </w:r>
      <w:r w:rsidR="00C70115" w:rsidRPr="00C70115">
        <w:rPr>
          <w:rFonts w:ascii="Times New Roman" w:hAnsi="Times New Roman" w:cs="Times New Roman"/>
          <w:noProof/>
          <w:sz w:val="20"/>
          <w:szCs w:val="20"/>
        </w:rPr>
        <w:t>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review</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clinical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features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comparison</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diagnostic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imaging</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techniques.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International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journal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pediatric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otorhinolaryngology</w:t>
      </w:r>
      <w:r w:rsidR="0072158A" w:rsidRPr="00C70115">
        <w:rPr>
          <w:rFonts w:ascii="Times New Roman" w:hAnsi="Times New Roman" w:cs="Times New Roman"/>
          <w:noProof/>
          <w:sz w:val="20"/>
          <w:szCs w:val="20"/>
        </w:rPr>
        <w:t>.2017</w:t>
      </w:r>
      <w:r w:rsidRPr="00C70115">
        <w:rPr>
          <w:rFonts w:ascii="Times New Roman" w:hAnsi="Times New Roman" w:cs="Times New Roman"/>
          <w:noProof/>
          <w:sz w:val="20"/>
          <w:szCs w:val="20"/>
        </w:rPr>
        <w: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98:75–81.</w:t>
      </w:r>
    </w:p>
    <w:p w:rsidR="00D96CAD" w:rsidRPr="00C70115" w:rsidRDefault="00D96CAD"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Choo</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EM,</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Seaman</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JC,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Musani</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AI.</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Tracheomalacia/tracheobronchomalacia</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hyperdynamic</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airway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collapse.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Immunol.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Allergy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Clin.</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Elsevier.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2013;</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33:</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23–34.</w:t>
      </w:r>
    </w:p>
    <w:p w:rsidR="00D96CAD" w:rsidRPr="00C70115" w:rsidRDefault="008E3881" w:rsidP="00C70115">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noProof/>
          <w:sz w:val="20"/>
          <w:szCs w:val="20"/>
        </w:rPr>
      </w:pPr>
      <w:r w:rsidRPr="00C70115">
        <w:rPr>
          <w:rFonts w:ascii="Times New Roman" w:hAnsi="Times New Roman" w:cs="Times New Roman"/>
          <w:noProof/>
          <w:sz w:val="20"/>
          <w:szCs w:val="20"/>
        </w:rPr>
        <w:t>Nygaard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M,</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Bendstrup</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Dahl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H</w:t>
      </w:r>
      <w:r w:rsidR="0072158A" w:rsidRPr="00C70115">
        <w:rPr>
          <w:rFonts w:ascii="Times New Roman" w:hAnsi="Times New Roman" w:cs="Times New Roman"/>
          <w:noProof/>
          <w:sz w:val="20"/>
          <w:szCs w:val="20"/>
        </w:rPr>
        <w:t>ilberg</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O</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and</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Rasmussen</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F</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Tracheal</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collapse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diagnosed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by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multidetector</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computed</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tomography:</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evaluation</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of</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different</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image</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analysis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methods.</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Europea</w:t>
      </w:r>
      <w:r w:rsidR="0072158A" w:rsidRPr="00C70115">
        <w:rPr>
          <w:rFonts w:ascii="Times New Roman" w:hAnsi="Times New Roman" w:cs="Times New Roman"/>
          <w:noProof/>
          <w:sz w:val="20"/>
          <w:szCs w:val="20"/>
        </w:rPr>
        <w:t>n</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clinical</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respiratory</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journal.</w:t>
      </w:r>
      <w:r w:rsidR="00FF6FF7" w:rsidRPr="00C70115">
        <w:rPr>
          <w:rFonts w:ascii="Times New Roman" w:hAnsi="Times New Roman" w:cs="Times New Roman"/>
          <w:noProof/>
          <w:sz w:val="20"/>
          <w:szCs w:val="20"/>
        </w:rPr>
        <w:t xml:space="preserve"> </w:t>
      </w:r>
      <w:r w:rsidR="0072158A" w:rsidRPr="00C70115">
        <w:rPr>
          <w:rFonts w:ascii="Times New Roman" w:hAnsi="Times New Roman" w:cs="Times New Roman"/>
          <w:noProof/>
          <w:sz w:val="20"/>
          <w:szCs w:val="20"/>
        </w:rPr>
        <w:t>2017;</w:t>
      </w:r>
      <w:r w:rsidRPr="00C70115">
        <w:rPr>
          <w:rFonts w:ascii="Times New Roman" w:hAnsi="Times New Roman" w:cs="Times New Roman"/>
          <w:noProof/>
          <w:sz w:val="20"/>
          <w:szCs w:val="20"/>
        </w:rPr>
        <w:t>4:</w:t>
      </w:r>
      <w:r w:rsidR="00FF6FF7" w:rsidRPr="00C70115">
        <w:rPr>
          <w:rFonts w:ascii="Times New Roman" w:hAnsi="Times New Roman" w:cs="Times New Roman"/>
          <w:noProof/>
          <w:sz w:val="20"/>
          <w:szCs w:val="20"/>
        </w:rPr>
        <w:t xml:space="preserve"> </w:t>
      </w:r>
      <w:r w:rsidRPr="00C70115">
        <w:rPr>
          <w:rFonts w:ascii="Times New Roman" w:hAnsi="Times New Roman" w:cs="Times New Roman"/>
          <w:noProof/>
          <w:sz w:val="20"/>
          <w:szCs w:val="20"/>
        </w:rPr>
        <w:t>1407624.</w:t>
      </w:r>
    </w:p>
    <w:p w:rsidR="00A72FFD" w:rsidRPr="00C70115" w:rsidRDefault="008E3881" w:rsidP="00C70115">
      <w:pPr>
        <w:pStyle w:val="ListParagraph"/>
        <w:numPr>
          <w:ilvl w:val="0"/>
          <w:numId w:val="13"/>
        </w:numPr>
        <w:bidi w:val="0"/>
        <w:snapToGrid w:val="0"/>
        <w:spacing w:after="0" w:line="240" w:lineRule="auto"/>
        <w:ind w:left="425" w:hanging="425"/>
        <w:jc w:val="both"/>
        <w:rPr>
          <w:rFonts w:ascii="Times New Roman" w:hAnsi="Times New Roman" w:cs="Times New Roman"/>
          <w:sz w:val="20"/>
          <w:szCs w:val="20"/>
        </w:rPr>
      </w:pPr>
      <w:r w:rsidRPr="00C70115">
        <w:rPr>
          <w:rFonts w:ascii="Times New Roman" w:hAnsi="Times New Roman" w:cs="Times New Roman"/>
          <w:sz w:val="20"/>
          <w:szCs w:val="20"/>
        </w:rPr>
        <w:t>M</w:t>
      </w:r>
      <w:r w:rsidR="0072158A" w:rsidRPr="00C70115">
        <w:rPr>
          <w:rFonts w:ascii="Times New Roman" w:hAnsi="Times New Roman" w:cs="Times New Roman"/>
          <w:sz w:val="20"/>
          <w:szCs w:val="20"/>
        </w:rPr>
        <w:t>air</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E</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A</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and</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Parsons</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D</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S.</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Pediatric</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tracheobronchomalacia</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and</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major</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airway</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collapse.</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Annals</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of</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Otology,</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Rhinology</w:t>
      </w:r>
      <w:r w:rsidR="00FF6FF7" w:rsidRPr="00C70115">
        <w:rPr>
          <w:rFonts w:ascii="Times New Roman" w:hAnsi="Times New Roman" w:cs="Times New Roman"/>
          <w:sz w:val="20"/>
          <w:szCs w:val="20"/>
        </w:rPr>
        <w:t xml:space="preserve"> &amp; </w:t>
      </w:r>
      <w:r w:rsidRPr="00C70115">
        <w:rPr>
          <w:rFonts w:ascii="Times New Roman" w:hAnsi="Times New Roman" w:cs="Times New Roman"/>
          <w:sz w:val="20"/>
          <w:szCs w:val="20"/>
        </w:rPr>
        <w:t>Laryngology</w:t>
      </w:r>
      <w:r w:rsidR="0072158A" w:rsidRPr="00C70115">
        <w:rPr>
          <w:rFonts w:ascii="Times New Roman" w:hAnsi="Times New Roman" w:cs="Times New Roman"/>
          <w:sz w:val="20"/>
          <w:szCs w:val="20"/>
        </w:rPr>
        <w:t>.</w:t>
      </w:r>
      <w:r w:rsidR="00FF6FF7" w:rsidRPr="00C70115">
        <w:rPr>
          <w:rFonts w:ascii="Times New Roman" w:hAnsi="Times New Roman" w:cs="Times New Roman"/>
          <w:sz w:val="20"/>
          <w:szCs w:val="20"/>
        </w:rPr>
        <w:t xml:space="preserve"> </w:t>
      </w:r>
      <w:r w:rsidR="0072158A" w:rsidRPr="00C70115">
        <w:rPr>
          <w:rFonts w:ascii="Times New Roman" w:hAnsi="Times New Roman" w:cs="Times New Roman"/>
          <w:sz w:val="20"/>
          <w:szCs w:val="20"/>
        </w:rPr>
        <w:t>1992</w:t>
      </w:r>
      <w:r w:rsidRPr="00C70115">
        <w:rPr>
          <w:rFonts w:ascii="Times New Roman" w:hAnsi="Times New Roman" w:cs="Times New Roman"/>
          <w:sz w:val="20"/>
          <w:szCs w:val="20"/>
        </w:rPr>
        <w:t>;</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101:</w:t>
      </w:r>
      <w:r w:rsidR="00FF6FF7" w:rsidRPr="00C70115">
        <w:rPr>
          <w:rFonts w:ascii="Times New Roman" w:hAnsi="Times New Roman" w:cs="Times New Roman"/>
          <w:sz w:val="20"/>
          <w:szCs w:val="20"/>
        </w:rPr>
        <w:t xml:space="preserve"> </w:t>
      </w:r>
      <w:r w:rsidRPr="00C70115">
        <w:rPr>
          <w:rFonts w:ascii="Times New Roman" w:hAnsi="Times New Roman" w:cs="Times New Roman"/>
          <w:sz w:val="20"/>
          <w:szCs w:val="20"/>
        </w:rPr>
        <w:t>300–309.</w:t>
      </w:r>
    </w:p>
    <w:p w:rsidR="00670A20" w:rsidRPr="00C70115" w:rsidRDefault="00894A95" w:rsidP="00C70115">
      <w:pPr>
        <w:pStyle w:val="ListParagraph"/>
        <w:numPr>
          <w:ilvl w:val="0"/>
          <w:numId w:val="13"/>
        </w:numPr>
        <w:bidi w:val="0"/>
        <w:snapToGrid w:val="0"/>
        <w:spacing w:after="0" w:line="240" w:lineRule="auto"/>
        <w:ind w:left="425" w:hanging="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Pan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W,</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Peng</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Luo</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J,</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Liu</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Luo</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Z,</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Dai</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J</w:t>
      </w:r>
      <w:r w:rsidR="0072158A"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Fu</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Z,</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Li</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Q</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Huang</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Clinical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features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airway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lastRenderedPageBreak/>
        <w:t>malacia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children: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retrospective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analysis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459</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patients.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International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journal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clinical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experimental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medicine</w:t>
      </w:r>
      <w:r w:rsidR="0072158A"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2014</w:t>
      </w:r>
      <w:r w:rsidR="00FF6FF7" w:rsidRPr="00C70115">
        <w:rPr>
          <w:rFonts w:ascii="Times New Roman" w:hAnsi="Times New Roman" w:cs="Times New Roman"/>
          <w:sz w:val="20"/>
          <w:szCs w:val="20"/>
          <w:lang w:bidi="ar-EG"/>
        </w:rPr>
        <w:t>;</w:t>
      </w:r>
      <w:r w:rsidRPr="00C70115">
        <w:rPr>
          <w:rFonts w:ascii="Times New Roman" w:hAnsi="Times New Roman" w:cs="Times New Roman"/>
          <w:sz w:val="20"/>
          <w:szCs w:val="20"/>
          <w:lang w:bidi="ar-EG"/>
        </w:rPr>
        <w:t>7:</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3005.</w:t>
      </w:r>
    </w:p>
    <w:p w:rsidR="00894A95" w:rsidRPr="00C70115" w:rsidRDefault="0072158A" w:rsidP="00C70115">
      <w:pPr>
        <w:pStyle w:val="ListParagraph"/>
        <w:numPr>
          <w:ilvl w:val="0"/>
          <w:numId w:val="13"/>
        </w:numPr>
        <w:bidi w:val="0"/>
        <w:snapToGrid w:val="0"/>
        <w:spacing w:after="0" w:line="240" w:lineRule="auto"/>
        <w:ind w:left="425" w:hanging="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Murgu</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Colt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H</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G.</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Description</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a</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multidimensional</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classification</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system</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for</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patients</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with</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expiratory</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central</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airway</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collapse.</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Respirology</w:t>
      </w:r>
      <w:r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2007b</w:t>
      </w:r>
      <w:r w:rsidR="00894A95"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12:</w:t>
      </w:r>
      <w:r w:rsidR="00FF6FF7" w:rsidRPr="00C70115">
        <w:rPr>
          <w:rFonts w:ascii="Times New Roman" w:hAnsi="Times New Roman" w:cs="Times New Roman"/>
          <w:sz w:val="20"/>
          <w:szCs w:val="20"/>
          <w:lang w:bidi="ar-EG"/>
        </w:rPr>
        <w:t xml:space="preserve"> </w:t>
      </w:r>
      <w:r w:rsidR="00894A95" w:rsidRPr="00C70115">
        <w:rPr>
          <w:rFonts w:ascii="Times New Roman" w:hAnsi="Times New Roman" w:cs="Times New Roman"/>
          <w:sz w:val="20"/>
          <w:szCs w:val="20"/>
          <w:lang w:bidi="ar-EG"/>
        </w:rPr>
        <w:t>543–550.</w:t>
      </w:r>
    </w:p>
    <w:p w:rsidR="00894A95" w:rsidRPr="00C70115" w:rsidRDefault="00894A95" w:rsidP="00C70115">
      <w:pPr>
        <w:pStyle w:val="ListParagraph"/>
        <w:numPr>
          <w:ilvl w:val="0"/>
          <w:numId w:val="13"/>
        </w:numPr>
        <w:bidi w:val="0"/>
        <w:snapToGrid w:val="0"/>
        <w:spacing w:after="0" w:line="240" w:lineRule="auto"/>
        <w:ind w:left="425" w:hanging="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Boogaard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R,</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Huijsmans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SH,</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Pijnenburg</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MW,</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Tiddens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HA,</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de</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Jongste</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JC</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Merkus</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PJ.</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Tracheomalacia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bronchomalacia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children: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incidence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patient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characteristics.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Chest</w:t>
      </w:r>
      <w:r w:rsidR="0072158A"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2005</w:t>
      </w:r>
      <w:r w:rsidRPr="00C70115">
        <w:rPr>
          <w:rFonts w:ascii="Times New Roman" w:hAnsi="Times New Roman" w:cs="Times New Roman"/>
          <w:sz w:val="20"/>
          <w:szCs w:val="20"/>
          <w:lang w:bidi="ar-EG"/>
        </w:rPr>
        <w:t>;128:3391–3397.</w:t>
      </w:r>
    </w:p>
    <w:p w:rsidR="000B2181" w:rsidRPr="00C70115" w:rsidRDefault="000B2181" w:rsidP="00C70115">
      <w:pPr>
        <w:pStyle w:val="ListParagraph"/>
        <w:numPr>
          <w:ilvl w:val="0"/>
          <w:numId w:val="13"/>
        </w:numPr>
        <w:bidi w:val="0"/>
        <w:snapToGrid w:val="0"/>
        <w:spacing w:after="0" w:line="240" w:lineRule="auto"/>
        <w:ind w:left="425" w:hanging="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Majid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Gaurav</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K,</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Sanchez</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JM,</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Berger</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RL,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Folch</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Fernandez-Bussy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Er</w:t>
      </w:r>
      <w:r w:rsidR="0072158A" w:rsidRPr="00C70115">
        <w:rPr>
          <w:rFonts w:ascii="Times New Roman" w:hAnsi="Times New Roman" w:cs="Times New Roman"/>
          <w:sz w:val="20"/>
          <w:szCs w:val="20"/>
          <w:lang w:bidi="ar-EG"/>
        </w:rPr>
        <w:t>nst</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A</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Gangadharan</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SP.</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Evaluation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tracheobronchomalacia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by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dynamic</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flexible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bronchoscopy.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pilot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study.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Annals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the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American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Thoracic</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Society</w:t>
      </w:r>
      <w:r w:rsidR="0072158A" w:rsidRPr="00C70115">
        <w:rPr>
          <w:rFonts w:ascii="Times New Roman" w:hAnsi="Times New Roman" w:cs="Times New Roman"/>
          <w:sz w:val="20"/>
          <w:szCs w:val="20"/>
          <w:lang w:bidi="ar-EG"/>
        </w:rPr>
        <w:t>.2014</w:t>
      </w:r>
      <w:r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11:</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951–955.</w:t>
      </w:r>
    </w:p>
    <w:p w:rsidR="0044682F" w:rsidRPr="00C70115" w:rsidRDefault="0044682F" w:rsidP="00C70115">
      <w:pPr>
        <w:pStyle w:val="ListParagraph"/>
        <w:numPr>
          <w:ilvl w:val="0"/>
          <w:numId w:val="13"/>
        </w:numPr>
        <w:bidi w:val="0"/>
        <w:snapToGrid w:val="0"/>
        <w:spacing w:after="0" w:line="240" w:lineRule="auto"/>
        <w:ind w:left="425" w:hanging="425"/>
        <w:jc w:val="both"/>
        <w:rPr>
          <w:rFonts w:ascii="Times New Roman" w:hAnsi="Times New Roman" w:cs="Times New Roman"/>
          <w:sz w:val="20"/>
          <w:szCs w:val="20"/>
          <w:lang w:bidi="ar-EG"/>
        </w:rPr>
      </w:pPr>
      <w:r w:rsidRPr="00C70115">
        <w:rPr>
          <w:rFonts w:ascii="Times New Roman" w:hAnsi="Times New Roman" w:cs="Times New Roman"/>
          <w:sz w:val="20"/>
          <w:szCs w:val="20"/>
          <w:lang w:bidi="ar-EG"/>
        </w:rPr>
        <w:t>Weinstein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DJ,</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Hull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JE,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Ritchie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BL</w:t>
      </w:r>
      <w:r w:rsidR="0072158A"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Hayes</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JA</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and</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Morris</w:t>
      </w:r>
      <w:r w:rsidR="00FF6FF7" w:rsidRPr="00C70115">
        <w:rPr>
          <w:rFonts w:ascii="Times New Roman" w:hAnsi="Times New Roman" w:cs="Times New Roman"/>
          <w:sz w:val="20"/>
          <w:szCs w:val="20"/>
          <w:lang w:bidi="ar-EG"/>
        </w:rPr>
        <w:t xml:space="preserve"> </w:t>
      </w:r>
      <w:r w:rsidR="0072158A" w:rsidRPr="00C70115">
        <w:rPr>
          <w:rFonts w:ascii="Times New Roman" w:hAnsi="Times New Roman" w:cs="Times New Roman"/>
          <w:sz w:val="20"/>
          <w:szCs w:val="20"/>
          <w:lang w:bidi="ar-EG"/>
        </w:rPr>
        <w:t>MJ.</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Exercise-associated</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excessive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dynamic</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airway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collapse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in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military</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personnel.</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Annals</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of</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the</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American</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Thoracic</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Society</w:t>
      </w:r>
      <w:r w:rsidR="0072158A" w:rsidRPr="00C70115">
        <w:rPr>
          <w:rFonts w:ascii="Times New Roman" w:hAnsi="Times New Roman" w:cs="Times New Roman"/>
          <w:sz w:val="20"/>
          <w:szCs w:val="20"/>
          <w:lang w:bidi="ar-EG"/>
        </w:rPr>
        <w:t>.2016</w:t>
      </w:r>
      <w:r w:rsidRPr="00C70115">
        <w:rPr>
          <w:rFonts w:ascii="Times New Roman" w:hAnsi="Times New Roman" w:cs="Times New Roman"/>
          <w:sz w:val="20"/>
          <w:szCs w:val="20"/>
          <w:lang w:bidi="ar-EG"/>
        </w:rPr>
        <w:t>;</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13:</w:t>
      </w:r>
      <w:r w:rsidR="00FF6FF7" w:rsidRPr="00C70115">
        <w:rPr>
          <w:rFonts w:ascii="Times New Roman" w:hAnsi="Times New Roman" w:cs="Times New Roman"/>
          <w:sz w:val="20"/>
          <w:szCs w:val="20"/>
          <w:lang w:bidi="ar-EG"/>
        </w:rPr>
        <w:t xml:space="preserve"> </w:t>
      </w:r>
      <w:r w:rsidRPr="00C70115">
        <w:rPr>
          <w:rFonts w:ascii="Times New Roman" w:hAnsi="Times New Roman" w:cs="Times New Roman"/>
          <w:sz w:val="20"/>
          <w:szCs w:val="20"/>
          <w:lang w:bidi="ar-EG"/>
        </w:rPr>
        <w:t>1476–1482</w:t>
      </w:r>
      <w:r w:rsidR="00A67EE9" w:rsidRPr="00C70115">
        <w:rPr>
          <w:rFonts w:ascii="Times New Roman" w:hAnsi="Times New Roman" w:cs="Times New Roman"/>
          <w:sz w:val="20"/>
          <w:szCs w:val="20"/>
          <w:lang w:bidi="ar-EG"/>
        </w:rPr>
        <w:t>.</w:t>
      </w:r>
    </w:p>
    <w:p w:rsidR="008A59AA" w:rsidRPr="00C70115" w:rsidRDefault="008A59AA" w:rsidP="00C70115">
      <w:pPr>
        <w:bidi w:val="0"/>
        <w:snapToGrid w:val="0"/>
        <w:spacing w:after="0" w:line="240" w:lineRule="auto"/>
        <w:ind w:left="425" w:hanging="425"/>
        <w:jc w:val="both"/>
        <w:rPr>
          <w:rFonts w:ascii="Times New Roman" w:hAnsi="Times New Roman" w:cs="Times New Roman"/>
          <w:sz w:val="20"/>
          <w:szCs w:val="20"/>
          <w:lang w:bidi="ar-EG"/>
        </w:rPr>
        <w:sectPr w:rsidR="008A59AA" w:rsidRPr="00C70115" w:rsidSect="008A59AA">
          <w:type w:val="continuous"/>
          <w:pgSz w:w="12240" w:h="15840" w:code="9"/>
          <w:pgMar w:top="1440" w:right="1440" w:bottom="1440" w:left="1440" w:header="720" w:footer="720" w:gutter="0"/>
          <w:cols w:num="2" w:space="550"/>
          <w:rtlGutter/>
          <w:docGrid w:linePitch="360"/>
        </w:sectPr>
      </w:pPr>
    </w:p>
    <w:p w:rsidR="00894A95" w:rsidRPr="00C70115" w:rsidRDefault="00894A95" w:rsidP="00C70115">
      <w:pPr>
        <w:bidi w:val="0"/>
        <w:snapToGrid w:val="0"/>
        <w:spacing w:after="0" w:line="240" w:lineRule="auto"/>
        <w:ind w:left="425" w:hanging="425"/>
        <w:jc w:val="both"/>
        <w:rPr>
          <w:rFonts w:ascii="Times New Roman" w:hAnsi="Times New Roman" w:cs="Times New Roman"/>
          <w:sz w:val="20"/>
          <w:szCs w:val="20"/>
          <w:lang w:bidi="ar-EG"/>
        </w:rPr>
      </w:pPr>
    </w:p>
    <w:p w:rsidR="007078FB" w:rsidRPr="00C70115" w:rsidRDefault="007078FB" w:rsidP="00C70115">
      <w:pPr>
        <w:bidi w:val="0"/>
        <w:snapToGrid w:val="0"/>
        <w:spacing w:after="0" w:line="240" w:lineRule="auto"/>
        <w:ind w:left="425" w:hanging="425"/>
        <w:jc w:val="both"/>
        <w:rPr>
          <w:rFonts w:ascii="Times New Roman" w:hAnsi="Times New Roman" w:cs="Times New Roman"/>
          <w:sz w:val="20"/>
          <w:szCs w:val="20"/>
          <w:lang w:bidi="ar-EG"/>
        </w:rPr>
      </w:pPr>
    </w:p>
    <w:p w:rsidR="00FF6FF7" w:rsidRPr="00C70115" w:rsidRDefault="00C70115" w:rsidP="00C70115">
      <w:pPr>
        <w:bidi w:val="0"/>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 xml:space="preserve"> </w:t>
      </w:r>
    </w:p>
    <w:p w:rsidR="008E3881" w:rsidRPr="00C70115" w:rsidRDefault="00FF6FF7" w:rsidP="00C70115">
      <w:pPr>
        <w:bidi w:val="0"/>
        <w:snapToGrid w:val="0"/>
        <w:spacing w:after="0" w:line="240" w:lineRule="auto"/>
        <w:jc w:val="both"/>
        <w:rPr>
          <w:rFonts w:ascii="Times New Roman" w:hAnsi="Times New Roman" w:cs="Times New Roman"/>
          <w:bCs/>
          <w:sz w:val="20"/>
          <w:szCs w:val="20"/>
        </w:rPr>
      </w:pPr>
      <w:r w:rsidRPr="00C70115">
        <w:rPr>
          <w:rFonts w:ascii="Times New Roman" w:hAnsi="Times New Roman" w:cs="Times New Roman"/>
          <w:bCs/>
          <w:sz w:val="20"/>
          <w:szCs w:val="20"/>
        </w:rPr>
        <w:t>1/4/2020</w:t>
      </w:r>
    </w:p>
    <w:sectPr w:rsidR="008E3881" w:rsidRPr="00C70115" w:rsidSect="00FF6FF7">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DF" w:rsidRDefault="002508DF" w:rsidP="00646F32">
      <w:pPr>
        <w:spacing w:after="0" w:line="240" w:lineRule="auto"/>
      </w:pPr>
      <w:r>
        <w:separator/>
      </w:r>
    </w:p>
  </w:endnote>
  <w:endnote w:type="continuationSeparator" w:id="0">
    <w:p w:rsidR="002508DF" w:rsidRDefault="002508DF" w:rsidP="00646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AA" w:rsidRPr="00D31F34" w:rsidRDefault="00330422" w:rsidP="00D31F34">
    <w:pPr>
      <w:bidi w:val="0"/>
      <w:spacing w:after="0" w:line="240" w:lineRule="auto"/>
      <w:jc w:val="center"/>
      <w:rPr>
        <w:rFonts w:ascii="Times New Roman" w:hAnsi="Times New Roman" w:cs="Times New Roman"/>
        <w:sz w:val="20"/>
      </w:rPr>
    </w:pPr>
    <w:r w:rsidRPr="00D31F34">
      <w:rPr>
        <w:rFonts w:ascii="Times New Roman" w:hAnsi="Times New Roman" w:cs="Times New Roman"/>
        <w:sz w:val="20"/>
      </w:rPr>
      <w:fldChar w:fldCharType="begin"/>
    </w:r>
    <w:r w:rsidR="00D31F34" w:rsidRPr="00D31F34">
      <w:rPr>
        <w:rFonts w:ascii="Times New Roman" w:hAnsi="Times New Roman" w:cs="Times New Roman"/>
        <w:sz w:val="20"/>
      </w:rPr>
      <w:instrText xml:space="preserve"> page </w:instrText>
    </w:r>
    <w:r w:rsidRPr="00D31F34">
      <w:rPr>
        <w:rFonts w:ascii="Times New Roman" w:hAnsi="Times New Roman" w:cs="Times New Roman"/>
        <w:sz w:val="20"/>
      </w:rPr>
      <w:fldChar w:fldCharType="separate"/>
    </w:r>
    <w:r w:rsidR="00E12792">
      <w:rPr>
        <w:rFonts w:ascii="Times New Roman" w:hAnsi="Times New Roman" w:cs="Times New Roman"/>
        <w:noProof/>
        <w:sz w:val="20"/>
      </w:rPr>
      <w:t>33</w:t>
    </w:r>
    <w:r w:rsidRPr="00D31F3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DF" w:rsidRDefault="002508DF" w:rsidP="00646F32">
      <w:pPr>
        <w:spacing w:after="0" w:line="240" w:lineRule="auto"/>
      </w:pPr>
      <w:r>
        <w:separator/>
      </w:r>
    </w:p>
  </w:footnote>
  <w:footnote w:type="continuationSeparator" w:id="0">
    <w:p w:rsidR="002508DF" w:rsidRDefault="002508DF" w:rsidP="00646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34" w:rsidRPr="00AD2640" w:rsidRDefault="00AD2640" w:rsidP="00AD2640">
    <w:pPr>
      <w:pStyle w:val="Header"/>
      <w:rPr>
        <w:szCs w:val="20"/>
      </w:rPr>
    </w:pPr>
    <w:r>
      <w:rPr>
        <w:noProof/>
        <w:szCs w:val="20"/>
        <w:lang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40" w:rsidRPr="00D31F34" w:rsidRDefault="00AD2640" w:rsidP="00D31F3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31F34">
      <w:rPr>
        <w:rFonts w:ascii="Times New Roman" w:hAnsi="Times New Roman" w:cs="Times New Roman" w:hint="eastAsia"/>
        <w:sz w:val="20"/>
        <w:szCs w:val="20"/>
      </w:rPr>
      <w:tab/>
    </w:r>
    <w:r w:rsidRPr="00D31F34">
      <w:rPr>
        <w:rFonts w:ascii="Times New Roman" w:hAnsi="Times New Roman" w:cs="Times New Roman"/>
        <w:sz w:val="20"/>
        <w:szCs w:val="20"/>
      </w:rPr>
      <w:t>New York Science Journal 20</w:t>
    </w:r>
    <w:r w:rsidRPr="00D31F34">
      <w:rPr>
        <w:rFonts w:ascii="Times New Roman" w:hAnsi="Times New Roman" w:cs="Times New Roman" w:hint="eastAsia"/>
        <w:sz w:val="20"/>
        <w:szCs w:val="20"/>
      </w:rPr>
      <w:t>20</w:t>
    </w:r>
    <w:r w:rsidRPr="00D31F34">
      <w:rPr>
        <w:rFonts w:ascii="Times New Roman" w:hAnsi="Times New Roman" w:cs="Times New Roman"/>
        <w:sz w:val="20"/>
        <w:szCs w:val="20"/>
      </w:rPr>
      <w:t>;</w:t>
    </w:r>
    <w:r w:rsidRPr="00D31F34">
      <w:rPr>
        <w:rFonts w:ascii="Times New Roman" w:hAnsi="Times New Roman" w:cs="Times New Roman" w:hint="eastAsia"/>
        <w:sz w:val="20"/>
        <w:szCs w:val="20"/>
      </w:rPr>
      <w:t>13</w:t>
    </w:r>
    <w:r w:rsidRPr="00D31F34">
      <w:rPr>
        <w:rFonts w:ascii="Times New Roman" w:hAnsi="Times New Roman" w:cs="Times New Roman"/>
        <w:sz w:val="20"/>
        <w:szCs w:val="20"/>
      </w:rPr>
      <w:t>(</w:t>
    </w:r>
    <w:r w:rsidRPr="00D31F34">
      <w:rPr>
        <w:rFonts w:ascii="Times New Roman" w:hAnsi="Times New Roman" w:cs="Times New Roman" w:hint="eastAsia"/>
        <w:sz w:val="20"/>
        <w:szCs w:val="20"/>
        <w:lang w:eastAsia="zh-CN"/>
      </w:rPr>
      <w:t>2</w:t>
    </w:r>
    <w:r w:rsidRPr="00D31F34">
      <w:rPr>
        <w:rFonts w:ascii="Times New Roman" w:hAnsi="Times New Roman" w:cs="Times New Roman"/>
        <w:sz w:val="20"/>
        <w:szCs w:val="20"/>
      </w:rPr>
      <w:t>)</w:t>
    </w:r>
    <w:r w:rsidRPr="00D31F34">
      <w:rPr>
        <w:rFonts w:ascii="Times New Roman" w:hAnsi="Times New Roman" w:cs="Times New Roman"/>
        <w:iCs/>
        <w:sz w:val="20"/>
        <w:szCs w:val="20"/>
      </w:rPr>
      <w:t xml:space="preserve"> </w:t>
    </w:r>
    <w:r w:rsidRPr="00D31F34">
      <w:rPr>
        <w:rFonts w:ascii="Times New Roman" w:hAnsi="Times New Roman" w:cs="Times New Roman" w:hint="eastAsia"/>
        <w:iCs/>
        <w:sz w:val="20"/>
        <w:szCs w:val="20"/>
      </w:rPr>
      <w:tab/>
    </w:r>
    <w:r w:rsidRPr="00D31F34">
      <w:rPr>
        <w:rFonts w:ascii="Times New Roman" w:hAnsi="Times New Roman" w:cs="Times New Roman"/>
        <w:iCs/>
        <w:sz w:val="20"/>
        <w:szCs w:val="20"/>
      </w:rPr>
      <w:t xml:space="preserve">  </w:t>
    </w:r>
    <w:hyperlink r:id="rId1" w:history="1">
      <w:r w:rsidRPr="00D31F34">
        <w:rPr>
          <w:rStyle w:val="Hyperlink"/>
          <w:rFonts w:ascii="Times New Roman" w:hAnsi="Times New Roman" w:cs="Times New Roman"/>
          <w:color w:val="0000FF"/>
          <w:sz w:val="20"/>
          <w:szCs w:val="20"/>
        </w:rPr>
        <w:t>http://www.sciencepub.net/newyork</w:t>
      </w:r>
    </w:hyperlink>
    <w:r w:rsidRPr="00D31F34">
      <w:rPr>
        <w:rFonts w:ascii="Times New Roman" w:hAnsi="Times New Roman" w:cs="Times New Roman" w:hint="eastAsia"/>
        <w:sz w:val="20"/>
      </w:rPr>
      <w:t xml:space="preserve">   </w:t>
    </w:r>
    <w:r w:rsidRPr="00D31F34">
      <w:rPr>
        <w:rFonts w:ascii="Times New Roman" w:hAnsi="Times New Roman" w:cs="Times New Roman" w:hint="eastAsia"/>
        <w:b/>
        <w:i/>
        <w:color w:val="FF0000"/>
        <w:sz w:val="20"/>
        <w:szCs w:val="20"/>
        <w:bdr w:val="single" w:sz="4" w:space="0" w:color="FF0000"/>
      </w:rPr>
      <w:t>NYJ</w:t>
    </w:r>
  </w:p>
  <w:p w:rsidR="00AD2640" w:rsidRPr="00D31F34" w:rsidRDefault="00AD2640" w:rsidP="00D31F3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E52"/>
    <w:multiLevelType w:val="hybridMultilevel"/>
    <w:tmpl w:val="54327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66E63"/>
    <w:multiLevelType w:val="hybridMultilevel"/>
    <w:tmpl w:val="501E113A"/>
    <w:lvl w:ilvl="0" w:tplc="DCC0622A">
      <w:start w:val="1"/>
      <w:numFmt w:val="decimal"/>
      <w:lvlText w:val="%1."/>
      <w:lvlJc w:val="left"/>
      <w:pPr>
        <w:ind w:left="720" w:hanging="36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52672"/>
    <w:multiLevelType w:val="hybridMultilevel"/>
    <w:tmpl w:val="BE6023B2"/>
    <w:lvl w:ilvl="0" w:tplc="C7021B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B5AB9"/>
    <w:multiLevelType w:val="hybridMultilevel"/>
    <w:tmpl w:val="45C403C6"/>
    <w:lvl w:ilvl="0" w:tplc="023275D6">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396A63"/>
    <w:multiLevelType w:val="hybridMultilevel"/>
    <w:tmpl w:val="809EC60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93501DB"/>
    <w:multiLevelType w:val="hybridMultilevel"/>
    <w:tmpl w:val="B962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249E6"/>
    <w:multiLevelType w:val="hybridMultilevel"/>
    <w:tmpl w:val="4E5EE308"/>
    <w:lvl w:ilvl="0" w:tplc="401034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D367A"/>
    <w:multiLevelType w:val="hybridMultilevel"/>
    <w:tmpl w:val="76E229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F6B6A"/>
    <w:multiLevelType w:val="hybridMultilevel"/>
    <w:tmpl w:val="004C9CBC"/>
    <w:lvl w:ilvl="0" w:tplc="6E2858EC">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3E1BA9"/>
    <w:multiLevelType w:val="hybridMultilevel"/>
    <w:tmpl w:val="2D52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54D56F1"/>
    <w:multiLevelType w:val="hybridMultilevel"/>
    <w:tmpl w:val="C25604F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CC3B2D"/>
    <w:multiLevelType w:val="hybridMultilevel"/>
    <w:tmpl w:val="5EFEAEF6"/>
    <w:lvl w:ilvl="0" w:tplc="C5B66FC8">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A2B3D"/>
    <w:multiLevelType w:val="hybridMultilevel"/>
    <w:tmpl w:val="26E2FA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4"/>
  </w:num>
  <w:num w:numId="5">
    <w:abstractNumId w:val="11"/>
  </w:num>
  <w:num w:numId="6">
    <w:abstractNumId w:val="0"/>
  </w:num>
  <w:num w:numId="7">
    <w:abstractNumId w:val="12"/>
  </w:num>
  <w:num w:numId="8">
    <w:abstractNumId w:val="1"/>
  </w:num>
  <w:num w:numId="9">
    <w:abstractNumId w:val="7"/>
  </w:num>
  <w:num w:numId="10">
    <w:abstractNumId w:val="6"/>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402E52"/>
    <w:rsid w:val="00007CFF"/>
    <w:rsid w:val="00072240"/>
    <w:rsid w:val="000B2181"/>
    <w:rsid w:val="000C58F6"/>
    <w:rsid w:val="000C6BAA"/>
    <w:rsid w:val="000E1907"/>
    <w:rsid w:val="00114EE6"/>
    <w:rsid w:val="0014066D"/>
    <w:rsid w:val="00147BE7"/>
    <w:rsid w:val="001B699B"/>
    <w:rsid w:val="001E5A5D"/>
    <w:rsid w:val="00204417"/>
    <w:rsid w:val="002137B2"/>
    <w:rsid w:val="00244DF5"/>
    <w:rsid w:val="002508DF"/>
    <w:rsid w:val="00251BEA"/>
    <w:rsid w:val="0029202B"/>
    <w:rsid w:val="002E3542"/>
    <w:rsid w:val="00330422"/>
    <w:rsid w:val="003420BF"/>
    <w:rsid w:val="00346A07"/>
    <w:rsid w:val="00364FAC"/>
    <w:rsid w:val="00373957"/>
    <w:rsid w:val="00373AC6"/>
    <w:rsid w:val="00394008"/>
    <w:rsid w:val="003A2288"/>
    <w:rsid w:val="003C7128"/>
    <w:rsid w:val="003D4180"/>
    <w:rsid w:val="00402E52"/>
    <w:rsid w:val="004205BD"/>
    <w:rsid w:val="00436064"/>
    <w:rsid w:val="0044682F"/>
    <w:rsid w:val="004C5409"/>
    <w:rsid w:val="004D74B9"/>
    <w:rsid w:val="004E1723"/>
    <w:rsid w:val="004F06C7"/>
    <w:rsid w:val="004F3DE2"/>
    <w:rsid w:val="004F7F4B"/>
    <w:rsid w:val="005015D1"/>
    <w:rsid w:val="00531EEA"/>
    <w:rsid w:val="005377E2"/>
    <w:rsid w:val="00546C2A"/>
    <w:rsid w:val="00587319"/>
    <w:rsid w:val="005D015F"/>
    <w:rsid w:val="005F3568"/>
    <w:rsid w:val="005F658D"/>
    <w:rsid w:val="005F7D9B"/>
    <w:rsid w:val="00640AFA"/>
    <w:rsid w:val="00646F32"/>
    <w:rsid w:val="006527CB"/>
    <w:rsid w:val="006700D1"/>
    <w:rsid w:val="00670A20"/>
    <w:rsid w:val="00672C62"/>
    <w:rsid w:val="00696744"/>
    <w:rsid w:val="006B34FC"/>
    <w:rsid w:val="006E1995"/>
    <w:rsid w:val="006F0E12"/>
    <w:rsid w:val="007078FB"/>
    <w:rsid w:val="007161E2"/>
    <w:rsid w:val="0072158A"/>
    <w:rsid w:val="00764398"/>
    <w:rsid w:val="00791109"/>
    <w:rsid w:val="007A177C"/>
    <w:rsid w:val="007A721C"/>
    <w:rsid w:val="007D7EB9"/>
    <w:rsid w:val="00804F47"/>
    <w:rsid w:val="00807072"/>
    <w:rsid w:val="008264C4"/>
    <w:rsid w:val="00863D2E"/>
    <w:rsid w:val="00886A05"/>
    <w:rsid w:val="0089458D"/>
    <w:rsid w:val="00894A95"/>
    <w:rsid w:val="008A4129"/>
    <w:rsid w:val="008A59AA"/>
    <w:rsid w:val="008D4C0E"/>
    <w:rsid w:val="008E3881"/>
    <w:rsid w:val="008F799E"/>
    <w:rsid w:val="00917578"/>
    <w:rsid w:val="0093138F"/>
    <w:rsid w:val="009318E9"/>
    <w:rsid w:val="00945701"/>
    <w:rsid w:val="00946FC4"/>
    <w:rsid w:val="00966FFC"/>
    <w:rsid w:val="009A3009"/>
    <w:rsid w:val="009D2F3E"/>
    <w:rsid w:val="009F4593"/>
    <w:rsid w:val="00A3041D"/>
    <w:rsid w:val="00A526E9"/>
    <w:rsid w:val="00A56A8D"/>
    <w:rsid w:val="00A67EE9"/>
    <w:rsid w:val="00A72FFD"/>
    <w:rsid w:val="00A915CD"/>
    <w:rsid w:val="00A92B96"/>
    <w:rsid w:val="00AC5F4D"/>
    <w:rsid w:val="00AD2640"/>
    <w:rsid w:val="00AD54DD"/>
    <w:rsid w:val="00B04726"/>
    <w:rsid w:val="00B05956"/>
    <w:rsid w:val="00B22F4A"/>
    <w:rsid w:val="00B555D1"/>
    <w:rsid w:val="00BC15BC"/>
    <w:rsid w:val="00BC6707"/>
    <w:rsid w:val="00BD1B27"/>
    <w:rsid w:val="00C24463"/>
    <w:rsid w:val="00C50761"/>
    <w:rsid w:val="00C579A8"/>
    <w:rsid w:val="00C70115"/>
    <w:rsid w:val="00CB4FCE"/>
    <w:rsid w:val="00CD5B5A"/>
    <w:rsid w:val="00CE4709"/>
    <w:rsid w:val="00CE4B7D"/>
    <w:rsid w:val="00D06BFD"/>
    <w:rsid w:val="00D237FD"/>
    <w:rsid w:val="00D31F34"/>
    <w:rsid w:val="00D3217A"/>
    <w:rsid w:val="00D5567A"/>
    <w:rsid w:val="00D56CDA"/>
    <w:rsid w:val="00D9292E"/>
    <w:rsid w:val="00D96CAD"/>
    <w:rsid w:val="00DA7A99"/>
    <w:rsid w:val="00DD1207"/>
    <w:rsid w:val="00DE1EE6"/>
    <w:rsid w:val="00E00AEE"/>
    <w:rsid w:val="00E12792"/>
    <w:rsid w:val="00E301D3"/>
    <w:rsid w:val="00E34421"/>
    <w:rsid w:val="00E6067D"/>
    <w:rsid w:val="00EB6B7F"/>
    <w:rsid w:val="00EC6413"/>
    <w:rsid w:val="00ED4C0B"/>
    <w:rsid w:val="00F10BA5"/>
    <w:rsid w:val="00F570DA"/>
    <w:rsid w:val="00FC69F5"/>
    <w:rsid w:val="00FD0720"/>
    <w:rsid w:val="00FD41ED"/>
    <w:rsid w:val="00FF6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64"/>
    <w:pPr>
      <w:bidi/>
    </w:pPr>
  </w:style>
  <w:style w:type="paragraph" w:styleId="Heading4">
    <w:name w:val="heading 4"/>
    <w:basedOn w:val="ListParagraph"/>
    <w:next w:val="Normal"/>
    <w:link w:val="Heading4Char"/>
    <w:uiPriority w:val="9"/>
    <w:unhideWhenUsed/>
    <w:qFormat/>
    <w:rsid w:val="0089458D"/>
    <w:pPr>
      <w:numPr>
        <w:numId w:val="5"/>
      </w:numPr>
      <w:tabs>
        <w:tab w:val="left" w:pos="142"/>
        <w:tab w:val="left" w:pos="284"/>
      </w:tabs>
      <w:bidi w:val="0"/>
      <w:spacing w:after="60" w:line="360" w:lineRule="auto"/>
      <w:jc w:val="both"/>
      <w:outlineLvl w:val="3"/>
    </w:pPr>
    <w:rPr>
      <w:rFonts w:asciiTheme="majorHAnsi" w:hAnsiTheme="majorHAnsi" w:cstheme="majorBidi"/>
      <w:b/>
      <w:bCs/>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EE6"/>
    <w:rPr>
      <w:color w:val="0000FF" w:themeColor="hyperlink"/>
      <w:u w:val="single"/>
    </w:rPr>
  </w:style>
  <w:style w:type="paragraph" w:customStyle="1" w:styleId="Title2">
    <w:name w:val="Title 2"/>
    <w:basedOn w:val="Caption"/>
    <w:qFormat/>
    <w:rsid w:val="008D4C0E"/>
    <w:pPr>
      <w:bidi w:val="0"/>
      <w:spacing w:line="276" w:lineRule="auto"/>
      <w:jc w:val="center"/>
    </w:pPr>
    <w:rPr>
      <w:rFonts w:ascii="Times New Roman" w:eastAsia="Times New Roman" w:hAnsi="Times New Roman" w:cs="Times New Roman"/>
      <w:color w:val="auto"/>
      <w:sz w:val="24"/>
      <w:szCs w:val="24"/>
    </w:rPr>
  </w:style>
  <w:style w:type="paragraph" w:styleId="Caption">
    <w:name w:val="caption"/>
    <w:basedOn w:val="Normal"/>
    <w:next w:val="Normal"/>
    <w:uiPriority w:val="35"/>
    <w:unhideWhenUsed/>
    <w:qFormat/>
    <w:rsid w:val="008D4C0E"/>
    <w:pPr>
      <w:spacing w:line="240" w:lineRule="auto"/>
    </w:pPr>
    <w:rPr>
      <w:b/>
      <w:bCs/>
      <w:color w:val="4F81BD" w:themeColor="accent1"/>
      <w:sz w:val="18"/>
      <w:szCs w:val="18"/>
    </w:rPr>
  </w:style>
  <w:style w:type="paragraph" w:styleId="ListParagraph">
    <w:name w:val="List Paragraph"/>
    <w:basedOn w:val="Normal"/>
    <w:uiPriority w:val="34"/>
    <w:qFormat/>
    <w:rsid w:val="008D4C0E"/>
    <w:pPr>
      <w:ind w:left="720"/>
      <w:contextualSpacing/>
    </w:pPr>
    <w:rPr>
      <w:rFonts w:ascii="Calibri" w:eastAsia="Times New Roman" w:hAnsi="Calibri" w:cs="Arial"/>
    </w:rPr>
  </w:style>
  <w:style w:type="character" w:customStyle="1" w:styleId="Heading4Char">
    <w:name w:val="Heading 4 Char"/>
    <w:basedOn w:val="DefaultParagraphFont"/>
    <w:link w:val="Heading4"/>
    <w:uiPriority w:val="9"/>
    <w:rsid w:val="0089458D"/>
    <w:rPr>
      <w:rFonts w:asciiTheme="majorHAnsi" w:eastAsia="Times New Roman" w:hAnsiTheme="majorHAnsi" w:cstheme="majorBidi"/>
      <w:b/>
      <w:bCs/>
      <w:sz w:val="24"/>
      <w:szCs w:val="24"/>
      <w:lang w:bidi="ar-EG"/>
    </w:rPr>
  </w:style>
  <w:style w:type="table" w:customStyle="1" w:styleId="TableGrid32">
    <w:name w:val="Table Grid32"/>
    <w:basedOn w:val="TableNormal"/>
    <w:next w:val="TableGrid"/>
    <w:uiPriority w:val="59"/>
    <w:rsid w:val="00501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01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CE4709"/>
    <w:pPr>
      <w:spacing w:after="0"/>
      <w:ind w:left="440" w:hanging="440"/>
    </w:pPr>
    <w:rPr>
      <w:rFonts w:cs="Times New Roman"/>
      <w:b/>
      <w:bCs/>
      <w:sz w:val="20"/>
      <w:szCs w:val="24"/>
    </w:rPr>
  </w:style>
  <w:style w:type="table" w:customStyle="1" w:styleId="TableGrid31">
    <w:name w:val="Table Grid31"/>
    <w:basedOn w:val="TableNormal"/>
    <w:next w:val="TableGrid"/>
    <w:uiPriority w:val="59"/>
    <w:rsid w:val="003D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C6"/>
    <w:rPr>
      <w:rFonts w:ascii="Tahoma" w:hAnsi="Tahoma" w:cs="Tahoma"/>
      <w:sz w:val="16"/>
      <w:szCs w:val="16"/>
    </w:rPr>
  </w:style>
  <w:style w:type="table" w:styleId="MediumShading1-Accent1">
    <w:name w:val="Medium Shading 1 Accent 1"/>
    <w:basedOn w:val="TableNormal"/>
    <w:uiPriority w:val="63"/>
    <w:rsid w:val="00D06BFD"/>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alibr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3DFEE"/>
      </w:tcPr>
    </w:tblStylePr>
    <w:tblStylePr w:type="band1Horz">
      <w:rPr>
        <w:rFonts w:cs="Calibri"/>
      </w:rPr>
      <w:tblPr/>
      <w:tcPr>
        <w:tcBorders>
          <w:insideH w:val="nil"/>
          <w:insideV w:val="nil"/>
        </w:tcBorders>
        <w:shd w:val="clear" w:color="auto" w:fill="D3DFEE"/>
      </w:tcPr>
    </w:tblStylePr>
    <w:tblStylePr w:type="band2Horz">
      <w:rPr>
        <w:rFonts w:cs="Calibri"/>
      </w:rPr>
      <w:tblPr/>
      <w:tcPr>
        <w:tcBorders>
          <w:insideH w:val="nil"/>
          <w:insideV w:val="nil"/>
        </w:tcBorders>
      </w:tcPr>
    </w:tblStylePr>
  </w:style>
  <w:style w:type="paragraph" w:styleId="Title">
    <w:name w:val="Title"/>
    <w:basedOn w:val="Normal"/>
    <w:next w:val="Normal"/>
    <w:link w:val="TitleChar"/>
    <w:uiPriority w:val="10"/>
    <w:qFormat/>
    <w:rsid w:val="00D06BFD"/>
    <w:pPr>
      <w:bidi w:val="0"/>
      <w:spacing w:before="240" w:after="60"/>
      <w:jc w:val="center"/>
      <w:outlineLvl w:val="0"/>
    </w:pPr>
    <w:rPr>
      <w:rFonts w:ascii="Times New Roman" w:eastAsia="Times New Roman" w:hAnsi="Times New Roman" w:cs="Times New Roman"/>
      <w:b/>
      <w:bCs/>
      <w:kern w:val="28"/>
      <w:sz w:val="24"/>
      <w:szCs w:val="24"/>
    </w:rPr>
  </w:style>
  <w:style w:type="character" w:customStyle="1" w:styleId="TitleChar">
    <w:name w:val="Title Char"/>
    <w:basedOn w:val="DefaultParagraphFont"/>
    <w:link w:val="Title"/>
    <w:uiPriority w:val="10"/>
    <w:rsid w:val="00D06BFD"/>
    <w:rPr>
      <w:rFonts w:ascii="Times New Roman" w:eastAsia="Times New Roman" w:hAnsi="Times New Roman" w:cs="Times New Roman"/>
      <w:b/>
      <w:bCs/>
      <w:kern w:val="28"/>
      <w:sz w:val="24"/>
      <w:szCs w:val="24"/>
    </w:rPr>
  </w:style>
  <w:style w:type="table" w:styleId="LightList-Accent1">
    <w:name w:val="Light List Accent 1"/>
    <w:basedOn w:val="TableNormal"/>
    <w:uiPriority w:val="61"/>
    <w:rsid w:val="00804F47"/>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Calibri"/>
        <w:b/>
        <w:bCs/>
        <w:color w:val="FFFFFF" w:themeColor="background1"/>
      </w:rPr>
      <w:tblPr/>
      <w:tcPr>
        <w:shd w:val="clear" w:color="auto" w:fill="4F81BD" w:themeFill="accent1"/>
      </w:tcPr>
    </w:tblStylePr>
    <w:tblStylePr w:type="lastRow">
      <w:pPr>
        <w:spacing w:before="0" w:after="0"/>
      </w:pPr>
      <w:rPr>
        <w:rFonts w:cs="Calibr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Calibr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646F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6F32"/>
  </w:style>
  <w:style w:type="paragraph" w:styleId="Footer">
    <w:name w:val="footer"/>
    <w:basedOn w:val="Normal"/>
    <w:link w:val="FooterChar"/>
    <w:uiPriority w:val="99"/>
    <w:unhideWhenUsed/>
    <w:rsid w:val="00646F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6F32"/>
  </w:style>
</w:styles>
</file>

<file path=word/webSettings.xml><?xml version="1.0" encoding="utf-8"?>
<w:webSettings xmlns:r="http://schemas.openxmlformats.org/officeDocument/2006/relationships" xmlns:w="http://schemas.openxmlformats.org/wordprocessingml/2006/main">
  <w:divs>
    <w:div w:id="20223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b_zaki2013@yahoo.com" TargetMode="External"/><Relationship Id="rId13" Type="http://schemas.openxmlformats.org/officeDocument/2006/relationships/chart" Target="charts/chart1.xml"/><Relationship Id="rId3" Type="http://schemas.openxmlformats.org/officeDocument/2006/relationships/styles" Target="styles.xml"/><Relationship Id="rId21" Type="http://schemas.microsoft.com/office/2007/relationships/hdphoto" Target="NUL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rehab_zaki2013@yahoo.com" TargetMode="External"/><Relationship Id="rId10" Type="http://schemas.openxmlformats.org/officeDocument/2006/relationships/hyperlink" Target="http://www.dx.doi.org/10.7537/marsnys130220.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Prevalence of ECAC</a:t>
            </a:r>
          </a:p>
        </c:rich>
      </c:tx>
    </c:title>
    <c:view3D>
      <c:rotX val="30"/>
      <c:perspective val="30"/>
    </c:view3D>
    <c:plotArea>
      <c:layout>
        <c:manualLayout>
          <c:layoutTarget val="inner"/>
          <c:xMode val="edge"/>
          <c:yMode val="edge"/>
          <c:x val="9.753958984791973E-2"/>
          <c:y val="0.29162927747239142"/>
          <c:w val="0.67217650918635152"/>
          <c:h val="0.64767096821230674"/>
        </c:manualLayout>
      </c:layout>
      <c:pie3DChart>
        <c:varyColors val="1"/>
        <c:ser>
          <c:idx val="0"/>
          <c:order val="0"/>
          <c:dPt>
            <c:idx val="0"/>
            <c:explosion val="8"/>
            <c:spPr>
              <a:solidFill>
                <a:schemeClr val="accent2"/>
              </a:solidFill>
            </c:spPr>
          </c:dPt>
          <c:dPt>
            <c:idx val="1"/>
            <c:explosion val="4"/>
            <c:spPr>
              <a:solidFill>
                <a:srgbClr val="0070C0"/>
              </a:solidFill>
            </c:spPr>
          </c:dPt>
          <c:dLbls>
            <c:dLbl>
              <c:idx val="0"/>
              <c:layout>
                <c:manualLayout>
                  <c:x val="-0.19786346682741282"/>
                  <c:y val="-0.18281731293022396"/>
                </c:manualLayout>
              </c:layout>
              <c:tx>
                <c:rich>
                  <a:bodyPr/>
                  <a:lstStyle/>
                  <a:p>
                    <a:r>
                      <a:rPr lang="en-US" sz="1100" b="1"/>
                      <a:t>66.4%</a:t>
                    </a:r>
                  </a:p>
                </c:rich>
              </c:tx>
              <c:dLblPos val="bestFit"/>
              <c:extLst>
                <c:ext xmlns:c15="http://schemas.microsoft.com/office/drawing/2012/chart" uri="{CE6537A1-D6FC-4f65-9D91-7224C49458BB}"/>
              </c:extLst>
            </c:dLbl>
            <c:dLbl>
              <c:idx val="1"/>
              <c:tx>
                <c:rich>
                  <a:bodyPr/>
                  <a:lstStyle/>
                  <a:p>
                    <a:r>
                      <a:rPr lang="en-US" sz="1100" b="1"/>
                      <a:t>33.6%</a:t>
                    </a:r>
                  </a:p>
                </c:rich>
              </c:tx>
              <c:dLblPos val="bestFit"/>
              <c:extLst>
                <c:ext xmlns:c15="http://schemas.microsoft.com/office/drawing/2012/chart" uri="{CE6537A1-D6FC-4f65-9D91-7224C49458BB}"/>
              </c:extLst>
            </c:dLbl>
            <c:numFmt formatCode="0.00%" sourceLinked="0"/>
            <c:spPr>
              <a:noFill/>
              <a:ln>
                <a:noFill/>
              </a:ln>
              <a:effectLst/>
            </c:spPr>
            <c:txPr>
              <a:bodyPr rot="0" vert="horz"/>
              <a:lstStyle/>
              <a:p>
                <a:pPr>
                  <a:defRPr lang="en-US"/>
                </a:pPr>
                <a:endParaRPr lang="en-US"/>
              </a:p>
            </c:txPr>
            <c:showPercent val="1"/>
            <c:extLst>
              <c:ext xmlns:c15="http://schemas.microsoft.com/office/drawing/2012/chart" uri="{CE6537A1-D6FC-4f65-9D91-7224C49458BB}"/>
            </c:extLst>
          </c:dLbls>
          <c:cat>
            <c:strRef>
              <c:f>ورقة1!$O$40:$O$44</c:f>
              <c:strCache>
                <c:ptCount val="2"/>
                <c:pt idx="0">
                  <c:v>No ECAC</c:v>
                </c:pt>
                <c:pt idx="1">
                  <c:v>ECAC</c:v>
                </c:pt>
              </c:strCache>
            </c:strRef>
          </c:cat>
          <c:val>
            <c:numRef>
              <c:f>ورقة1!$P$40:$P$44</c:f>
              <c:numCache>
                <c:formatCode>General</c:formatCode>
                <c:ptCount val="2"/>
                <c:pt idx="0">
                  <c:v>75</c:v>
                </c:pt>
                <c:pt idx="1">
                  <c:v>38</c:v>
                </c:pt>
              </c:numCache>
            </c:numRef>
          </c:val>
        </c:ser>
        <c:ser>
          <c:idx val="1"/>
          <c:order val="1"/>
          <c:dLbls>
            <c:spPr>
              <a:noFill/>
              <a:ln>
                <a:noFill/>
              </a:ln>
              <a:effectLst/>
            </c:spPr>
            <c:txPr>
              <a:bodyPr rot="0" vert="horz"/>
              <a:lstStyle/>
              <a:p>
                <a:pPr>
                  <a:defRPr lang="en-US"/>
                </a:pPr>
                <a:endParaRPr lang="en-US"/>
              </a:p>
            </c:txPr>
            <c:showPercent val="1"/>
            <c:extLst>
              <c:ext xmlns:c15="http://schemas.microsoft.com/office/drawing/2012/chart" uri="{CE6537A1-D6FC-4f65-9D91-7224C49458BB}"/>
            </c:extLst>
          </c:dLbls>
          <c:cat>
            <c:strRef>
              <c:f>ورقة1!$O$40:$O$44</c:f>
              <c:strCache>
                <c:ptCount val="2"/>
                <c:pt idx="0">
                  <c:v>No ECAC</c:v>
                </c:pt>
                <c:pt idx="1">
                  <c:v>ECAC</c:v>
                </c:pt>
              </c:strCache>
            </c:strRef>
          </c:cat>
          <c:val>
            <c:numRef>
              <c:f>ورقة1!$Q$40:$Q$44</c:f>
              <c:numCache>
                <c:formatCode>General</c:formatCode>
                <c:ptCount val="2"/>
                <c:pt idx="0">
                  <c:v>66.36999999999999</c:v>
                </c:pt>
                <c:pt idx="1">
                  <c:v>33.630000000000003</c:v>
                </c:pt>
              </c:numCache>
            </c:numRef>
          </c:val>
        </c:ser>
      </c:pie3DChart>
      <c:spPr>
        <a:noFill/>
        <a:ln w="25401">
          <a:noFill/>
        </a:ln>
      </c:spPr>
    </c:plotArea>
    <c:legend>
      <c:legendPos val="r"/>
      <c:txPr>
        <a:bodyPr/>
        <a:lstStyle/>
        <a:p>
          <a:pPr>
            <a:defRPr lang="en-US"/>
          </a:pPr>
          <a:endParaRPr lang="en-US"/>
        </a:p>
      </c:txPr>
    </c:legend>
    <c:plotVisOnly val="1"/>
    <c:dispBlanksAs val="zero"/>
  </c:chart>
  <c:spPr>
    <a:ln w="19051">
      <a:prstDash val="solid"/>
    </a:ln>
  </c:spPr>
  <c:txPr>
    <a:bodyPr/>
    <a:lstStyle/>
    <a:p>
      <a:pPr>
        <a:defRPr sz="800"/>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Distribution of gender</a:t>
            </a:r>
          </a:p>
        </c:rich>
      </c:tx>
      <c:layout>
        <c:manualLayout>
          <c:xMode val="edge"/>
          <c:yMode val="edge"/>
          <c:x val="0.21685643276891317"/>
          <c:y val="9.4560238793680741E-3"/>
        </c:manualLayout>
      </c:layout>
    </c:title>
    <c:view3D>
      <c:rotX val="30"/>
      <c:perspective val="30"/>
    </c:view3D>
    <c:plotArea>
      <c:layout>
        <c:manualLayout>
          <c:layoutTarget val="inner"/>
          <c:xMode val="edge"/>
          <c:yMode val="edge"/>
          <c:x val="3.3859264427389651E-2"/>
          <c:y val="0.25387464864764364"/>
          <c:w val="0.76339406603301074"/>
          <c:h val="0.6893376348789737"/>
        </c:manualLayout>
      </c:layout>
      <c:pie3DChart>
        <c:varyColors val="1"/>
        <c:ser>
          <c:idx val="0"/>
          <c:order val="0"/>
          <c:tx>
            <c:strRef>
              <c:f>Sheet1!$C$3</c:f>
              <c:strCache>
                <c:ptCount val="1"/>
                <c:pt idx="0">
                  <c:v>Gender</c:v>
                </c:pt>
              </c:strCache>
            </c:strRef>
          </c:tx>
          <c:spPr>
            <a:ln>
              <a:solidFill>
                <a:schemeClr val="tx1"/>
              </a:solidFill>
            </a:ln>
          </c:spPr>
          <c:explosion val="6"/>
          <c:dLbls>
            <c:dLbl>
              <c:idx val="0"/>
              <c:layout>
                <c:manualLayout>
                  <c:x val="-0.22947553711474677"/>
                  <c:y val="-9.1404564012831729E-2"/>
                </c:manualLayout>
              </c:layout>
              <c:spPr/>
              <c:txPr>
                <a:bodyPr/>
                <a:lstStyle/>
                <a:p>
                  <a:pPr>
                    <a:defRPr lang="en-US"/>
                  </a:pPr>
                  <a:endParaRPr lang="en-US"/>
                </a:p>
              </c:txPr>
              <c:dLblPos val="bestFit"/>
              <c:showVal val="1"/>
              <c:extLst>
                <c:ext xmlns:c15="http://schemas.microsoft.com/office/drawing/2012/chart" uri="{CE6537A1-D6FC-4f65-9D91-7224C49458BB}"/>
              </c:extLst>
            </c:dLbl>
            <c:dLbl>
              <c:idx val="1"/>
              <c:layout>
                <c:manualLayout>
                  <c:x val="0.24436921432725148"/>
                  <c:y val="3.9413823272090996E-2"/>
                </c:manualLayout>
              </c:layout>
              <c:spPr/>
              <c:txPr>
                <a:bodyPr/>
                <a:lstStyle/>
                <a:p>
                  <a:pPr>
                    <a:defRPr lang="en-US"/>
                  </a:pPr>
                  <a:endParaRPr lang="en-US"/>
                </a:p>
              </c:txPr>
              <c:dLblPos val="bestFit"/>
              <c:showVal val="1"/>
              <c:extLst>
                <c:ext xmlns:c15="http://schemas.microsoft.com/office/drawing/2012/chart" uri="{CE6537A1-D6FC-4f65-9D91-7224C49458BB}"/>
              </c:extLst>
            </c:dLbl>
            <c:spPr>
              <a:noFill/>
              <a:ln>
                <a:noFill/>
              </a:ln>
              <a:effectLst/>
            </c:spPr>
            <c:txPr>
              <a:bodyPr/>
              <a:lstStyle/>
              <a:p>
                <a:pPr>
                  <a:defRPr lang="en-US"/>
                </a:pPr>
                <a:endParaRPr lang="en-US"/>
              </a:p>
            </c:txPr>
            <c:showVal val="1"/>
            <c:extLst>
              <c:ext xmlns:c15="http://schemas.microsoft.com/office/drawing/2012/chart" uri="{CE6537A1-D6FC-4f65-9D91-7224C49458BB}"/>
            </c:extLst>
          </c:dLbls>
          <c:cat>
            <c:strRef>
              <c:f>Sheet1!$D$2:$E$2</c:f>
              <c:strCache>
                <c:ptCount val="2"/>
                <c:pt idx="0">
                  <c:v>Male</c:v>
                </c:pt>
                <c:pt idx="1">
                  <c:v>Female</c:v>
                </c:pt>
              </c:strCache>
            </c:strRef>
          </c:cat>
          <c:val>
            <c:numRef>
              <c:f>Sheet1!$D$3:$E$3</c:f>
              <c:numCache>
                <c:formatCode>0.0%</c:formatCode>
                <c:ptCount val="2"/>
                <c:pt idx="0">
                  <c:v>0.52600000000000002</c:v>
                </c:pt>
                <c:pt idx="1">
                  <c:v>0.47400000000000031</c:v>
                </c:pt>
              </c:numCache>
            </c:numRef>
          </c:val>
        </c:ser>
      </c:pie3DChart>
      <c:spPr>
        <a:noFill/>
        <a:ln w="25399">
          <a:noFill/>
        </a:ln>
      </c:spPr>
    </c:plotArea>
    <c:legend>
      <c:legendPos val="r"/>
      <c:layout>
        <c:manualLayout>
          <c:xMode val="edge"/>
          <c:yMode val="edge"/>
          <c:x val="0.77978460657020077"/>
          <c:y val="0.34714785651793523"/>
          <c:w val="0.17010196734257768"/>
          <c:h val="0.23457361947403632"/>
        </c:manualLayout>
      </c:layout>
      <c:txPr>
        <a:bodyPr/>
        <a:lstStyle/>
        <a:p>
          <a:pPr>
            <a:defRPr lang="en-US"/>
          </a:pPr>
          <a:endParaRPr lang="en-US"/>
        </a:p>
      </c:txPr>
    </c:legend>
    <c:plotVisOnly val="1"/>
    <c:dispBlanksAs val="zero"/>
  </c:chart>
  <c:spPr>
    <a:noFill/>
    <a:ln w="3175">
      <a:solidFill>
        <a:sysClr val="windowText" lastClr="000000"/>
      </a:solidFill>
    </a:ln>
  </c:spPr>
  <c:txPr>
    <a:bodyPr/>
    <a:lstStyle/>
    <a:p>
      <a:pPr>
        <a:defRPr sz="800"/>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4AE34F-B864-4A3D-A7D6-B9FB65A7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 Laptop</dc:creator>
  <cp:lastModifiedBy>Administrator</cp:lastModifiedBy>
  <cp:revision>3</cp:revision>
  <cp:lastPrinted>2020-01-03T17:19:00Z</cp:lastPrinted>
  <dcterms:created xsi:type="dcterms:W3CDTF">2020-01-06T14:26:00Z</dcterms:created>
  <dcterms:modified xsi:type="dcterms:W3CDTF">2020-01-07T05:28:00Z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http://www.zotero.org/styles/european-respiratory-journal</vt:lpwstr>
  </property>
  <property fmtid="{D5CDD505-2E9C-101B-9397-08002B2CF9AE}" pid="13" name="Mendeley Recent Style Name 5_1">
    <vt:lpwstr>European Respiratory Journal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e0b8f7be-d63f-3c27-8b29-08c26777d5b6</vt:lpwstr>
  </property>
  <property fmtid="{D5CDD505-2E9C-101B-9397-08002B2CF9AE}" pid="24" name="Mendeley Citation Style_1">
    <vt:lpwstr>http://www.zotero.org/styles/european-respiratory-journal</vt:lpwstr>
  </property>
</Properties>
</file>