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63" w:rsidRDefault="00A4183F">
      <w:pPr>
        <w:spacing w:after="0" w:line="240" w:lineRule="auto"/>
        <w:ind w:firstLine="709"/>
        <w:jc w:val="center"/>
        <w:rPr>
          <w:rFonts w:ascii="Times New Roman" w:hAnsi="Times New Roman"/>
          <w:b/>
          <w:sz w:val="20"/>
          <w:szCs w:val="20"/>
          <w:lang w:val="en-US"/>
        </w:rPr>
      </w:pPr>
      <w:r>
        <w:rPr>
          <w:rFonts w:ascii="Times New Roman" w:hAnsi="Times New Roman"/>
          <w:b/>
          <w:sz w:val="20"/>
          <w:szCs w:val="20"/>
          <w:lang w:val="en-US"/>
        </w:rPr>
        <w:t>The process of developing information and management competencies for masters of technical higher educational institutions</w:t>
      </w:r>
    </w:p>
    <w:p w:rsidR="00B03A63" w:rsidRDefault="00B03A63">
      <w:pPr>
        <w:spacing w:after="0" w:line="240" w:lineRule="auto"/>
        <w:ind w:firstLine="709"/>
        <w:jc w:val="both"/>
        <w:rPr>
          <w:rFonts w:ascii="Times New Roman" w:hAnsi="Times New Roman"/>
          <w:b/>
          <w:sz w:val="20"/>
          <w:szCs w:val="20"/>
          <w:lang w:val="en-US"/>
        </w:rPr>
      </w:pPr>
    </w:p>
    <w:p w:rsidR="00B03A63" w:rsidRDefault="00A4183F">
      <w:pPr>
        <w:suppressAutoHyphens/>
        <w:spacing w:after="0" w:line="240" w:lineRule="auto"/>
        <w:ind w:firstLine="709"/>
        <w:jc w:val="center"/>
        <w:rPr>
          <w:rFonts w:ascii="Times New Roman" w:hAnsi="Times New Roman"/>
          <w:sz w:val="20"/>
          <w:szCs w:val="20"/>
          <w:lang w:val="en-US" w:eastAsia="zh-CN"/>
        </w:rPr>
      </w:pPr>
      <w:r>
        <w:rPr>
          <w:rFonts w:ascii="Times New Roman" w:eastAsia="宋体" w:hAnsi="Times New Roman"/>
          <w:sz w:val="20"/>
          <w:szCs w:val="20"/>
          <w:lang w:val="en-US" w:eastAsia="ar-SA"/>
        </w:rPr>
        <w:t>Abdullaeva Ozoda Safibullaevna</w:t>
      </w:r>
    </w:p>
    <w:p w:rsidR="00B03A63" w:rsidRDefault="00B03A63">
      <w:pPr>
        <w:suppressAutoHyphens/>
        <w:spacing w:after="0" w:line="240" w:lineRule="auto"/>
        <w:ind w:firstLine="709"/>
        <w:jc w:val="center"/>
        <w:rPr>
          <w:rFonts w:ascii="Times New Roman" w:hAnsi="Times New Roman"/>
          <w:sz w:val="20"/>
          <w:szCs w:val="20"/>
          <w:lang w:val="en-US" w:eastAsia="zh-CN"/>
        </w:rPr>
      </w:pPr>
    </w:p>
    <w:p w:rsidR="00B03A63" w:rsidRDefault="00A4183F">
      <w:pPr>
        <w:suppressAutoHyphens/>
        <w:spacing w:after="0" w:line="240" w:lineRule="auto"/>
        <w:rPr>
          <w:rFonts w:ascii="Times New Roman" w:eastAsia="宋体" w:hAnsi="Times New Roman"/>
          <w:sz w:val="20"/>
          <w:szCs w:val="20"/>
          <w:lang w:val="en-US" w:eastAsia="ar-SA"/>
        </w:rPr>
      </w:pPr>
      <w:r>
        <w:rPr>
          <w:rFonts w:ascii="Times New Roman" w:eastAsia="宋体" w:hAnsi="Times New Roman"/>
          <w:sz w:val="20"/>
          <w:szCs w:val="20"/>
          <w:lang w:val="en-US" w:eastAsia="ar-SA"/>
        </w:rPr>
        <w:t xml:space="preserve">Doctor of Philosophy (PhD) in </w:t>
      </w:r>
      <w:r>
        <w:rPr>
          <w:rFonts w:ascii="Times New Roman" w:eastAsia="宋体" w:hAnsi="Times New Roman"/>
          <w:sz w:val="20"/>
          <w:szCs w:val="20"/>
          <w:lang w:val="en-US" w:eastAsia="ar-SA"/>
        </w:rPr>
        <w:t>Pedagogical Sciences, Associate Professor of the Department “Information Technology in Technical Systems” of the Namangan Engineering Construction Institute, Namangan, Uzbekistan</w:t>
      </w:r>
    </w:p>
    <w:p w:rsidR="00B03A63" w:rsidRDefault="00A4183F">
      <w:pPr>
        <w:spacing w:after="0" w:line="240" w:lineRule="auto"/>
        <w:ind w:firstLine="709"/>
        <w:jc w:val="center"/>
        <w:rPr>
          <w:rFonts w:ascii="Times New Roman" w:hAnsi="Times New Roman"/>
          <w:sz w:val="20"/>
          <w:szCs w:val="20"/>
          <w:lang w:val="en-US" w:eastAsia="zh-CN"/>
        </w:rPr>
      </w:pPr>
      <w:r>
        <w:rPr>
          <w:rFonts w:ascii="Times New Roman" w:eastAsia="宋体" w:hAnsi="Times New Roman"/>
          <w:sz w:val="20"/>
          <w:szCs w:val="20"/>
          <w:lang w:val="en-US"/>
        </w:rPr>
        <w:t xml:space="preserve">aspirantka.030@gmail.com </w:t>
      </w:r>
      <w:r>
        <w:rPr>
          <w:rFonts w:ascii="Times New Roman" w:hAnsi="Times New Roman" w:hint="eastAsia"/>
          <w:sz w:val="20"/>
          <w:szCs w:val="20"/>
          <w:lang w:val="en-US" w:eastAsia="zh-CN"/>
        </w:rPr>
        <w:t xml:space="preserve"> </w:t>
      </w:r>
    </w:p>
    <w:p w:rsidR="00B03A63" w:rsidRDefault="00B03A63">
      <w:pPr>
        <w:spacing w:after="0" w:line="240" w:lineRule="auto"/>
        <w:ind w:firstLine="709"/>
        <w:jc w:val="center"/>
        <w:rPr>
          <w:rFonts w:ascii="Times New Roman" w:hAnsi="Times New Roman"/>
          <w:b/>
          <w:sz w:val="20"/>
          <w:szCs w:val="20"/>
          <w:lang w:val="en-US"/>
        </w:rPr>
      </w:pPr>
    </w:p>
    <w:p w:rsidR="00B03A63" w:rsidRDefault="00A4183F">
      <w:pPr>
        <w:spacing w:after="0" w:line="240" w:lineRule="auto"/>
        <w:jc w:val="both"/>
        <w:rPr>
          <w:rFonts w:ascii="Times New Roman" w:eastAsia="Times New Roman" w:hAnsi="Times New Roman"/>
          <w:sz w:val="20"/>
          <w:szCs w:val="20"/>
          <w:lang w:val="uz-Cyrl-UZ" w:eastAsia="ru-RU"/>
        </w:rPr>
      </w:pPr>
      <w:r>
        <w:rPr>
          <w:rFonts w:ascii="Times New Roman" w:hAnsi="Times New Roman"/>
          <w:b/>
          <w:sz w:val="20"/>
          <w:szCs w:val="20"/>
          <w:lang w:val="en-US"/>
        </w:rPr>
        <w:t xml:space="preserve">Abstract: </w:t>
      </w:r>
      <w:r>
        <w:rPr>
          <w:rFonts w:ascii="Times New Roman" w:eastAsia="Times New Roman" w:hAnsi="Times New Roman"/>
          <w:sz w:val="20"/>
          <w:szCs w:val="20"/>
          <w:lang w:val="uz-Cyrl-UZ" w:eastAsia="ru-RU"/>
        </w:rPr>
        <w:t xml:space="preserve">In the article presents the results of </w:t>
      </w:r>
      <w:r>
        <w:rPr>
          <w:rFonts w:ascii="Times New Roman" w:eastAsia="Times New Roman" w:hAnsi="Times New Roman"/>
          <w:sz w:val="20"/>
          <w:szCs w:val="20"/>
          <w:lang w:val="uz-Cyrl-UZ" w:eastAsia="ru-RU"/>
        </w:rPr>
        <w:t>an ascertaining experiment on problems in the field of development of information and management competencies of masters of Technical higher educational institutions. The author analyzes the effectiveness of the process of development of information and ma</w:t>
      </w:r>
      <w:r>
        <w:rPr>
          <w:rFonts w:ascii="Times New Roman" w:eastAsia="Times New Roman" w:hAnsi="Times New Roman"/>
          <w:sz w:val="20"/>
          <w:szCs w:val="20"/>
          <w:lang w:val="uz-Cyrl-UZ" w:eastAsia="ru-RU"/>
        </w:rPr>
        <w:t>nagement competencies, identifies factors that contribute to improving the development  of masters of  of Technical higher educational institutions for future teaching activities.</w:t>
      </w:r>
      <w:r>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val="uz-Cyrl-UZ" w:eastAsia="ru-RU"/>
        </w:rPr>
        <w:t>In the article the diagnostics of revealing readiness of development of info</w:t>
      </w:r>
      <w:r>
        <w:rPr>
          <w:rFonts w:ascii="Times New Roman" w:eastAsia="Times New Roman" w:hAnsi="Times New Roman"/>
          <w:sz w:val="20"/>
          <w:szCs w:val="20"/>
          <w:lang w:val="uz-Cyrl-UZ" w:eastAsia="ru-RU"/>
        </w:rPr>
        <w:t>rmation and management competencies on a measuring instrument (indicators) is given. The quality of education was monitored, on the basis of which indicators for the following evaluation objects were developed and tested: educational activities; extracurri</w:t>
      </w:r>
      <w:r>
        <w:rPr>
          <w:rFonts w:ascii="Times New Roman" w:eastAsia="Times New Roman" w:hAnsi="Times New Roman"/>
          <w:sz w:val="20"/>
          <w:szCs w:val="20"/>
          <w:lang w:val="uz-Cyrl-UZ" w:eastAsia="ru-RU"/>
        </w:rPr>
        <w:t>cular activities; the quality of the conditions for ensuring the educational process. Their use in the process of experimental and experimental work is also considered. The results of the determination of readiness of development of information and managem</w:t>
      </w:r>
      <w:r>
        <w:rPr>
          <w:rFonts w:ascii="Times New Roman" w:eastAsia="Times New Roman" w:hAnsi="Times New Roman"/>
          <w:sz w:val="20"/>
          <w:szCs w:val="20"/>
          <w:lang w:val="uz-Cyrl-UZ" w:eastAsia="ru-RU"/>
        </w:rPr>
        <w:t>ent competencies on combined levels of assessment are summarized</w:t>
      </w:r>
    </w:p>
    <w:p w:rsidR="00B03A63" w:rsidRDefault="00A4183F">
      <w:pPr>
        <w:suppressAutoHyphens/>
        <w:spacing w:after="0" w:line="240" w:lineRule="auto"/>
        <w:jc w:val="both"/>
        <w:rPr>
          <w:rFonts w:ascii="Times New Roman" w:eastAsia="宋体" w:hAnsi="Times New Roman"/>
          <w:b/>
          <w:color w:val="FF0000"/>
          <w:sz w:val="20"/>
          <w:szCs w:val="20"/>
          <w:lang w:val="en-US" w:eastAsia="ar-SA"/>
        </w:rPr>
      </w:pPr>
      <w:r>
        <w:rPr>
          <w:rFonts w:ascii="Times New Roman" w:eastAsia="宋体" w:hAnsi="Times New Roman"/>
          <w:color w:val="000000"/>
          <w:sz w:val="20"/>
          <w:szCs w:val="20"/>
          <w:lang w:val="en-US" w:eastAsia="ar-SA"/>
        </w:rPr>
        <w:t>[</w:t>
      </w:r>
      <w:r>
        <w:rPr>
          <w:rFonts w:ascii="Times New Roman" w:eastAsia="宋体" w:hAnsi="Times New Roman"/>
          <w:sz w:val="20"/>
          <w:szCs w:val="20"/>
          <w:lang w:val="en-US" w:eastAsia="ar-SA"/>
        </w:rPr>
        <w:t xml:space="preserve">Abdullayeva O.S. </w:t>
      </w:r>
      <w:r>
        <w:rPr>
          <w:rFonts w:ascii="Times New Roman" w:eastAsia="宋体" w:hAnsi="Times New Roman"/>
          <w:b/>
          <w:sz w:val="20"/>
          <w:szCs w:val="20"/>
          <w:lang w:val="en-US" w:eastAsia="ar-SA"/>
        </w:rPr>
        <w:t>The process of developing information and management competencies for masters of technical higher educational institutions</w:t>
      </w:r>
      <w:r>
        <w:rPr>
          <w:rFonts w:ascii="Times New Roman" w:eastAsia="宋体" w:hAnsi="Times New Roman"/>
          <w:sz w:val="20"/>
          <w:szCs w:val="20"/>
          <w:lang w:val="en-US" w:eastAsia="ar-SA"/>
        </w:rPr>
        <w:t>.</w:t>
      </w:r>
      <w:r>
        <w:rPr>
          <w:rFonts w:ascii="Times New Roman" w:eastAsia="宋体" w:hAnsi="Times New Roman"/>
          <w:color w:val="000000"/>
          <w:sz w:val="20"/>
          <w:szCs w:val="20"/>
          <w:lang w:val="en-US" w:eastAsia="ar-SA"/>
        </w:rPr>
        <w:t xml:space="preserve"> </w:t>
      </w:r>
      <w:r>
        <w:rPr>
          <w:rFonts w:ascii="Times New Roman" w:hAnsi="Times New Roman"/>
          <w:bCs/>
          <w:i/>
          <w:sz w:val="20"/>
          <w:szCs w:val="20"/>
        </w:rPr>
        <w:t>N Y Sci J</w:t>
      </w:r>
      <w:r>
        <w:rPr>
          <w:rFonts w:ascii="Times New Roman" w:hAnsi="Times New Roman"/>
          <w:bCs/>
          <w:sz w:val="20"/>
          <w:szCs w:val="20"/>
        </w:rPr>
        <w:t xml:space="preserve"> </w:t>
      </w:r>
      <w:r>
        <w:rPr>
          <w:rFonts w:ascii="Times New Roman" w:hAnsi="Times New Roman"/>
          <w:sz w:val="20"/>
          <w:szCs w:val="20"/>
        </w:rPr>
        <w:t>2021;14(</w:t>
      </w:r>
      <w:r>
        <w:rPr>
          <w:rFonts w:ascii="Times New Roman" w:eastAsia="宋体" w:hAnsi="Times New Roman" w:hint="eastAsia"/>
          <w:sz w:val="20"/>
          <w:szCs w:val="20"/>
          <w:lang w:val="en-US" w:eastAsia="zh-CN"/>
        </w:rPr>
        <w:t>5</w:t>
      </w:r>
      <w:bookmarkStart w:id="0" w:name="_GoBack"/>
      <w:bookmarkEnd w:id="0"/>
      <w:r>
        <w:rPr>
          <w:rFonts w:ascii="Times New Roman" w:hAnsi="Times New Roman"/>
          <w:sz w:val="20"/>
          <w:szCs w:val="20"/>
        </w:rPr>
        <w:t>):</w:t>
      </w:r>
      <w:r>
        <w:rPr>
          <w:rFonts w:ascii="Times New Roman" w:hAnsi="Times New Roman" w:hint="eastAsia"/>
          <w:sz w:val="20"/>
          <w:szCs w:val="20"/>
          <w:lang w:val="en-US" w:eastAsia="zh-CN"/>
        </w:rPr>
        <w:t>13</w:t>
      </w:r>
      <w:r>
        <w:rPr>
          <w:rFonts w:ascii="Times New Roman" w:hAnsi="Times New Roman"/>
          <w:sz w:val="20"/>
          <w:szCs w:val="20"/>
          <w:lang w:eastAsia="zh-CN"/>
        </w:rPr>
        <w:t>-</w:t>
      </w:r>
      <w:r>
        <w:rPr>
          <w:rFonts w:ascii="Times New Roman" w:hAnsi="Times New Roman" w:hint="eastAsia"/>
          <w:sz w:val="20"/>
          <w:szCs w:val="20"/>
          <w:lang w:val="en-US" w:eastAsia="zh-CN"/>
        </w:rPr>
        <w:t>17</w:t>
      </w:r>
      <w:r>
        <w:rPr>
          <w:rFonts w:ascii="Times New Roman" w:hAnsi="Times New Roman"/>
          <w:sz w:val="20"/>
          <w:szCs w:val="20"/>
        </w:rPr>
        <w:t xml:space="preserve">]. </w:t>
      </w:r>
      <w:r>
        <w:rPr>
          <w:rFonts w:ascii="Times New Roman" w:hAnsi="Times New Roman"/>
          <w:iCs/>
          <w:color w:val="000000"/>
          <w:sz w:val="20"/>
          <w:szCs w:val="20"/>
          <w:lang w:eastAsia="zh-CN"/>
        </w:rPr>
        <w:t xml:space="preserve">ISSN 1554-0200 </w:t>
      </w:r>
      <w:r>
        <w:rPr>
          <w:rFonts w:ascii="Times New Roman" w:hAnsi="Times New Roman"/>
          <w:iCs/>
          <w:color w:val="000000"/>
          <w:sz w:val="20"/>
          <w:szCs w:val="20"/>
          <w:lang w:eastAsia="zh-CN"/>
        </w:rPr>
        <w:t>(print); ISSN 2375-723X (online).</w:t>
      </w:r>
      <w:r>
        <w:rPr>
          <w:rFonts w:ascii="Times New Roman" w:hAnsi="Times New Roman"/>
          <w:sz w:val="20"/>
          <w:szCs w:val="20"/>
        </w:rPr>
        <w:t xml:space="preserve"> </w:t>
      </w:r>
      <w:hyperlink r:id="rId8" w:history="1">
        <w:r>
          <w:rPr>
            <w:rFonts w:ascii="Times New Roman" w:hAnsi="Times New Roman"/>
            <w:color w:val="0000FF"/>
            <w:sz w:val="20"/>
            <w:szCs w:val="20"/>
            <w:u w:val="single"/>
          </w:rPr>
          <w:t>http://www.sciencepub.net/newyork</w:t>
        </w:r>
      </w:hyperlink>
      <w:r>
        <w:rPr>
          <w:rFonts w:ascii="Times New Roman" w:eastAsia="宋体" w:hAnsi="Times New Roman"/>
          <w:color w:val="0000FF"/>
          <w:sz w:val="20"/>
          <w:szCs w:val="20"/>
          <w:u w:val="single"/>
          <w:lang w:val="en-US" w:eastAsia="zh-CN"/>
        </w:rPr>
        <w:t xml:space="preserve"> </w:t>
      </w:r>
      <w:r>
        <w:rPr>
          <w:rFonts w:ascii="Times New Roman" w:hAnsi="Times New Roman" w:hint="eastAsia"/>
          <w:sz w:val="20"/>
          <w:szCs w:val="20"/>
          <w:lang w:val="en-US" w:eastAsia="zh-CN"/>
        </w:rPr>
        <w:t>3</w:t>
      </w:r>
      <w:r>
        <w:rPr>
          <w:rFonts w:ascii="Times New Roman" w:hAnsi="Times New Roman"/>
          <w:sz w:val="20"/>
          <w:szCs w:val="20"/>
        </w:rPr>
        <w:t xml:space="preserve">. </w:t>
      </w:r>
      <w:r>
        <w:rPr>
          <w:rFonts w:ascii="Times New Roman" w:hAnsi="Times New Roman"/>
          <w:color w:val="000000"/>
          <w:sz w:val="20"/>
          <w:szCs w:val="20"/>
          <w:shd w:val="clear" w:color="auto" w:fill="FFFFFF"/>
        </w:rPr>
        <w:t>doi:</w:t>
      </w:r>
      <w:hyperlink r:id="rId9" w:history="1">
        <w:r>
          <w:rPr>
            <w:rStyle w:val="Hyperlink"/>
            <w:rFonts w:ascii="Times New Roman" w:hAnsi="Times New Roman"/>
            <w:sz w:val="20"/>
            <w:szCs w:val="20"/>
            <w:shd w:val="clear" w:color="auto" w:fill="FFFFFF"/>
          </w:rPr>
          <w:t>10.7537/marsnys140521.03</w:t>
        </w:r>
      </w:hyperlink>
      <w:r>
        <w:rPr>
          <w:rFonts w:ascii="Times New Roman" w:hAnsi="Times New Roman"/>
          <w:color w:val="000000"/>
          <w:sz w:val="20"/>
          <w:szCs w:val="20"/>
          <w:shd w:val="clear" w:color="auto" w:fill="FFFFFF"/>
        </w:rPr>
        <w:t>.</w:t>
      </w:r>
    </w:p>
    <w:p w:rsidR="00B03A63" w:rsidRDefault="00B03A63">
      <w:pPr>
        <w:spacing w:after="0" w:line="240" w:lineRule="auto"/>
        <w:ind w:firstLine="709"/>
        <w:jc w:val="both"/>
        <w:rPr>
          <w:rFonts w:ascii="Times New Roman" w:eastAsia="Times New Roman" w:hAnsi="Times New Roman"/>
          <w:sz w:val="20"/>
          <w:szCs w:val="20"/>
          <w:lang w:val="uz-Cyrl-UZ" w:eastAsia="ru-RU"/>
        </w:rPr>
      </w:pPr>
    </w:p>
    <w:p w:rsidR="00B03A63" w:rsidRDefault="00A4183F">
      <w:pPr>
        <w:spacing w:after="0" w:line="240" w:lineRule="auto"/>
        <w:jc w:val="both"/>
        <w:rPr>
          <w:rFonts w:ascii="Times New Roman" w:eastAsia="Times New Roman" w:hAnsi="Times New Roman"/>
          <w:sz w:val="20"/>
          <w:szCs w:val="20"/>
          <w:lang w:val="uz-Cyrl-UZ" w:eastAsia="ru-RU"/>
        </w:rPr>
      </w:pPr>
      <w:r>
        <w:rPr>
          <w:rFonts w:ascii="Times New Roman" w:eastAsia="Times New Roman" w:hAnsi="Times New Roman"/>
          <w:b/>
          <w:sz w:val="20"/>
          <w:szCs w:val="20"/>
          <w:lang w:val="uz-Cyrl-UZ" w:eastAsia="ru-RU"/>
        </w:rPr>
        <w:t>Keywords:</w:t>
      </w:r>
      <w:r>
        <w:rPr>
          <w:rFonts w:ascii="Times New Roman" w:eastAsia="Times New Roman" w:hAnsi="Times New Roman"/>
          <w:sz w:val="20"/>
          <w:szCs w:val="20"/>
          <w:lang w:val="uz-Cyrl-UZ" w:eastAsia="ru-RU"/>
        </w:rPr>
        <w:t xml:space="preserve"> information and management competencies, teacher, student,  of Technical higher education, methodology, criteria, levels, experiment, indicators.</w:t>
      </w:r>
    </w:p>
    <w:p w:rsidR="00B03A63" w:rsidRDefault="00B03A63">
      <w:pPr>
        <w:spacing w:after="0" w:line="240" w:lineRule="auto"/>
        <w:ind w:firstLine="709"/>
        <w:jc w:val="both"/>
        <w:rPr>
          <w:rFonts w:ascii="Times New Roman" w:hAnsi="Times New Roman"/>
          <w:sz w:val="20"/>
          <w:szCs w:val="20"/>
          <w:lang w:val="en-US"/>
        </w:rPr>
      </w:pPr>
    </w:p>
    <w:p w:rsidR="00B03A63" w:rsidRDefault="00B03A63">
      <w:pPr>
        <w:spacing w:after="0" w:line="240" w:lineRule="auto"/>
        <w:ind w:firstLine="708"/>
        <w:jc w:val="both"/>
        <w:rPr>
          <w:rFonts w:ascii="Times New Roman" w:hAnsi="Times New Roman"/>
          <w:sz w:val="20"/>
          <w:szCs w:val="20"/>
          <w:lang w:val="en-US"/>
        </w:rPr>
        <w:sectPr w:rsidR="00B03A63">
          <w:headerReference w:type="default" r:id="rId10"/>
          <w:footerReference w:type="default" r:id="rId11"/>
          <w:headerReference w:type="first" r:id="rId12"/>
          <w:footerReference w:type="first" r:id="rId13"/>
          <w:pgSz w:w="12191" w:h="15819"/>
          <w:pgMar w:top="1440" w:right="1440" w:bottom="1440" w:left="1440" w:header="720" w:footer="720" w:gutter="0"/>
          <w:pgNumType w:start="13"/>
          <w:cols w:space="708"/>
          <w:titlePg/>
          <w:docGrid w:linePitch="360"/>
        </w:sectPr>
      </w:pPr>
    </w:p>
    <w:p w:rsidR="00B03A63" w:rsidRDefault="00A4183F">
      <w:pPr>
        <w:suppressAutoHyphens/>
        <w:spacing w:after="0" w:line="240" w:lineRule="auto"/>
        <w:ind w:firstLine="708"/>
        <w:jc w:val="both"/>
        <w:rPr>
          <w:rFonts w:ascii="Times New Roman" w:eastAsia="宋体" w:hAnsi="Times New Roman"/>
          <w:b/>
          <w:sz w:val="20"/>
          <w:szCs w:val="20"/>
          <w:lang w:val="en-US" w:eastAsia="ar-SA"/>
        </w:rPr>
      </w:pPr>
      <w:r>
        <w:rPr>
          <w:rFonts w:ascii="Times New Roman" w:eastAsia="宋体" w:hAnsi="Times New Roman"/>
          <w:b/>
          <w:sz w:val="20"/>
          <w:szCs w:val="20"/>
          <w:lang w:val="en-US" w:eastAsia="ar-SA"/>
        </w:rPr>
        <w:lastRenderedPageBreak/>
        <w:t>1.Introduction</w:t>
      </w:r>
    </w:p>
    <w:p w:rsidR="00B03A63" w:rsidRDefault="00B03A63">
      <w:pPr>
        <w:spacing w:after="0" w:line="240" w:lineRule="auto"/>
        <w:ind w:firstLine="708"/>
        <w:jc w:val="both"/>
        <w:rPr>
          <w:rFonts w:ascii="Times New Roman" w:hAnsi="Times New Roman"/>
          <w:sz w:val="20"/>
          <w:szCs w:val="20"/>
          <w:lang w:val="en-US"/>
        </w:rPr>
        <w:sectPr w:rsidR="00B03A63">
          <w:type w:val="continuous"/>
          <w:pgSz w:w="12191" w:h="15819"/>
          <w:pgMar w:top="1134" w:right="850" w:bottom="1134" w:left="1701" w:header="708" w:footer="708" w:gutter="0"/>
          <w:cols w:num="2" w:space="708"/>
          <w:docGrid w:linePitch="360"/>
        </w:sectPr>
      </w:pP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lastRenderedPageBreak/>
        <w:t xml:space="preserve">In modern situations, the </w:t>
      </w:r>
      <w:r>
        <w:rPr>
          <w:rFonts w:ascii="Times New Roman" w:hAnsi="Times New Roman"/>
          <w:sz w:val="20"/>
          <w:szCs w:val="20"/>
          <w:lang w:val="en-US"/>
        </w:rPr>
        <w:t xml:space="preserve">content of the pedagogical activity of the teacher of vocational education is changing dramatically, as the methods and methods of teaching develop rapidly. The effectiveness of teaching methods and technologies is determined, above all, by ensuring a new </w:t>
      </w:r>
      <w:r>
        <w:rPr>
          <w:rFonts w:ascii="Times New Roman" w:hAnsi="Times New Roman"/>
          <w:sz w:val="20"/>
          <w:szCs w:val="20"/>
          <w:lang w:val="en-US"/>
        </w:rPr>
        <w:t xml:space="preserve">quality of education, when the result of education is the competence of the teacher in various spheres of life. Such a result is reachable if a graduate is ready to carry out educational activities. The readiness of students for pedagogical activity helps </w:t>
      </w:r>
      <w:r>
        <w:rPr>
          <w:rFonts w:ascii="Times New Roman" w:hAnsi="Times New Roman"/>
          <w:sz w:val="20"/>
          <w:szCs w:val="20"/>
          <w:lang w:val="en-US"/>
        </w:rPr>
        <w:t>to successfully use knowledge and skills, maintain self-control and restructure themselves when unforeseen obstacles appear in the future. Improving the efficiency of the process of preparing students for pedagogical activity in the direction of vocational</w:t>
      </w:r>
      <w:r>
        <w:rPr>
          <w:rFonts w:ascii="Times New Roman" w:hAnsi="Times New Roman"/>
          <w:sz w:val="20"/>
          <w:szCs w:val="20"/>
          <w:lang w:val="en-US"/>
        </w:rPr>
        <w:t xml:space="preserve"> education serves as a means and goal of the methodical and substantive development of pedagogical processes in secondary specialized vocational educational institutions.</w:t>
      </w:r>
    </w:p>
    <w:p w:rsidR="00B03A63" w:rsidRDefault="00A4183F">
      <w:pPr>
        <w:suppressAutoHyphens/>
        <w:spacing w:after="0" w:line="240" w:lineRule="auto"/>
        <w:ind w:firstLine="708"/>
        <w:contextualSpacing/>
        <w:jc w:val="both"/>
        <w:rPr>
          <w:rFonts w:ascii="Times New Roman" w:eastAsia="宋体" w:hAnsi="Times New Roman"/>
          <w:b/>
          <w:sz w:val="20"/>
          <w:szCs w:val="20"/>
          <w:lang w:val="en-US" w:eastAsia="ar-SA"/>
        </w:rPr>
      </w:pPr>
      <w:r>
        <w:rPr>
          <w:rFonts w:ascii="Times New Roman" w:eastAsia="宋体" w:hAnsi="Times New Roman"/>
          <w:b/>
          <w:sz w:val="20"/>
          <w:szCs w:val="20"/>
          <w:lang w:val="en-US" w:eastAsia="ar-SA"/>
        </w:rPr>
        <w:t>2. Material and Methods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Based on the current relevance, there is a necessity for a sc</w:t>
      </w:r>
      <w:r>
        <w:rPr>
          <w:rFonts w:ascii="Times New Roman" w:hAnsi="Times New Roman"/>
          <w:sz w:val="20"/>
          <w:szCs w:val="20"/>
          <w:lang w:val="en-US"/>
        </w:rPr>
        <w:t xml:space="preserve">ientific substantiation and improvement of the measuring tool for determining </w:t>
      </w:r>
      <w:r>
        <w:rPr>
          <w:rFonts w:ascii="Times New Roman" w:hAnsi="Times New Roman"/>
          <w:sz w:val="20"/>
          <w:szCs w:val="20"/>
          <w:lang w:val="en-US"/>
        </w:rPr>
        <w:lastRenderedPageBreak/>
        <w:t>readiness and identifying conditions for improving the efficiency of the preparation process for students' pedagogical activities in the Vocational Education direction. To achiev</w:t>
      </w:r>
      <w:r>
        <w:rPr>
          <w:rFonts w:ascii="Times New Roman" w:hAnsi="Times New Roman"/>
          <w:sz w:val="20"/>
          <w:szCs w:val="20"/>
          <w:lang w:val="en-US"/>
        </w:rPr>
        <w:t>e the goal of the study, the author of this article solved the following tasks: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improve indicators (indicators) of students' readiness for teaching activities;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xml:space="preserve">- to determine the level of readiness of students in the direction of "Professional education </w:t>
      </w:r>
      <w:r>
        <w:rPr>
          <w:rFonts w:ascii="Times New Roman" w:hAnsi="Times New Roman"/>
          <w:sz w:val="20"/>
          <w:szCs w:val="20"/>
          <w:lang w:val="en-US"/>
        </w:rPr>
        <w:t>in the field of organization and management of pedagogical processes;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to study the effectiveness of pedagogical processes organized by young professionals;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identify the influencing factors on the effectiveness of pedagogical processes.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At the same time</w:t>
      </w:r>
      <w:r>
        <w:rPr>
          <w:rFonts w:ascii="Times New Roman" w:hAnsi="Times New Roman"/>
          <w:sz w:val="20"/>
          <w:szCs w:val="20"/>
          <w:lang w:val="en-US"/>
        </w:rPr>
        <w:t>, it becomes important that the measuring tools for studying readiness for the pedagogical activity of future college teachers meet several requirements:</w:t>
      </w:r>
    </w:p>
    <w:p w:rsidR="00B03A63" w:rsidRDefault="00A4183F">
      <w:pPr>
        <w:spacing w:after="0" w:line="240" w:lineRule="auto"/>
        <w:ind w:firstLine="708"/>
        <w:jc w:val="both"/>
        <w:rPr>
          <w:rFonts w:ascii="Times New Roman" w:hAnsi="Times New Roman"/>
          <w:sz w:val="20"/>
          <w:szCs w:val="20"/>
          <w:lang w:val="uz-Cyrl-UZ"/>
        </w:rPr>
      </w:pPr>
      <w:r>
        <w:rPr>
          <w:rFonts w:ascii="Times New Roman" w:hAnsi="Times New Roman"/>
          <w:sz w:val="20"/>
          <w:szCs w:val="20"/>
          <w:lang w:val="en-US"/>
        </w:rPr>
        <w:t>• measurement methods should complement and mutually check each other;</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the information obtained in t</w:t>
      </w:r>
      <w:r>
        <w:rPr>
          <w:rFonts w:ascii="Times New Roman" w:hAnsi="Times New Roman"/>
          <w:sz w:val="20"/>
          <w:szCs w:val="20"/>
          <w:lang w:val="en-US"/>
        </w:rPr>
        <w:t xml:space="preserve">he course of measurement must expressly state the readiness </w:t>
      </w:r>
      <w:r>
        <w:rPr>
          <w:rFonts w:ascii="Times New Roman" w:hAnsi="Times New Roman"/>
          <w:sz w:val="20"/>
          <w:szCs w:val="20"/>
          <w:lang w:val="en-US"/>
        </w:rPr>
        <w:lastRenderedPageBreak/>
        <w:t>process for the pedagogical activity of future teachers of vocational education, be objective and sufficient.</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Based on the above requirements, we have improved the indicators as measuring tools, w</w:t>
      </w:r>
      <w:r>
        <w:rPr>
          <w:rFonts w:ascii="Times New Roman" w:hAnsi="Times New Roman"/>
          <w:sz w:val="20"/>
          <w:szCs w:val="20"/>
          <w:lang w:val="en-US"/>
        </w:rPr>
        <w:t>ith the help of which it was possible, on the one hand, to determine the current state of pedagogical training of students in the Vocational Education direction, on the other hand, to determine the quality of training and education of college students to i</w:t>
      </w:r>
      <w:r>
        <w:rPr>
          <w:rFonts w:ascii="Times New Roman" w:hAnsi="Times New Roman"/>
          <w:sz w:val="20"/>
          <w:szCs w:val="20"/>
          <w:lang w:val="en-US"/>
        </w:rPr>
        <w:t>dentify and resolving existing problems, the solution of which will enhance the effectiveness of the process of preparing students for pedagogical activity.</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xml:space="preserve">The experiment, which determines the current state of readiness for the pedagogical activities of </w:t>
      </w:r>
      <w:r>
        <w:rPr>
          <w:rFonts w:ascii="Times New Roman" w:hAnsi="Times New Roman"/>
          <w:sz w:val="20"/>
          <w:szCs w:val="20"/>
          <w:lang w:val="en-US"/>
        </w:rPr>
        <w:t>students in the direction of "Vocational Education" and teachers of the college, was held at the Tashkent State Pedagogical University, Namangan Engineering and Construction Institute (formerly Namangan Engineering and Pedagogical Institute), Fergana and N</w:t>
      </w:r>
      <w:r>
        <w:rPr>
          <w:rFonts w:ascii="Times New Roman" w:hAnsi="Times New Roman"/>
          <w:sz w:val="20"/>
          <w:szCs w:val="20"/>
          <w:lang w:val="en-US"/>
        </w:rPr>
        <w:t>amangan State University, Namangan Transport College and information technologies.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xml:space="preserve">With the subjects (graduate students in the direction of "Vocational Education"), the final diagnosis was carried out and the level of readiness for teaching activities was </w:t>
      </w:r>
      <w:r>
        <w:rPr>
          <w:rFonts w:ascii="Times New Roman" w:hAnsi="Times New Roman"/>
          <w:sz w:val="20"/>
          <w:szCs w:val="20"/>
          <w:lang w:val="en-US"/>
        </w:rPr>
        <w:t>identified, systematization, synthesis, evaluation and analysis of the results were carried out.</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Pedagogical processes are carried out in the field of two complementary systems, that is, in the process of educational and extracurricular activities. Therefo</w:t>
      </w:r>
      <w:r>
        <w:rPr>
          <w:rFonts w:ascii="Times New Roman" w:hAnsi="Times New Roman"/>
          <w:sz w:val="20"/>
          <w:szCs w:val="20"/>
          <w:lang w:val="en-US"/>
        </w:rPr>
        <w:t>re, indicators (indicators) have been improved for the following assessment objects: educational activities; extracurricular activities; quality conditions of the educational process.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The complex of educational activity indicators includes: educational ach</w:t>
      </w:r>
      <w:r>
        <w:rPr>
          <w:rFonts w:ascii="Times New Roman" w:hAnsi="Times New Roman"/>
          <w:sz w:val="20"/>
          <w:szCs w:val="20"/>
          <w:lang w:val="en-US"/>
        </w:rPr>
        <w:t>ievements in the subjects of the pedagogical cycle and teaching practice; educational programs defining the content of vocational education in the direction 5330200 - Computer Science and Information Technology; pedagogical skills of a teacher (pedagogical</w:t>
      </w:r>
      <w:r>
        <w:rPr>
          <w:rFonts w:ascii="Times New Roman" w:hAnsi="Times New Roman"/>
          <w:sz w:val="20"/>
          <w:szCs w:val="20"/>
          <w:lang w:val="en-US"/>
        </w:rPr>
        <w:t xml:space="preserve"> tact, pedagogical abilities, culture of speech, possession of progressive pedagogical and information technologies).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The complex of indicators of extracurricular activities includes: types of non-educational activities carried out by a teacher during extr</w:t>
      </w:r>
      <w:r>
        <w:rPr>
          <w:rFonts w:ascii="Times New Roman" w:hAnsi="Times New Roman"/>
          <w:sz w:val="20"/>
          <w:szCs w:val="20"/>
          <w:lang w:val="en-US"/>
        </w:rPr>
        <w:t>acurricular activities: curatorial activities, organization of circles, organization of various types of events and competitions, conferences, etc., as well as achievement of a teacher in these types of activities.</w:t>
      </w:r>
    </w:p>
    <w:p w:rsidR="00B03A63" w:rsidRDefault="00A4183F">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The complex of indicators of the conditio</w:t>
      </w:r>
      <w:r>
        <w:rPr>
          <w:rFonts w:ascii="Times New Roman" w:hAnsi="Times New Roman"/>
          <w:sz w:val="20"/>
          <w:szCs w:val="20"/>
          <w:lang w:val="en-US"/>
        </w:rPr>
        <w:t xml:space="preserve">ns for ensuring the educational process includes indicators for testing the knowledge of the future teacher on the equipment of the educational process, </w:t>
      </w:r>
      <w:r>
        <w:rPr>
          <w:rFonts w:ascii="Times New Roman" w:hAnsi="Times New Roman"/>
          <w:sz w:val="20"/>
          <w:szCs w:val="20"/>
          <w:lang w:val="en-US"/>
        </w:rPr>
        <w:lastRenderedPageBreak/>
        <w:t xml:space="preserve">educational and methodological support of the educational process, material and technical equipment of </w:t>
      </w:r>
      <w:r>
        <w:rPr>
          <w:rFonts w:ascii="Times New Roman" w:hAnsi="Times New Roman"/>
          <w:sz w:val="20"/>
          <w:szCs w:val="20"/>
          <w:lang w:val="en-US"/>
        </w:rPr>
        <w:t>the educational process.</w:t>
      </w:r>
    </w:p>
    <w:p w:rsidR="00B03A63" w:rsidRDefault="00A4183F">
      <w:pPr>
        <w:spacing w:after="0" w:line="240" w:lineRule="auto"/>
        <w:ind w:firstLine="708"/>
        <w:jc w:val="both"/>
        <w:rPr>
          <w:rFonts w:ascii="Times New Roman" w:eastAsia="Times New Roman" w:hAnsi="Times New Roman"/>
          <w:bCs/>
          <w:sz w:val="20"/>
          <w:szCs w:val="20"/>
          <w:lang w:val="en-US" w:eastAsia="ru-RU"/>
        </w:rPr>
      </w:pPr>
      <w:r>
        <w:rPr>
          <w:rFonts w:ascii="Times New Roman" w:hAnsi="Times New Roman"/>
          <w:sz w:val="20"/>
          <w:szCs w:val="20"/>
          <w:lang w:val="en-US"/>
        </w:rPr>
        <w:t>The above sets of indicators (indicators) characterize the main elements of the quality of education (quality of goals,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The above sets of indicators (indicators) characterize the main elements of the quality of education (quality o</w:t>
      </w:r>
      <w:r>
        <w:rPr>
          <w:rFonts w:ascii="Times New Roman" w:hAnsi="Times New Roman"/>
          <w:sz w:val="20"/>
          <w:szCs w:val="20"/>
          <w:lang w:val="en-US"/>
        </w:rPr>
        <w:t>f goals, quality of conditions, quality of the process, quality of results).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Indicators of the level of preparedness of students of higher educational institutions in the direction of "Vocational education" for future work in colleges include:</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First, prepa</w:t>
      </w:r>
      <w:r>
        <w:rPr>
          <w:rFonts w:ascii="Times New Roman" w:hAnsi="Times New Roman"/>
          <w:sz w:val="20"/>
          <w:szCs w:val="20"/>
          <w:lang w:val="en-US"/>
        </w:rPr>
        <w:t>ration for teaching activities in the subjects of the teaching cycle and teaching practice, their personal achievements in educational activities;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Secondly, the quality of the organization of pedagogical processes;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Thirdly, knowledge in the field of condit</w:t>
      </w:r>
      <w:r>
        <w:rPr>
          <w:rFonts w:ascii="Times New Roman" w:hAnsi="Times New Roman"/>
          <w:sz w:val="20"/>
          <w:szCs w:val="20"/>
          <w:lang w:val="en-US"/>
        </w:rPr>
        <w:t>ions for ensuring the educational process.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Monitoring was conducted during 2014-2017.</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Monitoring the quality of the results of students 'educational activities: in the subjects of the pedagogical cycle was assessed by the rating system of higher educationa</w:t>
      </w:r>
      <w:r>
        <w:rPr>
          <w:rFonts w:ascii="Times New Roman" w:hAnsi="Times New Roman"/>
          <w:sz w:val="20"/>
          <w:szCs w:val="20"/>
          <w:lang w:val="en-US"/>
        </w:rPr>
        <w:t>l institutions (current, intermediate, final grades), based on which, students' performance in the subjects of the pedagogical cycle, mastery of knowledge, skills, skills according to the state educational standards on pedagogical practice by the method of</w:t>
      </w:r>
      <w:r>
        <w:rPr>
          <w:rFonts w:ascii="Times New Roman" w:hAnsi="Times New Roman"/>
          <w:sz w:val="20"/>
          <w:szCs w:val="20"/>
          <w:lang w:val="en-US"/>
        </w:rPr>
        <w:t xml:space="preserve"> questioning (according to the developed indicators).</w:t>
      </w:r>
    </w:p>
    <w:p w:rsidR="00B03A63" w:rsidRDefault="00A4183F">
      <w:pPr>
        <w:suppressAutoHyphens/>
        <w:spacing w:after="0" w:line="240" w:lineRule="auto"/>
        <w:ind w:firstLine="709"/>
        <w:jc w:val="both"/>
        <w:rPr>
          <w:rFonts w:ascii="Times New Roman" w:eastAsia="宋体" w:hAnsi="Times New Roman"/>
          <w:b/>
          <w:sz w:val="20"/>
          <w:szCs w:val="20"/>
          <w:lang w:val="en-US" w:eastAsia="ar-SA"/>
        </w:rPr>
      </w:pPr>
      <w:r>
        <w:rPr>
          <w:rFonts w:ascii="Times New Roman" w:eastAsia="宋体" w:hAnsi="Times New Roman"/>
          <w:b/>
          <w:sz w:val="20"/>
          <w:szCs w:val="20"/>
          <w:lang w:val="en-US" w:eastAsia="ar-SA"/>
        </w:rPr>
        <w:t>3. Result</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Monitoring the quality of the results of extra-curricular activities was assessed by a system for collecting data on the results of extra-curricular activities, which includes two complementar</w:t>
      </w:r>
      <w:r>
        <w:rPr>
          <w:rFonts w:ascii="Times New Roman" w:hAnsi="Times New Roman"/>
          <w:sz w:val="20"/>
          <w:szCs w:val="20"/>
          <w:lang w:val="en-US"/>
        </w:rPr>
        <w:t>y systems for collecting and processing data:</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-Questionnaires (questionnaires), which are filled by students in the direction of "Vocational Education";</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-Questionnaires (questionnaires), filled by college teachers.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The quality monitoring of the educational</w:t>
      </w:r>
      <w:r>
        <w:rPr>
          <w:rFonts w:ascii="Times New Roman" w:hAnsi="Times New Roman"/>
          <w:sz w:val="20"/>
          <w:szCs w:val="20"/>
          <w:lang w:val="en-US"/>
        </w:rPr>
        <w:t xml:space="preserve"> process provision conditions was assessed by the data collection system for the educational process support conditions, which includes complementary data collection and processing systems: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•Questionnaires (questionnaires), which are filled by students of </w:t>
      </w:r>
      <w:r>
        <w:rPr>
          <w:rFonts w:ascii="Times New Roman" w:hAnsi="Times New Roman"/>
          <w:sz w:val="20"/>
          <w:szCs w:val="20"/>
          <w:lang w:val="en-US"/>
        </w:rPr>
        <w:t>higher educational institutions in the direction of "Professional Education";</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•Questionnaires (questionnaires), filled by college teachers.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lastRenderedPageBreak/>
        <w:t>•Questionnaires (questionnaires), filled by the administration of the college.</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Knowledge in the field of extracurric</w:t>
      </w:r>
      <w:r>
        <w:rPr>
          <w:rFonts w:ascii="Times New Roman" w:hAnsi="Times New Roman"/>
          <w:sz w:val="20"/>
          <w:szCs w:val="20"/>
          <w:lang w:val="en-US"/>
        </w:rPr>
        <w:t xml:space="preserve">ular pedagogical activity was assessed by indicators by proposing to the student in the Vocational Education direction a set of questions for identifying the knowledge necessary to perform extracurricular pedagogical activities. The use of these questions </w:t>
      </w:r>
      <w:r>
        <w:rPr>
          <w:rFonts w:ascii="Times New Roman" w:hAnsi="Times New Roman"/>
          <w:sz w:val="20"/>
          <w:szCs w:val="20"/>
          <w:lang w:val="en-US"/>
        </w:rPr>
        <w:t>allowed us to reveal students' knowledge of the Vocational Education direction about the role, types of extracurricular teaching activities in the professional work of a teacher of vocational education, as well as the organization and management of extracu</w:t>
      </w:r>
      <w:r>
        <w:rPr>
          <w:rFonts w:ascii="Times New Roman" w:hAnsi="Times New Roman"/>
          <w:sz w:val="20"/>
          <w:szCs w:val="20"/>
          <w:lang w:val="en-US"/>
        </w:rPr>
        <w:t>rricular educational processes.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To date, there is already a well-established rating-point system for assessing the educational activities of students in directions that determine readiness for pedagogical activity during school hours. However, the readines</w:t>
      </w:r>
      <w:r>
        <w:rPr>
          <w:rFonts w:ascii="Times New Roman" w:hAnsi="Times New Roman"/>
          <w:sz w:val="20"/>
          <w:szCs w:val="20"/>
          <w:lang w:val="en-US"/>
        </w:rPr>
        <w:t>s of students of the “Vocational Education” direction for extracurricular activities, as a rule, does not have an objective assessment and has a serious drawback. Therefore, we have improved the indicators to determine the quality of preparation for extrac</w:t>
      </w:r>
      <w:r>
        <w:rPr>
          <w:rFonts w:ascii="Times New Roman" w:hAnsi="Times New Roman"/>
          <w:sz w:val="20"/>
          <w:szCs w:val="20"/>
          <w:lang w:val="en-US"/>
        </w:rPr>
        <w:t>urricular activities of the future college teacher - this is extremely important in development.</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Identification of knowledge necessary for the implementation of extracurricular pedagogical activities was carried out according to student surveys in the </w:t>
      </w:r>
      <w:r>
        <w:rPr>
          <w:rFonts w:ascii="Times New Roman" w:hAnsi="Times New Roman"/>
          <w:sz w:val="20"/>
          <w:szCs w:val="20"/>
          <w:lang w:val="en-US"/>
        </w:rPr>
        <w:t>direction of "Vocational Education" after undergoing pedagogical practice. Using this method revealed students' knowledge about the role, types of extracurricular teaching activities in the professional work of a teacher of vocational education, as well as</w:t>
      </w:r>
      <w:r>
        <w:rPr>
          <w:rFonts w:ascii="Times New Roman" w:hAnsi="Times New Roman"/>
          <w:sz w:val="20"/>
          <w:szCs w:val="20"/>
          <w:lang w:val="en-US"/>
        </w:rPr>
        <w:t xml:space="preserve"> the organization and management of extracurricular educational processes.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 If a student in the direction of "Vocational education" the sum of points received for the proposed survey (12 in total) ranged from 11-12 </w:t>
      </w:r>
      <w:r>
        <w:rPr>
          <w:rFonts w:ascii="Times New Roman" w:hAnsi="Times New Roman"/>
          <w:sz w:val="20"/>
          <w:szCs w:val="20"/>
          <w:lang w:val="en-US"/>
        </w:rPr>
        <w:lastRenderedPageBreak/>
        <w:t xml:space="preserve">points, then he referred to a high level </w:t>
      </w:r>
      <w:r>
        <w:rPr>
          <w:rFonts w:ascii="Times New Roman" w:hAnsi="Times New Roman"/>
          <w:sz w:val="20"/>
          <w:szCs w:val="20"/>
          <w:lang w:val="en-US"/>
        </w:rPr>
        <w:t>of formation of readiness for the organization of extracurricular processes. They were clearly aware of the role and importance of extracurricular teaching activities, and fully possess solid knowledge, skills and abilities in technology for organizing ext</w:t>
      </w:r>
      <w:r>
        <w:rPr>
          <w:rFonts w:ascii="Times New Roman" w:hAnsi="Times New Roman"/>
          <w:sz w:val="20"/>
          <w:szCs w:val="20"/>
          <w:lang w:val="en-US"/>
        </w:rPr>
        <w:t>racurricular activities.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With a score of 9 to 10, students belonged to the average level, they stated that they did not have enough complete and solid knowledge to solve pedagogical problems in the field of extracurricular pedagogical activity.</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If a studen</w:t>
      </w:r>
      <w:r>
        <w:rPr>
          <w:rFonts w:ascii="Times New Roman" w:hAnsi="Times New Roman"/>
          <w:sz w:val="20"/>
          <w:szCs w:val="20"/>
          <w:lang w:val="en-US"/>
        </w:rPr>
        <w:t>t had a sum of points from 7 to 8, then he referred to a low level of readiness for the organization of extracurricular educational processes. The student had a poor understanding of the role and significance of extracurricular teaching activities. They ha</w:t>
      </w:r>
      <w:r>
        <w:rPr>
          <w:rFonts w:ascii="Times New Roman" w:hAnsi="Times New Roman"/>
          <w:sz w:val="20"/>
          <w:szCs w:val="20"/>
          <w:lang w:val="en-US"/>
        </w:rPr>
        <w:t>d not mastered all the knowledge necessary for the performance of pedagogical actions.</w:t>
      </w:r>
    </w:p>
    <w:p w:rsidR="00B03A63" w:rsidRDefault="00A4183F">
      <w:pPr>
        <w:spacing w:after="0" w:line="240" w:lineRule="auto"/>
        <w:ind w:firstLine="709"/>
        <w:jc w:val="both"/>
        <w:rPr>
          <w:rFonts w:ascii="Times New Roman" w:hAnsi="Times New Roman"/>
          <w:sz w:val="20"/>
          <w:szCs w:val="20"/>
          <w:lang w:val="uz-Cyrl-UZ"/>
        </w:rPr>
      </w:pPr>
      <w:r>
        <w:rPr>
          <w:rFonts w:ascii="Times New Roman" w:hAnsi="Times New Roman"/>
          <w:sz w:val="20"/>
          <w:szCs w:val="20"/>
          <w:lang w:val="en-US"/>
        </w:rPr>
        <w:t>If a student received a result of less than 7 points, then it was believed that he was not ready to implement pedagogical processes outside extracurricular time. His kno</w:t>
      </w:r>
      <w:r>
        <w:rPr>
          <w:rFonts w:ascii="Times New Roman" w:hAnsi="Times New Roman"/>
          <w:sz w:val="20"/>
          <w:szCs w:val="20"/>
          <w:lang w:val="en-US"/>
        </w:rPr>
        <w:t>wledge turned out to be unsystematic, fragile.</w:t>
      </w:r>
    </w:p>
    <w:p w:rsidR="00B03A63" w:rsidRDefault="00A4183F">
      <w:pPr>
        <w:spacing w:after="0" w:line="240" w:lineRule="auto"/>
        <w:ind w:firstLine="709"/>
        <w:jc w:val="both"/>
        <w:rPr>
          <w:rFonts w:ascii="Times New Roman" w:hAnsi="Times New Roman"/>
          <w:sz w:val="20"/>
          <w:szCs w:val="20"/>
          <w:lang w:val="uz-Cyrl-UZ"/>
        </w:rPr>
      </w:pPr>
      <w:r>
        <w:rPr>
          <w:rFonts w:ascii="Times New Roman" w:hAnsi="Times New Roman"/>
          <w:sz w:val="20"/>
          <w:szCs w:val="20"/>
          <w:lang w:val="uz-Cyrl-UZ"/>
        </w:rPr>
        <w:t>The definition of knowledge on the conditions of the educational process was also carried out according to the polls of students in the direction of "Vocational Education", the number was 14 questions. The ans</w:t>
      </w:r>
      <w:r>
        <w:rPr>
          <w:rFonts w:ascii="Times New Roman" w:hAnsi="Times New Roman"/>
          <w:sz w:val="20"/>
          <w:szCs w:val="20"/>
          <w:lang w:val="uz-Cyrl-UZ"/>
        </w:rPr>
        <w:t>wers were evaluated in points, after which the points were calculated. A student who scored from 8 to 9 points belonged to a low level, from 10 to 11 points to an average, from 12 to 14 points to a high level of preparedness in the field of knowledge of th</w:t>
      </w:r>
      <w:r>
        <w:rPr>
          <w:rFonts w:ascii="Times New Roman" w:hAnsi="Times New Roman"/>
          <w:sz w:val="20"/>
          <w:szCs w:val="20"/>
          <w:lang w:val="uz-Cyrl-UZ"/>
        </w:rPr>
        <w:t>e conditions for ensuring the educational process (Table 1). In the course of our work, we realized that the level of readiness for learning activities, extracurricular activities, and the conditions for ensuring the educational process may be different, a</w:t>
      </w:r>
      <w:r>
        <w:rPr>
          <w:rFonts w:ascii="Times New Roman" w:hAnsi="Times New Roman"/>
          <w:sz w:val="20"/>
          <w:szCs w:val="20"/>
          <w:lang w:val="uz-Cyrl-UZ"/>
        </w:rPr>
        <w:t>nd it is in this form that they can hardly be identified.</w:t>
      </w:r>
    </w:p>
    <w:p w:rsidR="00B03A63" w:rsidRDefault="00A4183F">
      <w:pPr>
        <w:spacing w:after="0" w:line="240" w:lineRule="auto"/>
        <w:ind w:firstLine="709"/>
        <w:jc w:val="both"/>
        <w:rPr>
          <w:rFonts w:ascii="Times New Roman" w:hAnsi="Times New Roman"/>
          <w:sz w:val="20"/>
          <w:szCs w:val="20"/>
          <w:lang w:val="uz-Cyrl-UZ"/>
        </w:rPr>
      </w:pPr>
      <w:r>
        <w:rPr>
          <w:rFonts w:ascii="Times New Roman" w:hAnsi="Times New Roman"/>
          <w:sz w:val="20"/>
          <w:szCs w:val="20"/>
          <w:lang w:val="uz-Cyrl-UZ"/>
        </w:rPr>
        <w:t>Therefore, it was decided to draw up a scale of combined assessment of the level of readiness for pedagogical activity, which takes into account mixed graduation, combining two adjacent levels. This</w:t>
      </w:r>
      <w:r>
        <w:rPr>
          <w:rFonts w:ascii="Times New Roman" w:hAnsi="Times New Roman"/>
          <w:sz w:val="20"/>
          <w:szCs w:val="20"/>
          <w:lang w:val="uz-Cyrl-UZ"/>
        </w:rPr>
        <w:t xml:space="preserve"> will allow to take into account the variation in the level of preparedness for educational activities (table 2).</w:t>
      </w:r>
    </w:p>
    <w:p w:rsidR="00B03A63" w:rsidRDefault="00B03A63">
      <w:pPr>
        <w:spacing w:after="0" w:line="240" w:lineRule="auto"/>
        <w:jc w:val="both"/>
        <w:rPr>
          <w:rFonts w:ascii="Times New Roman" w:hAnsi="Times New Roman"/>
          <w:sz w:val="20"/>
          <w:szCs w:val="20"/>
          <w:lang w:val="en-US"/>
        </w:rPr>
      </w:pPr>
    </w:p>
    <w:tbl>
      <w:tblPr>
        <w:tblpPr w:leftFromText="180" w:rightFromText="180" w:vertAnchor="text" w:horzAnchor="margin" w:tblpY="1158"/>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987"/>
      </w:tblGrid>
      <w:tr w:rsidR="00B03A63">
        <w:tc>
          <w:tcPr>
            <w:tcW w:w="993" w:type="dxa"/>
            <w:vMerge w:val="restart"/>
            <w:vAlign w:val="center"/>
          </w:tcPr>
          <w:p w:rsidR="00B03A63" w:rsidRDefault="00A4183F">
            <w:pPr>
              <w:spacing w:after="0" w:line="240" w:lineRule="auto"/>
              <w:ind w:hanging="25"/>
              <w:jc w:val="center"/>
              <w:rPr>
                <w:rFonts w:ascii="Times New Roman" w:hAnsi="Times New Roman"/>
                <w:sz w:val="20"/>
                <w:szCs w:val="20"/>
              </w:rPr>
            </w:pPr>
            <w:r>
              <w:rPr>
                <w:rFonts w:ascii="Times New Roman" w:hAnsi="Times New Roman"/>
                <w:sz w:val="20"/>
                <w:szCs w:val="20"/>
              </w:rPr>
              <w:t>Level</w:t>
            </w:r>
          </w:p>
        </w:tc>
        <w:tc>
          <w:tcPr>
            <w:tcW w:w="992" w:type="dxa"/>
            <w:vAlign w:val="center"/>
          </w:tcPr>
          <w:p w:rsidR="00B03A63" w:rsidRDefault="00A4183F">
            <w:pPr>
              <w:spacing w:after="0" w:line="240" w:lineRule="auto"/>
              <w:ind w:hanging="47"/>
              <w:jc w:val="center"/>
              <w:rPr>
                <w:rFonts w:ascii="Times New Roman" w:hAnsi="Times New Roman"/>
                <w:sz w:val="20"/>
                <w:szCs w:val="20"/>
              </w:rPr>
            </w:pPr>
            <w:r>
              <w:rPr>
                <w:rFonts w:ascii="Times New Roman" w:hAnsi="Times New Roman"/>
                <w:sz w:val="20"/>
                <w:szCs w:val="20"/>
              </w:rPr>
              <w:t>Learning activities</w:t>
            </w:r>
          </w:p>
        </w:tc>
        <w:tc>
          <w:tcPr>
            <w:tcW w:w="99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Extracurricular activities</w:t>
            </w:r>
          </w:p>
        </w:tc>
        <w:tc>
          <w:tcPr>
            <w:tcW w:w="987" w:type="dxa"/>
            <w:vAlign w:val="center"/>
          </w:tcPr>
          <w:p w:rsidR="00B03A63" w:rsidRDefault="00A4183F">
            <w:pPr>
              <w:spacing w:after="0" w:line="240" w:lineRule="auto"/>
              <w:ind w:hanging="167"/>
              <w:jc w:val="center"/>
              <w:rPr>
                <w:rFonts w:ascii="Times New Roman" w:hAnsi="Times New Roman"/>
                <w:sz w:val="20"/>
                <w:szCs w:val="20"/>
                <w:lang w:val="en-US"/>
              </w:rPr>
            </w:pPr>
            <w:r>
              <w:rPr>
                <w:rFonts w:ascii="Times New Roman" w:hAnsi="Times New Roman"/>
                <w:sz w:val="20"/>
                <w:szCs w:val="20"/>
                <w:lang w:val="en-US"/>
              </w:rPr>
              <w:t>Terms of the educational process</w:t>
            </w:r>
          </w:p>
        </w:tc>
      </w:tr>
      <w:tr w:rsidR="00B03A63">
        <w:tc>
          <w:tcPr>
            <w:tcW w:w="993" w:type="dxa"/>
            <w:vMerge/>
          </w:tcPr>
          <w:p w:rsidR="00B03A63" w:rsidRDefault="00B03A63">
            <w:pPr>
              <w:spacing w:after="0" w:line="240" w:lineRule="auto"/>
              <w:ind w:hanging="25"/>
              <w:jc w:val="center"/>
              <w:rPr>
                <w:rFonts w:ascii="Times New Roman" w:hAnsi="Times New Roman"/>
                <w:sz w:val="20"/>
                <w:szCs w:val="20"/>
                <w:lang w:val="en-US"/>
              </w:rPr>
            </w:pPr>
          </w:p>
        </w:tc>
        <w:tc>
          <w:tcPr>
            <w:tcW w:w="992" w:type="dxa"/>
            <w:vAlign w:val="center"/>
          </w:tcPr>
          <w:p w:rsidR="00B03A63" w:rsidRDefault="00A4183F">
            <w:pPr>
              <w:spacing w:after="0" w:line="240" w:lineRule="auto"/>
              <w:ind w:hanging="47"/>
              <w:jc w:val="center"/>
              <w:rPr>
                <w:rFonts w:ascii="Times New Roman" w:hAnsi="Times New Roman"/>
                <w:sz w:val="20"/>
                <w:szCs w:val="20"/>
              </w:rPr>
            </w:pPr>
            <w:r>
              <w:rPr>
                <w:rFonts w:ascii="Times New Roman" w:hAnsi="Times New Roman"/>
                <w:sz w:val="20"/>
                <w:szCs w:val="20"/>
              </w:rPr>
              <w:t>Number of points</w:t>
            </w:r>
          </w:p>
        </w:tc>
        <w:tc>
          <w:tcPr>
            <w:tcW w:w="99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Number of points</w:t>
            </w:r>
          </w:p>
        </w:tc>
        <w:tc>
          <w:tcPr>
            <w:tcW w:w="987" w:type="dxa"/>
            <w:vAlign w:val="center"/>
          </w:tcPr>
          <w:p w:rsidR="00B03A63" w:rsidRDefault="00A4183F">
            <w:pPr>
              <w:spacing w:after="0" w:line="240" w:lineRule="auto"/>
              <w:ind w:hanging="167"/>
              <w:jc w:val="center"/>
              <w:rPr>
                <w:rFonts w:ascii="Times New Roman" w:hAnsi="Times New Roman"/>
                <w:sz w:val="20"/>
                <w:szCs w:val="20"/>
              </w:rPr>
            </w:pPr>
            <w:r>
              <w:rPr>
                <w:rFonts w:ascii="Times New Roman" w:hAnsi="Times New Roman"/>
                <w:sz w:val="20"/>
                <w:szCs w:val="20"/>
              </w:rPr>
              <w:t>Number of points</w:t>
            </w:r>
          </w:p>
        </w:tc>
      </w:tr>
      <w:tr w:rsidR="00B03A63">
        <w:tc>
          <w:tcPr>
            <w:tcW w:w="993" w:type="dxa"/>
            <w:vMerge/>
          </w:tcPr>
          <w:p w:rsidR="00B03A63" w:rsidRDefault="00B03A63">
            <w:pPr>
              <w:spacing w:after="0" w:line="240" w:lineRule="auto"/>
              <w:ind w:hanging="25"/>
              <w:jc w:val="center"/>
              <w:rPr>
                <w:rFonts w:ascii="Times New Roman" w:hAnsi="Times New Roman"/>
                <w:sz w:val="20"/>
                <w:szCs w:val="20"/>
              </w:rPr>
            </w:pPr>
          </w:p>
        </w:tc>
        <w:tc>
          <w:tcPr>
            <w:tcW w:w="992" w:type="dxa"/>
            <w:vAlign w:val="center"/>
          </w:tcPr>
          <w:p w:rsidR="00B03A63" w:rsidRDefault="00A4183F">
            <w:pPr>
              <w:spacing w:after="0" w:line="240" w:lineRule="auto"/>
              <w:ind w:hanging="47"/>
              <w:jc w:val="center"/>
              <w:rPr>
                <w:rFonts w:ascii="Times New Roman" w:hAnsi="Times New Roman"/>
                <w:sz w:val="20"/>
                <w:szCs w:val="20"/>
              </w:rPr>
            </w:pPr>
            <w:r>
              <w:rPr>
                <w:rFonts w:ascii="Times New Roman" w:hAnsi="Times New Roman"/>
                <w:sz w:val="20"/>
                <w:szCs w:val="20"/>
              </w:rPr>
              <w:t>In percents</w:t>
            </w:r>
          </w:p>
        </w:tc>
        <w:tc>
          <w:tcPr>
            <w:tcW w:w="99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Total 12 points</w:t>
            </w:r>
          </w:p>
        </w:tc>
        <w:tc>
          <w:tcPr>
            <w:tcW w:w="987" w:type="dxa"/>
            <w:vAlign w:val="center"/>
          </w:tcPr>
          <w:p w:rsidR="00B03A63" w:rsidRDefault="00A4183F">
            <w:pPr>
              <w:spacing w:after="0" w:line="240" w:lineRule="auto"/>
              <w:ind w:hanging="167"/>
              <w:jc w:val="center"/>
              <w:rPr>
                <w:rFonts w:ascii="Times New Roman" w:hAnsi="Times New Roman"/>
                <w:sz w:val="20"/>
                <w:szCs w:val="20"/>
              </w:rPr>
            </w:pPr>
            <w:r>
              <w:rPr>
                <w:rFonts w:ascii="Times New Roman" w:hAnsi="Times New Roman"/>
                <w:sz w:val="20"/>
                <w:szCs w:val="20"/>
              </w:rPr>
              <w:t>Total 12 points</w:t>
            </w:r>
          </w:p>
        </w:tc>
      </w:tr>
      <w:tr w:rsidR="00B03A63">
        <w:tc>
          <w:tcPr>
            <w:tcW w:w="993" w:type="dxa"/>
          </w:tcPr>
          <w:p w:rsidR="00B03A63" w:rsidRDefault="00A4183F">
            <w:pPr>
              <w:spacing w:after="0" w:line="240" w:lineRule="auto"/>
              <w:ind w:hanging="25"/>
              <w:jc w:val="center"/>
              <w:rPr>
                <w:rFonts w:ascii="Times New Roman" w:hAnsi="Times New Roman"/>
                <w:sz w:val="20"/>
                <w:szCs w:val="20"/>
              </w:rPr>
            </w:pPr>
            <w:r>
              <w:rPr>
                <w:rFonts w:ascii="Times New Roman" w:hAnsi="Times New Roman"/>
                <w:sz w:val="20"/>
                <w:szCs w:val="20"/>
              </w:rPr>
              <w:t>Tall</w:t>
            </w:r>
          </w:p>
        </w:tc>
        <w:tc>
          <w:tcPr>
            <w:tcW w:w="992" w:type="dxa"/>
            <w:vAlign w:val="center"/>
          </w:tcPr>
          <w:p w:rsidR="00B03A63" w:rsidRDefault="00A4183F">
            <w:pPr>
              <w:spacing w:after="0" w:line="240" w:lineRule="auto"/>
              <w:ind w:hanging="47"/>
              <w:jc w:val="center"/>
              <w:rPr>
                <w:rFonts w:ascii="Times New Roman" w:hAnsi="Times New Roman"/>
                <w:sz w:val="20"/>
                <w:szCs w:val="20"/>
              </w:rPr>
            </w:pPr>
            <w:r>
              <w:rPr>
                <w:rFonts w:ascii="Times New Roman" w:hAnsi="Times New Roman"/>
                <w:sz w:val="20"/>
                <w:szCs w:val="20"/>
              </w:rPr>
              <w:t>86 - 100</w:t>
            </w:r>
          </w:p>
        </w:tc>
        <w:tc>
          <w:tcPr>
            <w:tcW w:w="99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11 - 12</w:t>
            </w:r>
          </w:p>
        </w:tc>
        <w:tc>
          <w:tcPr>
            <w:tcW w:w="987" w:type="dxa"/>
            <w:vAlign w:val="center"/>
          </w:tcPr>
          <w:p w:rsidR="00B03A63" w:rsidRDefault="00A4183F">
            <w:pPr>
              <w:spacing w:after="0" w:line="240" w:lineRule="auto"/>
              <w:ind w:hanging="167"/>
              <w:jc w:val="center"/>
              <w:rPr>
                <w:rFonts w:ascii="Times New Roman" w:hAnsi="Times New Roman"/>
                <w:sz w:val="20"/>
                <w:szCs w:val="20"/>
              </w:rPr>
            </w:pPr>
            <w:r>
              <w:rPr>
                <w:rFonts w:ascii="Times New Roman" w:hAnsi="Times New Roman"/>
                <w:sz w:val="20"/>
                <w:szCs w:val="20"/>
              </w:rPr>
              <w:t>12 - 14</w:t>
            </w:r>
          </w:p>
        </w:tc>
      </w:tr>
      <w:tr w:rsidR="00B03A63">
        <w:tc>
          <w:tcPr>
            <w:tcW w:w="993" w:type="dxa"/>
          </w:tcPr>
          <w:p w:rsidR="00B03A63" w:rsidRDefault="00A4183F">
            <w:pPr>
              <w:spacing w:after="0" w:line="240" w:lineRule="auto"/>
              <w:ind w:hanging="25"/>
              <w:jc w:val="center"/>
              <w:rPr>
                <w:rFonts w:ascii="Times New Roman" w:hAnsi="Times New Roman"/>
                <w:sz w:val="20"/>
                <w:szCs w:val="20"/>
              </w:rPr>
            </w:pPr>
            <w:r>
              <w:rPr>
                <w:rFonts w:ascii="Times New Roman" w:hAnsi="Times New Roman"/>
                <w:sz w:val="20"/>
                <w:szCs w:val="20"/>
              </w:rPr>
              <w:t>Average</w:t>
            </w:r>
          </w:p>
        </w:tc>
        <w:tc>
          <w:tcPr>
            <w:tcW w:w="992" w:type="dxa"/>
            <w:vAlign w:val="center"/>
          </w:tcPr>
          <w:p w:rsidR="00B03A63" w:rsidRDefault="00A4183F">
            <w:pPr>
              <w:spacing w:after="0" w:line="240" w:lineRule="auto"/>
              <w:ind w:hanging="47"/>
              <w:jc w:val="center"/>
              <w:rPr>
                <w:rFonts w:ascii="Times New Roman" w:hAnsi="Times New Roman"/>
                <w:sz w:val="20"/>
                <w:szCs w:val="20"/>
              </w:rPr>
            </w:pPr>
            <w:r>
              <w:rPr>
                <w:rFonts w:ascii="Times New Roman" w:hAnsi="Times New Roman"/>
                <w:sz w:val="20"/>
                <w:szCs w:val="20"/>
              </w:rPr>
              <w:t>71 - 85</w:t>
            </w:r>
          </w:p>
        </w:tc>
        <w:tc>
          <w:tcPr>
            <w:tcW w:w="99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10 - 9</w:t>
            </w:r>
          </w:p>
        </w:tc>
        <w:tc>
          <w:tcPr>
            <w:tcW w:w="987" w:type="dxa"/>
            <w:vAlign w:val="center"/>
          </w:tcPr>
          <w:p w:rsidR="00B03A63" w:rsidRDefault="00A4183F">
            <w:pPr>
              <w:spacing w:after="0" w:line="240" w:lineRule="auto"/>
              <w:ind w:hanging="167"/>
              <w:jc w:val="center"/>
              <w:rPr>
                <w:rFonts w:ascii="Times New Roman" w:hAnsi="Times New Roman"/>
                <w:sz w:val="20"/>
                <w:szCs w:val="20"/>
              </w:rPr>
            </w:pPr>
            <w:r>
              <w:rPr>
                <w:rFonts w:ascii="Times New Roman" w:hAnsi="Times New Roman"/>
                <w:sz w:val="20"/>
                <w:szCs w:val="20"/>
              </w:rPr>
              <w:t>11 - 10</w:t>
            </w:r>
          </w:p>
        </w:tc>
      </w:tr>
      <w:tr w:rsidR="00B03A63">
        <w:tc>
          <w:tcPr>
            <w:tcW w:w="993" w:type="dxa"/>
          </w:tcPr>
          <w:p w:rsidR="00B03A63" w:rsidRDefault="00A4183F">
            <w:pPr>
              <w:spacing w:after="0" w:line="240" w:lineRule="auto"/>
              <w:ind w:hanging="25"/>
              <w:jc w:val="center"/>
              <w:rPr>
                <w:rFonts w:ascii="Times New Roman" w:hAnsi="Times New Roman"/>
                <w:sz w:val="20"/>
                <w:szCs w:val="20"/>
              </w:rPr>
            </w:pPr>
            <w:r>
              <w:rPr>
                <w:rFonts w:ascii="Times New Roman" w:hAnsi="Times New Roman"/>
                <w:sz w:val="20"/>
                <w:szCs w:val="20"/>
              </w:rPr>
              <w:t>Low</w:t>
            </w:r>
          </w:p>
        </w:tc>
        <w:tc>
          <w:tcPr>
            <w:tcW w:w="992" w:type="dxa"/>
            <w:vAlign w:val="center"/>
          </w:tcPr>
          <w:p w:rsidR="00B03A63" w:rsidRDefault="00A4183F">
            <w:pPr>
              <w:spacing w:after="0" w:line="240" w:lineRule="auto"/>
              <w:ind w:hanging="47"/>
              <w:jc w:val="center"/>
              <w:rPr>
                <w:rFonts w:ascii="Times New Roman" w:hAnsi="Times New Roman"/>
                <w:sz w:val="20"/>
                <w:szCs w:val="20"/>
              </w:rPr>
            </w:pPr>
            <w:r>
              <w:rPr>
                <w:rFonts w:ascii="Times New Roman" w:hAnsi="Times New Roman"/>
                <w:sz w:val="20"/>
                <w:szCs w:val="20"/>
              </w:rPr>
              <w:t>55 - 70</w:t>
            </w:r>
          </w:p>
        </w:tc>
        <w:tc>
          <w:tcPr>
            <w:tcW w:w="99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8 - 7</w:t>
            </w:r>
          </w:p>
        </w:tc>
        <w:tc>
          <w:tcPr>
            <w:tcW w:w="987" w:type="dxa"/>
            <w:vAlign w:val="center"/>
          </w:tcPr>
          <w:p w:rsidR="00B03A63" w:rsidRDefault="00A4183F">
            <w:pPr>
              <w:spacing w:after="0" w:line="240" w:lineRule="auto"/>
              <w:ind w:hanging="167"/>
              <w:jc w:val="center"/>
              <w:rPr>
                <w:rFonts w:ascii="Times New Roman" w:hAnsi="Times New Roman"/>
                <w:sz w:val="20"/>
                <w:szCs w:val="20"/>
              </w:rPr>
            </w:pPr>
            <w:r>
              <w:rPr>
                <w:rFonts w:ascii="Times New Roman" w:hAnsi="Times New Roman"/>
                <w:sz w:val="20"/>
                <w:szCs w:val="20"/>
              </w:rPr>
              <w:t>9 - 8</w:t>
            </w:r>
          </w:p>
        </w:tc>
      </w:tr>
      <w:tr w:rsidR="00B03A63">
        <w:tc>
          <w:tcPr>
            <w:tcW w:w="993" w:type="dxa"/>
          </w:tcPr>
          <w:p w:rsidR="00B03A63" w:rsidRDefault="00A4183F">
            <w:pPr>
              <w:spacing w:after="0" w:line="240" w:lineRule="auto"/>
              <w:ind w:hanging="25"/>
              <w:jc w:val="center"/>
              <w:rPr>
                <w:rFonts w:ascii="Times New Roman" w:hAnsi="Times New Roman"/>
                <w:sz w:val="20"/>
                <w:szCs w:val="20"/>
              </w:rPr>
            </w:pPr>
            <w:r>
              <w:rPr>
                <w:rFonts w:ascii="Times New Roman" w:hAnsi="Times New Roman"/>
                <w:sz w:val="20"/>
                <w:szCs w:val="20"/>
              </w:rPr>
              <w:t>Unacceptable</w:t>
            </w:r>
          </w:p>
        </w:tc>
        <w:tc>
          <w:tcPr>
            <w:tcW w:w="992" w:type="dxa"/>
            <w:vAlign w:val="center"/>
          </w:tcPr>
          <w:p w:rsidR="00B03A63" w:rsidRDefault="00A4183F">
            <w:pPr>
              <w:spacing w:after="0" w:line="240" w:lineRule="auto"/>
              <w:ind w:hanging="47"/>
              <w:jc w:val="center"/>
              <w:rPr>
                <w:rFonts w:ascii="Times New Roman" w:hAnsi="Times New Roman"/>
                <w:sz w:val="20"/>
                <w:szCs w:val="20"/>
              </w:rPr>
            </w:pPr>
            <w:r>
              <w:rPr>
                <w:rFonts w:ascii="Times New Roman" w:hAnsi="Times New Roman"/>
                <w:sz w:val="20"/>
                <w:szCs w:val="20"/>
              </w:rPr>
              <w:t>Below 55</w:t>
            </w:r>
          </w:p>
        </w:tc>
        <w:tc>
          <w:tcPr>
            <w:tcW w:w="99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Below 7</w:t>
            </w:r>
          </w:p>
        </w:tc>
        <w:tc>
          <w:tcPr>
            <w:tcW w:w="987" w:type="dxa"/>
            <w:vAlign w:val="center"/>
          </w:tcPr>
          <w:p w:rsidR="00B03A63" w:rsidRDefault="00A4183F">
            <w:pPr>
              <w:spacing w:after="0" w:line="240" w:lineRule="auto"/>
              <w:ind w:hanging="167"/>
              <w:jc w:val="center"/>
              <w:rPr>
                <w:rFonts w:ascii="Times New Roman" w:hAnsi="Times New Roman"/>
                <w:sz w:val="20"/>
                <w:szCs w:val="20"/>
              </w:rPr>
            </w:pPr>
            <w:r>
              <w:rPr>
                <w:rFonts w:ascii="Times New Roman" w:hAnsi="Times New Roman"/>
                <w:sz w:val="20"/>
                <w:szCs w:val="20"/>
              </w:rPr>
              <w:t>Below 8</w:t>
            </w:r>
          </w:p>
        </w:tc>
      </w:tr>
    </w:tbl>
    <w:p w:rsidR="00B03A63" w:rsidRDefault="00A4183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 xml:space="preserve">Table 1. Indicators of readiness for the pedagogical activity of students in the </w:t>
      </w:r>
      <w:r>
        <w:rPr>
          <w:rFonts w:ascii="Times New Roman" w:hAnsi="Times New Roman"/>
          <w:b/>
          <w:sz w:val="20"/>
          <w:szCs w:val="20"/>
          <w:lang w:val="en-US"/>
        </w:rPr>
        <w:t>direction of "Vocational education" (5330200 - Informatics and information technology)</w:t>
      </w:r>
    </w:p>
    <w:p w:rsidR="00B03A63" w:rsidRDefault="00A4183F">
      <w:pPr>
        <w:spacing w:after="0" w:line="240" w:lineRule="auto"/>
        <w:jc w:val="both"/>
        <w:rPr>
          <w:rFonts w:ascii="Times New Roman" w:eastAsia="BatangChe" w:hAnsi="Times New Roman"/>
          <w:sz w:val="20"/>
          <w:szCs w:val="20"/>
          <w:lang w:val="en-US"/>
        </w:rPr>
      </w:pPr>
      <w:r>
        <w:rPr>
          <w:rFonts w:ascii="Times New Roman" w:eastAsia="BatangChe" w:hAnsi="Times New Roman"/>
          <w:sz w:val="20"/>
          <w:szCs w:val="20"/>
          <w:lang w:val="en-US"/>
        </w:rPr>
        <w:t xml:space="preserve">Willingness on the levels of educational, extracurricular activities and the conditions for ensuring the educational process of students in the direction of "Vocational </w:t>
      </w:r>
      <w:r>
        <w:rPr>
          <w:rFonts w:ascii="Times New Roman" w:eastAsia="BatangChe" w:hAnsi="Times New Roman"/>
          <w:sz w:val="20"/>
          <w:szCs w:val="20"/>
          <w:lang w:val="en-US"/>
        </w:rPr>
        <w:t xml:space="preserve">education", college teachers was determined by comparing questionnaires with a measuring tool (indicators). To determine the total </w:t>
      </w:r>
      <w:r>
        <w:rPr>
          <w:rFonts w:ascii="Times New Roman" w:eastAsia="BatangChe" w:hAnsi="Times New Roman"/>
          <w:sz w:val="20"/>
          <w:szCs w:val="20"/>
          <w:lang w:val="en-US"/>
        </w:rPr>
        <w:lastRenderedPageBreak/>
        <w:t>amount of points by level and total readiness, each level of readiness was assessed according to a five-point system. And for</w:t>
      </w:r>
      <w:r>
        <w:rPr>
          <w:rFonts w:ascii="Times New Roman" w:eastAsia="BatangChe" w:hAnsi="Times New Roman"/>
          <w:sz w:val="20"/>
          <w:szCs w:val="20"/>
          <w:lang w:val="en-US"/>
        </w:rPr>
        <w:t xml:space="preserve"> each level, we took into account the average amount of points. The maximum amount of points (</w:t>
      </w:r>
      <m:oMath>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oMath>
      <w:r>
        <w:rPr>
          <w:rFonts w:ascii="Times New Roman" w:eastAsia="BatangChe" w:hAnsi="Times New Roman"/>
          <w:sz w:val="20"/>
          <w:szCs w:val="20"/>
          <w:lang w:val="en-US"/>
        </w:rPr>
        <w:t>) on three levels was 15.</w:t>
      </w:r>
    </w:p>
    <w:p w:rsidR="00B03A63" w:rsidRDefault="00A4183F">
      <w:pPr>
        <w:spacing w:after="0" w:line="240" w:lineRule="auto"/>
        <w:ind w:firstLine="708"/>
        <w:jc w:val="both"/>
        <w:rPr>
          <w:rFonts w:ascii="Times New Roman" w:eastAsia="BatangChe" w:hAnsi="Times New Roman"/>
          <w:sz w:val="20"/>
          <w:szCs w:val="20"/>
          <w:lang w:val="uz-Cyrl-UZ"/>
        </w:rPr>
      </w:pPr>
      <w:r>
        <w:rPr>
          <w:rFonts w:ascii="Times New Roman" w:eastAsia="BatangChe" w:hAnsi="Times New Roman"/>
          <w:sz w:val="20"/>
          <w:szCs w:val="20"/>
          <w:lang w:val="en-US"/>
        </w:rPr>
        <w:t>The average amount of points and the volume of students' knowledge in the direction of "Vocational Education" by groups and teache</w:t>
      </w:r>
      <w:r>
        <w:rPr>
          <w:rFonts w:ascii="Times New Roman" w:eastAsia="BatangChe" w:hAnsi="Times New Roman"/>
          <w:sz w:val="20"/>
          <w:szCs w:val="20"/>
          <w:lang w:val="en-US"/>
        </w:rPr>
        <w:t>rs of colleges was determined by the following formulas:</w:t>
      </w:r>
    </w:p>
    <w:p w:rsidR="00B03A63" w:rsidRDefault="00B03A63">
      <w:pPr>
        <w:spacing w:after="0" w:line="240" w:lineRule="auto"/>
        <w:jc w:val="both"/>
        <w:rPr>
          <w:rFonts w:ascii="Times New Roman" w:eastAsia="BatangChe" w:hAnsi="Times New Roman"/>
          <w:sz w:val="20"/>
          <w:szCs w:val="20"/>
          <w:lang w:val="en-US"/>
        </w:rPr>
      </w:pPr>
      <m:oMath>
        <m:sSub>
          <m:sSubPr>
            <m:ctrlPr>
              <w:rPr>
                <w:rFonts w:ascii="Cambria Math" w:eastAsia="BatangChe" w:hAnsi="Cambria Math"/>
                <w:i/>
                <w:sz w:val="20"/>
                <w:szCs w:val="20"/>
              </w:rPr>
            </m:ctrlPr>
          </m:sSubPr>
          <m:e>
            <m:r>
              <w:rPr>
                <w:rFonts w:ascii="Cambria Math" w:eastAsia="BatangChe" w:hAnsi="Cambria Math"/>
                <w:sz w:val="20"/>
                <w:szCs w:val="20"/>
                <w:lang w:val="en-US"/>
              </w:rPr>
              <m:t>O</m:t>
            </m:r>
          </m:e>
          <m:sub>
            <m:sSub>
              <m:sSubPr>
                <m:ctrlPr>
                  <w:rPr>
                    <w:rFonts w:ascii="Cambria Math" w:eastAsia="BatangChe" w:hAnsi="Cambria Math"/>
                    <w:i/>
                    <w:sz w:val="20"/>
                    <w:szCs w:val="20"/>
                  </w:rPr>
                </m:ctrlPr>
              </m:sSubPr>
              <m:e>
                <m:r>
                  <w:rPr>
                    <w:rFonts w:ascii="Cambria Math" w:eastAsia="BatangChe" w:hAnsi="Cambria Math"/>
                    <w:sz w:val="20"/>
                    <w:szCs w:val="20"/>
                  </w:rPr>
                  <m:t>г</m:t>
                </m:r>
              </m:e>
              <m:sub>
                <m:r>
                  <w:rPr>
                    <w:rFonts w:ascii="Cambria Math" w:eastAsia="BatangChe" w:hAnsi="Cambria Math"/>
                    <w:sz w:val="20"/>
                    <w:szCs w:val="20"/>
                    <w:lang w:val="en-US"/>
                  </w:rPr>
                  <m:t>1,2</m:t>
                </m:r>
              </m:sub>
            </m:sSub>
          </m:sub>
        </m:sSub>
        <m:r>
          <w:rPr>
            <w:rFonts w:ascii="Cambria Math" w:eastAsia="BatangChe" w:hAnsi="Cambria Math"/>
            <w:sz w:val="20"/>
            <w:szCs w:val="20"/>
            <w:lang w:val="en-US"/>
          </w:rPr>
          <m:t>=</m:t>
        </m:r>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rPr>
                  <m:t>A</m:t>
                </m:r>
              </m:e>
              <m:sub>
                <m:r>
                  <w:rPr>
                    <w:rFonts w:ascii="Cambria Math" w:eastAsia="BatangChe" w:hAnsi="Cambria Math"/>
                    <w:sz w:val="20"/>
                    <w:szCs w:val="20"/>
                    <w:lang w:val="en-US"/>
                  </w:rPr>
                  <m:t>1</m:t>
                </m:r>
              </m:sub>
            </m:sSub>
          </m:sub>
        </m:sSub>
        <m:r>
          <w:rPr>
            <w:rFonts w:ascii="Cambria Math" w:eastAsia="BatangChe" w:hAnsi="Cambria Math"/>
            <w:sz w:val="20"/>
            <w:szCs w:val="20"/>
            <w:lang w:val="en-US"/>
          </w:rPr>
          <m:t>+</m:t>
        </m:r>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lang w:val="en-US"/>
                  </w:rPr>
                  <m:t>A</m:t>
                </m:r>
              </m:e>
              <m:sub>
                <m:r>
                  <w:rPr>
                    <w:rFonts w:ascii="Cambria Math" w:eastAsia="BatangChe" w:hAnsi="Cambria Math"/>
                    <w:sz w:val="20"/>
                    <w:szCs w:val="20"/>
                    <w:lang w:val="en-US"/>
                  </w:rPr>
                  <m:t>2</m:t>
                </m:r>
              </m:sub>
            </m:sSub>
          </m:sub>
        </m:sSub>
        <m:r>
          <w:rPr>
            <w:rFonts w:ascii="Cambria Math" w:eastAsia="BatangChe" w:hAnsi="Cambria Math"/>
            <w:sz w:val="20"/>
            <w:szCs w:val="20"/>
            <w:lang w:val="en-US"/>
          </w:rPr>
          <m:t>+</m:t>
        </m:r>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rPr>
                  <m:t>A</m:t>
                </m:r>
              </m:e>
              <m:sub>
                <m:r>
                  <w:rPr>
                    <w:rFonts w:ascii="Cambria Math" w:eastAsia="BatangChe" w:hAnsi="Cambria Math"/>
                    <w:sz w:val="20"/>
                    <w:szCs w:val="20"/>
                    <w:lang w:val="en-US"/>
                  </w:rPr>
                  <m:t>3</m:t>
                </m:r>
              </m:sub>
            </m:sSub>
          </m:sub>
        </m:sSub>
      </m:oMath>
      <w:r w:rsidR="00A4183F">
        <w:rPr>
          <w:rFonts w:ascii="Times New Roman" w:eastAsia="BatangChe" w:hAnsi="Times New Roman"/>
          <w:sz w:val="20"/>
          <w:szCs w:val="20"/>
          <w:lang w:val="en-US"/>
        </w:rPr>
        <w:t>; (1)</w:t>
      </w:r>
    </w:p>
    <w:p w:rsidR="00B03A63" w:rsidRDefault="00B03A63">
      <w:pPr>
        <w:spacing w:after="0" w:line="240" w:lineRule="auto"/>
        <w:rPr>
          <w:rFonts w:ascii="Times New Roman" w:hAnsi="Times New Roman"/>
          <w:b/>
          <w:sz w:val="20"/>
          <w:szCs w:val="20"/>
          <w:lang w:val="en-US"/>
        </w:rPr>
      </w:pPr>
    </w:p>
    <w:p w:rsidR="00B03A63" w:rsidRDefault="00A4183F">
      <w:pPr>
        <w:spacing w:after="0" w:line="240" w:lineRule="auto"/>
        <w:jc w:val="center"/>
        <w:rPr>
          <w:rFonts w:ascii="Times New Roman" w:hAnsi="Times New Roman"/>
          <w:b/>
          <w:sz w:val="20"/>
          <w:szCs w:val="20"/>
          <w:lang w:val="en-US"/>
        </w:rPr>
      </w:pPr>
      <w:r>
        <w:rPr>
          <w:rFonts w:ascii="Times New Roman" w:hAnsi="Times New Roman"/>
          <w:b/>
          <w:sz w:val="20"/>
          <w:szCs w:val="20"/>
          <w:lang w:val="en-US"/>
        </w:rPr>
        <w:t>Table 2. The combined assessment of readiness for pedagogical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867"/>
        <w:gridCol w:w="774"/>
      </w:tblGrid>
      <w:tr w:rsidR="00B03A63">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Level</w:t>
            </w:r>
          </w:p>
        </w:tc>
        <w:tc>
          <w:tcPr>
            <w:tcW w:w="2867" w:type="dxa"/>
            <w:vAlign w:val="center"/>
          </w:tcPr>
          <w:p w:rsidR="00B03A63" w:rsidRDefault="00A4183F">
            <w:pPr>
              <w:spacing w:after="0" w:line="240" w:lineRule="auto"/>
              <w:ind w:hanging="105"/>
              <w:jc w:val="center"/>
              <w:rPr>
                <w:rFonts w:ascii="Times New Roman" w:hAnsi="Times New Roman"/>
                <w:sz w:val="20"/>
                <w:szCs w:val="20"/>
              </w:rPr>
            </w:pPr>
            <w:r>
              <w:rPr>
                <w:rFonts w:ascii="Times New Roman" w:hAnsi="Times New Roman"/>
                <w:sz w:val="20"/>
                <w:szCs w:val="20"/>
              </w:rPr>
              <w:t>Level Signs</w:t>
            </w:r>
          </w:p>
        </w:tc>
        <w:tc>
          <w:tcPr>
            <w:tcW w:w="774" w:type="dxa"/>
            <w:vAlign w:val="center"/>
          </w:tcPr>
          <w:p w:rsidR="00B03A63" w:rsidRDefault="00A4183F">
            <w:pPr>
              <w:spacing w:after="0" w:line="240" w:lineRule="auto"/>
              <w:ind w:hanging="42"/>
              <w:jc w:val="center"/>
              <w:rPr>
                <w:rFonts w:ascii="Times New Roman" w:hAnsi="Times New Roman"/>
                <w:sz w:val="20"/>
                <w:szCs w:val="20"/>
              </w:rPr>
            </w:pPr>
            <w:r>
              <w:rPr>
                <w:rFonts w:ascii="Times New Roman" w:hAnsi="Times New Roman"/>
                <w:sz w:val="20"/>
                <w:szCs w:val="20"/>
              </w:rPr>
              <w:t>Level ratio</w:t>
            </w:r>
          </w:p>
        </w:tc>
      </w:tr>
      <w:tr w:rsidR="00B03A63">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9</w:t>
            </w:r>
          </w:p>
        </w:tc>
        <w:tc>
          <w:tcPr>
            <w:tcW w:w="2867" w:type="dxa"/>
          </w:tcPr>
          <w:p w:rsidR="00B03A63" w:rsidRDefault="00A4183F">
            <w:pPr>
              <w:spacing w:after="0" w:line="240" w:lineRule="auto"/>
              <w:ind w:firstLine="320"/>
              <w:rPr>
                <w:rFonts w:ascii="Times New Roman" w:hAnsi="Times New Roman"/>
                <w:sz w:val="20"/>
                <w:szCs w:val="20"/>
                <w:lang w:val="uz-Cyrl-UZ"/>
              </w:rPr>
            </w:pPr>
            <w:r>
              <w:rPr>
                <w:rFonts w:ascii="Times New Roman" w:hAnsi="Times New Roman"/>
                <w:sz w:val="20"/>
                <w:szCs w:val="20"/>
                <w:lang w:val="en-US"/>
              </w:rPr>
              <w:t>All components of high-level educational readiness</w:t>
            </w:r>
          </w:p>
        </w:tc>
        <w:tc>
          <w:tcPr>
            <w:tcW w:w="774" w:type="dxa"/>
            <w:vMerge w:val="restart"/>
          </w:tcPr>
          <w:p w:rsidR="00B03A63" w:rsidRDefault="00A4183F">
            <w:pPr>
              <w:spacing w:after="0" w:line="240" w:lineRule="auto"/>
              <w:ind w:hanging="25"/>
              <w:jc w:val="center"/>
              <w:rPr>
                <w:rFonts w:ascii="Times New Roman" w:hAnsi="Times New Roman"/>
                <w:sz w:val="20"/>
                <w:szCs w:val="20"/>
              </w:rPr>
            </w:pPr>
            <w:r>
              <w:rPr>
                <w:rFonts w:ascii="Times New Roman" w:hAnsi="Times New Roman"/>
                <w:sz w:val="20"/>
                <w:szCs w:val="20"/>
              </w:rPr>
              <w:t>Tall</w:t>
            </w:r>
          </w:p>
          <w:p w:rsidR="00B03A63" w:rsidRDefault="00A4183F">
            <w:pPr>
              <w:tabs>
                <w:tab w:val="left" w:pos="193"/>
                <w:tab w:val="center" w:pos="831"/>
              </w:tabs>
              <w:spacing w:after="0" w:line="240" w:lineRule="auto"/>
              <w:ind w:hanging="25"/>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tc>
      </w:tr>
      <w:tr w:rsidR="00B03A63">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8</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Two components of high-level educational readiness, one on average</w:t>
            </w:r>
          </w:p>
        </w:tc>
        <w:tc>
          <w:tcPr>
            <w:tcW w:w="774" w:type="dxa"/>
            <w:vMerge/>
          </w:tcPr>
          <w:p w:rsidR="00B03A63" w:rsidRDefault="00B03A63">
            <w:pPr>
              <w:spacing w:after="0" w:line="240" w:lineRule="auto"/>
              <w:ind w:hanging="42"/>
              <w:jc w:val="center"/>
              <w:rPr>
                <w:rFonts w:ascii="Times New Roman" w:hAnsi="Times New Roman"/>
                <w:sz w:val="20"/>
                <w:szCs w:val="20"/>
                <w:lang w:val="en-US"/>
              </w:rPr>
            </w:pPr>
          </w:p>
        </w:tc>
      </w:tr>
      <w:tr w:rsidR="00B03A63">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7</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All components of preparedness for teaching at the middle level</w:t>
            </w:r>
          </w:p>
        </w:tc>
        <w:tc>
          <w:tcPr>
            <w:tcW w:w="774" w:type="dxa"/>
            <w:vMerge w:val="restart"/>
          </w:tcPr>
          <w:p w:rsidR="00B03A63" w:rsidRDefault="00A4183F">
            <w:pPr>
              <w:spacing w:after="0" w:line="240" w:lineRule="auto"/>
              <w:ind w:hanging="25"/>
              <w:jc w:val="center"/>
              <w:rPr>
                <w:rFonts w:ascii="Times New Roman" w:hAnsi="Times New Roman"/>
                <w:sz w:val="20"/>
                <w:szCs w:val="20"/>
                <w:lang w:val="uz-Cyrl-UZ"/>
              </w:rPr>
            </w:pPr>
            <w:r>
              <w:rPr>
                <w:rFonts w:ascii="Times New Roman" w:hAnsi="Times New Roman"/>
                <w:sz w:val="20"/>
                <w:szCs w:val="20"/>
              </w:rPr>
              <w:t>Average</w:t>
            </w:r>
          </w:p>
          <w:p w:rsidR="00B03A63" w:rsidRDefault="00B03A63">
            <w:pPr>
              <w:spacing w:after="0" w:line="240" w:lineRule="auto"/>
              <w:ind w:hanging="25"/>
              <w:jc w:val="center"/>
              <w:rPr>
                <w:rFonts w:ascii="Times New Roman" w:hAnsi="Times New Roman"/>
                <w:sz w:val="20"/>
                <w:szCs w:val="20"/>
              </w:rPr>
            </w:pPr>
          </w:p>
        </w:tc>
      </w:tr>
      <w:tr w:rsidR="00B03A63">
        <w:trPr>
          <w:trHeight w:val="536"/>
        </w:trPr>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6</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Two components of readiness for pedagogical activity at an average level, one at a high level</w:t>
            </w:r>
          </w:p>
        </w:tc>
        <w:tc>
          <w:tcPr>
            <w:tcW w:w="774" w:type="dxa"/>
            <w:vMerge/>
          </w:tcPr>
          <w:p w:rsidR="00B03A63" w:rsidRDefault="00B03A63">
            <w:pPr>
              <w:spacing w:after="0" w:line="240" w:lineRule="auto"/>
              <w:ind w:hanging="42"/>
              <w:jc w:val="center"/>
              <w:rPr>
                <w:rFonts w:ascii="Times New Roman" w:hAnsi="Times New Roman"/>
                <w:sz w:val="20"/>
                <w:szCs w:val="20"/>
                <w:lang w:val="en-US"/>
              </w:rPr>
            </w:pPr>
          </w:p>
        </w:tc>
      </w:tr>
      <w:tr w:rsidR="00B03A63">
        <w:trPr>
          <w:trHeight w:val="368"/>
        </w:trPr>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5</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 xml:space="preserve">Two </w:t>
            </w:r>
            <w:r>
              <w:rPr>
                <w:rFonts w:ascii="Times New Roman" w:hAnsi="Times New Roman"/>
                <w:sz w:val="20"/>
                <w:szCs w:val="20"/>
                <w:lang w:val="en-US"/>
              </w:rPr>
              <w:t>components of readiness for teaching at the middle level, one at a low level</w:t>
            </w:r>
          </w:p>
        </w:tc>
        <w:tc>
          <w:tcPr>
            <w:tcW w:w="774" w:type="dxa"/>
            <w:vMerge/>
            <w:vAlign w:val="center"/>
          </w:tcPr>
          <w:p w:rsidR="00B03A63" w:rsidRDefault="00B03A63">
            <w:pPr>
              <w:spacing w:after="0" w:line="240" w:lineRule="auto"/>
              <w:ind w:hanging="42"/>
              <w:jc w:val="center"/>
              <w:rPr>
                <w:rFonts w:ascii="Times New Roman" w:hAnsi="Times New Roman"/>
                <w:sz w:val="20"/>
                <w:szCs w:val="20"/>
                <w:lang w:val="en-US"/>
              </w:rPr>
            </w:pPr>
          </w:p>
        </w:tc>
      </w:tr>
      <w:tr w:rsidR="00B03A63">
        <w:trPr>
          <w:trHeight w:val="603"/>
        </w:trPr>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4</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One component of readiness for pedagogical activity at a medium level, one at a low level, one at a high level.</w:t>
            </w:r>
          </w:p>
        </w:tc>
        <w:tc>
          <w:tcPr>
            <w:tcW w:w="774" w:type="dxa"/>
            <w:vMerge/>
            <w:vAlign w:val="center"/>
          </w:tcPr>
          <w:p w:rsidR="00B03A63" w:rsidRDefault="00B03A63">
            <w:pPr>
              <w:spacing w:after="0" w:line="240" w:lineRule="auto"/>
              <w:ind w:hanging="42"/>
              <w:jc w:val="center"/>
              <w:rPr>
                <w:rFonts w:ascii="Times New Roman" w:hAnsi="Times New Roman"/>
                <w:sz w:val="20"/>
                <w:szCs w:val="20"/>
                <w:lang w:val="en-US"/>
              </w:rPr>
            </w:pPr>
          </w:p>
        </w:tc>
      </w:tr>
      <w:tr w:rsidR="00B03A63">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3</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 xml:space="preserve">All components of readiness for pedagogical activity at a </w:t>
            </w:r>
            <w:r>
              <w:rPr>
                <w:rFonts w:ascii="Times New Roman" w:hAnsi="Times New Roman"/>
                <w:sz w:val="20"/>
                <w:szCs w:val="20"/>
                <w:lang w:val="en-US"/>
              </w:rPr>
              <w:t>low level</w:t>
            </w:r>
          </w:p>
        </w:tc>
        <w:tc>
          <w:tcPr>
            <w:tcW w:w="774" w:type="dxa"/>
            <w:vMerge w:val="restart"/>
            <w:vAlign w:val="center"/>
          </w:tcPr>
          <w:p w:rsidR="00B03A63" w:rsidRDefault="00A4183F">
            <w:pPr>
              <w:spacing w:after="0" w:line="240" w:lineRule="auto"/>
              <w:ind w:hanging="25"/>
              <w:jc w:val="center"/>
              <w:rPr>
                <w:rFonts w:ascii="Times New Roman" w:hAnsi="Times New Roman"/>
                <w:sz w:val="20"/>
                <w:szCs w:val="20"/>
              </w:rPr>
            </w:pPr>
            <w:r>
              <w:rPr>
                <w:rFonts w:ascii="Times New Roman" w:hAnsi="Times New Roman"/>
                <w:sz w:val="20"/>
                <w:szCs w:val="20"/>
              </w:rPr>
              <w:t>Low</w:t>
            </w:r>
          </w:p>
          <w:p w:rsidR="00B03A63" w:rsidRDefault="00B03A63">
            <w:pPr>
              <w:spacing w:after="0" w:line="240" w:lineRule="auto"/>
              <w:ind w:hanging="42"/>
              <w:jc w:val="center"/>
              <w:rPr>
                <w:rFonts w:ascii="Times New Roman" w:hAnsi="Times New Roman"/>
                <w:sz w:val="20"/>
                <w:szCs w:val="20"/>
              </w:rPr>
            </w:pPr>
          </w:p>
        </w:tc>
      </w:tr>
      <w:tr w:rsidR="00B03A63">
        <w:trPr>
          <w:trHeight w:val="502"/>
        </w:trPr>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2</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Two components of readiness for teaching activities at a low level, one on average</w:t>
            </w:r>
          </w:p>
        </w:tc>
        <w:tc>
          <w:tcPr>
            <w:tcW w:w="774" w:type="dxa"/>
            <w:vMerge/>
            <w:vAlign w:val="center"/>
          </w:tcPr>
          <w:p w:rsidR="00B03A63" w:rsidRDefault="00B03A63">
            <w:pPr>
              <w:spacing w:after="0" w:line="240" w:lineRule="auto"/>
              <w:ind w:hanging="42"/>
              <w:jc w:val="center"/>
              <w:rPr>
                <w:rFonts w:ascii="Times New Roman" w:hAnsi="Times New Roman"/>
                <w:sz w:val="20"/>
                <w:szCs w:val="20"/>
                <w:lang w:val="en-US"/>
              </w:rPr>
            </w:pPr>
          </w:p>
        </w:tc>
      </w:tr>
      <w:tr w:rsidR="00B03A63">
        <w:trPr>
          <w:trHeight w:val="452"/>
        </w:trPr>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1</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Two components of readiness for pedagogical activity at a low level, one at a high</w:t>
            </w:r>
          </w:p>
        </w:tc>
        <w:tc>
          <w:tcPr>
            <w:tcW w:w="774" w:type="dxa"/>
            <w:vMerge/>
            <w:vAlign w:val="center"/>
          </w:tcPr>
          <w:p w:rsidR="00B03A63" w:rsidRDefault="00B03A63">
            <w:pPr>
              <w:spacing w:after="0" w:line="240" w:lineRule="auto"/>
              <w:ind w:hanging="42"/>
              <w:jc w:val="center"/>
              <w:rPr>
                <w:rFonts w:ascii="Times New Roman" w:hAnsi="Times New Roman"/>
                <w:sz w:val="20"/>
                <w:szCs w:val="20"/>
                <w:lang w:val="en-US"/>
              </w:rPr>
            </w:pPr>
          </w:p>
        </w:tc>
      </w:tr>
      <w:tr w:rsidR="00B03A63">
        <w:trPr>
          <w:trHeight w:val="654"/>
        </w:trPr>
        <w:tc>
          <w:tcPr>
            <w:tcW w:w="672" w:type="dxa"/>
            <w:vAlign w:val="center"/>
          </w:tcPr>
          <w:p w:rsidR="00B03A63" w:rsidRDefault="00A4183F">
            <w:pPr>
              <w:spacing w:after="0" w:line="240" w:lineRule="auto"/>
              <w:jc w:val="center"/>
              <w:rPr>
                <w:rFonts w:ascii="Times New Roman" w:hAnsi="Times New Roman"/>
                <w:sz w:val="20"/>
                <w:szCs w:val="20"/>
              </w:rPr>
            </w:pPr>
            <w:r>
              <w:rPr>
                <w:rFonts w:ascii="Times New Roman" w:hAnsi="Times New Roman"/>
                <w:sz w:val="20"/>
                <w:szCs w:val="20"/>
              </w:rPr>
              <w:t>0</w:t>
            </w:r>
          </w:p>
        </w:tc>
        <w:tc>
          <w:tcPr>
            <w:tcW w:w="2867" w:type="dxa"/>
          </w:tcPr>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At least one readiness component is not formed.</w:t>
            </w:r>
          </w:p>
          <w:p w:rsidR="00B03A63" w:rsidRDefault="00A4183F">
            <w:pPr>
              <w:spacing w:after="0" w:line="240" w:lineRule="auto"/>
              <w:ind w:firstLine="320"/>
              <w:rPr>
                <w:rFonts w:ascii="Times New Roman" w:hAnsi="Times New Roman"/>
                <w:sz w:val="20"/>
                <w:szCs w:val="20"/>
                <w:lang w:val="en-US"/>
              </w:rPr>
            </w:pPr>
            <w:r>
              <w:rPr>
                <w:rFonts w:ascii="Times New Roman" w:hAnsi="Times New Roman"/>
                <w:sz w:val="20"/>
                <w:szCs w:val="20"/>
                <w:lang w:val="en-US"/>
              </w:rPr>
              <w:t> </w:t>
            </w:r>
          </w:p>
        </w:tc>
        <w:tc>
          <w:tcPr>
            <w:tcW w:w="774" w:type="dxa"/>
            <w:vAlign w:val="center"/>
          </w:tcPr>
          <w:p w:rsidR="00B03A63" w:rsidRDefault="00A4183F">
            <w:pPr>
              <w:spacing w:after="0" w:line="240" w:lineRule="auto"/>
              <w:ind w:hanging="42"/>
              <w:jc w:val="center"/>
              <w:rPr>
                <w:rFonts w:ascii="Times New Roman" w:hAnsi="Times New Roman"/>
                <w:sz w:val="20"/>
                <w:szCs w:val="20"/>
              </w:rPr>
            </w:pPr>
            <w:r>
              <w:rPr>
                <w:rFonts w:ascii="Times New Roman" w:hAnsi="Times New Roman"/>
                <w:sz w:val="20"/>
                <w:szCs w:val="20"/>
              </w:rPr>
              <w:t>Unacceptable</w:t>
            </w:r>
          </w:p>
        </w:tc>
      </w:tr>
    </w:tbl>
    <w:p w:rsidR="00B03A63" w:rsidRDefault="00B03A63">
      <w:pPr>
        <w:spacing w:after="0" w:line="240" w:lineRule="auto"/>
        <w:ind w:firstLine="709"/>
        <w:jc w:val="both"/>
        <w:rPr>
          <w:rFonts w:ascii="Times New Roman" w:eastAsia="BatangChe" w:hAnsi="Times New Roman"/>
          <w:sz w:val="20"/>
          <w:szCs w:val="20"/>
        </w:rPr>
      </w:pPr>
    </w:p>
    <w:p w:rsidR="00B03A63" w:rsidRDefault="00B03A63">
      <w:pPr>
        <w:spacing w:after="0" w:line="240" w:lineRule="auto"/>
        <w:jc w:val="center"/>
        <w:rPr>
          <w:rFonts w:ascii="Times New Roman" w:eastAsia="BatangChe" w:hAnsi="Times New Roman"/>
          <w:sz w:val="20"/>
          <w:szCs w:val="20"/>
        </w:rPr>
      </w:pPr>
      <m:oMath>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г</m:t>
            </m:r>
          </m:sub>
        </m:sSub>
        <m:r>
          <w:rPr>
            <w:rFonts w:ascii="Cambria Math" w:eastAsia="BatangChe" w:hAnsi="Cambria Math"/>
            <w:sz w:val="20"/>
            <w:szCs w:val="20"/>
          </w:rPr>
          <m:t>=</m:t>
        </m:r>
        <m:f>
          <m:fPr>
            <m:ctrlPr>
              <w:rPr>
                <w:rFonts w:ascii="Cambria Math" w:eastAsia="BatangChe" w:hAnsi="Cambria Math"/>
                <w:i/>
                <w:sz w:val="20"/>
                <w:szCs w:val="20"/>
              </w:rPr>
            </m:ctrlPr>
          </m:fPr>
          <m:num>
            <m:sSub>
              <m:sSubPr>
                <m:ctrlPr>
                  <w:rPr>
                    <w:rFonts w:ascii="Cambria Math" w:eastAsia="BatangChe" w:hAnsi="Cambria Math"/>
                    <w:i/>
                    <w:sz w:val="20"/>
                    <w:szCs w:val="20"/>
                  </w:rPr>
                </m:ctrlPr>
              </m:sSubPr>
              <m:e>
                <m:r>
                  <w:rPr>
                    <w:rFonts w:ascii="Cambria Math" w:eastAsia="BatangChe" w:hAnsi="Cambria Math"/>
                    <w:sz w:val="20"/>
                    <w:szCs w:val="20"/>
                  </w:rPr>
                  <m:t xml:space="preserve"> O</m:t>
                </m:r>
              </m:e>
              <m:sub>
                <m:sSub>
                  <m:sSubPr>
                    <m:ctrlPr>
                      <w:rPr>
                        <w:rFonts w:ascii="Cambria Math" w:eastAsia="BatangChe" w:hAnsi="Cambria Math"/>
                        <w:i/>
                        <w:sz w:val="20"/>
                        <w:szCs w:val="20"/>
                      </w:rPr>
                    </m:ctrlPr>
                  </m:sSubPr>
                  <m:e>
                    <m:r>
                      <w:rPr>
                        <w:rFonts w:ascii="Cambria Math" w:eastAsia="BatangChe" w:hAnsi="Cambria Math"/>
                        <w:sz w:val="20"/>
                        <w:szCs w:val="20"/>
                      </w:rPr>
                      <m:t>г</m:t>
                    </m:r>
                  </m:e>
                  <m:sub>
                    <m:r>
                      <w:rPr>
                        <w:rFonts w:ascii="Cambria Math" w:eastAsia="BatangChe" w:hAnsi="Cambria Math"/>
                        <w:sz w:val="20"/>
                        <w:szCs w:val="20"/>
                      </w:rPr>
                      <m:t>1,2</m:t>
                    </m:r>
                  </m:sub>
                </m:sSub>
              </m:sub>
            </m:sSub>
          </m:num>
          <m:den>
            <m:sSub>
              <m:sSubPr>
                <m:ctrlPr>
                  <w:rPr>
                    <w:rFonts w:ascii="Cambria Math" w:eastAsia="BatangChe" w:hAnsi="Cambria Math"/>
                    <w:i/>
                    <w:sz w:val="20"/>
                    <w:szCs w:val="20"/>
                  </w:rPr>
                </m:ctrlPr>
              </m:sSubPr>
              <m:e>
                <m:r>
                  <w:rPr>
                    <w:rFonts w:ascii="Cambria Math" w:eastAsia="BatangChe" w:hAnsi="Cambria Math"/>
                    <w:sz w:val="20"/>
                    <w:szCs w:val="20"/>
                  </w:rPr>
                  <m:t>G</m:t>
                </m:r>
              </m:e>
              <m:sub>
                <m:sSub>
                  <m:sSubPr>
                    <m:ctrlPr>
                      <w:rPr>
                        <w:rFonts w:ascii="Cambria Math" w:eastAsia="BatangChe" w:hAnsi="Cambria Math"/>
                        <w:i/>
                        <w:sz w:val="20"/>
                        <w:szCs w:val="20"/>
                      </w:rPr>
                    </m:ctrlPr>
                  </m:sSubPr>
                  <m:e>
                    <m:r>
                      <w:rPr>
                        <w:rFonts w:ascii="Cambria Math" w:eastAsia="BatangChe" w:hAnsi="Cambria Math"/>
                        <w:sz w:val="20"/>
                        <w:szCs w:val="20"/>
                      </w:rPr>
                      <m:t>г</m:t>
                    </m:r>
                  </m:e>
                  <m:sub>
                    <m:r>
                      <w:rPr>
                        <w:rFonts w:ascii="Cambria Math" w:eastAsia="BatangChe" w:hAnsi="Cambria Math"/>
                        <w:sz w:val="20"/>
                        <w:szCs w:val="20"/>
                      </w:rPr>
                      <m:t>1,2</m:t>
                    </m:r>
                  </m:sub>
                </m:sSub>
              </m:sub>
            </m:sSub>
          </m:den>
        </m:f>
      </m:oMath>
      <w:r w:rsidR="00A4183F">
        <w:rPr>
          <w:rFonts w:ascii="Times New Roman" w:eastAsia="BatangChe" w:hAnsi="Times New Roman"/>
          <w:sz w:val="20"/>
          <w:szCs w:val="20"/>
          <w:lang w:val="uz-Cyrl-UZ"/>
        </w:rPr>
        <w:t xml:space="preserve">; </w:t>
      </w:r>
      <w:r w:rsidR="00A4183F">
        <w:rPr>
          <w:rFonts w:ascii="Times New Roman" w:eastAsia="BatangChe" w:hAnsi="Times New Roman"/>
          <w:sz w:val="20"/>
          <w:szCs w:val="20"/>
        </w:rPr>
        <w:t>(2)</w:t>
      </w:r>
    </w:p>
    <w:p w:rsidR="00B03A63" w:rsidRDefault="00B03A63">
      <w:pPr>
        <w:spacing w:after="0" w:line="240" w:lineRule="auto"/>
        <w:jc w:val="center"/>
        <w:rPr>
          <w:rFonts w:ascii="Times New Roman" w:eastAsia="BatangChe" w:hAnsi="Times New Roman"/>
          <w:sz w:val="20"/>
          <w:szCs w:val="20"/>
          <w:lang w:val="uz-Cyrl-UZ"/>
        </w:rPr>
      </w:pPr>
      <m:oMath>
        <m:sSub>
          <m:sSubPr>
            <m:ctrlPr>
              <w:rPr>
                <w:rFonts w:ascii="Cambria Math" w:eastAsia="BatangChe" w:hAnsi="Cambria Math"/>
                <w:i/>
                <w:sz w:val="20"/>
                <w:szCs w:val="20"/>
              </w:rPr>
            </m:ctrlPr>
          </m:sSubPr>
          <m:e>
            <m:r>
              <w:rPr>
                <w:rFonts w:ascii="Cambria Math" w:eastAsia="BatangChe" w:hAnsi="Cambria Math"/>
                <w:sz w:val="20"/>
                <w:szCs w:val="20"/>
                <w:lang w:val="en-US"/>
              </w:rPr>
              <m:t>Q</m:t>
            </m:r>
          </m:e>
          <m:sub>
            <m:sSub>
              <m:sSubPr>
                <m:ctrlPr>
                  <w:rPr>
                    <w:rFonts w:ascii="Cambria Math" w:eastAsia="BatangChe" w:hAnsi="Cambria Math"/>
                    <w:i/>
                    <w:sz w:val="20"/>
                    <w:szCs w:val="20"/>
                  </w:rPr>
                </m:ctrlPr>
              </m:sSubPr>
              <m:e>
                <m:r>
                  <w:rPr>
                    <w:rFonts w:ascii="Cambria Math" w:eastAsia="BatangChe" w:hAnsi="Cambria Math"/>
                    <w:sz w:val="20"/>
                    <w:szCs w:val="20"/>
                  </w:rPr>
                  <m:t>г</m:t>
                </m:r>
              </m:e>
              <m:sub/>
            </m:sSub>
          </m:sub>
        </m:sSub>
        <m:r>
          <w:rPr>
            <w:rFonts w:ascii="Cambria Math" w:eastAsia="BatangChe" w:hAnsi="Cambria Math"/>
            <w:sz w:val="20"/>
            <w:szCs w:val="20"/>
          </w:rPr>
          <m:t>=</m:t>
        </m:r>
        <m:f>
          <m:fPr>
            <m:ctrlPr>
              <w:rPr>
                <w:rFonts w:ascii="Cambria Math" w:eastAsia="BatangChe" w:hAnsi="Cambria Math"/>
                <w:i/>
                <w:sz w:val="20"/>
                <w:szCs w:val="20"/>
              </w:rPr>
            </m:ctrlPr>
          </m:fPr>
          <m:num>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г</m:t>
                </m:r>
              </m:sub>
            </m:sSub>
          </m:num>
          <m:den>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den>
        </m:f>
        <m:r>
          <w:rPr>
            <w:rFonts w:ascii="Cambria Math" w:eastAsia="BatangChe" w:hAnsi="Cambria Math"/>
            <w:sz w:val="20"/>
            <w:szCs w:val="20"/>
          </w:rPr>
          <m:t>×</m:t>
        </m:r>
      </m:oMath>
      <w:r w:rsidR="00A4183F">
        <w:rPr>
          <w:rFonts w:ascii="Times New Roman" w:eastAsia="BatangChe" w:hAnsi="Times New Roman"/>
          <w:sz w:val="20"/>
          <w:szCs w:val="20"/>
        </w:rPr>
        <w:t>100</w:t>
      </w:r>
      <w:r w:rsidR="002F3CC1" w:rsidRPr="00B03A63">
        <w:rPr>
          <w:rFonts w:ascii="Times New Roman" w:hAnsi="Times New Roman"/>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equationxml="&lt;">
            <v:imagedata r:id="rId14" o:title="" chromakey="white"/>
          </v:shape>
        </w:pict>
      </w:r>
      <w:r w:rsidR="00A4183F">
        <w:rPr>
          <w:rFonts w:ascii="Times New Roman" w:eastAsia="BatangChe" w:hAnsi="Times New Roman"/>
          <w:sz w:val="20"/>
          <w:szCs w:val="20"/>
          <w:lang w:val="uz-Cyrl-UZ"/>
        </w:rPr>
        <w:t>; (3)</w:t>
      </w:r>
    </w:p>
    <w:p w:rsidR="00B03A63" w:rsidRDefault="00B03A63">
      <w:pPr>
        <w:spacing w:after="0" w:line="240" w:lineRule="auto"/>
        <w:jc w:val="center"/>
        <w:rPr>
          <w:rFonts w:ascii="Times New Roman" w:eastAsia="BatangChe" w:hAnsi="Times New Roman"/>
          <w:sz w:val="20"/>
          <w:szCs w:val="20"/>
        </w:rPr>
      </w:pPr>
      <m:oMath>
        <m:sSub>
          <m:sSubPr>
            <m:ctrlPr>
              <w:rPr>
                <w:rFonts w:ascii="Cambria Math" w:eastAsia="BatangChe" w:hAnsi="Cambria Math"/>
                <w:i/>
                <w:sz w:val="20"/>
                <w:szCs w:val="20"/>
              </w:rPr>
            </m:ctrlPr>
          </m:sSubPr>
          <m:e>
            <m:r>
              <w:rPr>
                <w:rFonts w:ascii="Cambria Math" w:eastAsia="BatangChe" w:hAnsi="Cambria Math"/>
                <w:sz w:val="20"/>
                <w:szCs w:val="20"/>
                <w:lang w:val="en-US"/>
              </w:rPr>
              <m:t>Q</m:t>
            </m:r>
          </m:e>
          <m:sub>
            <m:sSub>
              <m:sSubPr>
                <m:ctrlPr>
                  <w:rPr>
                    <w:rFonts w:ascii="Cambria Math" w:eastAsia="BatangChe" w:hAnsi="Cambria Math"/>
                    <w:i/>
                    <w:sz w:val="20"/>
                    <w:szCs w:val="20"/>
                  </w:rPr>
                </m:ctrlPr>
              </m:sSubPr>
              <m:e>
                <m:r>
                  <w:rPr>
                    <w:rFonts w:ascii="Cambria Math" w:eastAsia="BatangChe" w:hAnsi="Cambria Math"/>
                    <w:sz w:val="20"/>
                    <w:szCs w:val="20"/>
                    <w:lang w:val="en-US"/>
                  </w:rPr>
                  <m:t>K</m:t>
                </m:r>
              </m:e>
              <m:sub>
                <m:r>
                  <w:rPr>
                    <w:rFonts w:ascii="Cambria Math" w:eastAsia="BatangChe" w:hAnsi="Cambria Math"/>
                    <w:sz w:val="20"/>
                    <w:szCs w:val="20"/>
                  </w:rPr>
                  <m:t>1</m:t>
                </m:r>
              </m:sub>
            </m:sSub>
          </m:sub>
        </m:sSub>
        <m:r>
          <w:rPr>
            <w:rFonts w:ascii="Cambria Math" w:eastAsia="BatangChe" w:hAnsi="Cambria Math"/>
            <w:sz w:val="20"/>
            <w:szCs w:val="20"/>
          </w:rPr>
          <m:t>=</m:t>
        </m:r>
        <m:f>
          <m:fPr>
            <m:ctrlPr>
              <w:rPr>
                <w:rFonts w:ascii="Cambria Math" w:eastAsia="BatangChe" w:hAnsi="Cambria Math"/>
                <w:i/>
                <w:sz w:val="20"/>
                <w:szCs w:val="20"/>
              </w:rPr>
            </m:ctrlPr>
          </m:fPr>
          <m:num>
            <m:sSub>
              <m:sSubPr>
                <m:ctrlPr>
                  <w:rPr>
                    <w:rFonts w:ascii="Cambria Math" w:eastAsia="BatangChe" w:hAnsi="Cambria Math"/>
                    <w:i/>
                    <w:sz w:val="20"/>
                    <w:szCs w:val="20"/>
                  </w:rPr>
                </m:ctrlPr>
              </m:sSubPr>
              <m:e>
                <m:r>
                  <w:rPr>
                    <w:rFonts w:ascii="Cambria Math" w:eastAsia="BatangChe" w:hAnsi="Cambria Math"/>
                    <w:sz w:val="20"/>
                    <w:szCs w:val="20"/>
                  </w:rPr>
                  <m:t>S</m:t>
                </m:r>
              </m:e>
              <m:sub>
                <m:sSub>
                  <m:sSubPr>
                    <m:ctrlPr>
                      <w:rPr>
                        <w:rFonts w:ascii="Cambria Math" w:eastAsia="BatangChe" w:hAnsi="Cambria Math"/>
                        <w:i/>
                        <w:sz w:val="20"/>
                        <w:szCs w:val="20"/>
                      </w:rPr>
                    </m:ctrlPr>
                  </m:sSubPr>
                  <m:e>
                    <m:r>
                      <w:rPr>
                        <w:rFonts w:ascii="Cambria Math" w:eastAsia="BatangChe" w:hAnsi="Cambria Math"/>
                        <w:sz w:val="20"/>
                        <w:szCs w:val="20"/>
                      </w:rPr>
                      <m:t>K</m:t>
                    </m:r>
                  </m:e>
                  <m:sub>
                    <m:r>
                      <w:rPr>
                        <w:rFonts w:ascii="Cambria Math" w:eastAsia="BatangChe" w:hAnsi="Cambria Math"/>
                        <w:sz w:val="20"/>
                        <w:szCs w:val="20"/>
                      </w:rPr>
                      <m:t>1</m:t>
                    </m:r>
                  </m:sub>
                </m:sSub>
              </m:sub>
            </m:sSub>
          </m:num>
          <m:den>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den>
        </m:f>
        <m:r>
          <w:rPr>
            <w:rFonts w:ascii="Cambria Math" w:eastAsia="BatangChe" w:hAnsi="Cambria Math"/>
            <w:sz w:val="20"/>
            <w:szCs w:val="20"/>
          </w:rPr>
          <m:t>×</m:t>
        </m:r>
      </m:oMath>
      <w:r w:rsidR="00A4183F">
        <w:rPr>
          <w:rFonts w:ascii="Times New Roman" w:eastAsia="BatangChe" w:hAnsi="Times New Roman"/>
          <w:sz w:val="20"/>
          <w:szCs w:val="20"/>
        </w:rPr>
        <w:t>100</w:t>
      </w:r>
      <w:r w:rsidR="002F3CC1" w:rsidRPr="00B03A63">
        <w:rPr>
          <w:rFonts w:ascii="Times New Roman" w:hAnsi="Times New Roman"/>
          <w:position w:val="-11"/>
          <w:sz w:val="20"/>
          <w:szCs w:val="20"/>
        </w:rPr>
        <w:pict>
          <v:shape id="_x0000_i1026" type="#_x0000_t75" style="width:12.75pt;height:18.75pt" equationxml="&lt;">
            <v:imagedata r:id="rId14" o:title="" chromakey="white"/>
          </v:shape>
        </w:pict>
      </w:r>
      <w:r w:rsidR="00A4183F">
        <w:rPr>
          <w:rFonts w:ascii="Times New Roman" w:eastAsia="BatangChe" w:hAnsi="Times New Roman"/>
          <w:sz w:val="20"/>
          <w:szCs w:val="20"/>
          <w:lang w:val="uz-Cyrl-UZ"/>
        </w:rPr>
        <w:t>; (4)</w:t>
      </w:r>
    </w:p>
    <w:p w:rsidR="00B03A63" w:rsidRDefault="00B03A63">
      <w:pPr>
        <w:spacing w:after="0" w:line="240" w:lineRule="auto"/>
        <w:ind w:firstLine="709"/>
        <w:jc w:val="both"/>
        <w:rPr>
          <w:rFonts w:ascii="Times New Roman" w:hAnsi="Times New Roman"/>
          <w:i/>
          <w:sz w:val="20"/>
          <w:szCs w:val="20"/>
        </w:rPr>
      </w:pPr>
    </w:p>
    <w:p w:rsidR="00B03A63" w:rsidRDefault="00A4183F">
      <w:pPr>
        <w:spacing w:after="0" w:line="240" w:lineRule="auto"/>
        <w:ind w:firstLine="709"/>
        <w:jc w:val="both"/>
        <w:rPr>
          <w:rFonts w:ascii="Times New Roman" w:eastAsia="BatangChe" w:hAnsi="Times New Roman"/>
          <w:sz w:val="20"/>
          <w:szCs w:val="20"/>
          <w:lang w:val="uz-Cyrl-UZ"/>
        </w:rPr>
      </w:pPr>
      <w:r>
        <w:rPr>
          <w:rFonts w:ascii="Times New Roman" w:eastAsia="BatangChe" w:hAnsi="Times New Roman"/>
          <w:sz w:val="20"/>
          <w:szCs w:val="20"/>
          <w:lang w:val="uz-Cyrl-UZ"/>
        </w:rPr>
        <w:lastRenderedPageBreak/>
        <w:t>G1, G2, G3, G4, G5, G6, G7, G8 - groups</w:t>
      </w:r>
      <w:r>
        <w:rPr>
          <w:rFonts w:ascii="Times New Roman" w:hAnsi="Times New Roman"/>
          <w:sz w:val="20"/>
          <w:szCs w:val="20"/>
          <w:lang w:val="en-US"/>
        </w:rPr>
        <w:t xml:space="preserve">; </w:t>
      </w:r>
      <m:oMath>
        <m:sSub>
          <m:sSubPr>
            <m:ctrlPr>
              <w:rPr>
                <w:rFonts w:ascii="Cambria Math" w:eastAsia="BatangChe" w:hAnsi="Cambria Math"/>
                <w:i/>
                <w:sz w:val="20"/>
                <w:szCs w:val="20"/>
              </w:rPr>
            </m:ctrlPr>
          </m:sSubPr>
          <m:e>
            <m:r>
              <w:rPr>
                <w:rFonts w:ascii="Cambria Math" w:eastAsia="BatangChe" w:hAnsi="Cambria Math"/>
                <w:sz w:val="20"/>
                <w:szCs w:val="20"/>
                <w:lang w:val="en-US"/>
              </w:rPr>
              <m:t>O</m:t>
            </m:r>
          </m:e>
          <m:sub>
            <m:sSub>
              <m:sSubPr>
                <m:ctrlPr>
                  <w:rPr>
                    <w:rFonts w:ascii="Cambria Math" w:eastAsia="BatangChe" w:hAnsi="Cambria Math"/>
                    <w:i/>
                    <w:sz w:val="20"/>
                    <w:szCs w:val="20"/>
                  </w:rPr>
                </m:ctrlPr>
              </m:sSubPr>
              <m:e>
                <m:r>
                  <w:rPr>
                    <w:rFonts w:ascii="Cambria Math" w:eastAsia="BatangChe" w:hAnsi="Cambria Math"/>
                    <w:sz w:val="20"/>
                    <w:szCs w:val="20"/>
                  </w:rPr>
                  <m:t>г</m:t>
                </m:r>
              </m:e>
              <m:sub>
                <m:r>
                  <w:rPr>
                    <w:rFonts w:ascii="Cambria Math" w:eastAsia="BatangChe" w:hAnsi="Cambria Math"/>
                    <w:sz w:val="20"/>
                    <w:szCs w:val="20"/>
                    <w:lang w:val="en-US"/>
                  </w:rPr>
                  <m:t>1-8</m:t>
                </m:r>
              </m:sub>
            </m:sSub>
          </m:sub>
        </m:sSub>
        <m:r>
          <w:rPr>
            <w:rFonts w:ascii="Cambria Math" w:eastAsia="BatangChe" w:hAnsi="Cambria Math"/>
            <w:sz w:val="20"/>
            <w:szCs w:val="20"/>
            <w:lang w:val="en-US"/>
          </w:rPr>
          <m:t>-</m:t>
        </m:r>
      </m:oMath>
      <w:r>
        <w:rPr>
          <w:rFonts w:ascii="Times New Roman" w:eastAsia="BatangChe" w:hAnsi="Times New Roman"/>
          <w:sz w:val="20"/>
          <w:szCs w:val="20"/>
          <w:lang w:val="en-US"/>
        </w:rPr>
        <w:t xml:space="preserve"> </w:t>
      </w:r>
      <w:r>
        <w:rPr>
          <w:rFonts w:ascii="Times New Roman" w:eastAsia="BatangChe" w:hAnsi="Times New Roman"/>
          <w:sz w:val="20"/>
          <w:szCs w:val="20"/>
          <w:lang w:val="uz-Cyrl-UZ"/>
        </w:rPr>
        <w:t>total points of groups G1, G2</w:t>
      </w:r>
      <w:r>
        <w:rPr>
          <w:rFonts w:ascii="Times New Roman" w:eastAsia="BatangChe" w:hAnsi="Times New Roman"/>
          <w:sz w:val="20"/>
          <w:szCs w:val="20"/>
          <w:lang w:val="en-US"/>
        </w:rPr>
        <w:t xml:space="preserve">; </w:t>
      </w:r>
      <m:oMath>
        <m:sSub>
          <m:sSubPr>
            <m:ctrlPr>
              <w:rPr>
                <w:rFonts w:ascii="Cambria Math" w:eastAsia="BatangChe" w:hAnsi="Cambria Math"/>
                <w:i/>
                <w:sz w:val="20"/>
                <w:szCs w:val="20"/>
              </w:rPr>
            </m:ctrlPr>
          </m:sSubPr>
          <m:e>
            <m:r>
              <w:rPr>
                <w:rFonts w:ascii="Cambria Math" w:eastAsia="BatangChe" w:hAnsi="Cambria Math"/>
                <w:sz w:val="20"/>
                <w:szCs w:val="20"/>
              </w:rPr>
              <m:t>E</m:t>
            </m:r>
          </m:e>
          <m:sub>
            <m:sSub>
              <m:sSubPr>
                <m:ctrlPr>
                  <w:rPr>
                    <w:rFonts w:ascii="Cambria Math" w:eastAsia="BatangChe" w:hAnsi="Cambria Math"/>
                    <w:i/>
                    <w:sz w:val="20"/>
                    <w:szCs w:val="20"/>
                  </w:rPr>
                </m:ctrlPr>
              </m:sSubPr>
              <m:e>
                <m:r>
                  <w:rPr>
                    <w:rFonts w:ascii="Cambria Math" w:eastAsia="BatangChe" w:hAnsi="Cambria Math"/>
                    <w:sz w:val="20"/>
                    <w:szCs w:val="20"/>
                  </w:rPr>
                  <m:t>A</m:t>
                </m:r>
              </m:e>
              <m:sub>
                <m:r>
                  <w:rPr>
                    <w:rFonts w:ascii="Cambria Math" w:eastAsia="BatangChe" w:hAnsi="Cambria Math"/>
                    <w:sz w:val="20"/>
                    <w:szCs w:val="20"/>
                    <w:lang w:val="en-US"/>
                  </w:rPr>
                  <m:t>1,2,3</m:t>
                </m:r>
              </m:sub>
            </m:sSub>
          </m:sub>
        </m:sSub>
        <m:r>
          <w:rPr>
            <w:rFonts w:ascii="Cambria Math" w:eastAsia="BatangChe" w:hAnsi="Cambria Math"/>
            <w:sz w:val="20"/>
            <w:szCs w:val="20"/>
            <w:lang w:val="en-US"/>
          </w:rPr>
          <m:t>-</m:t>
        </m:r>
      </m:oMath>
      <w:r>
        <w:rPr>
          <w:rFonts w:ascii="Times New Roman" w:eastAsia="BatangChe" w:hAnsi="Times New Roman"/>
          <w:sz w:val="20"/>
          <w:szCs w:val="20"/>
          <w:lang w:val="en-US"/>
        </w:rPr>
        <w:t xml:space="preserve"> </w:t>
      </w:r>
      <w:r>
        <w:rPr>
          <w:rFonts w:ascii="Times New Roman" w:eastAsia="BatangChe" w:hAnsi="Times New Roman"/>
          <w:sz w:val="20"/>
          <w:szCs w:val="20"/>
          <w:lang w:val="uz-Cyrl-UZ"/>
        </w:rPr>
        <w:t xml:space="preserve">the sum of points of groups according to the levels of educational activities, </w:t>
      </w:r>
      <w:r>
        <w:rPr>
          <w:rFonts w:ascii="Times New Roman" w:eastAsia="BatangChe" w:hAnsi="Times New Roman"/>
          <w:sz w:val="20"/>
          <w:szCs w:val="20"/>
          <w:lang w:val="uz-Cyrl-UZ"/>
        </w:rPr>
        <w:t>extracurricular activities, the conditions for the educational process</w:t>
      </w:r>
      <w:r>
        <w:rPr>
          <w:rFonts w:ascii="Times New Roman" w:eastAsia="BatangChe" w:hAnsi="Times New Roman"/>
          <w:sz w:val="20"/>
          <w:szCs w:val="20"/>
          <w:lang w:val="en-US"/>
        </w:rPr>
        <w:t xml:space="preserve">; </w:t>
      </w:r>
      <m:oMath>
        <m:sSub>
          <m:sSubPr>
            <m:ctrlPr>
              <w:rPr>
                <w:rFonts w:ascii="Cambria Math" w:eastAsia="BatangChe" w:hAnsi="Cambria Math"/>
                <w:i/>
                <w:sz w:val="20"/>
                <w:szCs w:val="20"/>
              </w:rPr>
            </m:ctrlPr>
          </m:sSubPr>
          <m:e>
            <m:r>
              <w:rPr>
                <w:rFonts w:ascii="Cambria Math" w:eastAsia="BatangChe" w:hAnsi="Cambria Math"/>
                <w:sz w:val="20"/>
                <w:szCs w:val="20"/>
              </w:rPr>
              <m:t>G</m:t>
            </m:r>
          </m:e>
          <m:sub>
            <m:sSub>
              <m:sSubPr>
                <m:ctrlPr>
                  <w:rPr>
                    <w:rFonts w:ascii="Cambria Math" w:eastAsia="BatangChe" w:hAnsi="Cambria Math"/>
                    <w:i/>
                    <w:sz w:val="20"/>
                    <w:szCs w:val="20"/>
                  </w:rPr>
                </m:ctrlPr>
              </m:sSubPr>
              <m:e>
                <m:r>
                  <w:rPr>
                    <w:rFonts w:ascii="Cambria Math" w:eastAsia="BatangChe" w:hAnsi="Cambria Math"/>
                    <w:sz w:val="20"/>
                    <w:szCs w:val="20"/>
                  </w:rPr>
                  <m:t>г</m:t>
                </m:r>
              </m:e>
              <m:sub>
                <m:r>
                  <w:rPr>
                    <w:rFonts w:ascii="Cambria Math" w:eastAsia="BatangChe" w:hAnsi="Cambria Math"/>
                    <w:sz w:val="20"/>
                    <w:szCs w:val="20"/>
                    <w:lang w:val="en-US"/>
                  </w:rPr>
                  <m:t>1-8</m:t>
                </m:r>
              </m:sub>
            </m:sSub>
          </m:sub>
        </m:sSub>
        <m:r>
          <w:rPr>
            <w:rFonts w:ascii="Cambria Math" w:eastAsia="BatangChe" w:hAnsi="Cambria Math"/>
            <w:sz w:val="20"/>
            <w:szCs w:val="20"/>
            <w:lang w:val="en-US"/>
          </w:rPr>
          <m:t>-</m:t>
        </m:r>
      </m:oMath>
      <w:r>
        <w:rPr>
          <w:rFonts w:ascii="Times New Roman" w:eastAsia="BatangChe" w:hAnsi="Times New Roman"/>
          <w:sz w:val="20"/>
          <w:szCs w:val="20"/>
          <w:lang w:val="en-US"/>
        </w:rPr>
        <w:t xml:space="preserve"> </w:t>
      </w:r>
      <w:r>
        <w:rPr>
          <w:rFonts w:ascii="Times New Roman" w:eastAsia="BatangChe" w:hAnsi="Times New Roman"/>
          <w:sz w:val="20"/>
          <w:szCs w:val="20"/>
          <w:lang w:val="uz-Cyrl-UZ"/>
        </w:rPr>
        <w:t>number of students in groups</w:t>
      </w:r>
      <w:r>
        <w:rPr>
          <w:rFonts w:ascii="Times New Roman" w:eastAsia="BatangChe" w:hAnsi="Times New Roman"/>
          <w:sz w:val="20"/>
          <w:szCs w:val="20"/>
          <w:lang w:val="en-US"/>
        </w:rPr>
        <w:t xml:space="preserve">; </w:t>
      </w:r>
      <m:oMath>
        <m:sSub>
          <m:sSubPr>
            <m:ctrlPr>
              <w:rPr>
                <w:rFonts w:ascii="Cambria Math" w:eastAsia="BatangChe" w:hAnsi="Cambria Math"/>
                <w:i/>
                <w:sz w:val="20"/>
                <w:szCs w:val="20"/>
              </w:rPr>
            </m:ctrlPr>
          </m:sSubPr>
          <m:e>
            <m:r>
              <w:rPr>
                <w:rFonts w:ascii="Cambria Math" w:eastAsia="BatangChe" w:hAnsi="Cambria Math"/>
                <w:sz w:val="20"/>
                <w:szCs w:val="20"/>
              </w:rPr>
              <m:t>S</m:t>
            </m:r>
          </m:e>
          <m:sub>
            <m:sSub>
              <m:sSubPr>
                <m:ctrlPr>
                  <w:rPr>
                    <w:rFonts w:ascii="Cambria Math" w:eastAsia="BatangChe" w:hAnsi="Cambria Math"/>
                    <w:i/>
                    <w:sz w:val="20"/>
                    <w:szCs w:val="20"/>
                  </w:rPr>
                </m:ctrlPr>
              </m:sSubPr>
              <m:e>
                <m:r>
                  <w:rPr>
                    <w:rFonts w:ascii="Cambria Math" w:eastAsia="BatangChe" w:hAnsi="Cambria Math"/>
                    <w:sz w:val="20"/>
                    <w:szCs w:val="20"/>
                  </w:rPr>
                  <m:t>г</m:t>
                </m:r>
              </m:e>
              <m:sub/>
            </m:sSub>
          </m:sub>
        </m:sSub>
        <m:r>
          <w:rPr>
            <w:rFonts w:ascii="Cambria Math" w:eastAsia="BatangChe" w:hAnsi="Cambria Math"/>
            <w:sz w:val="20"/>
            <w:szCs w:val="20"/>
            <w:lang w:val="en-US"/>
          </w:rPr>
          <m:t>-</m:t>
        </m:r>
        <m:r>
          <w:rPr>
            <w:rFonts w:ascii="Cambria Math" w:eastAsia="BatangChe" w:hAnsi="Cambria Math"/>
            <w:sz w:val="20"/>
            <w:szCs w:val="20"/>
            <w:lang w:val="en-US"/>
          </w:rPr>
          <m:t xml:space="preserve"> </m:t>
        </m:r>
      </m:oMath>
      <w:r>
        <w:rPr>
          <w:rFonts w:ascii="Times New Roman" w:eastAsia="BatangChe" w:hAnsi="Times New Roman"/>
          <w:sz w:val="20"/>
          <w:szCs w:val="20"/>
          <w:lang w:val="uz-Cyrl-UZ"/>
        </w:rPr>
        <w:t xml:space="preserve"> average amount of points by groups</w:t>
      </w:r>
      <w:r>
        <w:rPr>
          <w:rFonts w:ascii="Times New Roman" w:eastAsia="BatangChe" w:hAnsi="Times New Roman"/>
          <w:sz w:val="20"/>
          <w:szCs w:val="20"/>
          <w:lang w:val="en-US"/>
        </w:rPr>
        <w:t xml:space="preserve">; </w:t>
      </w:r>
      <m:oMath>
        <m:sSub>
          <m:sSubPr>
            <m:ctrlPr>
              <w:rPr>
                <w:rFonts w:ascii="Cambria Math" w:eastAsia="BatangChe" w:hAnsi="Cambria Math"/>
                <w:i/>
                <w:sz w:val="20"/>
                <w:szCs w:val="20"/>
              </w:rPr>
            </m:ctrlPr>
          </m:sSubPr>
          <m:e>
            <m:r>
              <w:rPr>
                <w:rFonts w:ascii="Cambria Math" w:eastAsia="BatangChe" w:hAnsi="Cambria Math"/>
                <w:sz w:val="20"/>
                <w:szCs w:val="20"/>
                <w:lang w:val="en-US"/>
              </w:rPr>
              <m:t>Q</m:t>
            </m:r>
          </m:e>
          <m:sub>
            <m:sSub>
              <m:sSubPr>
                <m:ctrlPr>
                  <w:rPr>
                    <w:rFonts w:ascii="Cambria Math" w:eastAsia="BatangChe" w:hAnsi="Cambria Math"/>
                    <w:i/>
                    <w:sz w:val="20"/>
                    <w:szCs w:val="20"/>
                  </w:rPr>
                </m:ctrlPr>
              </m:sSubPr>
              <m:e>
                <m:r>
                  <w:rPr>
                    <w:rFonts w:ascii="Cambria Math" w:eastAsia="BatangChe" w:hAnsi="Cambria Math"/>
                    <w:sz w:val="20"/>
                    <w:szCs w:val="20"/>
                  </w:rPr>
                  <m:t>г</m:t>
                </m:r>
              </m:e>
              <m:sub/>
            </m:sSub>
          </m:sub>
        </m:sSub>
        <m:r>
          <w:rPr>
            <w:rFonts w:ascii="Cambria Math" w:eastAsia="BatangChe" w:hAnsi="Cambria Math"/>
            <w:sz w:val="20"/>
            <w:szCs w:val="20"/>
            <w:lang w:val="en-US"/>
          </w:rPr>
          <m:t>-</m:t>
        </m:r>
      </m:oMath>
      <w:r>
        <w:rPr>
          <w:rFonts w:ascii="Times New Roman" w:eastAsia="BatangChe" w:hAnsi="Times New Roman"/>
          <w:sz w:val="20"/>
          <w:szCs w:val="20"/>
          <w:lang w:val="en-US"/>
        </w:rPr>
        <w:t xml:space="preserve"> </w:t>
      </w:r>
      <w:r>
        <w:rPr>
          <w:rFonts w:ascii="Times New Roman" w:eastAsia="BatangChe" w:hAnsi="Times New Roman"/>
          <w:sz w:val="20"/>
          <w:szCs w:val="20"/>
          <w:lang w:val="uz-Cyrl-UZ"/>
        </w:rPr>
        <w:t>average amount of points by groups</w:t>
      </w:r>
      <w:r>
        <w:rPr>
          <w:rFonts w:ascii="Times New Roman" w:eastAsia="BatangChe" w:hAnsi="Times New Roman"/>
          <w:sz w:val="20"/>
          <w:szCs w:val="20"/>
          <w:lang w:val="en-US"/>
        </w:rPr>
        <w:t xml:space="preserve">; </w:t>
      </w:r>
      <m:oMath>
        <m:sSub>
          <m:sSubPr>
            <m:ctrlPr>
              <w:rPr>
                <w:rFonts w:ascii="Cambria Math" w:eastAsia="BatangChe" w:hAnsi="Cambria Math"/>
                <w:i/>
                <w:sz w:val="20"/>
                <w:szCs w:val="20"/>
              </w:rPr>
            </m:ctrlPr>
          </m:sSubPr>
          <m:e>
            <m:r>
              <w:rPr>
                <w:rFonts w:ascii="Cambria Math" w:eastAsia="BatangChe" w:hAnsi="Cambria Math"/>
                <w:sz w:val="20"/>
                <w:szCs w:val="20"/>
              </w:rPr>
              <m:t>M</m:t>
            </m:r>
          </m:e>
          <m:sub>
            <m:sSub>
              <m:sSubPr>
                <m:ctrlPr>
                  <w:rPr>
                    <w:rFonts w:ascii="Cambria Math" w:eastAsia="BatangChe" w:hAnsi="Cambria Math"/>
                    <w:i/>
                    <w:sz w:val="20"/>
                    <w:szCs w:val="20"/>
                  </w:rPr>
                </m:ctrlPr>
              </m:sSubPr>
              <m:e>
                <m:r>
                  <w:rPr>
                    <w:rFonts w:ascii="Cambria Math" w:eastAsia="BatangChe" w:hAnsi="Cambria Math"/>
                    <w:sz w:val="20"/>
                    <w:szCs w:val="20"/>
                  </w:rPr>
                  <m:t>S</m:t>
                </m:r>
              </m:e>
              <m:sub>
                <m:r>
                  <w:rPr>
                    <w:rFonts w:ascii="Cambria Math" w:eastAsia="BatangChe" w:hAnsi="Cambria Math"/>
                    <w:sz w:val="20"/>
                    <w:szCs w:val="20"/>
                  </w:rPr>
                  <m:t>b</m:t>
                </m:r>
              </m:sub>
            </m:sSub>
          </m:sub>
        </m:sSub>
        <m:r>
          <w:rPr>
            <w:rFonts w:ascii="Cambria Math" w:eastAsia="BatangChe" w:hAnsi="Cambria Math"/>
            <w:sz w:val="20"/>
            <w:szCs w:val="20"/>
            <w:lang w:val="en-US"/>
          </w:rPr>
          <m:t>-</m:t>
        </m:r>
      </m:oMath>
      <w:r>
        <w:rPr>
          <w:rFonts w:ascii="Times New Roman" w:eastAsia="BatangChe" w:hAnsi="Times New Roman"/>
          <w:sz w:val="20"/>
          <w:szCs w:val="20"/>
          <w:lang w:val="en-US"/>
        </w:rPr>
        <w:t xml:space="preserve"> </w:t>
      </w:r>
      <w:r>
        <w:rPr>
          <w:rFonts w:ascii="Times New Roman" w:eastAsia="BatangChe" w:hAnsi="Times New Roman"/>
          <w:sz w:val="20"/>
          <w:szCs w:val="20"/>
          <w:lang w:val="uz-Cyrl-UZ"/>
        </w:rPr>
        <w:t>volume of students' knowledge in groups; maximum points</w:t>
      </w:r>
      <w:r>
        <w:rPr>
          <w:rFonts w:ascii="Times New Roman" w:eastAsia="BatangChe" w:hAnsi="Times New Roman"/>
          <w:sz w:val="20"/>
          <w:szCs w:val="20"/>
          <w:lang w:val="uz-Cyrl-UZ"/>
        </w:rPr>
        <w:t xml:space="preserve"> (15 points).</w:t>
      </w:r>
      <w:r>
        <w:rPr>
          <w:rFonts w:ascii="Times New Roman" w:eastAsia="BatangChe" w:hAnsi="Times New Roman"/>
          <w:sz w:val="20"/>
          <w:szCs w:val="20"/>
          <w:lang w:val="en-US"/>
        </w:rPr>
        <w:t xml:space="preserve"> </w:t>
      </w:r>
    </w:p>
    <w:p w:rsidR="00B03A63" w:rsidRDefault="00A4183F">
      <w:pPr>
        <w:spacing w:after="0" w:line="240" w:lineRule="auto"/>
        <w:ind w:firstLine="709"/>
        <w:jc w:val="both"/>
        <w:rPr>
          <w:rFonts w:ascii="Times New Roman" w:eastAsia="BatangChe" w:hAnsi="Times New Roman"/>
          <w:sz w:val="20"/>
          <w:szCs w:val="20"/>
          <w:lang w:val="uz-Cyrl-UZ"/>
        </w:rPr>
      </w:pPr>
      <w:r>
        <w:rPr>
          <w:rFonts w:ascii="Times New Roman" w:hAnsi="Times New Roman"/>
          <w:sz w:val="20"/>
          <w:szCs w:val="20"/>
          <w:lang w:val="en-US"/>
        </w:rPr>
        <w:t>The result indicates a lack of knowledge of students in the direction of "Vocational education" and college teachers in the field of educational, extracurricular activities, conditions for the provision of the educational process.</w:t>
      </w:r>
    </w:p>
    <w:p w:rsidR="00B03A63" w:rsidRDefault="00A4183F">
      <w:pPr>
        <w:spacing w:after="0" w:line="240" w:lineRule="auto"/>
        <w:ind w:firstLine="709"/>
        <w:jc w:val="both"/>
        <w:rPr>
          <w:rFonts w:ascii="Times New Roman" w:eastAsia="BatangChe" w:hAnsi="Times New Roman"/>
          <w:sz w:val="20"/>
          <w:szCs w:val="20"/>
          <w:lang w:val="uz-Cyrl-UZ"/>
        </w:rPr>
      </w:pPr>
      <w:r>
        <w:rPr>
          <w:rFonts w:ascii="Times New Roman" w:hAnsi="Times New Roman"/>
          <w:sz w:val="20"/>
          <w:szCs w:val="20"/>
          <w:lang w:val="en-US"/>
        </w:rPr>
        <w:t>So, the ex</w:t>
      </w:r>
      <w:r>
        <w:rPr>
          <w:rFonts w:ascii="Times New Roman" w:hAnsi="Times New Roman"/>
          <w:sz w:val="20"/>
          <w:szCs w:val="20"/>
          <w:lang w:val="en-US"/>
        </w:rPr>
        <w:t>periment showed that the effectiveness of pedagogical processes organized in higher educational institutions in preparing students in the direction of "Vocational Education", as well as by young specialists in college, is unsatisfactory.</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Graduates in the d</w:t>
      </w:r>
      <w:r>
        <w:rPr>
          <w:rFonts w:ascii="Times New Roman" w:hAnsi="Times New Roman"/>
          <w:sz w:val="20"/>
          <w:szCs w:val="20"/>
          <w:lang w:val="en-US"/>
        </w:rPr>
        <w:t>irection of "Vocational Education" do not sufficiently form pedagogical skills in organizing and managing pedagogical processes; theoretical knowledge in the field of ensuring the effectiveness of pedagogical processes is insufficient. Many of them express</w:t>
      </w:r>
      <w:r>
        <w:rPr>
          <w:rFonts w:ascii="Times New Roman" w:hAnsi="Times New Roman"/>
          <w:sz w:val="20"/>
          <w:szCs w:val="20"/>
          <w:lang w:val="en-US"/>
        </w:rPr>
        <w:t xml:space="preserve"> dissatisfaction with their preparation for teaching. The analysis of the results of the experiment was one of the factors that led to the conclusion that it would be expedient to create a pro-pedagogical course “Pedagogical Competence of a Vocational Educ</w:t>
      </w:r>
      <w:r>
        <w:rPr>
          <w:rFonts w:ascii="Times New Roman" w:hAnsi="Times New Roman"/>
          <w:sz w:val="20"/>
          <w:szCs w:val="20"/>
          <w:lang w:val="en-US"/>
        </w:rPr>
        <w:t>ation Teacher” (PEP), the main goal of which is to improve the training of students in the “Vocational Education” direction to work in college. The theoretical substantiation and experimental assessment of the readiness of future college teachers, after st</w:t>
      </w:r>
      <w:r>
        <w:rPr>
          <w:rFonts w:ascii="Times New Roman" w:hAnsi="Times New Roman"/>
          <w:sz w:val="20"/>
          <w:szCs w:val="20"/>
          <w:lang w:val="en-US"/>
        </w:rPr>
        <w:t>udying the propaedeutic course, is significant and important.</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After analyzing the state of pedagogical literature, we came to the conclusion that in educational institutions methodological support in the field of organization and management of pedagogical </w:t>
      </w:r>
      <w:r>
        <w:rPr>
          <w:rFonts w:ascii="Times New Roman" w:hAnsi="Times New Roman"/>
          <w:sz w:val="20"/>
          <w:szCs w:val="20"/>
          <w:lang w:val="en-US"/>
        </w:rPr>
        <w:t>processes is insufficient. Therefore, to solve the above problems, there is a need to develop appropriate methodological support. Methodological support as one of the conditions for the effectiveness of pedagogical processes is one of the determining facto</w:t>
      </w:r>
      <w:r>
        <w:rPr>
          <w:rFonts w:ascii="Times New Roman" w:hAnsi="Times New Roman"/>
          <w:sz w:val="20"/>
          <w:szCs w:val="20"/>
          <w:lang w:val="en-US"/>
        </w:rPr>
        <w:t>rs for the high quality of education.</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Therefore, it is necessary to develop the following types of methodological support and equip them with graduates of higher educational institutions and young teachers: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 A fund of technologies for the implementation of</w:t>
      </w:r>
      <w:r>
        <w:rPr>
          <w:rFonts w:ascii="Times New Roman" w:hAnsi="Times New Roman"/>
          <w:sz w:val="20"/>
          <w:szCs w:val="20"/>
          <w:lang w:val="en-US"/>
        </w:rPr>
        <w:t xml:space="preserve"> educational work, expressed in various approaches for the organization and management of pedagogical processes;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lastRenderedPageBreak/>
        <w:t>Methodological development, manuals, recommendations on the organization and management of pedagogical processes in the conditions of specializ</w:t>
      </w:r>
      <w:r>
        <w:rPr>
          <w:rFonts w:ascii="Times New Roman" w:hAnsi="Times New Roman"/>
          <w:sz w:val="20"/>
          <w:szCs w:val="20"/>
          <w:lang w:val="en-US"/>
        </w:rPr>
        <w:t>ed secondary educational institutions.</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They will help ensure that the graduate can consciously and conscientiously, competently begin and successfully perform their teaching activities.</w:t>
      </w:r>
    </w:p>
    <w:p w:rsidR="00B03A63" w:rsidRDefault="00A4183F">
      <w:pPr>
        <w:suppressAutoHyphens/>
        <w:spacing w:after="0" w:line="240" w:lineRule="auto"/>
        <w:ind w:firstLine="709"/>
        <w:jc w:val="both"/>
        <w:rPr>
          <w:rFonts w:ascii="Times New Roman" w:eastAsia="宋体" w:hAnsi="Times New Roman"/>
          <w:b/>
          <w:sz w:val="20"/>
          <w:szCs w:val="20"/>
          <w:lang w:val="en-US" w:eastAsia="ar-SA"/>
        </w:rPr>
      </w:pPr>
      <w:r>
        <w:rPr>
          <w:rFonts w:ascii="Times New Roman" w:eastAsia="宋体" w:hAnsi="Times New Roman"/>
          <w:b/>
          <w:sz w:val="20"/>
          <w:szCs w:val="20"/>
          <w:lang w:val="en-US" w:eastAsia="ar-SA"/>
        </w:rPr>
        <w:t xml:space="preserve">Acknowledgements: </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Thus, students of higher educational institutions </w:t>
      </w:r>
      <w:r>
        <w:rPr>
          <w:rFonts w:ascii="Times New Roman" w:hAnsi="Times New Roman"/>
          <w:sz w:val="20"/>
          <w:szCs w:val="20"/>
          <w:lang w:val="en-US"/>
        </w:rPr>
        <w:t xml:space="preserve">in the direction of "Vocational Education" should be given special attention, since they are the ones who in the future carry out their work in colleges and lyceums and are responsible for the quality of education of junior specialists. The importance and </w:t>
      </w:r>
      <w:r>
        <w:rPr>
          <w:rFonts w:ascii="Times New Roman" w:hAnsi="Times New Roman"/>
          <w:sz w:val="20"/>
          <w:szCs w:val="20"/>
          <w:lang w:val="en-US"/>
        </w:rPr>
        <w:t>necessity of increasing the efficiency of the preparation process for the educational activities of graduates of higher educational institutions in the direction of "Professional Education" appears.</w:t>
      </w:r>
    </w:p>
    <w:p w:rsidR="00B03A63" w:rsidRDefault="00B03A63">
      <w:pPr>
        <w:spacing w:after="0" w:line="240" w:lineRule="auto"/>
        <w:ind w:firstLine="709"/>
        <w:jc w:val="both"/>
        <w:rPr>
          <w:rFonts w:ascii="Times New Roman" w:hAnsi="Times New Roman"/>
          <w:sz w:val="20"/>
          <w:szCs w:val="20"/>
          <w:lang w:val="en-US"/>
        </w:rPr>
      </w:pPr>
    </w:p>
    <w:p w:rsidR="00B03A63" w:rsidRDefault="00A4183F">
      <w:pPr>
        <w:spacing w:after="0" w:line="240" w:lineRule="auto"/>
        <w:ind w:firstLine="709"/>
        <w:jc w:val="center"/>
        <w:rPr>
          <w:rFonts w:ascii="Times New Roman" w:hAnsi="Times New Roman"/>
          <w:sz w:val="20"/>
          <w:szCs w:val="20"/>
          <w:lang w:val="en-US"/>
        </w:rPr>
      </w:pPr>
      <w:r>
        <w:rPr>
          <w:rFonts w:ascii="Times New Roman" w:hAnsi="Times New Roman"/>
          <w:sz w:val="20"/>
          <w:szCs w:val="20"/>
          <w:lang w:val="en-US"/>
        </w:rPr>
        <w:t>Literature:</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1. Abdullaeva O.S. Pedagogical competence of</w:t>
      </w:r>
      <w:r>
        <w:rPr>
          <w:rFonts w:ascii="Times New Roman" w:hAnsi="Times New Roman"/>
          <w:sz w:val="20"/>
          <w:szCs w:val="20"/>
          <w:lang w:val="en-US"/>
        </w:rPr>
        <w:t xml:space="preserve"> the teacher of vocational education (for example, 5330200 - Computer Science and Information Technology). Study Guide // Publisher: LAP LAMBERT Academic publishing &amp; Co.KG, Saarbrucken, Germany, 2018, p. 105.</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2. Abdullaeva O.S. The course of study “Pedago</w:t>
      </w:r>
      <w:r>
        <w:rPr>
          <w:rFonts w:ascii="Times New Roman" w:hAnsi="Times New Roman"/>
          <w:sz w:val="20"/>
          <w:szCs w:val="20"/>
          <w:lang w:val="en-US"/>
        </w:rPr>
        <w:t xml:space="preserve">gical Competence of the Engineer-Teacher”. Monograph // Publisher: LAP LAMBERT Akademik publishing &amp; Co.KG, Saarbrucken, Germany, 2018, </w:t>
      </w:r>
      <w:r>
        <w:rPr>
          <w:rFonts w:ascii="Times New Roman" w:hAnsi="Times New Roman"/>
          <w:sz w:val="20"/>
          <w:szCs w:val="20"/>
        </w:rPr>
        <w:t>С</w:t>
      </w:r>
      <w:r>
        <w:rPr>
          <w:rFonts w:ascii="Times New Roman" w:hAnsi="Times New Roman"/>
          <w:sz w:val="20"/>
          <w:szCs w:val="20"/>
          <w:lang w:val="en-US"/>
        </w:rPr>
        <w:t>.189.</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3. Baidenko VI, J. Van Zanworth. New methods and approaches to the organization of the educational process (a goa</w:t>
      </w:r>
      <w:r>
        <w:rPr>
          <w:rFonts w:ascii="Times New Roman" w:hAnsi="Times New Roman"/>
          <w:sz w:val="20"/>
          <w:szCs w:val="20"/>
          <w:lang w:val="en-US"/>
        </w:rPr>
        <w:t xml:space="preserve">l-oriented approach). </w:t>
      </w:r>
      <w:r>
        <w:rPr>
          <w:rFonts w:ascii="Times New Roman" w:hAnsi="Times New Roman"/>
          <w:sz w:val="20"/>
          <w:szCs w:val="20"/>
          <w:lang w:val="en-US"/>
        </w:rPr>
        <w:lastRenderedPageBreak/>
        <w:t>Report 2 / Ed. 2nd. - M., Research Center for Problems of the Quality of Specialist Training, 2001. - 79 p.</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4. Varnavsky S.M. Education of creative activity of students in a developing educational environment // Science of the 21st ce</w:t>
      </w:r>
      <w:r>
        <w:rPr>
          <w:rFonts w:ascii="Times New Roman" w:hAnsi="Times New Roman"/>
          <w:sz w:val="20"/>
          <w:szCs w:val="20"/>
          <w:lang w:val="en-US"/>
        </w:rPr>
        <w:t>ntury: questions, hypotheses, answers. - 2013. - № 3. – 40 p.</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5. Laptev V.V., Noskova T.N., Flegontov A.V., Gavronskaya Y.Y., Piotrovskaya K.R. “High-tech information educational environment” is a synthesis of high educational technologies and hi-tech tech</w:t>
      </w:r>
      <w:r>
        <w:rPr>
          <w:rFonts w:ascii="Times New Roman" w:hAnsi="Times New Roman"/>
          <w:sz w:val="20"/>
          <w:szCs w:val="20"/>
          <w:lang w:val="en-US"/>
        </w:rPr>
        <w:t>nologies. In the collection: Regional informatics "RI-2014". Proceedings of the XIV St. Petersburg International Conference. 2014. 347 p.</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6. Shodmonova S. Formation and development of independence thinking in students of higher educational institutions of </w:t>
      </w:r>
      <w:r>
        <w:rPr>
          <w:rFonts w:ascii="Times New Roman" w:hAnsi="Times New Roman"/>
          <w:sz w:val="20"/>
          <w:szCs w:val="20"/>
          <w:lang w:val="en-US"/>
        </w:rPr>
        <w:t>professional direction. Dis. .... doctors of pedagogical sciences. - Tashkent, 2010.</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7. Mirziyoev Sh.M. Together we will build a free, democratic and prosperous state of Uzbekistan. - Tashkent: “Uzbekistan”, 2018. - 54 p.</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8. Mirziyoev Sh.M. The Constitutio</w:t>
      </w:r>
      <w:r>
        <w:rPr>
          <w:rFonts w:ascii="Times New Roman" w:hAnsi="Times New Roman"/>
          <w:sz w:val="20"/>
          <w:szCs w:val="20"/>
          <w:lang w:val="en-US"/>
        </w:rPr>
        <w:t>n is the basis of our free and prosperous life, further development and prosperity of the country. - Tashkent: “Uzbekistan”, 2018. - 64 p.</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9. Zagvyazinsky V.I. Learning Theory: Modern Interpretation. - M .: Academy, 2013. – 192 p.</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10. Magzumov PT, Baubekov</w:t>
      </w:r>
      <w:r>
        <w:rPr>
          <w:rFonts w:ascii="Times New Roman" w:hAnsi="Times New Roman"/>
          <w:sz w:val="20"/>
          <w:szCs w:val="20"/>
          <w:lang w:val="en-US"/>
        </w:rPr>
        <w:t>a Z.ZH. Pedagogical skill. Tutorial. - T .: 2015 – 63 p.</w:t>
      </w:r>
    </w:p>
    <w:p w:rsidR="00B03A63" w:rsidRDefault="00A4183F">
      <w:pPr>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11. Matrosov V.L., Troinev V.A. Troinev I.V. Intensive pedagogical and information technologies. Organization of management training, v.1.- M</w:t>
      </w:r>
      <w:r>
        <w:rPr>
          <w:rFonts w:ascii="Times New Roman" w:hAnsi="Times New Roman"/>
          <w:sz w:val="20"/>
          <w:szCs w:val="20"/>
          <w:lang w:val="en-US"/>
        </w:rPr>
        <w:t>.: Prometheus, 20</w:t>
      </w:r>
      <w:r>
        <w:rPr>
          <w:rFonts w:ascii="Times New Roman" w:hAnsi="Times New Roman"/>
          <w:sz w:val="20"/>
          <w:szCs w:val="20"/>
        </w:rPr>
        <w:t>10</w:t>
      </w:r>
      <w:r>
        <w:rPr>
          <w:rFonts w:ascii="Times New Roman" w:hAnsi="Times New Roman"/>
          <w:sz w:val="20"/>
          <w:szCs w:val="20"/>
          <w:lang w:val="en-US"/>
        </w:rPr>
        <w:t>. 354</w:t>
      </w:r>
      <w:r>
        <w:rPr>
          <w:rFonts w:ascii="Times New Roman" w:hAnsi="Times New Roman"/>
          <w:sz w:val="20"/>
          <w:szCs w:val="20"/>
        </w:rPr>
        <w:t xml:space="preserve"> </w:t>
      </w:r>
      <w:r>
        <w:rPr>
          <w:rFonts w:ascii="Times New Roman" w:hAnsi="Times New Roman"/>
          <w:sz w:val="20"/>
          <w:szCs w:val="20"/>
          <w:lang w:val="en-US"/>
        </w:rPr>
        <w:t>p.</w:t>
      </w:r>
    </w:p>
    <w:p w:rsidR="002F3CC1" w:rsidRDefault="002F3CC1" w:rsidP="002F3CC1">
      <w:pPr>
        <w:spacing w:after="0" w:line="240" w:lineRule="auto"/>
        <w:jc w:val="both"/>
        <w:rPr>
          <w:rFonts w:ascii="Times New Roman" w:hAnsi="Times New Roman"/>
          <w:sz w:val="20"/>
          <w:szCs w:val="20"/>
          <w:lang w:val="en-US" w:eastAsia="zh-CN"/>
        </w:rPr>
        <w:sectPr w:rsidR="002F3CC1" w:rsidSect="00B03A63">
          <w:type w:val="continuous"/>
          <w:pgSz w:w="12191" w:h="15819"/>
          <w:pgMar w:top="1440" w:right="1440" w:bottom="1440" w:left="1440" w:header="720" w:footer="720" w:gutter="0"/>
          <w:cols w:num="2" w:space="708"/>
          <w:docGrid w:linePitch="360"/>
        </w:sectPr>
      </w:pPr>
    </w:p>
    <w:p w:rsidR="00B03A63" w:rsidRDefault="00B03A63" w:rsidP="002F3CC1">
      <w:pPr>
        <w:spacing w:after="0" w:line="240" w:lineRule="auto"/>
        <w:jc w:val="both"/>
        <w:rPr>
          <w:rFonts w:ascii="Times New Roman" w:hAnsi="Times New Roman" w:hint="eastAsia"/>
          <w:sz w:val="20"/>
          <w:szCs w:val="20"/>
          <w:lang w:val="en-US" w:eastAsia="zh-CN"/>
        </w:rPr>
      </w:pPr>
    </w:p>
    <w:p w:rsidR="002F3CC1" w:rsidRDefault="002F3CC1" w:rsidP="002F3CC1">
      <w:pPr>
        <w:spacing w:after="0" w:line="240" w:lineRule="auto"/>
        <w:jc w:val="both"/>
        <w:rPr>
          <w:rFonts w:ascii="Times New Roman" w:hAnsi="Times New Roman" w:hint="eastAsia"/>
          <w:sz w:val="20"/>
          <w:szCs w:val="20"/>
          <w:lang w:val="en-US" w:eastAsia="zh-CN"/>
        </w:rPr>
      </w:pPr>
    </w:p>
    <w:p w:rsidR="002F3CC1" w:rsidRDefault="002F3CC1" w:rsidP="002F3CC1">
      <w:pPr>
        <w:spacing w:after="0" w:line="240" w:lineRule="auto"/>
        <w:jc w:val="both"/>
        <w:rPr>
          <w:rFonts w:ascii="Times New Roman" w:hAnsi="Times New Roman" w:hint="eastAsia"/>
          <w:sz w:val="20"/>
          <w:szCs w:val="20"/>
          <w:lang w:val="en-US" w:eastAsia="zh-CN"/>
        </w:rPr>
      </w:pPr>
      <w:r>
        <w:rPr>
          <w:rFonts w:ascii="Times New Roman" w:hAnsi="Times New Roman" w:hint="eastAsia"/>
          <w:sz w:val="20"/>
          <w:szCs w:val="20"/>
          <w:lang w:val="en-US" w:eastAsia="zh-CN"/>
        </w:rPr>
        <w:t>5/22/2021</w:t>
      </w:r>
    </w:p>
    <w:sectPr w:rsidR="002F3CC1" w:rsidSect="002F3CC1">
      <w:type w:val="continuous"/>
      <w:pgSz w:w="12191" w:h="1581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83F" w:rsidRDefault="00A4183F" w:rsidP="00B03A63">
      <w:pPr>
        <w:spacing w:after="0" w:line="240" w:lineRule="auto"/>
      </w:pPr>
      <w:r>
        <w:separator/>
      </w:r>
    </w:p>
  </w:endnote>
  <w:endnote w:type="continuationSeparator" w:id="0">
    <w:p w:rsidR="00A4183F" w:rsidRDefault="00A4183F" w:rsidP="00B03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altName w:val="Malgun Gothic"/>
    <w:panose1 w:val="02030609000101010101"/>
    <w:charset w:val="81"/>
    <w:family w:val="modern"/>
    <w:pitch w:val="default"/>
    <w:sig w:usb0="00000000" w:usb1="00000000"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63" w:rsidRDefault="00B03A63">
    <w:pPr>
      <w:pStyle w:val="Footer"/>
    </w:pPr>
    <w:r w:rsidRPr="00B03A63">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B03A63" w:rsidRDefault="00B03A63">
                <w:pPr>
                  <w:pStyle w:val="Footer"/>
                  <w:rPr>
                    <w:lang w:eastAsia="zh-CN"/>
                  </w:rPr>
                </w:pPr>
                <w:r>
                  <w:rPr>
                    <w:rFonts w:ascii="Times New Roman" w:hAnsi="Times New Roman"/>
                    <w:sz w:val="20"/>
                    <w:szCs w:val="20"/>
                    <w:lang w:eastAsia="zh-CN"/>
                  </w:rPr>
                  <w:fldChar w:fldCharType="begin"/>
                </w:r>
                <w:r w:rsidR="00A4183F">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2F3CC1">
                  <w:rPr>
                    <w:rFonts w:ascii="Times New Roman" w:hAnsi="Times New Roman"/>
                    <w:noProof/>
                    <w:sz w:val="20"/>
                    <w:szCs w:val="20"/>
                    <w:lang w:eastAsia="zh-CN"/>
                  </w:rPr>
                  <w:t>14</w:t>
                </w:r>
                <w:r>
                  <w:rPr>
                    <w:rFonts w:ascii="Times New Roman" w:hAnsi="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63" w:rsidRDefault="00B03A63">
    <w:pPr>
      <w:pStyle w:val="Footer"/>
    </w:pPr>
    <w:r w:rsidRPr="00B03A63">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B03A63" w:rsidRDefault="00B03A63">
                <w:pPr>
                  <w:pStyle w:val="Footer"/>
                  <w:rPr>
                    <w:lang w:eastAsia="zh-CN"/>
                  </w:rPr>
                </w:pPr>
                <w:r>
                  <w:rPr>
                    <w:rFonts w:ascii="Times New Roman" w:hAnsi="Times New Roman"/>
                    <w:sz w:val="20"/>
                    <w:szCs w:val="20"/>
                    <w:lang w:eastAsia="zh-CN"/>
                  </w:rPr>
                  <w:fldChar w:fldCharType="begin"/>
                </w:r>
                <w:r w:rsidR="00A4183F">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2F3CC1">
                  <w:rPr>
                    <w:rFonts w:ascii="Times New Roman" w:hAnsi="Times New Roman"/>
                    <w:noProof/>
                    <w:sz w:val="20"/>
                    <w:szCs w:val="20"/>
                    <w:lang w:eastAsia="zh-CN"/>
                  </w:rPr>
                  <w:t>13</w:t>
                </w:r>
                <w:r>
                  <w:rPr>
                    <w:rFonts w:ascii="Times New Roman" w:hAnsi="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83F" w:rsidRDefault="00A4183F" w:rsidP="00B03A63">
      <w:pPr>
        <w:spacing w:after="0" w:line="240" w:lineRule="auto"/>
      </w:pPr>
      <w:r>
        <w:separator/>
      </w:r>
    </w:p>
  </w:footnote>
  <w:footnote w:type="continuationSeparator" w:id="0">
    <w:p w:rsidR="00A4183F" w:rsidRDefault="00A4183F" w:rsidP="00B03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63" w:rsidRDefault="00A4183F">
    <w:pPr>
      <w:pBdr>
        <w:bottom w:val="single" w:sz="4" w:space="1" w:color="auto"/>
      </w:pBdr>
      <w:spacing w:after="0" w:line="240" w:lineRule="auto"/>
      <w:jc w:val="center"/>
      <w:rPr>
        <w:b/>
        <w:i/>
        <w:color w:val="FF0000"/>
        <w:sz w:val="20"/>
        <w:szCs w:val="20"/>
        <w:bdr w:val="single" w:sz="4" w:space="0" w:color="FF0000"/>
      </w:rPr>
    </w:pPr>
    <w:r>
      <w:rPr>
        <w:rFonts w:ascii="Times New Roman" w:hAnsi="Times New Roman" w:hint="eastAsia"/>
        <w:sz w:val="20"/>
        <w:szCs w:val="20"/>
        <w:lang w:val="en-US" w:eastAsia="zh-CN"/>
      </w:rPr>
      <w:t xml:space="preserve"> </w:t>
    </w:r>
    <w:r>
      <w:rPr>
        <w:rFonts w:ascii="Times New Roman" w:hAnsi="Times New Roman"/>
        <w:sz w:val="20"/>
        <w:szCs w:val="20"/>
      </w:rPr>
      <w:t>New York Science Journal 2021;14(</w:t>
    </w:r>
    <w:r>
      <w:rPr>
        <w:rFonts w:ascii="Times New Roman" w:eastAsia="宋体" w:hAnsi="Times New Roman" w:hint="eastAsia"/>
        <w:sz w:val="20"/>
        <w:szCs w:val="20"/>
        <w:lang w:val="en-US" w:eastAsia="zh-CN"/>
      </w:rPr>
      <w:t>5</w:t>
    </w:r>
    <w:r>
      <w:rPr>
        <w:rFonts w:ascii="Times New Roman" w:hAnsi="Times New Roman"/>
        <w:sz w:val="20"/>
        <w:szCs w:val="20"/>
      </w:rPr>
      <w:t>)</w:t>
    </w:r>
    <w:r>
      <w:rPr>
        <w:rFonts w:ascii="Times New Roman" w:hAnsi="Times New Roman"/>
        <w:iCs/>
        <w:sz w:val="20"/>
        <w:szCs w:val="20"/>
      </w:rPr>
      <w:t xml:space="preserve">                                               </w:t>
    </w:r>
    <w:hyperlink r:id="rId1" w:history="1">
      <w:r>
        <w:rPr>
          <w:rFonts w:ascii="Times New Roman" w:hAnsi="Times New Roman"/>
          <w:color w:val="0000FF"/>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63" w:rsidRDefault="00A4183F">
    <w:pPr>
      <w:pStyle w:val="Header"/>
    </w:pPr>
    <w:r>
      <w:rPr>
        <w:noProof/>
        <w:szCs w:val="20"/>
        <w:lang w:val="en-US" w:eastAsia="zh-CN"/>
      </w:rPr>
      <w:drawing>
        <wp:inline distT="0" distB="0" distL="114300" distR="114300">
          <wp:extent cx="5943600" cy="786765"/>
          <wp:effectExtent l="0" t="0" r="0" b="13335"/>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1"/>
                  <a:stretch>
                    <a:fillRect/>
                  </a:stretch>
                </pic:blipFill>
                <pic:spPr>
                  <a:xfrm>
                    <a:off x="0" y="0"/>
                    <a:ext cx="5943600" cy="78676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F03B9C"/>
    <w:rsid w:val="00033849"/>
    <w:rsid w:val="000776BC"/>
    <w:rsid w:val="00095BFC"/>
    <w:rsid w:val="000D4EC8"/>
    <w:rsid w:val="000E2D63"/>
    <w:rsid w:val="000E34AB"/>
    <w:rsid w:val="000E4CD5"/>
    <w:rsid w:val="000F7EAA"/>
    <w:rsid w:val="0010149C"/>
    <w:rsid w:val="001404E7"/>
    <w:rsid w:val="001624CB"/>
    <w:rsid w:val="00187719"/>
    <w:rsid w:val="00196E8E"/>
    <w:rsid w:val="001B1D15"/>
    <w:rsid w:val="001B379F"/>
    <w:rsid w:val="001D6064"/>
    <w:rsid w:val="001E16B1"/>
    <w:rsid w:val="001E6497"/>
    <w:rsid w:val="001E6E0B"/>
    <w:rsid w:val="001F368A"/>
    <w:rsid w:val="001F7669"/>
    <w:rsid w:val="00216CB2"/>
    <w:rsid w:val="00220EE8"/>
    <w:rsid w:val="0023148D"/>
    <w:rsid w:val="0023454C"/>
    <w:rsid w:val="002607DB"/>
    <w:rsid w:val="00260E1F"/>
    <w:rsid w:val="00274168"/>
    <w:rsid w:val="002864D5"/>
    <w:rsid w:val="002967B7"/>
    <w:rsid w:val="002C4351"/>
    <w:rsid w:val="002C4ECC"/>
    <w:rsid w:val="002D0E72"/>
    <w:rsid w:val="002D58DF"/>
    <w:rsid w:val="002F3CC1"/>
    <w:rsid w:val="003100F2"/>
    <w:rsid w:val="00316B61"/>
    <w:rsid w:val="00327236"/>
    <w:rsid w:val="00331AB5"/>
    <w:rsid w:val="0035457A"/>
    <w:rsid w:val="003600AA"/>
    <w:rsid w:val="00367BE8"/>
    <w:rsid w:val="00385F87"/>
    <w:rsid w:val="003B4983"/>
    <w:rsid w:val="003B5259"/>
    <w:rsid w:val="003B7735"/>
    <w:rsid w:val="003C5A04"/>
    <w:rsid w:val="003D63E7"/>
    <w:rsid w:val="003E134F"/>
    <w:rsid w:val="003E24D0"/>
    <w:rsid w:val="003E35C7"/>
    <w:rsid w:val="003E7CBC"/>
    <w:rsid w:val="003F30F2"/>
    <w:rsid w:val="0040582E"/>
    <w:rsid w:val="00415DB9"/>
    <w:rsid w:val="00423800"/>
    <w:rsid w:val="00453D67"/>
    <w:rsid w:val="004618B1"/>
    <w:rsid w:val="00464014"/>
    <w:rsid w:val="004825D8"/>
    <w:rsid w:val="0049588D"/>
    <w:rsid w:val="004964EE"/>
    <w:rsid w:val="004C0843"/>
    <w:rsid w:val="004C1AAD"/>
    <w:rsid w:val="004D07C9"/>
    <w:rsid w:val="004E42A0"/>
    <w:rsid w:val="00506DF6"/>
    <w:rsid w:val="00521775"/>
    <w:rsid w:val="005325F7"/>
    <w:rsid w:val="0053311A"/>
    <w:rsid w:val="005477D0"/>
    <w:rsid w:val="00555B81"/>
    <w:rsid w:val="005804BE"/>
    <w:rsid w:val="005A2A4C"/>
    <w:rsid w:val="005A3EF3"/>
    <w:rsid w:val="005B6CC6"/>
    <w:rsid w:val="005C2BBB"/>
    <w:rsid w:val="005C370C"/>
    <w:rsid w:val="005C5717"/>
    <w:rsid w:val="005D5F9B"/>
    <w:rsid w:val="005D6448"/>
    <w:rsid w:val="005D66B6"/>
    <w:rsid w:val="00616276"/>
    <w:rsid w:val="00626DED"/>
    <w:rsid w:val="0065585E"/>
    <w:rsid w:val="00685D4F"/>
    <w:rsid w:val="006B0C52"/>
    <w:rsid w:val="006B3C74"/>
    <w:rsid w:val="006C2649"/>
    <w:rsid w:val="006C7C70"/>
    <w:rsid w:val="006E0553"/>
    <w:rsid w:val="006E5B86"/>
    <w:rsid w:val="00715E57"/>
    <w:rsid w:val="0072143C"/>
    <w:rsid w:val="0075361F"/>
    <w:rsid w:val="0076021E"/>
    <w:rsid w:val="00763A74"/>
    <w:rsid w:val="00763C73"/>
    <w:rsid w:val="00777FBB"/>
    <w:rsid w:val="00782224"/>
    <w:rsid w:val="00796174"/>
    <w:rsid w:val="007B6F8E"/>
    <w:rsid w:val="007C1292"/>
    <w:rsid w:val="007F18E8"/>
    <w:rsid w:val="007F5056"/>
    <w:rsid w:val="0080577C"/>
    <w:rsid w:val="008341B1"/>
    <w:rsid w:val="00845B54"/>
    <w:rsid w:val="008600FC"/>
    <w:rsid w:val="008923A8"/>
    <w:rsid w:val="008936F8"/>
    <w:rsid w:val="008939D4"/>
    <w:rsid w:val="008B26DE"/>
    <w:rsid w:val="008D7EA2"/>
    <w:rsid w:val="008F355D"/>
    <w:rsid w:val="00900E51"/>
    <w:rsid w:val="00901317"/>
    <w:rsid w:val="00903575"/>
    <w:rsid w:val="00914B7C"/>
    <w:rsid w:val="00934238"/>
    <w:rsid w:val="009456A4"/>
    <w:rsid w:val="0095032D"/>
    <w:rsid w:val="00950D21"/>
    <w:rsid w:val="00981E56"/>
    <w:rsid w:val="009919BF"/>
    <w:rsid w:val="009B291D"/>
    <w:rsid w:val="009B4D4B"/>
    <w:rsid w:val="00A04F19"/>
    <w:rsid w:val="00A103D9"/>
    <w:rsid w:val="00A4183F"/>
    <w:rsid w:val="00A44ADE"/>
    <w:rsid w:val="00A45352"/>
    <w:rsid w:val="00A62009"/>
    <w:rsid w:val="00A65AF5"/>
    <w:rsid w:val="00A75E6C"/>
    <w:rsid w:val="00A9766E"/>
    <w:rsid w:val="00AC168C"/>
    <w:rsid w:val="00AC4647"/>
    <w:rsid w:val="00AD32B4"/>
    <w:rsid w:val="00AD5A17"/>
    <w:rsid w:val="00AF0626"/>
    <w:rsid w:val="00AF79B8"/>
    <w:rsid w:val="00B03A63"/>
    <w:rsid w:val="00B070B8"/>
    <w:rsid w:val="00B24DEF"/>
    <w:rsid w:val="00B27F27"/>
    <w:rsid w:val="00B617C8"/>
    <w:rsid w:val="00B73A72"/>
    <w:rsid w:val="00B95D86"/>
    <w:rsid w:val="00BA71DC"/>
    <w:rsid w:val="00BC01AB"/>
    <w:rsid w:val="00BD68D0"/>
    <w:rsid w:val="00BF174A"/>
    <w:rsid w:val="00BF3A85"/>
    <w:rsid w:val="00C13AFF"/>
    <w:rsid w:val="00C20456"/>
    <w:rsid w:val="00C2451B"/>
    <w:rsid w:val="00C3452E"/>
    <w:rsid w:val="00C54F92"/>
    <w:rsid w:val="00C84BA6"/>
    <w:rsid w:val="00CA1F7F"/>
    <w:rsid w:val="00CB30D6"/>
    <w:rsid w:val="00CB3FC5"/>
    <w:rsid w:val="00CC6ECF"/>
    <w:rsid w:val="00CE46EA"/>
    <w:rsid w:val="00D0126E"/>
    <w:rsid w:val="00D07E61"/>
    <w:rsid w:val="00D138A5"/>
    <w:rsid w:val="00D26E29"/>
    <w:rsid w:val="00D33618"/>
    <w:rsid w:val="00D41833"/>
    <w:rsid w:val="00D42FAB"/>
    <w:rsid w:val="00D45210"/>
    <w:rsid w:val="00D65FF8"/>
    <w:rsid w:val="00DA1D56"/>
    <w:rsid w:val="00DC4B06"/>
    <w:rsid w:val="00DD6965"/>
    <w:rsid w:val="00DD78AC"/>
    <w:rsid w:val="00DF4AB0"/>
    <w:rsid w:val="00DF68DC"/>
    <w:rsid w:val="00E12C5C"/>
    <w:rsid w:val="00E15EF4"/>
    <w:rsid w:val="00E53775"/>
    <w:rsid w:val="00E83C88"/>
    <w:rsid w:val="00E840E6"/>
    <w:rsid w:val="00E8441E"/>
    <w:rsid w:val="00E96371"/>
    <w:rsid w:val="00E9734B"/>
    <w:rsid w:val="00EA7F06"/>
    <w:rsid w:val="00EC619B"/>
    <w:rsid w:val="00ED4DBA"/>
    <w:rsid w:val="00EE27A1"/>
    <w:rsid w:val="00F03B9C"/>
    <w:rsid w:val="00F153C9"/>
    <w:rsid w:val="00F22BFD"/>
    <w:rsid w:val="00F67F01"/>
    <w:rsid w:val="00F70BB3"/>
    <w:rsid w:val="00F70E91"/>
    <w:rsid w:val="00F72B85"/>
    <w:rsid w:val="00F847A4"/>
    <w:rsid w:val="00F84EEC"/>
    <w:rsid w:val="00F9238C"/>
    <w:rsid w:val="00FB31CF"/>
    <w:rsid w:val="00FC3392"/>
    <w:rsid w:val="00FC471C"/>
    <w:rsid w:val="00FD0273"/>
    <w:rsid w:val="00FF0F2A"/>
    <w:rsid w:val="17750393"/>
    <w:rsid w:val="4D0B6D28"/>
    <w:rsid w:val="76B93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63"/>
    <w:rPr>
      <w:rFonts w:ascii="Calibri" w:eastAsiaTheme="minorEastAsia" w:hAnsi="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A63"/>
    <w:pPr>
      <w:spacing w:after="0" w:line="240" w:lineRule="auto"/>
    </w:pPr>
    <w:rPr>
      <w:rFonts w:ascii="Tahoma" w:hAnsi="Tahoma"/>
      <w:sz w:val="16"/>
      <w:szCs w:val="16"/>
    </w:rPr>
  </w:style>
  <w:style w:type="paragraph" w:styleId="Footer">
    <w:name w:val="footer"/>
    <w:basedOn w:val="Normal"/>
    <w:link w:val="FooterChar"/>
    <w:uiPriority w:val="99"/>
    <w:semiHidden/>
    <w:unhideWhenUsed/>
    <w:rsid w:val="00B03A63"/>
    <w:pPr>
      <w:tabs>
        <w:tab w:val="center" w:pos="4677"/>
        <w:tab w:val="right" w:pos="9355"/>
      </w:tabs>
    </w:pPr>
  </w:style>
  <w:style w:type="paragraph" w:styleId="Header">
    <w:name w:val="header"/>
    <w:basedOn w:val="Normal"/>
    <w:link w:val="HeaderChar"/>
    <w:uiPriority w:val="99"/>
    <w:semiHidden/>
    <w:unhideWhenUsed/>
    <w:rsid w:val="00B03A63"/>
    <w:pPr>
      <w:tabs>
        <w:tab w:val="center" w:pos="4677"/>
        <w:tab w:val="right" w:pos="9355"/>
      </w:tabs>
    </w:pPr>
  </w:style>
  <w:style w:type="paragraph" w:styleId="FootnoteText">
    <w:name w:val="footnote text"/>
    <w:basedOn w:val="Normal"/>
    <w:link w:val="FootnoteTextChar"/>
    <w:uiPriority w:val="99"/>
    <w:semiHidden/>
    <w:unhideWhenUsed/>
    <w:rsid w:val="00B03A63"/>
    <w:rPr>
      <w:sz w:val="20"/>
      <w:szCs w:val="20"/>
    </w:rPr>
  </w:style>
  <w:style w:type="paragraph" w:styleId="NormalWeb">
    <w:name w:val="Normal (Web)"/>
    <w:basedOn w:val="Normal"/>
    <w:uiPriority w:val="99"/>
    <w:unhideWhenUsed/>
    <w:rsid w:val="00B03A63"/>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B03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3A63"/>
    <w:rPr>
      <w:color w:val="0000FF"/>
      <w:u w:val="single"/>
    </w:rPr>
  </w:style>
  <w:style w:type="character" w:styleId="FootnoteReference">
    <w:name w:val="footnote reference"/>
    <w:uiPriority w:val="99"/>
    <w:semiHidden/>
    <w:unhideWhenUsed/>
    <w:rsid w:val="00B03A63"/>
    <w:rPr>
      <w:vertAlign w:val="superscript"/>
    </w:rPr>
  </w:style>
  <w:style w:type="table" w:customStyle="1" w:styleId="1">
    <w:name w:val="Сетка таблицы1"/>
    <w:basedOn w:val="TableNormal"/>
    <w:uiPriority w:val="39"/>
    <w:rsid w:val="00B03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semiHidden/>
    <w:rsid w:val="00B03A63"/>
    <w:rPr>
      <w:rFonts w:ascii="Tahoma" w:hAnsi="Tahoma" w:cs="Tahoma"/>
      <w:sz w:val="16"/>
      <w:szCs w:val="16"/>
    </w:rPr>
  </w:style>
  <w:style w:type="paragraph" w:styleId="ListParagraph">
    <w:name w:val="List Paragraph"/>
    <w:basedOn w:val="Normal"/>
    <w:uiPriority w:val="34"/>
    <w:qFormat/>
    <w:rsid w:val="00B03A63"/>
    <w:pPr>
      <w:ind w:left="720"/>
      <w:contextualSpacing/>
    </w:pPr>
  </w:style>
  <w:style w:type="character" w:customStyle="1" w:styleId="HeaderChar">
    <w:name w:val="Header Char"/>
    <w:link w:val="Header"/>
    <w:uiPriority w:val="99"/>
    <w:semiHidden/>
    <w:rsid w:val="00B03A63"/>
    <w:rPr>
      <w:sz w:val="22"/>
      <w:szCs w:val="22"/>
      <w:lang w:eastAsia="en-US"/>
    </w:rPr>
  </w:style>
  <w:style w:type="character" w:customStyle="1" w:styleId="FooterChar">
    <w:name w:val="Footer Char"/>
    <w:link w:val="Footer"/>
    <w:uiPriority w:val="99"/>
    <w:semiHidden/>
    <w:rsid w:val="00B03A63"/>
    <w:rPr>
      <w:sz w:val="22"/>
      <w:szCs w:val="22"/>
      <w:lang w:eastAsia="en-US"/>
    </w:rPr>
  </w:style>
  <w:style w:type="character" w:customStyle="1" w:styleId="FootnoteTextChar">
    <w:name w:val="Footnote Text Char"/>
    <w:link w:val="FootnoteText"/>
    <w:uiPriority w:val="99"/>
    <w:semiHidden/>
    <w:rsid w:val="00B03A63"/>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40521.03"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3CA38-6675-4F67-B680-065F5942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3157</Words>
  <Characters>17997</Characters>
  <Application>Microsoft Office Word</Application>
  <DocSecurity>0</DocSecurity>
  <Lines>149</Lines>
  <Paragraphs>42</Paragraphs>
  <ScaleCrop>false</ScaleCrop>
  <Company>Reanimator Extreme Edition</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030da</dc:creator>
  <cp:lastModifiedBy>Administrator</cp:lastModifiedBy>
  <cp:revision>4</cp:revision>
  <dcterms:created xsi:type="dcterms:W3CDTF">2021-04-30T00:50:00Z</dcterms:created>
  <dcterms:modified xsi:type="dcterms:W3CDTF">2021-06-03T22:38:00Z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