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71A7A" w14:textId="77777777" w:rsidR="00F46D18" w:rsidRDefault="0066369F" w:rsidP="00D23630">
      <w:pPr>
        <w:adjustRightInd w:val="0"/>
        <w:snapToGrid w:val="0"/>
        <w:spacing w:after="0" w:line="240" w:lineRule="auto"/>
        <w:jc w:val="center"/>
        <w:rPr>
          <w:sz w:val="20"/>
          <w:szCs w:val="20"/>
          <w:lang w:eastAsia="zh-CN"/>
        </w:rPr>
      </w:pPr>
      <w:bookmarkStart w:id="0" w:name="_GoBack"/>
      <w:bookmarkEnd w:id="0"/>
      <w:r>
        <w:rPr>
          <w:b/>
          <w:sz w:val="20"/>
          <w:szCs w:val="20"/>
        </w:rPr>
        <w:t>Bluff Body Assisted Combustion with Internal Preheat of Fuel-Air Mixture</w:t>
      </w:r>
      <w:r>
        <w:rPr>
          <w:rFonts w:hint="eastAsia"/>
          <w:b/>
          <w:sz w:val="20"/>
          <w:szCs w:val="20"/>
        </w:rPr>
        <w:t xml:space="preserve"> </w:t>
      </w:r>
    </w:p>
    <w:p w14:paraId="38BF63D5" w14:textId="77777777" w:rsidR="00F46D18" w:rsidRDefault="00F46D18" w:rsidP="00D23630">
      <w:pPr>
        <w:adjustRightInd w:val="0"/>
        <w:snapToGrid w:val="0"/>
        <w:spacing w:after="0" w:line="240" w:lineRule="auto"/>
        <w:jc w:val="center"/>
        <w:rPr>
          <w:sz w:val="20"/>
          <w:szCs w:val="20"/>
          <w:lang w:eastAsia="zh-CN"/>
        </w:rPr>
      </w:pPr>
    </w:p>
    <w:p w14:paraId="2165ADFC" w14:textId="77777777" w:rsidR="00F46D18" w:rsidRDefault="0066369F" w:rsidP="00D23630">
      <w:pPr>
        <w:adjustRightInd w:val="0"/>
        <w:snapToGrid w:val="0"/>
        <w:spacing w:after="0" w:line="240" w:lineRule="auto"/>
        <w:jc w:val="center"/>
        <w:rPr>
          <w:sz w:val="20"/>
          <w:szCs w:val="20"/>
          <w:vertAlign w:val="superscript"/>
        </w:rPr>
      </w:pPr>
      <w:r>
        <w:rPr>
          <w:sz w:val="20"/>
          <w:szCs w:val="20"/>
        </w:rPr>
        <w:t xml:space="preserve">M. M. Abd Elhameed* </w:t>
      </w:r>
      <w:r>
        <w:rPr>
          <w:sz w:val="20"/>
          <w:szCs w:val="20"/>
          <w:vertAlign w:val="superscript"/>
        </w:rPr>
        <w:t>1</w:t>
      </w:r>
      <w:r>
        <w:rPr>
          <w:sz w:val="20"/>
          <w:szCs w:val="20"/>
        </w:rPr>
        <w:t xml:space="preserve">, A. M. Hamed </w:t>
      </w:r>
      <w:r>
        <w:rPr>
          <w:sz w:val="20"/>
          <w:szCs w:val="20"/>
          <w:vertAlign w:val="superscript"/>
        </w:rPr>
        <w:t>2</w:t>
      </w:r>
      <w:r>
        <w:rPr>
          <w:sz w:val="20"/>
          <w:szCs w:val="20"/>
        </w:rPr>
        <w:t xml:space="preserve">, A.E. Hussin </w:t>
      </w:r>
      <w:r>
        <w:rPr>
          <w:sz w:val="20"/>
          <w:szCs w:val="20"/>
          <w:vertAlign w:val="superscript"/>
        </w:rPr>
        <w:t>2</w:t>
      </w:r>
      <w:r>
        <w:rPr>
          <w:sz w:val="20"/>
          <w:szCs w:val="20"/>
        </w:rPr>
        <w:t xml:space="preserve">, W. Aboelsoud </w:t>
      </w:r>
      <w:r>
        <w:rPr>
          <w:sz w:val="20"/>
          <w:szCs w:val="20"/>
          <w:vertAlign w:val="superscript"/>
        </w:rPr>
        <w:t>2</w:t>
      </w:r>
      <w:r>
        <w:rPr>
          <w:sz w:val="20"/>
          <w:szCs w:val="20"/>
        </w:rPr>
        <w:t xml:space="preserve">, M. M. Kamal </w:t>
      </w:r>
      <w:r>
        <w:rPr>
          <w:sz w:val="20"/>
          <w:szCs w:val="20"/>
          <w:vertAlign w:val="superscript"/>
        </w:rPr>
        <w:t>2</w:t>
      </w:r>
    </w:p>
    <w:p w14:paraId="54D05A96" w14:textId="77777777" w:rsidR="00F46D18" w:rsidRDefault="00F46D18" w:rsidP="00D23630">
      <w:pPr>
        <w:adjustRightInd w:val="0"/>
        <w:snapToGrid w:val="0"/>
        <w:spacing w:after="0" w:line="240" w:lineRule="auto"/>
        <w:jc w:val="center"/>
        <w:rPr>
          <w:sz w:val="20"/>
          <w:szCs w:val="20"/>
        </w:rPr>
      </w:pPr>
    </w:p>
    <w:p w14:paraId="5830159E" w14:textId="77777777" w:rsidR="00F46D18" w:rsidRDefault="0066369F" w:rsidP="00D23630">
      <w:pPr>
        <w:adjustRightInd w:val="0"/>
        <w:snapToGrid w:val="0"/>
        <w:spacing w:after="0" w:line="240" w:lineRule="auto"/>
        <w:jc w:val="center"/>
        <w:rPr>
          <w:sz w:val="20"/>
          <w:szCs w:val="20"/>
        </w:rPr>
      </w:pPr>
      <w:r>
        <w:rPr>
          <w:sz w:val="20"/>
          <w:szCs w:val="20"/>
          <w:vertAlign w:val="superscript"/>
        </w:rPr>
        <w:t xml:space="preserve">1 </w:t>
      </w:r>
      <w:r>
        <w:rPr>
          <w:sz w:val="20"/>
          <w:szCs w:val="20"/>
        </w:rPr>
        <w:t>PhD Candidate, Mechanical Power Department, Faculty of Engineering, Ain Shams University, Cairo, Egypt</w:t>
      </w:r>
    </w:p>
    <w:p w14:paraId="47BA222B" w14:textId="77777777" w:rsidR="00F46D18" w:rsidRDefault="0066369F" w:rsidP="00D23630">
      <w:pPr>
        <w:adjustRightInd w:val="0"/>
        <w:snapToGrid w:val="0"/>
        <w:spacing w:after="0" w:line="240" w:lineRule="auto"/>
        <w:jc w:val="center"/>
        <w:rPr>
          <w:sz w:val="20"/>
          <w:szCs w:val="20"/>
        </w:rPr>
      </w:pPr>
      <w:r>
        <w:rPr>
          <w:sz w:val="20"/>
          <w:szCs w:val="20"/>
          <w:vertAlign w:val="superscript"/>
        </w:rPr>
        <w:t>2</w:t>
      </w:r>
      <w:r>
        <w:rPr>
          <w:sz w:val="20"/>
          <w:szCs w:val="20"/>
        </w:rPr>
        <w:t xml:space="preserve"> Mechanical Power Department, Faculty of Engineering, Ain Shams University, Cairo, Egypt</w:t>
      </w:r>
    </w:p>
    <w:p w14:paraId="4ABDA84F" w14:textId="3CB9F488" w:rsidR="00F46D18" w:rsidRDefault="0066369F" w:rsidP="00D23630">
      <w:pPr>
        <w:adjustRightInd w:val="0"/>
        <w:snapToGrid w:val="0"/>
        <w:spacing w:after="0" w:line="240" w:lineRule="auto"/>
        <w:jc w:val="center"/>
        <w:rPr>
          <w:sz w:val="20"/>
          <w:szCs w:val="20"/>
        </w:rPr>
      </w:pPr>
      <w:r>
        <w:rPr>
          <w:sz w:val="20"/>
          <w:szCs w:val="20"/>
        </w:rPr>
        <w:t xml:space="preserve">*Email: </w:t>
      </w:r>
      <w:hyperlink r:id="rId10" w:history="1">
        <w:r w:rsidR="00E130CC" w:rsidRPr="00EC2E67">
          <w:rPr>
            <w:rStyle w:val="Hyperlink"/>
            <w:sz w:val="20"/>
            <w:szCs w:val="20"/>
          </w:rPr>
          <w:t>mohamed.abdelwahaab@hotmail.com</w:t>
        </w:r>
      </w:hyperlink>
      <w:r>
        <w:rPr>
          <w:sz w:val="20"/>
          <w:szCs w:val="20"/>
        </w:rPr>
        <w:t xml:space="preserve"> </w:t>
      </w:r>
    </w:p>
    <w:p w14:paraId="68EEAC9F" w14:textId="77777777" w:rsidR="00F46D18" w:rsidRDefault="00F46D18" w:rsidP="00D23630">
      <w:pPr>
        <w:adjustRightInd w:val="0"/>
        <w:snapToGrid w:val="0"/>
        <w:spacing w:after="0" w:line="240" w:lineRule="auto"/>
        <w:jc w:val="both"/>
        <w:rPr>
          <w:sz w:val="20"/>
          <w:szCs w:val="20"/>
        </w:rPr>
      </w:pPr>
    </w:p>
    <w:p w14:paraId="27614C5F" w14:textId="07237433" w:rsidR="00F46D18" w:rsidRDefault="0066369F" w:rsidP="00D23630">
      <w:pPr>
        <w:adjustRightInd w:val="0"/>
        <w:snapToGrid w:val="0"/>
        <w:spacing w:after="0" w:line="240" w:lineRule="auto"/>
        <w:jc w:val="both"/>
        <w:rPr>
          <w:sz w:val="20"/>
          <w:szCs w:val="20"/>
        </w:rPr>
      </w:pPr>
      <w:r>
        <w:rPr>
          <w:b/>
          <w:sz w:val="20"/>
          <w:szCs w:val="20"/>
        </w:rPr>
        <w:t xml:space="preserve">Abstract: </w:t>
      </w:r>
      <w:r>
        <w:rPr>
          <w:sz w:val="20"/>
          <w:szCs w:val="20"/>
        </w:rPr>
        <w:t xml:space="preserve">A critical requirement for practical combustion systems is to sustain a stable flame over a wide range of operating conditions in terms of equivalence ratios and velocity of reactants. Historically, bluff bodies were considered prime candidates for flame anchoring that is attributed to the generated recirculation downstream the bluff body which acts as a continuous ignition source for the fresh reactants. In present work, a novel hollow bluff body design with a trapped recirculation zone is employed to allow for preheating the fuel-air mixture before entering the combustion chamber. Flammability limits of </w:t>
      </w:r>
      <w:r w:rsidR="004976EA">
        <w:rPr>
          <w:sz w:val="20"/>
          <w:szCs w:val="20"/>
        </w:rPr>
        <w:t>an</w:t>
      </w:r>
      <w:r>
        <w:rPr>
          <w:sz w:val="20"/>
          <w:szCs w:val="20"/>
        </w:rPr>
        <w:t xml:space="preserve"> LPG/air gaseous mixture were experimentally obtained considering the effects of a modified geometries as well as the variable length of the preheated fuel-air mixture path. These new geometries were found to be performing under very low lean limits and high operating velocities, an equivalence ratio of 0.46 that is corresponding to 119 m/s blowoff velocity was achieved when using a hollow bluff body with 0.5 blockage ratio, while the maximum operating temperature of 1608 K was obtained by similar geometry but with a blockage ratio of 0.25.</w:t>
      </w:r>
    </w:p>
    <w:p w14:paraId="5ABB8E9C" w14:textId="77777777" w:rsidR="00F46D18" w:rsidRDefault="0066369F" w:rsidP="00D23630">
      <w:pPr>
        <w:adjustRightInd w:val="0"/>
        <w:snapToGrid w:val="0"/>
        <w:spacing w:after="0" w:line="240" w:lineRule="auto"/>
        <w:jc w:val="both"/>
        <w:rPr>
          <w:sz w:val="20"/>
          <w:szCs w:val="20"/>
          <w:lang w:eastAsia="zh-CN"/>
        </w:rPr>
      </w:pPr>
      <w:r>
        <w:rPr>
          <w:sz w:val="20"/>
          <w:szCs w:val="20"/>
        </w:rPr>
        <w:t xml:space="preserve">[M. M. Abd Elhameed, A. M. Hamed, A.E. Hussin, W. Aboelsoud, M. M. Kamal </w:t>
      </w:r>
      <w:r>
        <w:rPr>
          <w:b/>
          <w:sz w:val="20"/>
          <w:szCs w:val="20"/>
        </w:rPr>
        <w:t>Bluff Body Assisted Combustion with Internal Preheat of Fuel-Air Mixture</w:t>
      </w:r>
      <w:r>
        <w:rPr>
          <w:rFonts w:eastAsia="Times New Roman"/>
          <w:bCs/>
          <w:i/>
          <w:sz w:val="20"/>
          <w:szCs w:val="20"/>
        </w:rPr>
        <w:t xml:space="preserve"> N Y Sci J</w:t>
      </w:r>
      <w:r w:rsidR="00E11778">
        <w:rPr>
          <w:rFonts w:eastAsiaTheme="minorEastAsia" w:hint="eastAsia"/>
          <w:bCs/>
          <w:i/>
          <w:sz w:val="20"/>
          <w:szCs w:val="20"/>
          <w:lang w:eastAsia="zh-CN"/>
        </w:rPr>
        <w:t xml:space="preserve"> </w:t>
      </w:r>
      <w:r>
        <w:rPr>
          <w:sz w:val="20"/>
          <w:szCs w:val="20"/>
        </w:rPr>
        <w:t>20</w:t>
      </w:r>
      <w:r>
        <w:rPr>
          <w:sz w:val="20"/>
          <w:szCs w:val="20"/>
          <w:lang w:eastAsia="zh-CN"/>
        </w:rPr>
        <w:t>21</w:t>
      </w:r>
      <w:r>
        <w:rPr>
          <w:sz w:val="20"/>
          <w:szCs w:val="20"/>
        </w:rPr>
        <w:t>;1</w:t>
      </w:r>
      <w:r>
        <w:rPr>
          <w:sz w:val="20"/>
          <w:szCs w:val="20"/>
          <w:lang w:eastAsia="zh-CN"/>
        </w:rPr>
        <w:t>4</w:t>
      </w:r>
      <w:r>
        <w:rPr>
          <w:iCs/>
          <w:color w:val="000000"/>
          <w:sz w:val="20"/>
          <w:szCs w:val="20"/>
          <w:lang w:eastAsia="zh-CN"/>
        </w:rPr>
        <w:t>(</w:t>
      </w:r>
      <w:r>
        <w:rPr>
          <w:rFonts w:hint="eastAsia"/>
          <w:sz w:val="20"/>
          <w:szCs w:val="20"/>
          <w:lang w:eastAsia="zh-CN"/>
        </w:rPr>
        <w:t>8</w:t>
      </w:r>
      <w:r>
        <w:rPr>
          <w:sz w:val="20"/>
          <w:szCs w:val="20"/>
        </w:rPr>
        <w:t>):</w:t>
      </w:r>
      <w:r>
        <w:rPr>
          <w:rFonts w:hint="eastAsia"/>
          <w:sz w:val="20"/>
          <w:szCs w:val="20"/>
          <w:lang w:eastAsia="zh-CN"/>
        </w:rPr>
        <w:t>1</w:t>
      </w:r>
      <w:r>
        <w:rPr>
          <w:sz w:val="20"/>
          <w:szCs w:val="20"/>
          <w:lang w:eastAsia="zh-CN"/>
        </w:rPr>
        <w:t>-</w:t>
      </w:r>
      <w:r w:rsidR="00E11778">
        <w:rPr>
          <w:rFonts w:hint="eastAsia"/>
          <w:sz w:val="20"/>
          <w:szCs w:val="20"/>
          <w:lang w:eastAsia="zh-CN"/>
        </w:rPr>
        <w:t>7</w:t>
      </w:r>
      <w:r>
        <w:rPr>
          <w:sz w:val="20"/>
          <w:szCs w:val="20"/>
        </w:rPr>
        <w:t>]</w:t>
      </w:r>
      <w:r w:rsidR="00E11778">
        <w:rPr>
          <w:rFonts w:hint="eastAsia"/>
          <w:sz w:val="20"/>
          <w:szCs w:val="20"/>
          <w:lang w:eastAsia="zh-CN"/>
        </w:rPr>
        <w:t xml:space="preserve"> </w:t>
      </w:r>
      <w:r>
        <w:rPr>
          <w:iCs/>
          <w:color w:val="000000"/>
          <w:sz w:val="20"/>
          <w:szCs w:val="20"/>
          <w:lang w:eastAsia="zh-CN"/>
        </w:rPr>
        <w:t>ISSN 1554-0200(print);</w:t>
      </w:r>
      <w:r w:rsidR="00E11778">
        <w:rPr>
          <w:rFonts w:hint="eastAsia"/>
          <w:iCs/>
          <w:color w:val="000000"/>
          <w:sz w:val="20"/>
          <w:szCs w:val="20"/>
          <w:lang w:eastAsia="zh-CN"/>
        </w:rPr>
        <w:t xml:space="preserve"> </w:t>
      </w:r>
      <w:r>
        <w:rPr>
          <w:iCs/>
          <w:color w:val="000000"/>
          <w:sz w:val="20"/>
          <w:szCs w:val="20"/>
          <w:lang w:eastAsia="zh-CN"/>
        </w:rPr>
        <w:t>ISSN</w:t>
      </w:r>
      <w:r w:rsidR="00E11778">
        <w:rPr>
          <w:rFonts w:hint="eastAsia"/>
          <w:iCs/>
          <w:color w:val="000000"/>
          <w:sz w:val="20"/>
          <w:szCs w:val="20"/>
          <w:lang w:eastAsia="zh-CN"/>
        </w:rPr>
        <w:t xml:space="preserve"> </w:t>
      </w:r>
      <w:r>
        <w:rPr>
          <w:iCs/>
          <w:color w:val="000000"/>
          <w:sz w:val="20"/>
          <w:szCs w:val="20"/>
          <w:lang w:eastAsia="zh-CN"/>
        </w:rPr>
        <w:t>2375-723X</w:t>
      </w:r>
      <w:r w:rsidR="00E11778">
        <w:rPr>
          <w:rFonts w:hint="eastAsia"/>
          <w:iCs/>
          <w:color w:val="000000"/>
          <w:sz w:val="20"/>
          <w:szCs w:val="20"/>
          <w:lang w:eastAsia="zh-CN"/>
        </w:rPr>
        <w:t xml:space="preserve"> </w:t>
      </w:r>
      <w:r>
        <w:rPr>
          <w:iCs/>
          <w:color w:val="000000"/>
          <w:sz w:val="20"/>
          <w:szCs w:val="20"/>
          <w:lang w:eastAsia="zh-CN"/>
        </w:rPr>
        <w:t>(online)</w:t>
      </w:r>
      <w:r w:rsidR="00E11778">
        <w:rPr>
          <w:rFonts w:hint="eastAsia"/>
          <w:iCs/>
          <w:color w:val="000000"/>
          <w:sz w:val="20"/>
          <w:szCs w:val="20"/>
          <w:lang w:eastAsia="zh-CN"/>
        </w:rPr>
        <w:t xml:space="preserve"> </w:t>
      </w:r>
      <w:hyperlink r:id="rId11" w:history="1">
        <w:r>
          <w:rPr>
            <w:rStyle w:val="Hyperlink"/>
            <w:sz w:val="20"/>
            <w:szCs w:val="20"/>
          </w:rPr>
          <w:t>http://www.sciencepub.net/newyork</w:t>
        </w:r>
      </w:hyperlink>
      <w:r>
        <w:rPr>
          <w:color w:val="0000FF"/>
          <w:sz w:val="20"/>
          <w:szCs w:val="20"/>
          <w:lang w:eastAsia="zh-CN"/>
        </w:rPr>
        <w:t>.</w:t>
      </w:r>
      <w:r>
        <w:rPr>
          <w:rFonts w:hint="eastAsia"/>
          <w:sz w:val="20"/>
          <w:szCs w:val="20"/>
          <w:lang w:eastAsia="zh-CN"/>
        </w:rPr>
        <w:t>1</w:t>
      </w:r>
      <w:r>
        <w:rPr>
          <w:color w:val="0000FF"/>
          <w:sz w:val="20"/>
          <w:szCs w:val="20"/>
        </w:rPr>
        <w:t>.</w:t>
      </w:r>
      <w:r w:rsidR="00E11778">
        <w:rPr>
          <w:rFonts w:hint="eastAsia"/>
          <w:color w:val="0000FF"/>
          <w:sz w:val="20"/>
          <w:szCs w:val="20"/>
          <w:lang w:eastAsia="zh-CN"/>
        </w:rPr>
        <w:t xml:space="preserve"> </w:t>
      </w:r>
      <w:r>
        <w:rPr>
          <w:color w:val="3A42EF"/>
          <w:sz w:val="20"/>
          <w:szCs w:val="20"/>
          <w:u w:val="single"/>
          <w:shd w:val="clear" w:color="auto" w:fill="FFFFFF"/>
        </w:rPr>
        <w:t>doi:</w:t>
      </w:r>
      <w:hyperlink r:id="rId12" w:history="1">
        <w:r>
          <w:rPr>
            <w:rStyle w:val="Hyperlink"/>
            <w:sz w:val="20"/>
            <w:szCs w:val="20"/>
            <w:shd w:val="clear" w:color="auto" w:fill="FFFFFF"/>
          </w:rPr>
          <w:t>10.7537/marsnys140821.01.</w:t>
        </w:r>
      </w:hyperlink>
      <w:r>
        <w:rPr>
          <w:sz w:val="20"/>
          <w:szCs w:val="20"/>
        </w:rPr>
        <w:t xml:space="preserve"> </w:t>
      </w:r>
    </w:p>
    <w:p w14:paraId="685AD60E" w14:textId="77777777" w:rsidR="00F46D18" w:rsidRDefault="00F46D18" w:rsidP="00D23630">
      <w:pPr>
        <w:adjustRightInd w:val="0"/>
        <w:snapToGrid w:val="0"/>
        <w:spacing w:after="0" w:line="240" w:lineRule="auto"/>
        <w:jc w:val="center"/>
        <w:rPr>
          <w:sz w:val="20"/>
          <w:szCs w:val="20"/>
          <w:vertAlign w:val="superscript"/>
        </w:rPr>
      </w:pPr>
    </w:p>
    <w:p w14:paraId="7FD2B9B0" w14:textId="77777777" w:rsidR="00F46D18" w:rsidRDefault="0066369F" w:rsidP="00D23630">
      <w:pPr>
        <w:adjustRightInd w:val="0"/>
        <w:snapToGrid w:val="0"/>
        <w:spacing w:after="0" w:line="240" w:lineRule="auto"/>
        <w:jc w:val="both"/>
        <w:rPr>
          <w:sz w:val="20"/>
          <w:szCs w:val="20"/>
        </w:rPr>
      </w:pPr>
      <w:r>
        <w:rPr>
          <w:b/>
          <w:sz w:val="20"/>
          <w:szCs w:val="20"/>
        </w:rPr>
        <w:t xml:space="preserve">Keywords: </w:t>
      </w:r>
      <w:r>
        <w:rPr>
          <w:sz w:val="20"/>
          <w:szCs w:val="20"/>
        </w:rPr>
        <w:t>Bluff bodies, blowoff velocity, lean premixed flames, preheating, flammability limits.</w:t>
      </w:r>
    </w:p>
    <w:p w14:paraId="522A96A3" w14:textId="77777777" w:rsidR="008A4031" w:rsidRDefault="008A4031" w:rsidP="00D23630">
      <w:pPr>
        <w:adjustRightInd w:val="0"/>
        <w:snapToGrid w:val="0"/>
        <w:spacing w:after="0" w:line="240" w:lineRule="auto"/>
        <w:jc w:val="both"/>
        <w:rPr>
          <w:sz w:val="20"/>
          <w:szCs w:val="20"/>
          <w:lang w:eastAsia="zh-CN"/>
        </w:rPr>
      </w:pPr>
    </w:p>
    <w:p w14:paraId="46E1D53D" w14:textId="77777777" w:rsidR="00F46D18" w:rsidRDefault="00F46D18" w:rsidP="00D23630">
      <w:pPr>
        <w:adjustRightInd w:val="0"/>
        <w:snapToGrid w:val="0"/>
        <w:spacing w:after="0" w:line="240" w:lineRule="auto"/>
        <w:jc w:val="both"/>
        <w:rPr>
          <w:b/>
          <w:sz w:val="20"/>
          <w:szCs w:val="20"/>
        </w:rPr>
        <w:sectPr w:rsidR="00F46D18">
          <w:headerReference w:type="default" r:id="rId13"/>
          <w:footerReference w:type="even" r:id="rId14"/>
          <w:footerReference w:type="default" r:id="rId15"/>
          <w:headerReference w:type="first" r:id="rId16"/>
          <w:footerReference w:type="first" r:id="rId17"/>
          <w:footnotePr>
            <w:pos w:val="beneathText"/>
          </w:footnotePr>
          <w:type w:val="continuous"/>
          <w:pgSz w:w="12240" w:h="15840"/>
          <w:pgMar w:top="1440" w:right="1440" w:bottom="1440" w:left="1440" w:header="720" w:footer="720" w:gutter="0"/>
          <w:pgNumType w:start="1"/>
          <w:cols w:space="720"/>
          <w:titlePg/>
          <w:docGrid w:linePitch="360"/>
        </w:sectPr>
      </w:pPr>
    </w:p>
    <w:p w14:paraId="60BE5FD2" w14:textId="77777777" w:rsidR="00F46D18" w:rsidRDefault="0066369F" w:rsidP="00D23630">
      <w:pPr>
        <w:adjustRightInd w:val="0"/>
        <w:snapToGrid w:val="0"/>
        <w:spacing w:after="0" w:line="240" w:lineRule="auto"/>
        <w:jc w:val="both"/>
        <w:rPr>
          <w:b/>
          <w:sz w:val="20"/>
          <w:szCs w:val="20"/>
        </w:rPr>
      </w:pPr>
      <w:r>
        <w:rPr>
          <w:b/>
          <w:sz w:val="20"/>
          <w:szCs w:val="20"/>
        </w:rPr>
        <w:lastRenderedPageBreak/>
        <w:t>1. Introduction</w:t>
      </w:r>
    </w:p>
    <w:p w14:paraId="026EF341" w14:textId="77777777" w:rsidR="00F46D18" w:rsidRDefault="0066369F" w:rsidP="00D23630">
      <w:pPr>
        <w:adjustRightInd w:val="0"/>
        <w:snapToGrid w:val="0"/>
        <w:spacing w:after="0" w:line="240" w:lineRule="auto"/>
        <w:ind w:firstLine="426"/>
        <w:jc w:val="both"/>
        <w:rPr>
          <w:sz w:val="20"/>
          <w:szCs w:val="20"/>
        </w:rPr>
      </w:pPr>
      <w:r>
        <w:rPr>
          <w:sz w:val="20"/>
          <w:szCs w:val="20"/>
        </w:rPr>
        <w:t>In real life propulsion and energy systems, high-velocity reactants are forced to enter the combustion chamber, hence, sustaining a stable combustion under high velocity operating conditions is of a great importance (Lieuwen, 2012, Shanbhogue et al., 2009, Geikie et al., 2017). Nowadays, stricter, and more strengthen regulations have been put in place aiming at the reduction of harmful emissions generated by combustion applications, this has emphasized the adoption of lean combustion systems to maintain a low level of GHG emissions. For that reasons, flame stabilization of high-velocity reactants under very lean conditions is a challenging research topic that grasps a lot of interest (Miguel et al., 2016, Chowdhury et al., 2018, Zukoski and Marble, 1983).</w:t>
      </w:r>
    </w:p>
    <w:p w14:paraId="7576B0AB" w14:textId="77777777" w:rsidR="00F46D18" w:rsidRDefault="0066369F" w:rsidP="00D23630">
      <w:pPr>
        <w:adjustRightInd w:val="0"/>
        <w:snapToGrid w:val="0"/>
        <w:spacing w:after="0" w:line="240" w:lineRule="auto"/>
        <w:ind w:firstLine="426"/>
        <w:jc w:val="both"/>
        <w:rPr>
          <w:sz w:val="20"/>
          <w:szCs w:val="20"/>
        </w:rPr>
      </w:pPr>
      <w:r>
        <w:rPr>
          <w:sz w:val="20"/>
          <w:szCs w:val="20"/>
        </w:rPr>
        <w:t xml:space="preserve">Flame stabilization over a wide range of equivalence ratios and blowoff velocities using bluff bodies as a flame anchoring mechanism has been investigated by several researchers over decades (Foster, 1956). </w:t>
      </w:r>
    </w:p>
    <w:p w14:paraId="656488D5" w14:textId="77777777" w:rsidR="00F46D18" w:rsidRDefault="0066369F" w:rsidP="00D23630">
      <w:pPr>
        <w:adjustRightInd w:val="0"/>
        <w:snapToGrid w:val="0"/>
        <w:spacing w:after="0" w:line="240" w:lineRule="auto"/>
        <w:ind w:firstLine="426"/>
        <w:jc w:val="both"/>
        <w:rPr>
          <w:sz w:val="20"/>
          <w:szCs w:val="20"/>
        </w:rPr>
      </w:pPr>
      <w:r>
        <w:rPr>
          <w:sz w:val="20"/>
          <w:szCs w:val="20"/>
        </w:rPr>
        <w:t xml:space="preserve">The advantages of bluff body stabilized flames are attributed to the generated recirculation zone that envelopes high-temperature combustion products and active species with low velocity, that serve as a continuous ignitions source for the upcoming fresh reactants, the recirculation zone is a direct result of the velocity gradient generated by the blockage effect of a </w:t>
      </w:r>
      <w:r>
        <w:rPr>
          <w:sz w:val="20"/>
          <w:szCs w:val="20"/>
        </w:rPr>
        <w:lastRenderedPageBreak/>
        <w:t xml:space="preserve">bluff body, this gradient forces a portion of the upcoming high velocity reactants to enter the recirculation zone and ignite (Vance et al., 2019, Michaels et al., 2016). Deep understanding of the physical phenomena associated with flame blowoff and how this could affect stabilization characteristics is the core research area of bluff body assisted combustion systems (Kim et al., 2010 and 2011, Lin et al., 2010, Kang et al., 2012, Kiel et al., 2007). </w:t>
      </w:r>
    </w:p>
    <w:p w14:paraId="5CE235C2" w14:textId="77777777" w:rsidR="00F46D18" w:rsidRDefault="0066369F" w:rsidP="00D23630">
      <w:pPr>
        <w:adjustRightInd w:val="0"/>
        <w:snapToGrid w:val="0"/>
        <w:spacing w:after="0" w:line="240" w:lineRule="auto"/>
        <w:ind w:firstLine="426"/>
        <w:jc w:val="both"/>
        <w:rPr>
          <w:sz w:val="20"/>
          <w:szCs w:val="20"/>
        </w:rPr>
      </w:pPr>
      <w:r>
        <w:rPr>
          <w:sz w:val="20"/>
          <w:szCs w:val="20"/>
        </w:rPr>
        <w:t xml:space="preserve">Several researchers have investigated the effect of fuel-air mixture preheating before entering the combustion zone, and flammability limits were improved with preheating (Wan et al., 2016, Ma et al., 16, Wan et al., 2015) additionally. However, special attention should be taken to avoid excessive heat loads as well as the earlier initiation of chemical reaction upstream, and flame flash back (Hong et al., 2013). </w:t>
      </w:r>
    </w:p>
    <w:p w14:paraId="6D354045" w14:textId="77777777" w:rsidR="00F46D18" w:rsidRDefault="0066369F" w:rsidP="00D23630">
      <w:pPr>
        <w:adjustRightInd w:val="0"/>
        <w:snapToGrid w:val="0"/>
        <w:spacing w:after="0" w:line="240" w:lineRule="auto"/>
        <w:ind w:firstLine="426"/>
        <w:jc w:val="both"/>
        <w:rPr>
          <w:sz w:val="20"/>
          <w:szCs w:val="20"/>
        </w:rPr>
      </w:pPr>
      <w:r>
        <w:rPr>
          <w:sz w:val="20"/>
          <w:szCs w:val="20"/>
        </w:rPr>
        <w:t xml:space="preserve">Most researchers that studied the effect of a preheated fuel-air mixture on flammability limits were focusing on miniaturized combustors (Wan et al., 2016), while research related to trapped recirculation zone were focusing on aeroengines (Xavier, 2014). </w:t>
      </w:r>
    </w:p>
    <w:p w14:paraId="2EEF8D61" w14:textId="77777777" w:rsidR="00F46D18" w:rsidRDefault="0066369F" w:rsidP="00D23630">
      <w:pPr>
        <w:adjustRightInd w:val="0"/>
        <w:snapToGrid w:val="0"/>
        <w:spacing w:after="0" w:line="240" w:lineRule="auto"/>
        <w:ind w:firstLine="426"/>
        <w:jc w:val="both"/>
        <w:rPr>
          <w:sz w:val="20"/>
          <w:szCs w:val="20"/>
        </w:rPr>
      </w:pPr>
      <w:r>
        <w:rPr>
          <w:sz w:val="20"/>
          <w:szCs w:val="20"/>
        </w:rPr>
        <w:t>This research work aims at investigating the fuel-mixture preheating effects assisted by a trapped recirculation zone on lean flammability limits of a high-velocity premixed reactants. A novel bluff body geometries are employed in this research.</w:t>
      </w:r>
    </w:p>
    <w:p w14:paraId="370F94E3" w14:textId="77777777" w:rsidR="00F46D18" w:rsidRDefault="00F46D18" w:rsidP="00D23630">
      <w:pPr>
        <w:adjustRightInd w:val="0"/>
        <w:snapToGrid w:val="0"/>
        <w:spacing w:after="0" w:line="240" w:lineRule="auto"/>
        <w:jc w:val="both"/>
        <w:rPr>
          <w:b/>
          <w:sz w:val="20"/>
          <w:szCs w:val="20"/>
          <w:lang w:eastAsia="zh-CN"/>
        </w:rPr>
      </w:pPr>
    </w:p>
    <w:p w14:paraId="6BCF895A" w14:textId="77777777" w:rsidR="00F46D18" w:rsidRDefault="0066369F" w:rsidP="00D23630">
      <w:pPr>
        <w:adjustRightInd w:val="0"/>
        <w:snapToGrid w:val="0"/>
        <w:spacing w:after="0" w:line="240" w:lineRule="auto"/>
        <w:jc w:val="both"/>
        <w:rPr>
          <w:b/>
          <w:sz w:val="20"/>
          <w:szCs w:val="20"/>
        </w:rPr>
      </w:pPr>
      <w:r>
        <w:rPr>
          <w:b/>
          <w:sz w:val="20"/>
          <w:szCs w:val="20"/>
        </w:rPr>
        <w:lastRenderedPageBreak/>
        <w:t>2. Methodology</w:t>
      </w:r>
    </w:p>
    <w:p w14:paraId="13D52714" w14:textId="77777777" w:rsidR="008A4031" w:rsidRDefault="0066369F" w:rsidP="008A4031">
      <w:pPr>
        <w:adjustRightInd w:val="0"/>
        <w:snapToGrid w:val="0"/>
        <w:spacing w:after="0" w:line="240" w:lineRule="auto"/>
        <w:ind w:firstLine="426"/>
        <w:jc w:val="both"/>
        <w:rPr>
          <w:sz w:val="20"/>
          <w:szCs w:val="20"/>
          <w:lang w:eastAsia="zh-CN"/>
        </w:rPr>
      </w:pPr>
      <w:r>
        <w:rPr>
          <w:sz w:val="20"/>
          <w:szCs w:val="20"/>
        </w:rPr>
        <w:t>A 100mm internal diameter vertical combustor with 8mm fuel-air mixture supply pipe were used for the experimental work. The combustor body as well as the supply pipe material is Steel ANSI Schedule 80. A 3D perspective of the combustor is shown in Figure 1.</w:t>
      </w:r>
    </w:p>
    <w:p w14:paraId="7348D499" w14:textId="77777777" w:rsidR="00B54867" w:rsidRDefault="00B54867" w:rsidP="008A4031">
      <w:pPr>
        <w:adjustRightInd w:val="0"/>
        <w:snapToGrid w:val="0"/>
        <w:spacing w:after="0" w:line="240" w:lineRule="auto"/>
        <w:ind w:firstLine="426"/>
        <w:jc w:val="both"/>
        <w:rPr>
          <w:sz w:val="20"/>
          <w:szCs w:val="20"/>
          <w:lang w:eastAsia="zh-CN"/>
        </w:rPr>
      </w:pPr>
    </w:p>
    <w:p w14:paraId="4C10E379" w14:textId="33163DF5" w:rsidR="00F46D18" w:rsidRDefault="004976EA" w:rsidP="004976EA">
      <w:pPr>
        <w:keepNext/>
        <w:adjustRightInd w:val="0"/>
        <w:snapToGrid w:val="0"/>
        <w:spacing w:after="0" w:line="240" w:lineRule="auto"/>
        <w:jc w:val="center"/>
      </w:pPr>
      <w:r>
        <w:rPr>
          <w:noProof/>
          <w:lang w:eastAsia="en-US"/>
        </w:rPr>
        <mc:AlternateContent>
          <mc:Choice Requires="wps">
            <w:drawing>
              <wp:anchor distT="0" distB="0" distL="114300" distR="114300" simplePos="0" relativeHeight="251658240" behindDoc="0" locked="0" layoutInCell="1" allowOverlap="1" wp14:anchorId="7F3AB971" wp14:editId="77E65616">
                <wp:simplePos x="0" y="0"/>
                <wp:positionH relativeFrom="column">
                  <wp:posOffset>1338162</wp:posOffset>
                </wp:positionH>
                <wp:positionV relativeFrom="paragraph">
                  <wp:posOffset>1995281</wp:posOffset>
                </wp:positionV>
                <wp:extent cx="772795" cy="596633"/>
                <wp:effectExtent l="0" t="304800" r="27305" b="13335"/>
                <wp:wrapNone/>
                <wp:docPr id="13" name="Speech Bubble: Rectangle with Corners Rounded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795" cy="596633"/>
                        </a:xfrm>
                        <a:prstGeom prst="wedgeRoundRectCallout">
                          <a:avLst>
                            <a:gd name="adj1" fmla="val 45810"/>
                            <a:gd name="adj2" fmla="val -96181"/>
                            <a:gd name="adj3" fmla="val 16667"/>
                          </a:avLst>
                        </a:prstGeom>
                        <a:solidFill>
                          <a:srgbClr val="4472C4"/>
                        </a:solidFill>
                        <a:ln w="12700">
                          <a:solidFill>
                            <a:srgbClr val="4472C4"/>
                          </a:solidFill>
                          <a:miter lim="800000"/>
                          <a:headEnd/>
                          <a:tailEnd/>
                        </a:ln>
                      </wps:spPr>
                      <wps:txbx>
                        <w:txbxContent>
                          <w:p w14:paraId="37A73497" w14:textId="77777777" w:rsidR="00F46D18" w:rsidRDefault="0066369F">
                            <w:pPr>
                              <w:jc w:val="center"/>
                              <w:rPr>
                                <w:color w:val="FFFFFF"/>
                                <w:sz w:val="18"/>
                                <w:szCs w:val="18"/>
                              </w:rPr>
                            </w:pPr>
                            <w:r>
                              <w:rPr>
                                <w:color w:val="FFFFFF"/>
                                <w:sz w:val="18"/>
                                <w:szCs w:val="18"/>
                              </w:rPr>
                              <w:t>Fuel-air mixture supply pipe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3AB97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2" o:spid="_x0000_s1026" type="#_x0000_t62" style="position:absolute;left:0;text-align:left;margin-left:105.35pt;margin-top:157.1pt;width:60.85pt;height: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cszfAIAAPUEAAAOAAAAZHJzL2Uyb0RvYy54bWysVNtunDAQfa/Uf7D8nnAJC7sobJRumqpS&#10;L1HSfoCxDbg1tmubZdOv7+BlE9K+VFV5QB5mfObMmRkurw69RHtundCqwsl5jBFXVDOh2gp//XJ7&#10;tsbIeaIYkVrxCj9yh6+2r19djqbkqe60ZNwiAFGuHE2FO+9NGUWOdrwn7lwbrsDZaNsTD6ZtI2bJ&#10;COi9jNI4zqNRW2asptw5+HpzdOJtwG8aTv3npnHcI1lh4ObD24Z3Pb2j7SUpW0tMJ+hMg/wDi54I&#10;BUmfoG6IJ2iw4g+oXlCrnW78OdV9pJtGUB5qgGqS+LdqHjpieKgFxHHmSSb3/2Dpp/2dRYJB7y4w&#10;UqSHHj0YzmmH3gx1LXmJ7kFEolrJ0Sh8h3baKug3uteDYpyhdNJwNK4EqAdzZycVnPmg6XeHlN51&#10;cJVfW6vHjhMGzJMpPnpxYTIcXEX1+FEzYEAGr4Och8b2EyAIhQ6ha49PXeMHjyh8LIq02KwwouBa&#10;bfL84iJkIOXpsrHOv+O6R9OhwiNnLQ/sp8p2REo9+JCN7D84H7rIZikI+5Zg1PQShmJPJMpW6+Q0&#10;NIuYdBlztsmTdagSxmERBPo+AyV5nhczzzltRMoT06ChloLdCimDYdt6Jy0CDhXOsiLdZfNltwyT&#10;Co2gcFrEcSjohdP9HUYvPGykFH2F1/H0TIlIOXXvrWLh7ImQxzNwlmpu59TB4yT4Q32Yh6LW7BEa&#10;a/Vx8+BPAYdO258YjbB1FXY/BmI5RvK9guHYJFk2rWkwslWRgmGXnnrpIYoCVIWptxgdjZ0/Lvdg&#10;rGg7yJUEIZS+hpFqhD/N3pHXzBx2C04vlndph6jnv9X2FwAAAP//AwBQSwMEFAAGAAgAAAAhACje&#10;ZMbhAAAACwEAAA8AAABkcnMvZG93bnJldi54bWxMj91KxDAQhe8F3yGM4J2bNK261k6XpSCiIOxW&#10;HyBtsm01P6XJtvXtjVd6OZyPc74pdqvRZFaTH5xFSDYMiLKtk4PtED7en262QHwQVgrtrEL4Vh52&#10;5eVFIXLpFntUcx06EkuszwVCH8KYU+rbXhnhN25UNmYnNxkR4jl1VE5iieVGU87YHTVisHGhF6Oq&#10;etV+1WeDoE9LPb8cnueH6nN/+1q9HY6+WRCvr9b9I5Cg1vAHw69+VIcyOjXubKUnGoEn7D6iCGmS&#10;cSCRSFOeAWkQMrblQMuC/v+h/AEAAP//AwBQSwECLQAUAAYACAAAACEAtoM4kv4AAADhAQAAEwAA&#10;AAAAAAAAAAAAAAAAAAAAW0NvbnRlbnRfVHlwZXNdLnhtbFBLAQItABQABgAIAAAAIQA4/SH/1gAA&#10;AJQBAAALAAAAAAAAAAAAAAAAAC8BAABfcmVscy8ucmVsc1BLAQItABQABgAIAAAAIQAuUcszfAIA&#10;APUEAAAOAAAAAAAAAAAAAAAAAC4CAABkcnMvZTJvRG9jLnhtbFBLAQItABQABgAIAAAAIQAo3mTG&#10;4QAAAAsBAAAPAAAAAAAAAAAAAAAAANYEAABkcnMvZG93bnJldi54bWxQSwUGAAAAAAQABADzAAAA&#10;5AUAAAAA&#10;" adj="20695,-9975" fillcolor="#4472c4" strokecolor="#4472c4" strokeweight="1pt">
                <v:textbox>
                  <w:txbxContent>
                    <w:p w14:paraId="37A73497" w14:textId="77777777" w:rsidR="00F46D18" w:rsidRDefault="0066369F">
                      <w:pPr>
                        <w:jc w:val="center"/>
                        <w:rPr>
                          <w:color w:val="FFFFFF"/>
                          <w:sz w:val="18"/>
                          <w:szCs w:val="18"/>
                        </w:rPr>
                      </w:pPr>
                      <w:r>
                        <w:rPr>
                          <w:color w:val="FFFFFF"/>
                          <w:sz w:val="18"/>
                          <w:szCs w:val="18"/>
                        </w:rPr>
                        <w:t>Fuel-air mixture supply pipe</w:t>
                      </w:r>
                    </w:p>
                  </w:txbxContent>
                </v:textbox>
              </v:shape>
            </w:pict>
          </mc:Fallback>
        </mc:AlternateContent>
      </w:r>
      <w:r w:rsidR="00B54867">
        <w:rPr>
          <w:noProof/>
          <w:lang w:eastAsia="en-US"/>
        </w:rPr>
        <mc:AlternateContent>
          <mc:Choice Requires="wps">
            <w:drawing>
              <wp:anchor distT="0" distB="0" distL="114300" distR="114300" simplePos="0" relativeHeight="251657216" behindDoc="0" locked="0" layoutInCell="1" allowOverlap="1" wp14:anchorId="606E3BF6" wp14:editId="3D7F8DE5">
                <wp:simplePos x="0" y="0"/>
                <wp:positionH relativeFrom="column">
                  <wp:posOffset>201476</wp:posOffset>
                </wp:positionH>
                <wp:positionV relativeFrom="paragraph">
                  <wp:posOffset>1743150</wp:posOffset>
                </wp:positionV>
                <wp:extent cx="937895" cy="424066"/>
                <wp:effectExtent l="0" t="266700" r="14605" b="14605"/>
                <wp:wrapNone/>
                <wp:docPr id="14" name="Speech Bubble: Rectangle with Corners Rounded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895" cy="424066"/>
                        </a:xfrm>
                        <a:prstGeom prst="wedgeRoundRectCallout">
                          <a:avLst>
                            <a:gd name="adj1" fmla="val 41065"/>
                            <a:gd name="adj2" fmla="val -106444"/>
                            <a:gd name="adj3" fmla="val 16667"/>
                          </a:avLst>
                        </a:prstGeom>
                        <a:solidFill>
                          <a:srgbClr val="4472C4"/>
                        </a:solidFill>
                        <a:ln w="12700">
                          <a:solidFill>
                            <a:srgbClr val="4472C4"/>
                          </a:solidFill>
                          <a:miter lim="800000"/>
                          <a:headEnd/>
                          <a:tailEnd/>
                        </a:ln>
                      </wps:spPr>
                      <wps:txbx>
                        <w:txbxContent>
                          <w:p w14:paraId="3360279A" w14:textId="77777777" w:rsidR="00F46D18" w:rsidRDefault="0066369F">
                            <w:pPr>
                              <w:jc w:val="center"/>
                              <w:rPr>
                                <w:color w:val="FFFFFF"/>
                                <w:sz w:val="18"/>
                                <w:szCs w:val="18"/>
                              </w:rPr>
                            </w:pPr>
                            <w:r>
                              <w:rPr>
                                <w:color w:val="FFFFFF"/>
                                <w:sz w:val="18"/>
                                <w:szCs w:val="18"/>
                              </w:rPr>
                              <w:t>Probes for thermocouples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6E3BF6" id="Speech Bubble: Rectangle with Corners Rounded 3" o:spid="_x0000_s1027" type="#_x0000_t62" style="position:absolute;left:0;text-align:left;margin-left:15.85pt;margin-top:137.25pt;width:73.85pt;height:3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YyegIAAP0EAAAOAAAAZHJzL2Uyb0RvYy54bWysVNtO3DAQfa/Uf7D8DrkQshCRRXQpVaVe&#10;ELQf4NhO4taxXdvZLP36jp1AQ3mpqubB8mRuZ87M+OLyMEi059YJrWqcHacYcUU1E6qr8dcvN0dn&#10;GDlPFCNSK17jB+7w5fb1q4vJVDzXvZaMWwRBlKsmU+Pee1MliaM9H4g71oYrULbaDsSDaLuEWTJB&#10;9EEmeZqWyaQtM1ZT7hz8vZ6VeBvjty2n/nPbOu6RrDFg8/G08WzCmWwvSNVZYnpBFxjkH1AMRChI&#10;+hTqmniCRitehBoEtdrp1h9TPSS6bQXlsQaoJkv/qOa+J4bHWoAcZ55ocv8vLP20v7VIMOhdgZEi&#10;A/To3nBOe/RmbBrJK3QHJBLVSY4m4Xu001ZBv9GdHhXjDJ0EDifjKgh1b25tYMGZD5p+d0jpXQ+u&#10;/MpaPfWcMECeBfvkmUMQHLiiZvqoGSAgo9eRzkNrhxAQiEKH2LWHp67xg0cUfp6fbM7OTzGioCry&#10;Ii3LmIFUj87GOv+O6wGFS40nzjoe0YfKdkRKPfqYjew/OB+7yBYqCPuWYdQOEoZiTyQqsrQ8XYZm&#10;ZZOvbY7ApiiKl1Yna6usLMvNAnTJm5DqEWokUUvBboSUUbBds5MWAQiostjku5gAXNzaTCo0AcX5&#10;Jk1jRc+U7u9iDMLDSkox1PgsDd9cSWjfW8Xiwngi5HwHAFIt/QwtnEfBH5rDPFTBN7S30ewBGmz1&#10;vIHwYsCl1/YnRhNsX43dj5FYjpF8r2BIzrOiCOsaheJ0k4Ng15pmrSGKQqgaU28xmoWdn5d8NFZ0&#10;PeTKIh9KX8FotcI/zuCMaykAdgxuz5Z4LUer36/W9hcAAAD//wMAUEsDBBQABgAIAAAAIQC2UYqO&#10;4AAAAAoBAAAPAAAAZHJzL2Rvd25yZXYueG1sTI9BS8NAEIXvBf/DMoK3dpM0bTRmU0QQwYPSVPA6&#10;zU6T0OxsyG7b6K93e9Lj8D7e+6bYTKYXZxpdZ1lBvIhAENdWd9wo+Ny9zO9BOI+ssbdMCr7Jwaa8&#10;mRWYa3vhLZ0r34hQwi5HBa33Qy6lq1sy6BZ2IA7ZwY4GfTjHRuoRL6Hc9DKJorU02HFYaHGg55bq&#10;Y3UyCgaZfOk1Vli/vn+4n+NKTm/6oNTd7fT0CMLT5P9guOoHdSiD096eWDvRK1jGWSAVJFm6AnEF&#10;socUxD4kabwEWRby/wvlLwAAAP//AwBQSwECLQAUAAYACAAAACEAtoM4kv4AAADhAQAAEwAAAAAA&#10;AAAAAAAAAAAAAAAAW0NvbnRlbnRfVHlwZXNdLnhtbFBLAQItABQABgAIAAAAIQA4/SH/1gAAAJQB&#10;AAALAAAAAAAAAAAAAAAAAC8BAABfcmVscy8ucmVsc1BLAQItABQABgAIAAAAIQA2y9YyegIAAP0E&#10;AAAOAAAAAAAAAAAAAAAAAC4CAABkcnMvZTJvRG9jLnhtbFBLAQItABQABgAIAAAAIQC2UYqO4AAA&#10;AAoBAAAPAAAAAAAAAAAAAAAAANQEAABkcnMvZG93bnJldi54bWxQSwUGAAAAAAQABADzAAAA4QUA&#10;AAAA&#10;" adj="19670,-12192" fillcolor="#4472c4" strokecolor="#4472c4" strokeweight="1pt">
                <v:textbox>
                  <w:txbxContent>
                    <w:p w14:paraId="3360279A" w14:textId="77777777" w:rsidR="00F46D18" w:rsidRDefault="0066369F">
                      <w:pPr>
                        <w:jc w:val="center"/>
                        <w:rPr>
                          <w:color w:val="FFFFFF"/>
                          <w:sz w:val="18"/>
                          <w:szCs w:val="18"/>
                        </w:rPr>
                      </w:pPr>
                      <w:r>
                        <w:rPr>
                          <w:color w:val="FFFFFF"/>
                          <w:sz w:val="18"/>
                          <w:szCs w:val="18"/>
                        </w:rPr>
                        <w:t>Probes for thermocouples</w:t>
                      </w:r>
                    </w:p>
                  </w:txbxContent>
                </v:textbox>
              </v:shape>
            </w:pict>
          </mc:Fallback>
        </mc:AlternateContent>
      </w:r>
      <w:r w:rsidR="0066369F">
        <w:rPr>
          <w:noProof/>
          <w:lang w:eastAsia="en-US"/>
        </w:rPr>
        <w:drawing>
          <wp:inline distT="0" distB="0" distL="0" distR="0" wp14:anchorId="2C96A992" wp14:editId="3316DF66">
            <wp:extent cx="2457450" cy="2647950"/>
            <wp:effectExtent l="19050" t="19050" r="19050" b="1905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rrowheads="1"/>
                    </pic:cNvPicPr>
                  </pic:nvPicPr>
                  <pic:blipFill>
                    <a:blip r:embed="rId18" cstate="print"/>
                    <a:srcRect/>
                    <a:stretch>
                      <a:fillRect/>
                    </a:stretch>
                  </pic:blipFill>
                  <pic:spPr>
                    <a:xfrm>
                      <a:off x="0" y="0"/>
                      <a:ext cx="2460429" cy="2651160"/>
                    </a:xfrm>
                    <a:prstGeom prst="rect">
                      <a:avLst/>
                    </a:prstGeom>
                    <a:noFill/>
                    <a:ln w="3175" cmpd="sng">
                      <a:solidFill>
                        <a:schemeClr val="tx1"/>
                      </a:solidFill>
                      <a:miter lim="800000"/>
                      <a:headEnd/>
                      <a:tailEnd/>
                    </a:ln>
                    <a:effectLst/>
                  </pic:spPr>
                </pic:pic>
              </a:graphicData>
            </a:graphic>
          </wp:inline>
        </w:drawing>
      </w:r>
    </w:p>
    <w:p w14:paraId="3EF37665" w14:textId="77777777" w:rsidR="00F46D18" w:rsidRDefault="0066369F" w:rsidP="004976EA">
      <w:pPr>
        <w:adjustRightInd w:val="0"/>
        <w:snapToGrid w:val="0"/>
        <w:spacing w:after="0" w:line="240" w:lineRule="auto"/>
        <w:jc w:val="both"/>
        <w:rPr>
          <w:sz w:val="20"/>
          <w:szCs w:val="20"/>
        </w:rPr>
      </w:pPr>
      <w:r>
        <w:rPr>
          <w:sz w:val="20"/>
          <w:szCs w:val="20"/>
        </w:rPr>
        <w:t>Figure 1. 3D Perspective view of the combustor</w:t>
      </w:r>
    </w:p>
    <w:p w14:paraId="1D11C793" w14:textId="77777777" w:rsidR="00F46D18" w:rsidRDefault="00F46D18" w:rsidP="00D23630">
      <w:pPr>
        <w:adjustRightInd w:val="0"/>
        <w:snapToGrid w:val="0"/>
        <w:spacing w:after="0" w:line="240" w:lineRule="auto"/>
        <w:jc w:val="both"/>
        <w:rPr>
          <w:sz w:val="20"/>
          <w:szCs w:val="20"/>
          <w:lang w:eastAsia="zh-CN"/>
        </w:rPr>
      </w:pPr>
    </w:p>
    <w:p w14:paraId="4E2225CC" w14:textId="77777777" w:rsidR="00F46D18" w:rsidRDefault="0066369F" w:rsidP="00D23630">
      <w:pPr>
        <w:adjustRightInd w:val="0"/>
        <w:snapToGrid w:val="0"/>
        <w:spacing w:after="0" w:line="240" w:lineRule="auto"/>
        <w:ind w:firstLine="426"/>
        <w:jc w:val="both"/>
        <w:rPr>
          <w:sz w:val="20"/>
          <w:szCs w:val="20"/>
        </w:rPr>
      </w:pPr>
      <w:r>
        <w:rPr>
          <w:sz w:val="20"/>
          <w:szCs w:val="20"/>
        </w:rPr>
        <w:t>The supply pipe outer surface is threaded to allow for varying its length portion immersed within the combustion zone. At the supply pipe upper end, a hollow bluff body is mounted to allow the preheated mixture to enter the body’s hollow cavity and reverse its impingement direction and exiting from the face openings located at the bluff body’s downstream surface. A schematic section of the combustor test rig is shown in Figure 2.</w:t>
      </w:r>
    </w:p>
    <w:p w14:paraId="0F10E352" w14:textId="77777777" w:rsidR="00F46D18" w:rsidRDefault="0066369F" w:rsidP="00D23630">
      <w:pPr>
        <w:adjustRightInd w:val="0"/>
        <w:snapToGrid w:val="0"/>
        <w:spacing w:after="0" w:line="240" w:lineRule="auto"/>
        <w:ind w:firstLine="426"/>
        <w:jc w:val="both"/>
        <w:rPr>
          <w:sz w:val="20"/>
          <w:szCs w:val="20"/>
        </w:rPr>
      </w:pPr>
      <w:r>
        <w:rPr>
          <w:sz w:val="20"/>
          <w:szCs w:val="20"/>
        </w:rPr>
        <w:t>Premixed fuel-air mixture enters the combustor through the supply pipe and then fills the hollow cavity inside the bluff body before exiting from the openings on the body’s downstream face. Fuel-air jets then enters the combustion zone trapped along the cavity length height between the combustor’s floor and the bluff body downstream surface. Preheating of the fuel-air mixture takes place because of the supply pipe length portion immersed in the combustion region.</w:t>
      </w:r>
    </w:p>
    <w:p w14:paraId="15ED7CF6" w14:textId="77777777" w:rsidR="00F46D18" w:rsidRDefault="0066369F" w:rsidP="00D23630">
      <w:pPr>
        <w:adjustRightInd w:val="0"/>
        <w:snapToGrid w:val="0"/>
        <w:spacing w:after="0" w:line="240" w:lineRule="auto"/>
        <w:ind w:firstLine="426"/>
        <w:jc w:val="both"/>
        <w:rPr>
          <w:sz w:val="20"/>
          <w:szCs w:val="20"/>
          <w:lang w:eastAsia="zh-CN"/>
        </w:rPr>
      </w:pPr>
      <w:r>
        <w:rPr>
          <w:sz w:val="20"/>
          <w:szCs w:val="20"/>
        </w:rPr>
        <w:t>Fuel and air flow rates are measured by orifice flow meters using U-tube manometer for air flow and inclined manometer for fuel flow, both manometers are using colored water with approximate density of 1000 kg/m3, and attached to two orifices to create pressure drop, both flow rates are controlled by ball valves.</w:t>
      </w:r>
    </w:p>
    <w:p w14:paraId="52DF975F" w14:textId="77777777" w:rsidR="008A4031" w:rsidRDefault="008A4031" w:rsidP="00D23630">
      <w:pPr>
        <w:adjustRightInd w:val="0"/>
        <w:snapToGrid w:val="0"/>
        <w:spacing w:after="0" w:line="240" w:lineRule="auto"/>
        <w:ind w:firstLine="426"/>
        <w:jc w:val="both"/>
        <w:rPr>
          <w:sz w:val="20"/>
          <w:szCs w:val="20"/>
          <w:lang w:eastAsia="zh-CN"/>
        </w:rPr>
      </w:pPr>
    </w:p>
    <w:p w14:paraId="66BF0594" w14:textId="77777777" w:rsidR="008A4031" w:rsidRDefault="008A4031" w:rsidP="00D23630">
      <w:pPr>
        <w:adjustRightInd w:val="0"/>
        <w:snapToGrid w:val="0"/>
        <w:spacing w:after="0" w:line="240" w:lineRule="auto"/>
        <w:ind w:firstLine="426"/>
        <w:jc w:val="both"/>
        <w:rPr>
          <w:sz w:val="20"/>
          <w:szCs w:val="20"/>
          <w:lang w:eastAsia="zh-CN"/>
        </w:rPr>
      </w:pPr>
    </w:p>
    <w:p w14:paraId="4945F873" w14:textId="77777777" w:rsidR="00F46D18" w:rsidRDefault="0066369F" w:rsidP="00D23630">
      <w:pPr>
        <w:adjustRightInd w:val="0"/>
        <w:snapToGrid w:val="0"/>
        <w:spacing w:after="0" w:line="240" w:lineRule="auto"/>
        <w:jc w:val="center"/>
        <w:rPr>
          <w:sz w:val="20"/>
          <w:szCs w:val="20"/>
        </w:rPr>
      </w:pPr>
      <w:r>
        <w:rPr>
          <w:noProof/>
          <w:color w:val="BFBFBF"/>
          <w:sz w:val="20"/>
          <w:szCs w:val="20"/>
          <w:lang w:eastAsia="en-US"/>
        </w:rPr>
        <w:drawing>
          <wp:inline distT="0" distB="0" distL="0" distR="0" wp14:anchorId="6E981906" wp14:editId="7F2FE4C0">
            <wp:extent cx="2319638" cy="21023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cstate="print"/>
                    <a:srcRect/>
                    <a:stretch>
                      <a:fillRect/>
                    </a:stretch>
                  </pic:blipFill>
                  <pic:spPr>
                    <a:xfrm>
                      <a:off x="0" y="0"/>
                      <a:ext cx="2325624" cy="2107753"/>
                    </a:xfrm>
                    <a:prstGeom prst="rect">
                      <a:avLst/>
                    </a:prstGeom>
                    <a:noFill/>
                    <a:ln w="9525">
                      <a:noFill/>
                      <a:miter lim="800000"/>
                      <a:headEnd/>
                      <a:tailEnd/>
                    </a:ln>
                  </pic:spPr>
                </pic:pic>
              </a:graphicData>
            </a:graphic>
          </wp:inline>
        </w:drawing>
      </w:r>
    </w:p>
    <w:p w14:paraId="1C592D05" w14:textId="77777777" w:rsidR="00F46D18" w:rsidRDefault="0066369F" w:rsidP="004976EA">
      <w:pPr>
        <w:adjustRightInd w:val="0"/>
        <w:snapToGrid w:val="0"/>
        <w:spacing w:after="0" w:line="240" w:lineRule="auto"/>
        <w:jc w:val="both"/>
        <w:rPr>
          <w:sz w:val="20"/>
          <w:szCs w:val="20"/>
        </w:rPr>
      </w:pPr>
      <w:r>
        <w:rPr>
          <w:sz w:val="20"/>
          <w:szCs w:val="20"/>
        </w:rPr>
        <w:t>Figure 2. Schematic illustrative section of the combustor test rig</w:t>
      </w:r>
    </w:p>
    <w:p w14:paraId="2420D91B" w14:textId="77777777" w:rsidR="00F46D18" w:rsidRDefault="00F46D18" w:rsidP="00D23630">
      <w:pPr>
        <w:adjustRightInd w:val="0"/>
        <w:snapToGrid w:val="0"/>
        <w:spacing w:after="0" w:line="240" w:lineRule="auto"/>
        <w:jc w:val="both"/>
        <w:rPr>
          <w:sz w:val="20"/>
          <w:szCs w:val="20"/>
          <w:lang w:eastAsia="zh-CN"/>
        </w:rPr>
      </w:pPr>
    </w:p>
    <w:p w14:paraId="1B35B4CE" w14:textId="4A234239" w:rsidR="00F46D18" w:rsidRDefault="0066369F" w:rsidP="00D23630">
      <w:pPr>
        <w:adjustRightInd w:val="0"/>
        <w:snapToGrid w:val="0"/>
        <w:spacing w:after="0" w:line="240" w:lineRule="auto"/>
        <w:ind w:firstLine="426"/>
        <w:jc w:val="both"/>
        <w:rPr>
          <w:sz w:val="20"/>
          <w:szCs w:val="20"/>
          <w:lang w:eastAsia="zh-CN"/>
        </w:rPr>
      </w:pPr>
      <w:r>
        <w:rPr>
          <w:sz w:val="20"/>
          <w:szCs w:val="20"/>
        </w:rPr>
        <w:t xml:space="preserve">Probes for temperature screening are attached along the combustor length to allow for temperature recordings at different cavity lengths. Temperature measurements within the combustor are measured using S-type thermocouples, while the preheated fuel-air mixture temperature inside the hollow cavity was measured using a K-type thermocouple, all thermocouples were connected to multichannel data logger (make: </w:t>
      </w:r>
      <w:r w:rsidR="004976EA">
        <w:rPr>
          <w:sz w:val="20"/>
          <w:szCs w:val="20"/>
        </w:rPr>
        <w:t>omni-instruments</w:t>
      </w:r>
      <w:r>
        <w:rPr>
          <w:sz w:val="20"/>
          <w:szCs w:val="20"/>
        </w:rPr>
        <w:t xml:space="preserve"> - UK, model: MCR-4V/4TC) with a minimum recording interval of 2 ms, and ±0.3% accuracy </w:t>
      </w:r>
      <w:r>
        <w:rPr>
          <w:rFonts w:hint="eastAsia"/>
          <w:sz w:val="20"/>
          <w:szCs w:val="20"/>
        </w:rPr>
        <w:t xml:space="preserve">over the full range. Thermocouples are used to measure: (i) the preheated mixture temperature </w:t>
      </w:r>
      <w:r>
        <w:rPr>
          <w:sz w:val="20"/>
          <w:szCs w:val="20"/>
        </w:rPr>
        <w:t>(T</w:t>
      </w:r>
      <w:r>
        <w:rPr>
          <w:sz w:val="20"/>
          <w:szCs w:val="20"/>
          <w:vertAlign w:val="subscript"/>
        </w:rPr>
        <w:t>p</w:t>
      </w:r>
      <w:r>
        <w:rPr>
          <w:rFonts w:hint="eastAsia"/>
          <w:sz w:val="20"/>
          <w:szCs w:val="20"/>
        </w:rPr>
        <w:t xml:space="preserve">) inside the hollow bluff body, (ii) flame </w:t>
      </w:r>
      <w:r>
        <w:rPr>
          <w:sz w:val="20"/>
          <w:szCs w:val="20"/>
        </w:rPr>
        <w:t>impingement</w:t>
      </w:r>
      <w:r>
        <w:rPr>
          <w:rFonts w:hint="eastAsia"/>
          <w:sz w:val="20"/>
          <w:szCs w:val="20"/>
        </w:rPr>
        <w:t xml:space="preserve"> temperature at the combusto</w:t>
      </w:r>
      <w:r>
        <w:rPr>
          <w:rFonts w:hint="cs"/>
          <w:sz w:val="20"/>
          <w:szCs w:val="20"/>
        </w:rPr>
        <w:t>r</w:t>
      </w:r>
      <w:r>
        <w:rPr>
          <w:sz w:val="20"/>
          <w:szCs w:val="20"/>
        </w:rPr>
        <w:t>’</w:t>
      </w:r>
      <w:r>
        <w:rPr>
          <w:rFonts w:hint="eastAsia"/>
          <w:sz w:val="20"/>
          <w:szCs w:val="20"/>
        </w:rPr>
        <w:t xml:space="preserve">s bottom wall </w:t>
      </w:r>
      <w:r>
        <w:rPr>
          <w:sz w:val="20"/>
          <w:szCs w:val="20"/>
        </w:rPr>
        <w:t>(T</w:t>
      </w:r>
      <w:r>
        <w:rPr>
          <w:sz w:val="20"/>
          <w:szCs w:val="20"/>
          <w:vertAlign w:val="subscript"/>
        </w:rPr>
        <w:t>i</w:t>
      </w:r>
      <w:r>
        <w:rPr>
          <w:sz w:val="20"/>
          <w:szCs w:val="20"/>
        </w:rPr>
        <w:t>)</w:t>
      </w:r>
      <w:r>
        <w:rPr>
          <w:rFonts w:hint="eastAsia"/>
          <w:sz w:val="20"/>
          <w:szCs w:val="20"/>
        </w:rPr>
        <w:t>, (iii) exhaust gases temperatures</w:t>
      </w:r>
      <w:r>
        <w:rPr>
          <w:sz w:val="20"/>
          <w:szCs w:val="20"/>
        </w:rPr>
        <w:t xml:space="preserve"> (T</w:t>
      </w:r>
      <w:r>
        <w:rPr>
          <w:rFonts w:hint="eastAsia"/>
          <w:sz w:val="20"/>
          <w:szCs w:val="20"/>
          <w:vertAlign w:val="subscript"/>
        </w:rPr>
        <w:t>e</w:t>
      </w:r>
      <w:r>
        <w:rPr>
          <w:rFonts w:hint="eastAsia"/>
          <w:sz w:val="20"/>
          <w:szCs w:val="20"/>
        </w:rPr>
        <w:t xml:space="preserve">) measured 1cm downstream the bluff body top surface and at half the distance between the bluff body and combustor side wall, and (iv) bluff body surface temperature </w:t>
      </w:r>
      <w:r>
        <w:rPr>
          <w:sz w:val="20"/>
          <w:szCs w:val="20"/>
        </w:rPr>
        <w:t>(T</w:t>
      </w:r>
      <w:r>
        <w:rPr>
          <w:sz w:val="20"/>
          <w:szCs w:val="20"/>
          <w:vertAlign w:val="subscript"/>
        </w:rPr>
        <w:t>b</w:t>
      </w:r>
      <w:r>
        <w:rPr>
          <w:rFonts w:hint="eastAsia"/>
          <w:sz w:val="20"/>
          <w:szCs w:val="20"/>
        </w:rPr>
        <w:t xml:space="preserve">). Three bluff body </w:t>
      </w:r>
      <w:r>
        <w:rPr>
          <w:sz w:val="20"/>
          <w:szCs w:val="20"/>
        </w:rPr>
        <w:t>geometries</w:t>
      </w:r>
      <w:r>
        <w:rPr>
          <w:rFonts w:hint="eastAsia"/>
          <w:sz w:val="20"/>
          <w:szCs w:val="20"/>
        </w:rPr>
        <w:t xml:space="preserve"> were used in this research work, geometries and dimensions are</w:t>
      </w:r>
      <w:r>
        <w:rPr>
          <w:sz w:val="20"/>
          <w:szCs w:val="20"/>
        </w:rPr>
        <w:t xml:space="preserve"> shown in Figure 3.</w:t>
      </w:r>
    </w:p>
    <w:p w14:paraId="76660E10" w14:textId="77777777" w:rsidR="00B54867" w:rsidRDefault="00B54867" w:rsidP="00D23630">
      <w:pPr>
        <w:adjustRightInd w:val="0"/>
        <w:snapToGrid w:val="0"/>
        <w:spacing w:after="0" w:line="240" w:lineRule="auto"/>
        <w:ind w:firstLine="426"/>
        <w:jc w:val="both"/>
        <w:rPr>
          <w:sz w:val="20"/>
          <w:szCs w:val="20"/>
          <w:lang w:eastAsia="zh-CN"/>
        </w:rPr>
      </w:pPr>
    </w:p>
    <w:p w14:paraId="443663BD" w14:textId="77777777" w:rsidR="00F46D18" w:rsidRDefault="0066369F" w:rsidP="00D23630">
      <w:pPr>
        <w:adjustRightInd w:val="0"/>
        <w:snapToGrid w:val="0"/>
        <w:spacing w:after="0" w:line="240" w:lineRule="auto"/>
        <w:jc w:val="center"/>
        <w:rPr>
          <w:sz w:val="20"/>
          <w:szCs w:val="20"/>
        </w:rPr>
      </w:pPr>
      <w:r>
        <w:rPr>
          <w:rFonts w:eastAsia="Times New Roman"/>
          <w:noProof/>
          <w:lang w:eastAsia="en-US"/>
        </w:rPr>
        <w:drawing>
          <wp:inline distT="0" distB="0" distL="0" distR="0" wp14:anchorId="46748D0A" wp14:editId="5383AF8F">
            <wp:extent cx="936000" cy="1527175"/>
            <wp:effectExtent l="19050" t="19050" r="16510" b="15875"/>
            <wp:docPr id="4" name="Picture 8"/>
            <wp:cNvGraphicFramePr/>
            <a:graphic xmlns:a="http://schemas.openxmlformats.org/drawingml/2006/main">
              <a:graphicData uri="http://schemas.openxmlformats.org/drawingml/2006/picture">
                <pic:pic xmlns:pic="http://schemas.openxmlformats.org/drawingml/2006/picture">
                  <pic:nvPicPr>
                    <pic:cNvPr id="4" name="Picture 8"/>
                    <pic:cNvPicPr>
                      <a:picLocks noChangeArrowheads="1"/>
                    </pic:cNvPicPr>
                  </pic:nvPicPr>
                  <pic:blipFill>
                    <a:blip r:embed="rId20" cstate="print"/>
                    <a:srcRect l="5519" r="60033" b="2356"/>
                    <a:stretch>
                      <a:fillRect/>
                    </a:stretch>
                  </pic:blipFill>
                  <pic:spPr>
                    <a:xfrm>
                      <a:off x="0" y="0"/>
                      <a:ext cx="936000" cy="1527175"/>
                    </a:xfrm>
                    <a:prstGeom prst="rect">
                      <a:avLst/>
                    </a:prstGeom>
                    <a:noFill/>
                    <a:ln w="3175" cmpd="sng">
                      <a:solidFill>
                        <a:schemeClr val="tx1"/>
                      </a:solidFill>
                      <a:miter lim="800000"/>
                      <a:headEnd/>
                      <a:tailEnd/>
                    </a:ln>
                    <a:effectLst/>
                  </pic:spPr>
                </pic:pic>
              </a:graphicData>
            </a:graphic>
          </wp:inline>
        </w:drawing>
      </w:r>
      <w:r>
        <w:rPr>
          <w:rFonts w:eastAsia="Times New Roman"/>
          <w:noProof/>
          <w:lang w:eastAsia="en-US"/>
        </w:rPr>
        <w:drawing>
          <wp:inline distT="0" distB="0" distL="0" distR="0" wp14:anchorId="22E48996" wp14:editId="1E18FC22">
            <wp:extent cx="936000" cy="1526400"/>
            <wp:effectExtent l="19050" t="19050" r="16510" b="17145"/>
            <wp:docPr id="5" name="Picture 9"/>
            <wp:cNvGraphicFramePr/>
            <a:graphic xmlns:a="http://schemas.openxmlformats.org/drawingml/2006/main">
              <a:graphicData uri="http://schemas.openxmlformats.org/drawingml/2006/picture">
                <pic:pic xmlns:pic="http://schemas.openxmlformats.org/drawingml/2006/picture">
                  <pic:nvPicPr>
                    <pic:cNvPr id="5" name="Picture 9"/>
                    <pic:cNvPicPr>
                      <a:picLocks noChangeArrowheads="1"/>
                    </pic:cNvPicPr>
                  </pic:nvPicPr>
                  <pic:blipFill>
                    <a:blip r:embed="rId21" cstate="print"/>
                    <a:srcRect l="6938" r="53473"/>
                    <a:stretch>
                      <a:fillRect/>
                    </a:stretch>
                  </pic:blipFill>
                  <pic:spPr>
                    <a:xfrm>
                      <a:off x="0" y="0"/>
                      <a:ext cx="936000" cy="1526400"/>
                    </a:xfrm>
                    <a:prstGeom prst="rect">
                      <a:avLst/>
                    </a:prstGeom>
                    <a:noFill/>
                    <a:ln w="3175" cmpd="sng">
                      <a:solidFill>
                        <a:schemeClr val="tx1"/>
                      </a:solidFill>
                      <a:miter lim="800000"/>
                      <a:headEnd/>
                      <a:tailEnd/>
                    </a:ln>
                    <a:effectLst/>
                  </pic:spPr>
                </pic:pic>
              </a:graphicData>
            </a:graphic>
          </wp:inline>
        </w:drawing>
      </w:r>
      <w:r>
        <w:rPr>
          <w:rFonts w:eastAsia="Times New Roman"/>
          <w:noProof/>
          <w:lang w:eastAsia="en-US"/>
        </w:rPr>
        <w:drawing>
          <wp:inline distT="0" distB="0" distL="0" distR="0" wp14:anchorId="072D3DC8" wp14:editId="6E734695">
            <wp:extent cx="759460" cy="1531620"/>
            <wp:effectExtent l="19050" t="19050" r="21590" b="11430"/>
            <wp:docPr id="6" name="Picture 11"/>
            <wp:cNvGraphicFramePr/>
            <a:graphic xmlns:a="http://schemas.openxmlformats.org/drawingml/2006/main">
              <a:graphicData uri="http://schemas.openxmlformats.org/drawingml/2006/picture">
                <pic:pic xmlns:pic="http://schemas.openxmlformats.org/drawingml/2006/picture">
                  <pic:nvPicPr>
                    <pic:cNvPr id="6" name="Picture 11"/>
                    <pic:cNvPicPr>
                      <a:picLocks noChangeArrowheads="1"/>
                    </pic:cNvPicPr>
                  </pic:nvPicPr>
                  <pic:blipFill>
                    <a:blip r:embed="rId22" cstate="print"/>
                    <a:srcRect l="2020" r="55803"/>
                    <a:stretch>
                      <a:fillRect/>
                    </a:stretch>
                  </pic:blipFill>
                  <pic:spPr>
                    <a:xfrm>
                      <a:off x="0" y="0"/>
                      <a:ext cx="759460" cy="1531620"/>
                    </a:xfrm>
                    <a:prstGeom prst="rect">
                      <a:avLst/>
                    </a:prstGeom>
                    <a:noFill/>
                    <a:ln w="3175" cmpd="sng">
                      <a:solidFill>
                        <a:schemeClr val="tx1"/>
                      </a:solidFill>
                      <a:miter lim="800000"/>
                      <a:headEnd/>
                      <a:tailEnd/>
                    </a:ln>
                    <a:effectLst/>
                  </pic:spPr>
                </pic:pic>
              </a:graphicData>
            </a:graphic>
          </wp:inline>
        </w:drawing>
      </w:r>
    </w:p>
    <w:p w14:paraId="759D2119" w14:textId="7753AB9A" w:rsidR="00F46D18" w:rsidRDefault="0066369F" w:rsidP="00D23630">
      <w:pPr>
        <w:adjustRightInd w:val="0"/>
        <w:snapToGrid w:val="0"/>
        <w:spacing w:after="0" w:line="240" w:lineRule="auto"/>
        <w:jc w:val="both"/>
        <w:rPr>
          <w:sz w:val="20"/>
          <w:szCs w:val="20"/>
        </w:rPr>
      </w:pPr>
      <w:r w:rsidRPr="004976EA">
        <w:rPr>
          <w:sz w:val="20"/>
          <w:szCs w:val="20"/>
        </w:rPr>
        <w:t>Figure 3. Hollow bluff body geometries, Type 1 (left), Type 2 (middle), Type 3 (right)</w:t>
      </w:r>
    </w:p>
    <w:p w14:paraId="5FEB3DB6" w14:textId="77777777" w:rsidR="004976EA" w:rsidRPr="004976EA" w:rsidRDefault="004976EA" w:rsidP="00D23630">
      <w:pPr>
        <w:adjustRightInd w:val="0"/>
        <w:snapToGrid w:val="0"/>
        <w:spacing w:after="0" w:line="240" w:lineRule="auto"/>
        <w:jc w:val="both"/>
        <w:rPr>
          <w:sz w:val="20"/>
          <w:szCs w:val="20"/>
        </w:rPr>
      </w:pPr>
    </w:p>
    <w:p w14:paraId="280BBB50" w14:textId="77777777" w:rsidR="00F46D18" w:rsidRPr="004976EA" w:rsidRDefault="0066369F" w:rsidP="00D23630">
      <w:pPr>
        <w:adjustRightInd w:val="0"/>
        <w:snapToGrid w:val="0"/>
        <w:spacing w:after="0" w:line="240" w:lineRule="auto"/>
        <w:jc w:val="both"/>
        <w:rPr>
          <w:rFonts w:asciiTheme="majorBidi" w:eastAsia="Times New Roman" w:hAnsiTheme="majorBidi" w:cstheme="majorBidi"/>
          <w:sz w:val="20"/>
          <w:szCs w:val="20"/>
        </w:rPr>
      </w:pPr>
      <w:r w:rsidRPr="004976EA">
        <w:rPr>
          <w:rFonts w:asciiTheme="majorBidi" w:hAnsiTheme="majorBidi" w:cstheme="majorBidi"/>
          <w:sz w:val="20"/>
          <w:szCs w:val="20"/>
        </w:rPr>
        <w:t xml:space="preserve">Bluff bodies type 1 and 2 have the same blockage ratio </w:t>
      </w:r>
      <m:oMath>
        <m:r>
          <w:rPr>
            <w:rFonts w:ascii="Cambria Math" w:hAnsi="Cambria Math" w:cstheme="majorBidi"/>
            <w:sz w:val="20"/>
            <w:szCs w:val="20"/>
          </w:rPr>
          <m:t xml:space="preserve">(BR = </m:t>
        </m:r>
        <m:f>
          <m:fPr>
            <m:ctrlPr>
              <w:rPr>
                <w:rFonts w:ascii="Cambria Math" w:hAnsi="Cambria Math" w:cstheme="majorBidi"/>
                <w:i/>
                <w:sz w:val="20"/>
                <w:szCs w:val="20"/>
              </w:rPr>
            </m:ctrlPr>
          </m:fPr>
          <m:num>
            <m:sSub>
              <m:sSubPr>
                <m:ctrlPr>
                  <w:rPr>
                    <w:rFonts w:ascii="Cambria Math" w:hAnsi="Cambria Math" w:cstheme="majorBidi"/>
                    <w:i/>
                    <w:sz w:val="20"/>
                    <w:szCs w:val="20"/>
                  </w:rPr>
                </m:ctrlPr>
              </m:sSubPr>
              <m:e>
                <m:r>
                  <w:rPr>
                    <w:rFonts w:ascii="Cambria Math" w:hAnsi="Cambria Math" w:cstheme="majorBidi"/>
                    <w:sz w:val="20"/>
                    <w:szCs w:val="20"/>
                  </w:rPr>
                  <m:t>d</m:t>
                </m:r>
              </m:e>
              <m:sub>
                <m:r>
                  <w:rPr>
                    <w:rFonts w:ascii="Cambria Math" w:hAnsi="Cambria Math" w:cstheme="majorBidi"/>
                    <w:sz w:val="20"/>
                    <w:szCs w:val="20"/>
                  </w:rPr>
                  <m:t>b</m:t>
                </m:r>
              </m:sub>
            </m:sSub>
          </m:num>
          <m:den>
            <m:sSub>
              <m:sSubPr>
                <m:ctrlPr>
                  <w:rPr>
                    <w:rFonts w:ascii="Cambria Math" w:hAnsi="Cambria Math" w:cstheme="majorBidi"/>
                    <w:i/>
                    <w:sz w:val="20"/>
                    <w:szCs w:val="20"/>
                  </w:rPr>
                </m:ctrlPr>
              </m:sSubPr>
              <m:e>
                <m:r>
                  <w:rPr>
                    <w:rFonts w:ascii="Cambria Math" w:hAnsi="Cambria Math" w:cstheme="majorBidi"/>
                    <w:sz w:val="20"/>
                    <w:szCs w:val="20"/>
                  </w:rPr>
                  <m:t>D</m:t>
                </m:r>
              </m:e>
              <m:sub>
                <m:r>
                  <w:rPr>
                    <w:rFonts w:ascii="Cambria Math" w:hAnsi="Cambria Math" w:cstheme="majorBidi"/>
                    <w:sz w:val="20"/>
                    <w:szCs w:val="20"/>
                  </w:rPr>
                  <m:t>c</m:t>
                </m:r>
              </m:sub>
            </m:sSub>
          </m:den>
        </m:f>
        <m:r>
          <w:rPr>
            <w:rFonts w:ascii="Cambria Math" w:hAnsi="Cambria Math" w:cstheme="majorBidi"/>
            <w:sz w:val="20"/>
            <w:szCs w:val="20"/>
          </w:rPr>
          <m:t>)</m:t>
        </m:r>
      </m:oMath>
      <w:r w:rsidRPr="004976EA">
        <w:rPr>
          <w:rFonts w:asciiTheme="majorBidi" w:eastAsia="Times New Roman" w:hAnsiTheme="majorBidi" w:cstheme="majorBidi"/>
          <w:sz w:val="20"/>
          <w:szCs w:val="20"/>
        </w:rPr>
        <w:t xml:space="preserve"> of 0.25, while type 3 has a 0.5 BR. Types 2 and 3 have corrugated sides, while type 1 is a plain hollow cylinder.</w:t>
      </w:r>
    </w:p>
    <w:p w14:paraId="651DB005" w14:textId="77777777" w:rsidR="00F46D18" w:rsidRDefault="0066369F" w:rsidP="00D23630">
      <w:pPr>
        <w:adjustRightInd w:val="0"/>
        <w:snapToGrid w:val="0"/>
        <w:spacing w:after="0" w:line="240" w:lineRule="auto"/>
        <w:jc w:val="both"/>
        <w:rPr>
          <w:b/>
          <w:sz w:val="20"/>
          <w:szCs w:val="20"/>
        </w:rPr>
      </w:pPr>
      <w:r>
        <w:rPr>
          <w:b/>
          <w:sz w:val="20"/>
          <w:szCs w:val="20"/>
        </w:rPr>
        <w:t xml:space="preserve">3. Results </w:t>
      </w:r>
    </w:p>
    <w:p w14:paraId="3EF6A65A" w14:textId="77777777" w:rsidR="00F46D18" w:rsidRDefault="0066369F" w:rsidP="00D23630">
      <w:pPr>
        <w:adjustRightInd w:val="0"/>
        <w:snapToGrid w:val="0"/>
        <w:spacing w:after="0" w:line="240" w:lineRule="auto"/>
        <w:ind w:firstLine="426"/>
        <w:jc w:val="both"/>
        <w:rPr>
          <w:sz w:val="20"/>
          <w:szCs w:val="20"/>
        </w:rPr>
      </w:pPr>
      <w:r>
        <w:rPr>
          <w:sz w:val="20"/>
          <w:szCs w:val="20"/>
        </w:rPr>
        <w:t xml:space="preserve">Examining the relation between the varying steps of cavity length/height and the lean equivalence ratio limits near blowoff, it is found that there is an optimum cavity height at which the equivalence ratios were found to be minimum. To specify the lean operation range associated with each bluff body in terms of low and high lean limits (i.e., the lowest and highest lean equivalence ratios), the low lean limits were corresponding to the maximum air flow rate with the coincident fuel flow rate after which any further increase in air flow or decrease in fuel flow will result in an immediate blowoff. </w:t>
      </w:r>
    </w:p>
    <w:p w14:paraId="1758B22D" w14:textId="77777777" w:rsidR="00F46D18" w:rsidRDefault="00F46D18" w:rsidP="00D23630">
      <w:pPr>
        <w:adjustRightInd w:val="0"/>
        <w:snapToGrid w:val="0"/>
        <w:spacing w:after="0" w:line="240" w:lineRule="auto"/>
        <w:ind w:firstLine="720"/>
        <w:jc w:val="both"/>
        <w:rPr>
          <w:sz w:val="20"/>
          <w:szCs w:val="20"/>
        </w:rPr>
      </w:pPr>
    </w:p>
    <w:p w14:paraId="40B815E8" w14:textId="77777777" w:rsidR="00F46D18" w:rsidRDefault="0066369F" w:rsidP="00D23630">
      <w:pPr>
        <w:adjustRightInd w:val="0"/>
        <w:snapToGrid w:val="0"/>
        <w:spacing w:after="0" w:line="240" w:lineRule="auto"/>
      </w:pPr>
      <w:r>
        <w:rPr>
          <w:noProof/>
          <w:lang w:eastAsia="en-US"/>
        </w:rPr>
        <w:drawing>
          <wp:inline distT="0" distB="0" distL="0" distR="0" wp14:anchorId="5C435887" wp14:editId="0AE3B9D4">
            <wp:extent cx="2628000" cy="2628000"/>
            <wp:effectExtent l="19050" t="19050" r="20320" b="20320"/>
            <wp:docPr id="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5"/>
                    <pic:cNvPicPr>
                      <a:picLocks noChangeAspect="1" noChangeArrowheads="1"/>
                    </pic:cNvPicPr>
                  </pic:nvPicPr>
                  <pic:blipFill>
                    <a:blip r:embed="rId23" cstate="print"/>
                    <a:srcRect/>
                    <a:stretch>
                      <a:fillRect/>
                    </a:stretch>
                  </pic:blipFill>
                  <pic:spPr>
                    <a:xfrm>
                      <a:off x="0" y="0"/>
                      <a:ext cx="2628000" cy="2628000"/>
                    </a:xfrm>
                    <a:prstGeom prst="rect">
                      <a:avLst/>
                    </a:prstGeom>
                    <a:noFill/>
                    <a:ln w="3175">
                      <a:solidFill>
                        <a:schemeClr val="tx1"/>
                      </a:solidFill>
                      <a:miter lim="800000"/>
                      <a:headEnd/>
                      <a:tailEnd/>
                    </a:ln>
                  </pic:spPr>
                </pic:pic>
              </a:graphicData>
            </a:graphic>
          </wp:inline>
        </w:drawing>
      </w:r>
    </w:p>
    <w:p w14:paraId="712D298A" w14:textId="77777777" w:rsidR="00F46D18" w:rsidRDefault="00F46D18" w:rsidP="00D23630">
      <w:pPr>
        <w:adjustRightInd w:val="0"/>
        <w:snapToGrid w:val="0"/>
        <w:spacing w:after="0" w:line="240" w:lineRule="auto"/>
      </w:pPr>
    </w:p>
    <w:p w14:paraId="6C9F7F2D" w14:textId="77777777" w:rsidR="00F46D18" w:rsidRDefault="0066369F" w:rsidP="00D23630">
      <w:pPr>
        <w:adjustRightInd w:val="0"/>
        <w:snapToGrid w:val="0"/>
        <w:spacing w:after="0" w:line="240" w:lineRule="auto"/>
        <w:rPr>
          <w:sz w:val="20"/>
          <w:szCs w:val="20"/>
        </w:rPr>
      </w:pPr>
      <w:r>
        <w:rPr>
          <w:noProof/>
          <w:lang w:eastAsia="en-US"/>
        </w:rPr>
        <w:drawing>
          <wp:inline distT="0" distB="0" distL="0" distR="0" wp14:anchorId="33A0A222" wp14:editId="3A079554">
            <wp:extent cx="2628000" cy="2628000"/>
            <wp:effectExtent l="19050" t="19050" r="20320" b="20320"/>
            <wp:docPr id="1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6"/>
                    <pic:cNvPicPr>
                      <a:picLocks noChangeAspect="1" noChangeArrowheads="1"/>
                    </pic:cNvPicPr>
                  </pic:nvPicPr>
                  <pic:blipFill>
                    <a:blip r:embed="rId24" cstate="print"/>
                    <a:srcRect/>
                    <a:stretch>
                      <a:fillRect/>
                    </a:stretch>
                  </pic:blipFill>
                  <pic:spPr>
                    <a:xfrm>
                      <a:off x="0" y="0"/>
                      <a:ext cx="2628000" cy="2628000"/>
                    </a:xfrm>
                    <a:prstGeom prst="rect">
                      <a:avLst/>
                    </a:prstGeom>
                    <a:noFill/>
                    <a:ln w="3175">
                      <a:solidFill>
                        <a:schemeClr val="tx1"/>
                      </a:solidFill>
                      <a:miter lim="800000"/>
                      <a:headEnd/>
                      <a:tailEnd/>
                    </a:ln>
                  </pic:spPr>
                </pic:pic>
              </a:graphicData>
            </a:graphic>
          </wp:inline>
        </w:drawing>
      </w:r>
    </w:p>
    <w:p w14:paraId="3DDEDEDA" w14:textId="77777777" w:rsidR="00F46D18" w:rsidRDefault="0066369F" w:rsidP="00D23630">
      <w:pPr>
        <w:adjustRightInd w:val="0"/>
        <w:snapToGrid w:val="0"/>
        <w:spacing w:after="0" w:line="240" w:lineRule="auto"/>
        <w:jc w:val="both"/>
        <w:rPr>
          <w:sz w:val="20"/>
          <w:szCs w:val="20"/>
        </w:rPr>
      </w:pPr>
      <w:r>
        <w:rPr>
          <w:sz w:val="20"/>
          <w:szCs w:val="20"/>
        </w:rPr>
        <w:t>Figure 4. Equivalence ratio limits at different cavity heights, (a) low lean limits, (b) high lean limits</w:t>
      </w:r>
    </w:p>
    <w:p w14:paraId="2A1834A0" w14:textId="77777777" w:rsidR="00B54867" w:rsidRDefault="00B54867" w:rsidP="00D23630">
      <w:pPr>
        <w:adjustRightInd w:val="0"/>
        <w:snapToGrid w:val="0"/>
        <w:spacing w:after="0" w:line="240" w:lineRule="auto"/>
        <w:ind w:firstLine="426"/>
        <w:jc w:val="both"/>
        <w:rPr>
          <w:sz w:val="20"/>
          <w:szCs w:val="20"/>
          <w:lang w:eastAsia="zh-CN"/>
        </w:rPr>
      </w:pPr>
    </w:p>
    <w:p w14:paraId="7DA7B962" w14:textId="77777777" w:rsidR="00F46D18" w:rsidRDefault="0066369F" w:rsidP="00D23630">
      <w:pPr>
        <w:adjustRightInd w:val="0"/>
        <w:snapToGrid w:val="0"/>
        <w:spacing w:after="0" w:line="240" w:lineRule="auto"/>
        <w:ind w:firstLine="426"/>
        <w:jc w:val="both"/>
        <w:rPr>
          <w:sz w:val="20"/>
          <w:szCs w:val="20"/>
        </w:rPr>
      </w:pPr>
      <w:r>
        <w:rPr>
          <w:sz w:val="20"/>
          <w:szCs w:val="20"/>
        </w:rPr>
        <w:t>The maximum fuel flow rate that could be achieved during stoichiometric operation is used for high lean limit operation; the high lean limit is determined by further increasing the coincident air flow rate till blowoff. The low (</w:t>
      </w:r>
      <w:r>
        <w:rPr>
          <w:rFonts w:ascii="Cambria Math" w:hAnsi="Cambria Math" w:cs="Cambria Math"/>
          <w:sz w:val="20"/>
          <w:szCs w:val="20"/>
        </w:rPr>
        <w:t>∅</w:t>
      </w:r>
      <w:r>
        <w:rPr>
          <w:sz w:val="20"/>
          <w:szCs w:val="20"/>
          <w:vertAlign w:val="subscript"/>
        </w:rPr>
        <w:t>L</w:t>
      </w:r>
      <w:r>
        <w:rPr>
          <w:sz w:val="20"/>
          <w:szCs w:val="20"/>
        </w:rPr>
        <w:t>) and high (</w:t>
      </w:r>
      <w:r>
        <w:rPr>
          <w:rFonts w:ascii="Cambria Math" w:hAnsi="Cambria Math" w:cs="Cambria Math"/>
          <w:sz w:val="20"/>
          <w:szCs w:val="20"/>
        </w:rPr>
        <w:t>∅</w:t>
      </w:r>
      <w:r>
        <w:rPr>
          <w:sz w:val="20"/>
          <w:szCs w:val="20"/>
          <w:vertAlign w:val="subscript"/>
        </w:rPr>
        <w:t>H</w:t>
      </w:r>
      <w:r>
        <w:rPr>
          <w:sz w:val="20"/>
          <w:szCs w:val="20"/>
        </w:rPr>
        <w:t>) lean equivalence ratios are plotted in Figure 4.</w:t>
      </w:r>
    </w:p>
    <w:p w14:paraId="267FEDF2" w14:textId="10951D72" w:rsidR="00F46D18" w:rsidRDefault="0066369F" w:rsidP="00D23630">
      <w:pPr>
        <w:adjustRightInd w:val="0"/>
        <w:snapToGrid w:val="0"/>
        <w:spacing w:after="0" w:line="240" w:lineRule="auto"/>
        <w:ind w:firstLine="426"/>
        <w:jc w:val="both"/>
        <w:rPr>
          <w:sz w:val="20"/>
          <w:szCs w:val="20"/>
        </w:rPr>
      </w:pPr>
      <w:r>
        <w:rPr>
          <w:sz w:val="20"/>
          <w:szCs w:val="20"/>
        </w:rPr>
        <w:t xml:space="preserve">The lowest lean limit </w:t>
      </w:r>
      <w:r>
        <w:rPr>
          <w:rFonts w:ascii="Cambria Math" w:hAnsi="Cambria Math" w:cs="Cambria Math"/>
          <w:sz w:val="20"/>
          <w:szCs w:val="20"/>
        </w:rPr>
        <w:t>∅</w:t>
      </w:r>
      <w:r>
        <w:rPr>
          <w:sz w:val="20"/>
          <w:szCs w:val="20"/>
          <w:vertAlign w:val="subscript"/>
        </w:rPr>
        <w:t>L</w:t>
      </w:r>
      <w:r>
        <w:rPr>
          <w:sz w:val="20"/>
          <w:szCs w:val="20"/>
        </w:rPr>
        <w:t xml:space="preserve"> is obtained by bluff body type 3 at 25mm cavity height, while at the same cavity height, the highest equivalence ratio was obtained by bluff body type 2, bluff body type 1 is found to have a nearly average </w:t>
      </w:r>
      <w:r w:rsidR="004976EA">
        <w:rPr>
          <w:sz w:val="20"/>
          <w:szCs w:val="20"/>
        </w:rPr>
        <w:t>performance</w:t>
      </w:r>
      <w:r>
        <w:rPr>
          <w:sz w:val="20"/>
          <w:szCs w:val="20"/>
        </w:rPr>
        <w:t xml:space="preserve"> between the other two types. Side corrugated surfaces in type 2 were found to be negatively affecting lean limits, while in case of type 3 with a doubled blockage ratio, the effect of side corrugated surfaces is almost neglected compared to the improved effect of having a larger recirculation zone downstream the bluff body. The negative effects of side corrugations in case of low blockage ratios could be attributed to the high bluff body surface temperature that makes the flame tends to move upwards towards the bluff body and consequently lowering the recirculation zone strength due to the reduced mixing, similar findings were reported by Kedia and Ghoniem, 2014, and Wan et al., 2018. The high lean limits </w:t>
      </w:r>
      <w:r>
        <w:rPr>
          <w:rFonts w:ascii="Cambria Math" w:hAnsi="Cambria Math" w:cs="Cambria Math"/>
          <w:sz w:val="20"/>
          <w:szCs w:val="20"/>
        </w:rPr>
        <w:t>∅</w:t>
      </w:r>
      <w:r>
        <w:rPr>
          <w:sz w:val="20"/>
          <w:szCs w:val="20"/>
          <w:vertAlign w:val="subscript"/>
        </w:rPr>
        <w:t>H</w:t>
      </w:r>
      <w:r>
        <w:rPr>
          <w:sz w:val="20"/>
          <w:szCs w:val="20"/>
        </w:rPr>
        <w:t xml:space="preserve"> </w:t>
      </w:r>
      <w:r w:rsidR="004976EA">
        <w:rPr>
          <w:sz w:val="20"/>
          <w:szCs w:val="20"/>
        </w:rPr>
        <w:t>achieved</w:t>
      </w:r>
      <w:r>
        <w:rPr>
          <w:sz w:val="20"/>
          <w:szCs w:val="20"/>
        </w:rPr>
        <w:t xml:space="preserve"> by the three geometries are constant over the whole experimental range, while it is lowest with type 3, a highest with type 1.</w:t>
      </w:r>
    </w:p>
    <w:p w14:paraId="14D834CF" w14:textId="77777777" w:rsidR="00F46D18" w:rsidRDefault="0066369F" w:rsidP="00D23630">
      <w:pPr>
        <w:adjustRightInd w:val="0"/>
        <w:snapToGrid w:val="0"/>
        <w:spacing w:after="0" w:line="240" w:lineRule="auto"/>
        <w:ind w:firstLine="426"/>
        <w:jc w:val="both"/>
        <w:rPr>
          <w:sz w:val="20"/>
          <w:szCs w:val="20"/>
          <w:lang w:eastAsia="zh-CN"/>
        </w:rPr>
      </w:pPr>
      <w:r>
        <w:rPr>
          <w:sz w:val="20"/>
          <w:szCs w:val="20"/>
        </w:rPr>
        <w:t>Low limit (VeBO</w:t>
      </w:r>
      <w:r>
        <w:rPr>
          <w:sz w:val="20"/>
          <w:szCs w:val="20"/>
          <w:vertAlign w:val="subscript"/>
        </w:rPr>
        <w:t>L</w:t>
      </w:r>
      <w:r>
        <w:rPr>
          <w:sz w:val="20"/>
          <w:szCs w:val="20"/>
        </w:rPr>
        <w:t>) and high limit (VeBO</w:t>
      </w:r>
      <w:r>
        <w:rPr>
          <w:sz w:val="20"/>
          <w:szCs w:val="20"/>
          <w:vertAlign w:val="subscript"/>
        </w:rPr>
        <w:t>H</w:t>
      </w:r>
      <w:r>
        <w:rPr>
          <w:sz w:val="20"/>
          <w:szCs w:val="20"/>
        </w:rPr>
        <w:t>) blowoff velocities of the preheated mixture exiting the hollow bluff bodies and entering the combustion region were plotted in Figure 5. The lowest blowoff velocities were reported with the case of bluff body type 3.</w:t>
      </w:r>
    </w:p>
    <w:p w14:paraId="456E9F26" w14:textId="77777777" w:rsidR="008A4031" w:rsidRDefault="008A4031" w:rsidP="00D23630">
      <w:pPr>
        <w:adjustRightInd w:val="0"/>
        <w:snapToGrid w:val="0"/>
        <w:spacing w:after="0" w:line="240" w:lineRule="auto"/>
        <w:ind w:firstLine="426"/>
        <w:jc w:val="both"/>
        <w:rPr>
          <w:sz w:val="20"/>
          <w:szCs w:val="20"/>
          <w:lang w:eastAsia="zh-CN"/>
        </w:rPr>
      </w:pPr>
    </w:p>
    <w:p w14:paraId="3FDC4641" w14:textId="77777777" w:rsidR="00F46D18" w:rsidRDefault="0066369F" w:rsidP="00D23630">
      <w:pPr>
        <w:adjustRightInd w:val="0"/>
        <w:snapToGrid w:val="0"/>
        <w:spacing w:after="0" w:line="240" w:lineRule="auto"/>
        <w:rPr>
          <w:sz w:val="20"/>
          <w:szCs w:val="20"/>
        </w:rPr>
      </w:pPr>
      <w:r>
        <w:rPr>
          <w:noProof/>
          <w:lang w:eastAsia="en-US"/>
        </w:rPr>
        <w:drawing>
          <wp:inline distT="0" distB="0" distL="0" distR="0" wp14:anchorId="15C8ED4F" wp14:editId="795776CA">
            <wp:extent cx="2628000" cy="2628000"/>
            <wp:effectExtent l="19050" t="19050" r="20320" b="20320"/>
            <wp:docPr id="1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7"/>
                    <pic:cNvPicPr>
                      <a:picLocks noChangeAspect="1" noChangeArrowheads="1"/>
                    </pic:cNvPicPr>
                  </pic:nvPicPr>
                  <pic:blipFill>
                    <a:blip r:embed="rId25" cstate="print"/>
                    <a:srcRect/>
                    <a:stretch>
                      <a:fillRect/>
                    </a:stretch>
                  </pic:blipFill>
                  <pic:spPr>
                    <a:xfrm>
                      <a:off x="0" y="0"/>
                      <a:ext cx="2628000" cy="2628000"/>
                    </a:xfrm>
                    <a:prstGeom prst="rect">
                      <a:avLst/>
                    </a:prstGeom>
                    <a:noFill/>
                    <a:ln w="3175">
                      <a:solidFill>
                        <a:schemeClr val="tx1"/>
                      </a:solidFill>
                      <a:miter lim="800000"/>
                      <a:headEnd/>
                      <a:tailEnd/>
                    </a:ln>
                  </pic:spPr>
                </pic:pic>
              </a:graphicData>
            </a:graphic>
          </wp:inline>
        </w:drawing>
      </w:r>
    </w:p>
    <w:p w14:paraId="007FF01A" w14:textId="77777777" w:rsidR="00F46D18" w:rsidRDefault="00F46D18" w:rsidP="00D23630">
      <w:pPr>
        <w:adjustRightInd w:val="0"/>
        <w:snapToGrid w:val="0"/>
        <w:spacing w:after="0" w:line="240" w:lineRule="auto"/>
        <w:rPr>
          <w:sz w:val="20"/>
          <w:szCs w:val="20"/>
          <w:lang w:eastAsia="zh-CN"/>
        </w:rPr>
      </w:pPr>
    </w:p>
    <w:p w14:paraId="4F87961D" w14:textId="77777777" w:rsidR="00F46D18" w:rsidRDefault="0066369F" w:rsidP="004976EA">
      <w:pPr>
        <w:adjustRightInd w:val="0"/>
        <w:snapToGrid w:val="0"/>
        <w:spacing w:after="0"/>
        <w:jc w:val="center"/>
        <w:rPr>
          <w:sz w:val="20"/>
          <w:szCs w:val="20"/>
        </w:rPr>
      </w:pPr>
      <w:r>
        <w:rPr>
          <w:noProof/>
          <w:lang w:eastAsia="en-US"/>
        </w:rPr>
        <w:drawing>
          <wp:inline distT="0" distB="0" distL="0" distR="0" wp14:anchorId="5CA2021B" wp14:editId="783B9398">
            <wp:extent cx="2628900" cy="2628900"/>
            <wp:effectExtent l="19050" t="19050" r="19050" b="19050"/>
            <wp:docPr id="1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0"/>
                    <pic:cNvPicPr>
                      <a:picLocks noChangeAspect="1" noChangeArrowheads="1"/>
                    </pic:cNvPicPr>
                  </pic:nvPicPr>
                  <pic:blipFill>
                    <a:blip r:embed="rId26" cstate="print"/>
                    <a:srcRect/>
                    <a:stretch>
                      <a:fillRect/>
                    </a:stretch>
                  </pic:blipFill>
                  <pic:spPr>
                    <a:xfrm>
                      <a:off x="0" y="0"/>
                      <a:ext cx="2632219" cy="2632219"/>
                    </a:xfrm>
                    <a:prstGeom prst="rect">
                      <a:avLst/>
                    </a:prstGeom>
                    <a:noFill/>
                    <a:ln w="3175">
                      <a:solidFill>
                        <a:schemeClr val="tx1"/>
                      </a:solidFill>
                      <a:miter lim="800000"/>
                      <a:headEnd/>
                      <a:tailEnd/>
                    </a:ln>
                  </pic:spPr>
                </pic:pic>
              </a:graphicData>
            </a:graphic>
          </wp:inline>
        </w:drawing>
      </w:r>
    </w:p>
    <w:p w14:paraId="1F96B88B" w14:textId="77777777" w:rsidR="00F46D18" w:rsidRDefault="0066369F" w:rsidP="00D23630">
      <w:pPr>
        <w:adjustRightInd w:val="0"/>
        <w:snapToGrid w:val="0"/>
        <w:spacing w:after="0" w:line="240" w:lineRule="auto"/>
        <w:jc w:val="both"/>
        <w:rPr>
          <w:sz w:val="20"/>
          <w:szCs w:val="20"/>
        </w:rPr>
      </w:pPr>
      <w:r>
        <w:rPr>
          <w:sz w:val="20"/>
          <w:szCs w:val="20"/>
        </w:rPr>
        <w:t>Figure 5. Blowoff velocity limits at different cavity heights, (a) low velocity limits, (b) high velocity limits</w:t>
      </w:r>
    </w:p>
    <w:p w14:paraId="74327673" w14:textId="77777777" w:rsidR="00F46D18" w:rsidRDefault="00F46D18" w:rsidP="00D23630">
      <w:pPr>
        <w:adjustRightInd w:val="0"/>
        <w:snapToGrid w:val="0"/>
        <w:spacing w:after="0" w:line="240" w:lineRule="auto"/>
        <w:rPr>
          <w:sz w:val="20"/>
          <w:szCs w:val="20"/>
          <w:lang w:eastAsia="zh-CN"/>
        </w:rPr>
      </w:pPr>
    </w:p>
    <w:p w14:paraId="4EF6FE55" w14:textId="1602988F" w:rsidR="00F46D18" w:rsidRDefault="0066369F" w:rsidP="00D23630">
      <w:pPr>
        <w:adjustRightInd w:val="0"/>
        <w:snapToGrid w:val="0"/>
        <w:spacing w:after="0" w:line="240" w:lineRule="auto"/>
        <w:ind w:firstLine="426"/>
        <w:jc w:val="both"/>
        <w:rPr>
          <w:sz w:val="20"/>
          <w:szCs w:val="20"/>
        </w:rPr>
      </w:pPr>
      <w:r>
        <w:rPr>
          <w:sz w:val="20"/>
          <w:szCs w:val="20"/>
        </w:rPr>
        <w:t xml:space="preserve">During high lean operation, maximum blowoff velocities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VeBO</m:t>
            </m:r>
          </m:e>
          <m:sub>
            <m:r>
              <w:rPr>
                <w:rFonts w:ascii="Cambria Math" w:hAnsi="Cambria Math"/>
                <w:sz w:val="20"/>
                <w:szCs w:val="20"/>
              </w:rPr>
              <m:t>H</m:t>
            </m:r>
          </m:sub>
        </m:sSub>
        <m:r>
          <w:rPr>
            <w:rFonts w:ascii="Cambria Math" w:hAnsi="Cambria Math"/>
            <w:sz w:val="20"/>
            <w:szCs w:val="20"/>
          </w:rPr>
          <m:t>)</m:t>
        </m:r>
      </m:oMath>
      <w:r w:rsidRPr="004976EA">
        <w:rPr>
          <w:sz w:val="16"/>
          <w:szCs w:val="16"/>
        </w:rPr>
        <w:t xml:space="preserve"> </w:t>
      </w:r>
      <w:r>
        <w:rPr>
          <w:sz w:val="20"/>
          <w:szCs w:val="20"/>
        </w:rPr>
        <w:t xml:space="preserve">were found to be independent to the varying steps of cavity length, except for type 2. Summary of the experimental results of flammability limits during the low and high lean operating conditions are presented in </w:t>
      </w:r>
      <w:r w:rsidR="004976EA" w:rsidRPr="004976EA">
        <w:rPr>
          <w:sz w:val="20"/>
          <w:szCs w:val="20"/>
        </w:rPr>
        <w:t>Table 1.</w:t>
      </w:r>
    </w:p>
    <w:p w14:paraId="7487D3B9" w14:textId="77777777" w:rsidR="00F46D18" w:rsidRDefault="00F46D18" w:rsidP="00D23630">
      <w:pPr>
        <w:adjustRightInd w:val="0"/>
        <w:snapToGrid w:val="0"/>
        <w:spacing w:after="0" w:line="240" w:lineRule="auto"/>
        <w:rPr>
          <w:sz w:val="20"/>
          <w:szCs w:val="20"/>
          <w:lang w:eastAsia="zh-CN"/>
        </w:rPr>
      </w:pPr>
    </w:p>
    <w:p w14:paraId="19D2600A" w14:textId="77777777" w:rsidR="00F46D18" w:rsidRDefault="0066369F" w:rsidP="004976EA">
      <w:pPr>
        <w:adjustRightInd w:val="0"/>
        <w:snapToGrid w:val="0"/>
        <w:spacing w:after="0" w:line="240" w:lineRule="auto"/>
        <w:rPr>
          <w:sz w:val="20"/>
          <w:szCs w:val="20"/>
        </w:rPr>
      </w:pPr>
      <w:r>
        <w:rPr>
          <w:sz w:val="20"/>
          <w:szCs w:val="20"/>
        </w:rPr>
        <w:t>Table 1. Summary of flammability limits during the low and the high lean operating conditions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741"/>
        <w:gridCol w:w="741"/>
        <w:gridCol w:w="1083"/>
        <w:gridCol w:w="1131"/>
      </w:tblGrid>
      <w:tr w:rsidR="00F46D18" w14:paraId="0481DB52" w14:textId="77777777">
        <w:trPr>
          <w:trHeight w:val="170"/>
          <w:jc w:val="center"/>
        </w:trPr>
        <w:tc>
          <w:tcPr>
            <w:tcW w:w="990" w:type="pct"/>
            <w:shd w:val="clear" w:color="auto" w:fill="auto"/>
            <w:vAlign w:val="center"/>
          </w:tcPr>
          <w:p w14:paraId="36BB0E9D" w14:textId="77777777" w:rsidR="00F46D18" w:rsidRDefault="0066369F" w:rsidP="004976EA">
            <w:pPr>
              <w:adjustRightInd w:val="0"/>
              <w:snapToGrid w:val="0"/>
              <w:spacing w:after="0" w:line="240" w:lineRule="auto"/>
              <w:jc w:val="center"/>
              <w:rPr>
                <w:rFonts w:eastAsia="Calibri"/>
                <w:sz w:val="20"/>
                <w:szCs w:val="20"/>
              </w:rPr>
            </w:pPr>
            <w:r>
              <w:rPr>
                <w:rFonts w:eastAsia="Calibri"/>
                <w:sz w:val="20"/>
                <w:szCs w:val="20"/>
              </w:rPr>
              <w:t>Bluff body</w:t>
            </w:r>
          </w:p>
        </w:tc>
        <w:tc>
          <w:tcPr>
            <w:tcW w:w="804" w:type="pct"/>
            <w:shd w:val="clear" w:color="auto" w:fill="auto"/>
            <w:vAlign w:val="center"/>
          </w:tcPr>
          <w:p w14:paraId="412C729B" w14:textId="77777777" w:rsidR="00F46D18" w:rsidRDefault="00D97325" w:rsidP="004976EA">
            <w:pPr>
              <w:adjustRightInd w:val="0"/>
              <w:snapToGrid w:val="0"/>
              <w:spacing w:after="0" w:line="240" w:lineRule="auto"/>
              <w:jc w:val="center"/>
              <w:rPr>
                <w:rFonts w:eastAsia="Calibri"/>
                <w:sz w:val="20"/>
                <w:szCs w:val="20"/>
              </w:rPr>
            </w:pPr>
            <m:oMathPara>
              <m:oMath>
                <m:sSub>
                  <m:sSubPr>
                    <m:ctrlPr>
                      <w:rPr>
                        <w:rFonts w:ascii="Cambria Math" w:hAnsi="Cambria Math"/>
                        <w:b/>
                        <w:bCs/>
                        <w:i/>
                        <w:sz w:val="20"/>
                        <w:szCs w:val="20"/>
                      </w:rPr>
                    </m:ctrlPr>
                  </m:sSubPr>
                  <m:e>
                    <m:r>
                      <w:rPr>
                        <w:rFonts w:ascii="Cambria Math" w:hAnsi="Cambria Math"/>
                        <w:sz w:val="20"/>
                        <w:szCs w:val="20"/>
                      </w:rPr>
                      <m:t>∅</m:t>
                    </m:r>
                  </m:e>
                  <m:sub>
                    <m:r>
                      <m:rPr>
                        <m:sty m:val="bi"/>
                      </m:rPr>
                      <w:rPr>
                        <w:rFonts w:ascii="Cambria Math" w:hAnsi="Cambria Math"/>
                        <w:sz w:val="20"/>
                        <w:szCs w:val="20"/>
                      </w:rPr>
                      <m:t>L</m:t>
                    </m:r>
                  </m:sub>
                </m:sSub>
              </m:oMath>
            </m:oMathPara>
          </w:p>
        </w:tc>
        <w:tc>
          <w:tcPr>
            <w:tcW w:w="804" w:type="pct"/>
            <w:shd w:val="clear" w:color="auto" w:fill="auto"/>
            <w:vAlign w:val="center"/>
          </w:tcPr>
          <w:p w14:paraId="6135686B" w14:textId="77777777" w:rsidR="00F46D18" w:rsidRDefault="00D97325" w:rsidP="004976EA">
            <w:pPr>
              <w:adjustRightInd w:val="0"/>
              <w:snapToGrid w:val="0"/>
              <w:spacing w:after="0" w:line="240" w:lineRule="auto"/>
              <w:jc w:val="center"/>
              <w:rPr>
                <w:rFonts w:eastAsia="Calibri"/>
                <w:sz w:val="20"/>
                <w:szCs w:val="20"/>
              </w:rPr>
            </w:pPr>
            <m:oMathPara>
              <m:oMath>
                <m:sSub>
                  <m:sSubPr>
                    <m:ctrlPr>
                      <w:rPr>
                        <w:rFonts w:ascii="Cambria Math" w:hAnsi="Cambria Math"/>
                        <w:b/>
                        <w:bCs/>
                        <w:i/>
                        <w:sz w:val="20"/>
                        <w:szCs w:val="20"/>
                      </w:rPr>
                    </m:ctrlPr>
                  </m:sSubPr>
                  <m:e>
                    <m:r>
                      <m:rPr>
                        <m:sty m:val="bi"/>
                      </m:rPr>
                      <w:rPr>
                        <w:rFonts w:ascii="Cambria Math" w:hAnsi="Cambria Math"/>
                        <w:sz w:val="20"/>
                        <w:szCs w:val="20"/>
                      </w:rPr>
                      <m:t>∅</m:t>
                    </m:r>
                  </m:e>
                  <m:sub>
                    <m:r>
                      <m:rPr>
                        <m:sty m:val="bi"/>
                      </m:rPr>
                      <w:rPr>
                        <w:rFonts w:ascii="Cambria Math" w:hAnsi="Cambria Math"/>
                        <w:sz w:val="20"/>
                        <w:szCs w:val="20"/>
                      </w:rPr>
                      <m:t>H</m:t>
                    </m:r>
                  </m:sub>
                </m:sSub>
              </m:oMath>
            </m:oMathPara>
          </w:p>
        </w:tc>
        <w:tc>
          <w:tcPr>
            <w:tcW w:w="1175" w:type="pct"/>
            <w:shd w:val="clear" w:color="auto" w:fill="auto"/>
            <w:vAlign w:val="center"/>
          </w:tcPr>
          <w:p w14:paraId="58F3AEFB" w14:textId="017E18B4" w:rsidR="00F46D18" w:rsidRPr="004976EA" w:rsidRDefault="00D97325" w:rsidP="004976EA">
            <w:pPr>
              <w:adjustRightInd w:val="0"/>
              <w:snapToGrid w:val="0"/>
              <w:spacing w:after="0" w:line="240" w:lineRule="auto"/>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VeBO</m:t>
                    </m:r>
                  </m:e>
                  <m:sub>
                    <m:r>
                      <w:rPr>
                        <w:rFonts w:ascii="Cambria Math" w:hAnsi="Cambria Math"/>
                        <w:sz w:val="18"/>
                        <w:szCs w:val="18"/>
                      </w:rPr>
                      <m:t>L</m:t>
                    </m:r>
                  </m:sub>
                </m:sSub>
              </m:oMath>
            </m:oMathPara>
          </w:p>
          <w:p w14:paraId="178CB26C" w14:textId="77777777" w:rsidR="00F46D18" w:rsidRDefault="0066369F" w:rsidP="004976EA">
            <w:pPr>
              <w:adjustRightInd w:val="0"/>
              <w:snapToGrid w:val="0"/>
              <w:spacing w:after="0" w:line="240" w:lineRule="auto"/>
              <w:jc w:val="center"/>
              <w:rPr>
                <w:rFonts w:eastAsia="Calibri"/>
                <w:sz w:val="20"/>
                <w:szCs w:val="20"/>
              </w:rPr>
            </w:pPr>
            <w:r>
              <w:rPr>
                <w:sz w:val="20"/>
                <w:szCs w:val="20"/>
              </w:rPr>
              <w:t>(m/s)</w:t>
            </w:r>
          </w:p>
        </w:tc>
        <w:tc>
          <w:tcPr>
            <w:tcW w:w="1227" w:type="pct"/>
            <w:shd w:val="clear" w:color="auto" w:fill="auto"/>
            <w:vAlign w:val="center"/>
          </w:tcPr>
          <w:p w14:paraId="0BA5878B" w14:textId="407F9CA2" w:rsidR="00F46D18" w:rsidRPr="004976EA" w:rsidRDefault="00D97325" w:rsidP="004976EA">
            <w:pPr>
              <w:adjustRightInd w:val="0"/>
              <w:snapToGrid w:val="0"/>
              <w:spacing w:after="0" w:line="240" w:lineRule="auto"/>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VeBO</m:t>
                    </m:r>
                  </m:e>
                  <m:sub>
                    <m:r>
                      <w:rPr>
                        <w:rFonts w:ascii="Cambria Math" w:hAnsi="Cambria Math"/>
                        <w:sz w:val="18"/>
                        <w:szCs w:val="18"/>
                      </w:rPr>
                      <m:t>H</m:t>
                    </m:r>
                  </m:sub>
                </m:sSub>
              </m:oMath>
            </m:oMathPara>
          </w:p>
          <w:p w14:paraId="684D9CB6" w14:textId="77777777" w:rsidR="00F46D18" w:rsidRDefault="0066369F" w:rsidP="004976EA">
            <w:pPr>
              <w:adjustRightInd w:val="0"/>
              <w:snapToGrid w:val="0"/>
              <w:spacing w:after="0" w:line="240" w:lineRule="auto"/>
              <w:jc w:val="center"/>
              <w:rPr>
                <w:rFonts w:eastAsia="Calibri"/>
                <w:sz w:val="20"/>
                <w:szCs w:val="20"/>
              </w:rPr>
            </w:pPr>
            <w:r>
              <w:rPr>
                <w:sz w:val="20"/>
                <w:szCs w:val="20"/>
              </w:rPr>
              <w:t>(m/s)</w:t>
            </w:r>
          </w:p>
        </w:tc>
      </w:tr>
      <w:tr w:rsidR="00F46D18" w14:paraId="42644CBA" w14:textId="77777777">
        <w:trPr>
          <w:trHeight w:val="170"/>
          <w:jc w:val="center"/>
        </w:trPr>
        <w:tc>
          <w:tcPr>
            <w:tcW w:w="990" w:type="pct"/>
            <w:shd w:val="clear" w:color="auto" w:fill="auto"/>
            <w:vAlign w:val="center"/>
          </w:tcPr>
          <w:p w14:paraId="04C78D2B" w14:textId="77777777" w:rsidR="00F46D18" w:rsidRDefault="0066369F" w:rsidP="004976EA">
            <w:pPr>
              <w:adjustRightInd w:val="0"/>
              <w:snapToGrid w:val="0"/>
              <w:spacing w:after="0" w:line="240" w:lineRule="auto"/>
              <w:jc w:val="center"/>
              <w:rPr>
                <w:rFonts w:eastAsia="Calibri"/>
                <w:sz w:val="20"/>
                <w:szCs w:val="20"/>
              </w:rPr>
            </w:pPr>
            <w:r>
              <w:rPr>
                <w:rFonts w:eastAsia="Calibri"/>
                <w:sz w:val="20"/>
                <w:szCs w:val="20"/>
              </w:rPr>
              <w:t>Type 1</w:t>
            </w:r>
          </w:p>
        </w:tc>
        <w:tc>
          <w:tcPr>
            <w:tcW w:w="804" w:type="pct"/>
            <w:shd w:val="clear" w:color="auto" w:fill="auto"/>
            <w:vAlign w:val="center"/>
          </w:tcPr>
          <w:p w14:paraId="767F5CD2" w14:textId="77777777" w:rsidR="00F46D18" w:rsidRDefault="0066369F" w:rsidP="004976EA">
            <w:pPr>
              <w:adjustRightInd w:val="0"/>
              <w:snapToGrid w:val="0"/>
              <w:spacing w:after="0" w:line="240" w:lineRule="auto"/>
              <w:jc w:val="center"/>
              <w:rPr>
                <w:rFonts w:eastAsia="Calibri"/>
                <w:sz w:val="20"/>
                <w:szCs w:val="20"/>
              </w:rPr>
            </w:pPr>
            <w:r>
              <w:rPr>
                <w:rFonts w:eastAsia="Calibri"/>
                <w:sz w:val="20"/>
                <w:szCs w:val="20"/>
              </w:rPr>
              <w:t>0.53</w:t>
            </w:r>
          </w:p>
        </w:tc>
        <w:tc>
          <w:tcPr>
            <w:tcW w:w="804" w:type="pct"/>
            <w:shd w:val="clear" w:color="auto" w:fill="auto"/>
            <w:vAlign w:val="center"/>
          </w:tcPr>
          <w:p w14:paraId="0F18D8F5" w14:textId="77777777" w:rsidR="00F46D18" w:rsidRDefault="0066369F" w:rsidP="004976EA">
            <w:pPr>
              <w:adjustRightInd w:val="0"/>
              <w:snapToGrid w:val="0"/>
              <w:spacing w:after="0" w:line="240" w:lineRule="auto"/>
              <w:jc w:val="center"/>
              <w:rPr>
                <w:rFonts w:eastAsia="Calibri"/>
                <w:sz w:val="20"/>
                <w:szCs w:val="20"/>
              </w:rPr>
            </w:pPr>
            <w:r>
              <w:rPr>
                <w:rFonts w:eastAsia="Calibri"/>
                <w:sz w:val="20"/>
                <w:szCs w:val="20"/>
              </w:rPr>
              <w:t>0.97</w:t>
            </w:r>
          </w:p>
        </w:tc>
        <w:tc>
          <w:tcPr>
            <w:tcW w:w="1175" w:type="pct"/>
            <w:shd w:val="clear" w:color="auto" w:fill="auto"/>
            <w:vAlign w:val="center"/>
          </w:tcPr>
          <w:p w14:paraId="4747DB70" w14:textId="77777777" w:rsidR="00F46D18" w:rsidRDefault="0066369F" w:rsidP="004976EA">
            <w:pPr>
              <w:adjustRightInd w:val="0"/>
              <w:snapToGrid w:val="0"/>
              <w:spacing w:after="0" w:line="240" w:lineRule="auto"/>
              <w:jc w:val="center"/>
              <w:rPr>
                <w:rFonts w:eastAsia="Calibri"/>
                <w:sz w:val="20"/>
                <w:szCs w:val="20"/>
              </w:rPr>
            </w:pPr>
            <w:r>
              <w:rPr>
                <w:rFonts w:eastAsia="Calibri"/>
                <w:sz w:val="20"/>
                <w:szCs w:val="20"/>
              </w:rPr>
              <w:t>162</w:t>
            </w:r>
          </w:p>
        </w:tc>
        <w:tc>
          <w:tcPr>
            <w:tcW w:w="1227" w:type="pct"/>
            <w:shd w:val="clear" w:color="auto" w:fill="auto"/>
            <w:vAlign w:val="center"/>
          </w:tcPr>
          <w:p w14:paraId="2ABA2684" w14:textId="77777777" w:rsidR="00F46D18" w:rsidRDefault="0066369F" w:rsidP="004976EA">
            <w:pPr>
              <w:adjustRightInd w:val="0"/>
              <w:snapToGrid w:val="0"/>
              <w:spacing w:after="0" w:line="240" w:lineRule="auto"/>
              <w:jc w:val="center"/>
              <w:rPr>
                <w:rFonts w:eastAsia="Calibri"/>
                <w:sz w:val="20"/>
                <w:szCs w:val="20"/>
              </w:rPr>
            </w:pPr>
            <w:r>
              <w:rPr>
                <w:rFonts w:eastAsia="Calibri"/>
                <w:sz w:val="20"/>
                <w:szCs w:val="20"/>
              </w:rPr>
              <w:t>185</w:t>
            </w:r>
          </w:p>
        </w:tc>
      </w:tr>
      <w:tr w:rsidR="00F46D18" w14:paraId="18FE9AC9" w14:textId="77777777">
        <w:trPr>
          <w:trHeight w:val="170"/>
          <w:jc w:val="center"/>
        </w:trPr>
        <w:tc>
          <w:tcPr>
            <w:tcW w:w="990" w:type="pct"/>
            <w:shd w:val="clear" w:color="auto" w:fill="auto"/>
            <w:vAlign w:val="center"/>
          </w:tcPr>
          <w:p w14:paraId="1CE04CF2" w14:textId="77777777" w:rsidR="00F46D18" w:rsidRDefault="0066369F" w:rsidP="004976EA">
            <w:pPr>
              <w:adjustRightInd w:val="0"/>
              <w:snapToGrid w:val="0"/>
              <w:spacing w:after="0" w:line="240" w:lineRule="auto"/>
              <w:jc w:val="center"/>
              <w:rPr>
                <w:rFonts w:eastAsia="Calibri"/>
                <w:sz w:val="20"/>
                <w:szCs w:val="20"/>
              </w:rPr>
            </w:pPr>
            <w:r>
              <w:rPr>
                <w:rFonts w:eastAsia="Calibri"/>
                <w:sz w:val="20"/>
                <w:szCs w:val="20"/>
              </w:rPr>
              <w:t>Type 2</w:t>
            </w:r>
          </w:p>
        </w:tc>
        <w:tc>
          <w:tcPr>
            <w:tcW w:w="804" w:type="pct"/>
            <w:shd w:val="clear" w:color="auto" w:fill="auto"/>
            <w:vAlign w:val="center"/>
          </w:tcPr>
          <w:p w14:paraId="63F49D6E" w14:textId="77777777" w:rsidR="00F46D18" w:rsidRDefault="0066369F" w:rsidP="004976EA">
            <w:pPr>
              <w:adjustRightInd w:val="0"/>
              <w:snapToGrid w:val="0"/>
              <w:spacing w:after="0" w:line="240" w:lineRule="auto"/>
              <w:jc w:val="center"/>
              <w:rPr>
                <w:rFonts w:eastAsia="Calibri"/>
                <w:sz w:val="20"/>
                <w:szCs w:val="20"/>
              </w:rPr>
            </w:pPr>
            <w:r>
              <w:rPr>
                <w:rFonts w:eastAsia="Calibri"/>
                <w:sz w:val="20"/>
                <w:szCs w:val="20"/>
              </w:rPr>
              <w:t>0.62</w:t>
            </w:r>
          </w:p>
        </w:tc>
        <w:tc>
          <w:tcPr>
            <w:tcW w:w="804" w:type="pct"/>
            <w:shd w:val="clear" w:color="auto" w:fill="auto"/>
            <w:vAlign w:val="center"/>
          </w:tcPr>
          <w:p w14:paraId="3A4863AC" w14:textId="77777777" w:rsidR="00F46D18" w:rsidRDefault="0066369F" w:rsidP="004976EA">
            <w:pPr>
              <w:adjustRightInd w:val="0"/>
              <w:snapToGrid w:val="0"/>
              <w:spacing w:after="0" w:line="240" w:lineRule="auto"/>
              <w:jc w:val="center"/>
              <w:rPr>
                <w:rFonts w:eastAsia="Calibri"/>
                <w:sz w:val="20"/>
                <w:szCs w:val="20"/>
              </w:rPr>
            </w:pPr>
            <w:r>
              <w:rPr>
                <w:rFonts w:eastAsia="Calibri"/>
                <w:sz w:val="20"/>
                <w:szCs w:val="20"/>
              </w:rPr>
              <w:t>0.96</w:t>
            </w:r>
          </w:p>
        </w:tc>
        <w:tc>
          <w:tcPr>
            <w:tcW w:w="1175" w:type="pct"/>
            <w:shd w:val="clear" w:color="auto" w:fill="auto"/>
            <w:vAlign w:val="center"/>
          </w:tcPr>
          <w:p w14:paraId="062487BE" w14:textId="77777777" w:rsidR="00F46D18" w:rsidRDefault="0066369F" w:rsidP="004976EA">
            <w:pPr>
              <w:adjustRightInd w:val="0"/>
              <w:snapToGrid w:val="0"/>
              <w:spacing w:after="0" w:line="240" w:lineRule="auto"/>
              <w:jc w:val="center"/>
              <w:rPr>
                <w:rFonts w:eastAsia="Calibri"/>
                <w:sz w:val="20"/>
                <w:szCs w:val="20"/>
              </w:rPr>
            </w:pPr>
            <w:r>
              <w:rPr>
                <w:rFonts w:eastAsia="Calibri"/>
                <w:sz w:val="20"/>
                <w:szCs w:val="20"/>
              </w:rPr>
              <w:t>152</w:t>
            </w:r>
          </w:p>
        </w:tc>
        <w:tc>
          <w:tcPr>
            <w:tcW w:w="1227" w:type="pct"/>
            <w:shd w:val="clear" w:color="auto" w:fill="auto"/>
            <w:vAlign w:val="center"/>
          </w:tcPr>
          <w:p w14:paraId="427837B9" w14:textId="77777777" w:rsidR="00F46D18" w:rsidRDefault="0066369F" w:rsidP="004976EA">
            <w:pPr>
              <w:adjustRightInd w:val="0"/>
              <w:snapToGrid w:val="0"/>
              <w:spacing w:after="0" w:line="240" w:lineRule="auto"/>
              <w:jc w:val="center"/>
              <w:rPr>
                <w:rFonts w:eastAsia="Calibri"/>
                <w:sz w:val="20"/>
                <w:szCs w:val="20"/>
              </w:rPr>
            </w:pPr>
            <w:r>
              <w:rPr>
                <w:rFonts w:eastAsia="Calibri"/>
                <w:sz w:val="20"/>
                <w:szCs w:val="20"/>
              </w:rPr>
              <w:t>171</w:t>
            </w:r>
          </w:p>
        </w:tc>
      </w:tr>
      <w:tr w:rsidR="00F46D18" w14:paraId="0B6891E2" w14:textId="77777777">
        <w:trPr>
          <w:trHeight w:val="170"/>
          <w:jc w:val="center"/>
        </w:trPr>
        <w:tc>
          <w:tcPr>
            <w:tcW w:w="990" w:type="pct"/>
            <w:shd w:val="clear" w:color="auto" w:fill="auto"/>
            <w:vAlign w:val="center"/>
          </w:tcPr>
          <w:p w14:paraId="7A84DE0B" w14:textId="77777777" w:rsidR="00F46D18" w:rsidRDefault="0066369F" w:rsidP="004976EA">
            <w:pPr>
              <w:adjustRightInd w:val="0"/>
              <w:snapToGrid w:val="0"/>
              <w:spacing w:after="0" w:line="240" w:lineRule="auto"/>
              <w:jc w:val="center"/>
              <w:rPr>
                <w:rFonts w:eastAsia="Calibri"/>
                <w:sz w:val="20"/>
                <w:szCs w:val="20"/>
              </w:rPr>
            </w:pPr>
            <w:r>
              <w:rPr>
                <w:rFonts w:eastAsia="Calibri"/>
                <w:sz w:val="20"/>
                <w:szCs w:val="20"/>
              </w:rPr>
              <w:t>Type 3</w:t>
            </w:r>
          </w:p>
        </w:tc>
        <w:tc>
          <w:tcPr>
            <w:tcW w:w="804" w:type="pct"/>
            <w:shd w:val="clear" w:color="auto" w:fill="auto"/>
            <w:vAlign w:val="center"/>
          </w:tcPr>
          <w:p w14:paraId="564741B5" w14:textId="77777777" w:rsidR="00F46D18" w:rsidRDefault="0066369F" w:rsidP="004976EA">
            <w:pPr>
              <w:adjustRightInd w:val="0"/>
              <w:snapToGrid w:val="0"/>
              <w:spacing w:after="0" w:line="240" w:lineRule="auto"/>
              <w:jc w:val="center"/>
              <w:rPr>
                <w:rFonts w:eastAsia="Calibri"/>
                <w:sz w:val="20"/>
                <w:szCs w:val="20"/>
              </w:rPr>
            </w:pPr>
            <w:r>
              <w:rPr>
                <w:rFonts w:eastAsia="Calibri"/>
                <w:sz w:val="20"/>
                <w:szCs w:val="20"/>
              </w:rPr>
              <w:t>0.46</w:t>
            </w:r>
          </w:p>
        </w:tc>
        <w:tc>
          <w:tcPr>
            <w:tcW w:w="804" w:type="pct"/>
            <w:shd w:val="clear" w:color="auto" w:fill="auto"/>
            <w:vAlign w:val="center"/>
          </w:tcPr>
          <w:p w14:paraId="06B0A462" w14:textId="77777777" w:rsidR="00F46D18" w:rsidRDefault="0066369F" w:rsidP="004976EA">
            <w:pPr>
              <w:adjustRightInd w:val="0"/>
              <w:snapToGrid w:val="0"/>
              <w:spacing w:after="0" w:line="240" w:lineRule="auto"/>
              <w:jc w:val="center"/>
              <w:rPr>
                <w:rFonts w:eastAsia="Calibri"/>
                <w:sz w:val="20"/>
                <w:szCs w:val="20"/>
              </w:rPr>
            </w:pPr>
            <w:r>
              <w:rPr>
                <w:rFonts w:eastAsia="Calibri"/>
                <w:sz w:val="20"/>
                <w:szCs w:val="20"/>
              </w:rPr>
              <w:t>0.93</w:t>
            </w:r>
          </w:p>
        </w:tc>
        <w:tc>
          <w:tcPr>
            <w:tcW w:w="1175" w:type="pct"/>
            <w:shd w:val="clear" w:color="auto" w:fill="auto"/>
            <w:vAlign w:val="center"/>
          </w:tcPr>
          <w:p w14:paraId="419EFF18" w14:textId="77777777" w:rsidR="00F46D18" w:rsidRDefault="0066369F" w:rsidP="004976EA">
            <w:pPr>
              <w:adjustRightInd w:val="0"/>
              <w:snapToGrid w:val="0"/>
              <w:spacing w:after="0" w:line="240" w:lineRule="auto"/>
              <w:jc w:val="center"/>
              <w:rPr>
                <w:rFonts w:eastAsia="Calibri"/>
                <w:sz w:val="20"/>
                <w:szCs w:val="20"/>
              </w:rPr>
            </w:pPr>
            <w:r>
              <w:rPr>
                <w:rFonts w:eastAsia="Calibri"/>
                <w:sz w:val="20"/>
                <w:szCs w:val="20"/>
              </w:rPr>
              <w:t>119</w:t>
            </w:r>
          </w:p>
        </w:tc>
        <w:tc>
          <w:tcPr>
            <w:tcW w:w="1227" w:type="pct"/>
            <w:shd w:val="clear" w:color="auto" w:fill="auto"/>
            <w:vAlign w:val="center"/>
          </w:tcPr>
          <w:p w14:paraId="0BAD1E1A" w14:textId="77777777" w:rsidR="00F46D18" w:rsidRDefault="0066369F" w:rsidP="004976EA">
            <w:pPr>
              <w:adjustRightInd w:val="0"/>
              <w:snapToGrid w:val="0"/>
              <w:spacing w:after="0" w:line="240" w:lineRule="auto"/>
              <w:jc w:val="center"/>
              <w:rPr>
                <w:rFonts w:eastAsia="Calibri"/>
                <w:sz w:val="20"/>
                <w:szCs w:val="20"/>
              </w:rPr>
            </w:pPr>
            <w:r>
              <w:rPr>
                <w:rFonts w:eastAsia="Calibri"/>
                <w:sz w:val="20"/>
                <w:szCs w:val="20"/>
              </w:rPr>
              <w:t>142</w:t>
            </w:r>
          </w:p>
        </w:tc>
      </w:tr>
    </w:tbl>
    <w:p w14:paraId="45B134B0" w14:textId="77777777" w:rsidR="00F46D18" w:rsidRDefault="00F46D18" w:rsidP="00D23630">
      <w:pPr>
        <w:adjustRightInd w:val="0"/>
        <w:snapToGrid w:val="0"/>
        <w:spacing w:after="0" w:line="240" w:lineRule="auto"/>
        <w:jc w:val="both"/>
        <w:rPr>
          <w:sz w:val="20"/>
          <w:szCs w:val="20"/>
          <w:lang w:eastAsia="zh-CN"/>
        </w:rPr>
      </w:pPr>
    </w:p>
    <w:p w14:paraId="3A3F1682" w14:textId="77777777" w:rsidR="00F46D18" w:rsidRDefault="0066369F" w:rsidP="00D23630">
      <w:pPr>
        <w:adjustRightInd w:val="0"/>
        <w:snapToGrid w:val="0"/>
        <w:spacing w:after="0" w:line="240" w:lineRule="auto"/>
        <w:ind w:firstLine="426"/>
        <w:jc w:val="both"/>
        <w:rPr>
          <w:sz w:val="20"/>
          <w:szCs w:val="20"/>
        </w:rPr>
      </w:pPr>
      <w:r>
        <w:rPr>
          <w:sz w:val="20"/>
          <w:szCs w:val="20"/>
        </w:rPr>
        <w:t>The operating range of experimental results (blowoff velocity coincident to the lowest lean limit and the highest blowoff velocity achieved during stoichiometric operation) versus the data presented in literatures are plotted in Figure 6.</w:t>
      </w:r>
    </w:p>
    <w:p w14:paraId="214F5983" w14:textId="77777777" w:rsidR="00F46D18" w:rsidRDefault="0066369F" w:rsidP="00D23630">
      <w:pPr>
        <w:adjustRightInd w:val="0"/>
        <w:snapToGrid w:val="0"/>
        <w:spacing w:after="0" w:line="240" w:lineRule="auto"/>
        <w:ind w:firstLine="426"/>
        <w:jc w:val="both"/>
        <w:rPr>
          <w:sz w:val="20"/>
          <w:szCs w:val="20"/>
          <w:lang w:eastAsia="zh-CN"/>
        </w:rPr>
      </w:pPr>
      <w:r>
        <w:rPr>
          <w:sz w:val="20"/>
          <w:szCs w:val="20"/>
        </w:rPr>
        <w:t xml:space="preserve">Several researchers studied the effect of a preheated mixture on lean stabilization, and they observed that in most cases, preheating has advantageous lean stabilization characteristics (Wan et al., 2020, Wan and Zhao, 2020, Radhakrishnan et al., 1981) The concept of fuel-air mixture internal preheat relies on the heat exchange between combustion gases and approaching stream in two locations: (i) the supply pipe that are completely immersed within the center of the recirculation zone, and (ii) the hollow cavity within the bluff body where heat flows from the flowing exhaust gases passing through the bluff body. Hence, analysis of these four temperature profiles is necessary to understand flame stabilization. </w:t>
      </w:r>
    </w:p>
    <w:p w14:paraId="67C6E4D1" w14:textId="77777777" w:rsidR="008A4031" w:rsidRDefault="008A4031" w:rsidP="00D23630">
      <w:pPr>
        <w:adjustRightInd w:val="0"/>
        <w:snapToGrid w:val="0"/>
        <w:spacing w:after="0" w:line="240" w:lineRule="auto"/>
        <w:ind w:firstLine="426"/>
        <w:jc w:val="both"/>
        <w:rPr>
          <w:sz w:val="20"/>
          <w:szCs w:val="20"/>
          <w:lang w:eastAsia="zh-CN"/>
        </w:rPr>
      </w:pPr>
    </w:p>
    <w:p w14:paraId="54451472" w14:textId="77777777" w:rsidR="00F46D18" w:rsidRDefault="0066369F" w:rsidP="004976EA">
      <w:pPr>
        <w:adjustRightInd w:val="0"/>
        <w:snapToGrid w:val="0"/>
        <w:spacing w:after="0"/>
        <w:jc w:val="center"/>
        <w:rPr>
          <w:sz w:val="20"/>
          <w:szCs w:val="20"/>
        </w:rPr>
      </w:pPr>
      <w:r>
        <w:rPr>
          <w:noProof/>
          <w:sz w:val="20"/>
          <w:szCs w:val="20"/>
          <w:lang w:eastAsia="en-US"/>
        </w:rPr>
        <w:drawing>
          <wp:inline distT="0" distB="0" distL="0" distR="0" wp14:anchorId="466A7B2F" wp14:editId="578EC490">
            <wp:extent cx="2564765" cy="1745615"/>
            <wp:effectExtent l="19050" t="19050" r="26035" b="26035"/>
            <wp:docPr id="19" name="Picture 6"/>
            <wp:cNvGraphicFramePr/>
            <a:graphic xmlns:a="http://schemas.openxmlformats.org/drawingml/2006/main">
              <a:graphicData uri="http://schemas.openxmlformats.org/drawingml/2006/picture">
                <pic:pic xmlns:pic="http://schemas.openxmlformats.org/drawingml/2006/picture">
                  <pic:nvPicPr>
                    <pic:cNvPr id="19" name="Picture 6"/>
                    <pic:cNvPicPr>
                      <a:picLocks noChangeArrowheads="1"/>
                    </pic:cNvPicPr>
                  </pic:nvPicPr>
                  <pic:blipFill>
                    <a:blip r:embed="rId27" cstate="print"/>
                    <a:srcRect/>
                    <a:stretch>
                      <a:fillRect/>
                    </a:stretch>
                  </pic:blipFill>
                  <pic:spPr>
                    <a:xfrm>
                      <a:off x="0" y="0"/>
                      <a:ext cx="2564765" cy="1745615"/>
                    </a:xfrm>
                    <a:prstGeom prst="rect">
                      <a:avLst/>
                    </a:prstGeom>
                    <a:noFill/>
                    <a:ln w="3175">
                      <a:solidFill>
                        <a:schemeClr val="tx1"/>
                      </a:solidFill>
                      <a:miter lim="800000"/>
                      <a:headEnd/>
                      <a:tailEnd/>
                    </a:ln>
                  </pic:spPr>
                </pic:pic>
              </a:graphicData>
            </a:graphic>
          </wp:inline>
        </w:drawing>
      </w:r>
    </w:p>
    <w:p w14:paraId="792E302E" w14:textId="77777777" w:rsidR="00F46D18" w:rsidRDefault="0066369F" w:rsidP="00D23630">
      <w:pPr>
        <w:adjustRightInd w:val="0"/>
        <w:snapToGrid w:val="0"/>
        <w:spacing w:after="0" w:line="240" w:lineRule="auto"/>
        <w:jc w:val="both"/>
        <w:rPr>
          <w:sz w:val="20"/>
          <w:szCs w:val="20"/>
        </w:rPr>
      </w:pPr>
      <w:r>
        <w:rPr>
          <w:sz w:val="20"/>
          <w:szCs w:val="20"/>
        </w:rPr>
        <w:t>Figure 6. Range of experimental operating conditions versus data in literatures</w:t>
      </w:r>
    </w:p>
    <w:p w14:paraId="7BFB3B96" w14:textId="77777777" w:rsidR="008A4031" w:rsidRDefault="008A4031" w:rsidP="00D23630">
      <w:pPr>
        <w:adjustRightInd w:val="0"/>
        <w:snapToGrid w:val="0"/>
        <w:spacing w:after="0" w:line="240" w:lineRule="auto"/>
        <w:jc w:val="both"/>
        <w:rPr>
          <w:sz w:val="20"/>
          <w:szCs w:val="20"/>
          <w:lang w:eastAsia="zh-CN"/>
        </w:rPr>
      </w:pPr>
    </w:p>
    <w:p w14:paraId="7029D277" w14:textId="77777777" w:rsidR="00F46D18" w:rsidRDefault="0066369F" w:rsidP="00D23630">
      <w:pPr>
        <w:adjustRightInd w:val="0"/>
        <w:snapToGrid w:val="0"/>
        <w:spacing w:after="0" w:line="240" w:lineRule="auto"/>
        <w:ind w:firstLine="426"/>
        <w:jc w:val="both"/>
        <w:rPr>
          <w:sz w:val="20"/>
          <w:szCs w:val="20"/>
        </w:rPr>
      </w:pPr>
      <w:r>
        <w:rPr>
          <w:sz w:val="20"/>
          <w:szCs w:val="20"/>
        </w:rPr>
        <w:t>Operating temperature profiles are plotted in Figure 7. Highest impingement temperatures were noticed in the case of bluff body type 2, while the lowest values were obtained with type 3. For each geometry the lowest lean operation point is coincident to the lowest flame impingement temperature and vice versa. Bluff body temperature (Tb) profiles were found to be following the same pattern as the exhaust gases temperature (Te).</w:t>
      </w:r>
    </w:p>
    <w:p w14:paraId="2B2806FB" w14:textId="4B302A4F" w:rsidR="00F46D18" w:rsidRDefault="0066369F" w:rsidP="004976EA">
      <w:pPr>
        <w:adjustRightInd w:val="0"/>
        <w:snapToGrid w:val="0"/>
        <w:spacing w:after="0" w:line="240" w:lineRule="auto"/>
        <w:ind w:firstLine="426"/>
        <w:jc w:val="both"/>
        <w:rPr>
          <w:sz w:val="20"/>
          <w:szCs w:val="20"/>
        </w:rPr>
      </w:pPr>
      <w:r>
        <w:rPr>
          <w:sz w:val="20"/>
          <w:szCs w:val="20"/>
        </w:rPr>
        <w:t xml:space="preserve">Summary of the operating temperature range during low lean operation (lowest temperatures) and stoichiometric conditions (highest temperatures) are presented in </w:t>
      </w:r>
      <w:r w:rsidR="004976EA" w:rsidRPr="004976EA">
        <w:rPr>
          <w:sz w:val="20"/>
          <w:szCs w:val="20"/>
        </w:rPr>
        <w:t>Table 2 and Table 3.</w:t>
      </w:r>
    </w:p>
    <w:p w14:paraId="39A0A4B9" w14:textId="77777777" w:rsidR="00F46D18" w:rsidRDefault="00F46D18" w:rsidP="00D23630">
      <w:pPr>
        <w:adjustRightInd w:val="0"/>
        <w:snapToGrid w:val="0"/>
        <w:spacing w:after="0" w:line="240" w:lineRule="auto"/>
        <w:jc w:val="both"/>
        <w:rPr>
          <w:sz w:val="20"/>
          <w:szCs w:val="20"/>
          <w:lang w:eastAsia="zh-CN"/>
        </w:rPr>
      </w:pPr>
      <w:bookmarkStart w:id="14" w:name="_Ref77929410"/>
    </w:p>
    <w:p w14:paraId="62DC295E" w14:textId="213329BF" w:rsidR="00F46D18" w:rsidRDefault="0066369F" w:rsidP="004976EA">
      <w:pPr>
        <w:adjustRightInd w:val="0"/>
        <w:snapToGrid w:val="0"/>
        <w:spacing w:after="0" w:line="240" w:lineRule="auto"/>
        <w:rPr>
          <w:sz w:val="20"/>
          <w:szCs w:val="20"/>
        </w:rPr>
      </w:pPr>
      <w:r>
        <w:rPr>
          <w:sz w:val="20"/>
          <w:szCs w:val="20"/>
        </w:rPr>
        <w:t>Table</w:t>
      </w:r>
      <w:bookmarkEnd w:id="14"/>
      <w:r w:rsidR="004976EA">
        <w:rPr>
          <w:sz w:val="20"/>
          <w:szCs w:val="20"/>
        </w:rPr>
        <w:t xml:space="preserve"> 2</w:t>
      </w:r>
      <w:r>
        <w:rPr>
          <w:sz w:val="20"/>
          <w:szCs w:val="20"/>
        </w:rPr>
        <w:t>. Summary of low lean operating temperatures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959"/>
        <w:gridCol w:w="958"/>
        <w:gridCol w:w="854"/>
        <w:gridCol w:w="854"/>
      </w:tblGrid>
      <w:tr w:rsidR="00F46D18" w14:paraId="52A0C3B6" w14:textId="77777777">
        <w:trPr>
          <w:trHeight w:val="113"/>
          <w:tblHeader/>
          <w:jc w:val="center"/>
        </w:trPr>
        <w:tc>
          <w:tcPr>
            <w:tcW w:w="1066" w:type="pct"/>
            <w:shd w:val="clear" w:color="auto" w:fill="auto"/>
            <w:vAlign w:val="center"/>
          </w:tcPr>
          <w:p w14:paraId="332BE506" w14:textId="77777777" w:rsidR="00F46D18" w:rsidRDefault="0066369F" w:rsidP="00D23630">
            <w:pPr>
              <w:adjustRightInd w:val="0"/>
              <w:snapToGrid w:val="0"/>
              <w:spacing w:after="0" w:line="240" w:lineRule="auto"/>
              <w:jc w:val="center"/>
              <w:rPr>
                <w:rFonts w:eastAsia="Calibri"/>
                <w:sz w:val="20"/>
                <w:szCs w:val="20"/>
              </w:rPr>
            </w:pPr>
            <w:r>
              <w:rPr>
                <w:rFonts w:eastAsia="Calibri"/>
                <w:sz w:val="20"/>
                <w:szCs w:val="20"/>
              </w:rPr>
              <w:t>Bluff body</w:t>
            </w:r>
          </w:p>
        </w:tc>
        <w:tc>
          <w:tcPr>
            <w:tcW w:w="1039" w:type="pct"/>
            <w:shd w:val="clear" w:color="auto" w:fill="auto"/>
            <w:vAlign w:val="center"/>
          </w:tcPr>
          <w:p w14:paraId="35FDE3E8" w14:textId="77777777" w:rsidR="00F46D18" w:rsidRDefault="00D97325" w:rsidP="00D23630">
            <w:pPr>
              <w:adjustRightInd w:val="0"/>
              <w:snapToGrid w:val="0"/>
              <w:spacing w:after="0" w:line="240" w:lineRule="auto"/>
              <w:jc w:val="center"/>
              <w:rPr>
                <w:rFonts w:eastAsia="Times New Roman"/>
                <w:sz w:val="20"/>
                <w:szCs w:val="20"/>
              </w:rPr>
            </w:pPr>
            <m:oMathPara>
              <m:oMath>
                <m:sSub>
                  <m:sSubPr>
                    <m:ctrlPr>
                      <w:rPr>
                        <w:rFonts w:ascii="Cambria Math" w:hAnsi="Cambria Math"/>
                        <w:b/>
                        <w:bCs/>
                        <w:i/>
                        <w:sz w:val="20"/>
                        <w:szCs w:val="20"/>
                      </w:rPr>
                    </m:ctrlPr>
                  </m:sSubPr>
                  <m:e>
                    <m:r>
                      <w:rPr>
                        <w:rFonts w:ascii="Cambria Math" w:hAnsi="Cambria Math"/>
                        <w:sz w:val="20"/>
                        <w:szCs w:val="20"/>
                      </w:rPr>
                      <m:t>T</m:t>
                    </m:r>
                  </m:e>
                  <m:sub>
                    <m:r>
                      <m:rPr>
                        <m:sty m:val="bi"/>
                      </m:rPr>
                      <w:rPr>
                        <w:rFonts w:ascii="Cambria Math" w:hAnsi="Cambria Math"/>
                        <w:sz w:val="20"/>
                        <w:szCs w:val="20"/>
                      </w:rPr>
                      <m:t>i</m:t>
                    </m:r>
                  </m:sub>
                </m:sSub>
              </m:oMath>
            </m:oMathPara>
          </w:p>
          <w:p w14:paraId="681D151E" w14:textId="77777777" w:rsidR="00F46D18" w:rsidRDefault="0066369F" w:rsidP="00D23630">
            <w:pPr>
              <w:adjustRightInd w:val="0"/>
              <w:snapToGrid w:val="0"/>
              <w:spacing w:after="0" w:line="240" w:lineRule="auto"/>
              <w:jc w:val="center"/>
              <w:rPr>
                <w:rFonts w:eastAsia="Calibri"/>
                <w:sz w:val="20"/>
                <w:szCs w:val="20"/>
              </w:rPr>
            </w:pPr>
            <w:r>
              <w:rPr>
                <w:rFonts w:eastAsia="Times New Roman"/>
                <w:sz w:val="20"/>
                <w:szCs w:val="20"/>
              </w:rPr>
              <w:t>(K)</w:t>
            </w:r>
          </w:p>
        </w:tc>
        <w:tc>
          <w:tcPr>
            <w:tcW w:w="1039" w:type="pct"/>
            <w:shd w:val="clear" w:color="auto" w:fill="auto"/>
            <w:vAlign w:val="center"/>
          </w:tcPr>
          <w:p w14:paraId="3EC017EF" w14:textId="77777777" w:rsidR="00F46D18" w:rsidRDefault="00D97325" w:rsidP="00D23630">
            <w:pPr>
              <w:adjustRightInd w:val="0"/>
              <w:snapToGrid w:val="0"/>
              <w:spacing w:after="0" w:line="240" w:lineRule="auto"/>
              <w:jc w:val="center"/>
              <w:rPr>
                <w:rFonts w:eastAsia="Times New Roman"/>
                <w:sz w:val="20"/>
                <w:szCs w:val="20"/>
              </w:rPr>
            </w:pPr>
            <m:oMathPara>
              <m:oMath>
                <m:sSub>
                  <m:sSubPr>
                    <m:ctrlPr>
                      <w:rPr>
                        <w:rFonts w:ascii="Cambria Math" w:hAnsi="Cambria Math"/>
                        <w:b/>
                        <w:bCs/>
                        <w:i/>
                        <w:sz w:val="20"/>
                        <w:szCs w:val="20"/>
                      </w:rPr>
                    </m:ctrlPr>
                  </m:sSubPr>
                  <m:e>
                    <m:r>
                      <w:rPr>
                        <w:rFonts w:ascii="Cambria Math" w:hAnsi="Cambria Math"/>
                        <w:sz w:val="20"/>
                        <w:szCs w:val="20"/>
                      </w:rPr>
                      <m:t>T</m:t>
                    </m:r>
                  </m:e>
                  <m:sub>
                    <m:r>
                      <m:rPr>
                        <m:sty m:val="bi"/>
                      </m:rPr>
                      <w:rPr>
                        <w:rFonts w:ascii="Cambria Math" w:hAnsi="Cambria Math"/>
                        <w:sz w:val="20"/>
                        <w:szCs w:val="20"/>
                      </w:rPr>
                      <m:t>e</m:t>
                    </m:r>
                  </m:sub>
                </m:sSub>
              </m:oMath>
            </m:oMathPara>
          </w:p>
          <w:p w14:paraId="6A630536" w14:textId="77777777" w:rsidR="00F46D18" w:rsidRDefault="0066369F" w:rsidP="00D23630">
            <w:pPr>
              <w:adjustRightInd w:val="0"/>
              <w:snapToGrid w:val="0"/>
              <w:spacing w:after="0" w:line="240" w:lineRule="auto"/>
              <w:jc w:val="center"/>
              <w:rPr>
                <w:rFonts w:eastAsia="Calibri"/>
                <w:sz w:val="20"/>
                <w:szCs w:val="20"/>
              </w:rPr>
            </w:pPr>
            <w:r>
              <w:rPr>
                <w:rFonts w:eastAsia="Times New Roman"/>
                <w:sz w:val="20"/>
                <w:szCs w:val="20"/>
              </w:rPr>
              <w:t>(K)</w:t>
            </w:r>
          </w:p>
        </w:tc>
        <w:tc>
          <w:tcPr>
            <w:tcW w:w="927" w:type="pct"/>
            <w:shd w:val="clear" w:color="auto" w:fill="auto"/>
            <w:vAlign w:val="center"/>
          </w:tcPr>
          <w:p w14:paraId="73CBDD34" w14:textId="77777777" w:rsidR="00F46D18" w:rsidRDefault="00D97325" w:rsidP="00D23630">
            <w:pPr>
              <w:adjustRightInd w:val="0"/>
              <w:snapToGrid w:val="0"/>
              <w:spacing w:after="0" w:line="240" w:lineRule="auto"/>
              <w:jc w:val="center"/>
              <w:rPr>
                <w:rFonts w:eastAsia="Times New Roman"/>
                <w:sz w:val="20"/>
                <w:szCs w:val="20"/>
              </w:rPr>
            </w:pPr>
            <m:oMathPara>
              <m:oMath>
                <m:sSub>
                  <m:sSubPr>
                    <m:ctrlPr>
                      <w:rPr>
                        <w:rFonts w:ascii="Cambria Math" w:hAnsi="Cambria Math"/>
                        <w:b/>
                        <w:bCs/>
                        <w:i/>
                        <w:sz w:val="20"/>
                        <w:szCs w:val="20"/>
                      </w:rPr>
                    </m:ctrlPr>
                  </m:sSubPr>
                  <m:e>
                    <m:r>
                      <w:rPr>
                        <w:rFonts w:ascii="Cambria Math" w:hAnsi="Cambria Math"/>
                        <w:sz w:val="20"/>
                        <w:szCs w:val="20"/>
                      </w:rPr>
                      <m:t>T</m:t>
                    </m:r>
                  </m:e>
                  <m:sub>
                    <m:r>
                      <m:rPr>
                        <m:sty m:val="bi"/>
                      </m:rPr>
                      <w:rPr>
                        <w:rFonts w:ascii="Cambria Math" w:hAnsi="Cambria Math"/>
                        <w:sz w:val="20"/>
                        <w:szCs w:val="20"/>
                      </w:rPr>
                      <m:t>p</m:t>
                    </m:r>
                  </m:sub>
                </m:sSub>
              </m:oMath>
            </m:oMathPara>
          </w:p>
          <w:p w14:paraId="6EF20601" w14:textId="77777777" w:rsidR="00F46D18" w:rsidRDefault="0066369F" w:rsidP="00D23630">
            <w:pPr>
              <w:adjustRightInd w:val="0"/>
              <w:snapToGrid w:val="0"/>
              <w:spacing w:after="0" w:line="240" w:lineRule="auto"/>
              <w:jc w:val="center"/>
              <w:rPr>
                <w:rFonts w:eastAsia="Calibri"/>
                <w:sz w:val="20"/>
                <w:szCs w:val="20"/>
              </w:rPr>
            </w:pPr>
            <w:r>
              <w:rPr>
                <w:rFonts w:eastAsia="Times New Roman"/>
                <w:sz w:val="20"/>
                <w:szCs w:val="20"/>
              </w:rPr>
              <w:t>(K)</w:t>
            </w:r>
          </w:p>
        </w:tc>
        <w:tc>
          <w:tcPr>
            <w:tcW w:w="927" w:type="pct"/>
            <w:shd w:val="clear" w:color="auto" w:fill="auto"/>
            <w:vAlign w:val="center"/>
          </w:tcPr>
          <w:p w14:paraId="55DD46C7" w14:textId="77777777" w:rsidR="00F46D18" w:rsidRDefault="00D97325" w:rsidP="00D23630">
            <w:pPr>
              <w:adjustRightInd w:val="0"/>
              <w:snapToGrid w:val="0"/>
              <w:spacing w:after="0" w:line="240" w:lineRule="auto"/>
              <w:jc w:val="center"/>
              <w:rPr>
                <w:rFonts w:eastAsia="Times New Roman"/>
                <w:sz w:val="20"/>
                <w:szCs w:val="20"/>
              </w:rPr>
            </w:pPr>
            <m:oMathPara>
              <m:oMath>
                <m:sSub>
                  <m:sSubPr>
                    <m:ctrlPr>
                      <w:rPr>
                        <w:rFonts w:ascii="Cambria Math" w:hAnsi="Cambria Math"/>
                        <w:b/>
                        <w:bCs/>
                        <w:i/>
                        <w:sz w:val="20"/>
                        <w:szCs w:val="20"/>
                      </w:rPr>
                    </m:ctrlPr>
                  </m:sSubPr>
                  <m:e>
                    <m:r>
                      <w:rPr>
                        <w:rFonts w:ascii="Cambria Math" w:hAnsi="Cambria Math"/>
                        <w:sz w:val="20"/>
                        <w:szCs w:val="20"/>
                      </w:rPr>
                      <m:t>T</m:t>
                    </m:r>
                  </m:e>
                  <m:sub>
                    <m:r>
                      <m:rPr>
                        <m:sty m:val="bi"/>
                      </m:rPr>
                      <w:rPr>
                        <w:rFonts w:ascii="Cambria Math" w:hAnsi="Cambria Math"/>
                        <w:sz w:val="20"/>
                        <w:szCs w:val="20"/>
                      </w:rPr>
                      <m:t>b</m:t>
                    </m:r>
                  </m:sub>
                </m:sSub>
              </m:oMath>
            </m:oMathPara>
          </w:p>
          <w:p w14:paraId="24F12838" w14:textId="77777777" w:rsidR="00F46D18" w:rsidRDefault="0066369F" w:rsidP="00D23630">
            <w:pPr>
              <w:adjustRightInd w:val="0"/>
              <w:snapToGrid w:val="0"/>
              <w:spacing w:after="0" w:line="240" w:lineRule="auto"/>
              <w:jc w:val="center"/>
              <w:rPr>
                <w:rFonts w:eastAsia="Calibri"/>
                <w:sz w:val="20"/>
                <w:szCs w:val="20"/>
              </w:rPr>
            </w:pPr>
            <w:r>
              <w:rPr>
                <w:rFonts w:eastAsia="Times New Roman"/>
                <w:sz w:val="20"/>
                <w:szCs w:val="20"/>
              </w:rPr>
              <w:t>(K)</w:t>
            </w:r>
          </w:p>
        </w:tc>
      </w:tr>
      <w:tr w:rsidR="00F46D18" w14:paraId="599137A1" w14:textId="77777777">
        <w:trPr>
          <w:trHeight w:val="113"/>
          <w:jc w:val="center"/>
        </w:trPr>
        <w:tc>
          <w:tcPr>
            <w:tcW w:w="1066" w:type="pct"/>
            <w:shd w:val="clear" w:color="auto" w:fill="auto"/>
            <w:vAlign w:val="center"/>
          </w:tcPr>
          <w:p w14:paraId="7C80EF03" w14:textId="77777777" w:rsidR="00F46D18" w:rsidRDefault="0066369F" w:rsidP="00D23630">
            <w:pPr>
              <w:adjustRightInd w:val="0"/>
              <w:snapToGrid w:val="0"/>
              <w:spacing w:after="0" w:line="240" w:lineRule="auto"/>
              <w:jc w:val="center"/>
              <w:rPr>
                <w:rFonts w:eastAsia="Calibri"/>
                <w:sz w:val="20"/>
                <w:szCs w:val="20"/>
              </w:rPr>
            </w:pPr>
            <w:r>
              <w:rPr>
                <w:rFonts w:eastAsia="Calibri"/>
                <w:sz w:val="20"/>
                <w:szCs w:val="20"/>
              </w:rPr>
              <w:t>Type 1</w:t>
            </w:r>
          </w:p>
        </w:tc>
        <w:tc>
          <w:tcPr>
            <w:tcW w:w="1039" w:type="pct"/>
            <w:shd w:val="clear" w:color="auto" w:fill="auto"/>
            <w:vAlign w:val="center"/>
          </w:tcPr>
          <w:p w14:paraId="795E3462" w14:textId="77777777" w:rsidR="00F46D18" w:rsidRDefault="0066369F" w:rsidP="00D23630">
            <w:pPr>
              <w:adjustRightInd w:val="0"/>
              <w:snapToGrid w:val="0"/>
              <w:spacing w:after="0" w:line="240" w:lineRule="auto"/>
              <w:jc w:val="center"/>
              <w:rPr>
                <w:rFonts w:eastAsia="Calibri"/>
                <w:sz w:val="20"/>
                <w:szCs w:val="20"/>
              </w:rPr>
            </w:pPr>
            <w:r>
              <w:rPr>
                <w:rFonts w:eastAsia="Calibri"/>
                <w:sz w:val="20"/>
                <w:szCs w:val="20"/>
              </w:rPr>
              <w:t>1550</w:t>
            </w:r>
          </w:p>
        </w:tc>
        <w:tc>
          <w:tcPr>
            <w:tcW w:w="1039" w:type="pct"/>
            <w:shd w:val="clear" w:color="auto" w:fill="auto"/>
            <w:vAlign w:val="center"/>
          </w:tcPr>
          <w:p w14:paraId="2E0C7BD4" w14:textId="77777777" w:rsidR="00F46D18" w:rsidRDefault="0066369F" w:rsidP="00D23630">
            <w:pPr>
              <w:adjustRightInd w:val="0"/>
              <w:snapToGrid w:val="0"/>
              <w:spacing w:after="0" w:line="240" w:lineRule="auto"/>
              <w:jc w:val="center"/>
              <w:rPr>
                <w:rFonts w:eastAsia="Calibri"/>
                <w:sz w:val="20"/>
                <w:szCs w:val="20"/>
              </w:rPr>
            </w:pPr>
            <w:r>
              <w:rPr>
                <w:rFonts w:eastAsia="Calibri"/>
                <w:sz w:val="20"/>
                <w:szCs w:val="20"/>
              </w:rPr>
              <w:t>1210</w:t>
            </w:r>
          </w:p>
        </w:tc>
        <w:tc>
          <w:tcPr>
            <w:tcW w:w="927" w:type="pct"/>
            <w:shd w:val="clear" w:color="auto" w:fill="auto"/>
            <w:vAlign w:val="center"/>
          </w:tcPr>
          <w:p w14:paraId="2FF740F8" w14:textId="77777777" w:rsidR="00F46D18" w:rsidRDefault="0066369F" w:rsidP="00D23630">
            <w:pPr>
              <w:adjustRightInd w:val="0"/>
              <w:snapToGrid w:val="0"/>
              <w:spacing w:after="0" w:line="240" w:lineRule="auto"/>
              <w:jc w:val="center"/>
              <w:rPr>
                <w:rFonts w:eastAsia="Calibri"/>
                <w:sz w:val="20"/>
                <w:szCs w:val="20"/>
              </w:rPr>
            </w:pPr>
            <w:r>
              <w:rPr>
                <w:rFonts w:eastAsia="Calibri"/>
                <w:sz w:val="20"/>
                <w:szCs w:val="20"/>
              </w:rPr>
              <w:t>455</w:t>
            </w:r>
          </w:p>
        </w:tc>
        <w:tc>
          <w:tcPr>
            <w:tcW w:w="927" w:type="pct"/>
            <w:shd w:val="clear" w:color="auto" w:fill="auto"/>
            <w:vAlign w:val="center"/>
          </w:tcPr>
          <w:p w14:paraId="3B84327A" w14:textId="77777777" w:rsidR="00F46D18" w:rsidRDefault="0066369F" w:rsidP="00D23630">
            <w:pPr>
              <w:adjustRightInd w:val="0"/>
              <w:snapToGrid w:val="0"/>
              <w:spacing w:after="0" w:line="240" w:lineRule="auto"/>
              <w:jc w:val="center"/>
              <w:rPr>
                <w:rFonts w:eastAsia="Calibri"/>
                <w:sz w:val="20"/>
                <w:szCs w:val="20"/>
              </w:rPr>
            </w:pPr>
            <w:r>
              <w:rPr>
                <w:rFonts w:eastAsia="Calibri"/>
                <w:sz w:val="20"/>
                <w:szCs w:val="20"/>
              </w:rPr>
              <w:t>618</w:t>
            </w:r>
          </w:p>
        </w:tc>
      </w:tr>
      <w:tr w:rsidR="00F46D18" w14:paraId="79FC1DED" w14:textId="77777777">
        <w:trPr>
          <w:trHeight w:val="113"/>
          <w:jc w:val="center"/>
        </w:trPr>
        <w:tc>
          <w:tcPr>
            <w:tcW w:w="1066" w:type="pct"/>
            <w:shd w:val="clear" w:color="auto" w:fill="auto"/>
            <w:vAlign w:val="center"/>
          </w:tcPr>
          <w:p w14:paraId="330FF601" w14:textId="77777777" w:rsidR="00F46D18" w:rsidRDefault="0066369F" w:rsidP="00D23630">
            <w:pPr>
              <w:adjustRightInd w:val="0"/>
              <w:snapToGrid w:val="0"/>
              <w:spacing w:after="0" w:line="240" w:lineRule="auto"/>
              <w:jc w:val="center"/>
              <w:rPr>
                <w:rFonts w:eastAsia="Calibri"/>
                <w:sz w:val="20"/>
                <w:szCs w:val="20"/>
              </w:rPr>
            </w:pPr>
            <w:r>
              <w:rPr>
                <w:rFonts w:eastAsia="Calibri"/>
                <w:sz w:val="20"/>
                <w:szCs w:val="20"/>
              </w:rPr>
              <w:t>Type 2</w:t>
            </w:r>
          </w:p>
        </w:tc>
        <w:tc>
          <w:tcPr>
            <w:tcW w:w="1039" w:type="pct"/>
            <w:shd w:val="clear" w:color="auto" w:fill="auto"/>
            <w:vAlign w:val="center"/>
          </w:tcPr>
          <w:p w14:paraId="065D4807" w14:textId="77777777" w:rsidR="00F46D18" w:rsidRDefault="0066369F" w:rsidP="00D23630">
            <w:pPr>
              <w:adjustRightInd w:val="0"/>
              <w:snapToGrid w:val="0"/>
              <w:spacing w:after="0" w:line="240" w:lineRule="auto"/>
              <w:jc w:val="center"/>
              <w:rPr>
                <w:rFonts w:eastAsia="Calibri"/>
                <w:sz w:val="20"/>
                <w:szCs w:val="20"/>
              </w:rPr>
            </w:pPr>
            <w:r>
              <w:rPr>
                <w:rFonts w:eastAsia="Calibri"/>
                <w:sz w:val="20"/>
                <w:szCs w:val="20"/>
              </w:rPr>
              <w:t>1335</w:t>
            </w:r>
          </w:p>
        </w:tc>
        <w:tc>
          <w:tcPr>
            <w:tcW w:w="1039" w:type="pct"/>
            <w:shd w:val="clear" w:color="auto" w:fill="auto"/>
            <w:vAlign w:val="center"/>
          </w:tcPr>
          <w:p w14:paraId="43A0E8D8" w14:textId="77777777" w:rsidR="00F46D18" w:rsidRDefault="0066369F" w:rsidP="00D23630">
            <w:pPr>
              <w:adjustRightInd w:val="0"/>
              <w:snapToGrid w:val="0"/>
              <w:spacing w:after="0" w:line="240" w:lineRule="auto"/>
              <w:jc w:val="center"/>
              <w:rPr>
                <w:rFonts w:eastAsia="Calibri"/>
                <w:sz w:val="20"/>
                <w:szCs w:val="20"/>
              </w:rPr>
            </w:pPr>
            <w:r>
              <w:rPr>
                <w:rFonts w:eastAsia="Calibri"/>
                <w:sz w:val="20"/>
                <w:szCs w:val="20"/>
              </w:rPr>
              <w:t>1271</w:t>
            </w:r>
          </w:p>
        </w:tc>
        <w:tc>
          <w:tcPr>
            <w:tcW w:w="927" w:type="pct"/>
            <w:shd w:val="clear" w:color="auto" w:fill="auto"/>
            <w:vAlign w:val="center"/>
          </w:tcPr>
          <w:p w14:paraId="0F117812" w14:textId="77777777" w:rsidR="00F46D18" w:rsidRDefault="0066369F" w:rsidP="00D23630">
            <w:pPr>
              <w:adjustRightInd w:val="0"/>
              <w:snapToGrid w:val="0"/>
              <w:spacing w:after="0" w:line="240" w:lineRule="auto"/>
              <w:jc w:val="center"/>
              <w:rPr>
                <w:rFonts w:eastAsia="Calibri"/>
                <w:sz w:val="20"/>
                <w:szCs w:val="20"/>
              </w:rPr>
            </w:pPr>
            <w:r>
              <w:rPr>
                <w:rFonts w:eastAsia="Calibri"/>
                <w:sz w:val="20"/>
                <w:szCs w:val="20"/>
              </w:rPr>
              <w:t>373</w:t>
            </w:r>
          </w:p>
        </w:tc>
        <w:tc>
          <w:tcPr>
            <w:tcW w:w="927" w:type="pct"/>
            <w:shd w:val="clear" w:color="auto" w:fill="auto"/>
            <w:vAlign w:val="center"/>
          </w:tcPr>
          <w:p w14:paraId="2C37F699" w14:textId="77777777" w:rsidR="00F46D18" w:rsidRDefault="0066369F" w:rsidP="00D23630">
            <w:pPr>
              <w:adjustRightInd w:val="0"/>
              <w:snapToGrid w:val="0"/>
              <w:spacing w:after="0" w:line="240" w:lineRule="auto"/>
              <w:jc w:val="center"/>
              <w:rPr>
                <w:rFonts w:eastAsia="Calibri"/>
                <w:sz w:val="20"/>
                <w:szCs w:val="20"/>
              </w:rPr>
            </w:pPr>
            <w:r>
              <w:rPr>
                <w:rFonts w:eastAsia="Calibri"/>
                <w:sz w:val="20"/>
                <w:szCs w:val="20"/>
              </w:rPr>
              <w:t>625</w:t>
            </w:r>
          </w:p>
        </w:tc>
      </w:tr>
      <w:tr w:rsidR="00F46D18" w14:paraId="6E1D0F15" w14:textId="77777777">
        <w:trPr>
          <w:trHeight w:val="113"/>
          <w:jc w:val="center"/>
        </w:trPr>
        <w:tc>
          <w:tcPr>
            <w:tcW w:w="1066" w:type="pct"/>
            <w:shd w:val="clear" w:color="auto" w:fill="auto"/>
            <w:vAlign w:val="center"/>
          </w:tcPr>
          <w:p w14:paraId="5814FED6" w14:textId="77777777" w:rsidR="00F46D18" w:rsidRDefault="0066369F" w:rsidP="00D23630">
            <w:pPr>
              <w:adjustRightInd w:val="0"/>
              <w:snapToGrid w:val="0"/>
              <w:spacing w:after="0" w:line="240" w:lineRule="auto"/>
              <w:jc w:val="center"/>
              <w:rPr>
                <w:rFonts w:eastAsia="Calibri"/>
                <w:sz w:val="20"/>
                <w:szCs w:val="20"/>
              </w:rPr>
            </w:pPr>
            <w:r>
              <w:rPr>
                <w:rFonts w:eastAsia="Calibri"/>
                <w:sz w:val="20"/>
                <w:szCs w:val="20"/>
              </w:rPr>
              <w:t>Type 3</w:t>
            </w:r>
          </w:p>
        </w:tc>
        <w:tc>
          <w:tcPr>
            <w:tcW w:w="1039" w:type="pct"/>
            <w:shd w:val="clear" w:color="auto" w:fill="auto"/>
            <w:vAlign w:val="center"/>
          </w:tcPr>
          <w:p w14:paraId="38814DC1" w14:textId="77777777" w:rsidR="00F46D18" w:rsidRDefault="0066369F" w:rsidP="00D23630">
            <w:pPr>
              <w:adjustRightInd w:val="0"/>
              <w:snapToGrid w:val="0"/>
              <w:spacing w:after="0" w:line="240" w:lineRule="auto"/>
              <w:jc w:val="center"/>
              <w:rPr>
                <w:rFonts w:eastAsia="Calibri"/>
                <w:sz w:val="20"/>
                <w:szCs w:val="20"/>
              </w:rPr>
            </w:pPr>
            <w:r>
              <w:rPr>
                <w:rFonts w:eastAsia="Calibri"/>
                <w:sz w:val="20"/>
                <w:szCs w:val="20"/>
              </w:rPr>
              <w:t>1528</w:t>
            </w:r>
          </w:p>
        </w:tc>
        <w:tc>
          <w:tcPr>
            <w:tcW w:w="1039" w:type="pct"/>
            <w:shd w:val="clear" w:color="auto" w:fill="auto"/>
            <w:vAlign w:val="center"/>
          </w:tcPr>
          <w:p w14:paraId="5390C22C" w14:textId="77777777" w:rsidR="00F46D18" w:rsidRDefault="0066369F" w:rsidP="00D23630">
            <w:pPr>
              <w:adjustRightInd w:val="0"/>
              <w:snapToGrid w:val="0"/>
              <w:spacing w:after="0" w:line="240" w:lineRule="auto"/>
              <w:jc w:val="center"/>
              <w:rPr>
                <w:rFonts w:eastAsia="Calibri"/>
                <w:sz w:val="20"/>
                <w:szCs w:val="20"/>
              </w:rPr>
            </w:pPr>
            <w:r>
              <w:rPr>
                <w:rFonts w:eastAsia="Calibri"/>
                <w:sz w:val="20"/>
                <w:szCs w:val="20"/>
              </w:rPr>
              <w:t>1134</w:t>
            </w:r>
          </w:p>
        </w:tc>
        <w:tc>
          <w:tcPr>
            <w:tcW w:w="927" w:type="pct"/>
            <w:shd w:val="clear" w:color="auto" w:fill="auto"/>
            <w:vAlign w:val="center"/>
          </w:tcPr>
          <w:p w14:paraId="737602C0" w14:textId="77777777" w:rsidR="00F46D18" w:rsidRDefault="0066369F" w:rsidP="00D23630">
            <w:pPr>
              <w:adjustRightInd w:val="0"/>
              <w:snapToGrid w:val="0"/>
              <w:spacing w:after="0" w:line="240" w:lineRule="auto"/>
              <w:jc w:val="center"/>
              <w:rPr>
                <w:rFonts w:eastAsia="Calibri"/>
                <w:sz w:val="20"/>
                <w:szCs w:val="20"/>
              </w:rPr>
            </w:pPr>
            <w:r>
              <w:rPr>
                <w:rFonts w:eastAsia="Calibri"/>
                <w:sz w:val="20"/>
                <w:szCs w:val="20"/>
              </w:rPr>
              <w:t>408</w:t>
            </w:r>
          </w:p>
        </w:tc>
        <w:tc>
          <w:tcPr>
            <w:tcW w:w="927" w:type="pct"/>
            <w:shd w:val="clear" w:color="auto" w:fill="auto"/>
            <w:vAlign w:val="center"/>
          </w:tcPr>
          <w:p w14:paraId="115467C1" w14:textId="77777777" w:rsidR="00F46D18" w:rsidRDefault="0066369F" w:rsidP="00D23630">
            <w:pPr>
              <w:adjustRightInd w:val="0"/>
              <w:snapToGrid w:val="0"/>
              <w:spacing w:after="0" w:line="240" w:lineRule="auto"/>
              <w:jc w:val="center"/>
              <w:rPr>
                <w:rFonts w:eastAsia="Calibri"/>
                <w:sz w:val="20"/>
                <w:szCs w:val="20"/>
              </w:rPr>
            </w:pPr>
            <w:r>
              <w:rPr>
                <w:rFonts w:eastAsia="Calibri"/>
                <w:sz w:val="20"/>
                <w:szCs w:val="20"/>
              </w:rPr>
              <w:t>654</w:t>
            </w:r>
          </w:p>
        </w:tc>
      </w:tr>
    </w:tbl>
    <w:p w14:paraId="6BD88CC4" w14:textId="77777777" w:rsidR="00F46D18" w:rsidRDefault="00F46D18" w:rsidP="00D23630">
      <w:pPr>
        <w:adjustRightInd w:val="0"/>
        <w:snapToGrid w:val="0"/>
        <w:spacing w:after="0" w:line="240" w:lineRule="auto"/>
        <w:jc w:val="both"/>
        <w:rPr>
          <w:sz w:val="20"/>
          <w:szCs w:val="20"/>
          <w:lang w:eastAsia="zh-CN"/>
        </w:rPr>
      </w:pPr>
      <w:bookmarkStart w:id="15" w:name="_Ref77929593"/>
    </w:p>
    <w:p w14:paraId="6D9D2A05" w14:textId="5DCD3BD0" w:rsidR="00F46D18" w:rsidRDefault="0066369F" w:rsidP="004976EA">
      <w:pPr>
        <w:adjustRightInd w:val="0"/>
        <w:snapToGrid w:val="0"/>
        <w:spacing w:after="0" w:line="240" w:lineRule="auto"/>
        <w:rPr>
          <w:sz w:val="20"/>
          <w:szCs w:val="20"/>
        </w:rPr>
      </w:pPr>
      <w:r>
        <w:rPr>
          <w:sz w:val="20"/>
          <w:szCs w:val="20"/>
        </w:rPr>
        <w:t>Table</w:t>
      </w:r>
      <w:bookmarkEnd w:id="15"/>
      <w:r w:rsidR="004976EA">
        <w:rPr>
          <w:sz w:val="20"/>
          <w:szCs w:val="20"/>
        </w:rPr>
        <w:t xml:space="preserve"> 3</w:t>
      </w:r>
      <w:r>
        <w:rPr>
          <w:sz w:val="20"/>
          <w:szCs w:val="20"/>
        </w:rPr>
        <w:t>. Summary of stoichiometric operating temperatures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959"/>
        <w:gridCol w:w="958"/>
        <w:gridCol w:w="854"/>
        <w:gridCol w:w="854"/>
      </w:tblGrid>
      <w:tr w:rsidR="00F46D18" w14:paraId="64F74949" w14:textId="77777777">
        <w:trPr>
          <w:trHeight w:val="369"/>
          <w:tblHeader/>
          <w:jc w:val="center"/>
        </w:trPr>
        <w:tc>
          <w:tcPr>
            <w:tcW w:w="1066" w:type="pct"/>
            <w:shd w:val="clear" w:color="auto" w:fill="auto"/>
            <w:vAlign w:val="center"/>
          </w:tcPr>
          <w:p w14:paraId="4161F488" w14:textId="77777777" w:rsidR="00F46D18" w:rsidRDefault="0066369F" w:rsidP="00D23630">
            <w:pPr>
              <w:adjustRightInd w:val="0"/>
              <w:snapToGrid w:val="0"/>
              <w:spacing w:after="0" w:line="240" w:lineRule="auto"/>
              <w:jc w:val="center"/>
              <w:rPr>
                <w:rFonts w:eastAsia="Calibri"/>
                <w:sz w:val="20"/>
                <w:szCs w:val="20"/>
              </w:rPr>
            </w:pPr>
            <w:r>
              <w:rPr>
                <w:rFonts w:eastAsia="Calibri"/>
                <w:sz w:val="20"/>
                <w:szCs w:val="20"/>
              </w:rPr>
              <w:t>Bluff body</w:t>
            </w:r>
          </w:p>
        </w:tc>
        <w:tc>
          <w:tcPr>
            <w:tcW w:w="1039" w:type="pct"/>
            <w:shd w:val="clear" w:color="auto" w:fill="auto"/>
            <w:vAlign w:val="center"/>
          </w:tcPr>
          <w:p w14:paraId="65EEE2D7" w14:textId="77777777" w:rsidR="00F46D18" w:rsidRDefault="00D97325" w:rsidP="00D23630">
            <w:pPr>
              <w:adjustRightInd w:val="0"/>
              <w:snapToGrid w:val="0"/>
              <w:spacing w:after="0" w:line="240" w:lineRule="auto"/>
              <w:jc w:val="center"/>
              <w:rPr>
                <w:rFonts w:eastAsia="Times New Roman"/>
                <w:sz w:val="20"/>
                <w:szCs w:val="20"/>
              </w:rPr>
            </w:pPr>
            <m:oMathPara>
              <m:oMath>
                <m:sSub>
                  <m:sSubPr>
                    <m:ctrlPr>
                      <w:rPr>
                        <w:rFonts w:ascii="Cambria Math" w:hAnsi="Cambria Math"/>
                        <w:b/>
                        <w:bCs/>
                        <w:i/>
                        <w:sz w:val="20"/>
                        <w:szCs w:val="20"/>
                      </w:rPr>
                    </m:ctrlPr>
                  </m:sSubPr>
                  <m:e>
                    <m:r>
                      <w:rPr>
                        <w:rFonts w:ascii="Cambria Math" w:hAnsi="Cambria Math"/>
                        <w:sz w:val="20"/>
                        <w:szCs w:val="20"/>
                      </w:rPr>
                      <m:t>T</m:t>
                    </m:r>
                  </m:e>
                  <m:sub>
                    <m:r>
                      <m:rPr>
                        <m:sty m:val="bi"/>
                      </m:rPr>
                      <w:rPr>
                        <w:rFonts w:ascii="Cambria Math" w:hAnsi="Cambria Math"/>
                        <w:sz w:val="20"/>
                        <w:szCs w:val="20"/>
                      </w:rPr>
                      <m:t>i</m:t>
                    </m:r>
                  </m:sub>
                </m:sSub>
              </m:oMath>
            </m:oMathPara>
          </w:p>
          <w:p w14:paraId="18813F5B" w14:textId="77777777" w:rsidR="00F46D18" w:rsidRDefault="0066369F" w:rsidP="00D23630">
            <w:pPr>
              <w:adjustRightInd w:val="0"/>
              <w:snapToGrid w:val="0"/>
              <w:spacing w:after="0" w:line="240" w:lineRule="auto"/>
              <w:jc w:val="center"/>
              <w:rPr>
                <w:rFonts w:eastAsia="Calibri"/>
                <w:sz w:val="20"/>
                <w:szCs w:val="20"/>
              </w:rPr>
            </w:pPr>
            <w:r>
              <w:rPr>
                <w:rFonts w:eastAsia="Times New Roman"/>
                <w:sz w:val="20"/>
                <w:szCs w:val="20"/>
              </w:rPr>
              <w:t>(K)</w:t>
            </w:r>
          </w:p>
        </w:tc>
        <w:tc>
          <w:tcPr>
            <w:tcW w:w="1039" w:type="pct"/>
            <w:shd w:val="clear" w:color="auto" w:fill="auto"/>
            <w:vAlign w:val="center"/>
          </w:tcPr>
          <w:p w14:paraId="31683317" w14:textId="77777777" w:rsidR="00F46D18" w:rsidRDefault="00D97325" w:rsidP="00D23630">
            <w:pPr>
              <w:adjustRightInd w:val="0"/>
              <w:snapToGrid w:val="0"/>
              <w:spacing w:after="0" w:line="240" w:lineRule="auto"/>
              <w:jc w:val="center"/>
              <w:rPr>
                <w:rFonts w:eastAsia="Times New Roman"/>
                <w:sz w:val="20"/>
                <w:szCs w:val="20"/>
              </w:rPr>
            </w:pPr>
            <m:oMathPara>
              <m:oMath>
                <m:sSub>
                  <m:sSubPr>
                    <m:ctrlPr>
                      <w:rPr>
                        <w:rFonts w:ascii="Cambria Math" w:hAnsi="Cambria Math"/>
                        <w:b/>
                        <w:bCs/>
                        <w:i/>
                        <w:sz w:val="20"/>
                        <w:szCs w:val="20"/>
                      </w:rPr>
                    </m:ctrlPr>
                  </m:sSubPr>
                  <m:e>
                    <m:r>
                      <w:rPr>
                        <w:rFonts w:ascii="Cambria Math" w:hAnsi="Cambria Math"/>
                        <w:sz w:val="20"/>
                        <w:szCs w:val="20"/>
                      </w:rPr>
                      <m:t>T</m:t>
                    </m:r>
                  </m:e>
                  <m:sub>
                    <m:r>
                      <m:rPr>
                        <m:sty m:val="bi"/>
                      </m:rPr>
                      <w:rPr>
                        <w:rFonts w:ascii="Cambria Math" w:hAnsi="Cambria Math"/>
                        <w:sz w:val="20"/>
                        <w:szCs w:val="20"/>
                      </w:rPr>
                      <m:t>e</m:t>
                    </m:r>
                  </m:sub>
                </m:sSub>
              </m:oMath>
            </m:oMathPara>
          </w:p>
          <w:p w14:paraId="057CD991" w14:textId="77777777" w:rsidR="00F46D18" w:rsidRDefault="0066369F" w:rsidP="00D23630">
            <w:pPr>
              <w:adjustRightInd w:val="0"/>
              <w:snapToGrid w:val="0"/>
              <w:spacing w:after="0" w:line="240" w:lineRule="auto"/>
              <w:jc w:val="center"/>
              <w:rPr>
                <w:rFonts w:eastAsia="Calibri"/>
                <w:sz w:val="20"/>
                <w:szCs w:val="20"/>
              </w:rPr>
            </w:pPr>
            <w:r>
              <w:rPr>
                <w:rFonts w:eastAsia="Times New Roman"/>
                <w:sz w:val="20"/>
                <w:szCs w:val="20"/>
              </w:rPr>
              <w:t>(K)</w:t>
            </w:r>
          </w:p>
        </w:tc>
        <w:tc>
          <w:tcPr>
            <w:tcW w:w="927" w:type="pct"/>
            <w:shd w:val="clear" w:color="auto" w:fill="auto"/>
            <w:vAlign w:val="center"/>
          </w:tcPr>
          <w:p w14:paraId="21B34BD8" w14:textId="77777777" w:rsidR="00F46D18" w:rsidRDefault="00D97325" w:rsidP="00D23630">
            <w:pPr>
              <w:adjustRightInd w:val="0"/>
              <w:snapToGrid w:val="0"/>
              <w:spacing w:after="0" w:line="240" w:lineRule="auto"/>
              <w:jc w:val="center"/>
              <w:rPr>
                <w:rFonts w:eastAsia="Times New Roman"/>
                <w:sz w:val="20"/>
                <w:szCs w:val="20"/>
              </w:rPr>
            </w:pPr>
            <m:oMathPara>
              <m:oMath>
                <m:sSub>
                  <m:sSubPr>
                    <m:ctrlPr>
                      <w:rPr>
                        <w:rFonts w:ascii="Cambria Math" w:hAnsi="Cambria Math"/>
                        <w:b/>
                        <w:bCs/>
                        <w:i/>
                        <w:sz w:val="20"/>
                        <w:szCs w:val="20"/>
                      </w:rPr>
                    </m:ctrlPr>
                  </m:sSubPr>
                  <m:e>
                    <m:r>
                      <w:rPr>
                        <w:rFonts w:ascii="Cambria Math" w:hAnsi="Cambria Math"/>
                        <w:sz w:val="20"/>
                        <w:szCs w:val="20"/>
                      </w:rPr>
                      <m:t>T</m:t>
                    </m:r>
                  </m:e>
                  <m:sub>
                    <m:r>
                      <m:rPr>
                        <m:sty m:val="bi"/>
                      </m:rPr>
                      <w:rPr>
                        <w:rFonts w:ascii="Cambria Math" w:hAnsi="Cambria Math"/>
                        <w:sz w:val="20"/>
                        <w:szCs w:val="20"/>
                      </w:rPr>
                      <m:t>p</m:t>
                    </m:r>
                  </m:sub>
                </m:sSub>
              </m:oMath>
            </m:oMathPara>
          </w:p>
          <w:p w14:paraId="767171D6" w14:textId="77777777" w:rsidR="00F46D18" w:rsidRDefault="0066369F" w:rsidP="00D23630">
            <w:pPr>
              <w:adjustRightInd w:val="0"/>
              <w:snapToGrid w:val="0"/>
              <w:spacing w:after="0" w:line="240" w:lineRule="auto"/>
              <w:jc w:val="center"/>
              <w:rPr>
                <w:rFonts w:eastAsia="Calibri"/>
                <w:sz w:val="20"/>
                <w:szCs w:val="20"/>
              </w:rPr>
            </w:pPr>
            <w:r>
              <w:rPr>
                <w:rFonts w:eastAsia="Times New Roman"/>
                <w:sz w:val="20"/>
                <w:szCs w:val="20"/>
              </w:rPr>
              <w:t>(K)</w:t>
            </w:r>
          </w:p>
        </w:tc>
        <w:tc>
          <w:tcPr>
            <w:tcW w:w="927" w:type="pct"/>
            <w:shd w:val="clear" w:color="auto" w:fill="auto"/>
            <w:vAlign w:val="center"/>
          </w:tcPr>
          <w:p w14:paraId="79290CCF" w14:textId="77777777" w:rsidR="00F46D18" w:rsidRDefault="00D97325" w:rsidP="00D23630">
            <w:pPr>
              <w:adjustRightInd w:val="0"/>
              <w:snapToGrid w:val="0"/>
              <w:spacing w:after="0" w:line="240" w:lineRule="auto"/>
              <w:jc w:val="center"/>
              <w:rPr>
                <w:rFonts w:eastAsia="Times New Roman"/>
                <w:sz w:val="20"/>
                <w:szCs w:val="20"/>
              </w:rPr>
            </w:pPr>
            <m:oMathPara>
              <m:oMath>
                <m:sSub>
                  <m:sSubPr>
                    <m:ctrlPr>
                      <w:rPr>
                        <w:rFonts w:ascii="Cambria Math" w:hAnsi="Cambria Math"/>
                        <w:b/>
                        <w:bCs/>
                        <w:i/>
                        <w:sz w:val="20"/>
                        <w:szCs w:val="20"/>
                      </w:rPr>
                    </m:ctrlPr>
                  </m:sSubPr>
                  <m:e>
                    <m:r>
                      <w:rPr>
                        <w:rFonts w:ascii="Cambria Math" w:hAnsi="Cambria Math"/>
                        <w:sz w:val="20"/>
                        <w:szCs w:val="20"/>
                      </w:rPr>
                      <m:t>T</m:t>
                    </m:r>
                  </m:e>
                  <m:sub>
                    <m:r>
                      <m:rPr>
                        <m:sty m:val="bi"/>
                      </m:rPr>
                      <w:rPr>
                        <w:rFonts w:ascii="Cambria Math" w:hAnsi="Cambria Math"/>
                        <w:sz w:val="20"/>
                        <w:szCs w:val="20"/>
                      </w:rPr>
                      <m:t>b</m:t>
                    </m:r>
                  </m:sub>
                </m:sSub>
              </m:oMath>
            </m:oMathPara>
          </w:p>
          <w:p w14:paraId="36DD5AF5" w14:textId="77777777" w:rsidR="00F46D18" w:rsidRDefault="0066369F" w:rsidP="00D23630">
            <w:pPr>
              <w:adjustRightInd w:val="0"/>
              <w:snapToGrid w:val="0"/>
              <w:spacing w:after="0" w:line="240" w:lineRule="auto"/>
              <w:jc w:val="center"/>
              <w:rPr>
                <w:rFonts w:eastAsia="Calibri"/>
                <w:sz w:val="20"/>
                <w:szCs w:val="20"/>
              </w:rPr>
            </w:pPr>
            <w:r>
              <w:rPr>
                <w:rFonts w:eastAsia="Times New Roman"/>
                <w:sz w:val="20"/>
                <w:szCs w:val="20"/>
              </w:rPr>
              <w:t>(K)</w:t>
            </w:r>
          </w:p>
        </w:tc>
      </w:tr>
      <w:tr w:rsidR="00F46D18" w14:paraId="24C4ECD4" w14:textId="77777777">
        <w:trPr>
          <w:trHeight w:val="56"/>
          <w:jc w:val="center"/>
        </w:trPr>
        <w:tc>
          <w:tcPr>
            <w:tcW w:w="1066" w:type="pct"/>
            <w:shd w:val="clear" w:color="auto" w:fill="auto"/>
            <w:vAlign w:val="center"/>
          </w:tcPr>
          <w:p w14:paraId="7DC35F04" w14:textId="77777777" w:rsidR="00F46D18" w:rsidRDefault="0066369F" w:rsidP="00D23630">
            <w:pPr>
              <w:adjustRightInd w:val="0"/>
              <w:snapToGrid w:val="0"/>
              <w:spacing w:after="0" w:line="240" w:lineRule="auto"/>
              <w:jc w:val="center"/>
              <w:rPr>
                <w:rFonts w:eastAsia="Calibri"/>
                <w:sz w:val="20"/>
                <w:szCs w:val="20"/>
              </w:rPr>
            </w:pPr>
            <w:r>
              <w:rPr>
                <w:rFonts w:eastAsia="Calibri"/>
                <w:sz w:val="20"/>
                <w:szCs w:val="20"/>
              </w:rPr>
              <w:t>Type 1</w:t>
            </w:r>
          </w:p>
        </w:tc>
        <w:tc>
          <w:tcPr>
            <w:tcW w:w="1039" w:type="pct"/>
            <w:shd w:val="clear" w:color="auto" w:fill="auto"/>
            <w:vAlign w:val="center"/>
          </w:tcPr>
          <w:p w14:paraId="4B211310" w14:textId="77777777" w:rsidR="00F46D18" w:rsidRDefault="0066369F" w:rsidP="00D23630">
            <w:pPr>
              <w:adjustRightInd w:val="0"/>
              <w:snapToGrid w:val="0"/>
              <w:spacing w:after="0" w:line="240" w:lineRule="auto"/>
              <w:jc w:val="center"/>
              <w:rPr>
                <w:rFonts w:eastAsia="Calibri"/>
                <w:sz w:val="20"/>
                <w:szCs w:val="20"/>
              </w:rPr>
            </w:pPr>
            <w:r>
              <w:rPr>
                <w:rFonts w:eastAsia="Calibri"/>
                <w:sz w:val="20"/>
                <w:szCs w:val="20"/>
              </w:rPr>
              <w:t>1970</w:t>
            </w:r>
          </w:p>
        </w:tc>
        <w:tc>
          <w:tcPr>
            <w:tcW w:w="1039" w:type="pct"/>
            <w:shd w:val="clear" w:color="auto" w:fill="auto"/>
            <w:vAlign w:val="center"/>
          </w:tcPr>
          <w:p w14:paraId="4EE53B55" w14:textId="77777777" w:rsidR="00F46D18" w:rsidRDefault="0066369F" w:rsidP="00D23630">
            <w:pPr>
              <w:adjustRightInd w:val="0"/>
              <w:snapToGrid w:val="0"/>
              <w:spacing w:after="0" w:line="240" w:lineRule="auto"/>
              <w:jc w:val="center"/>
              <w:rPr>
                <w:rFonts w:eastAsia="Calibri"/>
                <w:sz w:val="20"/>
                <w:szCs w:val="20"/>
              </w:rPr>
            </w:pPr>
            <w:r>
              <w:rPr>
                <w:rFonts w:eastAsia="Calibri"/>
                <w:sz w:val="20"/>
                <w:szCs w:val="20"/>
              </w:rPr>
              <w:t>1429</w:t>
            </w:r>
          </w:p>
        </w:tc>
        <w:tc>
          <w:tcPr>
            <w:tcW w:w="927" w:type="pct"/>
            <w:shd w:val="clear" w:color="auto" w:fill="auto"/>
            <w:vAlign w:val="center"/>
          </w:tcPr>
          <w:p w14:paraId="4B2202A5" w14:textId="77777777" w:rsidR="00F46D18" w:rsidRDefault="0066369F" w:rsidP="00D23630">
            <w:pPr>
              <w:adjustRightInd w:val="0"/>
              <w:snapToGrid w:val="0"/>
              <w:spacing w:after="0" w:line="240" w:lineRule="auto"/>
              <w:jc w:val="center"/>
              <w:rPr>
                <w:rFonts w:eastAsia="Calibri"/>
                <w:sz w:val="20"/>
                <w:szCs w:val="20"/>
              </w:rPr>
            </w:pPr>
            <w:r>
              <w:rPr>
                <w:rFonts w:eastAsia="Calibri"/>
                <w:sz w:val="20"/>
                <w:szCs w:val="20"/>
              </w:rPr>
              <w:t>558</w:t>
            </w:r>
          </w:p>
        </w:tc>
        <w:tc>
          <w:tcPr>
            <w:tcW w:w="927" w:type="pct"/>
            <w:shd w:val="clear" w:color="auto" w:fill="auto"/>
            <w:vAlign w:val="center"/>
          </w:tcPr>
          <w:p w14:paraId="72CC5AD1" w14:textId="77777777" w:rsidR="00F46D18" w:rsidRDefault="0066369F" w:rsidP="00D23630">
            <w:pPr>
              <w:adjustRightInd w:val="0"/>
              <w:snapToGrid w:val="0"/>
              <w:spacing w:after="0" w:line="240" w:lineRule="auto"/>
              <w:jc w:val="center"/>
              <w:rPr>
                <w:rFonts w:eastAsia="Calibri"/>
                <w:sz w:val="20"/>
                <w:szCs w:val="20"/>
              </w:rPr>
            </w:pPr>
            <w:r>
              <w:rPr>
                <w:rFonts w:eastAsia="Calibri"/>
                <w:sz w:val="20"/>
                <w:szCs w:val="20"/>
              </w:rPr>
              <w:t>722</w:t>
            </w:r>
          </w:p>
        </w:tc>
      </w:tr>
      <w:tr w:rsidR="00F46D18" w14:paraId="415ACF6F" w14:textId="77777777">
        <w:trPr>
          <w:trHeight w:val="56"/>
          <w:jc w:val="center"/>
        </w:trPr>
        <w:tc>
          <w:tcPr>
            <w:tcW w:w="1066" w:type="pct"/>
            <w:shd w:val="clear" w:color="auto" w:fill="auto"/>
            <w:vAlign w:val="center"/>
          </w:tcPr>
          <w:p w14:paraId="31BE3FE2" w14:textId="77777777" w:rsidR="00F46D18" w:rsidRDefault="0066369F" w:rsidP="00D23630">
            <w:pPr>
              <w:adjustRightInd w:val="0"/>
              <w:snapToGrid w:val="0"/>
              <w:spacing w:after="0" w:line="240" w:lineRule="auto"/>
              <w:jc w:val="center"/>
              <w:rPr>
                <w:rFonts w:eastAsia="Calibri"/>
                <w:sz w:val="20"/>
                <w:szCs w:val="20"/>
              </w:rPr>
            </w:pPr>
            <w:r>
              <w:rPr>
                <w:rFonts w:eastAsia="Calibri"/>
                <w:sz w:val="20"/>
                <w:szCs w:val="20"/>
              </w:rPr>
              <w:t>Type 2</w:t>
            </w:r>
          </w:p>
        </w:tc>
        <w:tc>
          <w:tcPr>
            <w:tcW w:w="1039" w:type="pct"/>
            <w:shd w:val="clear" w:color="auto" w:fill="auto"/>
            <w:vAlign w:val="center"/>
          </w:tcPr>
          <w:p w14:paraId="6AA583C9" w14:textId="77777777" w:rsidR="00F46D18" w:rsidRDefault="0066369F" w:rsidP="00D23630">
            <w:pPr>
              <w:adjustRightInd w:val="0"/>
              <w:snapToGrid w:val="0"/>
              <w:spacing w:after="0" w:line="240" w:lineRule="auto"/>
              <w:jc w:val="center"/>
              <w:rPr>
                <w:rFonts w:eastAsia="Calibri"/>
                <w:sz w:val="20"/>
                <w:szCs w:val="20"/>
              </w:rPr>
            </w:pPr>
            <w:r>
              <w:rPr>
                <w:rFonts w:eastAsia="Calibri"/>
                <w:sz w:val="20"/>
                <w:szCs w:val="20"/>
              </w:rPr>
              <w:t>1886</w:t>
            </w:r>
          </w:p>
        </w:tc>
        <w:tc>
          <w:tcPr>
            <w:tcW w:w="1039" w:type="pct"/>
            <w:shd w:val="clear" w:color="auto" w:fill="auto"/>
            <w:vAlign w:val="center"/>
          </w:tcPr>
          <w:p w14:paraId="6ABDA92F" w14:textId="77777777" w:rsidR="00F46D18" w:rsidRDefault="0066369F" w:rsidP="00D23630">
            <w:pPr>
              <w:adjustRightInd w:val="0"/>
              <w:snapToGrid w:val="0"/>
              <w:spacing w:after="0" w:line="240" w:lineRule="auto"/>
              <w:jc w:val="center"/>
              <w:rPr>
                <w:rFonts w:eastAsia="Calibri"/>
                <w:sz w:val="20"/>
                <w:szCs w:val="20"/>
              </w:rPr>
            </w:pPr>
            <w:r>
              <w:rPr>
                <w:rFonts w:eastAsia="Calibri"/>
                <w:sz w:val="20"/>
                <w:szCs w:val="20"/>
              </w:rPr>
              <w:t>1392</w:t>
            </w:r>
          </w:p>
        </w:tc>
        <w:tc>
          <w:tcPr>
            <w:tcW w:w="927" w:type="pct"/>
            <w:shd w:val="clear" w:color="auto" w:fill="auto"/>
            <w:vAlign w:val="center"/>
          </w:tcPr>
          <w:p w14:paraId="091050E3" w14:textId="77777777" w:rsidR="00F46D18" w:rsidRDefault="0066369F" w:rsidP="00D23630">
            <w:pPr>
              <w:adjustRightInd w:val="0"/>
              <w:snapToGrid w:val="0"/>
              <w:spacing w:after="0" w:line="240" w:lineRule="auto"/>
              <w:jc w:val="center"/>
              <w:rPr>
                <w:rFonts w:eastAsia="Calibri"/>
                <w:sz w:val="20"/>
                <w:szCs w:val="20"/>
              </w:rPr>
            </w:pPr>
            <w:r>
              <w:rPr>
                <w:rFonts w:eastAsia="Calibri"/>
                <w:sz w:val="20"/>
                <w:szCs w:val="20"/>
              </w:rPr>
              <w:t>494</w:t>
            </w:r>
          </w:p>
        </w:tc>
        <w:tc>
          <w:tcPr>
            <w:tcW w:w="927" w:type="pct"/>
            <w:shd w:val="clear" w:color="auto" w:fill="auto"/>
            <w:vAlign w:val="center"/>
          </w:tcPr>
          <w:p w14:paraId="51FBBBA7" w14:textId="77777777" w:rsidR="00F46D18" w:rsidRDefault="0066369F" w:rsidP="00D23630">
            <w:pPr>
              <w:adjustRightInd w:val="0"/>
              <w:snapToGrid w:val="0"/>
              <w:spacing w:after="0" w:line="240" w:lineRule="auto"/>
              <w:jc w:val="center"/>
              <w:rPr>
                <w:rFonts w:eastAsia="Calibri"/>
                <w:sz w:val="20"/>
                <w:szCs w:val="20"/>
              </w:rPr>
            </w:pPr>
            <w:r>
              <w:rPr>
                <w:rFonts w:eastAsia="Calibri"/>
                <w:sz w:val="20"/>
                <w:szCs w:val="20"/>
              </w:rPr>
              <w:t>754</w:t>
            </w:r>
          </w:p>
        </w:tc>
      </w:tr>
      <w:tr w:rsidR="00F46D18" w14:paraId="41C02BC9" w14:textId="77777777">
        <w:trPr>
          <w:trHeight w:val="56"/>
          <w:jc w:val="center"/>
        </w:trPr>
        <w:tc>
          <w:tcPr>
            <w:tcW w:w="1066" w:type="pct"/>
            <w:shd w:val="clear" w:color="auto" w:fill="auto"/>
            <w:vAlign w:val="center"/>
          </w:tcPr>
          <w:p w14:paraId="53D4A007" w14:textId="77777777" w:rsidR="00F46D18" w:rsidRDefault="0066369F" w:rsidP="00D23630">
            <w:pPr>
              <w:adjustRightInd w:val="0"/>
              <w:snapToGrid w:val="0"/>
              <w:spacing w:after="0" w:line="240" w:lineRule="auto"/>
              <w:jc w:val="center"/>
              <w:rPr>
                <w:rFonts w:eastAsia="Calibri"/>
                <w:sz w:val="20"/>
                <w:szCs w:val="20"/>
              </w:rPr>
            </w:pPr>
            <w:r>
              <w:rPr>
                <w:rFonts w:eastAsia="Calibri"/>
                <w:sz w:val="20"/>
                <w:szCs w:val="20"/>
              </w:rPr>
              <w:t>Type 3</w:t>
            </w:r>
          </w:p>
        </w:tc>
        <w:tc>
          <w:tcPr>
            <w:tcW w:w="1039" w:type="pct"/>
            <w:shd w:val="clear" w:color="auto" w:fill="auto"/>
            <w:vAlign w:val="center"/>
          </w:tcPr>
          <w:p w14:paraId="1F0C0A0E" w14:textId="77777777" w:rsidR="00F46D18" w:rsidRDefault="0066369F" w:rsidP="00D23630">
            <w:pPr>
              <w:adjustRightInd w:val="0"/>
              <w:snapToGrid w:val="0"/>
              <w:spacing w:after="0" w:line="240" w:lineRule="auto"/>
              <w:jc w:val="center"/>
              <w:rPr>
                <w:rFonts w:eastAsia="Calibri"/>
                <w:sz w:val="20"/>
                <w:szCs w:val="20"/>
              </w:rPr>
            </w:pPr>
            <w:r>
              <w:rPr>
                <w:rFonts w:eastAsia="Calibri"/>
                <w:sz w:val="20"/>
                <w:szCs w:val="20"/>
              </w:rPr>
              <w:t>2031</w:t>
            </w:r>
          </w:p>
        </w:tc>
        <w:tc>
          <w:tcPr>
            <w:tcW w:w="1039" w:type="pct"/>
            <w:shd w:val="clear" w:color="auto" w:fill="auto"/>
            <w:vAlign w:val="center"/>
          </w:tcPr>
          <w:p w14:paraId="2BEA88F0" w14:textId="77777777" w:rsidR="00F46D18" w:rsidRDefault="0066369F" w:rsidP="00D23630">
            <w:pPr>
              <w:adjustRightInd w:val="0"/>
              <w:snapToGrid w:val="0"/>
              <w:spacing w:after="0" w:line="240" w:lineRule="auto"/>
              <w:jc w:val="center"/>
              <w:rPr>
                <w:rFonts w:eastAsia="Calibri"/>
                <w:sz w:val="20"/>
                <w:szCs w:val="20"/>
              </w:rPr>
            </w:pPr>
            <w:r>
              <w:rPr>
                <w:rFonts w:eastAsia="Calibri"/>
                <w:sz w:val="20"/>
                <w:szCs w:val="20"/>
              </w:rPr>
              <w:t>1262</w:t>
            </w:r>
          </w:p>
        </w:tc>
        <w:tc>
          <w:tcPr>
            <w:tcW w:w="927" w:type="pct"/>
            <w:shd w:val="clear" w:color="auto" w:fill="auto"/>
            <w:vAlign w:val="center"/>
          </w:tcPr>
          <w:p w14:paraId="5F942E76" w14:textId="77777777" w:rsidR="00F46D18" w:rsidRDefault="0066369F" w:rsidP="00D23630">
            <w:pPr>
              <w:adjustRightInd w:val="0"/>
              <w:snapToGrid w:val="0"/>
              <w:spacing w:after="0" w:line="240" w:lineRule="auto"/>
              <w:jc w:val="center"/>
              <w:rPr>
                <w:rFonts w:eastAsia="Calibri"/>
                <w:sz w:val="20"/>
                <w:szCs w:val="20"/>
              </w:rPr>
            </w:pPr>
            <w:r>
              <w:rPr>
                <w:rFonts w:eastAsia="Calibri"/>
                <w:sz w:val="20"/>
                <w:szCs w:val="20"/>
              </w:rPr>
              <w:t>535</w:t>
            </w:r>
          </w:p>
        </w:tc>
        <w:tc>
          <w:tcPr>
            <w:tcW w:w="927" w:type="pct"/>
            <w:shd w:val="clear" w:color="auto" w:fill="auto"/>
            <w:vAlign w:val="center"/>
          </w:tcPr>
          <w:p w14:paraId="52C74573" w14:textId="77777777" w:rsidR="00F46D18" w:rsidRDefault="0066369F" w:rsidP="00D23630">
            <w:pPr>
              <w:adjustRightInd w:val="0"/>
              <w:snapToGrid w:val="0"/>
              <w:spacing w:after="0" w:line="240" w:lineRule="auto"/>
              <w:jc w:val="center"/>
              <w:rPr>
                <w:rFonts w:eastAsia="Calibri"/>
                <w:sz w:val="20"/>
                <w:szCs w:val="20"/>
              </w:rPr>
            </w:pPr>
            <w:r>
              <w:rPr>
                <w:rFonts w:eastAsia="Calibri"/>
                <w:sz w:val="20"/>
                <w:szCs w:val="20"/>
              </w:rPr>
              <w:t>808</w:t>
            </w:r>
          </w:p>
        </w:tc>
      </w:tr>
    </w:tbl>
    <w:p w14:paraId="045CA427" w14:textId="77777777" w:rsidR="008A4031" w:rsidRDefault="008A4031" w:rsidP="00D23630">
      <w:pPr>
        <w:adjustRightInd w:val="0"/>
        <w:snapToGrid w:val="0"/>
        <w:spacing w:after="0" w:line="240" w:lineRule="auto"/>
        <w:jc w:val="both"/>
        <w:rPr>
          <w:sz w:val="20"/>
          <w:szCs w:val="20"/>
          <w:lang w:eastAsia="zh-CN"/>
        </w:rPr>
      </w:pPr>
    </w:p>
    <w:p w14:paraId="71120F62" w14:textId="77777777" w:rsidR="00F46D18" w:rsidRDefault="0066369F" w:rsidP="00D23630">
      <w:pPr>
        <w:adjustRightInd w:val="0"/>
        <w:snapToGrid w:val="0"/>
        <w:spacing w:after="0" w:line="240" w:lineRule="auto"/>
        <w:ind w:firstLine="426"/>
        <w:jc w:val="both"/>
        <w:rPr>
          <w:sz w:val="20"/>
          <w:szCs w:val="20"/>
        </w:rPr>
      </w:pPr>
      <w:r>
        <w:rPr>
          <w:sz w:val="20"/>
          <w:szCs w:val="20"/>
        </w:rPr>
        <w:t>Fuel-air mixture as well as the bluff body preheating effects in terms of impingement and exhaust gases temperatures are plotted in Figure 8.</w:t>
      </w:r>
    </w:p>
    <w:p w14:paraId="5CE50AAD" w14:textId="77777777" w:rsidR="00F46D18" w:rsidRDefault="0066369F" w:rsidP="00D23630">
      <w:pPr>
        <w:tabs>
          <w:tab w:val="left" w:pos="944"/>
        </w:tabs>
        <w:adjustRightInd w:val="0"/>
        <w:snapToGrid w:val="0"/>
        <w:spacing w:after="0" w:line="240" w:lineRule="auto"/>
        <w:ind w:firstLine="426"/>
        <w:jc w:val="both"/>
        <w:rPr>
          <w:lang w:eastAsia="zh-CN"/>
        </w:rPr>
      </w:pPr>
      <w:r>
        <w:rPr>
          <w:sz w:val="20"/>
          <w:szCs w:val="20"/>
        </w:rPr>
        <w:t xml:space="preserve">The temperature ratio </w:t>
      </w:r>
      <m:oMath>
        <m:r>
          <w:rPr>
            <w:rFonts w:ascii="Cambria Math" w:hAnsi="Cambria Math"/>
            <w:sz w:val="20"/>
            <w:szCs w:val="20"/>
          </w:rPr>
          <m:t>(</m:t>
        </m:r>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e</m:t>
                </m:r>
              </m:sub>
            </m:sSub>
            <m:r>
              <w:rPr>
                <w:rFonts w:ascii="Cambria Math" w:hAnsi="Cambria Math"/>
                <w:sz w:val="20"/>
                <w:szCs w:val="20"/>
              </w:rPr>
              <m:t>)</m:t>
            </m:r>
          </m:num>
          <m:den>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m:t>
                </m:r>
              </m:sub>
            </m:sSub>
            <m:r>
              <w:rPr>
                <w:rFonts w:ascii="Cambria Math" w:hAnsi="Cambria Math"/>
                <w:sz w:val="20"/>
                <w:szCs w:val="20"/>
              </w:rPr>
              <m:t>)</m:t>
            </m:r>
          </m:den>
        </m:f>
      </m:oMath>
      <w:r>
        <w:rPr>
          <w:rFonts w:eastAsia="Times New Roman"/>
          <w:sz w:val="20"/>
          <w:szCs w:val="20"/>
        </w:rPr>
        <w:t xml:space="preserve"> </w:t>
      </w:r>
      <w:r>
        <w:rPr>
          <w:sz w:val="20"/>
          <w:szCs w:val="20"/>
        </w:rPr>
        <w:t>describes the bluff body preheating, the higher this ratio is, the higher the preheating effects are. It is worth to point out that the increase in this temperature ratio is inversely proportion to blowoff speed of the mixture entering the combustion zone, hence this ratio is also describing the maximum allowable blowoff velocity</w:t>
      </w:r>
      <w:r>
        <w:t xml:space="preserve">. </w:t>
      </w:r>
    </w:p>
    <w:p w14:paraId="59D77439" w14:textId="77777777" w:rsidR="008A4031" w:rsidRDefault="008A4031" w:rsidP="00D23630">
      <w:pPr>
        <w:tabs>
          <w:tab w:val="left" w:pos="944"/>
        </w:tabs>
        <w:adjustRightInd w:val="0"/>
        <w:snapToGrid w:val="0"/>
        <w:spacing w:after="0" w:line="240" w:lineRule="auto"/>
        <w:ind w:firstLine="426"/>
        <w:jc w:val="both"/>
        <w:rPr>
          <w:lang w:eastAsia="zh-CN"/>
        </w:rPr>
      </w:pPr>
    </w:p>
    <w:p w14:paraId="3992A5B2" w14:textId="77777777" w:rsidR="00F46D18" w:rsidRDefault="0066369F" w:rsidP="00D23630">
      <w:pPr>
        <w:adjustRightInd w:val="0"/>
        <w:snapToGrid w:val="0"/>
        <w:spacing w:after="0" w:line="240" w:lineRule="auto"/>
      </w:pPr>
      <w:r>
        <w:rPr>
          <w:noProof/>
          <w:lang w:eastAsia="en-US"/>
        </w:rPr>
        <w:drawing>
          <wp:inline distT="0" distB="0" distL="0" distR="0" wp14:anchorId="1180001D" wp14:editId="02EB43EE">
            <wp:extent cx="2628000" cy="2628000"/>
            <wp:effectExtent l="19050" t="19050" r="20320" b="20320"/>
            <wp:docPr id="3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1"/>
                    <pic:cNvPicPr>
                      <a:picLocks noChangeAspect="1" noChangeArrowheads="1"/>
                    </pic:cNvPicPr>
                  </pic:nvPicPr>
                  <pic:blipFill>
                    <a:blip r:embed="rId28" cstate="print"/>
                    <a:srcRect/>
                    <a:stretch>
                      <a:fillRect/>
                    </a:stretch>
                  </pic:blipFill>
                  <pic:spPr>
                    <a:xfrm>
                      <a:off x="0" y="0"/>
                      <a:ext cx="2628000" cy="2628000"/>
                    </a:xfrm>
                    <a:prstGeom prst="rect">
                      <a:avLst/>
                    </a:prstGeom>
                    <a:noFill/>
                    <a:ln w="3175">
                      <a:solidFill>
                        <a:schemeClr val="tx1"/>
                      </a:solidFill>
                      <a:miter lim="800000"/>
                      <a:headEnd/>
                      <a:tailEnd/>
                    </a:ln>
                  </pic:spPr>
                </pic:pic>
              </a:graphicData>
            </a:graphic>
          </wp:inline>
        </w:drawing>
      </w:r>
    </w:p>
    <w:p w14:paraId="49EB6239" w14:textId="77777777" w:rsidR="00F46D18" w:rsidRDefault="00F46D18" w:rsidP="00D23630">
      <w:pPr>
        <w:adjustRightInd w:val="0"/>
        <w:snapToGrid w:val="0"/>
        <w:spacing w:after="0" w:line="240" w:lineRule="auto"/>
        <w:rPr>
          <w:sz w:val="20"/>
          <w:szCs w:val="20"/>
          <w:lang w:eastAsia="zh-CN"/>
        </w:rPr>
      </w:pPr>
    </w:p>
    <w:p w14:paraId="0F112537" w14:textId="77777777" w:rsidR="00F46D18" w:rsidRDefault="0066369F" w:rsidP="00D23630">
      <w:pPr>
        <w:adjustRightInd w:val="0"/>
        <w:snapToGrid w:val="0"/>
        <w:spacing w:after="0" w:line="240" w:lineRule="auto"/>
        <w:rPr>
          <w:sz w:val="20"/>
          <w:szCs w:val="20"/>
        </w:rPr>
      </w:pPr>
      <w:r>
        <w:rPr>
          <w:noProof/>
          <w:lang w:eastAsia="en-US"/>
        </w:rPr>
        <w:drawing>
          <wp:inline distT="0" distB="0" distL="0" distR="0" wp14:anchorId="35C01E2D" wp14:editId="4FC35D51">
            <wp:extent cx="2628000" cy="2628000"/>
            <wp:effectExtent l="19050" t="19050" r="20320" b="20320"/>
            <wp:docPr id="3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8"/>
                    <pic:cNvPicPr>
                      <a:picLocks noChangeAspect="1" noChangeArrowheads="1"/>
                    </pic:cNvPicPr>
                  </pic:nvPicPr>
                  <pic:blipFill>
                    <a:blip r:embed="rId29" cstate="print"/>
                    <a:srcRect/>
                    <a:stretch>
                      <a:fillRect/>
                    </a:stretch>
                  </pic:blipFill>
                  <pic:spPr>
                    <a:xfrm>
                      <a:off x="0" y="0"/>
                      <a:ext cx="2628000" cy="2628000"/>
                    </a:xfrm>
                    <a:prstGeom prst="rect">
                      <a:avLst/>
                    </a:prstGeom>
                    <a:noFill/>
                    <a:ln w="3175">
                      <a:solidFill>
                        <a:schemeClr val="tx1"/>
                      </a:solidFill>
                      <a:miter lim="800000"/>
                      <a:headEnd/>
                      <a:tailEnd/>
                    </a:ln>
                  </pic:spPr>
                </pic:pic>
              </a:graphicData>
            </a:graphic>
          </wp:inline>
        </w:drawing>
      </w:r>
    </w:p>
    <w:p w14:paraId="1FCD5F89" w14:textId="77777777" w:rsidR="00F46D18" w:rsidRDefault="0066369F" w:rsidP="00D23630">
      <w:pPr>
        <w:adjustRightInd w:val="0"/>
        <w:snapToGrid w:val="0"/>
        <w:spacing w:after="0" w:line="240" w:lineRule="auto"/>
        <w:jc w:val="both"/>
        <w:rPr>
          <w:sz w:val="20"/>
          <w:szCs w:val="20"/>
        </w:rPr>
      </w:pPr>
      <w:r>
        <w:rPr>
          <w:sz w:val="20"/>
          <w:szCs w:val="20"/>
        </w:rPr>
        <w:t>Figure 7. Operating temperatures at different cavity heights, (a) flame impingement and preheating, (b) exhaust gases and bluff body</w:t>
      </w:r>
    </w:p>
    <w:p w14:paraId="24D6D939" w14:textId="77777777" w:rsidR="008A4031" w:rsidRDefault="008A4031" w:rsidP="00D23630">
      <w:pPr>
        <w:tabs>
          <w:tab w:val="left" w:pos="944"/>
        </w:tabs>
        <w:adjustRightInd w:val="0"/>
        <w:snapToGrid w:val="0"/>
        <w:spacing w:after="0" w:line="240" w:lineRule="auto"/>
        <w:ind w:firstLine="426"/>
        <w:jc w:val="both"/>
        <w:rPr>
          <w:sz w:val="20"/>
          <w:szCs w:val="20"/>
          <w:lang w:eastAsia="zh-CN"/>
        </w:rPr>
      </w:pPr>
    </w:p>
    <w:p w14:paraId="61581A00" w14:textId="77777777" w:rsidR="00F46D18" w:rsidRDefault="0066369F" w:rsidP="00D23630">
      <w:pPr>
        <w:tabs>
          <w:tab w:val="left" w:pos="944"/>
        </w:tabs>
        <w:adjustRightInd w:val="0"/>
        <w:snapToGrid w:val="0"/>
        <w:spacing w:after="0" w:line="240" w:lineRule="auto"/>
        <w:ind w:firstLine="426"/>
        <w:jc w:val="both"/>
        <w:rPr>
          <w:sz w:val="20"/>
          <w:szCs w:val="20"/>
          <w:lang w:eastAsia="zh-CN"/>
        </w:rPr>
      </w:pPr>
      <w:r>
        <w:rPr>
          <w:sz w:val="20"/>
          <w:szCs w:val="20"/>
        </w:rPr>
        <w:t xml:space="preserve">Bluff body type 3 was found to have the largest temperature at all cavity lengths compared to other geometries, while the lowest temperature gains are associated with type1 except at low cavity heights. </w:t>
      </w:r>
    </w:p>
    <w:p w14:paraId="0BEA57FB" w14:textId="77777777" w:rsidR="00F46D18" w:rsidRDefault="0066369F" w:rsidP="00D23630">
      <w:pPr>
        <w:adjustRightInd w:val="0"/>
        <w:snapToGrid w:val="0"/>
        <w:spacing w:after="0" w:line="240" w:lineRule="auto"/>
        <w:jc w:val="center"/>
        <w:rPr>
          <w:sz w:val="20"/>
          <w:szCs w:val="20"/>
        </w:rPr>
      </w:pPr>
      <w:r>
        <w:rPr>
          <w:noProof/>
          <w:lang w:eastAsia="en-US"/>
        </w:rPr>
        <w:drawing>
          <wp:inline distT="0" distB="0" distL="0" distR="0" wp14:anchorId="44D9D375" wp14:editId="034F374D">
            <wp:extent cx="2750820" cy="1774825"/>
            <wp:effectExtent l="19050" t="19050" r="11430" b="15875"/>
            <wp:docPr id="32" name="Picture 23"/>
            <wp:cNvGraphicFramePr/>
            <a:graphic xmlns:a="http://schemas.openxmlformats.org/drawingml/2006/main">
              <a:graphicData uri="http://schemas.openxmlformats.org/drawingml/2006/picture">
                <pic:pic xmlns:pic="http://schemas.openxmlformats.org/drawingml/2006/picture">
                  <pic:nvPicPr>
                    <pic:cNvPr id="32" name="Picture 23"/>
                    <pic:cNvPicPr>
                      <a:picLocks noChangeArrowheads="1"/>
                    </pic:cNvPicPr>
                  </pic:nvPicPr>
                  <pic:blipFill>
                    <a:blip r:embed="rId30" cstate="print"/>
                    <a:srcRect/>
                    <a:stretch>
                      <a:fillRect/>
                    </a:stretch>
                  </pic:blipFill>
                  <pic:spPr>
                    <a:xfrm>
                      <a:off x="0" y="0"/>
                      <a:ext cx="2750820" cy="1774825"/>
                    </a:xfrm>
                    <a:prstGeom prst="rect">
                      <a:avLst/>
                    </a:prstGeom>
                    <a:noFill/>
                    <a:ln w="3175">
                      <a:solidFill>
                        <a:schemeClr val="tx1"/>
                      </a:solidFill>
                      <a:miter lim="800000"/>
                      <a:headEnd/>
                      <a:tailEnd/>
                    </a:ln>
                  </pic:spPr>
                </pic:pic>
              </a:graphicData>
            </a:graphic>
          </wp:inline>
        </w:drawing>
      </w:r>
    </w:p>
    <w:p w14:paraId="383DF3D4" w14:textId="77777777" w:rsidR="00F46D18" w:rsidRDefault="0066369F" w:rsidP="00D23630">
      <w:pPr>
        <w:adjustRightInd w:val="0"/>
        <w:snapToGrid w:val="0"/>
        <w:spacing w:after="0" w:line="240" w:lineRule="auto"/>
        <w:rPr>
          <w:sz w:val="20"/>
          <w:szCs w:val="20"/>
          <w:lang w:eastAsia="zh-CN"/>
        </w:rPr>
      </w:pPr>
      <w:r>
        <w:rPr>
          <w:sz w:val="20"/>
          <w:szCs w:val="20"/>
        </w:rPr>
        <w:t>Figure 8. Preheating temperature ratio at different cavity heights</w:t>
      </w:r>
    </w:p>
    <w:p w14:paraId="3BBFD5F8" w14:textId="77777777" w:rsidR="008A4031" w:rsidRDefault="008A4031" w:rsidP="00D23630">
      <w:pPr>
        <w:adjustRightInd w:val="0"/>
        <w:snapToGrid w:val="0"/>
        <w:spacing w:after="0" w:line="240" w:lineRule="auto"/>
        <w:rPr>
          <w:sz w:val="20"/>
          <w:szCs w:val="20"/>
          <w:lang w:eastAsia="zh-CN"/>
        </w:rPr>
      </w:pPr>
    </w:p>
    <w:p w14:paraId="49806FA6" w14:textId="77777777" w:rsidR="00F46D18" w:rsidRDefault="0066369F" w:rsidP="00D23630">
      <w:pPr>
        <w:adjustRightInd w:val="0"/>
        <w:snapToGrid w:val="0"/>
        <w:spacing w:after="0" w:line="240" w:lineRule="auto"/>
        <w:jc w:val="both"/>
        <w:rPr>
          <w:b/>
          <w:sz w:val="20"/>
          <w:szCs w:val="20"/>
        </w:rPr>
      </w:pPr>
      <w:r>
        <w:rPr>
          <w:b/>
          <w:sz w:val="20"/>
          <w:szCs w:val="20"/>
        </w:rPr>
        <w:t>4. Conclusions</w:t>
      </w:r>
    </w:p>
    <w:p w14:paraId="5F480400" w14:textId="77777777" w:rsidR="00F46D18" w:rsidRDefault="0066369F" w:rsidP="00D23630">
      <w:pPr>
        <w:adjustRightInd w:val="0"/>
        <w:snapToGrid w:val="0"/>
        <w:spacing w:after="0" w:line="240" w:lineRule="auto"/>
        <w:ind w:firstLine="426"/>
        <w:jc w:val="both"/>
        <w:rPr>
          <w:sz w:val="20"/>
          <w:szCs w:val="20"/>
        </w:rPr>
      </w:pPr>
      <w:r>
        <w:rPr>
          <w:sz w:val="20"/>
          <w:szCs w:val="20"/>
        </w:rPr>
        <w:t xml:space="preserve">Internal preheating of fuel-air mixture improved the flammability limits of lean premixed flames anchored to bluff bodies. The recirculation zone trapped between the bluff body downstream surface and the combustor’s floor was found to be bigger with improved mixing between fresh reactants and combustion products especially with high blockage ratio with the case of bluff body type 3, additionally, the low operating velocity of the 0.5 BR geometry has enabled the reactants to stay longer within the recirculation zone, hence the residence time was increased and lowest lean limits amongst all types was achieved. </w:t>
      </w:r>
    </w:p>
    <w:p w14:paraId="68CE65E4" w14:textId="77777777" w:rsidR="00F46D18" w:rsidRDefault="0066369F" w:rsidP="00D23630">
      <w:pPr>
        <w:adjustRightInd w:val="0"/>
        <w:snapToGrid w:val="0"/>
        <w:spacing w:after="0" w:line="240" w:lineRule="auto"/>
        <w:ind w:firstLine="426"/>
        <w:jc w:val="both"/>
        <w:rPr>
          <w:sz w:val="20"/>
          <w:szCs w:val="20"/>
        </w:rPr>
      </w:pPr>
      <w:r>
        <w:rPr>
          <w:sz w:val="20"/>
          <w:szCs w:val="20"/>
        </w:rPr>
        <w:t>Side surface corrugations attached to type 2 with a 0.25 BR enhanced the heat exchange between the exhaust gases and the bluff body surface, this positively affected the entrained fuel-mixture preheating inside the cavity and the resulted impingement temperature was also the highest amongst all geometries, however, the increased surface temperature, low recirculation zone size, and high blowoff velocity are the reasons behind the high low lean limit achieved with this body.</w:t>
      </w:r>
    </w:p>
    <w:p w14:paraId="5127B943" w14:textId="77777777" w:rsidR="00F46D18" w:rsidRDefault="0066369F" w:rsidP="00D23630">
      <w:pPr>
        <w:adjustRightInd w:val="0"/>
        <w:snapToGrid w:val="0"/>
        <w:spacing w:after="0" w:line="240" w:lineRule="auto"/>
        <w:ind w:firstLine="426"/>
        <w:jc w:val="both"/>
        <w:rPr>
          <w:sz w:val="20"/>
          <w:szCs w:val="20"/>
        </w:rPr>
      </w:pPr>
      <w:r>
        <w:rPr>
          <w:sz w:val="20"/>
          <w:szCs w:val="20"/>
        </w:rPr>
        <w:t>Generally, hollow bluff bodies with internal preheating effects and trapped recirculation zone have a significantly improved low lean flammability limits even with high blowoff velocities.</w:t>
      </w:r>
    </w:p>
    <w:p w14:paraId="7BFB2C95" w14:textId="77777777" w:rsidR="00F46D18" w:rsidRDefault="00F46D18" w:rsidP="00D23630">
      <w:pPr>
        <w:adjustRightInd w:val="0"/>
        <w:snapToGrid w:val="0"/>
        <w:spacing w:after="0" w:line="240" w:lineRule="auto"/>
        <w:jc w:val="both"/>
        <w:rPr>
          <w:b/>
          <w:sz w:val="20"/>
          <w:szCs w:val="20"/>
        </w:rPr>
      </w:pPr>
    </w:p>
    <w:p w14:paraId="6DEA49E3" w14:textId="77777777" w:rsidR="00F46D18" w:rsidRDefault="0066369F" w:rsidP="00D23630">
      <w:pPr>
        <w:adjustRightInd w:val="0"/>
        <w:snapToGrid w:val="0"/>
        <w:spacing w:after="0" w:line="240" w:lineRule="auto"/>
        <w:jc w:val="both"/>
        <w:rPr>
          <w:b/>
          <w:sz w:val="20"/>
          <w:szCs w:val="20"/>
        </w:rPr>
      </w:pPr>
      <w:r>
        <w:rPr>
          <w:b/>
          <w:sz w:val="20"/>
          <w:szCs w:val="20"/>
        </w:rPr>
        <w:t>Corresponding Author:</w:t>
      </w:r>
    </w:p>
    <w:p w14:paraId="502169BF" w14:textId="77777777" w:rsidR="00F46D18" w:rsidRDefault="0066369F" w:rsidP="00D23630">
      <w:pPr>
        <w:adjustRightInd w:val="0"/>
        <w:snapToGrid w:val="0"/>
        <w:spacing w:after="0" w:line="240" w:lineRule="auto"/>
        <w:jc w:val="both"/>
        <w:rPr>
          <w:sz w:val="20"/>
          <w:szCs w:val="20"/>
        </w:rPr>
      </w:pPr>
      <w:r>
        <w:rPr>
          <w:sz w:val="20"/>
          <w:szCs w:val="20"/>
        </w:rPr>
        <w:t>M. M. Abd Elhameed</w:t>
      </w:r>
    </w:p>
    <w:p w14:paraId="2CE2ADF6" w14:textId="77777777" w:rsidR="00F46D18" w:rsidRDefault="0066369F" w:rsidP="00D23630">
      <w:pPr>
        <w:adjustRightInd w:val="0"/>
        <w:snapToGrid w:val="0"/>
        <w:spacing w:after="0" w:line="240" w:lineRule="auto"/>
        <w:jc w:val="both"/>
        <w:rPr>
          <w:sz w:val="20"/>
          <w:szCs w:val="20"/>
        </w:rPr>
      </w:pPr>
      <w:r>
        <w:rPr>
          <w:sz w:val="20"/>
          <w:szCs w:val="20"/>
        </w:rPr>
        <w:t xml:space="preserve">PhD Candidate, Mechanical Power Department, Faculty of Engineering, Ain Shams University, Cairo, Egypt </w:t>
      </w:r>
    </w:p>
    <w:p w14:paraId="0F388D96" w14:textId="77777777" w:rsidR="00F46D18" w:rsidRDefault="0066369F" w:rsidP="00D23630">
      <w:pPr>
        <w:adjustRightInd w:val="0"/>
        <w:snapToGrid w:val="0"/>
        <w:spacing w:after="0" w:line="240" w:lineRule="auto"/>
        <w:jc w:val="both"/>
        <w:rPr>
          <w:sz w:val="20"/>
          <w:szCs w:val="20"/>
          <w:lang w:eastAsia="zh-CN"/>
        </w:rPr>
      </w:pPr>
      <w:r>
        <w:rPr>
          <w:sz w:val="20"/>
          <w:szCs w:val="20"/>
        </w:rPr>
        <w:t>Phone: +2010 0529 2001</w:t>
      </w:r>
    </w:p>
    <w:p w14:paraId="079C7775" w14:textId="0369FC02" w:rsidR="00F46D18" w:rsidRPr="00B54867" w:rsidRDefault="0066369F" w:rsidP="00D23630">
      <w:pPr>
        <w:adjustRightInd w:val="0"/>
        <w:snapToGrid w:val="0"/>
        <w:spacing w:after="0" w:line="240" w:lineRule="auto"/>
        <w:jc w:val="both"/>
        <w:rPr>
          <w:sz w:val="20"/>
          <w:szCs w:val="20"/>
        </w:rPr>
      </w:pPr>
      <w:r w:rsidRPr="00B54867">
        <w:rPr>
          <w:sz w:val="20"/>
          <w:szCs w:val="20"/>
        </w:rPr>
        <w:t xml:space="preserve">E-mail: </w:t>
      </w:r>
      <w:hyperlink r:id="rId31" w:history="1">
        <w:r w:rsidR="00E130CC" w:rsidRPr="00EC2E67">
          <w:rPr>
            <w:rStyle w:val="Hyperlink"/>
            <w:sz w:val="20"/>
            <w:szCs w:val="20"/>
          </w:rPr>
          <w:t>mohamed.abdelwahaab@hotmail.com</w:t>
        </w:r>
      </w:hyperlink>
      <w:r w:rsidR="00E130CC">
        <w:rPr>
          <w:sz w:val="20"/>
          <w:szCs w:val="20"/>
        </w:rPr>
        <w:t xml:space="preserve"> </w:t>
      </w:r>
    </w:p>
    <w:p w14:paraId="189F6D51" w14:textId="77777777" w:rsidR="00F46D18" w:rsidRPr="00B54867" w:rsidRDefault="00F46D18" w:rsidP="00D23630">
      <w:pPr>
        <w:adjustRightInd w:val="0"/>
        <w:snapToGrid w:val="0"/>
        <w:spacing w:after="0" w:line="240" w:lineRule="auto"/>
        <w:jc w:val="both"/>
        <w:rPr>
          <w:sz w:val="20"/>
          <w:szCs w:val="20"/>
          <w:lang w:eastAsia="zh-CN"/>
        </w:rPr>
      </w:pPr>
    </w:p>
    <w:p w14:paraId="37317D8A" w14:textId="77777777" w:rsidR="00F46D18" w:rsidRDefault="0066369F" w:rsidP="00D23630">
      <w:pPr>
        <w:adjustRightInd w:val="0"/>
        <w:snapToGrid w:val="0"/>
        <w:spacing w:after="0" w:line="240" w:lineRule="auto"/>
        <w:jc w:val="both"/>
        <w:rPr>
          <w:b/>
          <w:sz w:val="20"/>
          <w:szCs w:val="20"/>
        </w:rPr>
      </w:pPr>
      <w:r>
        <w:rPr>
          <w:b/>
          <w:sz w:val="20"/>
          <w:szCs w:val="20"/>
        </w:rPr>
        <w:t>References</w:t>
      </w:r>
    </w:p>
    <w:p w14:paraId="00A9EB0F" w14:textId="77777777" w:rsidR="00F46D18" w:rsidRDefault="0066369F" w:rsidP="003777B6">
      <w:pPr>
        <w:numPr>
          <w:ilvl w:val="0"/>
          <w:numId w:val="2"/>
        </w:numPr>
        <w:tabs>
          <w:tab w:val="left" w:pos="709"/>
        </w:tabs>
        <w:adjustRightInd w:val="0"/>
        <w:snapToGrid w:val="0"/>
        <w:spacing w:after="0" w:line="240" w:lineRule="auto"/>
        <w:ind w:left="708" w:hangingChars="354" w:hanging="708"/>
        <w:jc w:val="both"/>
        <w:rPr>
          <w:sz w:val="20"/>
          <w:szCs w:val="20"/>
        </w:rPr>
      </w:pPr>
      <w:r>
        <w:rPr>
          <w:sz w:val="20"/>
          <w:szCs w:val="20"/>
        </w:rPr>
        <w:t>Lieuwen, T. C. (2012). Unsteady combustor physics. Cambridge University Press.</w:t>
      </w:r>
    </w:p>
    <w:p w14:paraId="11AB3C59" w14:textId="77777777" w:rsidR="00F46D18" w:rsidRDefault="0066369F" w:rsidP="003777B6">
      <w:pPr>
        <w:numPr>
          <w:ilvl w:val="0"/>
          <w:numId w:val="2"/>
        </w:numPr>
        <w:tabs>
          <w:tab w:val="left" w:pos="709"/>
        </w:tabs>
        <w:adjustRightInd w:val="0"/>
        <w:snapToGrid w:val="0"/>
        <w:spacing w:after="0" w:line="240" w:lineRule="auto"/>
        <w:ind w:left="708" w:hangingChars="354" w:hanging="708"/>
        <w:jc w:val="both"/>
        <w:rPr>
          <w:sz w:val="20"/>
          <w:szCs w:val="20"/>
        </w:rPr>
      </w:pPr>
      <w:r>
        <w:rPr>
          <w:sz w:val="20"/>
          <w:szCs w:val="20"/>
        </w:rPr>
        <w:t>Shanbhogue, S. J., Husain, S., &amp; Lieuwen, T. (2009). Lean blowoff of bluff body stabilized flames: Scaling and dynamics. Progress in Energy and Combustion Science, 35(1), 98-120.</w:t>
      </w:r>
    </w:p>
    <w:p w14:paraId="7136E804" w14:textId="77777777" w:rsidR="00F46D18" w:rsidRDefault="0066369F" w:rsidP="003777B6">
      <w:pPr>
        <w:numPr>
          <w:ilvl w:val="0"/>
          <w:numId w:val="2"/>
        </w:numPr>
        <w:tabs>
          <w:tab w:val="left" w:pos="709"/>
        </w:tabs>
        <w:adjustRightInd w:val="0"/>
        <w:snapToGrid w:val="0"/>
        <w:spacing w:after="0" w:line="240" w:lineRule="auto"/>
        <w:ind w:left="708" w:hangingChars="354" w:hanging="708"/>
        <w:jc w:val="both"/>
        <w:rPr>
          <w:sz w:val="20"/>
          <w:szCs w:val="20"/>
        </w:rPr>
      </w:pPr>
      <w:r>
        <w:rPr>
          <w:sz w:val="20"/>
          <w:szCs w:val="20"/>
        </w:rPr>
        <w:t>Geikie, M. K., Carr, Z. R., Ahmed, K. A., &amp; Forliti, D. J. (2017). On the flame-generated vorticity dynamics of bluff-body-stabilized premixed flames. Flow, Turbulence and Combustion, 99(2), 487-509.</w:t>
      </w:r>
    </w:p>
    <w:p w14:paraId="626FC3F2" w14:textId="77777777" w:rsidR="00F46D18" w:rsidRDefault="0066369F" w:rsidP="003777B6">
      <w:pPr>
        <w:numPr>
          <w:ilvl w:val="0"/>
          <w:numId w:val="2"/>
        </w:numPr>
        <w:tabs>
          <w:tab w:val="left" w:pos="709"/>
        </w:tabs>
        <w:adjustRightInd w:val="0"/>
        <w:snapToGrid w:val="0"/>
        <w:spacing w:after="0" w:line="240" w:lineRule="auto"/>
        <w:ind w:left="708" w:hangingChars="354" w:hanging="708"/>
        <w:jc w:val="both"/>
        <w:rPr>
          <w:sz w:val="20"/>
          <w:szCs w:val="20"/>
        </w:rPr>
      </w:pPr>
      <w:r>
        <w:rPr>
          <w:sz w:val="20"/>
          <w:szCs w:val="20"/>
        </w:rPr>
        <w:t>Miguel-Brebion, M., Mejia, D., Xavier, P., Duchaine, F., Bédat, B., Selle, L., &amp; Poinsot, T. (2016). Joint experimental and numerical study of the influence of flame holder temperature on the stabilization of a laminar methane flame on a cylinder. Combustion and Flame, 172, 153-161.</w:t>
      </w:r>
    </w:p>
    <w:p w14:paraId="74BCFF17" w14:textId="77777777" w:rsidR="00F46D18" w:rsidRDefault="0066369F" w:rsidP="003777B6">
      <w:pPr>
        <w:numPr>
          <w:ilvl w:val="0"/>
          <w:numId w:val="2"/>
        </w:numPr>
        <w:tabs>
          <w:tab w:val="left" w:pos="709"/>
        </w:tabs>
        <w:adjustRightInd w:val="0"/>
        <w:snapToGrid w:val="0"/>
        <w:spacing w:after="0" w:line="240" w:lineRule="auto"/>
        <w:ind w:left="708" w:hangingChars="354" w:hanging="708"/>
        <w:jc w:val="both"/>
        <w:rPr>
          <w:sz w:val="20"/>
          <w:szCs w:val="20"/>
        </w:rPr>
      </w:pPr>
      <w:r>
        <w:rPr>
          <w:sz w:val="20"/>
          <w:szCs w:val="20"/>
        </w:rPr>
        <w:t>Chowdhury, B. R., &amp; Cetegen, B. M. (2018). Effects of fuel properties and free stream turbulence on characteristics of bluff-body stabilized flames. Combustion and Flame, 194, 206-222.</w:t>
      </w:r>
    </w:p>
    <w:p w14:paraId="11930FF1" w14:textId="77777777" w:rsidR="00F46D18" w:rsidRDefault="0066369F" w:rsidP="003777B6">
      <w:pPr>
        <w:numPr>
          <w:ilvl w:val="0"/>
          <w:numId w:val="2"/>
        </w:numPr>
        <w:tabs>
          <w:tab w:val="left" w:pos="709"/>
        </w:tabs>
        <w:adjustRightInd w:val="0"/>
        <w:snapToGrid w:val="0"/>
        <w:spacing w:after="0" w:line="240" w:lineRule="auto"/>
        <w:ind w:left="708" w:hangingChars="354" w:hanging="708"/>
        <w:jc w:val="both"/>
        <w:rPr>
          <w:sz w:val="20"/>
          <w:szCs w:val="20"/>
        </w:rPr>
      </w:pPr>
      <w:r w:rsidRPr="003777B6">
        <w:rPr>
          <w:sz w:val="20"/>
          <w:szCs w:val="20"/>
        </w:rPr>
        <w:t xml:space="preserve">Zukoski, E. E., &amp; Marble, F. E. (1983). </w:t>
      </w:r>
      <w:r>
        <w:rPr>
          <w:sz w:val="20"/>
          <w:szCs w:val="20"/>
        </w:rPr>
        <w:t>Experiments concerning the mechanism of flame blowoff from bluff bodies.</w:t>
      </w:r>
    </w:p>
    <w:p w14:paraId="51D74A52" w14:textId="77777777" w:rsidR="00F46D18" w:rsidRDefault="0066369F" w:rsidP="003777B6">
      <w:pPr>
        <w:numPr>
          <w:ilvl w:val="0"/>
          <w:numId w:val="2"/>
        </w:numPr>
        <w:tabs>
          <w:tab w:val="left" w:pos="709"/>
        </w:tabs>
        <w:adjustRightInd w:val="0"/>
        <w:snapToGrid w:val="0"/>
        <w:spacing w:after="0" w:line="240" w:lineRule="auto"/>
        <w:ind w:left="708" w:hangingChars="354" w:hanging="708"/>
        <w:jc w:val="both"/>
        <w:rPr>
          <w:sz w:val="20"/>
          <w:szCs w:val="20"/>
        </w:rPr>
      </w:pPr>
      <w:r>
        <w:rPr>
          <w:sz w:val="20"/>
          <w:szCs w:val="20"/>
        </w:rPr>
        <w:t>Foster, J. R. (1956). Effects of combustion chamber blockage on bluff body flame stabilization (Doctoral dissertation, California Institute of Technology).</w:t>
      </w:r>
    </w:p>
    <w:p w14:paraId="4B4B075A" w14:textId="77777777" w:rsidR="00F46D18" w:rsidRDefault="0066369F" w:rsidP="003777B6">
      <w:pPr>
        <w:numPr>
          <w:ilvl w:val="0"/>
          <w:numId w:val="2"/>
        </w:numPr>
        <w:tabs>
          <w:tab w:val="left" w:pos="709"/>
        </w:tabs>
        <w:adjustRightInd w:val="0"/>
        <w:snapToGrid w:val="0"/>
        <w:spacing w:after="0" w:line="240" w:lineRule="auto"/>
        <w:ind w:left="708" w:hangingChars="354" w:hanging="708"/>
        <w:jc w:val="both"/>
        <w:rPr>
          <w:sz w:val="20"/>
          <w:szCs w:val="20"/>
        </w:rPr>
      </w:pPr>
      <w:r>
        <w:rPr>
          <w:sz w:val="20"/>
          <w:szCs w:val="20"/>
        </w:rPr>
        <w:t>Vance, F. H., Shoshin, Y., van Oijen, J. A., &amp; de Goey, L. P. H. (2019). Effect of Lewis number on premixed laminar lean-limit flames stabilized on a bluff body. Proceedings of the Combustion Institute, 37(2), 1663-1672.</w:t>
      </w:r>
    </w:p>
    <w:p w14:paraId="1865E030" w14:textId="77777777" w:rsidR="00F46D18" w:rsidRDefault="0066369F" w:rsidP="003777B6">
      <w:pPr>
        <w:numPr>
          <w:ilvl w:val="0"/>
          <w:numId w:val="2"/>
        </w:numPr>
        <w:tabs>
          <w:tab w:val="left" w:pos="709"/>
        </w:tabs>
        <w:adjustRightInd w:val="0"/>
        <w:snapToGrid w:val="0"/>
        <w:spacing w:after="0" w:line="240" w:lineRule="auto"/>
        <w:ind w:left="708" w:hangingChars="354" w:hanging="708"/>
        <w:jc w:val="both"/>
        <w:rPr>
          <w:sz w:val="20"/>
          <w:szCs w:val="20"/>
        </w:rPr>
      </w:pPr>
      <w:r w:rsidRPr="00B54867">
        <w:rPr>
          <w:sz w:val="20"/>
          <w:szCs w:val="20"/>
          <w:lang w:val="de-DE"/>
        </w:rPr>
        <w:t xml:space="preserve">Michaels, D., &amp; Ghoniem, A. F. (2016). </w:t>
      </w:r>
      <w:r>
        <w:rPr>
          <w:sz w:val="20"/>
          <w:szCs w:val="20"/>
        </w:rPr>
        <w:t>Impact of the bluff-body material on the flame leading edge structure and flame–flow interaction of premixed CH4/air flames. Combustion and Flame, 172, 62-78.</w:t>
      </w:r>
    </w:p>
    <w:p w14:paraId="175658C6" w14:textId="77777777" w:rsidR="00F46D18" w:rsidRDefault="0066369F" w:rsidP="008A4031">
      <w:pPr>
        <w:numPr>
          <w:ilvl w:val="0"/>
          <w:numId w:val="2"/>
        </w:numPr>
        <w:tabs>
          <w:tab w:val="left" w:pos="360"/>
        </w:tabs>
        <w:adjustRightInd w:val="0"/>
        <w:snapToGrid w:val="0"/>
        <w:spacing w:after="0" w:line="240" w:lineRule="auto"/>
        <w:ind w:left="708" w:hangingChars="354" w:hanging="708"/>
        <w:jc w:val="both"/>
        <w:rPr>
          <w:sz w:val="20"/>
          <w:szCs w:val="20"/>
        </w:rPr>
      </w:pPr>
      <w:r w:rsidRPr="00B54867">
        <w:rPr>
          <w:sz w:val="20"/>
          <w:szCs w:val="20"/>
          <w:lang w:val="de-DE"/>
        </w:rPr>
        <w:t xml:space="preserve">Kim, W., Im, S. K., Do, H., &amp; Mungal, M. G. (2010). </w:t>
      </w:r>
      <w:r>
        <w:rPr>
          <w:sz w:val="20"/>
          <w:szCs w:val="20"/>
        </w:rPr>
        <w:t>Flame liftoff height dependence on geometrically modified bluffbodies in a vitiated flow. Experiments in fluids, 49(1), 27-41.</w:t>
      </w:r>
    </w:p>
    <w:p w14:paraId="66985468" w14:textId="77777777" w:rsidR="00F46D18" w:rsidRDefault="0066369F" w:rsidP="008A4031">
      <w:pPr>
        <w:numPr>
          <w:ilvl w:val="0"/>
          <w:numId w:val="2"/>
        </w:numPr>
        <w:tabs>
          <w:tab w:val="left" w:pos="360"/>
        </w:tabs>
        <w:adjustRightInd w:val="0"/>
        <w:snapToGrid w:val="0"/>
        <w:spacing w:after="0" w:line="240" w:lineRule="auto"/>
        <w:ind w:left="708" w:hangingChars="354" w:hanging="708"/>
        <w:jc w:val="both"/>
        <w:rPr>
          <w:sz w:val="20"/>
          <w:szCs w:val="20"/>
        </w:rPr>
      </w:pPr>
      <w:r>
        <w:rPr>
          <w:sz w:val="20"/>
          <w:szCs w:val="20"/>
        </w:rPr>
        <w:t>Lin, C. X., &amp; Holder, R. J. (2010). Reacting turbulent flow and thermal field in a channel with inclined bluff body flame holders. Journal of heat transfer, 132(9).</w:t>
      </w:r>
    </w:p>
    <w:p w14:paraId="7CEB079F" w14:textId="77777777" w:rsidR="00F46D18" w:rsidRDefault="0066369F" w:rsidP="008A4031">
      <w:pPr>
        <w:numPr>
          <w:ilvl w:val="0"/>
          <w:numId w:val="2"/>
        </w:numPr>
        <w:tabs>
          <w:tab w:val="left" w:pos="360"/>
        </w:tabs>
        <w:adjustRightInd w:val="0"/>
        <w:snapToGrid w:val="0"/>
        <w:spacing w:after="0" w:line="240" w:lineRule="auto"/>
        <w:ind w:left="708" w:hangingChars="354" w:hanging="708"/>
        <w:jc w:val="both"/>
        <w:rPr>
          <w:sz w:val="20"/>
          <w:szCs w:val="20"/>
        </w:rPr>
      </w:pPr>
      <w:r>
        <w:rPr>
          <w:sz w:val="20"/>
          <w:szCs w:val="20"/>
        </w:rPr>
        <w:t>Kang, S. H., Lee, Y. J., Yang, S. S., &amp; Choi, B. (2012). Effects of flameholder configurations on combustion in scramjet engines. Journal of Propulsion and Power, 28(4), 739-746.</w:t>
      </w:r>
    </w:p>
    <w:p w14:paraId="5F9069E7" w14:textId="77777777" w:rsidR="00F46D18" w:rsidRDefault="0066369F" w:rsidP="008A4031">
      <w:pPr>
        <w:numPr>
          <w:ilvl w:val="0"/>
          <w:numId w:val="2"/>
        </w:numPr>
        <w:tabs>
          <w:tab w:val="left" w:pos="360"/>
        </w:tabs>
        <w:adjustRightInd w:val="0"/>
        <w:snapToGrid w:val="0"/>
        <w:spacing w:after="0" w:line="240" w:lineRule="auto"/>
        <w:ind w:left="708" w:hangingChars="354" w:hanging="708"/>
        <w:jc w:val="both"/>
        <w:rPr>
          <w:sz w:val="20"/>
          <w:szCs w:val="20"/>
        </w:rPr>
      </w:pPr>
      <w:r>
        <w:rPr>
          <w:sz w:val="20"/>
          <w:szCs w:val="20"/>
        </w:rPr>
        <w:t>Kim, W., Do, H., &amp; Mungal, M. G. (2011). The improvement of blowout limit in partially/fully premixed flames with geometrically modified bluffbody bases. Experiments in fluids, 51(5), 1315-1328.</w:t>
      </w:r>
    </w:p>
    <w:p w14:paraId="423BA899" w14:textId="77777777" w:rsidR="00F46D18" w:rsidRDefault="0066369F" w:rsidP="008A4031">
      <w:pPr>
        <w:numPr>
          <w:ilvl w:val="0"/>
          <w:numId w:val="2"/>
        </w:numPr>
        <w:tabs>
          <w:tab w:val="left" w:pos="360"/>
        </w:tabs>
        <w:adjustRightInd w:val="0"/>
        <w:snapToGrid w:val="0"/>
        <w:spacing w:after="0" w:line="240" w:lineRule="auto"/>
        <w:ind w:left="708" w:hangingChars="354" w:hanging="708"/>
        <w:jc w:val="both"/>
        <w:rPr>
          <w:sz w:val="20"/>
          <w:szCs w:val="20"/>
        </w:rPr>
      </w:pPr>
      <w:r>
        <w:rPr>
          <w:sz w:val="20"/>
          <w:szCs w:val="20"/>
        </w:rPr>
        <w:t>Kiel, B., Garwick, K., Gord, J., Miller, J., Lynch, A., Hill, R., &amp; Phillips, S. (2007, January). A detailed investigation of bluff body stabilized flames. In 45th AIAA Aerospace Sciences Meeting and Exhibit (p. 168).</w:t>
      </w:r>
    </w:p>
    <w:p w14:paraId="05BFBBB8" w14:textId="77777777" w:rsidR="00F46D18" w:rsidRDefault="0066369F" w:rsidP="008A4031">
      <w:pPr>
        <w:numPr>
          <w:ilvl w:val="0"/>
          <w:numId w:val="2"/>
        </w:numPr>
        <w:tabs>
          <w:tab w:val="left" w:pos="360"/>
        </w:tabs>
        <w:adjustRightInd w:val="0"/>
        <w:snapToGrid w:val="0"/>
        <w:spacing w:after="0" w:line="240" w:lineRule="auto"/>
        <w:ind w:left="708" w:hangingChars="354" w:hanging="708"/>
        <w:jc w:val="both"/>
        <w:rPr>
          <w:sz w:val="20"/>
          <w:szCs w:val="20"/>
        </w:rPr>
      </w:pPr>
      <w:r>
        <w:rPr>
          <w:sz w:val="20"/>
          <w:szCs w:val="20"/>
        </w:rPr>
        <w:t>Wan, J., Fan, A., &amp; Yao, H. (2016). Effect of the length of a plate flame holder on flame blowout limit in a micro-combustor with preheating channels. Combustion and Flame, 170, 53-62.</w:t>
      </w:r>
    </w:p>
    <w:p w14:paraId="279135EC" w14:textId="77777777" w:rsidR="00F46D18" w:rsidRDefault="0066369F" w:rsidP="008A4031">
      <w:pPr>
        <w:numPr>
          <w:ilvl w:val="0"/>
          <w:numId w:val="2"/>
        </w:numPr>
        <w:tabs>
          <w:tab w:val="left" w:pos="360"/>
        </w:tabs>
        <w:adjustRightInd w:val="0"/>
        <w:snapToGrid w:val="0"/>
        <w:spacing w:after="0" w:line="240" w:lineRule="auto"/>
        <w:ind w:left="708" w:hangingChars="354" w:hanging="708"/>
        <w:jc w:val="both"/>
        <w:rPr>
          <w:sz w:val="20"/>
          <w:szCs w:val="20"/>
        </w:rPr>
      </w:pPr>
      <w:r w:rsidRPr="00B54867">
        <w:rPr>
          <w:sz w:val="20"/>
          <w:szCs w:val="20"/>
          <w:lang w:val="de-DE"/>
        </w:rPr>
        <w:t xml:space="preserve">Ma, L., Xu, H., Wang, X., Fang, Q., Zhang, C., &amp; Chen, G. (2019). </w:t>
      </w:r>
      <w:r>
        <w:rPr>
          <w:sz w:val="20"/>
          <w:szCs w:val="20"/>
        </w:rPr>
        <w:t>A novel flame-anchorage micro-combustor: Effects of flame holder shape and height on premixed CH4/air flame blow-off limit. Applied Thermal Engineering, 158, 113836.</w:t>
      </w:r>
    </w:p>
    <w:p w14:paraId="08CE5B6E" w14:textId="77777777" w:rsidR="00F46D18" w:rsidRDefault="0066369F" w:rsidP="008A4031">
      <w:pPr>
        <w:numPr>
          <w:ilvl w:val="0"/>
          <w:numId w:val="2"/>
        </w:numPr>
        <w:tabs>
          <w:tab w:val="left" w:pos="360"/>
        </w:tabs>
        <w:adjustRightInd w:val="0"/>
        <w:snapToGrid w:val="0"/>
        <w:spacing w:after="0" w:line="240" w:lineRule="auto"/>
        <w:ind w:left="708" w:hangingChars="354" w:hanging="708"/>
        <w:jc w:val="both"/>
        <w:rPr>
          <w:sz w:val="20"/>
          <w:szCs w:val="20"/>
        </w:rPr>
      </w:pPr>
      <w:r>
        <w:rPr>
          <w:sz w:val="20"/>
          <w:szCs w:val="20"/>
        </w:rPr>
        <w:t>Wan, J., &amp; Fan, A. (2015). Effect of solid material on the blow-off limit of CH4/air flames in a micro combustor with a plate flame holder and preheating channels. Energy Conversion and Management, 101, 552-560.</w:t>
      </w:r>
    </w:p>
    <w:p w14:paraId="6F964361" w14:textId="77777777" w:rsidR="00F46D18" w:rsidRDefault="0066369F" w:rsidP="008A4031">
      <w:pPr>
        <w:numPr>
          <w:ilvl w:val="0"/>
          <w:numId w:val="2"/>
        </w:numPr>
        <w:tabs>
          <w:tab w:val="left" w:pos="360"/>
        </w:tabs>
        <w:adjustRightInd w:val="0"/>
        <w:snapToGrid w:val="0"/>
        <w:spacing w:after="0" w:line="240" w:lineRule="auto"/>
        <w:ind w:left="708" w:hangingChars="354" w:hanging="708"/>
        <w:jc w:val="both"/>
        <w:rPr>
          <w:sz w:val="20"/>
          <w:szCs w:val="20"/>
        </w:rPr>
      </w:pPr>
      <w:r>
        <w:rPr>
          <w:sz w:val="20"/>
          <w:szCs w:val="20"/>
        </w:rPr>
        <w:t>Hong, S., Shanbhogue, S. J., Kedia, K. S., &amp; Ghoniem, A. F. (2013). Impact of the flame-holder heat-transfer characteristics on the onset of combustion instability. Combustion science and technology, 185(10), 1541-1567.</w:t>
      </w:r>
    </w:p>
    <w:p w14:paraId="72A3D7D2" w14:textId="77777777" w:rsidR="00F46D18" w:rsidRDefault="0066369F" w:rsidP="008A4031">
      <w:pPr>
        <w:numPr>
          <w:ilvl w:val="0"/>
          <w:numId w:val="2"/>
        </w:numPr>
        <w:tabs>
          <w:tab w:val="left" w:pos="360"/>
        </w:tabs>
        <w:adjustRightInd w:val="0"/>
        <w:snapToGrid w:val="0"/>
        <w:spacing w:after="0" w:line="240" w:lineRule="auto"/>
        <w:ind w:left="708" w:hangingChars="354" w:hanging="708"/>
        <w:jc w:val="both"/>
        <w:rPr>
          <w:sz w:val="20"/>
          <w:szCs w:val="20"/>
        </w:rPr>
      </w:pPr>
      <w:r>
        <w:rPr>
          <w:sz w:val="20"/>
          <w:szCs w:val="20"/>
        </w:rPr>
        <w:t>Wan, J., Fan, A., Yao, H., &amp; Liu, W. (2016). Experimental investigation and numerical analysis on the blow-off limits of premixed CH4/air flames in a mesoscale bluff-body combustor. Energy, 113, 193-203.</w:t>
      </w:r>
    </w:p>
    <w:p w14:paraId="129B8F99" w14:textId="77777777" w:rsidR="00F46D18" w:rsidRDefault="0066369F" w:rsidP="008A4031">
      <w:pPr>
        <w:numPr>
          <w:ilvl w:val="0"/>
          <w:numId w:val="2"/>
        </w:numPr>
        <w:tabs>
          <w:tab w:val="left" w:pos="360"/>
        </w:tabs>
        <w:adjustRightInd w:val="0"/>
        <w:snapToGrid w:val="0"/>
        <w:spacing w:after="0" w:line="240" w:lineRule="auto"/>
        <w:ind w:left="708" w:hangingChars="354" w:hanging="708"/>
        <w:jc w:val="both"/>
        <w:rPr>
          <w:sz w:val="20"/>
          <w:szCs w:val="20"/>
        </w:rPr>
      </w:pPr>
      <w:r>
        <w:rPr>
          <w:sz w:val="20"/>
          <w:szCs w:val="20"/>
        </w:rPr>
        <w:t>Xavier, P. (2014). Investigation of flame stabilization mechanisms in a premixed combustor using a hot gas cavity-based flame holder (Doctoral dissertation, INSA de Rouen).</w:t>
      </w:r>
    </w:p>
    <w:p w14:paraId="74E0A13E" w14:textId="77777777" w:rsidR="00F46D18" w:rsidRDefault="0066369F" w:rsidP="008A4031">
      <w:pPr>
        <w:numPr>
          <w:ilvl w:val="0"/>
          <w:numId w:val="2"/>
        </w:numPr>
        <w:tabs>
          <w:tab w:val="left" w:pos="360"/>
        </w:tabs>
        <w:adjustRightInd w:val="0"/>
        <w:snapToGrid w:val="0"/>
        <w:spacing w:after="0" w:line="240" w:lineRule="auto"/>
        <w:ind w:left="708" w:hangingChars="354" w:hanging="708"/>
        <w:jc w:val="both"/>
        <w:rPr>
          <w:sz w:val="20"/>
          <w:szCs w:val="20"/>
        </w:rPr>
      </w:pPr>
      <w:r>
        <w:rPr>
          <w:sz w:val="20"/>
          <w:szCs w:val="20"/>
        </w:rPr>
        <w:t>Kedia, K. S., &amp; Ghoniem, A. F. (2014). The anchoring mechanism of a bluff-body stabilized laminar premixed flame. Combustion and flame, 161(9), 2327-2339.</w:t>
      </w:r>
    </w:p>
    <w:p w14:paraId="6896BE5C" w14:textId="77777777" w:rsidR="00F46D18" w:rsidRDefault="0066369F" w:rsidP="008A4031">
      <w:pPr>
        <w:numPr>
          <w:ilvl w:val="0"/>
          <w:numId w:val="2"/>
        </w:numPr>
        <w:tabs>
          <w:tab w:val="left" w:pos="360"/>
        </w:tabs>
        <w:adjustRightInd w:val="0"/>
        <w:snapToGrid w:val="0"/>
        <w:spacing w:after="0" w:line="240" w:lineRule="auto"/>
        <w:ind w:left="708" w:hangingChars="354" w:hanging="708"/>
        <w:jc w:val="both"/>
        <w:rPr>
          <w:sz w:val="20"/>
          <w:szCs w:val="20"/>
        </w:rPr>
      </w:pPr>
      <w:r>
        <w:rPr>
          <w:sz w:val="20"/>
          <w:szCs w:val="20"/>
        </w:rPr>
        <w:t>Wan, J., Shang, C., &amp; Zhao, H. (2018). Anchoring mechanisms of methane/air premixed flame in a mesoscale diverging combustor with cylindrical flame holder. Fuel, 232, 591-599.</w:t>
      </w:r>
    </w:p>
    <w:p w14:paraId="7A11AC8E" w14:textId="77777777" w:rsidR="00F46D18" w:rsidRDefault="0066369F" w:rsidP="008A4031">
      <w:pPr>
        <w:numPr>
          <w:ilvl w:val="0"/>
          <w:numId w:val="2"/>
        </w:numPr>
        <w:tabs>
          <w:tab w:val="left" w:pos="360"/>
        </w:tabs>
        <w:adjustRightInd w:val="0"/>
        <w:snapToGrid w:val="0"/>
        <w:spacing w:after="0" w:line="240" w:lineRule="auto"/>
        <w:ind w:left="708" w:hangingChars="354" w:hanging="708"/>
        <w:jc w:val="both"/>
        <w:rPr>
          <w:sz w:val="20"/>
          <w:szCs w:val="20"/>
        </w:rPr>
      </w:pPr>
      <w:r>
        <w:rPr>
          <w:sz w:val="20"/>
          <w:szCs w:val="20"/>
        </w:rPr>
        <w:t>Wan, J., &amp; Zhao, H. (2020). Experimental study on blow-off limit of a preheated and flame holder-stabilized laminar premixed flame. Chemical Engineering Science, 223, 115754.</w:t>
      </w:r>
    </w:p>
    <w:p w14:paraId="1315BB53" w14:textId="77777777" w:rsidR="00F46D18" w:rsidRDefault="0066369F" w:rsidP="008A4031">
      <w:pPr>
        <w:numPr>
          <w:ilvl w:val="0"/>
          <w:numId w:val="2"/>
        </w:numPr>
        <w:tabs>
          <w:tab w:val="left" w:pos="360"/>
        </w:tabs>
        <w:adjustRightInd w:val="0"/>
        <w:snapToGrid w:val="0"/>
        <w:spacing w:after="0" w:line="240" w:lineRule="auto"/>
        <w:ind w:left="708" w:hangingChars="354" w:hanging="708"/>
        <w:jc w:val="both"/>
        <w:rPr>
          <w:sz w:val="20"/>
          <w:szCs w:val="20"/>
        </w:rPr>
      </w:pPr>
      <w:r>
        <w:rPr>
          <w:sz w:val="20"/>
          <w:szCs w:val="20"/>
        </w:rPr>
        <w:t>Wan, J., &amp; Zhao, H. (2020). Effect of thermal condition of solid wall on the stabilization of a preheated and holder-stabilized laminar premixed flame. Energy, 200, 117548.</w:t>
      </w:r>
    </w:p>
    <w:p w14:paraId="43C01CD2" w14:textId="77777777" w:rsidR="00F46D18" w:rsidRDefault="0066369F" w:rsidP="008A4031">
      <w:pPr>
        <w:numPr>
          <w:ilvl w:val="0"/>
          <w:numId w:val="2"/>
        </w:numPr>
        <w:tabs>
          <w:tab w:val="left" w:pos="360"/>
        </w:tabs>
        <w:adjustRightInd w:val="0"/>
        <w:snapToGrid w:val="0"/>
        <w:spacing w:after="0" w:line="240" w:lineRule="auto"/>
        <w:ind w:left="708" w:hangingChars="354" w:hanging="708"/>
        <w:jc w:val="both"/>
        <w:rPr>
          <w:sz w:val="20"/>
          <w:szCs w:val="20"/>
        </w:rPr>
      </w:pPr>
      <w:r>
        <w:rPr>
          <w:sz w:val="20"/>
          <w:szCs w:val="20"/>
        </w:rPr>
        <w:t>Radhakrishnan, K., Heywood, J. B., &amp; Tabaczynski, R. J. (1981). Premixed turbulent flame blowoff velocity correlation based on coherent structures in turbulent flows. Combustion and flame, 42, 19-33.</w:t>
      </w:r>
    </w:p>
    <w:p w14:paraId="3C1E6A93" w14:textId="77777777" w:rsidR="00F46D18" w:rsidRDefault="0066369F" w:rsidP="008A4031">
      <w:pPr>
        <w:numPr>
          <w:ilvl w:val="0"/>
          <w:numId w:val="2"/>
        </w:numPr>
        <w:tabs>
          <w:tab w:val="left" w:pos="360"/>
        </w:tabs>
        <w:adjustRightInd w:val="0"/>
        <w:snapToGrid w:val="0"/>
        <w:spacing w:after="0" w:line="240" w:lineRule="auto"/>
        <w:ind w:left="708" w:hangingChars="354" w:hanging="708"/>
        <w:jc w:val="both"/>
        <w:rPr>
          <w:sz w:val="20"/>
          <w:szCs w:val="20"/>
        </w:rPr>
      </w:pPr>
      <w:r>
        <w:rPr>
          <w:sz w:val="20"/>
          <w:szCs w:val="20"/>
        </w:rPr>
        <w:t>Wan, J., &amp; Zhao, H. (2017). Dynamics of premixed CH4/air flames in a micro combustor with a plate flame holder and preheating channels. Energy, 139, 366-379.</w:t>
      </w:r>
    </w:p>
    <w:p w14:paraId="75EB4B69" w14:textId="77777777" w:rsidR="00F46D18" w:rsidRDefault="0066369F" w:rsidP="008A4031">
      <w:pPr>
        <w:numPr>
          <w:ilvl w:val="0"/>
          <w:numId w:val="2"/>
        </w:numPr>
        <w:tabs>
          <w:tab w:val="left" w:pos="360"/>
        </w:tabs>
        <w:adjustRightInd w:val="0"/>
        <w:snapToGrid w:val="0"/>
        <w:spacing w:after="0" w:line="240" w:lineRule="auto"/>
        <w:ind w:left="708" w:hangingChars="354" w:hanging="708"/>
        <w:jc w:val="both"/>
        <w:rPr>
          <w:sz w:val="20"/>
          <w:szCs w:val="20"/>
        </w:rPr>
      </w:pPr>
      <w:r>
        <w:rPr>
          <w:sz w:val="20"/>
          <w:szCs w:val="20"/>
        </w:rPr>
        <w:t>Williams, G. C., Hottel, H. C., &amp; Scurlock, A. C. (1948, January). Flame stabilization and propagation in high velocity gas streams. In Symposium on Combustion and Flame, and Explosion Phenomena (Vol. 3, No. 1, pp. 21-40). Elsevier.</w:t>
      </w:r>
    </w:p>
    <w:p w14:paraId="5EB8FC52" w14:textId="77777777" w:rsidR="00F46D18" w:rsidRDefault="0066369F" w:rsidP="008A4031">
      <w:pPr>
        <w:numPr>
          <w:ilvl w:val="0"/>
          <w:numId w:val="2"/>
        </w:numPr>
        <w:tabs>
          <w:tab w:val="left" w:pos="360"/>
        </w:tabs>
        <w:adjustRightInd w:val="0"/>
        <w:snapToGrid w:val="0"/>
        <w:spacing w:after="0" w:line="240" w:lineRule="auto"/>
        <w:ind w:left="708" w:hangingChars="354" w:hanging="708"/>
        <w:jc w:val="both"/>
        <w:rPr>
          <w:sz w:val="20"/>
          <w:szCs w:val="20"/>
        </w:rPr>
      </w:pPr>
      <w:r>
        <w:rPr>
          <w:sz w:val="20"/>
          <w:szCs w:val="20"/>
        </w:rPr>
        <w:t>Wright, F. H. (1959). Bluff-body flame stabilization: blockage effects. Combustion and Flame, 3, 319-337.</w:t>
      </w:r>
    </w:p>
    <w:p w14:paraId="79B4B552" w14:textId="77777777" w:rsidR="00F46D18" w:rsidRDefault="0066369F" w:rsidP="008A4031">
      <w:pPr>
        <w:numPr>
          <w:ilvl w:val="0"/>
          <w:numId w:val="2"/>
        </w:numPr>
        <w:tabs>
          <w:tab w:val="left" w:pos="360"/>
        </w:tabs>
        <w:adjustRightInd w:val="0"/>
        <w:snapToGrid w:val="0"/>
        <w:spacing w:after="0" w:line="240" w:lineRule="auto"/>
        <w:ind w:left="708" w:hangingChars="354" w:hanging="708"/>
        <w:jc w:val="both"/>
        <w:rPr>
          <w:sz w:val="20"/>
          <w:szCs w:val="20"/>
        </w:rPr>
      </w:pPr>
      <w:r w:rsidRPr="00B54867">
        <w:rPr>
          <w:sz w:val="20"/>
          <w:szCs w:val="20"/>
          <w:lang w:val="de-DE"/>
        </w:rPr>
        <w:t xml:space="preserve">Bagheri, G., Hosseini, S. E., &amp; Wahid, M. A. (2014). </w:t>
      </w:r>
      <w:r>
        <w:rPr>
          <w:sz w:val="20"/>
          <w:szCs w:val="20"/>
        </w:rPr>
        <w:t>Effects of bluff body shape on the flame stability in premixed micro-combustion of hydrogen–air mixture. Applied Thermal Engineering, 67(1-2), 266-272.</w:t>
      </w:r>
    </w:p>
    <w:p w14:paraId="249CFB55" w14:textId="77777777" w:rsidR="00F46D18" w:rsidRDefault="00F46D18" w:rsidP="00D23630">
      <w:pPr>
        <w:adjustRightInd w:val="0"/>
        <w:snapToGrid w:val="0"/>
        <w:spacing w:after="0" w:line="240" w:lineRule="auto"/>
        <w:jc w:val="both"/>
        <w:rPr>
          <w:sz w:val="20"/>
          <w:szCs w:val="20"/>
        </w:rPr>
        <w:sectPr w:rsidR="00F46D18">
          <w:footnotePr>
            <w:pos w:val="beneathText"/>
          </w:footnotePr>
          <w:type w:val="continuous"/>
          <w:pgSz w:w="12240" w:h="15840"/>
          <w:pgMar w:top="1440" w:right="1440" w:bottom="1440" w:left="1440" w:header="720" w:footer="720" w:gutter="0"/>
          <w:cols w:num="2" w:space="576"/>
          <w:docGrid w:linePitch="360"/>
        </w:sectPr>
      </w:pPr>
    </w:p>
    <w:p w14:paraId="3562BF20" w14:textId="77777777" w:rsidR="00F46D18" w:rsidRDefault="00F46D18" w:rsidP="00D23630">
      <w:pPr>
        <w:adjustRightInd w:val="0"/>
        <w:snapToGrid w:val="0"/>
        <w:spacing w:after="0" w:line="240" w:lineRule="auto"/>
        <w:jc w:val="both"/>
        <w:rPr>
          <w:sz w:val="20"/>
          <w:szCs w:val="20"/>
          <w:lang w:eastAsia="zh-CN"/>
        </w:rPr>
      </w:pPr>
    </w:p>
    <w:p w14:paraId="284B00E6" w14:textId="77777777" w:rsidR="00F46D18" w:rsidRDefault="0066369F" w:rsidP="00D23630">
      <w:pPr>
        <w:adjustRightInd w:val="0"/>
        <w:snapToGrid w:val="0"/>
        <w:spacing w:after="0" w:line="240" w:lineRule="auto"/>
        <w:jc w:val="both"/>
        <w:rPr>
          <w:sz w:val="20"/>
          <w:szCs w:val="20"/>
          <w:lang w:eastAsia="zh-CN"/>
        </w:rPr>
      </w:pPr>
      <w:r>
        <w:rPr>
          <w:rFonts w:hint="eastAsia"/>
          <w:sz w:val="20"/>
          <w:szCs w:val="20"/>
          <w:lang w:eastAsia="zh-CN"/>
        </w:rPr>
        <w:t>7/28/2021</w:t>
      </w:r>
    </w:p>
    <w:sectPr w:rsidR="00F46D18" w:rsidSect="00F46D18">
      <w:footnotePr>
        <w:pos w:val="beneathText"/>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77CF6A" w14:textId="77777777" w:rsidR="00D97325" w:rsidRDefault="00D97325" w:rsidP="00F46D18">
      <w:pPr>
        <w:spacing w:after="0" w:line="240" w:lineRule="auto"/>
      </w:pPr>
      <w:r>
        <w:separator/>
      </w:r>
    </w:p>
  </w:endnote>
  <w:endnote w:type="continuationSeparator" w:id="0">
    <w:p w14:paraId="5ED317F9" w14:textId="77777777" w:rsidR="00D97325" w:rsidRDefault="00D97325" w:rsidP="00F46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default"/>
  </w:font>
  <w:font w:name="DejaVu Sans">
    <w:altName w:val="Segoe Print"/>
    <w:charset w:val="00"/>
    <w:family w:val="swiss"/>
    <w:pitch w:val="default"/>
    <w:sig w:usb0="00000000" w:usb1="00000000"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ABB2C" w14:textId="77777777" w:rsidR="00F46D18" w:rsidRDefault="00B27158">
    <w:pPr>
      <w:pStyle w:val="Footer"/>
      <w:framePr w:wrap="around" w:vAnchor="text" w:hAnchor="margin" w:xAlign="center" w:y="1"/>
      <w:rPr>
        <w:rStyle w:val="PageNumber"/>
      </w:rPr>
    </w:pPr>
    <w:r>
      <w:rPr>
        <w:rStyle w:val="PageNumber"/>
      </w:rPr>
      <w:fldChar w:fldCharType="begin"/>
    </w:r>
    <w:r w:rsidR="0066369F">
      <w:rPr>
        <w:rStyle w:val="PageNumber"/>
      </w:rPr>
      <w:instrText xml:space="preserve">PAGE  </w:instrText>
    </w:r>
    <w:r>
      <w:rPr>
        <w:rStyle w:val="PageNumber"/>
      </w:rPr>
      <w:fldChar w:fldCharType="end"/>
    </w:r>
  </w:p>
  <w:p w14:paraId="4BDB75A7" w14:textId="77777777" w:rsidR="00F46D18" w:rsidRDefault="00F46D1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35725" w14:textId="77777777" w:rsidR="00F46D18" w:rsidRDefault="00B54867">
    <w:pPr>
      <w:jc w:val="center"/>
      <w:rPr>
        <w:lang w:eastAsia="zh-CN"/>
      </w:rPr>
    </w:pPr>
    <w:r>
      <w:rPr>
        <w:noProof/>
        <w:lang w:eastAsia="en-US"/>
      </w:rPr>
      <mc:AlternateContent>
        <mc:Choice Requires="wps">
          <w:drawing>
            <wp:anchor distT="0" distB="0" distL="114300" distR="114300" simplePos="0" relativeHeight="251658240" behindDoc="0" locked="0" layoutInCell="1" allowOverlap="1" wp14:anchorId="44284D0D" wp14:editId="5920B560">
              <wp:simplePos x="0" y="0"/>
              <wp:positionH relativeFrom="margin">
                <wp:align>center</wp:align>
              </wp:positionH>
              <wp:positionV relativeFrom="paragraph">
                <wp:posOffset>0</wp:posOffset>
              </wp:positionV>
              <wp:extent cx="64135" cy="29464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003D8" w14:textId="77777777" w:rsidR="00F46D18" w:rsidRDefault="00B27158">
                          <w:pPr>
                            <w:pStyle w:val="Footer"/>
                            <w:rPr>
                              <w:rStyle w:val="PageNumber"/>
                              <w:sz w:val="20"/>
                              <w:szCs w:val="20"/>
                            </w:rPr>
                          </w:pPr>
                          <w:r>
                            <w:rPr>
                              <w:rStyle w:val="PageNumber"/>
                              <w:sz w:val="20"/>
                              <w:szCs w:val="20"/>
                            </w:rPr>
                            <w:fldChar w:fldCharType="begin"/>
                          </w:r>
                          <w:r w:rsidR="0066369F">
                            <w:rPr>
                              <w:rStyle w:val="PageNumber"/>
                              <w:sz w:val="20"/>
                              <w:szCs w:val="20"/>
                            </w:rPr>
                            <w:instrText xml:space="preserve">PAGE  </w:instrText>
                          </w:r>
                          <w:r>
                            <w:rPr>
                              <w:rStyle w:val="PageNumber"/>
                              <w:sz w:val="20"/>
                              <w:szCs w:val="20"/>
                            </w:rPr>
                            <w:fldChar w:fldCharType="separate"/>
                          </w:r>
                          <w:r w:rsidR="00625D20">
                            <w:rPr>
                              <w:rStyle w:val="PageNumber"/>
                              <w:noProof/>
                              <w:sz w:val="20"/>
                              <w:szCs w:val="20"/>
                            </w:rPr>
                            <w:t>3</w:t>
                          </w:r>
                          <w:r>
                            <w:rPr>
                              <w:rStyle w:val="PageNumber"/>
                              <w:sz w:val="20"/>
                              <w:szCs w:val="2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0;margin-top:0;width:5.05pt;height:23.2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u1qAIAAKUFAAAOAAAAZHJzL2Uyb0RvYy54bWysVNtunDAQfa/Uf7D8TrjESxYUNkqWpaqU&#10;XqSkH+AFs1gFG9nOQlrl3zs2y2aTqFLVlgc02OPjOXMOc3k1di3aM6W5FBkOzwKMmChlxcUuw9/u&#10;C2+JkTZUVLSVgmX4kWl8tXr/7nLoUxbJRrYVUwhAhE6HPsONMX3q+7psWEf1meyZgM1aqo4a+FQ7&#10;v1J0APSu9aMgiP1BqqpXsmRaw2o+beKVw69rVpovda2ZQW2GoTbj3sq9t/btry5pulO0b3h5KIP+&#10;RRUd5QIuPULl1FD0oPgbqI6XSmpZm7NSdr6sa14yxwHYhMErNncN7ZnjAs3R/bFN+v/Blp/3XxXi&#10;VYZBKEE7kOiejQbdyBGFtjtDr1NIuushzYywDCo7prq/leV3jYRcN1Ts2LVScmgYraA6d9I/OTrh&#10;aAuyHT7JCq6hD0Y6oLFWnW0dNAMBOqj0eFTGllLCYkzC8wVGJexECYmJE86n6Xy2V9p8YLJDNsiw&#10;At0dNt3fagMsIHVOsVcJWfC2ddq34sUCJE4rcDMctXu2BiflzyRINsvNkngkijceCfLcuy7WxIuL&#10;8GKRn+frdR4+2XtDkja8qpiw18y2CsmfyXYw+GSIo7G0bHll4WxJWu2261ahPQVbF+6xWkHxJ2n+&#10;yzLcNnB5RSmMSHATJV4RLy88UpCFl1wESy8Ik5skDkhC8uIlpVsu2L9TQkOGk0W0mKz0W26Be95y&#10;o2nHDQyOlnfg3GMSTa0BN6Jy0hrK2yk+aYUt/7kV0LFZaGdX69DJq2bcjoBiPbyV1SMYV0lwFrgT&#10;ph0EjVQ/MBpgcmRYwGjDqP0owPp2yMyBmoPtHFBRwsEMG4ymcG2mYfTQK75rAHf+ua7h9yi48+5z&#10;DVC4/YBZ4Cgc5pYdNqffLut5uq5+AQAA//8DAFBLAwQUAAYACAAAACEAWn/mzdcAAAADAQAADwAA&#10;AGRycy9kb3ducmV2LnhtbEyPwWrDMBBE74X+g9hCbo2cEtLgWA4l0EtvSUsht421sUyklZEUx/77&#10;Kr20l4Vhhpm31XZ0VgwUYudZwWJegCBuvO64VfD1+f68BhETskbrmRRMFGFbPz5UWGp/4z0Nh9SK&#10;XMKxRAUmpb6UMjaGHMa574mzd/bBYcoytFIHvOVyZ+VLUaykw47zgsGedoaay+HqFLyO3576SDs6&#10;nocmmG5a249JqdnT+LYBkWhMf2G442d0qDPTyV9ZR2EV5EfS7717xQLEScFytQRZV/I/e/0DAAD/&#10;/wMAUEsBAi0AFAAGAAgAAAAhALaDOJL+AAAA4QEAABMAAAAAAAAAAAAAAAAAAAAAAFtDb250ZW50&#10;X1R5cGVzXS54bWxQSwECLQAUAAYACAAAACEAOP0h/9YAAACUAQAACwAAAAAAAAAAAAAAAAAvAQAA&#10;X3JlbHMvLnJlbHNQSwECLQAUAAYACAAAACEA8/1btagCAAClBQAADgAAAAAAAAAAAAAAAAAuAgAA&#10;ZHJzL2Uyb0RvYy54bWxQSwECLQAUAAYACAAAACEAWn/mzdcAAAADAQAADwAAAAAAAAAAAAAAAAAC&#10;BQAAZHJzL2Rvd25yZXYueG1sUEsFBgAAAAAEAAQA8wAAAAYGAAAAAA==&#10;" filled="f" stroked="f">
              <v:textbox style="mso-fit-shape-to-text:t" inset="0,0,0,0">
                <w:txbxContent>
                  <w:p w14:paraId="7FD003D8" w14:textId="77777777" w:rsidR="00F46D18" w:rsidRDefault="00B27158">
                    <w:pPr>
                      <w:pStyle w:val="Footer"/>
                      <w:rPr>
                        <w:rStyle w:val="PageNumber"/>
                        <w:sz w:val="20"/>
                        <w:szCs w:val="20"/>
                      </w:rPr>
                    </w:pPr>
                    <w:r>
                      <w:rPr>
                        <w:rStyle w:val="PageNumber"/>
                        <w:sz w:val="20"/>
                        <w:szCs w:val="20"/>
                      </w:rPr>
                      <w:fldChar w:fldCharType="begin"/>
                    </w:r>
                    <w:r w:rsidR="0066369F">
                      <w:rPr>
                        <w:rStyle w:val="PageNumber"/>
                        <w:sz w:val="20"/>
                        <w:szCs w:val="20"/>
                      </w:rPr>
                      <w:instrText xml:space="preserve">PAGE  </w:instrText>
                    </w:r>
                    <w:r>
                      <w:rPr>
                        <w:rStyle w:val="PageNumber"/>
                        <w:sz w:val="20"/>
                        <w:szCs w:val="20"/>
                      </w:rPr>
                      <w:fldChar w:fldCharType="separate"/>
                    </w:r>
                    <w:r w:rsidR="00625D20">
                      <w:rPr>
                        <w:rStyle w:val="PageNumber"/>
                        <w:noProof/>
                        <w:sz w:val="20"/>
                        <w:szCs w:val="20"/>
                      </w:rPr>
                      <w:t>3</w:t>
                    </w:r>
                    <w:r>
                      <w:rPr>
                        <w:rStyle w:val="PageNumber"/>
                        <w:sz w:val="20"/>
                        <w:szCs w:val="20"/>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24B71" w14:textId="77777777" w:rsidR="00F46D18" w:rsidRDefault="00B54867">
    <w:pPr>
      <w:pStyle w:val="Footer"/>
      <w:tabs>
        <w:tab w:val="clear" w:pos="4320"/>
        <w:tab w:val="clear" w:pos="8640"/>
        <w:tab w:val="left" w:pos="3870"/>
      </w:tabs>
    </w:pPr>
    <w:r>
      <w:rPr>
        <w:noProof/>
        <w:lang w:eastAsia="en-US"/>
      </w:rPr>
      <mc:AlternateContent>
        <mc:Choice Requires="wps">
          <w:drawing>
            <wp:anchor distT="0" distB="0" distL="114300" distR="114300" simplePos="0" relativeHeight="251659264" behindDoc="0" locked="0" layoutInCell="1" allowOverlap="1" wp14:anchorId="7B75EB9D" wp14:editId="75DCD18E">
              <wp:simplePos x="0" y="0"/>
              <wp:positionH relativeFrom="margin">
                <wp:align>center</wp:align>
              </wp:positionH>
              <wp:positionV relativeFrom="paragraph">
                <wp:posOffset>0</wp:posOffset>
              </wp:positionV>
              <wp:extent cx="64135" cy="2946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CB5D0" w14:textId="77777777" w:rsidR="00F46D18" w:rsidRDefault="00B27158">
                          <w:pPr>
                            <w:pStyle w:val="Footer"/>
                            <w:rPr>
                              <w:lang w:eastAsia="zh-CN"/>
                            </w:rPr>
                          </w:pPr>
                          <w:r>
                            <w:rPr>
                              <w:rFonts w:hint="eastAsia"/>
                              <w:sz w:val="20"/>
                              <w:szCs w:val="20"/>
                              <w:lang w:eastAsia="zh-CN"/>
                            </w:rPr>
                            <w:fldChar w:fldCharType="begin"/>
                          </w:r>
                          <w:r w:rsidR="0066369F">
                            <w:rPr>
                              <w:rFonts w:hint="eastAsia"/>
                              <w:sz w:val="20"/>
                              <w:szCs w:val="20"/>
                              <w:lang w:eastAsia="zh-CN"/>
                            </w:rPr>
                            <w:instrText xml:space="preserve"> PAGE  \* MERGEFORMAT </w:instrText>
                          </w:r>
                          <w:r>
                            <w:rPr>
                              <w:rFonts w:hint="eastAsia"/>
                              <w:sz w:val="20"/>
                              <w:szCs w:val="20"/>
                              <w:lang w:eastAsia="zh-CN"/>
                            </w:rPr>
                            <w:fldChar w:fldCharType="separate"/>
                          </w:r>
                          <w:r w:rsidR="00D97325">
                            <w:rPr>
                              <w:noProof/>
                              <w:sz w:val="20"/>
                              <w:szCs w:val="20"/>
                              <w:lang w:eastAsia="zh-CN"/>
                            </w:rPr>
                            <w:t>1</w:t>
                          </w:r>
                          <w:r>
                            <w:rPr>
                              <w:rFonts w:hint="eastAsia"/>
                              <w:sz w:val="20"/>
                              <w:szCs w:val="20"/>
                              <w:lang w:eastAsia="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0;margin-top:0;width:5.05pt;height:23.2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tf1rAIAAKwFAAAOAAAAZHJzL2Uyb0RvYy54bWysVNtunDAQfa/Uf7D8TrjESxYUNkqWpaqU&#10;XqSkH+AFs1gFG9nOQlr13zs2y+4meana8mAN9vjMmZnjub4ZuxbtmdJcigyHFwFGTJSy4mKX4W+P&#10;hbfESBsqKtpKwTL8zDS+Wb1/dz30KYtkI9uKKQQgQqdDn+HGmD71fV02rKP6QvZMwGEtVUcN/Kqd&#10;Xyk6AHrX+lEQxP4gVdUrWTKtYTefDvHK4dc1K82XutbMoDbDwM24Vbl1a1d/dU3TnaJ9w8sDDfoX&#10;LDrKBQQ9QuXUUPSk+BuojpdKalmbi1J2vqxrXjKXA2QTBq+yeWhoz1wuUBzdH8uk/x9s+Xn/VSFe&#10;Qe8wErSDFj2y0aA7OaLIVmfodQpODz24mRG2rafNVPf3svyukZDrhoodu1VKDg2jFbAL7U3/7OqE&#10;oy3IdvgkKwhDn4x0QGOtOgsIxUCADl16PnbGUilhMybh5QKjEk6ihMTENc6n6Xy3V9p8YLJD1siw&#10;gr47bLq/18ZyoensYkMJWfC2db1vxYsNcJx2IDJctWeWg2vlzyRINsvNkngkijceCfLcuy3WxIuL&#10;8GqRX+brdR7+snFDkja8qpiwYWZZheTP2nYQ+CSIo7C0bHll4SwlrXbbdavQnoKsC/e5isPJyc1/&#10;ScMVAXJ5lVIYkeAuSrwiXl55pCALL7kKll4QJndJHJCE5MXLlO65YP+eEhoynCyixSSlE+lXuQXu&#10;e5sbTTtuYHC0vMvw8uhEUyvAjahcaw3l7WSflcLSP5UC2j032snVKnTSqhm34+FdAJiV8lZWz6Bf&#10;JUFgIFIYemA0Uv3AaIABkmEBEw6j9qOAF2BnzWyo2djOBhUlXMywwWgy12aaSU+94rsGcOc3dguv&#10;pOBOwicOh7cFI8Flchhfduac/zuv05Bd/QYAAP//AwBQSwMEFAAGAAgAAAAhAFp/5s3XAAAAAwEA&#10;AA8AAABkcnMvZG93bnJldi54bWxMj8FqwzAQRO+F/oPYQm6NnBLS4FgOJdBLb0lLIbeNtbFMpJWR&#10;FMf++yq9tJeFYYaZt9V2dFYMFGLnWcFiXoAgbrzuuFXw9fn+vAYRE7JG65kUTBRhWz8+VFhqf+M9&#10;DYfUilzCsUQFJqW+lDI2hhzGue+Js3f2wWHKMrRSB7zlcmflS1GspMOO84LBnnaGmsvh6hS8jt+e&#10;+kg7Op6HJphuWtuPSanZ0/i2AZFoTH9huONndKgz08lfWUdhFeRH0u+9e8UCxEnBcrUEWVfyP3v9&#10;AwAA//8DAFBLAQItABQABgAIAAAAIQC2gziS/gAAAOEBAAATAAAAAAAAAAAAAAAAAAAAAABbQ29u&#10;dGVudF9UeXBlc10ueG1sUEsBAi0AFAAGAAgAAAAhADj9If/WAAAAlAEAAAsAAAAAAAAAAAAAAAAA&#10;LwEAAF9yZWxzLy5yZWxzUEsBAi0AFAAGAAgAAAAhAAFu1/WsAgAArAUAAA4AAAAAAAAAAAAAAAAA&#10;LgIAAGRycy9lMm9Eb2MueG1sUEsBAi0AFAAGAAgAAAAhAFp/5s3XAAAAAwEAAA8AAAAAAAAAAAAA&#10;AAAABgUAAGRycy9kb3ducmV2LnhtbFBLBQYAAAAABAAEAPMAAAAKBgAAAAA=&#10;" filled="f" stroked="f">
              <v:textbox style="mso-fit-shape-to-text:t" inset="0,0,0,0">
                <w:txbxContent>
                  <w:p w14:paraId="606CB5D0" w14:textId="77777777" w:rsidR="00F46D18" w:rsidRDefault="00B27158">
                    <w:pPr>
                      <w:pStyle w:val="Footer"/>
                      <w:rPr>
                        <w:lang w:eastAsia="zh-CN"/>
                      </w:rPr>
                    </w:pPr>
                    <w:r>
                      <w:rPr>
                        <w:rFonts w:hint="eastAsia"/>
                        <w:sz w:val="20"/>
                        <w:szCs w:val="20"/>
                        <w:lang w:eastAsia="zh-CN"/>
                      </w:rPr>
                      <w:fldChar w:fldCharType="begin"/>
                    </w:r>
                    <w:r w:rsidR="0066369F">
                      <w:rPr>
                        <w:rFonts w:hint="eastAsia"/>
                        <w:sz w:val="20"/>
                        <w:szCs w:val="20"/>
                        <w:lang w:eastAsia="zh-CN"/>
                      </w:rPr>
                      <w:instrText xml:space="preserve"> PAGE  \* MERGEFORMAT </w:instrText>
                    </w:r>
                    <w:r>
                      <w:rPr>
                        <w:rFonts w:hint="eastAsia"/>
                        <w:sz w:val="20"/>
                        <w:szCs w:val="20"/>
                        <w:lang w:eastAsia="zh-CN"/>
                      </w:rPr>
                      <w:fldChar w:fldCharType="separate"/>
                    </w:r>
                    <w:r w:rsidR="00D97325">
                      <w:rPr>
                        <w:noProof/>
                        <w:sz w:val="20"/>
                        <w:szCs w:val="20"/>
                        <w:lang w:eastAsia="zh-CN"/>
                      </w:rPr>
                      <w:t>1</w:t>
                    </w:r>
                    <w:r>
                      <w:rPr>
                        <w:rFonts w:hint="eastAsia"/>
                        <w:sz w:val="20"/>
                        <w:szCs w:val="20"/>
                        <w:lang w:eastAsia="zh-CN"/>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6C958" w14:textId="77777777" w:rsidR="00D97325" w:rsidRDefault="00D97325" w:rsidP="00F46D18">
      <w:pPr>
        <w:spacing w:after="0" w:line="240" w:lineRule="auto"/>
      </w:pPr>
      <w:r>
        <w:separator/>
      </w:r>
    </w:p>
  </w:footnote>
  <w:footnote w:type="continuationSeparator" w:id="0">
    <w:p w14:paraId="23B08A5C" w14:textId="77777777" w:rsidR="00D97325" w:rsidRDefault="00D97325" w:rsidP="00F46D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436E8" w14:textId="77777777" w:rsidR="00F46D18" w:rsidRDefault="0066369F">
    <w:pPr>
      <w:pBdr>
        <w:bottom w:val="thinThickMediumGap" w:sz="12" w:space="1" w:color="auto"/>
      </w:pBdr>
      <w:ind w:firstLineChars="200" w:firstLine="400"/>
    </w:pPr>
    <w:bookmarkStart w:id="1" w:name="OLE_LINK7"/>
    <w:bookmarkStart w:id="2" w:name="OLE_LINK5"/>
    <w:bookmarkStart w:id="3" w:name="OLE_LINK3"/>
    <w:bookmarkStart w:id="4" w:name="_Hlk302678399"/>
    <w:bookmarkStart w:id="5" w:name="_Hlk302678401"/>
    <w:bookmarkStart w:id="6" w:name="OLE_LINK6"/>
    <w:bookmarkStart w:id="7" w:name="OLE_LINK4"/>
    <w:bookmarkStart w:id="8" w:name="OLE_LINK8"/>
    <w:bookmarkStart w:id="9" w:name="_Hlk313407879"/>
    <w:bookmarkStart w:id="10" w:name="OLE_LINK11"/>
    <w:bookmarkStart w:id="11" w:name="OLE_LINK9"/>
    <w:bookmarkStart w:id="12" w:name="_Hlk313407873"/>
    <w:bookmarkStart w:id="13" w:name="OLE_LINK10"/>
    <w:r>
      <w:rPr>
        <w:sz w:val="20"/>
      </w:rPr>
      <w:t>New York Science Journal 20</w:t>
    </w:r>
    <w:r>
      <w:rPr>
        <w:rFonts w:hint="eastAsia"/>
        <w:sz w:val="20"/>
        <w:lang w:eastAsia="zh-CN"/>
      </w:rPr>
      <w:t>21</w:t>
    </w:r>
    <w:r>
      <w:rPr>
        <w:sz w:val="20"/>
      </w:rPr>
      <w:t>;1</w:t>
    </w:r>
    <w:r>
      <w:rPr>
        <w:rFonts w:hint="eastAsia"/>
        <w:sz w:val="20"/>
        <w:lang w:eastAsia="zh-CN"/>
      </w:rPr>
      <w:t>4</w:t>
    </w:r>
    <w:r>
      <w:rPr>
        <w:sz w:val="20"/>
      </w:rPr>
      <w:t>(</w:t>
    </w:r>
    <w:r>
      <w:rPr>
        <w:rFonts w:hint="eastAsia"/>
        <w:sz w:val="20"/>
        <w:lang w:eastAsia="zh-CN"/>
      </w:rPr>
      <w:t>8</w:t>
    </w:r>
    <w:r>
      <w:rPr>
        <w:sz w:val="20"/>
      </w:rPr>
      <w:t>)</w:t>
    </w:r>
    <w:r>
      <w:rPr>
        <w:iCs/>
        <w:sz w:val="20"/>
      </w:rPr>
      <w:t xml:space="preserve">  </w:t>
    </w:r>
    <w:r>
      <w:rPr>
        <w:rFonts w:hint="eastAsia"/>
        <w:iCs/>
        <w:sz w:val="20"/>
        <w:lang w:eastAsia="zh-CN"/>
      </w:rPr>
      <w:t xml:space="preserve">                                        </w:t>
    </w:r>
    <w:hyperlink r:id="rId1" w:history="1">
      <w:r>
        <w:rPr>
          <w:color w:val="0000FF"/>
          <w:sz w:val="20"/>
          <w:szCs w:val="20"/>
          <w:u w:val="single"/>
        </w:rPr>
        <w:t>http://www.sciencepub.net/newyork</w:t>
      </w:r>
    </w:hyperlink>
    <w:bookmarkEnd w:id="1"/>
    <w:bookmarkEnd w:id="2"/>
    <w:bookmarkEnd w:id="3"/>
    <w:bookmarkEnd w:id="4"/>
    <w:bookmarkEnd w:id="5"/>
    <w:bookmarkEnd w:id="6"/>
    <w:bookmarkEnd w:id="7"/>
    <w:r>
      <w:rPr>
        <w:rFonts w:hint="eastAsia"/>
        <w:sz w:val="20"/>
      </w:rPr>
      <w:t xml:space="preserve"> </w:t>
    </w:r>
    <w:r>
      <w:rPr>
        <w:rFonts w:hint="eastAsia"/>
        <w:b/>
        <w:i/>
        <w:color w:val="FF0000"/>
        <w:sz w:val="20"/>
        <w:szCs w:val="20"/>
        <w:bdr w:val="single" w:sz="4" w:space="0" w:color="FF0000"/>
      </w:rPr>
      <w:t>NYJ</w:t>
    </w:r>
    <w:bookmarkEnd w:id="8"/>
    <w:bookmarkEnd w:id="9"/>
    <w:bookmarkEnd w:id="10"/>
    <w:bookmarkEnd w:id="11"/>
    <w:bookmarkEnd w:id="12"/>
    <w:bookmarkEnd w:id="1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D20B1" w14:textId="77777777" w:rsidR="00F46D18" w:rsidRDefault="0066369F">
    <w:pPr>
      <w:pStyle w:val="Header"/>
    </w:pPr>
    <w:r>
      <w:rPr>
        <w:noProof/>
        <w:szCs w:val="20"/>
        <w:lang w:eastAsia="en-US"/>
      </w:rPr>
      <w:drawing>
        <wp:inline distT="0" distB="0" distL="114300" distR="114300" wp14:anchorId="56DB12EB" wp14:editId="2D71A28E">
          <wp:extent cx="5960745" cy="776605"/>
          <wp:effectExtent l="0" t="0" r="1905" b="444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
                  <a:stretch>
                    <a:fillRect/>
                  </a:stretch>
                </pic:blipFill>
                <pic:spPr>
                  <a:xfrm>
                    <a:off x="0" y="0"/>
                    <a:ext cx="5960745" cy="7766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pStyle w:val="Heading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6C5A256B"/>
    <w:multiLevelType w:val="multilevel"/>
    <w:tmpl w:val="EB0839EC"/>
    <w:lvl w:ilvl="0">
      <w:start w:val="1"/>
      <w:numFmt w:val="decimal"/>
      <w:lvlText w:val="[%1]."/>
      <w:lvlJc w:val="left"/>
      <w:pPr>
        <w:ind w:left="720" w:hanging="360"/>
      </w:pPr>
      <w:rPr>
        <w:rFonts w:asciiTheme="majorBidi" w:eastAsia="SimSun" w:hAnsiTheme="majorBidi" w:cstheme="maj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fillcolor="white">
      <v:fill color="white"/>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9B3"/>
    <w:rsid w:val="00000358"/>
    <w:rsid w:val="00005C8E"/>
    <w:rsid w:val="000075A2"/>
    <w:rsid w:val="00012408"/>
    <w:rsid w:val="0006091F"/>
    <w:rsid w:val="00080CE9"/>
    <w:rsid w:val="000827B7"/>
    <w:rsid w:val="000844D7"/>
    <w:rsid w:val="00086790"/>
    <w:rsid w:val="00090A06"/>
    <w:rsid w:val="000A0250"/>
    <w:rsid w:val="000A3F90"/>
    <w:rsid w:val="000C6832"/>
    <w:rsid w:val="000C7450"/>
    <w:rsid w:val="000F3F11"/>
    <w:rsid w:val="00123D75"/>
    <w:rsid w:val="001817C7"/>
    <w:rsid w:val="00183764"/>
    <w:rsid w:val="0019090C"/>
    <w:rsid w:val="001964D0"/>
    <w:rsid w:val="001B41B8"/>
    <w:rsid w:val="001B650D"/>
    <w:rsid w:val="001C3D42"/>
    <w:rsid w:val="001E1806"/>
    <w:rsid w:val="001E7D4B"/>
    <w:rsid w:val="00205E97"/>
    <w:rsid w:val="00243BAA"/>
    <w:rsid w:val="00245C21"/>
    <w:rsid w:val="002721F1"/>
    <w:rsid w:val="00282FA1"/>
    <w:rsid w:val="002A57D8"/>
    <w:rsid w:val="002B5613"/>
    <w:rsid w:val="002D3558"/>
    <w:rsid w:val="002D589A"/>
    <w:rsid w:val="002F20CD"/>
    <w:rsid w:val="002F49EF"/>
    <w:rsid w:val="00301F95"/>
    <w:rsid w:val="00314F95"/>
    <w:rsid w:val="00317793"/>
    <w:rsid w:val="00322FAB"/>
    <w:rsid w:val="003246A8"/>
    <w:rsid w:val="00345581"/>
    <w:rsid w:val="0034702D"/>
    <w:rsid w:val="003679A0"/>
    <w:rsid w:val="003777B6"/>
    <w:rsid w:val="00394B65"/>
    <w:rsid w:val="003A5114"/>
    <w:rsid w:val="003A785E"/>
    <w:rsid w:val="003B55FF"/>
    <w:rsid w:val="003B651F"/>
    <w:rsid w:val="003C0116"/>
    <w:rsid w:val="003C4C28"/>
    <w:rsid w:val="003D2B2B"/>
    <w:rsid w:val="003F6D2B"/>
    <w:rsid w:val="0043645D"/>
    <w:rsid w:val="00454A59"/>
    <w:rsid w:val="00456753"/>
    <w:rsid w:val="00471E57"/>
    <w:rsid w:val="00480715"/>
    <w:rsid w:val="0049143E"/>
    <w:rsid w:val="004976EA"/>
    <w:rsid w:val="004C50B1"/>
    <w:rsid w:val="004C7E2A"/>
    <w:rsid w:val="004D01D3"/>
    <w:rsid w:val="004D0467"/>
    <w:rsid w:val="004F394B"/>
    <w:rsid w:val="004F4AFB"/>
    <w:rsid w:val="00520D1A"/>
    <w:rsid w:val="0052512B"/>
    <w:rsid w:val="005427DC"/>
    <w:rsid w:val="00550634"/>
    <w:rsid w:val="00553F9B"/>
    <w:rsid w:val="00587A88"/>
    <w:rsid w:val="0059042D"/>
    <w:rsid w:val="00593132"/>
    <w:rsid w:val="005A21B0"/>
    <w:rsid w:val="005A5E42"/>
    <w:rsid w:val="005C2F35"/>
    <w:rsid w:val="005D1DA6"/>
    <w:rsid w:val="005F5E04"/>
    <w:rsid w:val="00625D20"/>
    <w:rsid w:val="006359B5"/>
    <w:rsid w:val="00635A44"/>
    <w:rsid w:val="0065209A"/>
    <w:rsid w:val="00657995"/>
    <w:rsid w:val="0066369F"/>
    <w:rsid w:val="006B5399"/>
    <w:rsid w:val="006D5C2E"/>
    <w:rsid w:val="006E6ACB"/>
    <w:rsid w:val="006E7156"/>
    <w:rsid w:val="006F1706"/>
    <w:rsid w:val="006F18C1"/>
    <w:rsid w:val="006F6AFC"/>
    <w:rsid w:val="00744442"/>
    <w:rsid w:val="007600EC"/>
    <w:rsid w:val="007725E7"/>
    <w:rsid w:val="0078507E"/>
    <w:rsid w:val="007B3BC6"/>
    <w:rsid w:val="007D3D09"/>
    <w:rsid w:val="007D746F"/>
    <w:rsid w:val="007E7995"/>
    <w:rsid w:val="007F763B"/>
    <w:rsid w:val="008131CF"/>
    <w:rsid w:val="00814FA7"/>
    <w:rsid w:val="008233D0"/>
    <w:rsid w:val="0085007D"/>
    <w:rsid w:val="008655CF"/>
    <w:rsid w:val="00873E16"/>
    <w:rsid w:val="00875C08"/>
    <w:rsid w:val="008A186C"/>
    <w:rsid w:val="008A20AC"/>
    <w:rsid w:val="008A4031"/>
    <w:rsid w:val="008A67B6"/>
    <w:rsid w:val="008D4DD8"/>
    <w:rsid w:val="0091208A"/>
    <w:rsid w:val="00914558"/>
    <w:rsid w:val="00935CF7"/>
    <w:rsid w:val="0094140D"/>
    <w:rsid w:val="009459B3"/>
    <w:rsid w:val="00952EB8"/>
    <w:rsid w:val="00997A8E"/>
    <w:rsid w:val="009A3681"/>
    <w:rsid w:val="00A1557F"/>
    <w:rsid w:val="00A3476D"/>
    <w:rsid w:val="00AC6ED1"/>
    <w:rsid w:val="00AE6E2F"/>
    <w:rsid w:val="00B22737"/>
    <w:rsid w:val="00B2337D"/>
    <w:rsid w:val="00B27158"/>
    <w:rsid w:val="00B3167C"/>
    <w:rsid w:val="00B36B45"/>
    <w:rsid w:val="00B54867"/>
    <w:rsid w:val="00B60543"/>
    <w:rsid w:val="00B60E8D"/>
    <w:rsid w:val="00B80C0E"/>
    <w:rsid w:val="00B918AE"/>
    <w:rsid w:val="00B94E19"/>
    <w:rsid w:val="00BD2A8D"/>
    <w:rsid w:val="00BD4FCC"/>
    <w:rsid w:val="00BF6579"/>
    <w:rsid w:val="00C0761F"/>
    <w:rsid w:val="00C101C9"/>
    <w:rsid w:val="00C44596"/>
    <w:rsid w:val="00C60D61"/>
    <w:rsid w:val="00C92003"/>
    <w:rsid w:val="00CC4387"/>
    <w:rsid w:val="00CC5960"/>
    <w:rsid w:val="00CE7B2F"/>
    <w:rsid w:val="00CF24FB"/>
    <w:rsid w:val="00CF6616"/>
    <w:rsid w:val="00D04C27"/>
    <w:rsid w:val="00D13147"/>
    <w:rsid w:val="00D23630"/>
    <w:rsid w:val="00D26F2E"/>
    <w:rsid w:val="00D3777A"/>
    <w:rsid w:val="00D5225E"/>
    <w:rsid w:val="00D56002"/>
    <w:rsid w:val="00D778C9"/>
    <w:rsid w:val="00D97325"/>
    <w:rsid w:val="00DE247E"/>
    <w:rsid w:val="00DF6507"/>
    <w:rsid w:val="00DF7353"/>
    <w:rsid w:val="00E015B9"/>
    <w:rsid w:val="00E11778"/>
    <w:rsid w:val="00E130CC"/>
    <w:rsid w:val="00E2670D"/>
    <w:rsid w:val="00E34501"/>
    <w:rsid w:val="00E34DBD"/>
    <w:rsid w:val="00E52EA0"/>
    <w:rsid w:val="00E57761"/>
    <w:rsid w:val="00E617EB"/>
    <w:rsid w:val="00E73E1D"/>
    <w:rsid w:val="00E94645"/>
    <w:rsid w:val="00EB51F4"/>
    <w:rsid w:val="00EC565A"/>
    <w:rsid w:val="00EC5C53"/>
    <w:rsid w:val="00ED4441"/>
    <w:rsid w:val="00ED4A29"/>
    <w:rsid w:val="00ED4ED9"/>
    <w:rsid w:val="00EE1CEE"/>
    <w:rsid w:val="00EE1F4B"/>
    <w:rsid w:val="00EE5DA4"/>
    <w:rsid w:val="00F03305"/>
    <w:rsid w:val="00F2228B"/>
    <w:rsid w:val="00F46D18"/>
    <w:rsid w:val="00F62573"/>
    <w:rsid w:val="00F82232"/>
    <w:rsid w:val="00F83A62"/>
    <w:rsid w:val="00F96712"/>
    <w:rsid w:val="00FA1D8B"/>
    <w:rsid w:val="00FA5D00"/>
    <w:rsid w:val="00FA6D77"/>
    <w:rsid w:val="00FB00A9"/>
    <w:rsid w:val="00FB5B6A"/>
    <w:rsid w:val="00FB6DB8"/>
    <w:rsid w:val="00FC4906"/>
    <w:rsid w:val="00FE1DBC"/>
    <w:rsid w:val="00FF5D4E"/>
    <w:rsid w:val="00FF7666"/>
    <w:rsid w:val="3CEC6D68"/>
    <w:rsid w:val="6AF439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995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semiHidden="0" w:uiPriority="35" w:unhideWhenUsed="0" w:qFormat="1"/>
    <w:lsdException w:name="page number"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Body Text 2" w:semiHidden="0" w:uiPriority="0" w:unhideWhenUsed="0"/>
    <w:lsdException w:name="Body Text Indent 2" w:semiHidden="0" w:uiPriority="0" w:unhideWhenUsed="0"/>
    <w:lsdException w:name="Body Text Indent 3"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D18"/>
    <w:pPr>
      <w:suppressAutoHyphens/>
    </w:pPr>
    <w:rPr>
      <w:sz w:val="24"/>
      <w:szCs w:val="24"/>
      <w:lang w:eastAsia="ar-SA"/>
    </w:rPr>
  </w:style>
  <w:style w:type="paragraph" w:styleId="Heading1">
    <w:name w:val="heading 1"/>
    <w:basedOn w:val="Normal"/>
    <w:next w:val="Normal"/>
    <w:qFormat/>
    <w:rsid w:val="00F46D18"/>
    <w:pPr>
      <w:keepNext/>
      <w:numPr>
        <w:numId w:val="1"/>
      </w:numPr>
      <w:outlineLvl w:val="0"/>
    </w:pPr>
    <w:rPr>
      <w:b/>
      <w:bCs/>
      <w:sz w:val="32"/>
    </w:rPr>
  </w:style>
  <w:style w:type="paragraph" w:styleId="Heading2">
    <w:name w:val="heading 2"/>
    <w:basedOn w:val="Normal"/>
    <w:next w:val="Normal"/>
    <w:qFormat/>
    <w:rsid w:val="00F46D18"/>
    <w:pPr>
      <w:keepNext/>
      <w:numPr>
        <w:ilvl w:val="1"/>
        <w:numId w:val="1"/>
      </w:numPr>
      <w:jc w:val="both"/>
      <w:outlineLvl w:val="1"/>
    </w:pPr>
    <w:rPr>
      <w:b/>
      <w:sz w:val="28"/>
    </w:rPr>
  </w:style>
  <w:style w:type="paragraph" w:styleId="Heading3">
    <w:name w:val="heading 3"/>
    <w:basedOn w:val="Normal"/>
    <w:next w:val="Normal"/>
    <w:qFormat/>
    <w:rsid w:val="00F46D18"/>
    <w:pPr>
      <w:keepNext/>
      <w:numPr>
        <w:ilvl w:val="2"/>
        <w:numId w:val="1"/>
      </w:numPr>
      <w:spacing w:line="360" w:lineRule="auto"/>
      <w:jc w:val="both"/>
      <w:outlineLvl w:val="2"/>
    </w:pPr>
    <w:rPr>
      <w:b/>
      <w:bCs/>
    </w:rPr>
  </w:style>
  <w:style w:type="paragraph" w:styleId="Heading6">
    <w:name w:val="heading 6"/>
    <w:basedOn w:val="Normal"/>
    <w:next w:val="Normal"/>
    <w:qFormat/>
    <w:rsid w:val="00F46D18"/>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F46D18"/>
    <w:pPr>
      <w:suppressLineNumbers/>
      <w:spacing w:before="120" w:after="120"/>
    </w:pPr>
    <w:rPr>
      <w:i/>
      <w:iCs/>
    </w:rPr>
  </w:style>
  <w:style w:type="paragraph" w:styleId="BodyText">
    <w:name w:val="Body Text"/>
    <w:basedOn w:val="Normal"/>
    <w:rsid w:val="00F46D18"/>
    <w:pPr>
      <w:spacing w:line="360" w:lineRule="auto"/>
    </w:pPr>
  </w:style>
  <w:style w:type="paragraph" w:styleId="BodyTextIndent">
    <w:name w:val="Body Text Indent"/>
    <w:basedOn w:val="Normal"/>
    <w:rsid w:val="00F46D18"/>
    <w:pPr>
      <w:ind w:left="540" w:hanging="720"/>
      <w:jc w:val="both"/>
    </w:pPr>
  </w:style>
  <w:style w:type="paragraph" w:styleId="BodyTextIndent2">
    <w:name w:val="Body Text Indent 2"/>
    <w:basedOn w:val="Normal"/>
    <w:rsid w:val="00F46D18"/>
    <w:pPr>
      <w:spacing w:line="360" w:lineRule="auto"/>
      <w:ind w:firstLine="720"/>
      <w:jc w:val="both"/>
    </w:pPr>
  </w:style>
  <w:style w:type="paragraph" w:styleId="BalloonText">
    <w:name w:val="Balloon Text"/>
    <w:basedOn w:val="Normal"/>
    <w:link w:val="BalloonTextChar"/>
    <w:uiPriority w:val="99"/>
    <w:semiHidden/>
    <w:unhideWhenUsed/>
    <w:rsid w:val="00F46D18"/>
    <w:rPr>
      <w:rFonts w:ascii="Tahoma" w:hAnsi="Tahoma" w:cs="Tahoma"/>
      <w:sz w:val="16"/>
      <w:szCs w:val="16"/>
    </w:rPr>
  </w:style>
  <w:style w:type="paragraph" w:styleId="Footer">
    <w:name w:val="footer"/>
    <w:basedOn w:val="Normal"/>
    <w:rsid w:val="00F46D18"/>
    <w:pPr>
      <w:tabs>
        <w:tab w:val="center" w:pos="4320"/>
        <w:tab w:val="right" w:pos="8640"/>
      </w:tabs>
    </w:pPr>
    <w:rPr>
      <w:sz w:val="32"/>
    </w:rPr>
  </w:style>
  <w:style w:type="paragraph" w:styleId="Header">
    <w:name w:val="header"/>
    <w:basedOn w:val="Normal"/>
    <w:next w:val="Heading1"/>
    <w:link w:val="HeaderChar"/>
    <w:rsid w:val="00F46D18"/>
    <w:pPr>
      <w:tabs>
        <w:tab w:val="center" w:pos="4320"/>
        <w:tab w:val="right" w:pos="8640"/>
      </w:tabs>
    </w:pPr>
  </w:style>
  <w:style w:type="paragraph" w:styleId="List">
    <w:name w:val="List"/>
    <w:basedOn w:val="BodyText"/>
    <w:rsid w:val="00F46D18"/>
  </w:style>
  <w:style w:type="paragraph" w:styleId="BodyTextIndent3">
    <w:name w:val="Body Text Indent 3"/>
    <w:basedOn w:val="Normal"/>
    <w:rsid w:val="00F46D18"/>
    <w:pPr>
      <w:spacing w:line="360" w:lineRule="auto"/>
      <w:ind w:firstLine="720"/>
      <w:jc w:val="both"/>
    </w:pPr>
    <w:rPr>
      <w:b/>
      <w:bCs/>
    </w:rPr>
  </w:style>
  <w:style w:type="paragraph" w:styleId="BodyText2">
    <w:name w:val="Body Text 2"/>
    <w:basedOn w:val="Normal"/>
    <w:rsid w:val="00F46D18"/>
    <w:pPr>
      <w:spacing w:line="360" w:lineRule="auto"/>
      <w:jc w:val="both"/>
    </w:pPr>
  </w:style>
  <w:style w:type="table" w:styleId="TableGrid">
    <w:name w:val="Table Grid"/>
    <w:basedOn w:val="TableNormal"/>
    <w:uiPriority w:val="39"/>
    <w:rsid w:val="00F46D1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F46D18"/>
  </w:style>
  <w:style w:type="character" w:styleId="FollowedHyperlink">
    <w:name w:val="FollowedHyperlink"/>
    <w:rsid w:val="00F46D18"/>
    <w:rPr>
      <w:color w:val="800080"/>
      <w:u w:val="single"/>
    </w:rPr>
  </w:style>
  <w:style w:type="character" w:styleId="Hyperlink">
    <w:name w:val="Hyperlink"/>
    <w:basedOn w:val="DefaultParagraphFont"/>
    <w:rsid w:val="00F46D18"/>
    <w:rPr>
      <w:color w:val="0000FF"/>
      <w:u w:val="single"/>
    </w:rPr>
  </w:style>
  <w:style w:type="character" w:customStyle="1" w:styleId="Absatz-Standardschriftart">
    <w:name w:val="Absatz-Standardschriftart"/>
    <w:rsid w:val="00F46D18"/>
  </w:style>
  <w:style w:type="character" w:customStyle="1" w:styleId="WW-Absatz-Standardschriftart">
    <w:name w:val="WW-Absatz-Standardschriftart"/>
    <w:rsid w:val="00F46D18"/>
  </w:style>
  <w:style w:type="character" w:customStyle="1" w:styleId="WW-Absatz-Standardschriftart1">
    <w:name w:val="WW-Absatz-Standardschriftart1"/>
    <w:rsid w:val="00F46D18"/>
  </w:style>
  <w:style w:type="character" w:customStyle="1" w:styleId="WW-Absatz-Standardschriftart11">
    <w:name w:val="WW-Absatz-Standardschriftart11"/>
    <w:rsid w:val="00F46D18"/>
  </w:style>
  <w:style w:type="character" w:customStyle="1" w:styleId="WW-Absatz-Standardschriftart111">
    <w:name w:val="WW-Absatz-Standardschriftart111"/>
    <w:rsid w:val="00F46D18"/>
  </w:style>
  <w:style w:type="character" w:customStyle="1" w:styleId="WW-Absatz-Standardschriftart1111">
    <w:name w:val="WW-Absatz-Standardschriftart1111"/>
    <w:rsid w:val="00F46D18"/>
  </w:style>
  <w:style w:type="character" w:customStyle="1" w:styleId="WW-Absatz-Standardschriftart11111">
    <w:name w:val="WW-Absatz-Standardschriftart11111"/>
    <w:rsid w:val="00F46D18"/>
  </w:style>
  <w:style w:type="character" w:customStyle="1" w:styleId="WW-Absatz-Standardschriftart111111">
    <w:name w:val="WW-Absatz-Standardschriftart111111"/>
    <w:rsid w:val="00F46D18"/>
  </w:style>
  <w:style w:type="character" w:customStyle="1" w:styleId="WW-Absatz-Standardschriftart1111111">
    <w:name w:val="WW-Absatz-Standardschriftart1111111"/>
    <w:rsid w:val="00F46D18"/>
  </w:style>
  <w:style w:type="character" w:customStyle="1" w:styleId="WW-Absatz-Standardschriftart11111111">
    <w:name w:val="WW-Absatz-Standardschriftart11111111"/>
    <w:rsid w:val="00F46D18"/>
  </w:style>
  <w:style w:type="character" w:customStyle="1" w:styleId="WW-Absatz-Standardschriftart111111111">
    <w:name w:val="WW-Absatz-Standardschriftart111111111"/>
    <w:rsid w:val="00F46D18"/>
  </w:style>
  <w:style w:type="character" w:customStyle="1" w:styleId="WW-Absatz-Standardschriftart1111111111">
    <w:name w:val="WW-Absatz-Standardschriftart1111111111"/>
    <w:rsid w:val="00F46D18"/>
  </w:style>
  <w:style w:type="character" w:customStyle="1" w:styleId="WW-Absatz-Standardschriftart11111111111">
    <w:name w:val="WW-Absatz-Standardschriftart11111111111"/>
    <w:rsid w:val="00F46D18"/>
  </w:style>
  <w:style w:type="character" w:customStyle="1" w:styleId="WW-Absatz-Standardschriftart111111111111">
    <w:name w:val="WW-Absatz-Standardschriftart111111111111"/>
    <w:rsid w:val="00F46D18"/>
  </w:style>
  <w:style w:type="character" w:customStyle="1" w:styleId="WW-Absatz-Standardschriftart1111111111111">
    <w:name w:val="WW-Absatz-Standardschriftart1111111111111"/>
    <w:rsid w:val="00F46D18"/>
  </w:style>
  <w:style w:type="character" w:customStyle="1" w:styleId="WW-Absatz-Standardschriftart11111111111111">
    <w:name w:val="WW-Absatz-Standardschriftart11111111111111"/>
    <w:rsid w:val="00F46D18"/>
  </w:style>
  <w:style w:type="character" w:customStyle="1" w:styleId="WW-Absatz-Standardschriftart111111111111111">
    <w:name w:val="WW-Absatz-Standardschriftart111111111111111"/>
    <w:rsid w:val="00F46D18"/>
  </w:style>
  <w:style w:type="character" w:customStyle="1" w:styleId="WW-Absatz-Standardschriftart1111111111111111">
    <w:name w:val="WW-Absatz-Standardschriftart1111111111111111"/>
    <w:rsid w:val="00F46D18"/>
  </w:style>
  <w:style w:type="character" w:customStyle="1" w:styleId="WW8Num1z0">
    <w:name w:val="WW8Num1z0"/>
    <w:rsid w:val="00F46D18"/>
    <w:rPr>
      <w:rFonts w:ascii="Symbol" w:eastAsia="Times New Roman" w:hAnsi="Symbol" w:cs="Times New Roman"/>
    </w:rPr>
  </w:style>
  <w:style w:type="character" w:customStyle="1" w:styleId="WW8Num1z1">
    <w:name w:val="WW8Num1z1"/>
    <w:rsid w:val="00F46D18"/>
    <w:rPr>
      <w:rFonts w:ascii="Courier New" w:hAnsi="Courier New" w:cs="Courier New"/>
    </w:rPr>
  </w:style>
  <w:style w:type="character" w:customStyle="1" w:styleId="WW8Num1z2">
    <w:name w:val="WW8Num1z2"/>
    <w:rsid w:val="00F46D18"/>
    <w:rPr>
      <w:rFonts w:ascii="Wingdings" w:hAnsi="Wingdings"/>
    </w:rPr>
  </w:style>
  <w:style w:type="character" w:customStyle="1" w:styleId="WW8Num1z3">
    <w:name w:val="WW8Num1z3"/>
    <w:rsid w:val="00F46D18"/>
    <w:rPr>
      <w:rFonts w:ascii="Symbol" w:hAnsi="Symbol"/>
    </w:rPr>
  </w:style>
  <w:style w:type="character" w:customStyle="1" w:styleId="NumberingSymbols">
    <w:name w:val="Numbering Symbols"/>
    <w:rsid w:val="00F46D18"/>
  </w:style>
  <w:style w:type="paragraph" w:customStyle="1" w:styleId="Heading">
    <w:name w:val="Heading"/>
    <w:basedOn w:val="Normal"/>
    <w:next w:val="BodyText"/>
    <w:rsid w:val="00F46D18"/>
    <w:pPr>
      <w:keepNext/>
      <w:spacing w:before="240" w:after="120"/>
    </w:pPr>
    <w:rPr>
      <w:rFonts w:ascii="Nimbus Sans L" w:eastAsia="DejaVu Sans" w:hAnsi="Nimbus Sans L" w:cs="DejaVu Sans"/>
      <w:sz w:val="28"/>
      <w:szCs w:val="28"/>
    </w:rPr>
  </w:style>
  <w:style w:type="paragraph" w:customStyle="1" w:styleId="Index">
    <w:name w:val="Index"/>
    <w:basedOn w:val="Normal"/>
    <w:rsid w:val="00F46D18"/>
    <w:pPr>
      <w:suppressLineNumbers/>
    </w:pPr>
  </w:style>
  <w:style w:type="paragraph" w:customStyle="1" w:styleId="TableContents">
    <w:name w:val="Table Contents"/>
    <w:basedOn w:val="Normal"/>
    <w:rsid w:val="00F46D18"/>
    <w:pPr>
      <w:suppressLineNumbers/>
    </w:pPr>
  </w:style>
  <w:style w:type="paragraph" w:customStyle="1" w:styleId="TableHeading">
    <w:name w:val="Table Heading"/>
    <w:basedOn w:val="TableContents"/>
    <w:rsid w:val="00F46D18"/>
    <w:pPr>
      <w:jc w:val="center"/>
    </w:pPr>
    <w:rPr>
      <w:b/>
      <w:bCs/>
    </w:rPr>
  </w:style>
  <w:style w:type="paragraph" w:customStyle="1" w:styleId="Framecontents">
    <w:name w:val="Frame contents"/>
    <w:basedOn w:val="BodyText"/>
    <w:rsid w:val="00F46D18"/>
  </w:style>
  <w:style w:type="paragraph" w:customStyle="1" w:styleId="Text">
    <w:name w:val="Text"/>
    <w:basedOn w:val="Normal"/>
    <w:rsid w:val="00F46D18"/>
    <w:pPr>
      <w:autoSpaceDE w:val="0"/>
      <w:spacing w:line="252" w:lineRule="auto"/>
      <w:ind w:firstLine="202"/>
    </w:pPr>
    <w:rPr>
      <w:rFonts w:eastAsia="PMingLiU"/>
      <w:kern w:val="1"/>
      <w:sz w:val="20"/>
      <w:szCs w:val="20"/>
    </w:rPr>
  </w:style>
  <w:style w:type="character" w:customStyle="1" w:styleId="HeaderChar">
    <w:name w:val="Header Char"/>
    <w:link w:val="Header"/>
    <w:rsid w:val="00F46D18"/>
    <w:rPr>
      <w:sz w:val="24"/>
      <w:szCs w:val="24"/>
      <w:lang w:eastAsia="ar-SA"/>
    </w:rPr>
  </w:style>
  <w:style w:type="character" w:customStyle="1" w:styleId="UnresolvedMention1">
    <w:name w:val="Unresolved Mention1"/>
    <w:uiPriority w:val="99"/>
    <w:semiHidden/>
    <w:unhideWhenUsed/>
    <w:rsid w:val="00F46D18"/>
    <w:rPr>
      <w:color w:val="605E5C"/>
      <w:shd w:val="clear" w:color="auto" w:fill="E1DFDD"/>
    </w:rPr>
  </w:style>
  <w:style w:type="character" w:customStyle="1" w:styleId="BalloonTextChar">
    <w:name w:val="Balloon Text Char"/>
    <w:basedOn w:val="DefaultParagraphFont"/>
    <w:link w:val="BalloonText"/>
    <w:uiPriority w:val="99"/>
    <w:semiHidden/>
    <w:rsid w:val="00F46D18"/>
    <w:rPr>
      <w:rFonts w:ascii="Tahoma" w:hAnsi="Tahoma" w:cs="Tahoma"/>
      <w:sz w:val="16"/>
      <w:szCs w:val="16"/>
      <w:lang w:eastAsia="ar-SA"/>
    </w:rPr>
  </w:style>
  <w:style w:type="character" w:customStyle="1" w:styleId="UnresolvedMention">
    <w:name w:val="Unresolved Mention"/>
    <w:basedOn w:val="DefaultParagraphFont"/>
    <w:uiPriority w:val="99"/>
    <w:semiHidden/>
    <w:unhideWhenUsed/>
    <w:rsid w:val="00E130C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semiHidden="0" w:uiPriority="35" w:unhideWhenUsed="0" w:qFormat="1"/>
    <w:lsdException w:name="page number"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Body Text 2" w:semiHidden="0" w:uiPriority="0" w:unhideWhenUsed="0"/>
    <w:lsdException w:name="Body Text Indent 2" w:semiHidden="0" w:uiPriority="0" w:unhideWhenUsed="0"/>
    <w:lsdException w:name="Body Text Indent 3"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D18"/>
    <w:pPr>
      <w:suppressAutoHyphens/>
    </w:pPr>
    <w:rPr>
      <w:sz w:val="24"/>
      <w:szCs w:val="24"/>
      <w:lang w:eastAsia="ar-SA"/>
    </w:rPr>
  </w:style>
  <w:style w:type="paragraph" w:styleId="Heading1">
    <w:name w:val="heading 1"/>
    <w:basedOn w:val="Normal"/>
    <w:next w:val="Normal"/>
    <w:qFormat/>
    <w:rsid w:val="00F46D18"/>
    <w:pPr>
      <w:keepNext/>
      <w:numPr>
        <w:numId w:val="1"/>
      </w:numPr>
      <w:outlineLvl w:val="0"/>
    </w:pPr>
    <w:rPr>
      <w:b/>
      <w:bCs/>
      <w:sz w:val="32"/>
    </w:rPr>
  </w:style>
  <w:style w:type="paragraph" w:styleId="Heading2">
    <w:name w:val="heading 2"/>
    <w:basedOn w:val="Normal"/>
    <w:next w:val="Normal"/>
    <w:qFormat/>
    <w:rsid w:val="00F46D18"/>
    <w:pPr>
      <w:keepNext/>
      <w:numPr>
        <w:ilvl w:val="1"/>
        <w:numId w:val="1"/>
      </w:numPr>
      <w:jc w:val="both"/>
      <w:outlineLvl w:val="1"/>
    </w:pPr>
    <w:rPr>
      <w:b/>
      <w:sz w:val="28"/>
    </w:rPr>
  </w:style>
  <w:style w:type="paragraph" w:styleId="Heading3">
    <w:name w:val="heading 3"/>
    <w:basedOn w:val="Normal"/>
    <w:next w:val="Normal"/>
    <w:qFormat/>
    <w:rsid w:val="00F46D18"/>
    <w:pPr>
      <w:keepNext/>
      <w:numPr>
        <w:ilvl w:val="2"/>
        <w:numId w:val="1"/>
      </w:numPr>
      <w:spacing w:line="360" w:lineRule="auto"/>
      <w:jc w:val="both"/>
      <w:outlineLvl w:val="2"/>
    </w:pPr>
    <w:rPr>
      <w:b/>
      <w:bCs/>
    </w:rPr>
  </w:style>
  <w:style w:type="paragraph" w:styleId="Heading6">
    <w:name w:val="heading 6"/>
    <w:basedOn w:val="Normal"/>
    <w:next w:val="Normal"/>
    <w:qFormat/>
    <w:rsid w:val="00F46D18"/>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F46D18"/>
    <w:pPr>
      <w:suppressLineNumbers/>
      <w:spacing w:before="120" w:after="120"/>
    </w:pPr>
    <w:rPr>
      <w:i/>
      <w:iCs/>
    </w:rPr>
  </w:style>
  <w:style w:type="paragraph" w:styleId="BodyText">
    <w:name w:val="Body Text"/>
    <w:basedOn w:val="Normal"/>
    <w:rsid w:val="00F46D18"/>
    <w:pPr>
      <w:spacing w:line="360" w:lineRule="auto"/>
    </w:pPr>
  </w:style>
  <w:style w:type="paragraph" w:styleId="BodyTextIndent">
    <w:name w:val="Body Text Indent"/>
    <w:basedOn w:val="Normal"/>
    <w:rsid w:val="00F46D18"/>
    <w:pPr>
      <w:ind w:left="540" w:hanging="720"/>
      <w:jc w:val="both"/>
    </w:pPr>
  </w:style>
  <w:style w:type="paragraph" w:styleId="BodyTextIndent2">
    <w:name w:val="Body Text Indent 2"/>
    <w:basedOn w:val="Normal"/>
    <w:rsid w:val="00F46D18"/>
    <w:pPr>
      <w:spacing w:line="360" w:lineRule="auto"/>
      <w:ind w:firstLine="720"/>
      <w:jc w:val="both"/>
    </w:pPr>
  </w:style>
  <w:style w:type="paragraph" w:styleId="BalloonText">
    <w:name w:val="Balloon Text"/>
    <w:basedOn w:val="Normal"/>
    <w:link w:val="BalloonTextChar"/>
    <w:uiPriority w:val="99"/>
    <w:semiHidden/>
    <w:unhideWhenUsed/>
    <w:rsid w:val="00F46D18"/>
    <w:rPr>
      <w:rFonts w:ascii="Tahoma" w:hAnsi="Tahoma" w:cs="Tahoma"/>
      <w:sz w:val="16"/>
      <w:szCs w:val="16"/>
    </w:rPr>
  </w:style>
  <w:style w:type="paragraph" w:styleId="Footer">
    <w:name w:val="footer"/>
    <w:basedOn w:val="Normal"/>
    <w:rsid w:val="00F46D18"/>
    <w:pPr>
      <w:tabs>
        <w:tab w:val="center" w:pos="4320"/>
        <w:tab w:val="right" w:pos="8640"/>
      </w:tabs>
    </w:pPr>
    <w:rPr>
      <w:sz w:val="32"/>
    </w:rPr>
  </w:style>
  <w:style w:type="paragraph" w:styleId="Header">
    <w:name w:val="header"/>
    <w:basedOn w:val="Normal"/>
    <w:next w:val="Heading1"/>
    <w:link w:val="HeaderChar"/>
    <w:rsid w:val="00F46D18"/>
    <w:pPr>
      <w:tabs>
        <w:tab w:val="center" w:pos="4320"/>
        <w:tab w:val="right" w:pos="8640"/>
      </w:tabs>
    </w:pPr>
  </w:style>
  <w:style w:type="paragraph" w:styleId="List">
    <w:name w:val="List"/>
    <w:basedOn w:val="BodyText"/>
    <w:rsid w:val="00F46D18"/>
  </w:style>
  <w:style w:type="paragraph" w:styleId="BodyTextIndent3">
    <w:name w:val="Body Text Indent 3"/>
    <w:basedOn w:val="Normal"/>
    <w:rsid w:val="00F46D18"/>
    <w:pPr>
      <w:spacing w:line="360" w:lineRule="auto"/>
      <w:ind w:firstLine="720"/>
      <w:jc w:val="both"/>
    </w:pPr>
    <w:rPr>
      <w:b/>
      <w:bCs/>
    </w:rPr>
  </w:style>
  <w:style w:type="paragraph" w:styleId="BodyText2">
    <w:name w:val="Body Text 2"/>
    <w:basedOn w:val="Normal"/>
    <w:rsid w:val="00F46D18"/>
    <w:pPr>
      <w:spacing w:line="360" w:lineRule="auto"/>
      <w:jc w:val="both"/>
    </w:pPr>
  </w:style>
  <w:style w:type="table" w:styleId="TableGrid">
    <w:name w:val="Table Grid"/>
    <w:basedOn w:val="TableNormal"/>
    <w:uiPriority w:val="39"/>
    <w:rsid w:val="00F46D1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F46D18"/>
  </w:style>
  <w:style w:type="character" w:styleId="FollowedHyperlink">
    <w:name w:val="FollowedHyperlink"/>
    <w:rsid w:val="00F46D18"/>
    <w:rPr>
      <w:color w:val="800080"/>
      <w:u w:val="single"/>
    </w:rPr>
  </w:style>
  <w:style w:type="character" w:styleId="Hyperlink">
    <w:name w:val="Hyperlink"/>
    <w:basedOn w:val="DefaultParagraphFont"/>
    <w:rsid w:val="00F46D18"/>
    <w:rPr>
      <w:color w:val="0000FF"/>
      <w:u w:val="single"/>
    </w:rPr>
  </w:style>
  <w:style w:type="character" w:customStyle="1" w:styleId="Absatz-Standardschriftart">
    <w:name w:val="Absatz-Standardschriftart"/>
    <w:rsid w:val="00F46D18"/>
  </w:style>
  <w:style w:type="character" w:customStyle="1" w:styleId="WW-Absatz-Standardschriftart">
    <w:name w:val="WW-Absatz-Standardschriftart"/>
    <w:rsid w:val="00F46D18"/>
  </w:style>
  <w:style w:type="character" w:customStyle="1" w:styleId="WW-Absatz-Standardschriftart1">
    <w:name w:val="WW-Absatz-Standardschriftart1"/>
    <w:rsid w:val="00F46D18"/>
  </w:style>
  <w:style w:type="character" w:customStyle="1" w:styleId="WW-Absatz-Standardschriftart11">
    <w:name w:val="WW-Absatz-Standardschriftart11"/>
    <w:rsid w:val="00F46D18"/>
  </w:style>
  <w:style w:type="character" w:customStyle="1" w:styleId="WW-Absatz-Standardschriftart111">
    <w:name w:val="WW-Absatz-Standardschriftart111"/>
    <w:rsid w:val="00F46D18"/>
  </w:style>
  <w:style w:type="character" w:customStyle="1" w:styleId="WW-Absatz-Standardschriftart1111">
    <w:name w:val="WW-Absatz-Standardschriftart1111"/>
    <w:rsid w:val="00F46D18"/>
  </w:style>
  <w:style w:type="character" w:customStyle="1" w:styleId="WW-Absatz-Standardschriftart11111">
    <w:name w:val="WW-Absatz-Standardschriftart11111"/>
    <w:rsid w:val="00F46D18"/>
  </w:style>
  <w:style w:type="character" w:customStyle="1" w:styleId="WW-Absatz-Standardschriftart111111">
    <w:name w:val="WW-Absatz-Standardschriftart111111"/>
    <w:rsid w:val="00F46D18"/>
  </w:style>
  <w:style w:type="character" w:customStyle="1" w:styleId="WW-Absatz-Standardschriftart1111111">
    <w:name w:val="WW-Absatz-Standardschriftart1111111"/>
    <w:rsid w:val="00F46D18"/>
  </w:style>
  <w:style w:type="character" w:customStyle="1" w:styleId="WW-Absatz-Standardschriftart11111111">
    <w:name w:val="WW-Absatz-Standardschriftart11111111"/>
    <w:rsid w:val="00F46D18"/>
  </w:style>
  <w:style w:type="character" w:customStyle="1" w:styleId="WW-Absatz-Standardschriftart111111111">
    <w:name w:val="WW-Absatz-Standardschriftart111111111"/>
    <w:rsid w:val="00F46D18"/>
  </w:style>
  <w:style w:type="character" w:customStyle="1" w:styleId="WW-Absatz-Standardschriftart1111111111">
    <w:name w:val="WW-Absatz-Standardschriftart1111111111"/>
    <w:rsid w:val="00F46D18"/>
  </w:style>
  <w:style w:type="character" w:customStyle="1" w:styleId="WW-Absatz-Standardschriftart11111111111">
    <w:name w:val="WW-Absatz-Standardschriftart11111111111"/>
    <w:rsid w:val="00F46D18"/>
  </w:style>
  <w:style w:type="character" w:customStyle="1" w:styleId="WW-Absatz-Standardschriftart111111111111">
    <w:name w:val="WW-Absatz-Standardschriftart111111111111"/>
    <w:rsid w:val="00F46D18"/>
  </w:style>
  <w:style w:type="character" w:customStyle="1" w:styleId="WW-Absatz-Standardschriftart1111111111111">
    <w:name w:val="WW-Absatz-Standardschriftart1111111111111"/>
    <w:rsid w:val="00F46D18"/>
  </w:style>
  <w:style w:type="character" w:customStyle="1" w:styleId="WW-Absatz-Standardschriftart11111111111111">
    <w:name w:val="WW-Absatz-Standardschriftart11111111111111"/>
    <w:rsid w:val="00F46D18"/>
  </w:style>
  <w:style w:type="character" w:customStyle="1" w:styleId="WW-Absatz-Standardschriftart111111111111111">
    <w:name w:val="WW-Absatz-Standardschriftart111111111111111"/>
    <w:rsid w:val="00F46D18"/>
  </w:style>
  <w:style w:type="character" w:customStyle="1" w:styleId="WW-Absatz-Standardschriftart1111111111111111">
    <w:name w:val="WW-Absatz-Standardschriftart1111111111111111"/>
    <w:rsid w:val="00F46D18"/>
  </w:style>
  <w:style w:type="character" w:customStyle="1" w:styleId="WW8Num1z0">
    <w:name w:val="WW8Num1z0"/>
    <w:rsid w:val="00F46D18"/>
    <w:rPr>
      <w:rFonts w:ascii="Symbol" w:eastAsia="Times New Roman" w:hAnsi="Symbol" w:cs="Times New Roman"/>
    </w:rPr>
  </w:style>
  <w:style w:type="character" w:customStyle="1" w:styleId="WW8Num1z1">
    <w:name w:val="WW8Num1z1"/>
    <w:rsid w:val="00F46D18"/>
    <w:rPr>
      <w:rFonts w:ascii="Courier New" w:hAnsi="Courier New" w:cs="Courier New"/>
    </w:rPr>
  </w:style>
  <w:style w:type="character" w:customStyle="1" w:styleId="WW8Num1z2">
    <w:name w:val="WW8Num1z2"/>
    <w:rsid w:val="00F46D18"/>
    <w:rPr>
      <w:rFonts w:ascii="Wingdings" w:hAnsi="Wingdings"/>
    </w:rPr>
  </w:style>
  <w:style w:type="character" w:customStyle="1" w:styleId="WW8Num1z3">
    <w:name w:val="WW8Num1z3"/>
    <w:rsid w:val="00F46D18"/>
    <w:rPr>
      <w:rFonts w:ascii="Symbol" w:hAnsi="Symbol"/>
    </w:rPr>
  </w:style>
  <w:style w:type="character" w:customStyle="1" w:styleId="NumberingSymbols">
    <w:name w:val="Numbering Symbols"/>
    <w:rsid w:val="00F46D18"/>
  </w:style>
  <w:style w:type="paragraph" w:customStyle="1" w:styleId="Heading">
    <w:name w:val="Heading"/>
    <w:basedOn w:val="Normal"/>
    <w:next w:val="BodyText"/>
    <w:rsid w:val="00F46D18"/>
    <w:pPr>
      <w:keepNext/>
      <w:spacing w:before="240" w:after="120"/>
    </w:pPr>
    <w:rPr>
      <w:rFonts w:ascii="Nimbus Sans L" w:eastAsia="DejaVu Sans" w:hAnsi="Nimbus Sans L" w:cs="DejaVu Sans"/>
      <w:sz w:val="28"/>
      <w:szCs w:val="28"/>
    </w:rPr>
  </w:style>
  <w:style w:type="paragraph" w:customStyle="1" w:styleId="Index">
    <w:name w:val="Index"/>
    <w:basedOn w:val="Normal"/>
    <w:rsid w:val="00F46D18"/>
    <w:pPr>
      <w:suppressLineNumbers/>
    </w:pPr>
  </w:style>
  <w:style w:type="paragraph" w:customStyle="1" w:styleId="TableContents">
    <w:name w:val="Table Contents"/>
    <w:basedOn w:val="Normal"/>
    <w:rsid w:val="00F46D18"/>
    <w:pPr>
      <w:suppressLineNumbers/>
    </w:pPr>
  </w:style>
  <w:style w:type="paragraph" w:customStyle="1" w:styleId="TableHeading">
    <w:name w:val="Table Heading"/>
    <w:basedOn w:val="TableContents"/>
    <w:rsid w:val="00F46D18"/>
    <w:pPr>
      <w:jc w:val="center"/>
    </w:pPr>
    <w:rPr>
      <w:b/>
      <w:bCs/>
    </w:rPr>
  </w:style>
  <w:style w:type="paragraph" w:customStyle="1" w:styleId="Framecontents">
    <w:name w:val="Frame contents"/>
    <w:basedOn w:val="BodyText"/>
    <w:rsid w:val="00F46D18"/>
  </w:style>
  <w:style w:type="paragraph" w:customStyle="1" w:styleId="Text">
    <w:name w:val="Text"/>
    <w:basedOn w:val="Normal"/>
    <w:rsid w:val="00F46D18"/>
    <w:pPr>
      <w:autoSpaceDE w:val="0"/>
      <w:spacing w:line="252" w:lineRule="auto"/>
      <w:ind w:firstLine="202"/>
    </w:pPr>
    <w:rPr>
      <w:rFonts w:eastAsia="PMingLiU"/>
      <w:kern w:val="1"/>
      <w:sz w:val="20"/>
      <w:szCs w:val="20"/>
    </w:rPr>
  </w:style>
  <w:style w:type="character" w:customStyle="1" w:styleId="HeaderChar">
    <w:name w:val="Header Char"/>
    <w:link w:val="Header"/>
    <w:rsid w:val="00F46D18"/>
    <w:rPr>
      <w:sz w:val="24"/>
      <w:szCs w:val="24"/>
      <w:lang w:eastAsia="ar-SA"/>
    </w:rPr>
  </w:style>
  <w:style w:type="character" w:customStyle="1" w:styleId="UnresolvedMention1">
    <w:name w:val="Unresolved Mention1"/>
    <w:uiPriority w:val="99"/>
    <w:semiHidden/>
    <w:unhideWhenUsed/>
    <w:rsid w:val="00F46D18"/>
    <w:rPr>
      <w:color w:val="605E5C"/>
      <w:shd w:val="clear" w:color="auto" w:fill="E1DFDD"/>
    </w:rPr>
  </w:style>
  <w:style w:type="character" w:customStyle="1" w:styleId="BalloonTextChar">
    <w:name w:val="Balloon Text Char"/>
    <w:basedOn w:val="DefaultParagraphFont"/>
    <w:link w:val="BalloonText"/>
    <w:uiPriority w:val="99"/>
    <w:semiHidden/>
    <w:rsid w:val="00F46D18"/>
    <w:rPr>
      <w:rFonts w:ascii="Tahoma" w:hAnsi="Tahoma" w:cs="Tahoma"/>
      <w:sz w:val="16"/>
      <w:szCs w:val="16"/>
      <w:lang w:eastAsia="ar-SA"/>
    </w:rPr>
  </w:style>
  <w:style w:type="character" w:customStyle="1" w:styleId="UnresolvedMention">
    <w:name w:val="Unresolved Mention"/>
    <w:basedOn w:val="DefaultParagraphFont"/>
    <w:uiPriority w:val="99"/>
    <w:semiHidden/>
    <w:unhideWhenUsed/>
    <w:rsid w:val="00E13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webSettings" Target="webSettings.xml"/><Relationship Id="rId12" Type="http://schemas.openxmlformats.org/officeDocument/2006/relationships/hyperlink" Target="http://www.dx.doi.org/10.7537/marsnys140821.01" TargetMode="External"/><Relationship Id="rId17" Type="http://schemas.openxmlformats.org/officeDocument/2006/relationships/footer" Target="footer3.xml"/><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4.emf"/><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iencepub.net/newyork" TargetMode="External"/><Relationship Id="rId24" Type="http://schemas.openxmlformats.org/officeDocument/2006/relationships/image" Target="media/image8.png"/><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hyperlink" Target="mailto:mohamed.abdelwahaab@hotmail.com" TargetMode="External"/><Relationship Id="rId19" Type="http://schemas.openxmlformats.org/officeDocument/2006/relationships/image" Target="media/image3.emf"/><Relationship Id="rId31" Type="http://schemas.openxmlformats.org/officeDocument/2006/relationships/hyperlink" Target="mailto:mohamed.abdelwahaab@hotmail.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6.emf"/><Relationship Id="rId27" Type="http://schemas.openxmlformats.org/officeDocument/2006/relationships/image" Target="media/image11.png"/><Relationship Id="rId30"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B1BDD9-9366-4050-8C3F-6AF7BB8E6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3100</Words>
  <Characters>17673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20732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hp1</cp:lastModifiedBy>
  <cp:revision>2</cp:revision>
  <cp:lastPrinted>2021-08-16T09:51:00Z</cp:lastPrinted>
  <dcterms:created xsi:type="dcterms:W3CDTF">2021-08-22T21:20:00Z</dcterms:created>
  <dcterms:modified xsi:type="dcterms:W3CDTF">2021-08-22T21:20:00Z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