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EC7" w:rsidRDefault="00E34EC7" w:rsidP="0040199E">
      <w:pPr>
        <w:adjustRightInd w:val="0"/>
        <w:snapToGrid w:val="0"/>
        <w:spacing w:after="0" w:line="240" w:lineRule="auto"/>
        <w:jc w:val="center"/>
        <w:rPr>
          <w:b/>
          <w:sz w:val="20"/>
          <w:szCs w:val="20"/>
        </w:rPr>
      </w:pPr>
    </w:p>
    <w:p w:rsidR="00E34EC7" w:rsidRDefault="00684B14" w:rsidP="0040199E">
      <w:pPr>
        <w:adjustRightInd w:val="0"/>
        <w:snapToGrid w:val="0"/>
        <w:spacing w:after="0" w:line="240" w:lineRule="auto"/>
        <w:jc w:val="center"/>
        <w:rPr>
          <w:b/>
          <w:sz w:val="20"/>
          <w:szCs w:val="20"/>
        </w:rPr>
      </w:pPr>
      <w:r>
        <w:rPr>
          <w:b/>
          <w:sz w:val="20"/>
          <w:szCs w:val="20"/>
        </w:rPr>
        <w:t>Electroencephalographic and electromyographic activity changes after a single bout of aerobic exercise in children with attention deficit hyperactivity disorder</w:t>
      </w:r>
    </w:p>
    <w:p w:rsidR="00E34EC7" w:rsidRDefault="00E34EC7" w:rsidP="0040199E">
      <w:pPr>
        <w:adjustRightInd w:val="0"/>
        <w:snapToGrid w:val="0"/>
        <w:spacing w:after="0" w:line="240" w:lineRule="auto"/>
        <w:jc w:val="center"/>
        <w:rPr>
          <w:sz w:val="20"/>
          <w:szCs w:val="20"/>
          <w:lang w:eastAsia="zh-CN"/>
        </w:rPr>
      </w:pPr>
    </w:p>
    <w:p w:rsidR="00E34EC7" w:rsidRDefault="00684B14" w:rsidP="0040199E">
      <w:pPr>
        <w:adjustRightInd w:val="0"/>
        <w:snapToGrid w:val="0"/>
        <w:spacing w:after="0" w:line="240" w:lineRule="auto"/>
        <w:jc w:val="center"/>
        <w:rPr>
          <w:sz w:val="20"/>
          <w:szCs w:val="20"/>
          <w:vertAlign w:val="superscript"/>
        </w:rPr>
      </w:pPr>
      <w:r>
        <w:rPr>
          <w:sz w:val="20"/>
          <w:szCs w:val="20"/>
        </w:rPr>
        <w:t xml:space="preserve">Essam Abdelazem Gad </w:t>
      </w:r>
      <w:r>
        <w:rPr>
          <w:sz w:val="20"/>
          <w:szCs w:val="20"/>
          <w:vertAlign w:val="superscript"/>
        </w:rPr>
        <w:t>1</w:t>
      </w:r>
      <w:r>
        <w:rPr>
          <w:sz w:val="20"/>
          <w:szCs w:val="20"/>
        </w:rPr>
        <w:t>, Prof Dr.</w:t>
      </w:r>
      <w:r>
        <w:rPr>
          <w:rFonts w:hint="eastAsia"/>
          <w:sz w:val="20"/>
          <w:szCs w:val="20"/>
          <w:lang w:eastAsia="zh-CN"/>
        </w:rPr>
        <w:t xml:space="preserve"> </w:t>
      </w:r>
      <w:r>
        <w:rPr>
          <w:sz w:val="20"/>
          <w:szCs w:val="20"/>
        </w:rPr>
        <w:t xml:space="preserve">Manal Salah Abdelwahab </w:t>
      </w:r>
      <w:r>
        <w:rPr>
          <w:sz w:val="20"/>
          <w:szCs w:val="20"/>
          <w:vertAlign w:val="superscript"/>
        </w:rPr>
        <w:t>2</w:t>
      </w:r>
    </w:p>
    <w:p w:rsidR="00E34EC7" w:rsidRDefault="00E34EC7" w:rsidP="0040199E">
      <w:pPr>
        <w:adjustRightInd w:val="0"/>
        <w:snapToGrid w:val="0"/>
        <w:spacing w:after="0" w:line="240" w:lineRule="auto"/>
        <w:jc w:val="center"/>
        <w:rPr>
          <w:sz w:val="20"/>
          <w:szCs w:val="20"/>
          <w:vertAlign w:val="superscript"/>
        </w:rPr>
      </w:pPr>
    </w:p>
    <w:p w:rsidR="00E34EC7" w:rsidRDefault="00684B14" w:rsidP="0040199E">
      <w:pPr>
        <w:adjustRightInd w:val="0"/>
        <w:snapToGrid w:val="0"/>
        <w:spacing w:after="0" w:line="240" w:lineRule="auto"/>
        <w:ind w:left="720"/>
        <w:jc w:val="center"/>
        <w:rPr>
          <w:sz w:val="20"/>
          <w:szCs w:val="20"/>
        </w:rPr>
      </w:pPr>
      <w:r>
        <w:rPr>
          <w:sz w:val="20"/>
          <w:szCs w:val="20"/>
          <w:vertAlign w:val="superscript"/>
        </w:rPr>
        <w:t>1</w:t>
      </w:r>
      <w:r>
        <w:rPr>
          <w:sz w:val="20"/>
          <w:szCs w:val="20"/>
        </w:rPr>
        <w:t>B.Sc. in Physical Therapy, Faculty of Physical Therapy Cairo University, Egypt.</w:t>
      </w:r>
    </w:p>
    <w:p w:rsidR="00E34EC7" w:rsidRDefault="00684B14" w:rsidP="0040199E">
      <w:pPr>
        <w:adjustRightInd w:val="0"/>
        <w:snapToGrid w:val="0"/>
        <w:spacing w:after="0" w:line="240" w:lineRule="auto"/>
        <w:ind w:left="720"/>
        <w:jc w:val="center"/>
        <w:rPr>
          <w:sz w:val="20"/>
          <w:szCs w:val="20"/>
        </w:rPr>
      </w:pPr>
      <w:r>
        <w:rPr>
          <w:sz w:val="20"/>
          <w:szCs w:val="20"/>
          <w:vertAlign w:val="superscript"/>
        </w:rPr>
        <w:t>2</w:t>
      </w:r>
      <w:r>
        <w:rPr>
          <w:sz w:val="20"/>
          <w:szCs w:val="20"/>
        </w:rPr>
        <w:t>Professor of Physical Therapy for Pediatric, Faculty of Physical Therapy, Cairo University, Egypt.</w:t>
      </w:r>
    </w:p>
    <w:p w:rsidR="00E34EC7" w:rsidRDefault="00684B14" w:rsidP="0040199E">
      <w:pPr>
        <w:adjustRightInd w:val="0"/>
        <w:snapToGrid w:val="0"/>
        <w:spacing w:after="0" w:line="240" w:lineRule="auto"/>
        <w:jc w:val="center"/>
        <w:rPr>
          <w:sz w:val="20"/>
          <w:szCs w:val="20"/>
          <w:lang w:val="de-DE"/>
        </w:rPr>
      </w:pPr>
      <w:r>
        <w:rPr>
          <w:sz w:val="20"/>
          <w:szCs w:val="20"/>
          <w:lang w:val="de-DE"/>
        </w:rPr>
        <w:t xml:space="preserve">E-mail: </w:t>
      </w:r>
      <w:hyperlink r:id="rId8" w:history="1">
        <w:r>
          <w:rPr>
            <w:rStyle w:val="Hyperlink"/>
            <w:sz w:val="20"/>
            <w:szCs w:val="20"/>
            <w:lang w:val="de-DE"/>
          </w:rPr>
          <w:t>essamgad1978@gmail.com</w:t>
        </w:r>
      </w:hyperlink>
      <w:r>
        <w:rPr>
          <w:sz w:val="20"/>
          <w:szCs w:val="20"/>
          <w:lang w:val="de-DE"/>
        </w:rPr>
        <w:t xml:space="preserve"> </w:t>
      </w:r>
    </w:p>
    <w:p w:rsidR="00E34EC7" w:rsidRDefault="00E34EC7" w:rsidP="0040199E">
      <w:pPr>
        <w:adjustRightInd w:val="0"/>
        <w:snapToGrid w:val="0"/>
        <w:spacing w:after="0" w:line="240" w:lineRule="auto"/>
        <w:jc w:val="both"/>
        <w:rPr>
          <w:b/>
          <w:sz w:val="20"/>
          <w:szCs w:val="20"/>
          <w:lang w:val="de-DE"/>
        </w:rPr>
      </w:pPr>
    </w:p>
    <w:p w:rsidR="00E34EC7" w:rsidRDefault="00684B14" w:rsidP="0040199E">
      <w:pPr>
        <w:adjustRightInd w:val="0"/>
        <w:snapToGrid w:val="0"/>
        <w:spacing w:after="0" w:line="240" w:lineRule="auto"/>
        <w:jc w:val="both"/>
        <w:rPr>
          <w:sz w:val="20"/>
          <w:szCs w:val="20"/>
          <w:lang w:eastAsia="zh-CN"/>
        </w:rPr>
      </w:pPr>
      <w:r>
        <w:rPr>
          <w:b/>
          <w:sz w:val="20"/>
          <w:szCs w:val="20"/>
        </w:rPr>
        <w:t xml:space="preserve">Abstract: </w:t>
      </w:r>
      <w:r>
        <w:rPr>
          <w:b/>
          <w:bCs/>
          <w:sz w:val="20"/>
          <w:szCs w:val="20"/>
        </w:rPr>
        <w:t>Background</w:t>
      </w:r>
      <w:r>
        <w:rPr>
          <w:sz w:val="20"/>
          <w:szCs w:val="20"/>
        </w:rPr>
        <w:t xml:space="preserve">: Exercises are extensively studied as a non pharmacological treatment of attention deficit hyperactive disorder to alleviate   inattention, hyperactivity and impulsivity. </w:t>
      </w:r>
      <w:r>
        <w:rPr>
          <w:b/>
          <w:bCs/>
          <w:sz w:val="20"/>
          <w:szCs w:val="20"/>
        </w:rPr>
        <w:t>Objective</w:t>
      </w:r>
      <w:r>
        <w:rPr>
          <w:sz w:val="20"/>
          <w:szCs w:val="20"/>
        </w:rPr>
        <w:t>: The current study assessed the effects of a single bout exercise on brain waves related executive function (attention control ) and hyper activity in ADHD patients.</w:t>
      </w:r>
      <w:r w:rsidR="0040199E">
        <w:rPr>
          <w:rFonts w:hint="eastAsia"/>
          <w:sz w:val="20"/>
          <w:szCs w:val="20"/>
          <w:lang w:eastAsia="zh-CN"/>
        </w:rPr>
        <w:t xml:space="preserve"> </w:t>
      </w:r>
      <w:r>
        <w:rPr>
          <w:b/>
          <w:bCs/>
          <w:sz w:val="20"/>
          <w:szCs w:val="20"/>
        </w:rPr>
        <w:t>Design</w:t>
      </w:r>
      <w:r>
        <w:rPr>
          <w:sz w:val="20"/>
          <w:szCs w:val="20"/>
        </w:rPr>
        <w:t xml:space="preserve">: within subject design. </w:t>
      </w:r>
      <w:r>
        <w:rPr>
          <w:b/>
          <w:bCs/>
          <w:sz w:val="20"/>
          <w:szCs w:val="20"/>
        </w:rPr>
        <w:t>Methods</w:t>
      </w:r>
      <w:r>
        <w:rPr>
          <w:sz w:val="20"/>
          <w:szCs w:val="20"/>
        </w:rPr>
        <w:t xml:space="preserve">: 25 child were diagnosed as ADHD tested by single channel EEG / EMG biofeedback unit pre and post a single bout of moderate aerobic exercise for 10 minutes, THETA / BETA ratio as indicator of executive function and EMG as indicator of hyper activity were collected and statistical analysis was done to investigate the effect of exercise on EEG and EMG activities. </w:t>
      </w:r>
      <w:r>
        <w:rPr>
          <w:b/>
          <w:bCs/>
          <w:sz w:val="20"/>
          <w:szCs w:val="20"/>
        </w:rPr>
        <w:t>Results</w:t>
      </w:r>
      <w:r>
        <w:rPr>
          <w:sz w:val="20"/>
          <w:szCs w:val="20"/>
        </w:rPr>
        <w:t>: Acute exercise decrease the amplitude of theta band frequency and increase the amplitude of beta band frequency resulting in decrease of theta/beta amplitude ratio  and decrease the EMG activity.</w:t>
      </w:r>
      <w:r w:rsidR="00420420">
        <w:rPr>
          <w:rFonts w:hint="eastAsia"/>
          <w:sz w:val="20"/>
          <w:szCs w:val="20"/>
          <w:lang w:eastAsia="zh-CN"/>
        </w:rPr>
        <w:t xml:space="preserve"> </w:t>
      </w:r>
      <w:r>
        <w:rPr>
          <w:b/>
          <w:bCs/>
          <w:sz w:val="20"/>
          <w:szCs w:val="20"/>
        </w:rPr>
        <w:t>Conclusion</w:t>
      </w:r>
      <w:r>
        <w:rPr>
          <w:sz w:val="20"/>
          <w:szCs w:val="20"/>
        </w:rPr>
        <w:t xml:space="preserve">: These findings suggest that a single bout of aerobic exercise improves attention control and decreases hyperactivity in ADHD. </w:t>
      </w:r>
      <w:r>
        <w:rPr>
          <w:b/>
          <w:bCs/>
          <w:sz w:val="20"/>
          <w:szCs w:val="20"/>
        </w:rPr>
        <w:t xml:space="preserve">Recommendations: </w:t>
      </w:r>
      <w:r w:rsidR="00420420" w:rsidRPr="00420420">
        <w:rPr>
          <w:rFonts w:hint="eastAsia"/>
          <w:bCs/>
          <w:sz w:val="20"/>
          <w:szCs w:val="20"/>
          <w:lang w:eastAsia="zh-CN"/>
        </w:rPr>
        <w:t>T</w:t>
      </w:r>
      <w:r>
        <w:rPr>
          <w:sz w:val="20"/>
          <w:szCs w:val="20"/>
        </w:rPr>
        <w:t>o conduct therapeutic exercise sessions for children with ADHD as part of their treatment plan before school and even during school hours as a method of temporarily increasing students' concentrat</w:t>
      </w:r>
      <w:r w:rsidR="0040199E">
        <w:rPr>
          <w:sz w:val="20"/>
          <w:szCs w:val="20"/>
        </w:rPr>
        <w:t>ion and reducing hyperactivity.</w:t>
      </w:r>
    </w:p>
    <w:p w:rsidR="00E34EC7" w:rsidRDefault="00684B14" w:rsidP="0040199E">
      <w:pPr>
        <w:adjustRightInd w:val="0"/>
        <w:snapToGrid w:val="0"/>
        <w:spacing w:after="0" w:line="240" w:lineRule="auto"/>
        <w:rPr>
          <w:color w:val="3A42EF"/>
          <w:sz w:val="20"/>
          <w:szCs w:val="20"/>
          <w:u w:val="single"/>
          <w:shd w:val="clear" w:color="auto" w:fill="FFFFFF"/>
        </w:rPr>
      </w:pPr>
      <w:r>
        <w:rPr>
          <w:sz w:val="20"/>
          <w:szCs w:val="20"/>
        </w:rPr>
        <w:t>[Essam Abdelazem Gad, Manal Salah Abdelwahab</w:t>
      </w:r>
      <w:r w:rsidR="0040199E">
        <w:rPr>
          <w:rFonts w:hint="eastAsia"/>
          <w:sz w:val="20"/>
          <w:szCs w:val="20"/>
          <w:lang w:eastAsia="zh-CN"/>
        </w:rPr>
        <w:t>.</w:t>
      </w:r>
      <w:r>
        <w:rPr>
          <w:sz w:val="20"/>
          <w:szCs w:val="20"/>
        </w:rPr>
        <w:t xml:space="preserve"> </w:t>
      </w:r>
      <w:r>
        <w:rPr>
          <w:b/>
          <w:sz w:val="20"/>
          <w:szCs w:val="20"/>
        </w:rPr>
        <w:t>Electroencephalographic and electromyographic activity changes after a single bout of aerobic exercise in children with attention deficit hyperactivity disorder</w:t>
      </w:r>
      <w:r>
        <w:rPr>
          <w:sz w:val="20"/>
          <w:szCs w:val="20"/>
        </w:rPr>
        <w:t xml:space="preserve">. </w:t>
      </w:r>
      <w:r>
        <w:rPr>
          <w:rFonts w:eastAsia="Times New Roman"/>
          <w:bCs/>
          <w:i/>
          <w:sz w:val="20"/>
          <w:szCs w:val="20"/>
        </w:rPr>
        <w:t>N Y Sci J</w:t>
      </w:r>
      <w:r w:rsidR="0040199E">
        <w:rPr>
          <w:rFonts w:eastAsiaTheme="minorEastAsia" w:hint="eastAsia"/>
          <w:bCs/>
          <w:i/>
          <w:sz w:val="20"/>
          <w:szCs w:val="20"/>
          <w:lang w:eastAsia="zh-CN"/>
        </w:rPr>
        <w:t xml:space="preserve"> </w:t>
      </w:r>
      <w:r>
        <w:rPr>
          <w:sz w:val="20"/>
          <w:szCs w:val="20"/>
        </w:rPr>
        <w:t>20</w:t>
      </w:r>
      <w:r>
        <w:rPr>
          <w:sz w:val="20"/>
          <w:szCs w:val="20"/>
          <w:lang w:eastAsia="zh-CN"/>
        </w:rPr>
        <w:t>21</w:t>
      </w:r>
      <w:r>
        <w:rPr>
          <w:sz w:val="20"/>
          <w:szCs w:val="20"/>
        </w:rPr>
        <w:t>;1</w:t>
      </w:r>
      <w:r>
        <w:rPr>
          <w:sz w:val="20"/>
          <w:szCs w:val="20"/>
          <w:lang w:eastAsia="zh-CN"/>
        </w:rPr>
        <w:t>4</w:t>
      </w:r>
      <w:r>
        <w:rPr>
          <w:iCs/>
          <w:color w:val="000000"/>
          <w:sz w:val="20"/>
          <w:szCs w:val="20"/>
          <w:lang w:eastAsia="zh-CN"/>
        </w:rPr>
        <w:t>(</w:t>
      </w:r>
      <w:r>
        <w:rPr>
          <w:rFonts w:hint="eastAsia"/>
          <w:sz w:val="20"/>
          <w:szCs w:val="20"/>
          <w:lang w:eastAsia="zh-CN"/>
        </w:rPr>
        <w:t>8</w:t>
      </w:r>
      <w:r>
        <w:rPr>
          <w:sz w:val="20"/>
          <w:szCs w:val="20"/>
        </w:rPr>
        <w:t>):</w:t>
      </w:r>
      <w:r>
        <w:rPr>
          <w:rFonts w:hint="eastAsia"/>
          <w:sz w:val="20"/>
          <w:szCs w:val="20"/>
          <w:lang w:eastAsia="zh-CN"/>
        </w:rPr>
        <w:t>3</w:t>
      </w:r>
      <w:r w:rsidR="0040199E">
        <w:rPr>
          <w:rFonts w:hint="eastAsia"/>
          <w:sz w:val="20"/>
          <w:szCs w:val="20"/>
          <w:lang w:eastAsia="zh-CN"/>
        </w:rPr>
        <w:t>4</w:t>
      </w:r>
      <w:r>
        <w:rPr>
          <w:sz w:val="20"/>
          <w:szCs w:val="20"/>
          <w:lang w:eastAsia="zh-CN"/>
        </w:rPr>
        <w:t>-</w:t>
      </w:r>
      <w:r w:rsidR="0040199E">
        <w:rPr>
          <w:rFonts w:hint="eastAsia"/>
          <w:sz w:val="20"/>
          <w:szCs w:val="20"/>
          <w:lang w:eastAsia="zh-CN"/>
        </w:rPr>
        <w:t>40</w:t>
      </w:r>
      <w:r>
        <w:rPr>
          <w:sz w:val="20"/>
          <w:szCs w:val="20"/>
        </w:rPr>
        <w:t>]</w:t>
      </w:r>
      <w:r w:rsidR="0040199E">
        <w:rPr>
          <w:rFonts w:hint="eastAsia"/>
          <w:sz w:val="20"/>
          <w:szCs w:val="20"/>
          <w:lang w:eastAsia="zh-CN"/>
        </w:rPr>
        <w:t xml:space="preserve">. </w:t>
      </w:r>
      <w:r>
        <w:rPr>
          <w:iCs/>
          <w:color w:val="000000"/>
          <w:sz w:val="20"/>
          <w:szCs w:val="20"/>
          <w:lang w:eastAsia="zh-CN"/>
        </w:rPr>
        <w:t>ISSN</w:t>
      </w:r>
      <w:r w:rsidR="0040199E">
        <w:rPr>
          <w:rFonts w:hint="eastAsia"/>
          <w:iCs/>
          <w:color w:val="000000"/>
          <w:sz w:val="20"/>
          <w:szCs w:val="20"/>
          <w:lang w:eastAsia="zh-CN"/>
        </w:rPr>
        <w:t xml:space="preserve"> </w:t>
      </w:r>
      <w:r>
        <w:rPr>
          <w:iCs/>
          <w:color w:val="000000"/>
          <w:sz w:val="20"/>
          <w:szCs w:val="20"/>
          <w:lang w:eastAsia="zh-CN"/>
        </w:rPr>
        <w:t>1554-0200</w:t>
      </w:r>
      <w:r w:rsidR="0040199E">
        <w:rPr>
          <w:rFonts w:hint="eastAsia"/>
          <w:iCs/>
          <w:color w:val="000000"/>
          <w:sz w:val="20"/>
          <w:szCs w:val="20"/>
          <w:lang w:eastAsia="zh-CN"/>
        </w:rPr>
        <w:t xml:space="preserve"> </w:t>
      </w:r>
      <w:r>
        <w:rPr>
          <w:iCs/>
          <w:color w:val="000000"/>
          <w:sz w:val="20"/>
          <w:szCs w:val="20"/>
          <w:lang w:eastAsia="zh-CN"/>
        </w:rPr>
        <w:t>(print);</w:t>
      </w:r>
      <w:r w:rsidR="0040199E">
        <w:rPr>
          <w:rFonts w:hint="eastAsia"/>
          <w:iCs/>
          <w:color w:val="000000"/>
          <w:sz w:val="20"/>
          <w:szCs w:val="20"/>
          <w:lang w:eastAsia="zh-CN"/>
        </w:rPr>
        <w:t xml:space="preserve"> </w:t>
      </w:r>
      <w:r>
        <w:rPr>
          <w:iCs/>
          <w:color w:val="000000"/>
          <w:sz w:val="20"/>
          <w:szCs w:val="20"/>
          <w:lang w:eastAsia="zh-CN"/>
        </w:rPr>
        <w:t>ISSN</w:t>
      </w:r>
      <w:r w:rsidR="0040199E">
        <w:rPr>
          <w:rFonts w:hint="eastAsia"/>
          <w:iCs/>
          <w:color w:val="000000"/>
          <w:sz w:val="20"/>
          <w:szCs w:val="20"/>
          <w:lang w:eastAsia="zh-CN"/>
        </w:rPr>
        <w:t xml:space="preserve"> </w:t>
      </w:r>
      <w:r>
        <w:rPr>
          <w:iCs/>
          <w:color w:val="000000"/>
          <w:sz w:val="20"/>
          <w:szCs w:val="20"/>
          <w:lang w:eastAsia="zh-CN"/>
        </w:rPr>
        <w:t>2375-723X</w:t>
      </w:r>
      <w:r w:rsidR="0040199E">
        <w:rPr>
          <w:rFonts w:hint="eastAsia"/>
          <w:iCs/>
          <w:color w:val="000000"/>
          <w:sz w:val="20"/>
          <w:szCs w:val="20"/>
          <w:lang w:eastAsia="zh-CN"/>
        </w:rPr>
        <w:t xml:space="preserve"> </w:t>
      </w:r>
      <w:r>
        <w:rPr>
          <w:iCs/>
          <w:color w:val="000000"/>
          <w:sz w:val="20"/>
          <w:szCs w:val="20"/>
          <w:lang w:eastAsia="zh-CN"/>
        </w:rPr>
        <w:t>(online)</w:t>
      </w:r>
      <w:r w:rsidR="0040199E">
        <w:rPr>
          <w:rFonts w:hint="eastAsia"/>
          <w:iCs/>
          <w:color w:val="000000"/>
          <w:sz w:val="20"/>
          <w:szCs w:val="20"/>
          <w:lang w:eastAsia="zh-CN"/>
        </w:rPr>
        <w:t xml:space="preserve">. </w:t>
      </w:r>
      <w:hyperlink r:id="rId9" w:history="1">
        <w:r>
          <w:rPr>
            <w:rStyle w:val="Hyperlink"/>
            <w:sz w:val="20"/>
            <w:szCs w:val="20"/>
          </w:rPr>
          <w:t>http://www.sciencepub.net/newyork</w:t>
        </w:r>
      </w:hyperlink>
      <w:r>
        <w:rPr>
          <w:color w:val="0000FF"/>
          <w:sz w:val="20"/>
          <w:szCs w:val="20"/>
          <w:lang w:eastAsia="zh-CN"/>
        </w:rPr>
        <w:t>.</w:t>
      </w:r>
      <w:r w:rsidR="0040199E">
        <w:rPr>
          <w:rFonts w:hint="eastAsia"/>
          <w:color w:val="0000FF"/>
          <w:sz w:val="20"/>
          <w:szCs w:val="20"/>
          <w:lang w:eastAsia="zh-CN"/>
        </w:rPr>
        <w:t xml:space="preserve"> </w:t>
      </w:r>
      <w:r>
        <w:rPr>
          <w:rFonts w:hint="eastAsia"/>
          <w:sz w:val="20"/>
          <w:szCs w:val="20"/>
          <w:lang w:eastAsia="zh-CN"/>
        </w:rPr>
        <w:t>6</w:t>
      </w:r>
      <w:r>
        <w:rPr>
          <w:color w:val="0000FF"/>
          <w:sz w:val="20"/>
          <w:szCs w:val="20"/>
        </w:rPr>
        <w:t>.</w:t>
      </w:r>
      <w:r w:rsidR="0040199E">
        <w:rPr>
          <w:rFonts w:hint="eastAsia"/>
          <w:color w:val="0000FF"/>
          <w:sz w:val="20"/>
          <w:szCs w:val="20"/>
          <w:lang w:eastAsia="zh-CN"/>
        </w:rPr>
        <w:t xml:space="preserve"> </w:t>
      </w:r>
      <w:r>
        <w:rPr>
          <w:color w:val="3A42EF"/>
          <w:sz w:val="20"/>
          <w:szCs w:val="20"/>
          <w:u w:val="single"/>
          <w:shd w:val="clear" w:color="auto" w:fill="FFFFFF"/>
        </w:rPr>
        <w:t>doi:</w:t>
      </w:r>
      <w:hyperlink r:id="rId10" w:history="1">
        <w:r>
          <w:rPr>
            <w:rStyle w:val="Hyperlink"/>
            <w:sz w:val="20"/>
            <w:szCs w:val="20"/>
            <w:shd w:val="clear" w:color="auto" w:fill="FFFFFF"/>
          </w:rPr>
          <w:t>10.7537/marsnys140821.06.</w:t>
        </w:r>
      </w:hyperlink>
    </w:p>
    <w:p w:rsidR="00E34EC7" w:rsidRDefault="00E34EC7" w:rsidP="0040199E">
      <w:pPr>
        <w:adjustRightInd w:val="0"/>
        <w:snapToGrid w:val="0"/>
        <w:spacing w:after="0" w:line="240" w:lineRule="auto"/>
        <w:rPr>
          <w:color w:val="3A42EF"/>
          <w:sz w:val="20"/>
          <w:szCs w:val="20"/>
          <w:u w:val="single"/>
          <w:shd w:val="clear" w:color="auto" w:fill="FFFFFF"/>
        </w:rPr>
      </w:pPr>
    </w:p>
    <w:p w:rsidR="00E34EC7" w:rsidRDefault="00684B14" w:rsidP="0040199E">
      <w:pPr>
        <w:adjustRightInd w:val="0"/>
        <w:snapToGrid w:val="0"/>
        <w:spacing w:after="0" w:line="240" w:lineRule="auto"/>
        <w:jc w:val="both"/>
        <w:rPr>
          <w:sz w:val="20"/>
          <w:szCs w:val="20"/>
        </w:rPr>
      </w:pPr>
      <w:r>
        <w:rPr>
          <w:b/>
          <w:sz w:val="20"/>
          <w:szCs w:val="20"/>
        </w:rPr>
        <w:t xml:space="preserve">Keywords: </w:t>
      </w:r>
      <w:r>
        <w:rPr>
          <w:sz w:val="20"/>
          <w:szCs w:val="20"/>
        </w:rPr>
        <w:t>Electromyography; Electroencephalography</w:t>
      </w:r>
      <w:r w:rsidR="00420420">
        <w:rPr>
          <w:sz w:val="20"/>
          <w:szCs w:val="20"/>
        </w:rPr>
        <w:t>;</w:t>
      </w:r>
      <w:r>
        <w:rPr>
          <w:sz w:val="20"/>
          <w:szCs w:val="20"/>
        </w:rPr>
        <w:t xml:space="preserve"> Exercise; Theta/beta ratio</w:t>
      </w:r>
      <w:r w:rsidR="00420420">
        <w:rPr>
          <w:sz w:val="20"/>
          <w:szCs w:val="20"/>
        </w:rPr>
        <w:t>;</w:t>
      </w:r>
      <w:r>
        <w:rPr>
          <w:sz w:val="20"/>
          <w:szCs w:val="20"/>
        </w:rPr>
        <w:t xml:space="preserve"> ADHD</w:t>
      </w:r>
      <w:r w:rsidR="00420420">
        <w:rPr>
          <w:sz w:val="20"/>
          <w:szCs w:val="20"/>
        </w:rPr>
        <w:t>.</w:t>
      </w:r>
    </w:p>
    <w:p w:rsidR="00E34EC7" w:rsidRDefault="00E34EC7" w:rsidP="0040199E">
      <w:pPr>
        <w:adjustRightInd w:val="0"/>
        <w:snapToGrid w:val="0"/>
        <w:spacing w:after="0" w:line="240" w:lineRule="auto"/>
        <w:jc w:val="both"/>
        <w:rPr>
          <w:sz w:val="20"/>
          <w:szCs w:val="20"/>
        </w:rPr>
      </w:pPr>
    </w:p>
    <w:p w:rsidR="00E34EC7" w:rsidRDefault="00E34EC7" w:rsidP="0040199E">
      <w:pPr>
        <w:adjustRightInd w:val="0"/>
        <w:snapToGrid w:val="0"/>
        <w:spacing w:after="0" w:line="240" w:lineRule="auto"/>
        <w:jc w:val="both"/>
        <w:rPr>
          <w:b/>
          <w:sz w:val="20"/>
          <w:szCs w:val="20"/>
        </w:rPr>
        <w:sectPr w:rsidR="00E34EC7" w:rsidSect="0040199E">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34"/>
          <w:cols w:space="720"/>
          <w:titlePg/>
          <w:docGrid w:linePitch="360"/>
        </w:sectPr>
      </w:pPr>
    </w:p>
    <w:p w:rsidR="00E34EC7" w:rsidRDefault="00684B14" w:rsidP="0040199E">
      <w:pPr>
        <w:adjustRightInd w:val="0"/>
        <w:snapToGrid w:val="0"/>
        <w:spacing w:after="0" w:line="240" w:lineRule="auto"/>
        <w:jc w:val="both"/>
        <w:rPr>
          <w:b/>
          <w:sz w:val="20"/>
          <w:szCs w:val="20"/>
        </w:rPr>
      </w:pPr>
      <w:r>
        <w:rPr>
          <w:b/>
          <w:sz w:val="20"/>
          <w:szCs w:val="20"/>
        </w:rPr>
        <w:lastRenderedPageBreak/>
        <w:t>1. Introduction</w:t>
      </w:r>
    </w:p>
    <w:p w:rsidR="00E34EC7" w:rsidRDefault="00684B14" w:rsidP="0040199E">
      <w:pPr>
        <w:adjustRightInd w:val="0"/>
        <w:snapToGrid w:val="0"/>
        <w:spacing w:after="0" w:line="240" w:lineRule="auto"/>
        <w:ind w:firstLine="426"/>
        <w:jc w:val="both"/>
        <w:rPr>
          <w:sz w:val="20"/>
          <w:szCs w:val="20"/>
        </w:rPr>
      </w:pPr>
      <w:r>
        <w:rPr>
          <w:sz w:val="20"/>
          <w:szCs w:val="20"/>
        </w:rPr>
        <w:t xml:space="preserve">Attention deficit hyperactivity disorder (ADHD) is a debilitating neurodevelopmental disorder characterised by developmentally abnormal signs of inattention </w:t>
      </w:r>
      <w:r w:rsidR="00420420">
        <w:rPr>
          <w:sz w:val="20"/>
          <w:szCs w:val="20"/>
        </w:rPr>
        <w:t>, impulsivity and hyperactivity</w:t>
      </w:r>
      <w:r>
        <w:rPr>
          <w:sz w:val="20"/>
          <w:szCs w:val="20"/>
        </w:rPr>
        <w:t>.</w:t>
      </w:r>
    </w:p>
    <w:p w:rsidR="00E34EC7" w:rsidRDefault="00684B14" w:rsidP="0040199E">
      <w:pPr>
        <w:adjustRightInd w:val="0"/>
        <w:snapToGrid w:val="0"/>
        <w:spacing w:after="0" w:line="240" w:lineRule="auto"/>
        <w:ind w:firstLine="426"/>
        <w:jc w:val="both"/>
        <w:rPr>
          <w:sz w:val="20"/>
          <w:szCs w:val="20"/>
        </w:rPr>
      </w:pPr>
      <w:r>
        <w:rPr>
          <w:sz w:val="20"/>
          <w:szCs w:val="20"/>
        </w:rPr>
        <w:t xml:space="preserve">Attention Deficit/ Hyperactivity Disorder (ADHD) is a prevalent, highly and over activity. It typically emerges early in childhood and commonly persists through adolescence and into adulthood </w:t>
      </w:r>
      <w:r>
        <w:rPr>
          <w:b/>
          <w:bCs/>
          <w:sz w:val="20"/>
          <w:szCs w:val="20"/>
          <w:rtl/>
        </w:rPr>
        <w:t>)</w:t>
      </w:r>
      <w:r>
        <w:rPr>
          <w:b/>
          <w:bCs/>
          <w:sz w:val="20"/>
          <w:szCs w:val="20"/>
        </w:rPr>
        <w:t xml:space="preserve">American Psychiatric Association, 2013) </w:t>
      </w:r>
      <w:r>
        <w:rPr>
          <w:sz w:val="20"/>
          <w:szCs w:val="20"/>
        </w:rPr>
        <w:t>High rates of social relations / academic/occupational failure, criminality, and drug abuse describe the outcomes of ADHD.</w:t>
      </w:r>
    </w:p>
    <w:p w:rsidR="00E34EC7" w:rsidRDefault="00684B14" w:rsidP="0040199E">
      <w:pPr>
        <w:adjustRightInd w:val="0"/>
        <w:snapToGrid w:val="0"/>
        <w:spacing w:after="0" w:line="240" w:lineRule="auto"/>
        <w:ind w:firstLine="426"/>
        <w:jc w:val="both"/>
        <w:rPr>
          <w:b/>
          <w:bCs/>
          <w:sz w:val="20"/>
          <w:szCs w:val="20"/>
        </w:rPr>
      </w:pPr>
      <w:r>
        <w:rPr>
          <w:sz w:val="20"/>
          <w:szCs w:val="20"/>
        </w:rPr>
        <w:t>Family functioning is also highly affected by the child’s ADHD. Recognition and management of ADHD in children is important so that their long-term outcomes can be improved</w:t>
      </w:r>
      <w:r>
        <w:rPr>
          <w:b/>
          <w:bCs/>
          <w:sz w:val="20"/>
          <w:szCs w:val="20"/>
        </w:rPr>
        <w:t xml:space="preserve"> (Colvin and Stern, 2015).</w:t>
      </w:r>
    </w:p>
    <w:p w:rsidR="00E34EC7" w:rsidRDefault="00684B14" w:rsidP="0040199E">
      <w:pPr>
        <w:adjustRightInd w:val="0"/>
        <w:snapToGrid w:val="0"/>
        <w:spacing w:after="0" w:line="240" w:lineRule="auto"/>
        <w:ind w:firstLine="426"/>
        <w:jc w:val="both"/>
        <w:rPr>
          <w:b/>
          <w:bCs/>
          <w:sz w:val="20"/>
          <w:szCs w:val="20"/>
        </w:rPr>
      </w:pPr>
      <w:r>
        <w:rPr>
          <w:sz w:val="20"/>
          <w:szCs w:val="20"/>
        </w:rPr>
        <w:t xml:space="preserve"> Physical exercises is defined as organized skeletal muscle movement associated with an increase in energy expenditure with the intention to develop or maintain physical fitness and/or health. Physical </w:t>
      </w:r>
      <w:r>
        <w:rPr>
          <w:sz w:val="20"/>
          <w:szCs w:val="20"/>
        </w:rPr>
        <w:lastRenderedPageBreak/>
        <w:t xml:space="preserve">Exercise has a significant impact on brain functions and structures, and is one way to influence neural and cognitive growth in the short and long term. </w:t>
      </w:r>
      <w:r>
        <w:rPr>
          <w:b/>
          <w:bCs/>
          <w:sz w:val="20"/>
          <w:szCs w:val="20"/>
        </w:rPr>
        <w:t>(Dishman et al., 2006</w:t>
      </w:r>
      <w:r>
        <w:rPr>
          <w:b/>
          <w:bCs/>
          <w:sz w:val="20"/>
          <w:szCs w:val="20"/>
          <w:rtl/>
        </w:rPr>
        <w:t>(</w:t>
      </w:r>
      <w:r>
        <w:rPr>
          <w:b/>
          <w:bCs/>
          <w:sz w:val="20"/>
          <w:szCs w:val="20"/>
        </w:rPr>
        <w:t xml:space="preserve">. </w:t>
      </w:r>
    </w:p>
    <w:p w:rsidR="00E34EC7" w:rsidRDefault="00684B14" w:rsidP="0040199E">
      <w:pPr>
        <w:adjustRightInd w:val="0"/>
        <w:snapToGrid w:val="0"/>
        <w:spacing w:after="0" w:line="240" w:lineRule="auto"/>
        <w:ind w:firstLine="426"/>
        <w:jc w:val="both"/>
        <w:rPr>
          <w:b/>
          <w:bCs/>
          <w:sz w:val="20"/>
          <w:szCs w:val="20"/>
        </w:rPr>
      </w:pPr>
      <w:r>
        <w:rPr>
          <w:sz w:val="20"/>
          <w:szCs w:val="20"/>
        </w:rPr>
        <w:t>Physical exercises affecting cognition  include , but is not limited to, unstructured physical exercise, standardized physical education programs, and sport competition. The key variables of importance manipulated in laboratory studies are exercise type, intensity, and time. Intensity is usually expressed as a percentage of a person's maximum work load as determined by oxygen uptake or heart rate.</w:t>
      </w:r>
      <w:r>
        <w:t xml:space="preserve"> </w:t>
      </w:r>
      <w:r>
        <w:rPr>
          <w:sz w:val="20"/>
          <w:szCs w:val="20"/>
        </w:rPr>
        <w:t xml:space="preserve">Duration of interventions are categorized as either short-term (single exercise session) or long-term (multiple exercise sessions) </w:t>
      </w:r>
      <w:r>
        <w:rPr>
          <w:b/>
          <w:bCs/>
          <w:sz w:val="20"/>
          <w:szCs w:val="20"/>
        </w:rPr>
        <w:t>(Audiffren, 2009</w:t>
      </w:r>
      <w:r>
        <w:rPr>
          <w:b/>
          <w:bCs/>
          <w:sz w:val="20"/>
          <w:szCs w:val="20"/>
          <w:rtl/>
        </w:rPr>
        <w:t>(</w:t>
      </w:r>
      <w:r>
        <w:rPr>
          <w:b/>
          <w:bCs/>
          <w:sz w:val="20"/>
          <w:szCs w:val="20"/>
        </w:rPr>
        <w:t xml:space="preserve">. </w:t>
      </w:r>
    </w:p>
    <w:p w:rsidR="00E34EC7" w:rsidRDefault="00684B14" w:rsidP="0040199E">
      <w:pPr>
        <w:adjustRightInd w:val="0"/>
        <w:snapToGrid w:val="0"/>
        <w:spacing w:after="0" w:line="240" w:lineRule="auto"/>
        <w:ind w:firstLine="426"/>
        <w:jc w:val="both"/>
        <w:rPr>
          <w:b/>
          <w:bCs/>
          <w:sz w:val="20"/>
          <w:szCs w:val="20"/>
        </w:rPr>
      </w:pPr>
      <w:r>
        <w:rPr>
          <w:sz w:val="20"/>
          <w:szCs w:val="20"/>
        </w:rPr>
        <w:t xml:space="preserve">Brain activity has been proposed to be important in examining affective and perceptual responses to acute bouts of exercise, furthermore , activity in the frontal regions of the brain has been related to affective responses to acute bouts of exercise </w:t>
      </w:r>
      <w:r>
        <w:rPr>
          <w:b/>
          <w:bCs/>
          <w:sz w:val="20"/>
          <w:szCs w:val="20"/>
        </w:rPr>
        <w:t>(Nybo and Nielsen, 2001), (Petruzzello et al., 2006).</w:t>
      </w:r>
    </w:p>
    <w:p w:rsidR="00E34EC7" w:rsidRDefault="00684B14" w:rsidP="0040199E">
      <w:pPr>
        <w:adjustRightInd w:val="0"/>
        <w:snapToGrid w:val="0"/>
        <w:spacing w:after="0" w:line="240" w:lineRule="auto"/>
        <w:ind w:firstLine="426"/>
        <w:jc w:val="both"/>
        <w:rPr>
          <w:b/>
          <w:bCs/>
          <w:sz w:val="20"/>
          <w:szCs w:val="20"/>
        </w:rPr>
      </w:pPr>
      <w:r>
        <w:rPr>
          <w:sz w:val="20"/>
          <w:szCs w:val="20"/>
        </w:rPr>
        <w:lastRenderedPageBreak/>
        <w:t xml:space="preserve">The metabolic changes associated with central fatigue during prolonged exercise can cause changes in brain activity. </w:t>
      </w:r>
      <w:r>
        <w:rPr>
          <w:b/>
          <w:bCs/>
          <w:sz w:val="20"/>
          <w:szCs w:val="20"/>
        </w:rPr>
        <w:t>(Dalsgaard and Secher, 2007).</w:t>
      </w:r>
    </w:p>
    <w:p w:rsidR="00E34EC7" w:rsidRDefault="00684B14" w:rsidP="0040199E">
      <w:pPr>
        <w:adjustRightInd w:val="0"/>
        <w:snapToGrid w:val="0"/>
        <w:spacing w:after="0" w:line="240" w:lineRule="auto"/>
        <w:ind w:firstLine="426"/>
        <w:jc w:val="both"/>
        <w:rPr>
          <w:b/>
          <w:bCs/>
          <w:sz w:val="20"/>
          <w:szCs w:val="20"/>
        </w:rPr>
      </w:pPr>
      <w:r>
        <w:rPr>
          <w:sz w:val="20"/>
          <w:szCs w:val="20"/>
        </w:rPr>
        <w:t>EEG band frequencies have a great impact on cognition and can be trained to improve several aspects of cognitive performance in neurofeedback</w:t>
      </w:r>
      <w:r w:rsidR="00420420">
        <w:rPr>
          <w:sz w:val="20"/>
          <w:szCs w:val="20"/>
        </w:rPr>
        <w:t>;</w:t>
      </w:r>
      <w:r>
        <w:rPr>
          <w:sz w:val="20"/>
          <w:szCs w:val="20"/>
        </w:rPr>
        <w:t xml:space="preserve"> assessment of EEG data can be a good indicator for attention and other executive function, Low frequency to high frequency amplitude ratio (as theta beta ratio) is used to assess attention </w:t>
      </w:r>
      <w:r>
        <w:rPr>
          <w:b/>
          <w:bCs/>
          <w:sz w:val="20"/>
          <w:szCs w:val="20"/>
        </w:rPr>
        <w:t>(Barry et al. 2003)</w:t>
      </w:r>
      <w:r w:rsidR="00420420">
        <w:rPr>
          <w:b/>
          <w:bCs/>
          <w:sz w:val="20"/>
          <w:szCs w:val="20"/>
        </w:rPr>
        <w:t>.</w:t>
      </w:r>
    </w:p>
    <w:p w:rsidR="00E34EC7" w:rsidRDefault="00684B14" w:rsidP="0040199E">
      <w:pPr>
        <w:adjustRightInd w:val="0"/>
        <w:snapToGrid w:val="0"/>
        <w:spacing w:after="0" w:line="240" w:lineRule="auto"/>
        <w:ind w:firstLine="426"/>
        <w:jc w:val="both"/>
        <w:rPr>
          <w:sz w:val="20"/>
          <w:szCs w:val="20"/>
        </w:rPr>
      </w:pPr>
      <w:r>
        <w:rPr>
          <w:sz w:val="20"/>
          <w:szCs w:val="20"/>
        </w:rPr>
        <w:t>In healthy people, theta/beta ratio may be a biomarker for attention control abilities. and may predicts resilience to the effects of physical activity, such as stress, on self-reported state attentional control.</w:t>
      </w:r>
    </w:p>
    <w:p w:rsidR="00E34EC7" w:rsidRDefault="00684B14" w:rsidP="0040199E">
      <w:pPr>
        <w:adjustRightInd w:val="0"/>
        <w:snapToGrid w:val="0"/>
        <w:spacing w:after="0" w:line="240" w:lineRule="auto"/>
        <w:ind w:firstLine="426"/>
        <w:jc w:val="both"/>
        <w:rPr>
          <w:b/>
          <w:bCs/>
          <w:sz w:val="20"/>
          <w:szCs w:val="20"/>
        </w:rPr>
      </w:pPr>
      <w:r>
        <w:rPr>
          <w:sz w:val="20"/>
          <w:szCs w:val="20"/>
        </w:rPr>
        <w:t xml:space="preserve">Theta/beta ratio appears to be a useful biomarker in the investigation of physical exercise and other anxiety–cognition interactions. </w:t>
      </w:r>
      <w:r>
        <w:rPr>
          <w:b/>
          <w:bCs/>
          <w:sz w:val="20"/>
          <w:szCs w:val="20"/>
        </w:rPr>
        <w:t>(Putman et al., 2014).</w:t>
      </w:r>
    </w:p>
    <w:p w:rsidR="00E34EC7" w:rsidRDefault="00684B14" w:rsidP="0040199E">
      <w:pPr>
        <w:adjustRightInd w:val="0"/>
        <w:snapToGrid w:val="0"/>
        <w:spacing w:after="0" w:line="240" w:lineRule="auto"/>
        <w:ind w:firstLine="426"/>
        <w:jc w:val="both"/>
        <w:rPr>
          <w:sz w:val="20"/>
          <w:szCs w:val="20"/>
        </w:rPr>
      </w:pPr>
      <w:r>
        <w:rPr>
          <w:sz w:val="20"/>
          <w:szCs w:val="20"/>
        </w:rPr>
        <w:t xml:space="preserve">Behavioral disinhibition and cognitive deficits are associated with a relative lack of alpha and a prevalence of slow oscillations during normal development, In typical development, the relative contribution of low frequencies (i.e. delta and theta) to the EEG power spectrum decreases with age, while the contribution of higher frequencies (mostly alpha and beta) increases, which is generally regarded as a sign of maturation. </w:t>
      </w:r>
      <w:r>
        <w:rPr>
          <w:b/>
          <w:bCs/>
          <w:sz w:val="20"/>
          <w:szCs w:val="20"/>
        </w:rPr>
        <w:t>(Clarke et al., 2007)</w:t>
      </w:r>
    </w:p>
    <w:p w:rsidR="00E34EC7" w:rsidRDefault="00684B14" w:rsidP="0040199E">
      <w:pPr>
        <w:adjustRightInd w:val="0"/>
        <w:snapToGrid w:val="0"/>
        <w:spacing w:after="0" w:line="240" w:lineRule="auto"/>
        <w:ind w:firstLine="426"/>
        <w:jc w:val="both"/>
        <w:rPr>
          <w:sz w:val="20"/>
          <w:szCs w:val="20"/>
          <w:lang w:eastAsia="zh-CN"/>
        </w:rPr>
      </w:pPr>
      <w:r>
        <w:rPr>
          <w:sz w:val="20"/>
          <w:szCs w:val="20"/>
        </w:rPr>
        <w:t xml:space="preserve">It is shown that slow-wave and alpha oscillations are reciprocally related to each other. This reciprocal relationship may reflect an inhibitory control over motivational and emotional drives which is implemented by the prefrontal cortex. </w:t>
      </w:r>
      <w:r>
        <w:rPr>
          <w:b/>
          <w:bCs/>
          <w:sz w:val="20"/>
          <w:szCs w:val="20"/>
        </w:rPr>
        <w:t>(Knyazev, 2007)</w:t>
      </w:r>
      <w:r>
        <w:rPr>
          <w:sz w:val="20"/>
          <w:szCs w:val="20"/>
        </w:rPr>
        <w:t>.</w:t>
      </w:r>
    </w:p>
    <w:p w:rsidR="0040199E" w:rsidRDefault="0040199E" w:rsidP="0040199E">
      <w:pPr>
        <w:adjustRightInd w:val="0"/>
        <w:snapToGrid w:val="0"/>
        <w:spacing w:after="0" w:line="240" w:lineRule="auto"/>
        <w:ind w:firstLine="426"/>
        <w:jc w:val="both"/>
        <w:rPr>
          <w:sz w:val="20"/>
          <w:szCs w:val="20"/>
          <w:lang w:eastAsia="zh-CN"/>
        </w:rPr>
      </w:pPr>
    </w:p>
    <w:p w:rsidR="00E34EC7" w:rsidRDefault="00684B14" w:rsidP="0040199E">
      <w:pPr>
        <w:adjustRightInd w:val="0"/>
        <w:snapToGrid w:val="0"/>
        <w:spacing w:after="0" w:line="240" w:lineRule="auto"/>
        <w:jc w:val="both"/>
        <w:rPr>
          <w:b/>
          <w:sz w:val="20"/>
          <w:szCs w:val="20"/>
        </w:rPr>
      </w:pPr>
      <w:r>
        <w:rPr>
          <w:b/>
          <w:sz w:val="20"/>
          <w:szCs w:val="20"/>
        </w:rPr>
        <w:t xml:space="preserve">2. Material and Methods </w:t>
      </w:r>
    </w:p>
    <w:p w:rsidR="00E34EC7" w:rsidRDefault="00684B14" w:rsidP="0040199E">
      <w:pPr>
        <w:adjustRightInd w:val="0"/>
        <w:snapToGrid w:val="0"/>
        <w:spacing w:after="0" w:line="240" w:lineRule="auto"/>
        <w:jc w:val="both"/>
        <w:rPr>
          <w:sz w:val="20"/>
          <w:szCs w:val="20"/>
        </w:rPr>
      </w:pPr>
      <w:bookmarkStart w:id="0" w:name="_Toc5042331"/>
      <w:r>
        <w:rPr>
          <w:b/>
          <w:bCs/>
          <w:sz w:val="20"/>
          <w:szCs w:val="20"/>
        </w:rPr>
        <w:t>Subjects:</w:t>
      </w:r>
      <w:bookmarkEnd w:id="0"/>
      <w:r>
        <w:rPr>
          <w:sz w:val="20"/>
          <w:szCs w:val="20"/>
        </w:rPr>
        <w:t xml:space="preserve"> </w:t>
      </w:r>
    </w:p>
    <w:p w:rsidR="00E34EC7" w:rsidRDefault="00684B14" w:rsidP="0040199E">
      <w:pPr>
        <w:adjustRightInd w:val="0"/>
        <w:snapToGrid w:val="0"/>
        <w:spacing w:after="0" w:line="240" w:lineRule="auto"/>
        <w:ind w:firstLine="426"/>
        <w:jc w:val="both"/>
        <w:rPr>
          <w:sz w:val="20"/>
          <w:szCs w:val="20"/>
          <w:lang w:eastAsia="zh-CN"/>
        </w:rPr>
      </w:pPr>
      <w:r>
        <w:rPr>
          <w:sz w:val="20"/>
          <w:szCs w:val="20"/>
        </w:rPr>
        <w:t>25  patients referred by pediatric psychiatrist to National Institute of Neuromotor System and DELTA Physical therapy clinic  with diagnosis of ADHD  participated  in this study , Age range from 8 to 12</w:t>
      </w:r>
      <w:r>
        <w:rPr>
          <w:sz w:val="20"/>
          <w:szCs w:val="20"/>
          <w:rtl/>
        </w:rPr>
        <w:t xml:space="preserve">  </w:t>
      </w:r>
      <w:r>
        <w:rPr>
          <w:sz w:val="20"/>
          <w:szCs w:val="20"/>
        </w:rPr>
        <w:t>years, Selected from both genders , Inattentive or mixed type ADHD on Coners Parent Rating Scale – Revised: Short form</w:t>
      </w:r>
      <w:r>
        <w:rPr>
          <w:b/>
          <w:bCs/>
          <w:sz w:val="20"/>
          <w:szCs w:val="20"/>
        </w:rPr>
        <w:t xml:space="preserve"> (Gianarris et al., 2007)</w:t>
      </w:r>
      <w:r>
        <w:rPr>
          <w:sz w:val="20"/>
          <w:szCs w:val="20"/>
        </w:rPr>
        <w:t xml:space="preserve"> Children with history of  chronic cardiac , chest disease , Physical disability , Mental retardation and Autism were excluded.</w:t>
      </w:r>
    </w:p>
    <w:p w:rsidR="0040199E" w:rsidRDefault="0040199E" w:rsidP="0040199E">
      <w:pPr>
        <w:adjustRightInd w:val="0"/>
        <w:snapToGrid w:val="0"/>
        <w:spacing w:after="0" w:line="240" w:lineRule="auto"/>
        <w:ind w:firstLine="426"/>
        <w:jc w:val="both"/>
        <w:rPr>
          <w:sz w:val="20"/>
          <w:szCs w:val="20"/>
          <w:lang w:eastAsia="zh-CN"/>
        </w:rPr>
      </w:pPr>
    </w:p>
    <w:p w:rsidR="00E34EC7" w:rsidRDefault="00684B14" w:rsidP="0040199E">
      <w:pPr>
        <w:adjustRightInd w:val="0"/>
        <w:snapToGrid w:val="0"/>
        <w:spacing w:after="0" w:line="240" w:lineRule="auto"/>
        <w:jc w:val="both"/>
        <w:rPr>
          <w:sz w:val="20"/>
          <w:szCs w:val="20"/>
        </w:rPr>
      </w:pPr>
      <w:r>
        <w:rPr>
          <w:b/>
          <w:bCs/>
          <w:sz w:val="20"/>
          <w:szCs w:val="20"/>
        </w:rPr>
        <w:t>EEG/EMG biofeedback system used for assessment Model:</w:t>
      </w:r>
      <w:r>
        <w:rPr>
          <w:sz w:val="20"/>
          <w:szCs w:val="20"/>
        </w:rPr>
        <w:t xml:space="preserve"> </w:t>
      </w:r>
    </w:p>
    <w:p w:rsidR="00E34EC7" w:rsidRDefault="00684B14" w:rsidP="0040199E">
      <w:pPr>
        <w:adjustRightInd w:val="0"/>
        <w:snapToGrid w:val="0"/>
        <w:spacing w:after="0" w:line="240" w:lineRule="auto"/>
        <w:ind w:firstLine="426"/>
        <w:jc w:val="both"/>
        <w:rPr>
          <w:b/>
          <w:bCs/>
          <w:sz w:val="20"/>
          <w:szCs w:val="20"/>
        </w:rPr>
      </w:pPr>
      <w:r>
        <w:rPr>
          <w:sz w:val="20"/>
          <w:szCs w:val="20"/>
        </w:rPr>
        <w:t>NEXUS 10 (Netherland):</w:t>
      </w:r>
      <w:r>
        <w:rPr>
          <w:b/>
          <w:bCs/>
          <w:sz w:val="20"/>
          <w:szCs w:val="20"/>
        </w:rPr>
        <w:t xml:space="preserve"> </w:t>
      </w:r>
      <w:r>
        <w:rPr>
          <w:sz w:val="20"/>
          <w:szCs w:val="20"/>
        </w:rPr>
        <w:t>Is considered a reliable research tool for assessment and modification of brain and muscular activities by biofeedback applications, Medical CE certified (IIa), FDA registered (II)</w:t>
      </w:r>
      <w:r>
        <w:rPr>
          <w:b/>
          <w:bCs/>
          <w:sz w:val="20"/>
          <w:szCs w:val="20"/>
        </w:rPr>
        <w:t xml:space="preserve"> (Kober et al. 2019).</w:t>
      </w:r>
    </w:p>
    <w:p w:rsidR="00E34EC7" w:rsidRDefault="00684B14" w:rsidP="0040199E">
      <w:pPr>
        <w:adjustRightInd w:val="0"/>
        <w:snapToGrid w:val="0"/>
        <w:spacing w:after="0" w:line="240" w:lineRule="auto"/>
        <w:ind w:firstLine="426"/>
        <w:jc w:val="both"/>
        <w:rPr>
          <w:sz w:val="20"/>
          <w:szCs w:val="20"/>
        </w:rPr>
      </w:pPr>
      <w:r>
        <w:rPr>
          <w:sz w:val="20"/>
          <w:szCs w:val="20"/>
        </w:rPr>
        <w:t xml:space="preserve">10-20 international system is used  for electrode placement which is based on the relation between the </w:t>
      </w:r>
      <w:r>
        <w:rPr>
          <w:sz w:val="20"/>
          <w:szCs w:val="20"/>
        </w:rPr>
        <w:lastRenderedPageBreak/>
        <w:t>location of electrode and the underlying area in the cerebral cortex with active electrode on CZ (sensory motor cortex ),reference electrode on right earlobeA2 and ground electrode on left ear lobe A1</w:t>
      </w:r>
      <w:r w:rsidR="00420420">
        <w:rPr>
          <w:sz w:val="20"/>
          <w:szCs w:val="20"/>
        </w:rPr>
        <w:t>.</w:t>
      </w:r>
    </w:p>
    <w:p w:rsidR="00E34EC7" w:rsidRDefault="00684B14" w:rsidP="0040199E">
      <w:pPr>
        <w:adjustRightInd w:val="0"/>
        <w:snapToGrid w:val="0"/>
        <w:spacing w:after="0" w:line="240" w:lineRule="auto"/>
        <w:ind w:firstLine="426"/>
        <w:jc w:val="both"/>
        <w:rPr>
          <w:sz w:val="20"/>
          <w:szCs w:val="20"/>
        </w:rPr>
      </w:pPr>
      <w:r>
        <w:rPr>
          <w:sz w:val="20"/>
          <w:szCs w:val="20"/>
        </w:rPr>
        <w:t>Mean theta amplitude, Mean beta amplitude, Theta / beta ratio and EMG amplitude are recorded.</w:t>
      </w:r>
    </w:p>
    <w:p w:rsidR="00E34EC7" w:rsidRDefault="00684B14" w:rsidP="0040199E">
      <w:pPr>
        <w:adjustRightInd w:val="0"/>
        <w:snapToGrid w:val="0"/>
        <w:spacing w:after="0" w:line="240" w:lineRule="auto"/>
        <w:ind w:firstLine="426"/>
        <w:jc w:val="both"/>
        <w:rPr>
          <w:b/>
          <w:bCs/>
          <w:sz w:val="20"/>
          <w:szCs w:val="20"/>
        </w:rPr>
      </w:pPr>
      <w:r>
        <w:rPr>
          <w:sz w:val="20"/>
          <w:szCs w:val="20"/>
        </w:rPr>
        <w:t xml:space="preserve">Ergometer stationary bicycle for exercise program, max model , made  in china and Treadmill  , model ( grand fit)  made  in china </w:t>
      </w:r>
    </w:p>
    <w:p w:rsidR="00E34EC7" w:rsidRDefault="00684B14" w:rsidP="0040199E">
      <w:pPr>
        <w:adjustRightInd w:val="0"/>
        <w:snapToGrid w:val="0"/>
        <w:spacing w:after="0" w:line="240" w:lineRule="auto"/>
        <w:ind w:firstLine="426"/>
        <w:jc w:val="both"/>
        <w:rPr>
          <w:b/>
          <w:bCs/>
          <w:sz w:val="20"/>
          <w:szCs w:val="20"/>
        </w:rPr>
      </w:pPr>
      <w:r>
        <w:rPr>
          <w:sz w:val="20"/>
          <w:szCs w:val="20"/>
        </w:rPr>
        <w:t>Calculating the maximum heart rate for patient age by subtracting the age from 205,</w:t>
      </w:r>
      <w:r>
        <w:rPr>
          <w:b/>
          <w:bCs/>
          <w:sz w:val="20"/>
          <w:szCs w:val="20"/>
        </w:rPr>
        <w:t xml:space="preserve"> </w:t>
      </w:r>
      <w:r>
        <w:rPr>
          <w:sz w:val="20"/>
          <w:szCs w:val="20"/>
        </w:rPr>
        <w:t>warming up running in place for 3 min running in place</w:t>
      </w:r>
      <w:r>
        <w:rPr>
          <w:b/>
          <w:bCs/>
          <w:sz w:val="20"/>
          <w:szCs w:val="20"/>
        </w:rPr>
        <w:t xml:space="preserve"> </w:t>
      </w:r>
      <w:r>
        <w:rPr>
          <w:sz w:val="20"/>
          <w:szCs w:val="20"/>
        </w:rPr>
        <w:t>followed</w:t>
      </w:r>
      <w:r>
        <w:rPr>
          <w:b/>
          <w:bCs/>
          <w:sz w:val="20"/>
          <w:szCs w:val="20"/>
        </w:rPr>
        <w:t xml:space="preserve"> </w:t>
      </w:r>
      <w:r>
        <w:rPr>
          <w:sz w:val="20"/>
          <w:szCs w:val="20"/>
        </w:rPr>
        <w:t>by 5 min stationary bicycle on grade 3 resistance and</w:t>
      </w:r>
      <w:r>
        <w:rPr>
          <w:b/>
          <w:bCs/>
          <w:sz w:val="20"/>
          <w:szCs w:val="20"/>
        </w:rPr>
        <w:t xml:space="preserve"> </w:t>
      </w:r>
      <w:r>
        <w:rPr>
          <w:sz w:val="20"/>
          <w:szCs w:val="20"/>
        </w:rPr>
        <w:t>5 min fast walking on Treadmill on speed 4 km / hour and 0 inclination</w:t>
      </w:r>
      <w:r>
        <w:rPr>
          <w:b/>
          <w:bCs/>
          <w:sz w:val="20"/>
          <w:szCs w:val="20"/>
        </w:rPr>
        <w:t>,</w:t>
      </w:r>
      <w:r>
        <w:rPr>
          <w:sz w:val="20"/>
          <w:szCs w:val="20"/>
        </w:rPr>
        <w:t xml:space="preserve"> Monitoring the heart rate during exercise no to exceed 75 % of max heart rate.</w:t>
      </w:r>
    </w:p>
    <w:p w:rsidR="00E34EC7" w:rsidRDefault="00684B14" w:rsidP="0040199E">
      <w:pPr>
        <w:adjustRightInd w:val="0"/>
        <w:snapToGrid w:val="0"/>
        <w:spacing w:after="0" w:line="240" w:lineRule="auto"/>
        <w:ind w:firstLine="426"/>
        <w:jc w:val="both"/>
        <w:rPr>
          <w:sz w:val="20"/>
          <w:szCs w:val="20"/>
          <w:lang w:eastAsia="zh-CN"/>
        </w:rPr>
      </w:pPr>
      <w:r>
        <w:rPr>
          <w:sz w:val="20"/>
          <w:szCs w:val="20"/>
        </w:rPr>
        <w:t>Reassessment immediately after exercise with the same procedures of assessment and start recording for 5 minutes and   extract post exercise data.</w:t>
      </w:r>
    </w:p>
    <w:p w:rsidR="0040199E" w:rsidRDefault="0040199E" w:rsidP="0040199E">
      <w:pPr>
        <w:adjustRightInd w:val="0"/>
        <w:snapToGrid w:val="0"/>
        <w:spacing w:after="0" w:line="240" w:lineRule="auto"/>
        <w:ind w:firstLine="426"/>
        <w:jc w:val="both"/>
        <w:rPr>
          <w:sz w:val="20"/>
          <w:szCs w:val="20"/>
          <w:lang w:eastAsia="zh-CN"/>
        </w:rPr>
      </w:pPr>
    </w:p>
    <w:p w:rsidR="00E34EC7" w:rsidRDefault="00684B14" w:rsidP="0040199E">
      <w:pPr>
        <w:adjustRightInd w:val="0"/>
        <w:snapToGrid w:val="0"/>
        <w:spacing w:after="0" w:line="240" w:lineRule="auto"/>
        <w:jc w:val="both"/>
        <w:rPr>
          <w:sz w:val="20"/>
          <w:szCs w:val="20"/>
        </w:rPr>
      </w:pPr>
      <w:r>
        <w:rPr>
          <w:b/>
          <w:bCs/>
          <w:sz w:val="20"/>
          <w:szCs w:val="20"/>
        </w:rPr>
        <w:t>Design of study</w:t>
      </w:r>
      <w:r>
        <w:rPr>
          <w:sz w:val="20"/>
          <w:szCs w:val="20"/>
        </w:rPr>
        <w:t xml:space="preserve">: </w:t>
      </w:r>
    </w:p>
    <w:p w:rsidR="00E34EC7" w:rsidRDefault="00684B14" w:rsidP="0040199E">
      <w:pPr>
        <w:adjustRightInd w:val="0"/>
        <w:snapToGrid w:val="0"/>
        <w:spacing w:after="0" w:line="240" w:lineRule="auto"/>
        <w:ind w:firstLine="426"/>
        <w:jc w:val="both"/>
        <w:rPr>
          <w:sz w:val="20"/>
          <w:szCs w:val="20"/>
        </w:rPr>
      </w:pPr>
      <w:r>
        <w:rPr>
          <w:sz w:val="20"/>
          <w:szCs w:val="20"/>
        </w:rPr>
        <w:t>Within subject design</w:t>
      </w:r>
    </w:p>
    <w:p w:rsidR="00E34EC7" w:rsidRDefault="00684B14" w:rsidP="0040199E">
      <w:pPr>
        <w:adjustRightInd w:val="0"/>
        <w:snapToGrid w:val="0"/>
        <w:spacing w:after="0" w:line="240" w:lineRule="auto"/>
        <w:ind w:firstLine="426"/>
        <w:jc w:val="both"/>
        <w:rPr>
          <w:sz w:val="20"/>
          <w:szCs w:val="20"/>
          <w:lang w:eastAsia="zh-CN"/>
        </w:rPr>
      </w:pPr>
      <w:r>
        <w:rPr>
          <w:sz w:val="20"/>
          <w:szCs w:val="20"/>
        </w:rPr>
        <w:t>All participants were tested by NEXUS 10 EEG/EMG biofeedback instrument and data were recorded as pre exercise and post exercise and data was compared and statistical data were collected.</w:t>
      </w:r>
    </w:p>
    <w:p w:rsidR="0040199E" w:rsidRDefault="0040199E" w:rsidP="0040199E">
      <w:pPr>
        <w:adjustRightInd w:val="0"/>
        <w:snapToGrid w:val="0"/>
        <w:spacing w:after="0" w:line="240" w:lineRule="auto"/>
        <w:ind w:firstLine="426"/>
        <w:jc w:val="both"/>
        <w:rPr>
          <w:sz w:val="20"/>
          <w:szCs w:val="20"/>
          <w:lang w:eastAsia="zh-CN"/>
        </w:rPr>
      </w:pPr>
    </w:p>
    <w:p w:rsidR="00E34EC7" w:rsidRDefault="00684B14" w:rsidP="0040199E">
      <w:pPr>
        <w:adjustRightInd w:val="0"/>
        <w:snapToGrid w:val="0"/>
        <w:spacing w:after="0" w:line="240" w:lineRule="auto"/>
        <w:jc w:val="both"/>
        <w:rPr>
          <w:b/>
          <w:sz w:val="20"/>
          <w:szCs w:val="20"/>
        </w:rPr>
      </w:pPr>
      <w:r>
        <w:rPr>
          <w:b/>
          <w:sz w:val="20"/>
          <w:szCs w:val="20"/>
        </w:rPr>
        <w:t xml:space="preserve">3. Results </w:t>
      </w:r>
    </w:p>
    <w:p w:rsidR="00E34EC7" w:rsidRDefault="00684B14" w:rsidP="0040199E">
      <w:pPr>
        <w:adjustRightInd w:val="0"/>
        <w:snapToGrid w:val="0"/>
        <w:spacing w:after="0" w:line="240" w:lineRule="auto"/>
        <w:jc w:val="both"/>
        <w:rPr>
          <w:b/>
          <w:bCs/>
          <w:sz w:val="20"/>
          <w:szCs w:val="20"/>
        </w:rPr>
      </w:pPr>
      <w:r>
        <w:rPr>
          <w:b/>
          <w:bCs/>
          <w:sz w:val="20"/>
          <w:szCs w:val="20"/>
        </w:rPr>
        <w:t>Statistical analysis</w:t>
      </w:r>
    </w:p>
    <w:p w:rsidR="00E34EC7" w:rsidRDefault="00684B14" w:rsidP="0040199E">
      <w:pPr>
        <w:adjustRightInd w:val="0"/>
        <w:snapToGrid w:val="0"/>
        <w:spacing w:after="0" w:line="240" w:lineRule="auto"/>
        <w:ind w:firstLine="426"/>
        <w:jc w:val="both"/>
        <w:rPr>
          <w:sz w:val="20"/>
          <w:szCs w:val="20"/>
        </w:rPr>
      </w:pPr>
      <w:r>
        <w:rPr>
          <w:sz w:val="20"/>
          <w:szCs w:val="20"/>
        </w:rPr>
        <w:t>The results are expressed as mean ± standard deviation. A paired t test was used to compare data collected before and after exercise.</w:t>
      </w:r>
      <w:r w:rsidR="00420420">
        <w:rPr>
          <w:rFonts w:hint="eastAsia"/>
          <w:sz w:val="20"/>
          <w:szCs w:val="20"/>
          <w:lang w:eastAsia="zh-CN"/>
        </w:rPr>
        <w:t xml:space="preserve"> </w:t>
      </w:r>
      <w:r>
        <w:rPr>
          <w:sz w:val="20"/>
          <w:szCs w:val="20"/>
        </w:rPr>
        <w:t>Statistical Package for Social Sciences (SPSS) computer program (version 19 windows) was used for data analysis. P value ≤ 0.05 was considered significant.</w:t>
      </w:r>
    </w:p>
    <w:p w:rsidR="00E34EC7" w:rsidRDefault="00684B14" w:rsidP="0040199E">
      <w:pPr>
        <w:adjustRightInd w:val="0"/>
        <w:snapToGrid w:val="0"/>
        <w:spacing w:after="0" w:line="240" w:lineRule="auto"/>
        <w:ind w:firstLine="426"/>
        <w:jc w:val="both"/>
        <w:rPr>
          <w:sz w:val="20"/>
          <w:szCs w:val="20"/>
          <w:lang w:eastAsia="zh-CN"/>
        </w:rPr>
      </w:pPr>
      <w:r>
        <w:rPr>
          <w:sz w:val="20"/>
          <w:szCs w:val="20"/>
        </w:rPr>
        <w:t>This study was conducted on 25 ADHD children admitted to the outpatient clinic of National Institute of Neuromotor System and DELTA Physical therapy center, They were tested before exercise by nexus 10 EEG/EMG biofeedback system for 5 minutes to detect the pre exercise value of theta, beta ,EMG mean amplitude followed by 10 min exercise on ergometer bicycle and Treadmill with target heart rate 75% of maximum heart rate. Reassessment after exercise by nexus 10 for 5 minutes to detect the post exercise theta, beta , EMG mean amplitudes.</w:t>
      </w:r>
    </w:p>
    <w:p w:rsidR="0040199E" w:rsidRDefault="0040199E" w:rsidP="0040199E">
      <w:pPr>
        <w:adjustRightInd w:val="0"/>
        <w:snapToGrid w:val="0"/>
        <w:spacing w:after="0" w:line="240" w:lineRule="auto"/>
        <w:ind w:firstLine="426"/>
        <w:jc w:val="both"/>
        <w:rPr>
          <w:sz w:val="20"/>
          <w:szCs w:val="20"/>
          <w:lang w:eastAsia="zh-CN"/>
        </w:rPr>
      </w:pPr>
    </w:p>
    <w:p w:rsidR="00E34EC7" w:rsidRDefault="00684B14" w:rsidP="0040199E">
      <w:pPr>
        <w:adjustRightInd w:val="0"/>
        <w:snapToGrid w:val="0"/>
        <w:spacing w:after="0" w:line="240" w:lineRule="auto"/>
        <w:jc w:val="both"/>
        <w:rPr>
          <w:b/>
          <w:bCs/>
          <w:sz w:val="20"/>
          <w:szCs w:val="20"/>
        </w:rPr>
      </w:pPr>
      <w:r>
        <w:rPr>
          <w:b/>
          <w:bCs/>
          <w:sz w:val="20"/>
          <w:szCs w:val="20"/>
        </w:rPr>
        <w:t>I- General characteristics of the studied children</w:t>
      </w:r>
    </w:p>
    <w:p w:rsidR="00E34EC7" w:rsidRDefault="00684B14" w:rsidP="0040199E">
      <w:pPr>
        <w:adjustRightInd w:val="0"/>
        <w:snapToGrid w:val="0"/>
        <w:spacing w:after="0" w:line="240" w:lineRule="auto"/>
        <w:ind w:firstLine="426"/>
        <w:jc w:val="both"/>
        <w:rPr>
          <w:bCs/>
          <w:sz w:val="20"/>
          <w:szCs w:val="20"/>
        </w:rPr>
      </w:pPr>
      <w:r>
        <w:rPr>
          <w:bCs/>
          <w:sz w:val="20"/>
          <w:szCs w:val="20"/>
        </w:rPr>
        <w:t xml:space="preserve">The age of the studied children was ranged from 8.0 to 12.0 years with mean (± SD) equal to 9.84 ± 1.62 years , As regards gender distribution, 3 (12.0%) out of the 25 children were girls and the other 22 (88.0%) were boys (Table 1). </w:t>
      </w:r>
    </w:p>
    <w:p w:rsidR="0040199E" w:rsidRDefault="0040199E" w:rsidP="0040199E">
      <w:pPr>
        <w:adjustRightInd w:val="0"/>
        <w:snapToGrid w:val="0"/>
        <w:spacing w:after="0" w:line="240" w:lineRule="auto"/>
        <w:jc w:val="both"/>
        <w:rPr>
          <w:sz w:val="20"/>
          <w:szCs w:val="20"/>
          <w:lang w:eastAsia="zh-CN"/>
        </w:rPr>
      </w:pPr>
    </w:p>
    <w:p w:rsidR="0040199E" w:rsidRDefault="0040199E" w:rsidP="0040199E">
      <w:pPr>
        <w:adjustRightInd w:val="0"/>
        <w:snapToGrid w:val="0"/>
        <w:spacing w:after="0" w:line="240" w:lineRule="auto"/>
        <w:jc w:val="both"/>
        <w:rPr>
          <w:b/>
          <w:bCs/>
          <w:sz w:val="20"/>
          <w:szCs w:val="20"/>
        </w:rPr>
        <w:sectPr w:rsidR="0040199E">
          <w:footnotePr>
            <w:pos w:val="beneathText"/>
          </w:footnotePr>
          <w:type w:val="continuous"/>
          <w:pgSz w:w="12240" w:h="15840"/>
          <w:pgMar w:top="1440" w:right="1440" w:bottom="1440" w:left="1440" w:header="720" w:footer="720" w:gutter="0"/>
          <w:cols w:num="2" w:space="576"/>
          <w:docGrid w:linePitch="360"/>
        </w:sectPr>
      </w:pPr>
    </w:p>
    <w:p w:rsidR="0040199E" w:rsidRDefault="0040199E" w:rsidP="0040199E">
      <w:pPr>
        <w:adjustRightInd w:val="0"/>
        <w:snapToGrid w:val="0"/>
        <w:spacing w:after="0" w:line="240" w:lineRule="auto"/>
        <w:jc w:val="both"/>
        <w:rPr>
          <w:b/>
          <w:bCs/>
          <w:sz w:val="20"/>
          <w:szCs w:val="20"/>
          <w:lang w:eastAsia="zh-CN"/>
        </w:rPr>
      </w:pPr>
    </w:p>
    <w:p w:rsidR="00E34EC7" w:rsidRDefault="00684B14" w:rsidP="0040199E">
      <w:pPr>
        <w:adjustRightInd w:val="0"/>
        <w:snapToGrid w:val="0"/>
        <w:spacing w:after="0" w:line="240" w:lineRule="auto"/>
        <w:jc w:val="both"/>
        <w:rPr>
          <w:sz w:val="20"/>
          <w:szCs w:val="20"/>
        </w:rPr>
      </w:pPr>
      <w:r>
        <w:rPr>
          <w:b/>
          <w:bCs/>
          <w:sz w:val="20"/>
          <w:szCs w:val="20"/>
        </w:rPr>
        <w:t xml:space="preserve">Table 1: </w:t>
      </w:r>
      <w:r>
        <w:rPr>
          <w:sz w:val="20"/>
          <w:szCs w:val="20"/>
        </w:rPr>
        <w:t>General characteristics of the studied children.</w:t>
      </w:r>
    </w:p>
    <w:tbl>
      <w:tblPr>
        <w:tblW w:w="4661" w:type="pct"/>
        <w:jc w:val="center"/>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4367"/>
        <w:gridCol w:w="2341"/>
        <w:gridCol w:w="2219"/>
      </w:tblGrid>
      <w:tr w:rsidR="00E34EC7">
        <w:trPr>
          <w:trHeight w:val="232"/>
          <w:jc w:val="center"/>
        </w:trPr>
        <w:tc>
          <w:tcPr>
            <w:tcW w:w="2446" w:type="pct"/>
            <w:tcBorders>
              <w:top w:val="single" w:sz="12" w:space="0" w:color="auto"/>
              <w:left w:val="single" w:sz="12" w:space="0" w:color="auto"/>
              <w:bottom w:val="single" w:sz="12" w:space="0" w:color="auto"/>
              <w:right w:val="single" w:sz="12" w:space="0" w:color="auto"/>
            </w:tcBorders>
          </w:tcPr>
          <w:p w:rsidR="00E34EC7" w:rsidRDefault="00E34EC7" w:rsidP="0040199E">
            <w:pPr>
              <w:adjustRightInd w:val="0"/>
              <w:snapToGrid w:val="0"/>
              <w:spacing w:after="0" w:line="240" w:lineRule="auto"/>
              <w:jc w:val="both"/>
              <w:rPr>
                <w:b/>
                <w:bCs/>
                <w:sz w:val="20"/>
                <w:szCs w:val="20"/>
              </w:rPr>
            </w:pPr>
          </w:p>
        </w:tc>
        <w:tc>
          <w:tcPr>
            <w:tcW w:w="1311" w:type="pct"/>
            <w:tcBorders>
              <w:top w:val="single" w:sz="12" w:space="0" w:color="auto"/>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b/>
                <w:bCs/>
                <w:sz w:val="20"/>
                <w:szCs w:val="20"/>
              </w:rPr>
            </w:pPr>
            <w:r>
              <w:rPr>
                <w:b/>
                <w:bCs/>
                <w:sz w:val="20"/>
                <w:szCs w:val="20"/>
              </w:rPr>
              <w:t>Number</w:t>
            </w:r>
          </w:p>
        </w:tc>
        <w:tc>
          <w:tcPr>
            <w:tcW w:w="1243" w:type="pct"/>
            <w:tcBorders>
              <w:top w:val="single" w:sz="12" w:space="0" w:color="auto"/>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b/>
                <w:bCs/>
                <w:sz w:val="20"/>
                <w:szCs w:val="20"/>
              </w:rPr>
            </w:pPr>
            <w:r>
              <w:rPr>
                <w:b/>
                <w:bCs/>
                <w:sz w:val="20"/>
                <w:szCs w:val="20"/>
              </w:rPr>
              <w:t>Percent</w:t>
            </w:r>
          </w:p>
        </w:tc>
      </w:tr>
      <w:tr w:rsidR="00E34EC7">
        <w:trPr>
          <w:trHeight w:val="218"/>
          <w:jc w:val="center"/>
        </w:trPr>
        <w:tc>
          <w:tcPr>
            <w:tcW w:w="2446" w:type="pct"/>
            <w:tcBorders>
              <w:top w:val="single" w:sz="12" w:space="0" w:color="auto"/>
              <w:left w:val="single" w:sz="12" w:space="0" w:color="auto"/>
              <w:bottom w:val="nil"/>
              <w:right w:val="single" w:sz="12" w:space="0" w:color="auto"/>
            </w:tcBorders>
          </w:tcPr>
          <w:p w:rsidR="00E34EC7" w:rsidRDefault="00684B14" w:rsidP="0040199E">
            <w:pPr>
              <w:adjustRightInd w:val="0"/>
              <w:snapToGrid w:val="0"/>
              <w:spacing w:after="0" w:line="240" w:lineRule="auto"/>
              <w:jc w:val="both"/>
              <w:rPr>
                <w:b/>
                <w:bCs/>
                <w:sz w:val="20"/>
                <w:szCs w:val="20"/>
              </w:rPr>
            </w:pPr>
            <w:r>
              <w:rPr>
                <w:b/>
                <w:bCs/>
                <w:sz w:val="20"/>
                <w:szCs w:val="20"/>
              </w:rPr>
              <w:t xml:space="preserve">Age </w:t>
            </w:r>
            <w:r>
              <w:rPr>
                <w:sz w:val="20"/>
                <w:szCs w:val="20"/>
              </w:rPr>
              <w:t>(yrs.)</w:t>
            </w:r>
          </w:p>
        </w:tc>
        <w:tc>
          <w:tcPr>
            <w:tcW w:w="1311" w:type="pct"/>
            <w:tcBorders>
              <w:top w:val="single" w:sz="12" w:space="0" w:color="auto"/>
              <w:left w:val="single" w:sz="12" w:space="0" w:color="auto"/>
              <w:bottom w:val="nil"/>
              <w:right w:val="single" w:sz="12" w:space="0" w:color="auto"/>
            </w:tcBorders>
            <w:vAlign w:val="center"/>
          </w:tcPr>
          <w:p w:rsidR="00E34EC7" w:rsidRDefault="00E34EC7" w:rsidP="0040199E">
            <w:pPr>
              <w:adjustRightInd w:val="0"/>
              <w:snapToGrid w:val="0"/>
              <w:spacing w:after="0" w:line="240" w:lineRule="auto"/>
              <w:jc w:val="both"/>
              <w:rPr>
                <w:sz w:val="20"/>
                <w:szCs w:val="20"/>
              </w:rPr>
            </w:pPr>
          </w:p>
        </w:tc>
        <w:tc>
          <w:tcPr>
            <w:tcW w:w="1243" w:type="pct"/>
            <w:tcBorders>
              <w:top w:val="single" w:sz="12" w:space="0" w:color="auto"/>
              <w:left w:val="single" w:sz="12" w:space="0" w:color="auto"/>
              <w:bottom w:val="nil"/>
              <w:right w:val="single" w:sz="12" w:space="0" w:color="auto"/>
            </w:tcBorders>
            <w:vAlign w:val="center"/>
          </w:tcPr>
          <w:p w:rsidR="00E34EC7" w:rsidRDefault="00E34EC7" w:rsidP="0040199E">
            <w:pPr>
              <w:adjustRightInd w:val="0"/>
              <w:snapToGrid w:val="0"/>
              <w:spacing w:after="0" w:line="240" w:lineRule="auto"/>
              <w:jc w:val="both"/>
              <w:rPr>
                <w:sz w:val="20"/>
                <w:szCs w:val="20"/>
              </w:rPr>
            </w:pPr>
          </w:p>
        </w:tc>
      </w:tr>
      <w:tr w:rsidR="00E34EC7">
        <w:trPr>
          <w:trHeight w:val="72"/>
          <w:jc w:val="center"/>
        </w:trPr>
        <w:tc>
          <w:tcPr>
            <w:tcW w:w="2446" w:type="pct"/>
            <w:tcBorders>
              <w:top w:val="nil"/>
              <w:left w:val="single" w:sz="12" w:space="0" w:color="auto"/>
              <w:bottom w:val="nil"/>
              <w:right w:val="single" w:sz="12" w:space="0" w:color="auto"/>
            </w:tcBorders>
          </w:tcPr>
          <w:p w:rsidR="00E34EC7" w:rsidRDefault="00684B14" w:rsidP="0040199E">
            <w:pPr>
              <w:adjustRightInd w:val="0"/>
              <w:snapToGrid w:val="0"/>
              <w:spacing w:after="0" w:line="240" w:lineRule="auto"/>
              <w:jc w:val="both"/>
              <w:rPr>
                <w:sz w:val="20"/>
                <w:szCs w:val="20"/>
              </w:rPr>
            </w:pPr>
            <w:r>
              <w:rPr>
                <w:sz w:val="20"/>
                <w:szCs w:val="20"/>
              </w:rPr>
              <w:t>Mean ± SD</w:t>
            </w:r>
          </w:p>
        </w:tc>
        <w:tc>
          <w:tcPr>
            <w:tcW w:w="1311" w:type="pct"/>
            <w:tcBorders>
              <w:top w:val="nil"/>
              <w:left w:val="single" w:sz="12" w:space="0" w:color="auto"/>
              <w:bottom w:val="nil"/>
              <w:right w:val="single" w:sz="12" w:space="0" w:color="auto"/>
            </w:tcBorders>
            <w:vAlign w:val="center"/>
          </w:tcPr>
          <w:p w:rsidR="00E34EC7" w:rsidRDefault="00684B14" w:rsidP="0040199E">
            <w:pPr>
              <w:adjustRightInd w:val="0"/>
              <w:snapToGrid w:val="0"/>
              <w:spacing w:after="0" w:line="240" w:lineRule="auto"/>
              <w:jc w:val="both"/>
              <w:rPr>
                <w:sz w:val="20"/>
                <w:szCs w:val="20"/>
              </w:rPr>
            </w:pPr>
            <w:r>
              <w:rPr>
                <w:sz w:val="20"/>
                <w:szCs w:val="20"/>
              </w:rPr>
              <w:t>9.84 ± 1.62</w:t>
            </w:r>
          </w:p>
        </w:tc>
        <w:tc>
          <w:tcPr>
            <w:tcW w:w="1243" w:type="pct"/>
            <w:tcBorders>
              <w:top w:val="nil"/>
              <w:left w:val="single" w:sz="12" w:space="0" w:color="auto"/>
              <w:bottom w:val="nil"/>
              <w:right w:val="single" w:sz="12" w:space="0" w:color="auto"/>
            </w:tcBorders>
            <w:vAlign w:val="center"/>
          </w:tcPr>
          <w:p w:rsidR="00E34EC7" w:rsidRDefault="00E34EC7" w:rsidP="0040199E">
            <w:pPr>
              <w:adjustRightInd w:val="0"/>
              <w:snapToGrid w:val="0"/>
              <w:spacing w:after="0" w:line="240" w:lineRule="auto"/>
              <w:jc w:val="both"/>
              <w:rPr>
                <w:sz w:val="20"/>
                <w:szCs w:val="20"/>
              </w:rPr>
            </w:pPr>
          </w:p>
        </w:tc>
      </w:tr>
      <w:tr w:rsidR="00E34EC7">
        <w:trPr>
          <w:trHeight w:val="218"/>
          <w:jc w:val="center"/>
        </w:trPr>
        <w:tc>
          <w:tcPr>
            <w:tcW w:w="2446" w:type="pct"/>
            <w:tcBorders>
              <w:top w:val="nil"/>
              <w:left w:val="single" w:sz="12" w:space="0" w:color="auto"/>
              <w:bottom w:val="nil"/>
              <w:right w:val="single" w:sz="12" w:space="0" w:color="auto"/>
            </w:tcBorders>
          </w:tcPr>
          <w:p w:rsidR="00E34EC7" w:rsidRDefault="00684B14" w:rsidP="0040199E">
            <w:pPr>
              <w:adjustRightInd w:val="0"/>
              <w:snapToGrid w:val="0"/>
              <w:spacing w:after="0" w:line="240" w:lineRule="auto"/>
              <w:jc w:val="both"/>
              <w:rPr>
                <w:b/>
                <w:bCs/>
                <w:sz w:val="20"/>
                <w:szCs w:val="20"/>
              </w:rPr>
            </w:pPr>
            <w:r>
              <w:rPr>
                <w:b/>
                <w:bCs/>
                <w:sz w:val="20"/>
                <w:szCs w:val="20"/>
              </w:rPr>
              <w:t>Gender</w:t>
            </w:r>
          </w:p>
        </w:tc>
        <w:tc>
          <w:tcPr>
            <w:tcW w:w="1311" w:type="pct"/>
            <w:tcBorders>
              <w:top w:val="nil"/>
              <w:left w:val="single" w:sz="12" w:space="0" w:color="auto"/>
              <w:bottom w:val="nil"/>
              <w:right w:val="single" w:sz="12" w:space="0" w:color="auto"/>
            </w:tcBorders>
            <w:vAlign w:val="center"/>
          </w:tcPr>
          <w:p w:rsidR="00E34EC7" w:rsidRDefault="00E34EC7" w:rsidP="0040199E">
            <w:pPr>
              <w:adjustRightInd w:val="0"/>
              <w:snapToGrid w:val="0"/>
              <w:spacing w:after="0" w:line="240" w:lineRule="auto"/>
              <w:jc w:val="both"/>
              <w:rPr>
                <w:sz w:val="20"/>
                <w:szCs w:val="20"/>
              </w:rPr>
            </w:pPr>
          </w:p>
        </w:tc>
        <w:tc>
          <w:tcPr>
            <w:tcW w:w="1243" w:type="pct"/>
            <w:tcBorders>
              <w:top w:val="nil"/>
              <w:left w:val="single" w:sz="12" w:space="0" w:color="auto"/>
              <w:bottom w:val="nil"/>
              <w:right w:val="single" w:sz="12" w:space="0" w:color="auto"/>
            </w:tcBorders>
            <w:vAlign w:val="center"/>
          </w:tcPr>
          <w:p w:rsidR="00E34EC7" w:rsidRDefault="00E34EC7" w:rsidP="0040199E">
            <w:pPr>
              <w:adjustRightInd w:val="0"/>
              <w:snapToGrid w:val="0"/>
              <w:spacing w:after="0" w:line="240" w:lineRule="auto"/>
              <w:jc w:val="both"/>
              <w:rPr>
                <w:sz w:val="20"/>
                <w:szCs w:val="20"/>
              </w:rPr>
            </w:pPr>
          </w:p>
        </w:tc>
      </w:tr>
      <w:tr w:rsidR="00E34EC7">
        <w:trPr>
          <w:trHeight w:val="72"/>
          <w:jc w:val="center"/>
        </w:trPr>
        <w:tc>
          <w:tcPr>
            <w:tcW w:w="2446" w:type="pct"/>
            <w:tcBorders>
              <w:top w:val="nil"/>
              <w:left w:val="single" w:sz="12" w:space="0" w:color="auto"/>
              <w:bottom w:val="nil"/>
              <w:right w:val="single" w:sz="12" w:space="0" w:color="auto"/>
            </w:tcBorders>
          </w:tcPr>
          <w:p w:rsidR="00E34EC7" w:rsidRDefault="00684B14" w:rsidP="0040199E">
            <w:pPr>
              <w:adjustRightInd w:val="0"/>
              <w:snapToGrid w:val="0"/>
              <w:spacing w:after="0" w:line="240" w:lineRule="auto"/>
              <w:jc w:val="both"/>
              <w:rPr>
                <w:b/>
                <w:bCs/>
                <w:sz w:val="20"/>
                <w:szCs w:val="20"/>
              </w:rPr>
            </w:pPr>
            <w:r>
              <w:rPr>
                <w:b/>
                <w:bCs/>
                <w:sz w:val="20"/>
                <w:szCs w:val="20"/>
              </w:rPr>
              <w:t xml:space="preserve">Girls </w:t>
            </w:r>
          </w:p>
        </w:tc>
        <w:tc>
          <w:tcPr>
            <w:tcW w:w="1311" w:type="pct"/>
            <w:tcBorders>
              <w:top w:val="nil"/>
              <w:left w:val="single" w:sz="12" w:space="0" w:color="auto"/>
              <w:bottom w:val="nil"/>
              <w:right w:val="single" w:sz="12" w:space="0" w:color="auto"/>
            </w:tcBorders>
            <w:vAlign w:val="center"/>
          </w:tcPr>
          <w:p w:rsidR="00E34EC7" w:rsidRDefault="00684B14" w:rsidP="0040199E">
            <w:pPr>
              <w:adjustRightInd w:val="0"/>
              <w:snapToGrid w:val="0"/>
              <w:spacing w:after="0" w:line="240" w:lineRule="auto"/>
              <w:jc w:val="both"/>
              <w:rPr>
                <w:sz w:val="20"/>
                <w:szCs w:val="20"/>
              </w:rPr>
            </w:pPr>
            <w:r>
              <w:rPr>
                <w:sz w:val="20"/>
                <w:szCs w:val="20"/>
              </w:rPr>
              <w:t>3</w:t>
            </w:r>
          </w:p>
        </w:tc>
        <w:tc>
          <w:tcPr>
            <w:tcW w:w="1243" w:type="pct"/>
            <w:tcBorders>
              <w:top w:val="nil"/>
              <w:left w:val="single" w:sz="12" w:space="0" w:color="auto"/>
              <w:bottom w:val="nil"/>
              <w:right w:val="single" w:sz="12" w:space="0" w:color="auto"/>
            </w:tcBorders>
            <w:vAlign w:val="center"/>
          </w:tcPr>
          <w:p w:rsidR="00E34EC7" w:rsidRDefault="00684B14" w:rsidP="0040199E">
            <w:pPr>
              <w:adjustRightInd w:val="0"/>
              <w:snapToGrid w:val="0"/>
              <w:spacing w:after="0" w:line="240" w:lineRule="auto"/>
              <w:jc w:val="both"/>
              <w:rPr>
                <w:sz w:val="20"/>
                <w:szCs w:val="20"/>
              </w:rPr>
            </w:pPr>
            <w:r>
              <w:rPr>
                <w:sz w:val="20"/>
                <w:szCs w:val="20"/>
              </w:rPr>
              <w:t>12.0</w:t>
            </w:r>
          </w:p>
        </w:tc>
      </w:tr>
      <w:tr w:rsidR="00E34EC7">
        <w:trPr>
          <w:trHeight w:val="218"/>
          <w:jc w:val="center"/>
        </w:trPr>
        <w:tc>
          <w:tcPr>
            <w:tcW w:w="2446" w:type="pct"/>
            <w:tcBorders>
              <w:top w:val="nil"/>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b/>
                <w:bCs/>
                <w:sz w:val="20"/>
                <w:szCs w:val="20"/>
              </w:rPr>
            </w:pPr>
            <w:r>
              <w:rPr>
                <w:b/>
                <w:bCs/>
                <w:sz w:val="20"/>
                <w:szCs w:val="20"/>
              </w:rPr>
              <w:t>boys</w:t>
            </w:r>
          </w:p>
        </w:tc>
        <w:tc>
          <w:tcPr>
            <w:tcW w:w="1311" w:type="pct"/>
            <w:tcBorders>
              <w:top w:val="nil"/>
              <w:left w:val="single" w:sz="12" w:space="0" w:color="auto"/>
              <w:bottom w:val="single" w:sz="12" w:space="0" w:color="auto"/>
              <w:right w:val="single" w:sz="12" w:space="0" w:color="auto"/>
            </w:tcBorders>
            <w:vAlign w:val="center"/>
          </w:tcPr>
          <w:p w:rsidR="00E34EC7" w:rsidRDefault="00684B14" w:rsidP="0040199E">
            <w:pPr>
              <w:adjustRightInd w:val="0"/>
              <w:snapToGrid w:val="0"/>
              <w:spacing w:after="0" w:line="240" w:lineRule="auto"/>
              <w:jc w:val="both"/>
              <w:rPr>
                <w:sz w:val="20"/>
                <w:szCs w:val="20"/>
              </w:rPr>
            </w:pPr>
            <w:r>
              <w:rPr>
                <w:sz w:val="20"/>
                <w:szCs w:val="20"/>
              </w:rPr>
              <w:t>22</w:t>
            </w:r>
          </w:p>
        </w:tc>
        <w:tc>
          <w:tcPr>
            <w:tcW w:w="1243" w:type="pct"/>
            <w:tcBorders>
              <w:top w:val="nil"/>
              <w:left w:val="single" w:sz="12" w:space="0" w:color="auto"/>
              <w:bottom w:val="single" w:sz="12" w:space="0" w:color="auto"/>
              <w:right w:val="single" w:sz="12" w:space="0" w:color="auto"/>
            </w:tcBorders>
            <w:vAlign w:val="center"/>
          </w:tcPr>
          <w:p w:rsidR="00E34EC7" w:rsidRDefault="00684B14" w:rsidP="0040199E">
            <w:pPr>
              <w:adjustRightInd w:val="0"/>
              <w:snapToGrid w:val="0"/>
              <w:spacing w:after="0" w:line="240" w:lineRule="auto"/>
              <w:jc w:val="both"/>
              <w:rPr>
                <w:sz w:val="20"/>
                <w:szCs w:val="20"/>
              </w:rPr>
            </w:pPr>
            <w:r>
              <w:rPr>
                <w:sz w:val="20"/>
                <w:szCs w:val="20"/>
              </w:rPr>
              <w:t>88.0</w:t>
            </w:r>
          </w:p>
        </w:tc>
      </w:tr>
    </w:tbl>
    <w:p w:rsidR="00E34EC7" w:rsidRDefault="00E34EC7" w:rsidP="0040199E">
      <w:pPr>
        <w:adjustRightInd w:val="0"/>
        <w:snapToGrid w:val="0"/>
        <w:spacing w:after="0" w:line="240" w:lineRule="auto"/>
        <w:jc w:val="both"/>
        <w:rPr>
          <w:b/>
          <w:bCs/>
          <w:sz w:val="20"/>
          <w:szCs w:val="20"/>
        </w:rPr>
      </w:pPr>
    </w:p>
    <w:p w:rsidR="00E34EC7" w:rsidRDefault="00684B14" w:rsidP="0040199E">
      <w:pPr>
        <w:adjustRightInd w:val="0"/>
        <w:snapToGrid w:val="0"/>
        <w:spacing w:after="0" w:line="240" w:lineRule="auto"/>
        <w:jc w:val="both"/>
        <w:rPr>
          <w:b/>
          <w:bCs/>
          <w:sz w:val="20"/>
          <w:szCs w:val="20"/>
        </w:rPr>
      </w:pPr>
      <w:r>
        <w:rPr>
          <w:b/>
          <w:bCs/>
          <w:sz w:val="20"/>
          <w:szCs w:val="20"/>
        </w:rPr>
        <w:t>EEG parameters</w:t>
      </w:r>
    </w:p>
    <w:p w:rsidR="00E34EC7" w:rsidRDefault="00684B14" w:rsidP="0040199E">
      <w:pPr>
        <w:adjustRightInd w:val="0"/>
        <w:snapToGrid w:val="0"/>
        <w:spacing w:after="0" w:line="240" w:lineRule="auto"/>
        <w:jc w:val="both"/>
        <w:rPr>
          <w:b/>
          <w:bCs/>
          <w:sz w:val="20"/>
          <w:szCs w:val="20"/>
        </w:rPr>
      </w:pPr>
      <w:r>
        <w:rPr>
          <w:b/>
          <w:bCs/>
          <w:sz w:val="20"/>
          <w:szCs w:val="20"/>
        </w:rPr>
        <w:t>I- Theta</w:t>
      </w:r>
    </w:p>
    <w:p w:rsidR="00E34EC7" w:rsidRDefault="00684B14" w:rsidP="0040199E">
      <w:pPr>
        <w:adjustRightInd w:val="0"/>
        <w:snapToGrid w:val="0"/>
        <w:spacing w:after="0" w:line="240" w:lineRule="auto"/>
        <w:ind w:firstLine="426"/>
        <w:jc w:val="both"/>
        <w:rPr>
          <w:bCs/>
          <w:sz w:val="20"/>
          <w:szCs w:val="20"/>
        </w:rPr>
      </w:pPr>
      <w:r>
        <w:rPr>
          <w:bCs/>
          <w:sz w:val="20"/>
          <w:szCs w:val="20"/>
        </w:rPr>
        <w:t xml:space="preserve">The mean value (± SD) of theta amplitude measured at pre-exercise and post-exercise was </w:t>
      </w:r>
      <w:r>
        <w:rPr>
          <w:sz w:val="20"/>
          <w:szCs w:val="20"/>
        </w:rPr>
        <w:t>26.07 ± 6.58</w:t>
      </w:r>
      <w:r>
        <w:rPr>
          <w:bCs/>
          <w:sz w:val="20"/>
          <w:szCs w:val="20"/>
        </w:rPr>
        <w:t xml:space="preserve"> UV and </w:t>
      </w:r>
      <w:r>
        <w:rPr>
          <w:sz w:val="20"/>
          <w:szCs w:val="20"/>
        </w:rPr>
        <w:t>24.18 ± 5.56 UV, respectively</w:t>
      </w:r>
      <w:r>
        <w:rPr>
          <w:bCs/>
          <w:sz w:val="20"/>
          <w:szCs w:val="20"/>
        </w:rPr>
        <w:t>. There was a statistical significant decrease in its values measured at post-exercise when compared to its corresponding value measured at pre-exercise (t= 5.518, p= 0.001). The percent decrease in its mean value was 7.25% (Table 2; Fig.1 ).</w:t>
      </w:r>
    </w:p>
    <w:p w:rsidR="00E34EC7" w:rsidRDefault="00E34EC7" w:rsidP="0040199E">
      <w:pPr>
        <w:adjustRightInd w:val="0"/>
        <w:snapToGrid w:val="0"/>
        <w:spacing w:after="0" w:line="240" w:lineRule="auto"/>
        <w:jc w:val="both"/>
        <w:rPr>
          <w:sz w:val="20"/>
          <w:szCs w:val="20"/>
        </w:rPr>
      </w:pPr>
    </w:p>
    <w:p w:rsidR="00E34EC7" w:rsidRDefault="00684B14" w:rsidP="0040199E">
      <w:pPr>
        <w:adjustRightInd w:val="0"/>
        <w:snapToGrid w:val="0"/>
        <w:spacing w:after="0" w:line="240" w:lineRule="auto"/>
        <w:jc w:val="both"/>
        <w:rPr>
          <w:sz w:val="20"/>
          <w:szCs w:val="20"/>
        </w:rPr>
      </w:pPr>
      <w:r>
        <w:rPr>
          <w:b/>
          <w:bCs/>
          <w:sz w:val="20"/>
          <w:szCs w:val="20"/>
        </w:rPr>
        <w:t>Table 2</w:t>
      </w:r>
      <w:r w:rsidR="00420420">
        <w:rPr>
          <w:b/>
          <w:bCs/>
          <w:sz w:val="20"/>
          <w:szCs w:val="20"/>
        </w:rPr>
        <w:t>:</w:t>
      </w:r>
      <w:r>
        <w:rPr>
          <w:b/>
          <w:bCs/>
          <w:sz w:val="20"/>
          <w:szCs w:val="20"/>
        </w:rPr>
        <w:t xml:space="preserve"> </w:t>
      </w:r>
      <w:r>
        <w:rPr>
          <w:sz w:val="20"/>
          <w:szCs w:val="20"/>
        </w:rPr>
        <w:t>Mean values of theta amplitude measured at pre-</w:t>
      </w:r>
      <w:r>
        <w:rPr>
          <w:bCs/>
          <w:sz w:val="20"/>
          <w:szCs w:val="20"/>
        </w:rPr>
        <w:t>exercise</w:t>
      </w:r>
      <w:r>
        <w:rPr>
          <w:sz w:val="20"/>
          <w:szCs w:val="20"/>
        </w:rPr>
        <w:t xml:space="preserve"> and post-</w:t>
      </w:r>
      <w:r>
        <w:rPr>
          <w:bCs/>
          <w:sz w:val="20"/>
          <w:szCs w:val="20"/>
        </w:rPr>
        <w:t xml:space="preserve">exercise </w:t>
      </w:r>
      <w:r>
        <w:rPr>
          <w:sz w:val="20"/>
          <w:szCs w:val="20"/>
        </w:rPr>
        <w:t>in the studied group.</w:t>
      </w:r>
    </w:p>
    <w:tbl>
      <w:tblPr>
        <w:tblW w:w="4783" w:type="pct"/>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2876"/>
        <w:gridCol w:w="3065"/>
        <w:gridCol w:w="3219"/>
      </w:tblGrid>
      <w:tr w:rsidR="00E34EC7">
        <w:tc>
          <w:tcPr>
            <w:tcW w:w="1570" w:type="pct"/>
            <w:tcBorders>
              <w:top w:val="single" w:sz="12" w:space="0" w:color="auto"/>
              <w:left w:val="single" w:sz="12" w:space="0" w:color="auto"/>
              <w:bottom w:val="single" w:sz="12" w:space="0" w:color="auto"/>
              <w:right w:val="single" w:sz="12" w:space="0" w:color="auto"/>
            </w:tcBorders>
          </w:tcPr>
          <w:p w:rsidR="00E34EC7" w:rsidRDefault="00E34EC7" w:rsidP="0040199E">
            <w:pPr>
              <w:adjustRightInd w:val="0"/>
              <w:snapToGrid w:val="0"/>
              <w:spacing w:after="0" w:line="240" w:lineRule="auto"/>
              <w:jc w:val="both"/>
              <w:rPr>
                <w:sz w:val="18"/>
                <w:szCs w:val="18"/>
              </w:rPr>
            </w:pPr>
          </w:p>
        </w:tc>
        <w:tc>
          <w:tcPr>
            <w:tcW w:w="1673" w:type="pct"/>
            <w:tcBorders>
              <w:top w:val="single" w:sz="12" w:space="0" w:color="auto"/>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Pre-exercise (n= 25)</w:t>
            </w:r>
          </w:p>
        </w:tc>
        <w:tc>
          <w:tcPr>
            <w:tcW w:w="1757" w:type="pct"/>
            <w:tcBorders>
              <w:top w:val="single" w:sz="12" w:space="0" w:color="auto"/>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Post-exercise (n= 25)</w:t>
            </w:r>
          </w:p>
        </w:tc>
      </w:tr>
      <w:tr w:rsidR="00E34EC7">
        <w:tc>
          <w:tcPr>
            <w:tcW w:w="1570" w:type="pct"/>
            <w:tcBorders>
              <w:top w:val="single" w:sz="12" w:space="0" w:color="auto"/>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Mean ± SD</w:t>
            </w:r>
          </w:p>
        </w:tc>
        <w:tc>
          <w:tcPr>
            <w:tcW w:w="1673" w:type="pct"/>
            <w:tcBorders>
              <w:top w:val="single" w:sz="12" w:space="0" w:color="auto"/>
              <w:left w:val="single" w:sz="12" w:space="0" w:color="auto"/>
              <w:bottom w:val="single" w:sz="12" w:space="0" w:color="auto"/>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26.07 ± 6.58</w:t>
            </w:r>
          </w:p>
        </w:tc>
        <w:tc>
          <w:tcPr>
            <w:tcW w:w="1757" w:type="pct"/>
            <w:tcBorders>
              <w:top w:val="single" w:sz="12" w:space="0" w:color="auto"/>
              <w:left w:val="single" w:sz="12" w:space="0" w:color="auto"/>
              <w:bottom w:val="single" w:sz="12" w:space="0" w:color="auto"/>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24.18 ± 5.56</w:t>
            </w:r>
          </w:p>
        </w:tc>
      </w:tr>
      <w:tr w:rsidR="00E34EC7">
        <w:tc>
          <w:tcPr>
            <w:tcW w:w="1570" w:type="pct"/>
            <w:tcBorders>
              <w:top w:val="single" w:sz="12" w:space="0" w:color="auto"/>
              <w:left w:val="single" w:sz="12" w:space="0" w:color="auto"/>
              <w:bottom w:val="nil"/>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Mean Difference</w:t>
            </w:r>
          </w:p>
        </w:tc>
        <w:tc>
          <w:tcPr>
            <w:tcW w:w="3430" w:type="pct"/>
            <w:gridSpan w:val="2"/>
            <w:tcBorders>
              <w:top w:val="single" w:sz="12" w:space="0" w:color="auto"/>
              <w:left w:val="single" w:sz="12" w:space="0" w:color="auto"/>
              <w:bottom w:val="nil"/>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1.89</w:t>
            </w:r>
          </w:p>
        </w:tc>
      </w:tr>
      <w:tr w:rsidR="00E34EC7">
        <w:tc>
          <w:tcPr>
            <w:tcW w:w="1570" w:type="pct"/>
            <w:tcBorders>
              <w:top w:val="nil"/>
              <w:left w:val="single" w:sz="12" w:space="0" w:color="auto"/>
              <w:bottom w:val="nil"/>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  change</w:t>
            </w:r>
          </w:p>
        </w:tc>
        <w:tc>
          <w:tcPr>
            <w:tcW w:w="3430" w:type="pct"/>
            <w:gridSpan w:val="2"/>
            <w:tcBorders>
              <w:top w:val="nil"/>
              <w:left w:val="single" w:sz="12" w:space="0" w:color="auto"/>
              <w:bottom w:val="nil"/>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7.25% ↓↓</w:t>
            </w:r>
          </w:p>
        </w:tc>
      </w:tr>
      <w:tr w:rsidR="00E34EC7">
        <w:tc>
          <w:tcPr>
            <w:tcW w:w="1570" w:type="pct"/>
            <w:tcBorders>
              <w:top w:val="nil"/>
              <w:left w:val="single" w:sz="12" w:space="0" w:color="auto"/>
              <w:bottom w:val="nil"/>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t value</w:t>
            </w:r>
          </w:p>
        </w:tc>
        <w:tc>
          <w:tcPr>
            <w:tcW w:w="3430" w:type="pct"/>
            <w:gridSpan w:val="2"/>
            <w:tcBorders>
              <w:top w:val="nil"/>
              <w:left w:val="single" w:sz="12" w:space="0" w:color="auto"/>
              <w:bottom w:val="nil"/>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5.518</w:t>
            </w:r>
          </w:p>
        </w:tc>
      </w:tr>
      <w:tr w:rsidR="00E34EC7">
        <w:tc>
          <w:tcPr>
            <w:tcW w:w="1570" w:type="pct"/>
            <w:tcBorders>
              <w:top w:val="nil"/>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p value</w:t>
            </w:r>
          </w:p>
        </w:tc>
        <w:tc>
          <w:tcPr>
            <w:tcW w:w="3430" w:type="pct"/>
            <w:gridSpan w:val="2"/>
            <w:tcBorders>
              <w:top w:val="nil"/>
              <w:left w:val="single" w:sz="12" w:space="0" w:color="auto"/>
              <w:bottom w:val="single" w:sz="12" w:space="0" w:color="auto"/>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0.001 (S)</w:t>
            </w:r>
          </w:p>
        </w:tc>
      </w:tr>
    </w:tbl>
    <w:p w:rsidR="00E34EC7" w:rsidRDefault="00E34EC7" w:rsidP="0040199E">
      <w:pPr>
        <w:adjustRightInd w:val="0"/>
        <w:snapToGrid w:val="0"/>
        <w:spacing w:after="0" w:line="240" w:lineRule="auto"/>
        <w:jc w:val="both"/>
        <w:rPr>
          <w:sz w:val="20"/>
          <w:szCs w:val="20"/>
        </w:rPr>
      </w:pPr>
    </w:p>
    <w:p w:rsidR="0040199E" w:rsidRDefault="0040199E" w:rsidP="0040199E">
      <w:pPr>
        <w:adjustRightInd w:val="0"/>
        <w:snapToGrid w:val="0"/>
        <w:spacing w:after="0" w:line="240" w:lineRule="auto"/>
        <w:jc w:val="center"/>
        <w:rPr>
          <w:sz w:val="20"/>
          <w:szCs w:val="20"/>
          <w:lang w:eastAsia="zh-CN"/>
        </w:rPr>
      </w:pPr>
      <w:r w:rsidRPr="00E34EC7">
        <w:rPr>
          <w:sz w:val="20"/>
          <w:szCs w:val="20"/>
        </w:rPr>
        <w:object w:dxaOrig="4088" w:dyaOrig="1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176.25pt" o:ole="">
            <v:imagedata r:id="rId16" o:title=""/>
          </v:shape>
          <o:OLEObject Type="Embed" ProgID="MSGraph.Chart.8" ShapeID="_x0000_i1025" DrawAspect="Content" ObjectID="_1690238267" r:id="rId17"/>
        </w:object>
      </w:r>
    </w:p>
    <w:p w:rsidR="00E34EC7" w:rsidRDefault="00684B14" w:rsidP="0040199E">
      <w:pPr>
        <w:adjustRightInd w:val="0"/>
        <w:snapToGrid w:val="0"/>
        <w:spacing w:after="0" w:line="240" w:lineRule="auto"/>
        <w:jc w:val="both"/>
        <w:rPr>
          <w:sz w:val="20"/>
          <w:szCs w:val="20"/>
        </w:rPr>
      </w:pPr>
      <w:r>
        <w:rPr>
          <w:b/>
          <w:bCs/>
          <w:sz w:val="20"/>
          <w:szCs w:val="20"/>
        </w:rPr>
        <w:t>Fig.1</w:t>
      </w:r>
      <w:r w:rsidR="00420420">
        <w:rPr>
          <w:b/>
          <w:bCs/>
          <w:sz w:val="20"/>
          <w:szCs w:val="20"/>
        </w:rPr>
        <w:t>:</w:t>
      </w:r>
      <w:r>
        <w:rPr>
          <w:b/>
          <w:bCs/>
          <w:sz w:val="20"/>
          <w:szCs w:val="20"/>
        </w:rPr>
        <w:t xml:space="preserve"> </w:t>
      </w:r>
      <w:r>
        <w:rPr>
          <w:sz w:val="20"/>
          <w:szCs w:val="20"/>
        </w:rPr>
        <w:t>Mean values of theta measured at pre-</w:t>
      </w:r>
      <w:r>
        <w:rPr>
          <w:bCs/>
          <w:sz w:val="20"/>
          <w:szCs w:val="20"/>
        </w:rPr>
        <w:t>exercise</w:t>
      </w:r>
      <w:r>
        <w:rPr>
          <w:sz w:val="20"/>
          <w:szCs w:val="20"/>
        </w:rPr>
        <w:t xml:space="preserve"> and post-</w:t>
      </w:r>
      <w:r>
        <w:rPr>
          <w:bCs/>
          <w:sz w:val="20"/>
          <w:szCs w:val="20"/>
        </w:rPr>
        <w:t>exercise</w:t>
      </w:r>
      <w:r>
        <w:rPr>
          <w:sz w:val="20"/>
          <w:szCs w:val="20"/>
        </w:rPr>
        <w:t xml:space="preserve"> in the studied group.</w:t>
      </w:r>
    </w:p>
    <w:p w:rsidR="00E34EC7" w:rsidRDefault="00E34EC7" w:rsidP="0040199E">
      <w:pPr>
        <w:adjustRightInd w:val="0"/>
        <w:snapToGrid w:val="0"/>
        <w:spacing w:after="0" w:line="240" w:lineRule="auto"/>
        <w:jc w:val="both"/>
        <w:rPr>
          <w:sz w:val="20"/>
          <w:szCs w:val="20"/>
        </w:rPr>
      </w:pPr>
    </w:p>
    <w:p w:rsidR="00E34EC7" w:rsidRDefault="00684B14" w:rsidP="0040199E">
      <w:pPr>
        <w:adjustRightInd w:val="0"/>
        <w:snapToGrid w:val="0"/>
        <w:spacing w:after="0" w:line="240" w:lineRule="auto"/>
        <w:jc w:val="both"/>
        <w:rPr>
          <w:b/>
          <w:bCs/>
          <w:sz w:val="20"/>
          <w:szCs w:val="20"/>
        </w:rPr>
      </w:pPr>
      <w:r>
        <w:rPr>
          <w:b/>
          <w:bCs/>
          <w:sz w:val="20"/>
          <w:szCs w:val="20"/>
        </w:rPr>
        <w:t xml:space="preserve">II- Beta </w:t>
      </w:r>
    </w:p>
    <w:p w:rsidR="00E34EC7" w:rsidRDefault="00684B14" w:rsidP="0040199E">
      <w:pPr>
        <w:adjustRightInd w:val="0"/>
        <w:snapToGrid w:val="0"/>
        <w:spacing w:after="0" w:line="240" w:lineRule="auto"/>
        <w:ind w:firstLine="426"/>
        <w:jc w:val="both"/>
        <w:rPr>
          <w:sz w:val="20"/>
          <w:szCs w:val="20"/>
        </w:rPr>
      </w:pPr>
      <w:r>
        <w:rPr>
          <w:sz w:val="20"/>
          <w:szCs w:val="20"/>
        </w:rPr>
        <w:t>The mean value (± SD) of beta measured at pre-exercise was 10.05 ± 1.82 UV while it was 10.28 ± 1.83 UV at post-exercise. Its mean value was significantly increased at post-exercise when compared to its corresponding value measured at pre-exercise (t= -2.839, p= 0.009). The percent increase in its mean value was 2.29% (Table3</w:t>
      </w:r>
      <w:r w:rsidR="00420420">
        <w:rPr>
          <w:sz w:val="20"/>
          <w:szCs w:val="20"/>
        </w:rPr>
        <w:t>;</w:t>
      </w:r>
      <w:r>
        <w:rPr>
          <w:sz w:val="20"/>
          <w:szCs w:val="20"/>
        </w:rPr>
        <w:t xml:space="preserve"> Fig. 2).</w:t>
      </w:r>
    </w:p>
    <w:p w:rsidR="00E34EC7" w:rsidRDefault="00E34EC7" w:rsidP="0040199E">
      <w:pPr>
        <w:adjustRightInd w:val="0"/>
        <w:snapToGrid w:val="0"/>
        <w:spacing w:after="0" w:line="240" w:lineRule="auto"/>
        <w:jc w:val="both"/>
        <w:rPr>
          <w:sz w:val="20"/>
          <w:szCs w:val="20"/>
        </w:rPr>
      </w:pPr>
    </w:p>
    <w:p w:rsidR="00E34EC7" w:rsidRDefault="00684B14" w:rsidP="0040199E">
      <w:pPr>
        <w:adjustRightInd w:val="0"/>
        <w:snapToGrid w:val="0"/>
        <w:spacing w:after="0" w:line="240" w:lineRule="auto"/>
        <w:jc w:val="both"/>
        <w:rPr>
          <w:sz w:val="20"/>
          <w:szCs w:val="20"/>
        </w:rPr>
      </w:pPr>
      <w:r>
        <w:rPr>
          <w:sz w:val="20"/>
          <w:szCs w:val="20"/>
        </w:rPr>
        <w:t>Table 3</w:t>
      </w:r>
      <w:r w:rsidR="00420420">
        <w:rPr>
          <w:sz w:val="20"/>
          <w:szCs w:val="20"/>
        </w:rPr>
        <w:t>:</w:t>
      </w:r>
      <w:r>
        <w:rPr>
          <w:sz w:val="20"/>
          <w:szCs w:val="20"/>
        </w:rPr>
        <w:t xml:space="preserve"> Mean values of beta measured at pre-exercise and post-exercise in the studied group.</w:t>
      </w:r>
    </w:p>
    <w:tbl>
      <w:tblPr>
        <w:tblW w:w="4328" w:type="pct"/>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2604"/>
        <w:gridCol w:w="2772"/>
        <w:gridCol w:w="2913"/>
      </w:tblGrid>
      <w:tr w:rsidR="00E34EC7" w:rsidTr="0040199E">
        <w:trPr>
          <w:trHeight w:val="50"/>
        </w:trPr>
        <w:tc>
          <w:tcPr>
            <w:tcW w:w="1571" w:type="pct"/>
            <w:tcBorders>
              <w:top w:val="single" w:sz="12" w:space="0" w:color="auto"/>
              <w:left w:val="single" w:sz="12" w:space="0" w:color="auto"/>
              <w:bottom w:val="single" w:sz="12" w:space="0" w:color="auto"/>
              <w:right w:val="single" w:sz="12" w:space="0" w:color="auto"/>
            </w:tcBorders>
          </w:tcPr>
          <w:p w:rsidR="00E34EC7" w:rsidRDefault="00E34EC7" w:rsidP="0040199E">
            <w:pPr>
              <w:adjustRightInd w:val="0"/>
              <w:snapToGrid w:val="0"/>
              <w:spacing w:after="0" w:line="240" w:lineRule="auto"/>
              <w:jc w:val="both"/>
              <w:rPr>
                <w:sz w:val="18"/>
                <w:szCs w:val="18"/>
              </w:rPr>
            </w:pPr>
          </w:p>
        </w:tc>
        <w:tc>
          <w:tcPr>
            <w:tcW w:w="1672" w:type="pct"/>
            <w:tcBorders>
              <w:top w:val="single" w:sz="12" w:space="0" w:color="auto"/>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Pre-exercise (n= 25)</w:t>
            </w:r>
          </w:p>
        </w:tc>
        <w:tc>
          <w:tcPr>
            <w:tcW w:w="1757" w:type="pct"/>
            <w:tcBorders>
              <w:top w:val="single" w:sz="12" w:space="0" w:color="auto"/>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Post-exercise (n= 25)</w:t>
            </w:r>
          </w:p>
        </w:tc>
      </w:tr>
      <w:tr w:rsidR="00E34EC7">
        <w:trPr>
          <w:trHeight w:val="225"/>
        </w:trPr>
        <w:tc>
          <w:tcPr>
            <w:tcW w:w="1571" w:type="pct"/>
            <w:tcBorders>
              <w:top w:val="single" w:sz="12" w:space="0" w:color="auto"/>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Mean ± SD</w:t>
            </w:r>
          </w:p>
        </w:tc>
        <w:tc>
          <w:tcPr>
            <w:tcW w:w="1672" w:type="pct"/>
            <w:tcBorders>
              <w:top w:val="single" w:sz="12" w:space="0" w:color="auto"/>
              <w:left w:val="single" w:sz="12" w:space="0" w:color="auto"/>
              <w:bottom w:val="single" w:sz="12" w:space="0" w:color="auto"/>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10.05 ± 1.82</w:t>
            </w:r>
          </w:p>
        </w:tc>
        <w:tc>
          <w:tcPr>
            <w:tcW w:w="1757" w:type="pct"/>
            <w:tcBorders>
              <w:top w:val="single" w:sz="12" w:space="0" w:color="auto"/>
              <w:left w:val="single" w:sz="12" w:space="0" w:color="auto"/>
              <w:bottom w:val="single" w:sz="12" w:space="0" w:color="auto"/>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10.28 ± 1.83</w:t>
            </w:r>
          </w:p>
        </w:tc>
      </w:tr>
      <w:tr w:rsidR="00E34EC7">
        <w:trPr>
          <w:trHeight w:val="42"/>
        </w:trPr>
        <w:tc>
          <w:tcPr>
            <w:tcW w:w="1571" w:type="pct"/>
            <w:tcBorders>
              <w:top w:val="single" w:sz="12" w:space="0" w:color="auto"/>
              <w:left w:val="single" w:sz="12" w:space="0" w:color="auto"/>
              <w:bottom w:val="nil"/>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Mean Difference</w:t>
            </w:r>
          </w:p>
        </w:tc>
        <w:tc>
          <w:tcPr>
            <w:tcW w:w="3429" w:type="pct"/>
            <w:gridSpan w:val="2"/>
            <w:tcBorders>
              <w:top w:val="single" w:sz="12" w:space="0" w:color="auto"/>
              <w:left w:val="single" w:sz="12" w:space="0" w:color="auto"/>
              <w:bottom w:val="nil"/>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0.23</w:t>
            </w:r>
          </w:p>
        </w:tc>
      </w:tr>
      <w:tr w:rsidR="00E34EC7">
        <w:trPr>
          <w:trHeight w:val="72"/>
        </w:trPr>
        <w:tc>
          <w:tcPr>
            <w:tcW w:w="1571" w:type="pct"/>
            <w:tcBorders>
              <w:top w:val="nil"/>
              <w:left w:val="single" w:sz="12" w:space="0" w:color="auto"/>
              <w:bottom w:val="nil"/>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  change</w:t>
            </w:r>
          </w:p>
        </w:tc>
        <w:tc>
          <w:tcPr>
            <w:tcW w:w="3429" w:type="pct"/>
            <w:gridSpan w:val="2"/>
            <w:tcBorders>
              <w:top w:val="nil"/>
              <w:left w:val="single" w:sz="12" w:space="0" w:color="auto"/>
              <w:bottom w:val="nil"/>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 xml:space="preserve">2.29% ↑↑ </w:t>
            </w:r>
          </w:p>
        </w:tc>
      </w:tr>
      <w:tr w:rsidR="00E34EC7">
        <w:trPr>
          <w:trHeight w:val="72"/>
        </w:trPr>
        <w:tc>
          <w:tcPr>
            <w:tcW w:w="1571" w:type="pct"/>
            <w:tcBorders>
              <w:top w:val="nil"/>
              <w:left w:val="single" w:sz="12" w:space="0" w:color="auto"/>
              <w:bottom w:val="nil"/>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t value</w:t>
            </w:r>
          </w:p>
        </w:tc>
        <w:tc>
          <w:tcPr>
            <w:tcW w:w="3429" w:type="pct"/>
            <w:gridSpan w:val="2"/>
            <w:tcBorders>
              <w:top w:val="nil"/>
              <w:left w:val="single" w:sz="12" w:space="0" w:color="auto"/>
              <w:bottom w:val="nil"/>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-2.839</w:t>
            </w:r>
          </w:p>
        </w:tc>
      </w:tr>
      <w:tr w:rsidR="00E34EC7">
        <w:trPr>
          <w:trHeight w:val="72"/>
        </w:trPr>
        <w:tc>
          <w:tcPr>
            <w:tcW w:w="1571" w:type="pct"/>
            <w:tcBorders>
              <w:top w:val="nil"/>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p value</w:t>
            </w:r>
          </w:p>
        </w:tc>
        <w:tc>
          <w:tcPr>
            <w:tcW w:w="3429" w:type="pct"/>
            <w:gridSpan w:val="2"/>
            <w:tcBorders>
              <w:top w:val="nil"/>
              <w:left w:val="single" w:sz="12" w:space="0" w:color="auto"/>
              <w:bottom w:val="single" w:sz="12" w:space="0" w:color="auto"/>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0.009 (S)</w:t>
            </w:r>
          </w:p>
        </w:tc>
      </w:tr>
    </w:tbl>
    <w:p w:rsidR="00E34EC7" w:rsidRDefault="00E34EC7" w:rsidP="0040199E">
      <w:pPr>
        <w:adjustRightInd w:val="0"/>
        <w:snapToGrid w:val="0"/>
        <w:spacing w:after="0" w:line="240" w:lineRule="auto"/>
        <w:jc w:val="both"/>
        <w:rPr>
          <w:sz w:val="20"/>
          <w:szCs w:val="20"/>
          <w:lang w:eastAsia="zh-CN"/>
        </w:rPr>
      </w:pPr>
    </w:p>
    <w:p w:rsidR="0040199E" w:rsidRDefault="0040199E" w:rsidP="0040199E">
      <w:pPr>
        <w:adjustRightInd w:val="0"/>
        <w:snapToGrid w:val="0"/>
        <w:spacing w:after="0" w:line="240" w:lineRule="auto"/>
        <w:jc w:val="both"/>
        <w:rPr>
          <w:sz w:val="20"/>
          <w:szCs w:val="20"/>
          <w:lang w:eastAsia="zh-CN"/>
        </w:rPr>
      </w:pPr>
    </w:p>
    <w:p w:rsidR="0040199E" w:rsidRDefault="0040199E" w:rsidP="0040199E">
      <w:pPr>
        <w:adjustRightInd w:val="0"/>
        <w:snapToGrid w:val="0"/>
        <w:spacing w:after="0" w:line="240" w:lineRule="auto"/>
        <w:jc w:val="both"/>
        <w:rPr>
          <w:sz w:val="20"/>
          <w:szCs w:val="20"/>
          <w:lang w:eastAsia="zh-CN"/>
        </w:rPr>
      </w:pPr>
    </w:p>
    <w:p w:rsidR="00E34EC7" w:rsidRDefault="00684B14" w:rsidP="0040199E">
      <w:pPr>
        <w:adjustRightInd w:val="0"/>
        <w:snapToGrid w:val="0"/>
        <w:spacing w:after="0" w:line="240" w:lineRule="auto"/>
        <w:jc w:val="both"/>
        <w:rPr>
          <w:b/>
          <w:bCs/>
          <w:sz w:val="20"/>
          <w:szCs w:val="20"/>
        </w:rPr>
      </w:pPr>
      <w:r>
        <w:rPr>
          <w:b/>
          <w:bCs/>
          <w:sz w:val="20"/>
          <w:szCs w:val="20"/>
        </w:rPr>
        <w:t>III- Theta/Beta ratio</w:t>
      </w:r>
    </w:p>
    <w:p w:rsidR="00E34EC7" w:rsidRDefault="00684B14" w:rsidP="0040199E">
      <w:pPr>
        <w:adjustRightInd w:val="0"/>
        <w:snapToGrid w:val="0"/>
        <w:spacing w:after="0" w:line="240" w:lineRule="auto"/>
        <w:ind w:firstLine="426"/>
        <w:jc w:val="both"/>
        <w:rPr>
          <w:sz w:val="20"/>
          <w:szCs w:val="20"/>
          <w:lang w:eastAsia="zh-CN"/>
        </w:rPr>
      </w:pPr>
      <w:r>
        <w:rPr>
          <w:sz w:val="20"/>
          <w:szCs w:val="20"/>
        </w:rPr>
        <w:t>The mean value (± SD) of theta/beta ratio measured at pre-exercise was 2.61 ± 0.61% while it was 2.38 ± 0.55% at post-exercise. Its mean value was significantly decreased at post-exercise when compared to its corresponding value measured at pre-exercise (t= 6.897, p= 0.001). The percent decrease in its mean value was 8.81% (Table4</w:t>
      </w:r>
      <w:r w:rsidR="00420420">
        <w:rPr>
          <w:sz w:val="20"/>
          <w:szCs w:val="20"/>
        </w:rPr>
        <w:t>;</w:t>
      </w:r>
      <w:r>
        <w:rPr>
          <w:sz w:val="20"/>
          <w:szCs w:val="20"/>
        </w:rPr>
        <w:t xml:space="preserve"> Fig.3 ).</w:t>
      </w:r>
    </w:p>
    <w:p w:rsidR="0040199E" w:rsidRDefault="0040199E" w:rsidP="0040199E">
      <w:pPr>
        <w:adjustRightInd w:val="0"/>
        <w:snapToGrid w:val="0"/>
        <w:spacing w:after="0" w:line="240" w:lineRule="auto"/>
        <w:ind w:firstLine="426"/>
        <w:jc w:val="both"/>
        <w:rPr>
          <w:sz w:val="20"/>
          <w:szCs w:val="20"/>
          <w:lang w:eastAsia="zh-CN"/>
        </w:rPr>
      </w:pPr>
    </w:p>
    <w:p w:rsidR="0040199E" w:rsidRDefault="0040199E" w:rsidP="0040199E">
      <w:pPr>
        <w:adjustRightInd w:val="0"/>
        <w:snapToGrid w:val="0"/>
        <w:spacing w:after="0" w:line="240" w:lineRule="auto"/>
        <w:jc w:val="center"/>
        <w:rPr>
          <w:b/>
          <w:bCs/>
          <w:sz w:val="20"/>
          <w:szCs w:val="20"/>
          <w:lang w:eastAsia="zh-CN"/>
        </w:rPr>
      </w:pPr>
      <w:r w:rsidRPr="00E34EC7">
        <w:rPr>
          <w:b/>
          <w:bCs/>
          <w:sz w:val="20"/>
          <w:szCs w:val="20"/>
        </w:rPr>
        <w:object w:dxaOrig="3979" w:dyaOrig="1652">
          <v:shape id="_x0000_i1026" type="#_x0000_t75" alt="" style="width:403.5pt;height:173.25pt" o:ole="">
            <v:imagedata r:id="rId18" o:title=""/>
          </v:shape>
          <o:OLEObject Type="Embed" ProgID="MSGraph.Chart.8" ShapeID="_x0000_i1026" DrawAspect="Content" ObjectID="_1690238268" r:id="rId19"/>
        </w:object>
      </w:r>
    </w:p>
    <w:p w:rsidR="00E34EC7" w:rsidRDefault="00684B14" w:rsidP="0040199E">
      <w:pPr>
        <w:adjustRightInd w:val="0"/>
        <w:snapToGrid w:val="0"/>
        <w:spacing w:after="0" w:line="240" w:lineRule="auto"/>
        <w:jc w:val="both"/>
        <w:rPr>
          <w:b/>
          <w:bCs/>
          <w:sz w:val="20"/>
          <w:szCs w:val="20"/>
        </w:rPr>
      </w:pPr>
      <w:r>
        <w:rPr>
          <w:b/>
          <w:bCs/>
          <w:sz w:val="20"/>
          <w:szCs w:val="20"/>
        </w:rPr>
        <w:t>Fig.2</w:t>
      </w:r>
      <w:r w:rsidR="00420420">
        <w:rPr>
          <w:b/>
          <w:bCs/>
          <w:sz w:val="20"/>
          <w:szCs w:val="20"/>
        </w:rPr>
        <w:t>:</w:t>
      </w:r>
      <w:r>
        <w:rPr>
          <w:b/>
          <w:bCs/>
          <w:sz w:val="20"/>
          <w:szCs w:val="20"/>
        </w:rPr>
        <w:t xml:space="preserve"> Mean values of beta measured at pre-exercise and post-exercise in the studied group.</w:t>
      </w:r>
    </w:p>
    <w:p w:rsidR="00E34EC7" w:rsidRDefault="00E34EC7" w:rsidP="0040199E">
      <w:pPr>
        <w:adjustRightInd w:val="0"/>
        <w:snapToGrid w:val="0"/>
        <w:spacing w:after="0" w:line="240" w:lineRule="auto"/>
        <w:jc w:val="both"/>
        <w:rPr>
          <w:sz w:val="20"/>
          <w:szCs w:val="20"/>
        </w:rPr>
      </w:pPr>
    </w:p>
    <w:p w:rsidR="00E34EC7" w:rsidRDefault="00684B14" w:rsidP="0040199E">
      <w:pPr>
        <w:adjustRightInd w:val="0"/>
        <w:snapToGrid w:val="0"/>
        <w:spacing w:after="0" w:line="240" w:lineRule="auto"/>
        <w:jc w:val="both"/>
        <w:rPr>
          <w:sz w:val="20"/>
          <w:szCs w:val="20"/>
        </w:rPr>
      </w:pPr>
      <w:r>
        <w:rPr>
          <w:sz w:val="20"/>
          <w:szCs w:val="20"/>
        </w:rPr>
        <w:t>Table 4</w:t>
      </w:r>
      <w:r w:rsidR="00420420">
        <w:rPr>
          <w:sz w:val="20"/>
          <w:szCs w:val="20"/>
        </w:rPr>
        <w:t>:</w:t>
      </w:r>
      <w:r>
        <w:rPr>
          <w:sz w:val="20"/>
          <w:szCs w:val="20"/>
        </w:rPr>
        <w:t xml:space="preserve"> Mean values of theta/beta ratio measured at pre-exercise and post-exercise in the studied group.</w:t>
      </w:r>
    </w:p>
    <w:tbl>
      <w:tblPr>
        <w:tblW w:w="4550" w:type="pct"/>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2736"/>
        <w:gridCol w:w="2916"/>
        <w:gridCol w:w="3062"/>
      </w:tblGrid>
      <w:tr w:rsidR="00E34EC7">
        <w:trPr>
          <w:trHeight w:val="441"/>
        </w:trPr>
        <w:tc>
          <w:tcPr>
            <w:tcW w:w="1570" w:type="pct"/>
            <w:tcBorders>
              <w:top w:val="single" w:sz="12" w:space="0" w:color="auto"/>
              <w:left w:val="single" w:sz="12" w:space="0" w:color="auto"/>
              <w:bottom w:val="single" w:sz="12" w:space="0" w:color="auto"/>
              <w:right w:val="single" w:sz="12" w:space="0" w:color="auto"/>
            </w:tcBorders>
          </w:tcPr>
          <w:p w:rsidR="00E34EC7" w:rsidRDefault="00E34EC7" w:rsidP="0040199E">
            <w:pPr>
              <w:adjustRightInd w:val="0"/>
              <w:snapToGrid w:val="0"/>
              <w:spacing w:after="0" w:line="240" w:lineRule="auto"/>
              <w:jc w:val="both"/>
              <w:rPr>
                <w:sz w:val="18"/>
                <w:szCs w:val="18"/>
              </w:rPr>
            </w:pPr>
          </w:p>
        </w:tc>
        <w:tc>
          <w:tcPr>
            <w:tcW w:w="1673" w:type="pct"/>
            <w:tcBorders>
              <w:top w:val="single" w:sz="12" w:space="0" w:color="auto"/>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Pre-exercise (n= 25)</w:t>
            </w:r>
          </w:p>
        </w:tc>
        <w:tc>
          <w:tcPr>
            <w:tcW w:w="1756" w:type="pct"/>
            <w:tcBorders>
              <w:top w:val="single" w:sz="12" w:space="0" w:color="auto"/>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Post-exercise (n= 25)</w:t>
            </w:r>
          </w:p>
        </w:tc>
      </w:tr>
      <w:tr w:rsidR="00E34EC7">
        <w:trPr>
          <w:trHeight w:val="221"/>
        </w:trPr>
        <w:tc>
          <w:tcPr>
            <w:tcW w:w="1570" w:type="pct"/>
            <w:tcBorders>
              <w:top w:val="single" w:sz="12" w:space="0" w:color="auto"/>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Mean ± SD</w:t>
            </w:r>
          </w:p>
        </w:tc>
        <w:tc>
          <w:tcPr>
            <w:tcW w:w="1673" w:type="pct"/>
            <w:tcBorders>
              <w:top w:val="single" w:sz="12" w:space="0" w:color="auto"/>
              <w:left w:val="single" w:sz="12" w:space="0" w:color="auto"/>
              <w:bottom w:val="single" w:sz="12" w:space="0" w:color="auto"/>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2.61 ± 0.61</w:t>
            </w:r>
          </w:p>
        </w:tc>
        <w:tc>
          <w:tcPr>
            <w:tcW w:w="1756" w:type="pct"/>
            <w:tcBorders>
              <w:top w:val="single" w:sz="12" w:space="0" w:color="auto"/>
              <w:left w:val="single" w:sz="12" w:space="0" w:color="auto"/>
              <w:bottom w:val="single" w:sz="12" w:space="0" w:color="auto"/>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2.38 ± 0.55</w:t>
            </w:r>
          </w:p>
        </w:tc>
      </w:tr>
      <w:tr w:rsidR="00E34EC7">
        <w:trPr>
          <w:trHeight w:val="42"/>
        </w:trPr>
        <w:tc>
          <w:tcPr>
            <w:tcW w:w="1570" w:type="pct"/>
            <w:tcBorders>
              <w:top w:val="single" w:sz="12" w:space="0" w:color="auto"/>
              <w:left w:val="single" w:sz="12" w:space="0" w:color="auto"/>
              <w:bottom w:val="nil"/>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Mean Difference</w:t>
            </w:r>
          </w:p>
        </w:tc>
        <w:tc>
          <w:tcPr>
            <w:tcW w:w="3430" w:type="pct"/>
            <w:gridSpan w:val="2"/>
            <w:tcBorders>
              <w:top w:val="single" w:sz="12" w:space="0" w:color="auto"/>
              <w:left w:val="single" w:sz="12" w:space="0" w:color="auto"/>
              <w:bottom w:val="nil"/>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0.23</w:t>
            </w:r>
          </w:p>
        </w:tc>
      </w:tr>
      <w:tr w:rsidR="00E34EC7">
        <w:trPr>
          <w:trHeight w:val="72"/>
        </w:trPr>
        <w:tc>
          <w:tcPr>
            <w:tcW w:w="1570" w:type="pct"/>
            <w:tcBorders>
              <w:top w:val="nil"/>
              <w:left w:val="single" w:sz="12" w:space="0" w:color="auto"/>
              <w:bottom w:val="nil"/>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  change</w:t>
            </w:r>
          </w:p>
        </w:tc>
        <w:tc>
          <w:tcPr>
            <w:tcW w:w="3430" w:type="pct"/>
            <w:gridSpan w:val="2"/>
            <w:tcBorders>
              <w:top w:val="nil"/>
              <w:left w:val="single" w:sz="12" w:space="0" w:color="auto"/>
              <w:bottom w:val="nil"/>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 xml:space="preserve">8.81% ↓↓ </w:t>
            </w:r>
          </w:p>
        </w:tc>
      </w:tr>
      <w:tr w:rsidR="00E34EC7">
        <w:trPr>
          <w:trHeight w:val="72"/>
        </w:trPr>
        <w:tc>
          <w:tcPr>
            <w:tcW w:w="1570" w:type="pct"/>
            <w:tcBorders>
              <w:top w:val="nil"/>
              <w:left w:val="single" w:sz="12" w:space="0" w:color="auto"/>
              <w:bottom w:val="nil"/>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t value</w:t>
            </w:r>
          </w:p>
        </w:tc>
        <w:tc>
          <w:tcPr>
            <w:tcW w:w="3430" w:type="pct"/>
            <w:gridSpan w:val="2"/>
            <w:tcBorders>
              <w:top w:val="nil"/>
              <w:left w:val="single" w:sz="12" w:space="0" w:color="auto"/>
              <w:bottom w:val="nil"/>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6.897</w:t>
            </w:r>
          </w:p>
        </w:tc>
      </w:tr>
      <w:tr w:rsidR="00E34EC7">
        <w:trPr>
          <w:trHeight w:val="72"/>
        </w:trPr>
        <w:tc>
          <w:tcPr>
            <w:tcW w:w="1570" w:type="pct"/>
            <w:tcBorders>
              <w:top w:val="nil"/>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p value</w:t>
            </w:r>
          </w:p>
        </w:tc>
        <w:tc>
          <w:tcPr>
            <w:tcW w:w="3430" w:type="pct"/>
            <w:gridSpan w:val="2"/>
            <w:tcBorders>
              <w:top w:val="nil"/>
              <w:left w:val="single" w:sz="12" w:space="0" w:color="auto"/>
              <w:bottom w:val="single" w:sz="12" w:space="0" w:color="auto"/>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0.001 (S)</w:t>
            </w:r>
          </w:p>
        </w:tc>
      </w:tr>
    </w:tbl>
    <w:p w:rsidR="0040199E" w:rsidRDefault="0040199E" w:rsidP="0040199E">
      <w:pPr>
        <w:adjustRightInd w:val="0"/>
        <w:snapToGrid w:val="0"/>
        <w:spacing w:after="0" w:line="240" w:lineRule="auto"/>
        <w:jc w:val="both"/>
        <w:rPr>
          <w:b/>
          <w:bCs/>
          <w:sz w:val="20"/>
          <w:szCs w:val="20"/>
          <w:lang w:eastAsia="zh-CN"/>
        </w:rPr>
      </w:pPr>
    </w:p>
    <w:p w:rsidR="0040199E" w:rsidRDefault="0040199E" w:rsidP="0040199E">
      <w:pPr>
        <w:adjustRightInd w:val="0"/>
        <w:snapToGrid w:val="0"/>
        <w:spacing w:after="0" w:line="240" w:lineRule="auto"/>
        <w:jc w:val="center"/>
        <w:rPr>
          <w:b/>
          <w:bCs/>
          <w:sz w:val="20"/>
          <w:szCs w:val="20"/>
          <w:lang w:eastAsia="zh-CN"/>
        </w:rPr>
      </w:pPr>
      <w:r w:rsidRPr="00E34EC7">
        <w:rPr>
          <w:b/>
          <w:bCs/>
          <w:sz w:val="20"/>
          <w:szCs w:val="20"/>
        </w:rPr>
        <w:object w:dxaOrig="4156" w:dyaOrig="1747">
          <v:shape id="_x0000_i1027" type="#_x0000_t75" alt="" style="width:419.25pt;height:185.25pt" o:ole="">
            <v:imagedata r:id="rId20" o:title=""/>
          </v:shape>
          <o:OLEObject Type="Embed" ProgID="MSGraph.Chart.8" ShapeID="_x0000_i1027" DrawAspect="Content" ObjectID="_1690238269" r:id="rId21"/>
        </w:object>
      </w:r>
    </w:p>
    <w:p w:rsidR="00E34EC7" w:rsidRDefault="00684B14" w:rsidP="0040199E">
      <w:pPr>
        <w:adjustRightInd w:val="0"/>
        <w:snapToGrid w:val="0"/>
        <w:spacing w:after="0" w:line="240" w:lineRule="auto"/>
        <w:jc w:val="both"/>
        <w:rPr>
          <w:sz w:val="20"/>
          <w:szCs w:val="20"/>
        </w:rPr>
      </w:pPr>
      <w:r>
        <w:rPr>
          <w:sz w:val="20"/>
          <w:szCs w:val="20"/>
        </w:rPr>
        <w:t>Fig.3</w:t>
      </w:r>
      <w:r w:rsidR="00420420">
        <w:rPr>
          <w:sz w:val="20"/>
          <w:szCs w:val="20"/>
        </w:rPr>
        <w:t>:</w:t>
      </w:r>
      <w:r>
        <w:rPr>
          <w:sz w:val="20"/>
          <w:szCs w:val="20"/>
        </w:rPr>
        <w:t xml:space="preserve"> Mean values of theta/beta ratio measured at pre-exercise and post-exercise in the studied group.</w:t>
      </w:r>
    </w:p>
    <w:p w:rsidR="00E34EC7" w:rsidRDefault="00E34EC7" w:rsidP="0040199E">
      <w:pPr>
        <w:adjustRightInd w:val="0"/>
        <w:snapToGrid w:val="0"/>
        <w:spacing w:after="0" w:line="240" w:lineRule="auto"/>
        <w:jc w:val="both"/>
        <w:rPr>
          <w:b/>
          <w:bCs/>
          <w:sz w:val="20"/>
          <w:szCs w:val="20"/>
        </w:rPr>
      </w:pPr>
    </w:p>
    <w:p w:rsidR="00E34EC7" w:rsidRDefault="00684B14" w:rsidP="0040199E">
      <w:pPr>
        <w:adjustRightInd w:val="0"/>
        <w:snapToGrid w:val="0"/>
        <w:spacing w:after="0" w:line="240" w:lineRule="auto"/>
        <w:jc w:val="both"/>
        <w:rPr>
          <w:b/>
          <w:bCs/>
          <w:sz w:val="20"/>
          <w:szCs w:val="20"/>
        </w:rPr>
      </w:pPr>
      <w:r>
        <w:rPr>
          <w:b/>
          <w:bCs/>
          <w:sz w:val="20"/>
          <w:szCs w:val="20"/>
        </w:rPr>
        <w:t>EMG</w:t>
      </w:r>
    </w:p>
    <w:p w:rsidR="00E34EC7" w:rsidRDefault="00684B14" w:rsidP="0040199E">
      <w:pPr>
        <w:adjustRightInd w:val="0"/>
        <w:snapToGrid w:val="0"/>
        <w:spacing w:after="0" w:line="240" w:lineRule="auto"/>
        <w:ind w:firstLine="426"/>
        <w:jc w:val="both"/>
        <w:rPr>
          <w:sz w:val="20"/>
          <w:szCs w:val="20"/>
        </w:rPr>
      </w:pPr>
      <w:r>
        <w:rPr>
          <w:sz w:val="20"/>
          <w:szCs w:val="20"/>
        </w:rPr>
        <w:t>The mean value (± SD) of EMG measured at pre-exercise was 3.50 ± 1.06 MV while it was 2.99 ± 0.77 MV at post-exercise. Its mean value was significantly decreased at post-exercise when compared to its corresponding value measured at pre-exercise (t= 2.939, p= 0.007). The percent decrease in its mean value was 14.57% (Table5; Fig.4).</w:t>
      </w:r>
    </w:p>
    <w:p w:rsidR="00E34EC7" w:rsidRDefault="00E34EC7" w:rsidP="0040199E">
      <w:pPr>
        <w:adjustRightInd w:val="0"/>
        <w:snapToGrid w:val="0"/>
        <w:spacing w:after="0" w:line="240" w:lineRule="auto"/>
        <w:jc w:val="both"/>
        <w:rPr>
          <w:b/>
          <w:bCs/>
          <w:sz w:val="20"/>
          <w:szCs w:val="20"/>
          <w:lang w:eastAsia="zh-CN"/>
        </w:rPr>
      </w:pPr>
    </w:p>
    <w:p w:rsidR="0040199E" w:rsidRDefault="0040199E" w:rsidP="0040199E">
      <w:pPr>
        <w:adjustRightInd w:val="0"/>
        <w:snapToGrid w:val="0"/>
        <w:spacing w:after="0" w:line="240" w:lineRule="auto"/>
        <w:jc w:val="both"/>
        <w:rPr>
          <w:b/>
          <w:bCs/>
          <w:sz w:val="20"/>
          <w:szCs w:val="20"/>
          <w:lang w:eastAsia="zh-CN"/>
        </w:rPr>
      </w:pPr>
    </w:p>
    <w:p w:rsidR="00E34EC7" w:rsidRDefault="00684B14" w:rsidP="0040199E">
      <w:pPr>
        <w:adjustRightInd w:val="0"/>
        <w:snapToGrid w:val="0"/>
        <w:spacing w:after="0" w:line="240" w:lineRule="auto"/>
        <w:jc w:val="both"/>
        <w:rPr>
          <w:sz w:val="20"/>
          <w:szCs w:val="20"/>
        </w:rPr>
      </w:pPr>
      <w:r>
        <w:rPr>
          <w:sz w:val="20"/>
          <w:szCs w:val="20"/>
        </w:rPr>
        <w:t>Table 5: Mean values of EMG measured at pre-exercise and post-exercise in the studied group.</w:t>
      </w:r>
    </w:p>
    <w:tbl>
      <w:tblPr>
        <w:tblW w:w="4784" w:type="pct"/>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2878"/>
        <w:gridCol w:w="3066"/>
        <w:gridCol w:w="3218"/>
      </w:tblGrid>
      <w:tr w:rsidR="00E34EC7">
        <w:tc>
          <w:tcPr>
            <w:tcW w:w="1571" w:type="pct"/>
            <w:tcBorders>
              <w:top w:val="single" w:sz="12" w:space="0" w:color="auto"/>
              <w:left w:val="single" w:sz="12" w:space="0" w:color="auto"/>
              <w:bottom w:val="single" w:sz="12" w:space="0" w:color="auto"/>
              <w:right w:val="single" w:sz="12" w:space="0" w:color="auto"/>
            </w:tcBorders>
          </w:tcPr>
          <w:p w:rsidR="00E34EC7" w:rsidRDefault="00E34EC7" w:rsidP="0040199E">
            <w:pPr>
              <w:adjustRightInd w:val="0"/>
              <w:snapToGrid w:val="0"/>
              <w:spacing w:after="0" w:line="240" w:lineRule="auto"/>
              <w:jc w:val="both"/>
              <w:rPr>
                <w:sz w:val="18"/>
                <w:szCs w:val="18"/>
              </w:rPr>
            </w:pPr>
          </w:p>
        </w:tc>
        <w:tc>
          <w:tcPr>
            <w:tcW w:w="1673" w:type="pct"/>
            <w:tcBorders>
              <w:top w:val="single" w:sz="12" w:space="0" w:color="auto"/>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Pre-exercise (n= 25)</w:t>
            </w:r>
          </w:p>
        </w:tc>
        <w:tc>
          <w:tcPr>
            <w:tcW w:w="1757" w:type="pct"/>
            <w:tcBorders>
              <w:top w:val="single" w:sz="12" w:space="0" w:color="auto"/>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Post-exercise (n= 25)</w:t>
            </w:r>
          </w:p>
        </w:tc>
      </w:tr>
      <w:tr w:rsidR="00E34EC7">
        <w:tc>
          <w:tcPr>
            <w:tcW w:w="1571" w:type="pct"/>
            <w:tcBorders>
              <w:top w:val="single" w:sz="12" w:space="0" w:color="auto"/>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Mean ± SD</w:t>
            </w:r>
          </w:p>
        </w:tc>
        <w:tc>
          <w:tcPr>
            <w:tcW w:w="1673" w:type="pct"/>
            <w:tcBorders>
              <w:top w:val="single" w:sz="12" w:space="0" w:color="auto"/>
              <w:left w:val="single" w:sz="12" w:space="0" w:color="auto"/>
              <w:bottom w:val="single" w:sz="12" w:space="0" w:color="auto"/>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3.50 ± 1.06</w:t>
            </w:r>
          </w:p>
        </w:tc>
        <w:tc>
          <w:tcPr>
            <w:tcW w:w="1757" w:type="pct"/>
            <w:tcBorders>
              <w:top w:val="single" w:sz="12" w:space="0" w:color="auto"/>
              <w:left w:val="single" w:sz="12" w:space="0" w:color="auto"/>
              <w:bottom w:val="single" w:sz="12" w:space="0" w:color="auto"/>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2.99 ± 0.77</w:t>
            </w:r>
          </w:p>
        </w:tc>
      </w:tr>
      <w:tr w:rsidR="00E34EC7">
        <w:tc>
          <w:tcPr>
            <w:tcW w:w="1571" w:type="pct"/>
            <w:tcBorders>
              <w:top w:val="single" w:sz="12" w:space="0" w:color="auto"/>
              <w:left w:val="single" w:sz="12" w:space="0" w:color="auto"/>
              <w:bottom w:val="nil"/>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Mean Difference</w:t>
            </w:r>
          </w:p>
        </w:tc>
        <w:tc>
          <w:tcPr>
            <w:tcW w:w="3429" w:type="pct"/>
            <w:gridSpan w:val="2"/>
            <w:tcBorders>
              <w:top w:val="single" w:sz="12" w:space="0" w:color="auto"/>
              <w:left w:val="single" w:sz="12" w:space="0" w:color="auto"/>
              <w:bottom w:val="nil"/>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0.51</w:t>
            </w:r>
          </w:p>
        </w:tc>
      </w:tr>
      <w:tr w:rsidR="00E34EC7">
        <w:tc>
          <w:tcPr>
            <w:tcW w:w="1571" w:type="pct"/>
            <w:tcBorders>
              <w:top w:val="nil"/>
              <w:left w:val="single" w:sz="12" w:space="0" w:color="auto"/>
              <w:bottom w:val="nil"/>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  change</w:t>
            </w:r>
          </w:p>
        </w:tc>
        <w:tc>
          <w:tcPr>
            <w:tcW w:w="3429" w:type="pct"/>
            <w:gridSpan w:val="2"/>
            <w:tcBorders>
              <w:top w:val="nil"/>
              <w:left w:val="single" w:sz="12" w:space="0" w:color="auto"/>
              <w:bottom w:val="nil"/>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 xml:space="preserve">14.57% ↓↓ </w:t>
            </w:r>
          </w:p>
        </w:tc>
      </w:tr>
      <w:tr w:rsidR="00E34EC7">
        <w:tc>
          <w:tcPr>
            <w:tcW w:w="1571" w:type="pct"/>
            <w:tcBorders>
              <w:top w:val="nil"/>
              <w:left w:val="single" w:sz="12" w:space="0" w:color="auto"/>
              <w:bottom w:val="nil"/>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t value</w:t>
            </w:r>
          </w:p>
        </w:tc>
        <w:tc>
          <w:tcPr>
            <w:tcW w:w="3429" w:type="pct"/>
            <w:gridSpan w:val="2"/>
            <w:tcBorders>
              <w:top w:val="nil"/>
              <w:left w:val="single" w:sz="12" w:space="0" w:color="auto"/>
              <w:bottom w:val="nil"/>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2.939</w:t>
            </w:r>
          </w:p>
        </w:tc>
      </w:tr>
      <w:tr w:rsidR="00E34EC7">
        <w:tc>
          <w:tcPr>
            <w:tcW w:w="1571" w:type="pct"/>
            <w:tcBorders>
              <w:top w:val="nil"/>
              <w:left w:val="single" w:sz="12" w:space="0" w:color="auto"/>
              <w:bottom w:val="single" w:sz="12" w:space="0" w:color="auto"/>
              <w:right w:val="single" w:sz="12" w:space="0" w:color="auto"/>
            </w:tcBorders>
          </w:tcPr>
          <w:p w:rsidR="00E34EC7" w:rsidRDefault="00684B14" w:rsidP="0040199E">
            <w:pPr>
              <w:adjustRightInd w:val="0"/>
              <w:snapToGrid w:val="0"/>
              <w:spacing w:after="0" w:line="240" w:lineRule="auto"/>
              <w:jc w:val="both"/>
              <w:rPr>
                <w:sz w:val="18"/>
                <w:szCs w:val="18"/>
              </w:rPr>
            </w:pPr>
            <w:r>
              <w:rPr>
                <w:sz w:val="18"/>
                <w:szCs w:val="18"/>
              </w:rPr>
              <w:t>p value</w:t>
            </w:r>
          </w:p>
        </w:tc>
        <w:tc>
          <w:tcPr>
            <w:tcW w:w="3429" w:type="pct"/>
            <w:gridSpan w:val="2"/>
            <w:tcBorders>
              <w:top w:val="nil"/>
              <w:left w:val="single" w:sz="12" w:space="0" w:color="auto"/>
              <w:bottom w:val="single" w:sz="12" w:space="0" w:color="auto"/>
              <w:right w:val="single" w:sz="12" w:space="0" w:color="auto"/>
            </w:tcBorders>
            <w:vAlign w:val="center"/>
          </w:tcPr>
          <w:p w:rsidR="00E34EC7" w:rsidRDefault="00684B14" w:rsidP="0040199E">
            <w:pPr>
              <w:adjustRightInd w:val="0"/>
              <w:snapToGrid w:val="0"/>
              <w:spacing w:after="0" w:line="240" w:lineRule="auto"/>
              <w:jc w:val="both"/>
              <w:rPr>
                <w:sz w:val="18"/>
                <w:szCs w:val="18"/>
              </w:rPr>
            </w:pPr>
            <w:r>
              <w:rPr>
                <w:sz w:val="18"/>
                <w:szCs w:val="18"/>
              </w:rPr>
              <w:t>0.007 (S)</w:t>
            </w:r>
          </w:p>
        </w:tc>
      </w:tr>
    </w:tbl>
    <w:p w:rsidR="00E34EC7" w:rsidRDefault="00E34EC7" w:rsidP="0040199E">
      <w:pPr>
        <w:adjustRightInd w:val="0"/>
        <w:snapToGrid w:val="0"/>
        <w:spacing w:after="0" w:line="240" w:lineRule="auto"/>
        <w:jc w:val="both"/>
        <w:rPr>
          <w:b/>
          <w:bCs/>
          <w:sz w:val="20"/>
          <w:szCs w:val="20"/>
        </w:rPr>
      </w:pPr>
    </w:p>
    <w:p w:rsidR="00E34EC7" w:rsidRDefault="00E34EC7" w:rsidP="0040199E">
      <w:pPr>
        <w:adjustRightInd w:val="0"/>
        <w:snapToGrid w:val="0"/>
        <w:spacing w:after="0" w:line="240" w:lineRule="auto"/>
        <w:jc w:val="both"/>
        <w:rPr>
          <w:b/>
          <w:bCs/>
          <w:sz w:val="20"/>
          <w:szCs w:val="20"/>
        </w:rPr>
      </w:pPr>
    </w:p>
    <w:p w:rsidR="00E34EC7" w:rsidRDefault="0040199E" w:rsidP="0040199E">
      <w:pPr>
        <w:adjustRightInd w:val="0"/>
        <w:snapToGrid w:val="0"/>
        <w:spacing w:after="0" w:line="240" w:lineRule="auto"/>
        <w:jc w:val="center"/>
        <w:rPr>
          <w:sz w:val="20"/>
          <w:szCs w:val="20"/>
          <w:rtl/>
          <w:lang w:bidi="ar-EG"/>
        </w:rPr>
      </w:pPr>
      <w:r w:rsidRPr="00E34EC7">
        <w:rPr>
          <w:sz w:val="20"/>
          <w:szCs w:val="20"/>
        </w:rPr>
        <w:object w:dxaOrig="3709" w:dyaOrig="1720">
          <v:shape id="_x0000_i1028" type="#_x0000_t75" alt="" style="width:447pt;height:206.25pt" o:ole="">
            <v:imagedata r:id="rId22" o:title=""/>
          </v:shape>
          <o:OLEObject Type="Embed" ProgID="MSGraph.Chart.8" ShapeID="_x0000_i1028" DrawAspect="Content" ObjectID="_1690238270" r:id="rId23"/>
        </w:object>
      </w:r>
    </w:p>
    <w:p w:rsidR="00E34EC7" w:rsidRDefault="00684B14" w:rsidP="0040199E">
      <w:pPr>
        <w:adjustRightInd w:val="0"/>
        <w:snapToGrid w:val="0"/>
        <w:spacing w:after="0" w:line="240" w:lineRule="auto"/>
        <w:jc w:val="both"/>
        <w:rPr>
          <w:sz w:val="20"/>
          <w:szCs w:val="20"/>
        </w:rPr>
      </w:pPr>
      <w:r>
        <w:rPr>
          <w:sz w:val="20"/>
          <w:szCs w:val="20"/>
        </w:rPr>
        <w:t>Fig.4</w:t>
      </w:r>
      <w:r w:rsidR="00420420">
        <w:rPr>
          <w:sz w:val="20"/>
          <w:szCs w:val="20"/>
        </w:rPr>
        <w:t>:</w:t>
      </w:r>
      <w:r>
        <w:rPr>
          <w:sz w:val="20"/>
          <w:szCs w:val="20"/>
        </w:rPr>
        <w:t xml:space="preserve"> Mean values of EMG (MV) measured at pre-exercise and post-exercise in the studied group.</w:t>
      </w:r>
    </w:p>
    <w:p w:rsidR="0040199E" w:rsidRDefault="0040199E" w:rsidP="0040199E">
      <w:pPr>
        <w:adjustRightInd w:val="0"/>
        <w:snapToGrid w:val="0"/>
        <w:spacing w:after="0" w:line="240" w:lineRule="auto"/>
        <w:jc w:val="both"/>
        <w:rPr>
          <w:sz w:val="20"/>
          <w:szCs w:val="20"/>
          <w:lang w:eastAsia="zh-CN"/>
        </w:rPr>
      </w:pPr>
    </w:p>
    <w:p w:rsidR="0040199E" w:rsidRDefault="0040199E" w:rsidP="0040199E">
      <w:pPr>
        <w:adjustRightInd w:val="0"/>
        <w:snapToGrid w:val="0"/>
        <w:spacing w:after="0" w:line="240" w:lineRule="auto"/>
        <w:jc w:val="both"/>
        <w:rPr>
          <w:sz w:val="20"/>
          <w:szCs w:val="20"/>
          <w:lang w:eastAsia="zh-CN"/>
        </w:rPr>
        <w:sectPr w:rsidR="0040199E" w:rsidSect="0040199E">
          <w:footnotePr>
            <w:pos w:val="beneathText"/>
          </w:footnotePr>
          <w:type w:val="continuous"/>
          <w:pgSz w:w="12240" w:h="15840"/>
          <w:pgMar w:top="1440" w:right="1440" w:bottom="1440" w:left="1440" w:header="720" w:footer="720" w:gutter="0"/>
          <w:cols w:space="576"/>
          <w:docGrid w:linePitch="360"/>
        </w:sectPr>
      </w:pPr>
    </w:p>
    <w:p w:rsidR="00E34EC7" w:rsidRDefault="00684B14" w:rsidP="0040199E">
      <w:pPr>
        <w:adjustRightInd w:val="0"/>
        <w:snapToGrid w:val="0"/>
        <w:spacing w:after="0" w:line="240" w:lineRule="auto"/>
        <w:jc w:val="both"/>
        <w:rPr>
          <w:sz w:val="20"/>
          <w:szCs w:val="20"/>
          <w:lang w:bidi="ar-EG"/>
        </w:rPr>
      </w:pPr>
      <w:r>
        <w:rPr>
          <w:b/>
          <w:sz w:val="20"/>
          <w:szCs w:val="20"/>
        </w:rPr>
        <w:lastRenderedPageBreak/>
        <w:t xml:space="preserve">4. Discussions </w:t>
      </w:r>
    </w:p>
    <w:p w:rsidR="00E34EC7" w:rsidRDefault="00684B14" w:rsidP="0040199E">
      <w:pPr>
        <w:adjustRightInd w:val="0"/>
        <w:snapToGrid w:val="0"/>
        <w:spacing w:after="0" w:line="240" w:lineRule="auto"/>
        <w:ind w:firstLine="426"/>
        <w:jc w:val="both"/>
        <w:rPr>
          <w:sz w:val="20"/>
          <w:szCs w:val="20"/>
        </w:rPr>
      </w:pPr>
      <w:r>
        <w:rPr>
          <w:sz w:val="20"/>
          <w:szCs w:val="20"/>
        </w:rPr>
        <w:t xml:space="preserve">The aim of this research was to see how a single dose of aerobic exercise affected certain  EEG band  frequencies  amplitudes  related to attention and EMG activity related to hyper activity  in children with ADHD. </w:t>
      </w:r>
    </w:p>
    <w:p w:rsidR="00E34EC7" w:rsidRDefault="00684B14" w:rsidP="0040199E">
      <w:pPr>
        <w:adjustRightInd w:val="0"/>
        <w:snapToGrid w:val="0"/>
        <w:spacing w:after="0" w:line="240" w:lineRule="auto"/>
        <w:ind w:firstLine="426"/>
        <w:jc w:val="both"/>
        <w:rPr>
          <w:sz w:val="20"/>
          <w:szCs w:val="20"/>
        </w:rPr>
      </w:pPr>
      <w:r>
        <w:rPr>
          <w:sz w:val="20"/>
          <w:szCs w:val="20"/>
        </w:rPr>
        <w:t>The findings showed that after a 10-minute session of aerobic exercise, children with ADHD revealed significant smaller theta amplitudes , Theta is considered the slow awake brain activity ranging from 4-8 Hz , theta rhythms in the frontal midline are often linked to theta rhythms in the hippocampal region. Theta oscillations   are thought to be involved in memory encoding and retrieval and associated with creativity and spontaneity, but also with distractibility and inattention, daydreaming, depression, minor traumatic brain injury and anxiety. Theta that is excessive or laterally asymmetrical may reflect depression (LH), anxiety (RH), and other emotional disorders. Children have higher theta amplitudes than adults so the lower the theta the higher the attention and the lower the distractibility and vice versa.</w:t>
      </w:r>
    </w:p>
    <w:p w:rsidR="00E34EC7" w:rsidRDefault="00684B14" w:rsidP="0040199E">
      <w:pPr>
        <w:adjustRightInd w:val="0"/>
        <w:snapToGrid w:val="0"/>
        <w:spacing w:after="0" w:line="240" w:lineRule="auto"/>
        <w:ind w:firstLine="426"/>
        <w:jc w:val="both"/>
        <w:rPr>
          <w:sz w:val="20"/>
          <w:szCs w:val="20"/>
        </w:rPr>
      </w:pPr>
      <w:r>
        <w:rPr>
          <w:sz w:val="20"/>
          <w:szCs w:val="20"/>
        </w:rPr>
        <w:t xml:space="preserve"> Significant higher beta amplitudes post exercises noted on results as fast wave activity, or “any rhythmic activity (13-26) Hz” , It has been associated with being focused, analytical, externally oriented, or </w:t>
      </w:r>
      <w:r>
        <w:rPr>
          <w:sz w:val="20"/>
          <w:szCs w:val="20"/>
        </w:rPr>
        <w:lastRenderedPageBreak/>
        <w:t>in a state of relaxed thinking. Dominant beta frequencies are higher in adults than children, Maximal Beta amplitude is usually in the fronto-central regions, but it may be widespread, during drowsiness, Beta may seem to decrease in amplitude.</w:t>
      </w:r>
    </w:p>
    <w:p w:rsidR="00E34EC7" w:rsidRDefault="00684B14" w:rsidP="0040199E">
      <w:pPr>
        <w:adjustRightInd w:val="0"/>
        <w:snapToGrid w:val="0"/>
        <w:spacing w:after="0" w:line="240" w:lineRule="auto"/>
        <w:ind w:firstLine="426"/>
        <w:jc w:val="both"/>
        <w:rPr>
          <w:sz w:val="20"/>
          <w:szCs w:val="20"/>
        </w:rPr>
      </w:pPr>
      <w:r>
        <w:rPr>
          <w:sz w:val="20"/>
          <w:szCs w:val="20"/>
        </w:rPr>
        <w:t>Significant decrease in theta/beta ratio over the central cortical sites was observed after the exercise condition. which is consistent with our hypothesis that Higher resting  theta/alpha and theta/beta  ratios have been associated with impaired inhibitory ability and cortical hypo-arousal and the lower the ratio the higher the attention and lower distractibility.</w:t>
      </w:r>
    </w:p>
    <w:p w:rsidR="00E34EC7" w:rsidRDefault="00684B14" w:rsidP="0040199E">
      <w:pPr>
        <w:adjustRightInd w:val="0"/>
        <w:snapToGrid w:val="0"/>
        <w:spacing w:after="0" w:line="240" w:lineRule="auto"/>
        <w:ind w:firstLine="426"/>
        <w:jc w:val="both"/>
        <w:rPr>
          <w:sz w:val="20"/>
          <w:szCs w:val="20"/>
        </w:rPr>
      </w:pPr>
      <w:r>
        <w:rPr>
          <w:sz w:val="20"/>
          <w:szCs w:val="20"/>
        </w:rPr>
        <w:t>Our findings provide a prove that a single bout of exercise could affect frontocentral cortical sites which may exhibit abnormal EEG patterns  and regulate the inattention commonly observed  in children with ADHD.</w:t>
      </w:r>
    </w:p>
    <w:p w:rsidR="00E34EC7" w:rsidRDefault="00684B14" w:rsidP="0040199E">
      <w:pPr>
        <w:adjustRightInd w:val="0"/>
        <w:snapToGrid w:val="0"/>
        <w:spacing w:after="0" w:line="240" w:lineRule="auto"/>
        <w:ind w:firstLine="426"/>
        <w:jc w:val="both"/>
        <w:rPr>
          <w:sz w:val="20"/>
          <w:szCs w:val="20"/>
        </w:rPr>
      </w:pPr>
      <w:r>
        <w:rPr>
          <w:sz w:val="20"/>
          <w:szCs w:val="20"/>
        </w:rPr>
        <w:t>Other studies have found that physical activity helps build the mechanism that increases the amount of neurotransmitters in the brain and their postsynaptic receptors , dopamine, serotonin and norepinephrine, as well as other molecules are released and may regulate the inconsistency</w:t>
      </w:r>
      <w:r w:rsidR="00420420">
        <w:rPr>
          <w:sz w:val="20"/>
          <w:szCs w:val="20"/>
        </w:rPr>
        <w:t>.</w:t>
      </w:r>
      <w:r>
        <w:rPr>
          <w:sz w:val="20"/>
          <w:szCs w:val="20"/>
        </w:rPr>
        <w:t xml:space="preserve"> Exercise boosts mood, well-being, anxiety, and depression, as well as stress management. </w:t>
      </w:r>
      <w:r>
        <w:rPr>
          <w:b/>
          <w:bCs/>
          <w:sz w:val="20"/>
          <w:szCs w:val="20"/>
        </w:rPr>
        <w:t>(Ratey, 2008).</w:t>
      </w:r>
      <w:r>
        <w:rPr>
          <w:sz w:val="20"/>
          <w:szCs w:val="20"/>
        </w:rPr>
        <w:t xml:space="preserve">  and support the use of EEG data as a good indicator for attention and other executive </w:t>
      </w:r>
      <w:r>
        <w:rPr>
          <w:sz w:val="20"/>
          <w:szCs w:val="20"/>
        </w:rPr>
        <w:lastRenderedPageBreak/>
        <w:t xml:space="preserve">function, Low frequency to high frequency amplitude ratio (as theta beta ratio) is used to assess attention </w:t>
      </w:r>
      <w:r>
        <w:rPr>
          <w:b/>
          <w:bCs/>
          <w:sz w:val="20"/>
          <w:szCs w:val="20"/>
        </w:rPr>
        <w:t>(Barry et al. 2003)</w:t>
      </w:r>
      <w:r w:rsidR="00420420">
        <w:rPr>
          <w:rFonts w:hint="eastAsia"/>
          <w:sz w:val="20"/>
          <w:szCs w:val="20"/>
          <w:lang w:eastAsia="zh-CN"/>
        </w:rPr>
        <w:t xml:space="preserve">, </w:t>
      </w:r>
      <w:r>
        <w:rPr>
          <w:sz w:val="20"/>
          <w:szCs w:val="20"/>
        </w:rPr>
        <w:t>thus Affective and perceptual reactions to acute bouts of exercise are partly assessed by brain activity.</w:t>
      </w:r>
    </w:p>
    <w:p w:rsidR="00E34EC7" w:rsidRDefault="00684B14" w:rsidP="0040199E">
      <w:pPr>
        <w:adjustRightInd w:val="0"/>
        <w:snapToGrid w:val="0"/>
        <w:spacing w:after="0" w:line="240" w:lineRule="auto"/>
        <w:ind w:firstLine="426"/>
        <w:jc w:val="both"/>
        <w:rPr>
          <w:sz w:val="20"/>
          <w:szCs w:val="20"/>
        </w:rPr>
      </w:pPr>
      <w:r>
        <w:rPr>
          <w:sz w:val="20"/>
          <w:szCs w:val="20"/>
        </w:rPr>
        <w:t>These abnormality of resting EEG recordings in ADHD need  more researches  towards clinical co- relations as it can detect developmental problems  and  test the  effects and side effects of medicines and other interventions on ADHD child</w:t>
      </w:r>
      <w:r w:rsidR="00420420">
        <w:rPr>
          <w:sz w:val="20"/>
          <w:szCs w:val="20"/>
        </w:rPr>
        <w:t>.</w:t>
      </w:r>
      <w:r>
        <w:rPr>
          <w:sz w:val="20"/>
          <w:szCs w:val="20"/>
        </w:rPr>
        <w:t xml:space="preserve"> </w:t>
      </w:r>
    </w:p>
    <w:p w:rsidR="00E34EC7" w:rsidRDefault="00684B14" w:rsidP="0040199E">
      <w:pPr>
        <w:adjustRightInd w:val="0"/>
        <w:snapToGrid w:val="0"/>
        <w:spacing w:after="0" w:line="240" w:lineRule="auto"/>
        <w:ind w:firstLine="426"/>
        <w:jc w:val="both"/>
        <w:rPr>
          <w:sz w:val="20"/>
          <w:szCs w:val="20"/>
        </w:rPr>
      </w:pPr>
      <w:r>
        <w:rPr>
          <w:sz w:val="20"/>
          <w:szCs w:val="20"/>
        </w:rPr>
        <w:t>In addition to correction of abnormal patterns of resting EEG, the present study observed significantly decrease EMG mean amplitude as an indicator of hyperactivity in the ADHD post exercise compared to the pre exercise supporting the presence of motor impairments with ADHD symptomology and the ability of exercise to improve the inhibitory control.</w:t>
      </w:r>
    </w:p>
    <w:p w:rsidR="00E34EC7" w:rsidRDefault="00684B14" w:rsidP="0040199E">
      <w:pPr>
        <w:adjustRightInd w:val="0"/>
        <w:snapToGrid w:val="0"/>
        <w:spacing w:after="0" w:line="240" w:lineRule="auto"/>
        <w:ind w:firstLine="426"/>
        <w:jc w:val="both"/>
        <w:rPr>
          <w:sz w:val="20"/>
          <w:szCs w:val="20"/>
        </w:rPr>
      </w:pPr>
      <w:r>
        <w:rPr>
          <w:sz w:val="20"/>
          <w:szCs w:val="20"/>
        </w:rPr>
        <w:t xml:space="preserve">A number of studies have shown that acute exercise improves inhibitory performance in children with ADHD, as a single bout of aerobic exercise improved their performance in the Color–Word condition of the Stroop Test </w:t>
      </w:r>
      <w:r>
        <w:rPr>
          <w:b/>
          <w:bCs/>
          <w:sz w:val="20"/>
          <w:szCs w:val="20"/>
        </w:rPr>
        <w:t xml:space="preserve">(Chang et al. 2012) </w:t>
      </w:r>
      <w:r>
        <w:rPr>
          <w:sz w:val="20"/>
          <w:szCs w:val="20"/>
        </w:rPr>
        <w:t xml:space="preserve">another study compared to those who sat and read during the treatment period, children with ADHD demonstrated higher response accuracy and improved stimulus-related processing after a single bout of moderate-intensity aerobic exercise. </w:t>
      </w:r>
      <w:r>
        <w:rPr>
          <w:b/>
          <w:bCs/>
          <w:sz w:val="20"/>
          <w:szCs w:val="20"/>
        </w:rPr>
        <w:t>(Pontifex et al.,2013)</w:t>
      </w:r>
      <w:r>
        <w:rPr>
          <w:sz w:val="20"/>
          <w:szCs w:val="20"/>
        </w:rPr>
        <w:t xml:space="preserve"> and  acute exercise  can improve the performance  and  a shorter reaction time developing appropriate response preparation  in Go/No Go task </w:t>
      </w:r>
      <w:r>
        <w:rPr>
          <w:b/>
          <w:bCs/>
          <w:sz w:val="20"/>
          <w:szCs w:val="20"/>
        </w:rPr>
        <w:t>(Chuang et al., 2015)</w:t>
      </w:r>
    </w:p>
    <w:p w:rsidR="00E34EC7" w:rsidRDefault="00684B14" w:rsidP="0040199E">
      <w:pPr>
        <w:adjustRightInd w:val="0"/>
        <w:snapToGrid w:val="0"/>
        <w:spacing w:after="0" w:line="240" w:lineRule="auto"/>
        <w:ind w:firstLine="426"/>
        <w:jc w:val="both"/>
        <w:rPr>
          <w:sz w:val="20"/>
          <w:szCs w:val="20"/>
        </w:rPr>
      </w:pPr>
      <w:r>
        <w:rPr>
          <w:sz w:val="20"/>
          <w:szCs w:val="20"/>
        </w:rPr>
        <w:t xml:space="preserve">Recent findings indicate that single bouts of vigorous exercise can normalize impulsivity and attentional vigilance as measured by reaction time (RT)-based measures and a cognitive task requiring sustained attention. in ADHD </w:t>
      </w:r>
      <w:r>
        <w:rPr>
          <w:b/>
          <w:bCs/>
          <w:sz w:val="20"/>
          <w:szCs w:val="20"/>
        </w:rPr>
        <w:t>(Medina et al., 2010).</w:t>
      </w:r>
      <w:r>
        <w:rPr>
          <w:sz w:val="20"/>
          <w:szCs w:val="20"/>
        </w:rPr>
        <w:t xml:space="preserve"> Despite the fact that While all participants were advised to be drug-free for at least 48 hours prior to participating in this study, residual medication effects may have stayed beyond this time frame and may contribute by certain degree on the positive effect noted on results.</w:t>
      </w:r>
    </w:p>
    <w:p w:rsidR="00E34EC7" w:rsidRDefault="00684B14" w:rsidP="0040199E">
      <w:pPr>
        <w:adjustRightInd w:val="0"/>
        <w:snapToGrid w:val="0"/>
        <w:spacing w:after="0" w:line="240" w:lineRule="auto"/>
        <w:ind w:firstLine="426"/>
        <w:jc w:val="both"/>
        <w:rPr>
          <w:sz w:val="20"/>
          <w:szCs w:val="20"/>
        </w:rPr>
      </w:pPr>
      <w:r>
        <w:rPr>
          <w:sz w:val="20"/>
          <w:szCs w:val="20"/>
        </w:rPr>
        <w:t>Since we only used resting EEG as a measure of cognition after the exercise condition, we can only conclude that acute exercise in children with ADHD would have been reflected in a smaller resting theta, higher beta and smaller theta/beta ratio can improve cortical control and inhibit subcortical impulses.</w:t>
      </w:r>
    </w:p>
    <w:p w:rsidR="00E34EC7" w:rsidRDefault="00684B14" w:rsidP="0040199E">
      <w:pPr>
        <w:adjustRightInd w:val="0"/>
        <w:snapToGrid w:val="0"/>
        <w:spacing w:after="0" w:line="240" w:lineRule="auto"/>
        <w:ind w:firstLine="426"/>
        <w:jc w:val="both"/>
        <w:rPr>
          <w:sz w:val="20"/>
          <w:szCs w:val="20"/>
        </w:rPr>
      </w:pPr>
      <w:r>
        <w:rPr>
          <w:sz w:val="20"/>
          <w:szCs w:val="20"/>
        </w:rPr>
        <w:t xml:space="preserve">Our study looked at the immediate effect of exercise on EEG and EMG, which revealed a significant improvement, but it didn't look at the aftereffect of exercise or how long the positive effect would last. Study did not utilize a sample of normally developing children as a control group, we searched the appropriate control for physical activity should be, Participants in studies on the effects of physical </w:t>
      </w:r>
      <w:r>
        <w:rPr>
          <w:sz w:val="20"/>
          <w:szCs w:val="20"/>
        </w:rPr>
        <w:lastRenderedPageBreak/>
        <w:t>activity are aware of the physiological tasks to which they are subjected. As such, a control group would allow researchers to determine the extent to which these EEG changes caused by acute exercise are unique to children with ADHD.</w:t>
      </w:r>
    </w:p>
    <w:p w:rsidR="00E34EC7" w:rsidRDefault="00684B14" w:rsidP="0040199E">
      <w:pPr>
        <w:adjustRightInd w:val="0"/>
        <w:snapToGrid w:val="0"/>
        <w:spacing w:after="0" w:line="240" w:lineRule="auto"/>
        <w:ind w:firstLine="426"/>
        <w:jc w:val="both"/>
        <w:rPr>
          <w:rFonts w:eastAsia="Calibri"/>
          <w:color w:val="000000"/>
          <w:sz w:val="28"/>
          <w:szCs w:val="28"/>
          <w:lang w:eastAsia="en-US"/>
        </w:rPr>
      </w:pPr>
      <w:r>
        <w:rPr>
          <w:sz w:val="20"/>
          <w:szCs w:val="20"/>
        </w:rPr>
        <w:t>Accordingly, In such cases, it is critical to consider how often expectancy and motivation may have contributed to the observed results.</w:t>
      </w:r>
    </w:p>
    <w:p w:rsidR="00E34EC7" w:rsidRDefault="00E34EC7" w:rsidP="0040199E">
      <w:pPr>
        <w:adjustRightInd w:val="0"/>
        <w:snapToGrid w:val="0"/>
        <w:spacing w:after="0" w:line="240" w:lineRule="auto"/>
        <w:jc w:val="both"/>
        <w:rPr>
          <w:b/>
          <w:bCs/>
          <w:sz w:val="20"/>
          <w:szCs w:val="20"/>
        </w:rPr>
      </w:pPr>
    </w:p>
    <w:p w:rsidR="00E34EC7" w:rsidRDefault="00684B14" w:rsidP="0040199E">
      <w:pPr>
        <w:adjustRightInd w:val="0"/>
        <w:snapToGrid w:val="0"/>
        <w:spacing w:after="0" w:line="240" w:lineRule="auto"/>
        <w:jc w:val="both"/>
        <w:rPr>
          <w:b/>
          <w:bCs/>
          <w:sz w:val="20"/>
          <w:szCs w:val="20"/>
        </w:rPr>
      </w:pPr>
      <w:r>
        <w:rPr>
          <w:b/>
          <w:bCs/>
          <w:sz w:val="20"/>
          <w:szCs w:val="20"/>
        </w:rPr>
        <w:t xml:space="preserve">Recommendations </w:t>
      </w:r>
    </w:p>
    <w:p w:rsidR="00E34EC7" w:rsidRDefault="00684B14" w:rsidP="0040199E">
      <w:pPr>
        <w:adjustRightInd w:val="0"/>
        <w:snapToGrid w:val="0"/>
        <w:spacing w:after="0" w:line="240" w:lineRule="auto"/>
        <w:ind w:firstLine="426"/>
        <w:jc w:val="both"/>
        <w:rPr>
          <w:sz w:val="20"/>
          <w:szCs w:val="20"/>
        </w:rPr>
      </w:pPr>
      <w:r>
        <w:rPr>
          <w:sz w:val="20"/>
          <w:szCs w:val="20"/>
        </w:rPr>
        <w:t xml:space="preserve">Our findings suggest that encouraging children with ADHD to engage in physical activity may improve aspects of neurocognitive function and inhibitory control. </w:t>
      </w:r>
    </w:p>
    <w:p w:rsidR="00E34EC7" w:rsidRDefault="00684B14" w:rsidP="0040199E">
      <w:pPr>
        <w:adjustRightInd w:val="0"/>
        <w:snapToGrid w:val="0"/>
        <w:spacing w:after="0" w:line="240" w:lineRule="auto"/>
        <w:ind w:firstLine="426"/>
        <w:jc w:val="both"/>
        <w:rPr>
          <w:sz w:val="20"/>
          <w:szCs w:val="20"/>
        </w:rPr>
      </w:pPr>
      <w:r>
        <w:rPr>
          <w:sz w:val="20"/>
          <w:szCs w:val="20"/>
        </w:rPr>
        <w:t>As part of a comprehensive school-based physical activity programme, we recommend incorporating small doses of exercise during the school day.</w:t>
      </w:r>
    </w:p>
    <w:p w:rsidR="00E34EC7" w:rsidRDefault="00684B14" w:rsidP="0040199E">
      <w:pPr>
        <w:adjustRightInd w:val="0"/>
        <w:snapToGrid w:val="0"/>
        <w:spacing w:after="0" w:line="240" w:lineRule="auto"/>
        <w:ind w:firstLine="426"/>
        <w:jc w:val="both"/>
        <w:rPr>
          <w:sz w:val="20"/>
          <w:szCs w:val="20"/>
        </w:rPr>
      </w:pPr>
      <w:r>
        <w:rPr>
          <w:sz w:val="20"/>
          <w:szCs w:val="20"/>
        </w:rPr>
        <w:t xml:space="preserve">Larger samples need to be recruited in future researches, also increase the number of female subjects to investigate potential gender differences. </w:t>
      </w:r>
    </w:p>
    <w:p w:rsidR="00E34EC7" w:rsidRDefault="00684B14" w:rsidP="0040199E">
      <w:pPr>
        <w:adjustRightInd w:val="0"/>
        <w:snapToGrid w:val="0"/>
        <w:spacing w:after="0" w:line="240" w:lineRule="auto"/>
        <w:ind w:firstLine="426"/>
        <w:jc w:val="both"/>
        <w:rPr>
          <w:sz w:val="20"/>
          <w:szCs w:val="20"/>
          <w:rtl/>
        </w:rPr>
      </w:pPr>
      <w:r>
        <w:rPr>
          <w:sz w:val="20"/>
          <w:szCs w:val="20"/>
        </w:rPr>
        <w:t>The effects of physical exercise performed in a laboratory setting using cycle ergometry/treadmill do not reflect typical sporting traits of children</w:t>
      </w:r>
      <w:r w:rsidR="00420420">
        <w:rPr>
          <w:sz w:val="20"/>
          <w:szCs w:val="20"/>
        </w:rPr>
        <w:t>;</w:t>
      </w:r>
      <w:r>
        <w:rPr>
          <w:sz w:val="20"/>
          <w:szCs w:val="20"/>
        </w:rPr>
        <w:t xml:space="preserve"> therefore, the practical utility of these protocols must be investigated, as results obtained in a non-habitual setting may be biassed due to feelings of discomfort.</w:t>
      </w:r>
    </w:p>
    <w:p w:rsidR="00E34EC7" w:rsidRDefault="00E34EC7" w:rsidP="0040199E">
      <w:pPr>
        <w:adjustRightInd w:val="0"/>
        <w:snapToGrid w:val="0"/>
        <w:spacing w:after="0" w:line="240" w:lineRule="auto"/>
        <w:jc w:val="both"/>
        <w:rPr>
          <w:sz w:val="20"/>
          <w:szCs w:val="20"/>
        </w:rPr>
      </w:pPr>
    </w:p>
    <w:p w:rsidR="00E34EC7" w:rsidRDefault="00684B14" w:rsidP="0040199E">
      <w:pPr>
        <w:adjustRightInd w:val="0"/>
        <w:snapToGrid w:val="0"/>
        <w:spacing w:after="0" w:line="240" w:lineRule="auto"/>
        <w:jc w:val="both"/>
        <w:rPr>
          <w:b/>
          <w:bCs/>
          <w:sz w:val="20"/>
          <w:szCs w:val="20"/>
        </w:rPr>
      </w:pPr>
      <w:r>
        <w:rPr>
          <w:b/>
          <w:bCs/>
          <w:sz w:val="20"/>
          <w:szCs w:val="20"/>
        </w:rPr>
        <w:t>Funding:</w:t>
      </w:r>
    </w:p>
    <w:p w:rsidR="00E34EC7" w:rsidRDefault="00684B14" w:rsidP="0040199E">
      <w:pPr>
        <w:adjustRightInd w:val="0"/>
        <w:snapToGrid w:val="0"/>
        <w:spacing w:after="0" w:line="240" w:lineRule="auto"/>
        <w:jc w:val="both"/>
        <w:rPr>
          <w:bCs/>
          <w:sz w:val="20"/>
          <w:szCs w:val="20"/>
        </w:rPr>
      </w:pPr>
      <w:r>
        <w:rPr>
          <w:bCs/>
          <w:sz w:val="20"/>
          <w:szCs w:val="20"/>
        </w:rPr>
        <w:t>Not funded.</w:t>
      </w:r>
    </w:p>
    <w:p w:rsidR="00E34EC7" w:rsidRDefault="00E34EC7" w:rsidP="0040199E">
      <w:pPr>
        <w:adjustRightInd w:val="0"/>
        <w:snapToGrid w:val="0"/>
        <w:spacing w:after="0" w:line="240" w:lineRule="auto"/>
        <w:jc w:val="both"/>
        <w:rPr>
          <w:b/>
          <w:bCs/>
          <w:sz w:val="20"/>
          <w:szCs w:val="20"/>
        </w:rPr>
      </w:pPr>
    </w:p>
    <w:p w:rsidR="00E34EC7" w:rsidRDefault="00684B14" w:rsidP="0040199E">
      <w:pPr>
        <w:adjustRightInd w:val="0"/>
        <w:snapToGrid w:val="0"/>
        <w:spacing w:after="0" w:line="240" w:lineRule="auto"/>
        <w:jc w:val="both"/>
        <w:rPr>
          <w:b/>
          <w:bCs/>
          <w:sz w:val="20"/>
          <w:szCs w:val="20"/>
        </w:rPr>
      </w:pPr>
      <w:r>
        <w:rPr>
          <w:b/>
          <w:bCs/>
          <w:sz w:val="20"/>
          <w:szCs w:val="20"/>
        </w:rPr>
        <w:t>Conflict of Interest:</w:t>
      </w:r>
    </w:p>
    <w:p w:rsidR="00E34EC7" w:rsidRDefault="00684B14" w:rsidP="0040199E">
      <w:pPr>
        <w:adjustRightInd w:val="0"/>
        <w:snapToGrid w:val="0"/>
        <w:spacing w:after="0" w:line="240" w:lineRule="auto"/>
        <w:jc w:val="both"/>
        <w:rPr>
          <w:bCs/>
          <w:sz w:val="20"/>
          <w:szCs w:val="20"/>
        </w:rPr>
      </w:pPr>
      <w:r>
        <w:rPr>
          <w:bCs/>
          <w:sz w:val="20"/>
          <w:szCs w:val="20"/>
        </w:rPr>
        <w:t>Authors declare no potential conflicts of interest.</w:t>
      </w:r>
    </w:p>
    <w:p w:rsidR="00E34EC7" w:rsidRDefault="00E34EC7" w:rsidP="0040199E">
      <w:pPr>
        <w:adjustRightInd w:val="0"/>
        <w:snapToGrid w:val="0"/>
        <w:spacing w:after="0" w:line="240" w:lineRule="auto"/>
        <w:jc w:val="both"/>
        <w:rPr>
          <w:b/>
          <w:bCs/>
          <w:sz w:val="20"/>
          <w:szCs w:val="20"/>
        </w:rPr>
      </w:pPr>
    </w:p>
    <w:p w:rsidR="00E34EC7" w:rsidRDefault="00684B14" w:rsidP="0040199E">
      <w:pPr>
        <w:adjustRightInd w:val="0"/>
        <w:snapToGrid w:val="0"/>
        <w:spacing w:after="0" w:line="240" w:lineRule="auto"/>
        <w:jc w:val="both"/>
        <w:rPr>
          <w:b/>
          <w:bCs/>
          <w:sz w:val="20"/>
          <w:szCs w:val="20"/>
        </w:rPr>
      </w:pPr>
      <w:r>
        <w:rPr>
          <w:b/>
          <w:bCs/>
          <w:sz w:val="20"/>
          <w:szCs w:val="20"/>
        </w:rPr>
        <w:t>Acknowledgments</w:t>
      </w:r>
    </w:p>
    <w:p w:rsidR="00E34EC7" w:rsidRDefault="00684B14" w:rsidP="0040199E">
      <w:pPr>
        <w:adjustRightInd w:val="0"/>
        <w:snapToGrid w:val="0"/>
        <w:spacing w:after="0" w:line="240" w:lineRule="auto"/>
        <w:jc w:val="both"/>
        <w:rPr>
          <w:bCs/>
          <w:sz w:val="20"/>
          <w:szCs w:val="20"/>
        </w:rPr>
      </w:pPr>
      <w:r>
        <w:rPr>
          <w:bCs/>
          <w:sz w:val="20"/>
          <w:szCs w:val="20"/>
        </w:rPr>
        <w:t>Authors would like to thank all children who participated in the current study.</w:t>
      </w:r>
    </w:p>
    <w:p w:rsidR="00E34EC7" w:rsidRDefault="00E34EC7" w:rsidP="0040199E">
      <w:pPr>
        <w:adjustRightInd w:val="0"/>
        <w:snapToGrid w:val="0"/>
        <w:spacing w:after="0" w:line="240" w:lineRule="auto"/>
        <w:jc w:val="both"/>
        <w:rPr>
          <w:bCs/>
          <w:sz w:val="20"/>
          <w:szCs w:val="20"/>
        </w:rPr>
      </w:pPr>
    </w:p>
    <w:p w:rsidR="00E34EC7" w:rsidRDefault="00684B14" w:rsidP="0040199E">
      <w:pPr>
        <w:adjustRightInd w:val="0"/>
        <w:snapToGrid w:val="0"/>
        <w:spacing w:after="0" w:line="240" w:lineRule="auto"/>
        <w:jc w:val="both"/>
        <w:rPr>
          <w:b/>
          <w:bCs/>
          <w:sz w:val="20"/>
          <w:szCs w:val="20"/>
        </w:rPr>
      </w:pPr>
      <w:r>
        <w:rPr>
          <w:b/>
          <w:bCs/>
          <w:sz w:val="20"/>
          <w:szCs w:val="20"/>
        </w:rPr>
        <w:t>Corresponding Author:</w:t>
      </w:r>
    </w:p>
    <w:p w:rsidR="00E34EC7" w:rsidRDefault="00684B14" w:rsidP="0040199E">
      <w:pPr>
        <w:adjustRightInd w:val="0"/>
        <w:snapToGrid w:val="0"/>
        <w:spacing w:after="0" w:line="240" w:lineRule="auto"/>
        <w:rPr>
          <w:sz w:val="20"/>
          <w:szCs w:val="20"/>
          <w:vertAlign w:val="superscript"/>
        </w:rPr>
      </w:pPr>
      <w:r>
        <w:rPr>
          <w:sz w:val="20"/>
          <w:szCs w:val="20"/>
        </w:rPr>
        <w:t xml:space="preserve">Essam Abdelazem Gad </w:t>
      </w:r>
    </w:p>
    <w:p w:rsidR="00E34EC7" w:rsidRDefault="00684B14" w:rsidP="0040199E">
      <w:pPr>
        <w:adjustRightInd w:val="0"/>
        <w:snapToGrid w:val="0"/>
        <w:spacing w:after="0" w:line="240" w:lineRule="auto"/>
        <w:rPr>
          <w:sz w:val="20"/>
          <w:szCs w:val="20"/>
        </w:rPr>
      </w:pPr>
      <w:r>
        <w:rPr>
          <w:rFonts w:hint="eastAsia"/>
          <w:sz w:val="20"/>
          <w:szCs w:val="20"/>
        </w:rPr>
        <w:t xml:space="preserve">Telephone: </w:t>
      </w:r>
      <w:r>
        <w:rPr>
          <w:sz w:val="20"/>
          <w:szCs w:val="20"/>
        </w:rPr>
        <w:t>00201017992140</w:t>
      </w:r>
    </w:p>
    <w:p w:rsidR="00E34EC7" w:rsidRDefault="00684B14" w:rsidP="0040199E">
      <w:pPr>
        <w:adjustRightInd w:val="0"/>
        <w:snapToGrid w:val="0"/>
        <w:spacing w:after="0" w:line="240" w:lineRule="auto"/>
        <w:rPr>
          <w:sz w:val="20"/>
          <w:szCs w:val="20"/>
          <w:lang w:eastAsia="zh-CN"/>
        </w:rPr>
      </w:pPr>
      <w:r>
        <w:rPr>
          <w:sz w:val="20"/>
          <w:szCs w:val="20"/>
        </w:rPr>
        <w:t xml:space="preserve">E-mail: </w:t>
      </w:r>
      <w:hyperlink r:id="rId24" w:history="1">
        <w:r w:rsidR="0040199E" w:rsidRPr="00573B62">
          <w:rPr>
            <w:rStyle w:val="Hyperlink"/>
            <w:sz w:val="20"/>
            <w:szCs w:val="20"/>
          </w:rPr>
          <w:t>essamgad1978@gmail.com</w:t>
        </w:r>
      </w:hyperlink>
      <w:r w:rsidR="0040199E">
        <w:rPr>
          <w:rFonts w:hint="eastAsia"/>
          <w:sz w:val="20"/>
          <w:szCs w:val="20"/>
          <w:lang w:eastAsia="zh-CN"/>
        </w:rPr>
        <w:t xml:space="preserve"> </w:t>
      </w:r>
    </w:p>
    <w:p w:rsidR="00E34EC7" w:rsidRDefault="00E34EC7" w:rsidP="0040199E">
      <w:pPr>
        <w:adjustRightInd w:val="0"/>
        <w:snapToGrid w:val="0"/>
        <w:spacing w:after="0" w:line="240" w:lineRule="auto"/>
        <w:jc w:val="both"/>
        <w:rPr>
          <w:bCs/>
          <w:sz w:val="20"/>
          <w:szCs w:val="20"/>
        </w:rPr>
      </w:pPr>
    </w:p>
    <w:p w:rsidR="00E34EC7" w:rsidRDefault="00E34EC7" w:rsidP="0040199E">
      <w:pPr>
        <w:adjustRightInd w:val="0"/>
        <w:snapToGrid w:val="0"/>
        <w:spacing w:after="0" w:line="240" w:lineRule="auto"/>
        <w:jc w:val="both"/>
        <w:rPr>
          <w:b/>
          <w:sz w:val="20"/>
          <w:szCs w:val="20"/>
        </w:rPr>
      </w:pPr>
    </w:p>
    <w:p w:rsidR="00E34EC7" w:rsidRDefault="00684B14" w:rsidP="0040199E">
      <w:pPr>
        <w:adjustRightInd w:val="0"/>
        <w:snapToGrid w:val="0"/>
        <w:spacing w:after="0" w:line="240" w:lineRule="auto"/>
        <w:jc w:val="both"/>
        <w:rPr>
          <w:b/>
          <w:sz w:val="20"/>
          <w:szCs w:val="20"/>
        </w:rPr>
      </w:pPr>
      <w:bookmarkStart w:id="1" w:name="_GoBack"/>
      <w:bookmarkEnd w:id="1"/>
      <w:r>
        <w:rPr>
          <w:b/>
          <w:sz w:val="20"/>
          <w:szCs w:val="20"/>
        </w:rPr>
        <w:t>References</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American Psychiatric Association. Diagnostic and statistical manual of mental disorders (DSM-5®). American Psychiatric Pub; 2013 May 22.</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Colvin MK, Stern TA. Diagnosis, evaluation, and treatment of attention-deficit/hyperactivity disorder. The Journal of clinical psychiatry. 2015 Sep 23;76(9):1148-.</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 xml:space="preserve">Dishman RK, Berthoud HR, Booth FW, Cotman CW, Edgerton VR, Fleshner MR, Gandevia SC, Gomez‐Pinilla F, Greenwood </w:t>
      </w:r>
      <w:r>
        <w:rPr>
          <w:sz w:val="20"/>
          <w:szCs w:val="20"/>
        </w:rPr>
        <w:lastRenderedPageBreak/>
        <w:t>BN, Hillman CH, Kramer AF. Neurobiology of exercise. Obesity. 2006 Mar;14(3):345-56.</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Nybo L, Nielsen B. Perceived exertion is associated with an altered brain activity during exercise with progressive hyperthermia. Journal of Applied Physiology. 2001 Nov 1;91(5):2017-23.</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Petruzzello SJ, Ekkekakis P, Hall EE. Physical activity, affect, and electroencephalogram studies. In</w:t>
      </w:r>
      <w:r w:rsidR="000F5055">
        <w:rPr>
          <w:rFonts w:hint="eastAsia"/>
          <w:sz w:val="20"/>
          <w:szCs w:val="20"/>
          <w:lang w:eastAsia="zh-CN"/>
        </w:rPr>
        <w:t xml:space="preserve"> </w:t>
      </w:r>
      <w:r>
        <w:rPr>
          <w:sz w:val="20"/>
          <w:szCs w:val="20"/>
        </w:rPr>
        <w:t>Psychobiology of physical activity 2006 (pp. 111-128). Human Kinetics Publishers Inc..</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Dalsgaard MK, Secher NH. The brain at work: a cerebral metabolic manifestation of central fatigue?. Journal of neuroscience research. 2007 Nov 15;85(15):3334-9.</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Barry RJ, Clarke AR, Johnstone SJ. A review of electrophysiology in attention-deficit/hyperactivity disorder: I. Qualitative and quantitative electroencephalography. Clinical neurophysiology. 2003 Feb 1; 114(2):171-83.</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Putman P, Verkuil B, Arias-Garcia E, Pantazi I, van Schie C. EEG theta/beta ratio as a potential biomarker for attentional control and resilience against deleterious effects of stress on attention. Cognitive, Affective, &amp; Behavioral Neuroscience. 2014 Jun; 14(2):782-91.</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Clarke AR, Barry RJ, McCarthy R, Selikowitz M, Johnstone SJ. Effects of stimulant medications on the EEG of girls with attention-deficit/hyperactivity disorder. Clinical Neurophysiology. 2007 Dec 1;118(12):2700-8.</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Knyazev GG. Motivation, emotion, and their inhibitory control mirrored in brain oscillations. Neuroscience &amp; Biobehavioral Reviews. 2007 Jan 1;31(3):377-95.</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lastRenderedPageBreak/>
        <w:t>Gianarris WJ, Golden CJ, Greene L. The Conners'parent Rating Scales: A Critical Review Of The Literature. Clinical psychology review. 2001 Oct 1;21(7):1061-93.</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Kober SE, Schweiger D, Reichert JL, Neuper C, Wood G. Upper alpha based neurofeedback training in chronic stroke: brain plasticity processes and cognitive effects. Applied psychophysiology and biofeedback. 2017 Mar 1;42(1):69-83.</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Ratey JJ. Spark: The revolutionary new science of exercise and the brain. Little, Brown Spark; 2008 Jan 10.</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 xml:space="preserve">Chang YK, Liu S, Yu HH, Lee YH. Effect of acute exercise on executive function in children with attention deficit hyperactivity disorder. Archives of clinical neuropsychology. 2012 Mar 1;27(2):225-37. </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Pontifex MB, Saliba BJ, Raine LB, Picchietti DL, Hillman CH. Exercise improves behavioral, neurocognitive, and scholastic performance in children with attention-deficit/hyperactivity disorder. The Journal of pediatrics. 2013 Mar 1;162(3):543-51.</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Chuang LY, Tsai YJ, Chang YK, Huang CJ, Hung TM. Effects of acute aerobic exercise on response preparation in a Go/No Go Task in children with ADHD: an ERP study. Journal of sport and Health science. 2015 Mar 1;4(1):82-8.</w:t>
      </w:r>
    </w:p>
    <w:p w:rsidR="00E34EC7" w:rsidRDefault="00684B14" w:rsidP="00420420">
      <w:pPr>
        <w:numPr>
          <w:ilvl w:val="0"/>
          <w:numId w:val="2"/>
        </w:numPr>
        <w:tabs>
          <w:tab w:val="left" w:pos="426"/>
        </w:tabs>
        <w:adjustRightInd w:val="0"/>
        <w:snapToGrid w:val="0"/>
        <w:spacing w:after="0" w:line="240" w:lineRule="auto"/>
        <w:ind w:left="709" w:hanging="567"/>
        <w:jc w:val="both"/>
        <w:rPr>
          <w:sz w:val="20"/>
          <w:szCs w:val="20"/>
        </w:rPr>
      </w:pPr>
      <w:r>
        <w:rPr>
          <w:sz w:val="20"/>
          <w:szCs w:val="20"/>
        </w:rPr>
        <w:t>Medina JA, Netto TL, Muszkat M, Medina AC, Botter D, Orbetelli R, Scaramuzza LF, Sinnes EG, Vilela M, Miranda MC. Exercise impact on sustained attention of ADHD children, methylphenidate effects. ADHD Attention Deficit and Hyperactivity Disorders. 2010 Mar 1;2(1):49-58.</w:t>
      </w:r>
    </w:p>
    <w:p w:rsidR="00E34EC7" w:rsidRDefault="00E34EC7" w:rsidP="0040199E">
      <w:pPr>
        <w:adjustRightInd w:val="0"/>
        <w:snapToGrid w:val="0"/>
        <w:spacing w:after="0" w:line="240" w:lineRule="auto"/>
        <w:jc w:val="both"/>
        <w:rPr>
          <w:sz w:val="20"/>
          <w:szCs w:val="20"/>
          <w:lang w:eastAsia="zh-CN"/>
        </w:rPr>
        <w:sectPr w:rsidR="00E34EC7">
          <w:footnotePr>
            <w:pos w:val="beneathText"/>
          </w:footnotePr>
          <w:type w:val="continuous"/>
          <w:pgSz w:w="12240" w:h="15840"/>
          <w:pgMar w:top="1440" w:right="1440" w:bottom="1440" w:left="1440" w:header="720" w:footer="720" w:gutter="0"/>
          <w:cols w:num="2" w:space="576"/>
          <w:docGrid w:linePitch="360"/>
        </w:sectPr>
      </w:pPr>
    </w:p>
    <w:p w:rsidR="00E34EC7" w:rsidRDefault="00E34EC7" w:rsidP="0040199E">
      <w:pPr>
        <w:adjustRightInd w:val="0"/>
        <w:snapToGrid w:val="0"/>
        <w:spacing w:after="0" w:line="240" w:lineRule="auto"/>
        <w:jc w:val="both"/>
        <w:rPr>
          <w:sz w:val="20"/>
          <w:szCs w:val="20"/>
          <w:lang w:eastAsia="zh-CN"/>
        </w:rPr>
      </w:pPr>
    </w:p>
    <w:p w:rsidR="0040199E" w:rsidRDefault="0040199E" w:rsidP="0040199E">
      <w:pPr>
        <w:adjustRightInd w:val="0"/>
        <w:snapToGrid w:val="0"/>
        <w:spacing w:after="0" w:line="240" w:lineRule="auto"/>
        <w:jc w:val="both"/>
        <w:rPr>
          <w:sz w:val="20"/>
          <w:szCs w:val="20"/>
          <w:lang w:eastAsia="zh-CN"/>
        </w:rPr>
      </w:pPr>
    </w:p>
    <w:p w:rsidR="0040199E" w:rsidRDefault="0040199E" w:rsidP="0040199E">
      <w:pPr>
        <w:adjustRightInd w:val="0"/>
        <w:snapToGrid w:val="0"/>
        <w:spacing w:after="0" w:line="240" w:lineRule="auto"/>
        <w:jc w:val="both"/>
        <w:rPr>
          <w:sz w:val="20"/>
          <w:szCs w:val="20"/>
          <w:lang w:eastAsia="zh-CN"/>
        </w:rPr>
      </w:pPr>
      <w:r>
        <w:rPr>
          <w:rFonts w:hint="eastAsia"/>
          <w:sz w:val="20"/>
          <w:szCs w:val="20"/>
          <w:lang w:eastAsia="zh-CN"/>
        </w:rPr>
        <w:t>7/22/2021</w:t>
      </w:r>
    </w:p>
    <w:sectPr w:rsidR="0040199E" w:rsidSect="00E34EC7">
      <w:footnotePr>
        <w:pos w:val="beneathText"/>
      </w:footnotePr>
      <w:type w:val="continuous"/>
      <w:pgSz w:w="12240" w:h="15840"/>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911" w:rsidRDefault="00F95911" w:rsidP="00E34EC7">
      <w:pPr>
        <w:spacing w:after="0" w:line="240" w:lineRule="auto"/>
      </w:pPr>
      <w:r>
        <w:separator/>
      </w:r>
    </w:p>
  </w:endnote>
  <w:endnote w:type="continuationSeparator" w:id="0">
    <w:p w:rsidR="00F95911" w:rsidRDefault="00F95911" w:rsidP="00E34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EC7" w:rsidRDefault="009E624B">
    <w:pPr>
      <w:pStyle w:val="Footer"/>
      <w:framePr w:wrap="around" w:vAnchor="text" w:hAnchor="margin" w:xAlign="center" w:y="1"/>
      <w:rPr>
        <w:rStyle w:val="PageNumber"/>
      </w:rPr>
    </w:pPr>
    <w:r>
      <w:rPr>
        <w:rStyle w:val="PageNumber"/>
      </w:rPr>
      <w:fldChar w:fldCharType="begin"/>
    </w:r>
    <w:r w:rsidR="00684B14">
      <w:rPr>
        <w:rStyle w:val="PageNumber"/>
      </w:rPr>
      <w:instrText xml:space="preserve">PAGE  </w:instrText>
    </w:r>
    <w:r>
      <w:rPr>
        <w:rStyle w:val="PageNumber"/>
      </w:rPr>
      <w:fldChar w:fldCharType="end"/>
    </w:r>
  </w:p>
  <w:p w:rsidR="00E34EC7" w:rsidRDefault="00E34E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EC7" w:rsidRDefault="009E624B">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4.55pt;height:23.2pt;z-index:251658240;mso-position-horizontal:center;mso-position-horizontal-relative:margin" filled="f" stroked="f">
          <v:textbox style="mso-fit-shape-to-text:t" inset="0,0,0,0">
            <w:txbxContent>
              <w:p w:rsidR="00E34EC7" w:rsidRDefault="009E624B">
                <w:pPr>
                  <w:pStyle w:val="Footer"/>
                  <w:rPr>
                    <w:rStyle w:val="PageNumber"/>
                    <w:sz w:val="20"/>
                    <w:szCs w:val="20"/>
                  </w:rPr>
                </w:pPr>
                <w:r>
                  <w:rPr>
                    <w:rStyle w:val="PageNumber"/>
                    <w:sz w:val="20"/>
                    <w:szCs w:val="20"/>
                  </w:rPr>
                  <w:fldChar w:fldCharType="begin"/>
                </w:r>
                <w:r w:rsidR="00684B14">
                  <w:rPr>
                    <w:rStyle w:val="PageNumber"/>
                    <w:sz w:val="20"/>
                    <w:szCs w:val="20"/>
                  </w:rPr>
                  <w:instrText xml:space="preserve">PAGE  </w:instrText>
                </w:r>
                <w:r>
                  <w:rPr>
                    <w:rStyle w:val="PageNumber"/>
                    <w:sz w:val="20"/>
                    <w:szCs w:val="20"/>
                  </w:rPr>
                  <w:fldChar w:fldCharType="separate"/>
                </w:r>
                <w:r w:rsidR="000F5055">
                  <w:rPr>
                    <w:rStyle w:val="PageNumber"/>
                    <w:noProof/>
                    <w:sz w:val="20"/>
                    <w:szCs w:val="20"/>
                  </w:rPr>
                  <w:t>35</w:t>
                </w:r>
                <w:r>
                  <w:rPr>
                    <w:rStyle w:val="PageNumber"/>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EC7" w:rsidRDefault="009E624B">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E34EC7" w:rsidRDefault="009E624B">
                <w:pPr>
                  <w:pStyle w:val="Footer"/>
                  <w:rPr>
                    <w:lang w:eastAsia="zh-CN"/>
                  </w:rPr>
                </w:pPr>
                <w:r>
                  <w:rPr>
                    <w:rFonts w:hint="eastAsia"/>
                    <w:sz w:val="20"/>
                    <w:szCs w:val="20"/>
                    <w:lang w:eastAsia="zh-CN"/>
                  </w:rPr>
                  <w:fldChar w:fldCharType="begin"/>
                </w:r>
                <w:r w:rsidR="00684B14">
                  <w:rPr>
                    <w:rFonts w:hint="eastAsia"/>
                    <w:sz w:val="20"/>
                    <w:szCs w:val="20"/>
                    <w:lang w:eastAsia="zh-CN"/>
                  </w:rPr>
                  <w:instrText xml:space="preserve"> PAGE  \* MERGEFORMAT </w:instrText>
                </w:r>
                <w:r>
                  <w:rPr>
                    <w:rFonts w:hint="eastAsia"/>
                    <w:sz w:val="20"/>
                    <w:szCs w:val="20"/>
                    <w:lang w:eastAsia="zh-CN"/>
                  </w:rPr>
                  <w:fldChar w:fldCharType="separate"/>
                </w:r>
                <w:r w:rsidR="000F5055">
                  <w:rPr>
                    <w:noProof/>
                    <w:sz w:val="20"/>
                    <w:szCs w:val="20"/>
                    <w:lang w:eastAsia="zh-CN"/>
                  </w:rPr>
                  <w:t>34</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911" w:rsidRDefault="00F95911" w:rsidP="00E34EC7">
      <w:pPr>
        <w:spacing w:after="0" w:line="240" w:lineRule="auto"/>
      </w:pPr>
      <w:r>
        <w:separator/>
      </w:r>
    </w:p>
  </w:footnote>
  <w:footnote w:type="continuationSeparator" w:id="0">
    <w:p w:rsidR="00F95911" w:rsidRDefault="00F95911" w:rsidP="00E34E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EC7" w:rsidRDefault="00684B14">
    <w:pPr>
      <w:pBdr>
        <w:bottom w:val="single" w:sz="4" w:space="1" w:color="auto"/>
      </w:pBdr>
      <w:tabs>
        <w:tab w:val="right" w:pos="9360"/>
      </w:tabs>
      <w:suppressAutoHyphens w:val="0"/>
      <w:ind w:firstLineChars="300" w:firstLine="600"/>
      <w:jc w:val="both"/>
      <w:rPr>
        <w:rFonts w:ascii="Calibri" w:hAnsi="Calibri" w:cs="Arial"/>
        <w:iCs/>
        <w:sz w:val="20"/>
        <w:szCs w:val="20"/>
        <w:lang w:eastAsia="en-US"/>
      </w:rPr>
    </w:pPr>
    <w:r>
      <w:rPr>
        <w:sz w:val="20"/>
        <w:szCs w:val="20"/>
        <w:lang w:eastAsia="en-US"/>
      </w:rPr>
      <w:t>New York Science Journal 2021;14(</w:t>
    </w:r>
    <w:r>
      <w:rPr>
        <w:sz w:val="20"/>
        <w:szCs w:val="20"/>
        <w:lang w:eastAsia="zh-CN"/>
      </w:rPr>
      <w:t>X</w:t>
    </w:r>
    <w:r>
      <w:rPr>
        <w:sz w:val="20"/>
        <w:szCs w:val="20"/>
        <w:lang w:eastAsia="en-US"/>
      </w:rPr>
      <w:t>)</w:t>
    </w:r>
    <w:r>
      <w:rPr>
        <w:rFonts w:hint="eastAsia"/>
        <w:sz w:val="20"/>
        <w:szCs w:val="20"/>
        <w:lang w:eastAsia="zh-CN"/>
      </w:rPr>
      <w:t xml:space="preserve">                                   </w:t>
    </w:r>
    <w:r>
      <w:rPr>
        <w:rFonts w:ascii="Calibri" w:hAnsi="Calibri" w:cs="Arial" w:hint="eastAsia"/>
        <w:sz w:val="20"/>
        <w:szCs w:val="22"/>
        <w:lang w:eastAsia="en-US"/>
      </w:rPr>
      <w:t xml:space="preserve"> </w:t>
    </w:r>
    <w:hyperlink r:id="rId1" w:history="1">
      <w:r>
        <w:rPr>
          <w:color w:val="0000FF"/>
          <w:sz w:val="20"/>
          <w:szCs w:val="20"/>
          <w:u w:val="single"/>
          <w:lang w:eastAsia="en-US"/>
        </w:rPr>
        <w:t>http://www.sciencepub.net/newyork</w:t>
      </w:r>
    </w:hyperlink>
    <w:r>
      <w:rPr>
        <w:rFonts w:ascii="Calibri" w:hAnsi="Calibri" w:cs="Arial" w:hint="eastAsia"/>
        <w:sz w:val="20"/>
        <w:szCs w:val="22"/>
        <w:lang w:eastAsia="en-US"/>
      </w:rPr>
      <w:t xml:space="preserve"> </w:t>
    </w:r>
    <w:r>
      <w:rPr>
        <w:rFonts w:ascii="Calibri" w:hAnsi="Calibri" w:cs="Arial" w:hint="eastAsia"/>
        <w:b/>
        <w:i/>
        <w:color w:val="FF0000"/>
        <w:sz w:val="20"/>
        <w:szCs w:val="20"/>
        <w:bdr w:val="single" w:sz="4" w:space="0" w:color="FF0000"/>
        <w:lang w:eastAsia="en-US"/>
      </w:rPr>
      <w:t>NYJ</w:t>
    </w:r>
    <w:r>
      <w:rPr>
        <w:rFonts w:ascii="Calibri" w:hAnsi="Calibri" w:cs="Arial"/>
        <w:iCs/>
        <w:sz w:val="20"/>
        <w:szCs w:val="20"/>
        <w:lang w:eastAsia="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EC7" w:rsidRDefault="00684B14">
    <w:pPr>
      <w:pStyle w:val="Header"/>
      <w:adjustRightInd w:val="0"/>
      <w:snapToGrid w:val="0"/>
      <w:jc w:val="center"/>
      <w:rPr>
        <w:sz w:val="20"/>
        <w:szCs w:val="20"/>
      </w:rPr>
    </w:pPr>
    <w:r>
      <w:rPr>
        <w:noProof/>
        <w:szCs w:val="20"/>
        <w:lang w:eastAsia="zh-CN"/>
      </w:rPr>
      <w:drawing>
        <wp:inline distT="0" distB="0" distL="0" distR="0">
          <wp:extent cx="5761990" cy="751840"/>
          <wp:effectExtent l="19050" t="0" r="0" b="0"/>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noChangeArrowheads="1"/>
                  </pic:cNvPicPr>
                </pic:nvPicPr>
                <pic:blipFill>
                  <a:blip r:embed="rId1"/>
                  <a:srcRect/>
                  <a:stretch>
                    <a:fillRect/>
                  </a:stretch>
                </pic:blipFill>
                <pic:spPr>
                  <a:xfrm>
                    <a:off x="0" y="0"/>
                    <a:ext cx="5761990" cy="751840"/>
                  </a:xfrm>
                  <a:prstGeom prst="rect">
                    <a:avLst/>
                  </a:prstGeom>
                  <a:noFill/>
                  <a:ln w="9525">
                    <a:noFill/>
                    <a:miter lim="800000"/>
                    <a:headEnd/>
                    <a:tailEnd/>
                  </a:ln>
                </pic:spPr>
              </pic:pic>
            </a:graphicData>
          </a:graphic>
        </wp:inline>
      </w:drawing>
    </w:r>
  </w:p>
  <w:p w:rsidR="00E34EC7" w:rsidRDefault="00E34E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038640"/>
    <w:multiLevelType w:val="multilevel"/>
    <w:tmpl w:val="B9038640"/>
    <w:lvl w:ilvl="0">
      <w:start w:val="1"/>
      <w:numFmt w:val="decimal"/>
      <w:lvlText w:val="[%1]."/>
      <w:lvlJc w:val="left"/>
      <w:pPr>
        <w:ind w:left="360" w:hanging="360"/>
      </w:pPr>
      <w:rPr>
        <w:rFonts w:ascii="宋体" w:eastAsia="宋体" w:hAnsi="宋体" w:cs="宋体"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15081"/>
    <w:rsid w:val="0006091F"/>
    <w:rsid w:val="00080CE9"/>
    <w:rsid w:val="000827B7"/>
    <w:rsid w:val="000844D7"/>
    <w:rsid w:val="00086790"/>
    <w:rsid w:val="00090A06"/>
    <w:rsid w:val="000A0250"/>
    <w:rsid w:val="000B1E08"/>
    <w:rsid w:val="000C28C9"/>
    <w:rsid w:val="000C6354"/>
    <w:rsid w:val="000E5F10"/>
    <w:rsid w:val="000F5055"/>
    <w:rsid w:val="001817C7"/>
    <w:rsid w:val="00183764"/>
    <w:rsid w:val="001964D0"/>
    <w:rsid w:val="001A3DDD"/>
    <w:rsid w:val="001B41B8"/>
    <w:rsid w:val="001B650D"/>
    <w:rsid w:val="001C3D42"/>
    <w:rsid w:val="001D70EB"/>
    <w:rsid w:val="001F1C74"/>
    <w:rsid w:val="00205E97"/>
    <w:rsid w:val="002219FD"/>
    <w:rsid w:val="00221C7E"/>
    <w:rsid w:val="00245C21"/>
    <w:rsid w:val="00246F3A"/>
    <w:rsid w:val="0025481C"/>
    <w:rsid w:val="002721F1"/>
    <w:rsid w:val="00275D1A"/>
    <w:rsid w:val="002818ED"/>
    <w:rsid w:val="00282FA1"/>
    <w:rsid w:val="002A4D4A"/>
    <w:rsid w:val="002B1092"/>
    <w:rsid w:val="002B5613"/>
    <w:rsid w:val="002C2849"/>
    <w:rsid w:val="002C2A24"/>
    <w:rsid w:val="002C65F6"/>
    <w:rsid w:val="002D26CE"/>
    <w:rsid w:val="002D3558"/>
    <w:rsid w:val="002D589A"/>
    <w:rsid w:val="002F20CD"/>
    <w:rsid w:val="002F49EF"/>
    <w:rsid w:val="00301F95"/>
    <w:rsid w:val="00314F95"/>
    <w:rsid w:val="00321927"/>
    <w:rsid w:val="00322FAB"/>
    <w:rsid w:val="00345581"/>
    <w:rsid w:val="0034702D"/>
    <w:rsid w:val="003679A0"/>
    <w:rsid w:val="00375653"/>
    <w:rsid w:val="003867EF"/>
    <w:rsid w:val="00394B65"/>
    <w:rsid w:val="003A785E"/>
    <w:rsid w:val="003B55FF"/>
    <w:rsid w:val="003B651F"/>
    <w:rsid w:val="003C0116"/>
    <w:rsid w:val="003C4C28"/>
    <w:rsid w:val="003D6D0D"/>
    <w:rsid w:val="003D6E2F"/>
    <w:rsid w:val="0040199E"/>
    <w:rsid w:val="00403D29"/>
    <w:rsid w:val="00411DC7"/>
    <w:rsid w:val="00420420"/>
    <w:rsid w:val="00422138"/>
    <w:rsid w:val="0043645D"/>
    <w:rsid w:val="00454A59"/>
    <w:rsid w:val="00456753"/>
    <w:rsid w:val="00470EA5"/>
    <w:rsid w:val="00471E57"/>
    <w:rsid w:val="00474964"/>
    <w:rsid w:val="00475629"/>
    <w:rsid w:val="00480715"/>
    <w:rsid w:val="0049143E"/>
    <w:rsid w:val="004C01F2"/>
    <w:rsid w:val="004C7E2A"/>
    <w:rsid w:val="004D01D3"/>
    <w:rsid w:val="004D0467"/>
    <w:rsid w:val="004E580D"/>
    <w:rsid w:val="004F10FD"/>
    <w:rsid w:val="004F4AFB"/>
    <w:rsid w:val="004F73FF"/>
    <w:rsid w:val="00513BE1"/>
    <w:rsid w:val="005174B6"/>
    <w:rsid w:val="00520D1A"/>
    <w:rsid w:val="0052512B"/>
    <w:rsid w:val="00531C71"/>
    <w:rsid w:val="00536F01"/>
    <w:rsid w:val="005371B8"/>
    <w:rsid w:val="00553F9B"/>
    <w:rsid w:val="00566DC7"/>
    <w:rsid w:val="005873C0"/>
    <w:rsid w:val="00593132"/>
    <w:rsid w:val="00593E3E"/>
    <w:rsid w:val="00596DA9"/>
    <w:rsid w:val="005A21B0"/>
    <w:rsid w:val="005A37AF"/>
    <w:rsid w:val="005A5E42"/>
    <w:rsid w:val="005C2F35"/>
    <w:rsid w:val="005D1DA6"/>
    <w:rsid w:val="005E0B6D"/>
    <w:rsid w:val="005F53A4"/>
    <w:rsid w:val="005F5E04"/>
    <w:rsid w:val="00635F1E"/>
    <w:rsid w:val="006445DD"/>
    <w:rsid w:val="00644A99"/>
    <w:rsid w:val="0065209A"/>
    <w:rsid w:val="00654F77"/>
    <w:rsid w:val="00657995"/>
    <w:rsid w:val="00661DF8"/>
    <w:rsid w:val="00663504"/>
    <w:rsid w:val="00670A53"/>
    <w:rsid w:val="006766EB"/>
    <w:rsid w:val="00684B14"/>
    <w:rsid w:val="006B5399"/>
    <w:rsid w:val="006D5C2E"/>
    <w:rsid w:val="006E2CA5"/>
    <w:rsid w:val="006E6ACB"/>
    <w:rsid w:val="006E7156"/>
    <w:rsid w:val="006F1706"/>
    <w:rsid w:val="00744442"/>
    <w:rsid w:val="007656BB"/>
    <w:rsid w:val="007725E7"/>
    <w:rsid w:val="007764D5"/>
    <w:rsid w:val="0078507E"/>
    <w:rsid w:val="007A0DA6"/>
    <w:rsid w:val="007D338B"/>
    <w:rsid w:val="007D3D09"/>
    <w:rsid w:val="007D746F"/>
    <w:rsid w:val="007D7968"/>
    <w:rsid w:val="007E5209"/>
    <w:rsid w:val="007E7BF8"/>
    <w:rsid w:val="007F75F8"/>
    <w:rsid w:val="007F763B"/>
    <w:rsid w:val="00810AE4"/>
    <w:rsid w:val="00812785"/>
    <w:rsid w:val="008131CF"/>
    <w:rsid w:val="00814FA7"/>
    <w:rsid w:val="008233D0"/>
    <w:rsid w:val="00824940"/>
    <w:rsid w:val="00837DCB"/>
    <w:rsid w:val="00840575"/>
    <w:rsid w:val="008467FF"/>
    <w:rsid w:val="0085007D"/>
    <w:rsid w:val="00862159"/>
    <w:rsid w:val="00866BCD"/>
    <w:rsid w:val="00873473"/>
    <w:rsid w:val="00875C08"/>
    <w:rsid w:val="00876F45"/>
    <w:rsid w:val="008A20AC"/>
    <w:rsid w:val="008A46DC"/>
    <w:rsid w:val="008A67B6"/>
    <w:rsid w:val="008A752F"/>
    <w:rsid w:val="009107FC"/>
    <w:rsid w:val="0091208A"/>
    <w:rsid w:val="00914558"/>
    <w:rsid w:val="00930579"/>
    <w:rsid w:val="00935CF7"/>
    <w:rsid w:val="00936EAE"/>
    <w:rsid w:val="0094140D"/>
    <w:rsid w:val="009459B3"/>
    <w:rsid w:val="00952EB8"/>
    <w:rsid w:val="00956764"/>
    <w:rsid w:val="00961450"/>
    <w:rsid w:val="0097608A"/>
    <w:rsid w:val="0098357C"/>
    <w:rsid w:val="009874ED"/>
    <w:rsid w:val="0099126E"/>
    <w:rsid w:val="009934F1"/>
    <w:rsid w:val="00997A8E"/>
    <w:rsid w:val="009A3681"/>
    <w:rsid w:val="009D551F"/>
    <w:rsid w:val="009E5476"/>
    <w:rsid w:val="009E624B"/>
    <w:rsid w:val="009F0F3E"/>
    <w:rsid w:val="00A0417D"/>
    <w:rsid w:val="00A04EC0"/>
    <w:rsid w:val="00A1557F"/>
    <w:rsid w:val="00A3476D"/>
    <w:rsid w:val="00AB340A"/>
    <w:rsid w:val="00AB53CB"/>
    <w:rsid w:val="00AD020D"/>
    <w:rsid w:val="00AD10B6"/>
    <w:rsid w:val="00AE22FB"/>
    <w:rsid w:val="00AF519B"/>
    <w:rsid w:val="00B3167C"/>
    <w:rsid w:val="00B34470"/>
    <w:rsid w:val="00B36B45"/>
    <w:rsid w:val="00B60543"/>
    <w:rsid w:val="00B60E8D"/>
    <w:rsid w:val="00B75E60"/>
    <w:rsid w:val="00B80C0E"/>
    <w:rsid w:val="00B918AE"/>
    <w:rsid w:val="00B94E19"/>
    <w:rsid w:val="00BA02DA"/>
    <w:rsid w:val="00BB25A8"/>
    <w:rsid w:val="00BD1A00"/>
    <w:rsid w:val="00BD2A8D"/>
    <w:rsid w:val="00BD50C4"/>
    <w:rsid w:val="00BE4D47"/>
    <w:rsid w:val="00BF6579"/>
    <w:rsid w:val="00C04FDE"/>
    <w:rsid w:val="00C0674F"/>
    <w:rsid w:val="00C0761F"/>
    <w:rsid w:val="00C101C9"/>
    <w:rsid w:val="00C151EF"/>
    <w:rsid w:val="00C44596"/>
    <w:rsid w:val="00C60D61"/>
    <w:rsid w:val="00C92003"/>
    <w:rsid w:val="00CA1B69"/>
    <w:rsid w:val="00CB1982"/>
    <w:rsid w:val="00CC4387"/>
    <w:rsid w:val="00CE7B2F"/>
    <w:rsid w:val="00CF24FB"/>
    <w:rsid w:val="00CF6616"/>
    <w:rsid w:val="00D04C27"/>
    <w:rsid w:val="00D05B8A"/>
    <w:rsid w:val="00D13147"/>
    <w:rsid w:val="00D213A6"/>
    <w:rsid w:val="00D26F2E"/>
    <w:rsid w:val="00D3777A"/>
    <w:rsid w:val="00D545EA"/>
    <w:rsid w:val="00D54A38"/>
    <w:rsid w:val="00D56002"/>
    <w:rsid w:val="00D75338"/>
    <w:rsid w:val="00D75DB7"/>
    <w:rsid w:val="00D778C9"/>
    <w:rsid w:val="00D91CBE"/>
    <w:rsid w:val="00DA0B0F"/>
    <w:rsid w:val="00DB1D51"/>
    <w:rsid w:val="00DB31ED"/>
    <w:rsid w:val="00DB6219"/>
    <w:rsid w:val="00DC4C7F"/>
    <w:rsid w:val="00DE012A"/>
    <w:rsid w:val="00DE01D4"/>
    <w:rsid w:val="00DF6507"/>
    <w:rsid w:val="00DF6D2E"/>
    <w:rsid w:val="00DF7353"/>
    <w:rsid w:val="00E015B9"/>
    <w:rsid w:val="00E24D30"/>
    <w:rsid w:val="00E25372"/>
    <w:rsid w:val="00E33338"/>
    <w:rsid w:val="00E34501"/>
    <w:rsid w:val="00E34DBD"/>
    <w:rsid w:val="00E34EC7"/>
    <w:rsid w:val="00E52EA0"/>
    <w:rsid w:val="00E57761"/>
    <w:rsid w:val="00E617EB"/>
    <w:rsid w:val="00E73E1D"/>
    <w:rsid w:val="00E8440D"/>
    <w:rsid w:val="00EB51F4"/>
    <w:rsid w:val="00EC565A"/>
    <w:rsid w:val="00EC5C53"/>
    <w:rsid w:val="00ED4441"/>
    <w:rsid w:val="00ED4A29"/>
    <w:rsid w:val="00ED4ED9"/>
    <w:rsid w:val="00EE1CEE"/>
    <w:rsid w:val="00EE1F4B"/>
    <w:rsid w:val="00F03305"/>
    <w:rsid w:val="00F2228B"/>
    <w:rsid w:val="00F62573"/>
    <w:rsid w:val="00F83A62"/>
    <w:rsid w:val="00F95911"/>
    <w:rsid w:val="00F976BE"/>
    <w:rsid w:val="00F97E77"/>
    <w:rsid w:val="00FA4AF8"/>
    <w:rsid w:val="00FA6D77"/>
    <w:rsid w:val="00FA762E"/>
    <w:rsid w:val="00FB5131"/>
    <w:rsid w:val="00FB5B6A"/>
    <w:rsid w:val="00FC4906"/>
    <w:rsid w:val="00FE5040"/>
    <w:rsid w:val="00FF0A5A"/>
    <w:rsid w:val="00FF7666"/>
    <w:rsid w:val="5FE610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semiHidden="0" w:uiPriority="0" w:unhideWhenUsed="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EC7"/>
    <w:pPr>
      <w:suppressAutoHyphens/>
    </w:pPr>
    <w:rPr>
      <w:sz w:val="24"/>
      <w:szCs w:val="24"/>
      <w:lang w:eastAsia="ar-SA"/>
    </w:rPr>
  </w:style>
  <w:style w:type="paragraph" w:styleId="Heading1">
    <w:name w:val="heading 1"/>
    <w:basedOn w:val="Normal"/>
    <w:next w:val="Normal"/>
    <w:qFormat/>
    <w:rsid w:val="00E34EC7"/>
    <w:pPr>
      <w:keepNext/>
      <w:numPr>
        <w:numId w:val="1"/>
      </w:numPr>
      <w:outlineLvl w:val="0"/>
    </w:pPr>
    <w:rPr>
      <w:b/>
      <w:bCs/>
      <w:sz w:val="32"/>
    </w:rPr>
  </w:style>
  <w:style w:type="paragraph" w:styleId="Heading2">
    <w:name w:val="heading 2"/>
    <w:basedOn w:val="Normal"/>
    <w:next w:val="Normal"/>
    <w:qFormat/>
    <w:rsid w:val="00E34EC7"/>
    <w:pPr>
      <w:keepNext/>
      <w:numPr>
        <w:ilvl w:val="1"/>
        <w:numId w:val="1"/>
      </w:numPr>
      <w:jc w:val="both"/>
      <w:outlineLvl w:val="1"/>
    </w:pPr>
    <w:rPr>
      <w:b/>
      <w:sz w:val="28"/>
    </w:rPr>
  </w:style>
  <w:style w:type="paragraph" w:styleId="Heading3">
    <w:name w:val="heading 3"/>
    <w:basedOn w:val="Normal"/>
    <w:next w:val="Normal"/>
    <w:qFormat/>
    <w:rsid w:val="00E34EC7"/>
    <w:pPr>
      <w:keepNext/>
      <w:numPr>
        <w:ilvl w:val="2"/>
        <w:numId w:val="1"/>
      </w:numPr>
      <w:spacing w:line="360" w:lineRule="auto"/>
      <w:jc w:val="both"/>
      <w:outlineLvl w:val="2"/>
    </w:pPr>
    <w:rPr>
      <w:b/>
      <w:bCs/>
    </w:rPr>
  </w:style>
  <w:style w:type="paragraph" w:styleId="Heading6">
    <w:name w:val="heading 6"/>
    <w:basedOn w:val="Normal"/>
    <w:next w:val="Normal"/>
    <w:qFormat/>
    <w:rsid w:val="00E34EC7"/>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34EC7"/>
    <w:pPr>
      <w:suppressLineNumbers/>
      <w:spacing w:before="120" w:after="120"/>
    </w:pPr>
    <w:rPr>
      <w:i/>
      <w:iCs/>
    </w:rPr>
  </w:style>
  <w:style w:type="paragraph" w:styleId="BodyText">
    <w:name w:val="Body Text"/>
    <w:basedOn w:val="Normal"/>
    <w:qFormat/>
    <w:rsid w:val="00E34EC7"/>
    <w:pPr>
      <w:spacing w:line="360" w:lineRule="auto"/>
    </w:pPr>
  </w:style>
  <w:style w:type="paragraph" w:styleId="BodyTextIndent">
    <w:name w:val="Body Text Indent"/>
    <w:basedOn w:val="Normal"/>
    <w:qFormat/>
    <w:rsid w:val="00E34EC7"/>
    <w:pPr>
      <w:ind w:left="540" w:hanging="720"/>
      <w:jc w:val="both"/>
    </w:pPr>
  </w:style>
  <w:style w:type="paragraph" w:styleId="BodyTextIndent2">
    <w:name w:val="Body Text Indent 2"/>
    <w:basedOn w:val="Normal"/>
    <w:qFormat/>
    <w:rsid w:val="00E34EC7"/>
    <w:pPr>
      <w:spacing w:line="360" w:lineRule="auto"/>
      <w:ind w:firstLine="720"/>
      <w:jc w:val="both"/>
    </w:pPr>
  </w:style>
  <w:style w:type="paragraph" w:styleId="BalloonText">
    <w:name w:val="Balloon Text"/>
    <w:basedOn w:val="Normal"/>
    <w:link w:val="BalloonTextChar"/>
    <w:uiPriority w:val="99"/>
    <w:semiHidden/>
    <w:unhideWhenUsed/>
    <w:qFormat/>
    <w:rsid w:val="00E34EC7"/>
    <w:rPr>
      <w:rFonts w:ascii="Tahoma" w:hAnsi="Tahoma" w:cs="Tahoma"/>
      <w:sz w:val="16"/>
      <w:szCs w:val="16"/>
    </w:rPr>
  </w:style>
  <w:style w:type="paragraph" w:styleId="Footer">
    <w:name w:val="footer"/>
    <w:basedOn w:val="Normal"/>
    <w:qFormat/>
    <w:rsid w:val="00E34EC7"/>
    <w:pPr>
      <w:tabs>
        <w:tab w:val="center" w:pos="4320"/>
        <w:tab w:val="right" w:pos="8640"/>
      </w:tabs>
    </w:pPr>
    <w:rPr>
      <w:sz w:val="32"/>
    </w:rPr>
  </w:style>
  <w:style w:type="paragraph" w:styleId="Header">
    <w:name w:val="header"/>
    <w:basedOn w:val="Normal"/>
    <w:next w:val="Heading1"/>
    <w:link w:val="HeaderChar"/>
    <w:qFormat/>
    <w:rsid w:val="00E34EC7"/>
    <w:pPr>
      <w:tabs>
        <w:tab w:val="center" w:pos="4320"/>
        <w:tab w:val="right" w:pos="8640"/>
      </w:tabs>
    </w:pPr>
  </w:style>
  <w:style w:type="paragraph" w:styleId="List">
    <w:name w:val="List"/>
    <w:basedOn w:val="BodyText"/>
    <w:qFormat/>
    <w:rsid w:val="00E34EC7"/>
  </w:style>
  <w:style w:type="paragraph" w:styleId="BodyTextIndent3">
    <w:name w:val="Body Text Indent 3"/>
    <w:basedOn w:val="Normal"/>
    <w:qFormat/>
    <w:rsid w:val="00E34EC7"/>
    <w:pPr>
      <w:spacing w:line="360" w:lineRule="auto"/>
      <w:ind w:firstLine="720"/>
      <w:jc w:val="both"/>
    </w:pPr>
    <w:rPr>
      <w:b/>
      <w:bCs/>
    </w:rPr>
  </w:style>
  <w:style w:type="paragraph" w:styleId="BodyText2">
    <w:name w:val="Body Text 2"/>
    <w:basedOn w:val="Normal"/>
    <w:qFormat/>
    <w:rsid w:val="00E34EC7"/>
    <w:pPr>
      <w:spacing w:line="360" w:lineRule="auto"/>
      <w:jc w:val="both"/>
    </w:pPr>
  </w:style>
  <w:style w:type="character" w:styleId="PageNumber">
    <w:name w:val="page number"/>
    <w:basedOn w:val="DefaultParagraphFont"/>
    <w:qFormat/>
    <w:rsid w:val="00E34EC7"/>
  </w:style>
  <w:style w:type="character" w:styleId="FollowedHyperlink">
    <w:name w:val="FollowedHyperlink"/>
    <w:qFormat/>
    <w:rsid w:val="00E34EC7"/>
    <w:rPr>
      <w:color w:val="800080"/>
      <w:u w:val="single"/>
    </w:rPr>
  </w:style>
  <w:style w:type="character" w:styleId="Hyperlink">
    <w:name w:val="Hyperlink"/>
    <w:basedOn w:val="DefaultParagraphFont"/>
    <w:qFormat/>
    <w:rsid w:val="00E34EC7"/>
    <w:rPr>
      <w:color w:val="0000FF"/>
      <w:u w:val="single"/>
    </w:rPr>
  </w:style>
  <w:style w:type="character" w:customStyle="1" w:styleId="Absatz-Standardschriftart">
    <w:name w:val="Absatz-Standardschriftart"/>
    <w:qFormat/>
    <w:rsid w:val="00E34EC7"/>
  </w:style>
  <w:style w:type="character" w:customStyle="1" w:styleId="WW-Absatz-Standardschriftart">
    <w:name w:val="WW-Absatz-Standardschriftart"/>
    <w:rsid w:val="00E34EC7"/>
  </w:style>
  <w:style w:type="character" w:customStyle="1" w:styleId="WW-Absatz-Standardschriftart1">
    <w:name w:val="WW-Absatz-Standardschriftart1"/>
    <w:qFormat/>
    <w:rsid w:val="00E34EC7"/>
  </w:style>
  <w:style w:type="character" w:customStyle="1" w:styleId="WW-Absatz-Standardschriftart11">
    <w:name w:val="WW-Absatz-Standardschriftart11"/>
    <w:qFormat/>
    <w:rsid w:val="00E34EC7"/>
  </w:style>
  <w:style w:type="character" w:customStyle="1" w:styleId="WW-Absatz-Standardschriftart111">
    <w:name w:val="WW-Absatz-Standardschriftart111"/>
    <w:rsid w:val="00E34EC7"/>
  </w:style>
  <w:style w:type="character" w:customStyle="1" w:styleId="WW-Absatz-Standardschriftart1111">
    <w:name w:val="WW-Absatz-Standardschriftart1111"/>
    <w:rsid w:val="00E34EC7"/>
  </w:style>
  <w:style w:type="character" w:customStyle="1" w:styleId="WW-Absatz-Standardschriftart11111">
    <w:name w:val="WW-Absatz-Standardschriftart11111"/>
    <w:qFormat/>
    <w:rsid w:val="00E34EC7"/>
  </w:style>
  <w:style w:type="character" w:customStyle="1" w:styleId="WW-Absatz-Standardschriftart111111">
    <w:name w:val="WW-Absatz-Standardschriftart111111"/>
    <w:rsid w:val="00E34EC7"/>
  </w:style>
  <w:style w:type="character" w:customStyle="1" w:styleId="WW-Absatz-Standardschriftart1111111">
    <w:name w:val="WW-Absatz-Standardschriftart1111111"/>
    <w:qFormat/>
    <w:rsid w:val="00E34EC7"/>
  </w:style>
  <w:style w:type="character" w:customStyle="1" w:styleId="WW-Absatz-Standardschriftart11111111">
    <w:name w:val="WW-Absatz-Standardschriftart11111111"/>
    <w:qFormat/>
    <w:rsid w:val="00E34EC7"/>
  </w:style>
  <w:style w:type="character" w:customStyle="1" w:styleId="WW-Absatz-Standardschriftart111111111">
    <w:name w:val="WW-Absatz-Standardschriftart111111111"/>
    <w:qFormat/>
    <w:rsid w:val="00E34EC7"/>
  </w:style>
  <w:style w:type="character" w:customStyle="1" w:styleId="WW-Absatz-Standardschriftart1111111111">
    <w:name w:val="WW-Absatz-Standardschriftart1111111111"/>
    <w:qFormat/>
    <w:rsid w:val="00E34EC7"/>
  </w:style>
  <w:style w:type="character" w:customStyle="1" w:styleId="WW-Absatz-Standardschriftart11111111111">
    <w:name w:val="WW-Absatz-Standardschriftart11111111111"/>
    <w:qFormat/>
    <w:rsid w:val="00E34EC7"/>
  </w:style>
  <w:style w:type="character" w:customStyle="1" w:styleId="WW-Absatz-Standardschriftart111111111111">
    <w:name w:val="WW-Absatz-Standardschriftart111111111111"/>
    <w:qFormat/>
    <w:rsid w:val="00E34EC7"/>
  </w:style>
  <w:style w:type="character" w:customStyle="1" w:styleId="WW-Absatz-Standardschriftart1111111111111">
    <w:name w:val="WW-Absatz-Standardschriftart1111111111111"/>
    <w:rsid w:val="00E34EC7"/>
  </w:style>
  <w:style w:type="character" w:customStyle="1" w:styleId="WW-Absatz-Standardschriftart11111111111111">
    <w:name w:val="WW-Absatz-Standardschriftart11111111111111"/>
    <w:qFormat/>
    <w:rsid w:val="00E34EC7"/>
  </w:style>
  <w:style w:type="character" w:customStyle="1" w:styleId="WW-Absatz-Standardschriftart111111111111111">
    <w:name w:val="WW-Absatz-Standardschriftart111111111111111"/>
    <w:qFormat/>
    <w:rsid w:val="00E34EC7"/>
  </w:style>
  <w:style w:type="character" w:customStyle="1" w:styleId="WW-Absatz-Standardschriftart1111111111111111">
    <w:name w:val="WW-Absatz-Standardschriftart1111111111111111"/>
    <w:qFormat/>
    <w:rsid w:val="00E34EC7"/>
  </w:style>
  <w:style w:type="character" w:customStyle="1" w:styleId="WW8Num1z0">
    <w:name w:val="WW8Num1z0"/>
    <w:qFormat/>
    <w:rsid w:val="00E34EC7"/>
    <w:rPr>
      <w:rFonts w:ascii="Symbol" w:eastAsia="Times New Roman" w:hAnsi="Symbol" w:cs="Times New Roman"/>
    </w:rPr>
  </w:style>
  <w:style w:type="character" w:customStyle="1" w:styleId="WW8Num1z1">
    <w:name w:val="WW8Num1z1"/>
    <w:rsid w:val="00E34EC7"/>
    <w:rPr>
      <w:rFonts w:ascii="Courier New" w:hAnsi="Courier New" w:cs="Courier New"/>
    </w:rPr>
  </w:style>
  <w:style w:type="character" w:customStyle="1" w:styleId="WW8Num1z2">
    <w:name w:val="WW8Num1z2"/>
    <w:qFormat/>
    <w:rsid w:val="00E34EC7"/>
    <w:rPr>
      <w:rFonts w:ascii="Wingdings" w:hAnsi="Wingdings"/>
    </w:rPr>
  </w:style>
  <w:style w:type="character" w:customStyle="1" w:styleId="WW8Num1z3">
    <w:name w:val="WW8Num1z3"/>
    <w:qFormat/>
    <w:rsid w:val="00E34EC7"/>
    <w:rPr>
      <w:rFonts w:ascii="Symbol" w:hAnsi="Symbol"/>
    </w:rPr>
  </w:style>
  <w:style w:type="character" w:customStyle="1" w:styleId="NumberingSymbols">
    <w:name w:val="Numbering Symbols"/>
    <w:qFormat/>
    <w:rsid w:val="00E34EC7"/>
  </w:style>
  <w:style w:type="paragraph" w:customStyle="1" w:styleId="Heading">
    <w:name w:val="Heading"/>
    <w:basedOn w:val="Normal"/>
    <w:next w:val="BodyText"/>
    <w:qFormat/>
    <w:rsid w:val="00E34EC7"/>
    <w:pPr>
      <w:keepNext/>
      <w:spacing w:before="240" w:after="120"/>
    </w:pPr>
    <w:rPr>
      <w:rFonts w:ascii="Nimbus Sans L" w:eastAsia="DejaVu Sans" w:hAnsi="Nimbus Sans L" w:cs="DejaVu Sans"/>
      <w:sz w:val="28"/>
      <w:szCs w:val="28"/>
    </w:rPr>
  </w:style>
  <w:style w:type="paragraph" w:customStyle="1" w:styleId="Index">
    <w:name w:val="Index"/>
    <w:basedOn w:val="Normal"/>
    <w:qFormat/>
    <w:rsid w:val="00E34EC7"/>
    <w:pPr>
      <w:suppressLineNumbers/>
    </w:pPr>
  </w:style>
  <w:style w:type="paragraph" w:customStyle="1" w:styleId="TableContents">
    <w:name w:val="Table Contents"/>
    <w:basedOn w:val="Normal"/>
    <w:qFormat/>
    <w:rsid w:val="00E34EC7"/>
    <w:pPr>
      <w:suppressLineNumbers/>
    </w:pPr>
  </w:style>
  <w:style w:type="paragraph" w:customStyle="1" w:styleId="TableHeading">
    <w:name w:val="Table Heading"/>
    <w:basedOn w:val="TableContents"/>
    <w:qFormat/>
    <w:rsid w:val="00E34EC7"/>
    <w:pPr>
      <w:jc w:val="center"/>
    </w:pPr>
    <w:rPr>
      <w:b/>
      <w:bCs/>
    </w:rPr>
  </w:style>
  <w:style w:type="paragraph" w:customStyle="1" w:styleId="Framecontents">
    <w:name w:val="Frame contents"/>
    <w:basedOn w:val="BodyText"/>
    <w:qFormat/>
    <w:rsid w:val="00E34EC7"/>
  </w:style>
  <w:style w:type="paragraph" w:customStyle="1" w:styleId="Text">
    <w:name w:val="Text"/>
    <w:basedOn w:val="Normal"/>
    <w:qFormat/>
    <w:rsid w:val="00E34EC7"/>
    <w:pPr>
      <w:autoSpaceDE w:val="0"/>
      <w:spacing w:line="252" w:lineRule="auto"/>
      <w:ind w:firstLine="202"/>
    </w:pPr>
    <w:rPr>
      <w:rFonts w:eastAsia="PMingLiU"/>
      <w:kern w:val="1"/>
      <w:sz w:val="20"/>
      <w:szCs w:val="20"/>
    </w:rPr>
  </w:style>
  <w:style w:type="character" w:customStyle="1" w:styleId="HeaderChar">
    <w:name w:val="Header Char"/>
    <w:link w:val="Header"/>
    <w:qFormat/>
    <w:rsid w:val="00E34EC7"/>
    <w:rPr>
      <w:sz w:val="24"/>
      <w:szCs w:val="24"/>
      <w:lang w:eastAsia="ar-SA"/>
    </w:rPr>
  </w:style>
  <w:style w:type="character" w:customStyle="1" w:styleId="BalloonTextChar">
    <w:name w:val="Balloon Text Char"/>
    <w:link w:val="BalloonText"/>
    <w:uiPriority w:val="99"/>
    <w:semiHidden/>
    <w:qFormat/>
    <w:rsid w:val="00E34EC7"/>
    <w:rPr>
      <w:rFonts w:ascii="Tahoma" w:hAnsi="Tahoma" w:cs="Tahoma"/>
      <w:sz w:val="16"/>
      <w:szCs w:val="16"/>
      <w:lang w:eastAsia="ar-SA"/>
    </w:rPr>
  </w:style>
  <w:style w:type="paragraph" w:styleId="ListParagraph">
    <w:name w:val="List Paragraph"/>
    <w:basedOn w:val="Normal"/>
    <w:uiPriority w:val="34"/>
    <w:qFormat/>
    <w:rsid w:val="00E34EC7"/>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ssamgad1978@gmail.com" TargetMode="Externa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essamgad1978@gmail.co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4.bin"/><Relationship Id="rId10" Type="http://schemas.openxmlformats.org/officeDocument/2006/relationships/hyperlink" Target="http://www.dx.doi.org/10.7537/marsnys140821.06"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3355</Words>
  <Characters>19125</Characters>
  <Application>Microsoft Office Word</Application>
  <DocSecurity>0</DocSecurity>
  <Lines>159</Lines>
  <Paragraphs>44</Paragraphs>
  <ScaleCrop>false</ScaleCrop>
  <Manager>Marsland</Manager>
  <Company>Marsland Press</Company>
  <LinksUpToDate>false</LinksUpToDate>
  <CharactersWithSpaces>22436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2021-04-06T22:48:00Z</cp:lastPrinted>
  <dcterms:created xsi:type="dcterms:W3CDTF">2021-08-08T16:53:00Z</dcterms:created>
  <dcterms:modified xsi:type="dcterms:W3CDTF">2021-08-12T05:51:00Z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