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77" w:rsidRDefault="00E82F77" w:rsidP="00E82F77">
      <w:pPr>
        <w:pStyle w:val="Title"/>
        <w:adjustRightInd w:val="0"/>
        <w:snapToGrid w:val="0"/>
        <w:spacing w:before="0" w:after="0" w:line="240" w:lineRule="auto"/>
        <w:rPr>
          <w:rFonts w:ascii="Times New Roman" w:hAnsi="Times New Roman" w:hint="eastAsia"/>
          <w:sz w:val="20"/>
          <w:szCs w:val="20"/>
          <w:lang w:eastAsia="zh-CN"/>
        </w:rPr>
      </w:pPr>
    </w:p>
    <w:p w:rsidR="00463622" w:rsidRPr="00B6303E" w:rsidRDefault="00CA01A3" w:rsidP="00E82F77">
      <w:pPr>
        <w:pStyle w:val="Title"/>
        <w:adjustRightInd w:val="0"/>
        <w:snapToGrid w:val="0"/>
        <w:spacing w:before="0" w:after="0" w:line="240" w:lineRule="auto"/>
        <w:rPr>
          <w:rFonts w:ascii="Times New Roman" w:hAnsi="Times New Roman"/>
          <w:sz w:val="20"/>
          <w:szCs w:val="20"/>
        </w:rPr>
      </w:pPr>
      <w:r w:rsidRPr="00B6303E">
        <w:rPr>
          <w:rFonts w:ascii="Times New Roman" w:hAnsi="Times New Roman"/>
          <w:sz w:val="20"/>
          <w:szCs w:val="20"/>
        </w:rPr>
        <w:t>China-Pakistan economic corridor initiative and its impact on future energy consumption in Pakistan</w:t>
      </w:r>
    </w:p>
    <w:p w:rsidR="00463622" w:rsidRPr="00B6303E" w:rsidRDefault="00463622" w:rsidP="00E82F77">
      <w:pPr>
        <w:adjustRightInd w:val="0"/>
        <w:snapToGrid w:val="0"/>
        <w:spacing w:after="0" w:line="240" w:lineRule="auto"/>
        <w:rPr>
          <w:sz w:val="20"/>
          <w:szCs w:val="20"/>
        </w:rPr>
      </w:pPr>
    </w:p>
    <w:p w:rsidR="00463622" w:rsidRPr="00B6303E" w:rsidRDefault="00CA01A3" w:rsidP="00E82F77">
      <w:pPr>
        <w:adjustRightInd w:val="0"/>
        <w:snapToGrid w:val="0"/>
        <w:spacing w:after="0" w:line="240" w:lineRule="auto"/>
        <w:jc w:val="center"/>
        <w:rPr>
          <w:rFonts w:ascii="Times New Roman" w:hAnsi="Times New Roman"/>
          <w:sz w:val="20"/>
          <w:szCs w:val="20"/>
          <w:vertAlign w:val="superscript"/>
        </w:rPr>
      </w:pPr>
      <w:r w:rsidRPr="00B6303E">
        <w:rPr>
          <w:rFonts w:ascii="Times New Roman" w:hAnsi="Times New Roman"/>
          <w:sz w:val="20"/>
          <w:szCs w:val="20"/>
        </w:rPr>
        <w:t xml:space="preserve">Wajid Ali khan </w:t>
      </w:r>
      <w:r w:rsidRPr="00B6303E">
        <w:rPr>
          <w:rFonts w:ascii="Times New Roman" w:hAnsi="Times New Roman"/>
          <w:sz w:val="20"/>
          <w:szCs w:val="20"/>
          <w:vertAlign w:val="superscript"/>
        </w:rPr>
        <w:t>1</w:t>
      </w:r>
      <w:r w:rsidRPr="00B6303E">
        <w:rPr>
          <w:rFonts w:ascii="Times New Roman" w:hAnsi="Times New Roman"/>
          <w:sz w:val="20"/>
          <w:szCs w:val="20"/>
        </w:rPr>
        <w:t xml:space="preserve">, Xiaoyan Li </w:t>
      </w:r>
      <w:r w:rsidRPr="00B6303E">
        <w:rPr>
          <w:rFonts w:ascii="Times New Roman" w:hAnsi="Times New Roman"/>
          <w:sz w:val="20"/>
          <w:szCs w:val="20"/>
          <w:vertAlign w:val="superscript"/>
        </w:rPr>
        <w:t>1</w:t>
      </w:r>
      <w:r w:rsidRPr="00B6303E">
        <w:rPr>
          <w:rFonts w:ascii="Times New Roman" w:hAnsi="Times New Roman"/>
          <w:sz w:val="20"/>
          <w:szCs w:val="20"/>
        </w:rPr>
        <w:t>, Daud Abdul</w:t>
      </w:r>
      <w:r w:rsidRPr="00B6303E">
        <w:rPr>
          <w:rFonts w:ascii="Times New Roman" w:hAnsi="Times New Roman"/>
          <w:sz w:val="20"/>
          <w:szCs w:val="20"/>
          <w:vertAlign w:val="superscript"/>
        </w:rPr>
        <w:t>1</w:t>
      </w:r>
      <w:r w:rsidRPr="00B6303E">
        <w:rPr>
          <w:rFonts w:ascii="Times New Roman" w:hAnsi="Times New Roman"/>
          <w:sz w:val="20"/>
          <w:szCs w:val="20"/>
        </w:rPr>
        <w:t>, Rafid Ullah Khan</w:t>
      </w:r>
      <w:r w:rsidRPr="00B6303E">
        <w:rPr>
          <w:rFonts w:ascii="Times New Roman" w:hAnsi="Times New Roman"/>
          <w:sz w:val="20"/>
          <w:szCs w:val="20"/>
          <w:vertAlign w:val="superscript"/>
        </w:rPr>
        <w:t>1</w:t>
      </w:r>
      <w:r w:rsidRPr="00B6303E">
        <w:rPr>
          <w:rFonts w:ascii="Times New Roman" w:hAnsi="Times New Roman"/>
          <w:sz w:val="20"/>
          <w:szCs w:val="20"/>
        </w:rPr>
        <w:t xml:space="preserve">, Usman Ullah </w:t>
      </w:r>
      <w:r w:rsidRPr="00B6303E">
        <w:rPr>
          <w:rFonts w:ascii="Times New Roman" w:hAnsi="Times New Roman"/>
          <w:sz w:val="20"/>
          <w:szCs w:val="20"/>
          <w:vertAlign w:val="superscript"/>
        </w:rPr>
        <w:t>2</w:t>
      </w:r>
    </w:p>
    <w:p w:rsidR="00463622" w:rsidRPr="00B6303E" w:rsidRDefault="00463622" w:rsidP="00E82F77">
      <w:pPr>
        <w:adjustRightInd w:val="0"/>
        <w:snapToGrid w:val="0"/>
        <w:spacing w:after="0" w:line="240" w:lineRule="auto"/>
        <w:jc w:val="center"/>
        <w:rPr>
          <w:rFonts w:ascii="Times New Roman" w:hAnsi="Times New Roman"/>
          <w:sz w:val="20"/>
          <w:szCs w:val="20"/>
          <w:vertAlign w:val="superscript"/>
        </w:rPr>
      </w:pPr>
    </w:p>
    <w:p w:rsidR="00463622" w:rsidRPr="00B6303E" w:rsidRDefault="00CA01A3" w:rsidP="00E82F77">
      <w:pPr>
        <w:pStyle w:val="NormalWeb"/>
        <w:adjustRightInd w:val="0"/>
        <w:snapToGrid w:val="0"/>
        <w:spacing w:before="0" w:beforeAutospacing="0" w:after="0" w:afterAutospacing="0"/>
        <w:jc w:val="center"/>
        <w:rPr>
          <w:rFonts w:eastAsia="Calibri"/>
          <w:iCs/>
          <w:color w:val="000000"/>
          <w:sz w:val="20"/>
          <w:szCs w:val="20"/>
        </w:rPr>
      </w:pPr>
      <w:r w:rsidRPr="00B6303E">
        <w:rPr>
          <w:sz w:val="20"/>
          <w:szCs w:val="20"/>
          <w:vertAlign w:val="superscript"/>
        </w:rPr>
        <w:t>1.</w:t>
      </w:r>
      <w:r w:rsidRPr="00B6303E">
        <w:rPr>
          <w:sz w:val="20"/>
          <w:szCs w:val="20"/>
        </w:rPr>
        <w:t xml:space="preserve"> </w:t>
      </w:r>
      <w:r w:rsidRPr="00B6303E">
        <w:rPr>
          <w:rFonts w:eastAsia="Calibri"/>
          <w:iCs/>
          <w:color w:val="000000"/>
          <w:sz w:val="20"/>
          <w:szCs w:val="20"/>
        </w:rPr>
        <w:t>School of Public Administration, Nanjing University of Science and Technology, Nanjing,210094, China</w:t>
      </w:r>
    </w:p>
    <w:p w:rsidR="00463622" w:rsidRPr="00B6303E" w:rsidRDefault="00CA01A3" w:rsidP="00E82F77">
      <w:pPr>
        <w:pStyle w:val="NormalWeb"/>
        <w:adjustRightInd w:val="0"/>
        <w:snapToGrid w:val="0"/>
        <w:spacing w:before="0" w:beforeAutospacing="0" w:after="0" w:afterAutospacing="0"/>
        <w:jc w:val="center"/>
        <w:rPr>
          <w:rFonts w:eastAsia="Calibri"/>
          <w:iCs/>
          <w:color w:val="000000"/>
          <w:sz w:val="20"/>
          <w:szCs w:val="20"/>
        </w:rPr>
      </w:pPr>
      <w:r w:rsidRPr="00B6303E">
        <w:rPr>
          <w:sz w:val="20"/>
          <w:szCs w:val="20"/>
          <w:vertAlign w:val="superscript"/>
        </w:rPr>
        <w:t>2.</w:t>
      </w:r>
      <w:r w:rsidRPr="00B6303E">
        <w:rPr>
          <w:sz w:val="20"/>
          <w:szCs w:val="20"/>
        </w:rPr>
        <w:t xml:space="preserve"> </w:t>
      </w:r>
      <w:r w:rsidRPr="00B6303E">
        <w:rPr>
          <w:iCs/>
          <w:sz w:val="20"/>
          <w:szCs w:val="20"/>
        </w:rPr>
        <w:t>Department of Economics</w:t>
      </w:r>
      <w:r w:rsidRPr="00B6303E">
        <w:rPr>
          <w:rFonts w:eastAsia="Calibri"/>
          <w:iCs/>
          <w:color w:val="000000"/>
          <w:sz w:val="20"/>
          <w:szCs w:val="20"/>
        </w:rPr>
        <w:t xml:space="preserve">, </w:t>
      </w:r>
      <w:r w:rsidRPr="00B6303E">
        <w:rPr>
          <w:iCs/>
          <w:sz w:val="20"/>
          <w:szCs w:val="20"/>
        </w:rPr>
        <w:t>Hazara University, Mansehra, Pakistan</w:t>
      </w:r>
    </w:p>
    <w:p w:rsidR="00463622" w:rsidRPr="00B6303E" w:rsidRDefault="00A77D41" w:rsidP="00E82F77">
      <w:pPr>
        <w:pStyle w:val="NormalWeb"/>
        <w:adjustRightInd w:val="0"/>
        <w:snapToGrid w:val="0"/>
        <w:spacing w:before="0" w:beforeAutospacing="0" w:after="0" w:afterAutospacing="0"/>
        <w:jc w:val="center"/>
        <w:rPr>
          <w:rStyle w:val="Hyperlink"/>
          <w:rFonts w:eastAsiaTheme="minorEastAsia"/>
          <w:sz w:val="20"/>
          <w:szCs w:val="20"/>
        </w:rPr>
      </w:pPr>
      <w:hyperlink r:id="rId9" w:history="1">
        <w:r w:rsidR="00CA01A3" w:rsidRPr="00B6303E">
          <w:rPr>
            <w:rStyle w:val="Hyperlink"/>
            <w:rFonts w:eastAsia="Calibri"/>
            <w:sz w:val="20"/>
            <w:szCs w:val="20"/>
          </w:rPr>
          <w:t>wajidali.kh05@hotmail.com</w:t>
        </w:r>
      </w:hyperlink>
    </w:p>
    <w:p w:rsidR="00B6303E" w:rsidRPr="00B6303E" w:rsidRDefault="00B6303E" w:rsidP="00E82F77">
      <w:pPr>
        <w:pStyle w:val="NormalWeb"/>
        <w:adjustRightInd w:val="0"/>
        <w:snapToGrid w:val="0"/>
        <w:spacing w:before="0" w:beforeAutospacing="0" w:after="0" w:afterAutospacing="0"/>
        <w:jc w:val="center"/>
        <w:rPr>
          <w:rFonts w:eastAsiaTheme="minorEastAsia"/>
          <w:color w:val="000000"/>
          <w:sz w:val="20"/>
          <w:szCs w:val="20"/>
        </w:rPr>
      </w:pPr>
    </w:p>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b/>
          <w:sz w:val="20"/>
          <w:szCs w:val="20"/>
        </w:rPr>
        <w:t>Abstract</w:t>
      </w:r>
      <w:r w:rsidR="00B6303E" w:rsidRPr="00B6303E">
        <w:rPr>
          <w:rFonts w:ascii="Times New Roman" w:eastAsiaTheme="minorEastAsia" w:hAnsi="Times New Roman" w:hint="eastAsia"/>
          <w:b/>
          <w:sz w:val="20"/>
          <w:szCs w:val="20"/>
          <w:lang w:eastAsia="zh-CN"/>
        </w:rPr>
        <w:t xml:space="preserve">: </w:t>
      </w:r>
      <w:r w:rsidRPr="00B6303E">
        <w:rPr>
          <w:rFonts w:ascii="Times New Roman" w:hAnsi="Times New Roman"/>
          <w:sz w:val="20"/>
          <w:szCs w:val="20"/>
        </w:rPr>
        <w:t>The China-Pakistan Economic Corridor (CPEC) is a key strategic initiative designed to promote economic ties between Pakistan and China. We appraise the impact of CPEC-concerned economic development on electricity usage and the forecast indications for Pakistan by 2030. The Johansen cointegration technique helps to classify the long-run correlation between energy usage and its sources at the aggregation and sectoral levels and anticipated future power needs using scenario analysis. According to the predictions of the baseline scenario, energy usage in 2030 would be almost 41% higher than in 2013. Below the baseline scenario, power usage in the industrial and commercial sectors will rise by 136 and 414 percent appropriately, in 2030. The scenario interpretation results are confirmed by Monte Carlo simulations that account for future uncertainty. For each sector of the economy, the government should operate diligent accounting and correlated planning to account for the conceivable growth of energy consumption due to CPEC-linked economic projects.</w:t>
      </w:r>
    </w:p>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[Wajid Ali khan, Xiaoyan Li, Daud Abdul, Rafid Ullah Khan, Usman Ullah.</w:t>
      </w:r>
      <w:r w:rsidRPr="00B6303E">
        <w:rPr>
          <w:rFonts w:ascii="Times New Roman" w:hAnsi="Times New Roman"/>
          <w:b/>
          <w:bCs/>
          <w:sz w:val="20"/>
          <w:szCs w:val="20"/>
        </w:rPr>
        <w:t xml:space="preserve"> China-Pakistan economic corridor initiative and its impact on future energy consumption in Pakistan. </w:t>
      </w:r>
      <w:r w:rsidRPr="00B6303E">
        <w:rPr>
          <w:rFonts w:ascii="Times New Roman" w:eastAsia="Times New Roman" w:hAnsi="Times New Roman"/>
          <w:bCs/>
          <w:i/>
          <w:sz w:val="20"/>
          <w:szCs w:val="20"/>
        </w:rPr>
        <w:t>N Y Sci J</w:t>
      </w:r>
      <w:r w:rsidRPr="00B6303E">
        <w:rPr>
          <w:rFonts w:ascii="Times New Roman" w:hAnsi="Times New Roman"/>
          <w:sz w:val="20"/>
          <w:szCs w:val="20"/>
        </w:rPr>
        <w:t>20</w:t>
      </w:r>
      <w:r w:rsidRPr="00B6303E">
        <w:rPr>
          <w:rFonts w:ascii="Times New Roman" w:hAnsi="Times New Roman"/>
          <w:sz w:val="20"/>
          <w:szCs w:val="20"/>
          <w:lang w:eastAsia="zh-CN"/>
        </w:rPr>
        <w:t>21</w:t>
      </w:r>
      <w:r w:rsidRPr="00B6303E">
        <w:rPr>
          <w:rFonts w:ascii="Times New Roman" w:hAnsi="Times New Roman"/>
          <w:sz w:val="20"/>
          <w:szCs w:val="20"/>
        </w:rPr>
        <w:t>;1</w:t>
      </w:r>
      <w:r w:rsidRPr="00B6303E">
        <w:rPr>
          <w:rFonts w:ascii="Times New Roman" w:hAnsi="Times New Roman"/>
          <w:sz w:val="20"/>
          <w:szCs w:val="20"/>
          <w:lang w:eastAsia="zh-CN"/>
        </w:rPr>
        <w:t>4</w:t>
      </w:r>
      <w:r w:rsidRPr="00B6303E">
        <w:rPr>
          <w:rFonts w:ascii="Times New Roman" w:hAnsi="Times New Roman"/>
          <w:iCs/>
          <w:color w:val="000000"/>
          <w:sz w:val="20"/>
          <w:szCs w:val="20"/>
          <w:lang w:eastAsia="zh-CN"/>
        </w:rPr>
        <w:t>(</w:t>
      </w:r>
      <w:r w:rsidRPr="00B6303E">
        <w:rPr>
          <w:rFonts w:ascii="Times New Roman" w:hAnsi="Times New Roman" w:hint="eastAsia"/>
          <w:sz w:val="20"/>
          <w:szCs w:val="20"/>
          <w:lang w:eastAsia="zh-CN"/>
        </w:rPr>
        <w:t>9</w:t>
      </w:r>
      <w:r w:rsidRPr="00B6303E">
        <w:rPr>
          <w:rFonts w:ascii="Times New Roman" w:hAnsi="Times New Roman"/>
          <w:sz w:val="20"/>
          <w:szCs w:val="20"/>
        </w:rPr>
        <w:t>):</w:t>
      </w:r>
      <w:r w:rsidRPr="00B6303E">
        <w:rPr>
          <w:rFonts w:ascii="Times New Roman" w:hAnsi="Times New Roman" w:hint="eastAsia"/>
          <w:sz w:val="20"/>
          <w:szCs w:val="20"/>
          <w:lang w:eastAsia="zh-CN"/>
        </w:rPr>
        <w:t>39</w:t>
      </w:r>
      <w:r w:rsidRPr="00B6303E">
        <w:rPr>
          <w:rFonts w:ascii="Times New Roman" w:hAnsi="Times New Roman"/>
          <w:sz w:val="20"/>
          <w:szCs w:val="20"/>
          <w:lang w:eastAsia="zh-CN"/>
        </w:rPr>
        <w:t>-</w:t>
      </w:r>
      <w:r w:rsidRPr="00B6303E">
        <w:rPr>
          <w:rFonts w:ascii="Times New Roman" w:hAnsi="Times New Roman" w:hint="eastAsia"/>
          <w:sz w:val="20"/>
          <w:szCs w:val="20"/>
          <w:lang w:eastAsia="zh-CN"/>
        </w:rPr>
        <w:t>56</w:t>
      </w:r>
      <w:bookmarkStart w:id="0" w:name="_GoBack"/>
      <w:bookmarkEnd w:id="0"/>
      <w:r w:rsidRPr="00B6303E">
        <w:rPr>
          <w:rFonts w:ascii="Times New Roman" w:hAnsi="Times New Roman"/>
          <w:sz w:val="20"/>
          <w:szCs w:val="20"/>
        </w:rPr>
        <w:t>]</w:t>
      </w:r>
      <w:r w:rsidRPr="00B6303E">
        <w:rPr>
          <w:rFonts w:ascii="Times New Roman" w:hAnsi="Times New Roman"/>
          <w:iCs/>
          <w:color w:val="000000"/>
          <w:sz w:val="20"/>
          <w:szCs w:val="20"/>
          <w:lang w:eastAsia="zh-CN"/>
        </w:rPr>
        <w:t>ISSN 1554-0200(print);ISSN2375-723X(online)</w:t>
      </w:r>
      <w:hyperlink r:id="rId10" w:history="1">
        <w:r w:rsidRPr="00B6303E">
          <w:rPr>
            <w:rStyle w:val="Hyperlink"/>
            <w:rFonts w:ascii="Times New Roman" w:hAnsi="Times New Roman"/>
            <w:sz w:val="20"/>
            <w:szCs w:val="20"/>
          </w:rPr>
          <w:t>http://www.sciencepub.net/newyork</w:t>
        </w:r>
      </w:hyperlink>
      <w:r w:rsidRPr="00B6303E">
        <w:rPr>
          <w:rFonts w:ascii="Times New Roman" w:hAnsi="Times New Roman"/>
          <w:color w:val="0000FF"/>
          <w:sz w:val="20"/>
          <w:szCs w:val="20"/>
          <w:lang w:eastAsia="zh-CN"/>
        </w:rPr>
        <w:t>.</w:t>
      </w:r>
      <w:r w:rsidRPr="00B6303E">
        <w:rPr>
          <w:rFonts w:ascii="Times New Roman" w:hAnsi="Times New Roman" w:hint="eastAsia"/>
          <w:color w:val="0000FF"/>
          <w:sz w:val="20"/>
          <w:szCs w:val="20"/>
          <w:lang w:eastAsia="zh-CN"/>
        </w:rPr>
        <w:t xml:space="preserve"> </w:t>
      </w:r>
      <w:r w:rsidRPr="00B6303E">
        <w:rPr>
          <w:rFonts w:ascii="Times New Roman" w:hAnsi="Times New Roman" w:hint="eastAsia"/>
          <w:sz w:val="20"/>
          <w:szCs w:val="20"/>
          <w:lang w:eastAsia="zh-CN"/>
        </w:rPr>
        <w:t>5</w:t>
      </w:r>
      <w:r w:rsidRPr="00B6303E">
        <w:rPr>
          <w:rFonts w:ascii="Times New Roman" w:hAnsi="Times New Roman"/>
          <w:color w:val="0000FF"/>
          <w:sz w:val="20"/>
          <w:szCs w:val="20"/>
        </w:rPr>
        <w:t>.</w:t>
      </w:r>
      <w:r w:rsidRPr="00B6303E">
        <w:rPr>
          <w:rFonts w:ascii="Times New Roman" w:hAnsi="Times New Roman"/>
          <w:color w:val="3A42EF"/>
          <w:sz w:val="20"/>
          <w:szCs w:val="20"/>
          <w:u w:val="single"/>
          <w:shd w:val="clear" w:color="auto" w:fill="FFFFFF"/>
        </w:rPr>
        <w:t>doi:</w:t>
      </w:r>
      <w:hyperlink r:id="rId11" w:history="1">
        <w:r w:rsidRPr="00B6303E">
          <w:rPr>
            <w:rStyle w:val="Hyperlink"/>
            <w:rFonts w:ascii="Times New Roman" w:hAnsi="Times New Roman"/>
            <w:sz w:val="20"/>
            <w:szCs w:val="20"/>
            <w:shd w:val="clear" w:color="auto" w:fill="FFFFFF"/>
          </w:rPr>
          <w:t>10.7537/marsnys140921.05.</w:t>
        </w:r>
      </w:hyperlink>
      <w:r w:rsidRPr="00B6303E">
        <w:rPr>
          <w:rFonts w:ascii="Times New Roman" w:hAnsi="Times New Roman"/>
          <w:color w:val="0000FF"/>
          <w:sz w:val="20"/>
          <w:szCs w:val="20"/>
        </w:rPr>
        <w:t xml:space="preserve"> </w:t>
      </w:r>
    </w:p>
    <w:p w:rsidR="00463622" w:rsidRPr="00B6303E" w:rsidRDefault="00463622" w:rsidP="00E82F77">
      <w:pPr>
        <w:adjustRightInd w:val="0"/>
        <w:snapToGrid w:val="0"/>
        <w:spacing w:after="0" w:line="240" w:lineRule="auto"/>
        <w:jc w:val="both"/>
        <w:rPr>
          <w:rFonts w:ascii="Times New Roman" w:hAnsi="Times New Roman"/>
          <w:b/>
          <w:bCs/>
          <w:sz w:val="20"/>
          <w:szCs w:val="20"/>
        </w:rPr>
      </w:pPr>
    </w:p>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b/>
          <w:bCs/>
          <w:sz w:val="20"/>
          <w:szCs w:val="20"/>
        </w:rPr>
        <w:t>Keywords</w:t>
      </w:r>
      <w:r w:rsidRPr="00B6303E">
        <w:rPr>
          <w:rFonts w:ascii="Times New Roman" w:hAnsi="Times New Roman"/>
          <w:sz w:val="20"/>
          <w:szCs w:val="20"/>
        </w:rPr>
        <w:t>: CPEC, Energy, Johansen-Juselius cointegration, Pakistan</w:t>
      </w:r>
    </w:p>
    <w:p w:rsidR="00463622" w:rsidRDefault="00463622" w:rsidP="00E82F77">
      <w:pPr>
        <w:adjustRightInd w:val="0"/>
        <w:snapToGrid w:val="0"/>
        <w:spacing w:after="0" w:line="240" w:lineRule="auto"/>
        <w:jc w:val="both"/>
        <w:rPr>
          <w:rFonts w:ascii="Times New Roman" w:eastAsiaTheme="minorEastAsia" w:hAnsi="Times New Roman" w:hint="eastAsia"/>
          <w:sz w:val="20"/>
          <w:szCs w:val="20"/>
          <w:lang w:eastAsia="zh-CN"/>
        </w:rPr>
      </w:pPr>
    </w:p>
    <w:p w:rsidR="00E82F77" w:rsidRPr="00E82F77" w:rsidRDefault="00E82F77" w:rsidP="00E82F77">
      <w:pPr>
        <w:adjustRightInd w:val="0"/>
        <w:snapToGrid w:val="0"/>
        <w:spacing w:after="0" w:line="240" w:lineRule="auto"/>
        <w:jc w:val="both"/>
        <w:rPr>
          <w:rFonts w:ascii="Times New Roman" w:eastAsiaTheme="minorEastAsia" w:hAnsi="Times New Roman" w:hint="eastAsia"/>
          <w:sz w:val="20"/>
          <w:szCs w:val="20"/>
          <w:lang w:eastAsia="zh-CN"/>
        </w:rPr>
      </w:pPr>
    </w:p>
    <w:p w:rsidR="00463622" w:rsidRPr="00B6303E" w:rsidRDefault="00463622" w:rsidP="00E82F77">
      <w:pPr>
        <w:numPr>
          <w:ilvl w:val="0"/>
          <w:numId w:val="1"/>
        </w:numPr>
        <w:adjustRightInd w:val="0"/>
        <w:snapToGrid w:val="0"/>
        <w:spacing w:after="0" w:line="240" w:lineRule="auto"/>
        <w:jc w:val="both"/>
        <w:rPr>
          <w:rFonts w:ascii="Times New Roman" w:hAnsi="Times New Roman"/>
          <w:b/>
          <w:sz w:val="20"/>
          <w:szCs w:val="20"/>
        </w:rPr>
        <w:sectPr w:rsidR="00463622" w:rsidRPr="00B6303E">
          <w:headerReference w:type="default" r:id="rId12"/>
          <w:footerReference w:type="default" r:id="rId13"/>
          <w:headerReference w:type="first" r:id="rId14"/>
          <w:footerReference w:type="first" r:id="rId15"/>
          <w:pgSz w:w="12240" w:h="15840"/>
          <w:pgMar w:top="1440" w:right="1440" w:bottom="1440" w:left="1440" w:header="720" w:footer="0" w:gutter="0"/>
          <w:pgNumType w:start="39"/>
          <w:cols w:space="720"/>
          <w:titlePg/>
          <w:docGrid w:linePitch="360"/>
        </w:sectPr>
      </w:pPr>
    </w:p>
    <w:p w:rsidR="00463622" w:rsidRPr="00B6303E" w:rsidRDefault="00CA01A3" w:rsidP="00E82F77">
      <w:pPr>
        <w:numPr>
          <w:ilvl w:val="0"/>
          <w:numId w:val="1"/>
        </w:num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lastRenderedPageBreak/>
        <w:t xml:space="preserve">Introduction </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In the 21</w:t>
      </w:r>
      <w:r w:rsidR="00CA01A3" w:rsidRPr="00B6303E">
        <w:rPr>
          <w:rFonts w:ascii="Times New Roman" w:hAnsi="Times New Roman"/>
          <w:sz w:val="20"/>
          <w:szCs w:val="20"/>
          <w:vertAlign w:val="superscript"/>
        </w:rPr>
        <w:t>st</w:t>
      </w:r>
      <w:r w:rsidR="00CA01A3" w:rsidRPr="00B6303E">
        <w:rPr>
          <w:rFonts w:ascii="Times New Roman" w:hAnsi="Times New Roman"/>
          <w:sz w:val="20"/>
          <w:szCs w:val="20"/>
        </w:rPr>
        <w:t xml:space="preserve"> century, the concept of regional and international strategic movements across the world has evolved in geostrategic and evaluation outcomes in collaboration between countries. States have modified their strategies to define their goals. They've concluded that they won't be able to protect their interests with their resources. The importance of high-level meetings and diplomatic consultations cannot be overstated. Every country is doing everything possible to promote global cooperation in various disciplines, including infrastructure development, industrial ventures, trade, energy, and other related economic areas. One of the crowning achievements of such collaboration is the China-Pakistan Economic Corridor (CPEC),</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{"citationItems":[{"id":"ITEM-1","itemData":{"ISSN":"0030-980X","author":[{"dropping-particle":"","family":"Noor","given":"Sanam","non-dropping-particle":"","parse-names":false,"suffix":""},{"dropping-particle":"","family":"Shah","given":"Syed Muhammad Ali","non-dropping-particle":"","parse-names":false,"suffix":""},{"dropping-particle":"","family":"Khan","given":"Shahnawaz M","non-dropping-particle":"","parse-names":false,"suffix":""},{"dropping-particle":"","family":"Ali","given":"Syeda Fizzah","non-dropping-particle":"","parse-names":false,"suffix":""}],"container-title":"Pakistan Horizon","id":"ITEM-1","issue":"4","issued":{"date-parts":[["2008"]]},"number-of-pages":"1-12","publisher":"JSTOR","title":"Pakistan's Foreign Policy: Quarterly Survey: July—September 2008","type":"report","volume":"61"},"uris":["http://www.mendeley.com/documents/?uuid=8a8449b5-1060-4123-9b4e-18774cb5aa90"]}],"mendeley":{"formattedCitation":"(Noor et al., 2008)","plainTextFormattedCitation":"(Noor et al., 2008)","previouslyFormattedCitation":"(Noor et al., 2008)"},"properties":{"noteIndex":0},"schema":"https://github.com/citation-style-language/schema/raw/master/csl-citation.json"}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(Noor et al., 2008)</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Pakistan would gain significant importance in this region and worldwide if these projects were to be implemented. China and Pakistan have been working hard to begin significant projects that would benefit both countries' economies. Pakistan's electricity, infrastructural, economic, and agricultural production would get about $46 billion from the CPEC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{"citationItems":[{"id":"ITEM-1","itemData":{"author":[{"dropping-particle":"","family":"Rafiq","given":"A","non-dropping-particle":"","parse-names":false,"suffix":""}],"container-title":"Proceedings of the International Academic Symposium on China-Pakistan Economic Corridor, Beijing, China","id":"ITEM-1","issued":{"date-parts":[["2016"]]},"title":"CPEC &amp; related projects: CPEC projects","type":"paper-conference","volume":"5"},"uris":["http://www.mendeley.com/documents/?uuid=314916f4-2230-4b06-bf1a-371c97479555"]}],"mendeley":{"formattedCitation":"(Rafiq, 2016)","plainTextFormattedCitation":"(Rafiq, 2016)","previouslyFormattedCitation":"(Rafiq, 2016)"},"properties":{"noteIndex":0},"schema":"https://github.com/citation-style-language/schema/raw/master/csl-citation.json"}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(Rafiq, 2016)</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With the reduction of power outages resulting from increased power generation capacity and development in other industrial sectors, </w:t>
      </w:r>
      <w:r w:rsidR="00CA01A3" w:rsidRPr="00B6303E">
        <w:rPr>
          <w:rFonts w:ascii="Times New Roman" w:hAnsi="Times New Roman"/>
          <w:sz w:val="20"/>
          <w:szCs w:val="20"/>
        </w:rPr>
        <w:lastRenderedPageBreak/>
        <w:t xml:space="preserve">Pakistan's GDP is forecast to grow up to 7.5% by 2030, with approximately 2 million job opportunities. The 2025 vision of Pakistan anticipates an increase in urban development (50%-60%) and a good growth in GDP by 2025 (8%),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{"citationItems":[{"id":"ITEM-1","itemData":{"author":[{"dropping-particle":"","family":"MOP","given":"","non-dropping-particle":"","parse-names":false,"suffix":""}],"container-title":"Ministry of Planning, Development &amp; Reform, Government of Pakistan. Islamabad","id":"ITEM-1","issued":{"date-parts":[["2015"]]},"title":"Pakistan 2025-One nation-One vision","type":"report"},"uris":["http://www.mendeley.com/documents/?uuid=93fb6aec-01cc-42fb-8c7a-90d5139644e9"]}],"mendeley":{"formattedCitation":"(MOP, 2015)","plainTextFormattedCitation":"(MOP, 2015)","previouslyFormattedCitation":"(MOP, 2015)"},"properties":{"noteIndex":0},"schema":"https://github.com/citation-style-language/schema/raw/master/csl-citation.json"}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(MOP, 2015)</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Fuel and energy usage will grow exponentially due to higher economic activity and rapid urbanization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{"citationItems":[{"id":"ITEM-1","itemData":{"ISSN":"0921-8009","author":[{"dropping-particle":"","family":"Huang","given":"Bwo-Nung","non-dropping-particle":"","parse-names":false,"suffix":""},{"dropping-particle":"","family":"Hwang","given":"Ming Jeng","non-dropping-particle":"","parse-names":false,"suffix":""},{"dropping-particle":"","family":"Yang","given":"Chin Wei","non-dropping-particle":"","parse-names":false,"suffix":""}],"container-title":"Ecological economics","id":"ITEM-1","issue":"1","issued":{"date-parts":[["2008"]]},"page":"41-54","publisher":"Elsevier","title":"Causal relationship between energy consumption and GDP growth revisited: a dynamic panel data approach","type":"article-journal","volume":"67"},"uris":["http://www.mendeley.com/documents/?uuid=bc07f96e-255e-45da-baa8-14e2c819506d"]},{"id":"ITEM-2","itemData":{"author":[{"dropping-particle":"","family":"Michieka","given":"Nyakundi M","non-dropping-particle":"","parse-names":false,"suffix":""}],"container-title":"Econometric Methods for Analyzing Economic Development","id":"ITEM-2","issued":{"date-parts":[["2014"]]},"page":"178-191","publisher":"IGI Global","title":"Population Dynamics, Economic Growth, and Energy Consumption in Kenya","type":"chapter"},"uris":["http://www.mendeley.com/documents/?uuid=2f025267-ba53-4319-97a5-721e94325783"]}],"mendeley":{"formattedCitation":"(Huang et al., 2008; Michieka, 2014)","plainTextFormattedCitation":"(Huang et al., 2008; Michieka, 2014)","previouslyFormattedCitation":"(Huang et al., 2008; Michieka, 2014)"},"properties":{"noteIndex":0},"schema":"https://github.com/citation-style-language/schema/raw/master/csl-citation.json"}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(Huang et al., 2008; Michieka, 2014)</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Any country, such as Pakistan, depends heavily on energy. Despite Pakistan's current energy problem, a significant rise in economic activity and electricity consumption is likely to have long-term implications for the country's power generation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{"citationItems":[{"id":"ITEM-1","itemData":{"ISSN":"2521-005X","author":[{"dropping-particle":"","family":"Mirza","given":"Faisal Mehmood","non-dropping-particle":"","parse-names":false,"suffix":""},{"dropping-particle":"","family":"Fatima","given":"Nishat","non-dropping-particle":"","parse-names":false,"suffix":""}],"container-title":"Pakistan Business Review","id":"ITEM-1","issue":"4","issued":{"date-parts":[["2016"]]},"title":"Drivers of energy intensity in Pakistan: an assessment using index decomposition methods","type":"article-journal","volume":"17"},"uris":["http://www.mendeley.com/documents/?uuid=ff0a897c-f718-42f6-9baf-a937bb6332a7"]}],"mendeley":{"formattedCitation":"(Mirza &amp; Fatima, 2016)","plainTextFormattedCitation":"(Mirza &amp; Fatima, 2016)","previouslyFormattedCitation":"(Mirza &amp; Fatima, 2016)"},"properties":{"noteIndex":0},"schema":"https://github.com/citation-style-language/schema/raw/master/csl-citation.json"}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(Mirza &amp; Fatima, 2016)</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Because Pakistan's current electricity generation relies on imported fuel, the total energy mix shows that thermal power accounts for 64% of the country's electricity. This is due to the lack of proper price of indigenous fuels and their predatory usage. The bulk of the oil used to create energy in the country comes from overseas. Due to its significantly skewed energy balance, Pakistan is sensitive to any adverse supply shock, such as a rise in global oil prices, increased energy usage, and reliance on imported coal to manufacture power as a result of CPEC projects are supposed to bring pressure on the payment account mix. In the longer term, they hurt numerous economic sectors. Because of its highly skewed </w:t>
      </w:r>
      <w:r w:rsidR="00CA01A3" w:rsidRPr="00B6303E">
        <w:rPr>
          <w:rFonts w:ascii="Times New Roman" w:hAnsi="Times New Roman"/>
          <w:sz w:val="20"/>
          <w:szCs w:val="20"/>
        </w:rPr>
        <w:lastRenderedPageBreak/>
        <w:t>energy mix, Pakistan is sensitive to any unexpected supply shock generated by a boost in global oil prices.</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Further increases in energy consumption and dependence on imported coal to generate power through CPEC projects are expected to impact the payment account balance. It has a destructive impact on the power affordability and accessibility for a range of economic sectors. The CPEC projects are primarily designed to meet Pakistan's and China's growing energy demands. According to project planning, 21,000 megawatts of energy would be generated; in this framework, electricity projects in Pakistan will be completed rapidly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{"citationItems":[{"id":"ITEM-1","itemData":{"author":[{"dropping-particle":"","family":"Today","given":"Pakistan","non-dropping-particle":"","parse-names":false,"suffix":""}],"container-title":"April 15th","id":"ITEM-1","issued":{"date-parts":[["2014"]]},"title":"Pakistan, China to collaborate in 21,690 MW projects under CPEC","type":"article-newspaper"},"uris":["http://www.mendeley.com/documents/?uuid=9344cf38-0a43-4681-b8b2-8e01c5466c6a"]}],"mendeley":{"formattedCitation":"(Today, 2014)","plainTextFormattedCitation":"(Today, 2014)","previouslyFormattedCitation":"(Today, 2014)"},"properties":{"noteIndex":0},"schema":"https://github.com/citation-style-language/schema/raw/master/csl-citation.json"}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(Today, 2014)</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t xml:space="preserve">Pakistan is now suffering a 5,400 MW energy shortfall since it is an energy-consuming country that loses 2.5% of its yearly GDP attributable to this shortage. The industry, agricultural, and service sectors have been hurt badly by this enormous deficiency, resulting in a severe economic recession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{"citationItems":[{"id":"ITEM-1","itemData":{"author":[{"dropping-particle":"","family":"Zahid","given":"R M Ammar","non-dropping-particle":"","parse-names":false,"suffix":""},{"dropping-particle":"","family":"Rashid","given":"Athar","non-dropping-particle":"","parse-names":false,"suffix":""}],"id":"ITEM-1","issue":"November","issued":{"date-parts":[["2018"]]},"title":"IMPACT OF CPEC ENERGY PROJECTS ON SOCIO-ECONOMIC DEVELOPMENT OF PAKISTAN Analysis of energy related household consumer preferences, awareness and behaviors in Pakistan View project One Belt One Road Initiative View project","type":"article-journal"},"uris":["http://www.mendeley.com/documents/?uuid=b5df0fe2-249d-40d8-9fef-72ca2e8dd274"]}],"mendeley":{"formattedCitation":"(Zahid &amp; Rashid, 2018)","plainTextFormattedCitation":"(Zahid &amp; Rashid, 2018)","previouslyFormattedCitation":"(Zahid &amp; Rashid, 2018)"},"properties":{"noteIndex":0},"schema":"https://github.com/citation-style-language/schema/raw/master/csl-citation.json"}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(Zahid &amp; Rashid, 2018)</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The Chinese Exim Bank provided money for these energy projects at a rate of 5% to 6%. Some scholars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{"citationItems":[{"id":"ITEM-1","itemData":{"author":[{"dropping-particle":"","family":"Aqeel","given":"Anjum","non-dropping-particle":"","parse-names":false,"suffix":""},{"dropping-particle":"","family":"Butt","given":"Mohammad Sabihuddin","non-dropping-particle":"","parse-names":false,"suffix":""}],"container-title":"Asia-Pacific Development Journal","id":"ITEM-1","issue":"2","issued":{"date-parts":[["2001"]]},"page":"101-110","title":"The relationship between energy consumption and economic growth in Pakistan","type":"article-journal","volume":"8"},"uris":["http://www.mendeley.com/documents/?uuid=75afc785-ebe3-4840-a7ce-efc3320f0a1f"]},{"id":"ITEM-2","itemData":{"author":[{"dropping-particle":"","family":"Kalar","given":"Z H","non-dropping-particle":"","parse-names":false,"suffix":""},{"dropping-particle":"","family":"Khilji","given":"B A","non-dropping-particle":"","parse-names":false,"suffix":""}],"container-title":"Journal of International Academic Research","id":"ITEM-2","issue":"1","issued":{"date-parts":[["2011"]]},"page":"33-36","title":"Energy Consumption and Economic Growth ln Pakistan","type":"article-journal","volume":"11"},"uris":["http://www.mendeley.com/documents/?uuid=2706b441-ccd9-4481-b303-c922288f5ff2"]}],"mendeley":{"formattedCitation":"(Aqeel &amp; Butt, 2001; Kalar &amp; Khilji, 2011)","plainTextFormattedCitation":"(Aqeel &amp; Butt, 2001; Kalar &amp; Khilji, 2011)","previouslyFormattedCitation":"(Aqeel &amp; Butt, 2001; Kalar &amp; Khilji, 2011)"},"properties":{"noteIndex":0},"schema":"https://github.com/citation-style-language/schema/raw/master/csl-citation.json"}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(Aqeel &amp; Butt, 2001; Kalar &amp; Khilji, 2011)</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indicated that the inauguration of CPEC projects might result in poor financial and social outcomes because of a lack of apparent anticipation of the future power demand. As a response, to make appropriate policy decisions in advance, a comprehensive analysis of future energy demand and its variables is necessary. There seems to be little research on future energy predictions in Pakistan directly relevant to CPEC, both at the aggregate and sectoral levels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0030-9729","author":[{"dropping-particle":"","family":"Ahmed","given":"Riaz","non-dropping-particle":"","parse-names":false,"suffix":""},{"dropping-particle":"","family":"Mustafa","given":"Usman","non-dropping-particle":"","parse-names":false,"suffix":""}],"container-title":"The Pakistan Development Review","id":"ITEM-1","issued":{"date-parts":[["2016"]]},"page":"511-527","publisher":"JSTOR","title":"Impact of CPEC projects on agriculture sector of Pakistan: Infrastructure and agricultural output linkages","type":"article-journal"},"uris":["http://www.mendeley.com/documents/?uuid=1c025c53-7fa1-45f3-97fa-1e0371ffef45"]}],"mendeley":{"formattedCitation":"(Ahmed &amp; Mustafa, 2016)","plainTextFormattedCitation":"(Ahmed &amp; Mustafa, 2016)","previouslyFormattedCitation":"(Ahmed &amp; Mustafa, 2016)"},"properties":{"noteIndex":0},"schema":"https://github.com/citation-style-language/schema/raw/master/csl-citation.json"}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(Ahmed &amp; Mustafa, 2016)</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In this respect, our research presents an empirical assessment of this problem by evaluating the relative significance of CPEC-related economic activity on Pakistan's future sectoral electricity consumption. Even though there are energy inadequacies in every sector of Pakistan, no energy efficiency measures or regulatory requirements for energy use have been adopted (ENERCON)</w:t>
      </w:r>
      <w:r w:rsidR="00CA01A3" w:rsidRPr="00B6303E">
        <w:rPr>
          <w:rFonts w:ascii="Times New Roman" w:hAnsi="Times New Roman"/>
          <w:sz w:val="20"/>
          <w:szCs w:val="20"/>
        </w:rPr>
        <w:footnoteReference w:id="1"/>
      </w:r>
      <w:r w:rsidR="00CA01A3" w:rsidRPr="00B6303E">
        <w:rPr>
          <w:rFonts w:ascii="Times New Roman" w:hAnsi="Times New Roman"/>
          <w:sz w:val="20"/>
          <w:szCs w:val="20"/>
        </w:rPr>
        <w:t xml:space="preserve">. </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t xml:space="preserve">This research work contributes by predicting energy use by 2030 to country-specific empirical investigations. There is no empirical research that we know that indicates future energy consumption in Pakistan, particularly in CPEC. Merely price and income elasticity of demand has been used to forecast Pakistan's energy consumption, with structural factors being disregarded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{"citationItems":[{"id":"ITEM-1","itemData":{"ISSN":"1364-0321","author":[{"dropping-particle":"","family":"Khan","given":"Muhammad Arshad","non-dropping-particle":"","parse-names":false,"suffix":""}],"container-title":"Renewable and Sustainable Energy Reviews","id":"ITEM-1","issued":{"date-parts":[["2015"]]},"page":"1145-1159","publisher":"Elsevier","title":"Modelling and forecasting the demand for natural gas in Pakistan","type":"article-journal","volume":"49"},"uris":["http://www.mendeley.com/documents/?uuid=a0063f49-114f-42c0-bd05-eea10d182cdb"]},{"id":"ITEM-2","itemData":{"author":[{"dropping-particle":"","family":"Wahid","given":"F","non-dropping-particle":"","parse-names":false,"suffix":""},{"dropping-particle":"","family":"Khattak","given":"NuR","non-dropping-particle":"","parse-names":false,"suffix":""},{"dropping-particle":"","family":"Ve Ali","given":"S","non-dropping-particle":"","parse-names":false,"suffix":""}],"container-title":"J Energy Technol Policy","id":"ITEM-2","issued":{"date-parts":[["2015"]]},"page":"55-61","title":"The determinants and forecasting of coal consumption in Pakistan","type":"article-journal","volume":"5"},"uris":["http://www.mendeley.com/documents/?uuid=d527c644-eabd-44a6-909f-21131c66d6aa"]}],"mendeley":{"formattedCitation":"(M. A. Khan, 2015; Wahid et al., 2015)","plainTextFormattedCitation":"(M. A. Khan, 2015; Wahid et al., 2015)","previouslyFormattedCitation":"(M. A. Khan, 2015; Wahid et al., 2015)"},"properties":{"noteIndex":0},"schema":"https://github.com/citation-style-language/schema/raw/master/csl-citation.json"}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(M. A. Khan, 2015; Wahid et al., 2015)</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Based on scenario analysis and Monte </w:t>
      </w:r>
      <w:r w:rsidRPr="00B6303E">
        <w:rPr>
          <w:rFonts w:ascii="Times New Roman" w:hAnsi="Times New Roman"/>
          <w:sz w:val="20"/>
          <w:szCs w:val="20"/>
        </w:rPr>
        <w:lastRenderedPageBreak/>
        <w:t xml:space="preserve">Carlo simulations, we derived future energy consumption projections. Below is a list of the specific research goals. In the case of Pakistan, we examine the influence of macroeconomic variables on overall and sector-specific energy usage. The specific research objectives are listed below. </w:t>
      </w:r>
    </w:p>
    <w:p w:rsidR="00463622" w:rsidRDefault="00B6303E"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Pr>
          <w:rFonts w:ascii="Times New Roman" w:hAnsi="Times New Roman"/>
          <w:sz w:val="20"/>
          <w:szCs w:val="20"/>
        </w:rPr>
        <w:t xml:space="preserve"> </w:t>
      </w:r>
      <w:r w:rsidR="00CA01A3" w:rsidRPr="00B6303E">
        <w:rPr>
          <w:rFonts w:ascii="Times New Roman" w:hAnsi="Times New Roman"/>
          <w:sz w:val="20"/>
          <w:szCs w:val="20"/>
        </w:rPr>
        <w:t xml:space="preserve"> In the context of Pakistan, we examine the influence of macroeconomic variables on overall and sector-specific energy usage. Second, we use a scenario approach to assess the impact of CPEC-related economic activity on Pakistan's regional and aggregate energy consumption. Third, we employ Monte Carlo Simulation to evaluate the accuracy of our projections and estimate different scenarios for sector-specific power consumption by 2030 while dealing with uncertainty.</w:t>
      </w:r>
    </w:p>
    <w:p w:rsidR="00E82F77" w:rsidRP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numPr>
          <w:ilvl w:val="1"/>
          <w:numId w:val="2"/>
        </w:num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CPEC and Pakistan</w:t>
      </w:r>
    </w:p>
    <w:p w:rsidR="00E82F77" w:rsidRDefault="00B6303E"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Pr>
          <w:rFonts w:ascii="Times New Roman" w:hAnsi="Times New Roman"/>
          <w:sz w:val="20"/>
          <w:szCs w:val="20"/>
        </w:rPr>
        <w:t xml:space="preserve"> </w:t>
      </w:r>
      <w:r w:rsidR="00CA01A3" w:rsidRPr="00B6303E">
        <w:rPr>
          <w:rFonts w:ascii="Times New Roman" w:hAnsi="Times New Roman"/>
          <w:sz w:val="20"/>
          <w:szCs w:val="20"/>
        </w:rPr>
        <w:t xml:space="preserve"> The CPEC is an economic growth opportunity to improve regional connectivity for the growth in the economy of both China and Pakistan. From 2014 to 2030, an industrial corridor would connect Pakistan's Gwadar port with China's northwestern area. It is projected to support Pakistan, China, and other surrounding nations by strengthening Pakistan's geographical relation with landlocked Central Asian republics. CPEC is comprised of five major components as shown in Table 1. CPEC is more than just a network of roads, highways, and rail networks; it collects projects that will meet Pakistan's energy and other needs. China's entire investment is estimated to be over $ 46 billion.</w:t>
      </w:r>
      <w:r w:rsidR="00E82F77">
        <w:rPr>
          <w:rFonts w:ascii="Times New Roman" w:eastAsiaTheme="minorEastAsia" w:hAnsi="Times New Roman" w:hint="eastAsia"/>
          <w:sz w:val="20"/>
          <w:szCs w:val="20"/>
          <w:lang w:eastAsia="zh-CN"/>
        </w:rPr>
        <w:t xml:space="preserve"> </w:t>
      </w:r>
    </w:p>
    <w:p w:rsid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E82F77" w:rsidRPr="00B6303E" w:rsidRDefault="00E82F77" w:rsidP="00E82F77">
      <w:pPr>
        <w:numPr>
          <w:ilvl w:val="1"/>
          <w:numId w:val="2"/>
        </w:num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Chinese energy sector investments in Pakistan</w:t>
      </w:r>
    </w:p>
    <w:p w:rsid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Pr>
          <w:rFonts w:ascii="Times New Roman" w:hAnsi="Times New Roman"/>
          <w:sz w:val="20"/>
          <w:szCs w:val="20"/>
        </w:rPr>
        <w:t xml:space="preserve"> </w:t>
      </w:r>
      <w:r w:rsidRPr="00B6303E">
        <w:rPr>
          <w:rFonts w:ascii="Times New Roman" w:hAnsi="Times New Roman"/>
          <w:sz w:val="20"/>
          <w:szCs w:val="20"/>
        </w:rPr>
        <w:t xml:space="preserve"> As previously noted, Chinese investment in Pakistan is focused on the electric power system. The </w:t>
      </w:r>
      <w:proofErr w:type="spellStart"/>
      <w:r w:rsidRPr="00B6303E">
        <w:rPr>
          <w:rFonts w:ascii="Times New Roman" w:hAnsi="Times New Roman"/>
          <w:sz w:val="20"/>
          <w:szCs w:val="20"/>
        </w:rPr>
        <w:t>CPEC's</w:t>
      </w:r>
      <w:proofErr w:type="spellEnd"/>
      <w:r w:rsidRPr="00B6303E">
        <w:rPr>
          <w:rFonts w:ascii="Times New Roman" w:hAnsi="Times New Roman"/>
          <w:sz w:val="20"/>
          <w:szCs w:val="20"/>
        </w:rPr>
        <w:t xml:space="preserve"> early harvest projects, which target to add 10,400 megawatts (MG) to the electrical grid, include coal, wind turbines, Liquefied natural gas (LNG), solar-panel parks, and, most relevantly, hydropower projects. The total production in 2015 was 22,571MG </w:t>
      </w:r>
      <w:r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{"citationItems":[{"id":"ITEM-1","itemData":{"author":[{"dropping-particle":"","family":"Rizvi","given":"Jawwad","non-dropping-particle":"","parse-names":false,"suffix":""}],"id":"ITEM-1","issued":{"date-parts":[["2015"]]},"publisher":"MIT Technology Review (Pakistan)","title":"Demystifying Pakistan’s energy crisis","type":"article"},"uris":["http://www.mendeley.com/documents/?uuid=71de3ee7-bb31-4a8d-8572-c3bc884c90ab"]}],"mendeley":{"formattedCitation":"(Rizvi, 2015)","plainTextFormattedCitation":"(Rizvi, 2015)","previouslyFormattedCitation":"(Rizvi, 2015)"},"properties":{"noteIndex":0},"schema":"https://github.com/citation-style-language/schema/raw/master/csl-citation.json"}</w:instrText>
      </w:r>
      <w:r w:rsidRPr="00B6303E">
        <w:rPr>
          <w:rStyle w:val="FootnoteReference"/>
          <w:rFonts w:ascii="Times New Roman" w:hAnsi="Times New Roman"/>
          <w:sz w:val="20"/>
          <w:szCs w:val="20"/>
        </w:rPr>
        <w:fldChar w:fldCharType="separate"/>
      </w:r>
      <w:r w:rsidRPr="00B6303E">
        <w:rPr>
          <w:rFonts w:ascii="Times New Roman" w:hAnsi="Times New Roman"/>
          <w:sz w:val="20"/>
          <w:szCs w:val="20"/>
        </w:rPr>
        <w:t>(</w:t>
      </w:r>
      <w:proofErr w:type="spellStart"/>
      <w:r w:rsidRPr="00B6303E">
        <w:rPr>
          <w:rFonts w:ascii="Times New Roman" w:hAnsi="Times New Roman"/>
          <w:sz w:val="20"/>
          <w:szCs w:val="20"/>
        </w:rPr>
        <w:t>Rizvi</w:t>
      </w:r>
      <w:proofErr w:type="spellEnd"/>
      <w:r w:rsidRPr="00B6303E">
        <w:rPr>
          <w:rFonts w:ascii="Times New Roman" w:hAnsi="Times New Roman"/>
          <w:sz w:val="20"/>
          <w:szCs w:val="20"/>
        </w:rPr>
        <w:t>, 2015)</w:t>
      </w:r>
      <w:r w:rsidRPr="00B6303E">
        <w:rPr>
          <w:rStyle w:val="FootnoteReference"/>
          <w:rFonts w:ascii="Times New Roman" w:hAnsi="Times New Roman"/>
          <w:sz w:val="20"/>
          <w:szCs w:val="20"/>
        </w:rPr>
        <w:fldChar w:fldCharType="end"/>
      </w:r>
      <w:r w:rsidRPr="00B6303E">
        <w:rPr>
          <w:rFonts w:ascii="Times New Roman" w:hAnsi="Times New Roman"/>
          <w:sz w:val="20"/>
          <w:szCs w:val="20"/>
        </w:rPr>
        <w:t>. 7,097MG accounts for the hydro sources of full installed capacity, whereas the thermal sources contribute to 15,474MG. This 10,400MG will bring Pakistan's current electricity generating capacity to 32,971MG by the ending of the year. The electricity shortage problem can be solved in the short term if the government's plans are managed to carry out and all the prospective power plants are functioning by 2019. Table 2 summarizes the specific details of the Chinese energy industry projects</w:t>
      </w:r>
      <w:r>
        <w:rPr>
          <w:rFonts w:ascii="Times New Roman" w:eastAsiaTheme="minorEastAsia" w:hAnsi="Times New Roman" w:hint="eastAsia"/>
          <w:sz w:val="20"/>
          <w:szCs w:val="20"/>
          <w:lang w:eastAsia="zh-CN"/>
        </w:rPr>
        <w:t xml:space="preserve">. </w:t>
      </w:r>
    </w:p>
    <w:p w:rsidR="00E82F77" w:rsidRDefault="00E82F77" w:rsidP="00E82F77">
      <w:pPr>
        <w:adjustRightInd w:val="0"/>
        <w:snapToGrid w:val="0"/>
        <w:spacing w:after="0" w:line="240" w:lineRule="auto"/>
        <w:ind w:firstLine="720"/>
        <w:jc w:val="both"/>
        <w:rPr>
          <w:rFonts w:ascii="Times New Roman" w:eastAsiaTheme="minorEastAsia" w:hAnsi="Times New Roman"/>
          <w:sz w:val="20"/>
          <w:szCs w:val="20"/>
          <w:lang w:eastAsia="zh-CN"/>
        </w:rPr>
        <w:sectPr w:rsidR="00E82F77">
          <w:type w:val="continuous"/>
          <w:pgSz w:w="12240" w:h="15840"/>
          <w:pgMar w:top="1440" w:right="1440" w:bottom="1440" w:left="1440" w:header="720" w:footer="720" w:gutter="0"/>
          <w:cols w:num="2" w:space="720"/>
          <w:docGrid w:linePitch="360"/>
        </w:sectPr>
      </w:pPr>
    </w:p>
    <w:p w:rsid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E82F77" w:rsidRP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 xml:space="preserve">Table </w:t>
      </w:r>
      <w:r w:rsidR="00A77D41" w:rsidRPr="00B6303E">
        <w:rPr>
          <w:rFonts w:ascii="Times New Roman" w:hAnsi="Times New Roman"/>
          <w:b/>
          <w:sz w:val="20"/>
          <w:szCs w:val="20"/>
        </w:rPr>
        <w:fldChar w:fldCharType="begin"/>
      </w:r>
      <w:r w:rsidRPr="00B6303E">
        <w:rPr>
          <w:rFonts w:ascii="Times New Roman" w:hAnsi="Times New Roman"/>
          <w:b/>
          <w:sz w:val="20"/>
          <w:szCs w:val="20"/>
        </w:rPr>
        <w:instrText xml:space="preserve"> SEQ Table \* ARABIC </w:instrText>
      </w:r>
      <w:r w:rsidR="00A77D41" w:rsidRPr="00B6303E">
        <w:rPr>
          <w:rFonts w:ascii="Times New Roman" w:hAnsi="Times New Roman"/>
          <w:b/>
          <w:sz w:val="20"/>
          <w:szCs w:val="20"/>
        </w:rPr>
        <w:fldChar w:fldCharType="separate"/>
      </w:r>
      <w:r w:rsidRPr="00B6303E">
        <w:rPr>
          <w:rFonts w:ascii="Times New Roman" w:hAnsi="Times New Roman"/>
          <w:b/>
          <w:sz w:val="20"/>
          <w:szCs w:val="20"/>
        </w:rPr>
        <w:t>1</w:t>
      </w:r>
      <w:r w:rsidR="00A77D41" w:rsidRPr="00B6303E">
        <w:rPr>
          <w:rFonts w:ascii="Times New Roman" w:hAnsi="Times New Roman"/>
          <w:b/>
          <w:sz w:val="20"/>
          <w:szCs w:val="20"/>
        </w:rPr>
        <w:fldChar w:fldCharType="end"/>
      </w:r>
      <w:r w:rsidRPr="00B6303E">
        <w:rPr>
          <w:rFonts w:ascii="Times New Roman" w:hAnsi="Times New Roman"/>
          <w:b/>
          <w:sz w:val="20"/>
          <w:szCs w:val="20"/>
        </w:rPr>
        <w:t xml:space="preserve">. CPEC major components.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
      <w:tblGrid>
        <w:gridCol w:w="34"/>
        <w:gridCol w:w="3666"/>
        <w:gridCol w:w="5688"/>
      </w:tblGrid>
      <w:tr w:rsidR="00463622" w:rsidRPr="00B6303E" w:rsidTr="00E82F77">
        <w:trPr>
          <w:cantSplit/>
          <w:jc w:val="center"/>
        </w:trPr>
        <w:tc>
          <w:tcPr>
            <w:tcW w:w="0" w:type="auto"/>
            <w:shd w:val="clear" w:color="auto" w:fill="auto"/>
            <w:vAlign w:val="center"/>
          </w:tcPr>
          <w:p w:rsidR="00463622" w:rsidRPr="00B6303E" w:rsidRDefault="00463622" w:rsidP="00E82F77">
            <w:pPr>
              <w:pStyle w:val="ListParagraph"/>
              <w:adjustRightInd w:val="0"/>
              <w:snapToGrid w:val="0"/>
              <w:spacing w:after="0" w:line="240" w:lineRule="auto"/>
              <w:contextualSpacing w:val="0"/>
              <w:jc w:val="both"/>
              <w:rPr>
                <w:rFonts w:ascii="Times New Roman" w:hAnsi="Times New Roman"/>
                <w:sz w:val="20"/>
                <w:szCs w:val="20"/>
              </w:rPr>
            </w:pPr>
          </w:p>
        </w:tc>
        <w:tc>
          <w:tcPr>
            <w:tcW w:w="3666" w:type="dxa"/>
            <w:shd w:val="clear" w:color="auto" w:fill="auto"/>
            <w:vAlign w:val="center"/>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Components</w:t>
            </w:r>
          </w:p>
        </w:tc>
        <w:tc>
          <w:tcPr>
            <w:tcW w:w="5688" w:type="dxa"/>
            <w:shd w:val="clear" w:color="auto" w:fill="auto"/>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Outputs</w:t>
            </w:r>
          </w:p>
        </w:tc>
      </w:tr>
      <w:tr w:rsidR="00463622" w:rsidRPr="00B6303E" w:rsidTr="00E82F77">
        <w:trPr>
          <w:cantSplit/>
          <w:jc w:val="center"/>
        </w:trPr>
        <w:tc>
          <w:tcPr>
            <w:tcW w:w="0" w:type="auto"/>
            <w:shd w:val="clear" w:color="auto" w:fill="auto"/>
            <w:vAlign w:val="center"/>
          </w:tcPr>
          <w:p w:rsidR="00463622" w:rsidRPr="00B6303E" w:rsidRDefault="00463622" w:rsidP="00E82F77">
            <w:pPr>
              <w:pStyle w:val="ListParagraph"/>
              <w:numPr>
                <w:ilvl w:val="0"/>
                <w:numId w:val="3"/>
              </w:numPr>
              <w:adjustRightInd w:val="0"/>
              <w:snapToGrid w:val="0"/>
              <w:spacing w:after="0" w:line="240" w:lineRule="auto"/>
              <w:contextualSpacing w:val="0"/>
              <w:rPr>
                <w:rFonts w:ascii="Times New Roman" w:hAnsi="Times New Roman"/>
                <w:sz w:val="20"/>
                <w:szCs w:val="20"/>
              </w:rPr>
            </w:pPr>
          </w:p>
        </w:tc>
        <w:tc>
          <w:tcPr>
            <w:tcW w:w="3666" w:type="dxa"/>
            <w:shd w:val="clear" w:color="auto" w:fill="auto"/>
            <w:vAlign w:val="center"/>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 xml:space="preserve">Gwadar </w:t>
            </w:r>
          </w:p>
        </w:tc>
        <w:tc>
          <w:tcPr>
            <w:tcW w:w="5688" w:type="dxa"/>
            <w:shd w:val="clear" w:color="auto" w:fill="auto"/>
            <w:vAlign w:val="center"/>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Including port. City development and Gwadar region socio-economic improvement</w:t>
            </w:r>
          </w:p>
        </w:tc>
      </w:tr>
      <w:tr w:rsidR="00463622" w:rsidRPr="00B6303E" w:rsidTr="00E82F77">
        <w:trPr>
          <w:cantSplit/>
          <w:jc w:val="center"/>
        </w:trPr>
        <w:tc>
          <w:tcPr>
            <w:tcW w:w="0" w:type="auto"/>
            <w:shd w:val="clear" w:color="auto" w:fill="auto"/>
            <w:vAlign w:val="center"/>
          </w:tcPr>
          <w:p w:rsidR="00463622" w:rsidRPr="00B6303E" w:rsidRDefault="00463622" w:rsidP="00E82F77">
            <w:pPr>
              <w:pStyle w:val="ListParagraph"/>
              <w:numPr>
                <w:ilvl w:val="0"/>
                <w:numId w:val="3"/>
              </w:numPr>
              <w:adjustRightInd w:val="0"/>
              <w:snapToGrid w:val="0"/>
              <w:spacing w:after="0" w:line="240" w:lineRule="auto"/>
              <w:contextualSpacing w:val="0"/>
              <w:rPr>
                <w:rFonts w:ascii="Times New Roman" w:hAnsi="Times New Roman"/>
                <w:sz w:val="20"/>
                <w:szCs w:val="20"/>
              </w:rPr>
            </w:pPr>
          </w:p>
        </w:tc>
        <w:tc>
          <w:tcPr>
            <w:tcW w:w="3666" w:type="dxa"/>
            <w:shd w:val="clear" w:color="auto" w:fill="auto"/>
            <w:vAlign w:val="center"/>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 xml:space="preserve">Energy </w:t>
            </w:r>
          </w:p>
        </w:tc>
        <w:tc>
          <w:tcPr>
            <w:tcW w:w="5688" w:type="dxa"/>
            <w:shd w:val="clear" w:color="auto" w:fill="auto"/>
            <w:vAlign w:val="center"/>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 xml:space="preserve">Hydel, Wind, Solar, Coal, LNG, and improve the transmission </w:t>
            </w:r>
          </w:p>
        </w:tc>
      </w:tr>
      <w:tr w:rsidR="00463622" w:rsidRPr="00B6303E" w:rsidTr="00E82F77">
        <w:trPr>
          <w:cantSplit/>
          <w:jc w:val="center"/>
        </w:trPr>
        <w:tc>
          <w:tcPr>
            <w:tcW w:w="0" w:type="auto"/>
            <w:shd w:val="clear" w:color="auto" w:fill="auto"/>
            <w:vAlign w:val="center"/>
          </w:tcPr>
          <w:p w:rsidR="00463622" w:rsidRPr="00B6303E" w:rsidRDefault="00463622" w:rsidP="00E82F77">
            <w:pPr>
              <w:pStyle w:val="ListParagraph"/>
              <w:numPr>
                <w:ilvl w:val="0"/>
                <w:numId w:val="3"/>
              </w:numPr>
              <w:adjustRightInd w:val="0"/>
              <w:snapToGrid w:val="0"/>
              <w:spacing w:after="0" w:line="240" w:lineRule="auto"/>
              <w:contextualSpacing w:val="0"/>
              <w:rPr>
                <w:rFonts w:ascii="Times New Roman" w:hAnsi="Times New Roman"/>
                <w:sz w:val="20"/>
                <w:szCs w:val="20"/>
              </w:rPr>
            </w:pPr>
          </w:p>
        </w:tc>
        <w:tc>
          <w:tcPr>
            <w:tcW w:w="3666" w:type="dxa"/>
            <w:shd w:val="clear" w:color="auto" w:fill="auto"/>
            <w:vAlign w:val="center"/>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 xml:space="preserve">Transportation infrastructure </w:t>
            </w:r>
          </w:p>
        </w:tc>
        <w:tc>
          <w:tcPr>
            <w:tcW w:w="5688" w:type="dxa"/>
            <w:shd w:val="clear" w:color="auto" w:fill="auto"/>
            <w:vAlign w:val="center"/>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 xml:space="preserve">The advanced infrastructure of Road, Rail, Aviation </w:t>
            </w:r>
          </w:p>
        </w:tc>
      </w:tr>
      <w:tr w:rsidR="00463622" w:rsidRPr="00B6303E" w:rsidTr="00E82F77">
        <w:trPr>
          <w:cantSplit/>
          <w:jc w:val="center"/>
        </w:trPr>
        <w:tc>
          <w:tcPr>
            <w:tcW w:w="0" w:type="auto"/>
            <w:shd w:val="clear" w:color="auto" w:fill="auto"/>
            <w:vAlign w:val="center"/>
          </w:tcPr>
          <w:p w:rsidR="00463622" w:rsidRPr="00B6303E" w:rsidRDefault="00463622" w:rsidP="00E82F77">
            <w:pPr>
              <w:pStyle w:val="ListParagraph"/>
              <w:numPr>
                <w:ilvl w:val="0"/>
                <w:numId w:val="3"/>
              </w:numPr>
              <w:adjustRightInd w:val="0"/>
              <w:snapToGrid w:val="0"/>
              <w:spacing w:after="0" w:line="240" w:lineRule="auto"/>
              <w:contextualSpacing w:val="0"/>
              <w:rPr>
                <w:rFonts w:ascii="Times New Roman" w:hAnsi="Times New Roman"/>
                <w:sz w:val="20"/>
                <w:szCs w:val="20"/>
              </w:rPr>
            </w:pPr>
          </w:p>
        </w:tc>
        <w:tc>
          <w:tcPr>
            <w:tcW w:w="3666" w:type="dxa"/>
            <w:shd w:val="clear" w:color="auto" w:fill="auto"/>
            <w:vAlign w:val="center"/>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Investment &amp; Industrial Cooperation</w:t>
            </w:r>
          </w:p>
        </w:tc>
        <w:tc>
          <w:tcPr>
            <w:tcW w:w="5688" w:type="dxa"/>
            <w:shd w:val="clear" w:color="auto" w:fill="auto"/>
            <w:vAlign w:val="center"/>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Free Zone and other industrial parks to be finalized</w:t>
            </w:r>
          </w:p>
        </w:tc>
      </w:tr>
      <w:tr w:rsidR="00463622" w:rsidRPr="00B6303E" w:rsidTr="00E82F77">
        <w:trPr>
          <w:cantSplit/>
          <w:jc w:val="center"/>
        </w:trPr>
        <w:tc>
          <w:tcPr>
            <w:tcW w:w="0" w:type="auto"/>
            <w:shd w:val="clear" w:color="auto" w:fill="auto"/>
            <w:vAlign w:val="center"/>
          </w:tcPr>
          <w:p w:rsidR="00463622" w:rsidRPr="00B6303E" w:rsidRDefault="00463622" w:rsidP="00E82F77">
            <w:pPr>
              <w:pStyle w:val="ListParagraph"/>
              <w:numPr>
                <w:ilvl w:val="0"/>
                <w:numId w:val="3"/>
              </w:numPr>
              <w:adjustRightInd w:val="0"/>
              <w:snapToGrid w:val="0"/>
              <w:spacing w:after="0" w:line="240" w:lineRule="auto"/>
              <w:contextualSpacing w:val="0"/>
              <w:rPr>
                <w:rFonts w:ascii="Times New Roman" w:hAnsi="Times New Roman"/>
                <w:sz w:val="20"/>
                <w:szCs w:val="20"/>
              </w:rPr>
            </w:pPr>
          </w:p>
        </w:tc>
        <w:tc>
          <w:tcPr>
            <w:tcW w:w="3666" w:type="dxa"/>
            <w:shd w:val="clear" w:color="auto" w:fill="auto"/>
            <w:vAlign w:val="center"/>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Any other area of interest mutually agreed</w:t>
            </w:r>
          </w:p>
        </w:tc>
        <w:tc>
          <w:tcPr>
            <w:tcW w:w="5688" w:type="dxa"/>
            <w:shd w:val="clear" w:color="auto" w:fill="auto"/>
            <w:vAlign w:val="center"/>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 xml:space="preserve">The industrial and manufacturing sector </w:t>
            </w:r>
          </w:p>
        </w:tc>
      </w:tr>
    </w:tbl>
    <w:p w:rsidR="00463622" w:rsidRPr="00B6303E" w:rsidRDefault="00463622" w:rsidP="00E82F77">
      <w:pPr>
        <w:adjustRightInd w:val="0"/>
        <w:snapToGrid w:val="0"/>
        <w:spacing w:after="0" w:line="240" w:lineRule="auto"/>
        <w:jc w:val="both"/>
        <w:rPr>
          <w:rFonts w:ascii="Times New Roman" w:hAnsi="Times New Roman"/>
          <w:sz w:val="20"/>
          <w:szCs w:val="20"/>
        </w:rPr>
      </w:pPr>
    </w:p>
    <w:p w:rsidR="00E82F77" w:rsidRDefault="00E82F77" w:rsidP="00E82F77">
      <w:pPr>
        <w:adjustRightInd w:val="0"/>
        <w:snapToGrid w:val="0"/>
        <w:spacing w:after="0" w:line="240" w:lineRule="auto"/>
        <w:jc w:val="both"/>
        <w:rPr>
          <w:rFonts w:ascii="Times New Roman" w:eastAsiaTheme="minorEastAsia" w:hAnsi="Times New Roman" w:hint="eastAsia"/>
          <w:b/>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b/>
          <w:sz w:val="20"/>
          <w:szCs w:val="20"/>
        </w:rPr>
        <w:t xml:space="preserve">Table </w:t>
      </w:r>
      <w:r w:rsidR="00A77D41" w:rsidRPr="00B6303E">
        <w:rPr>
          <w:rFonts w:ascii="Times New Roman" w:hAnsi="Times New Roman"/>
          <w:b/>
          <w:sz w:val="20"/>
          <w:szCs w:val="20"/>
        </w:rPr>
        <w:fldChar w:fldCharType="begin"/>
      </w:r>
      <w:r w:rsidRPr="00B6303E">
        <w:rPr>
          <w:rFonts w:ascii="Times New Roman" w:hAnsi="Times New Roman"/>
          <w:b/>
          <w:sz w:val="20"/>
          <w:szCs w:val="20"/>
        </w:rPr>
        <w:instrText xml:space="preserve"> SEQ Table \* ARABIC </w:instrText>
      </w:r>
      <w:r w:rsidR="00A77D41" w:rsidRPr="00B6303E">
        <w:rPr>
          <w:rFonts w:ascii="Times New Roman" w:hAnsi="Times New Roman"/>
          <w:b/>
          <w:sz w:val="20"/>
          <w:szCs w:val="20"/>
        </w:rPr>
        <w:fldChar w:fldCharType="separate"/>
      </w:r>
      <w:r w:rsidRPr="00B6303E">
        <w:rPr>
          <w:rFonts w:ascii="Times New Roman" w:hAnsi="Times New Roman"/>
          <w:b/>
          <w:sz w:val="20"/>
          <w:szCs w:val="20"/>
        </w:rPr>
        <w:t>2</w:t>
      </w:r>
      <w:r w:rsidR="00A77D41" w:rsidRPr="00B6303E">
        <w:rPr>
          <w:rFonts w:ascii="Times New Roman" w:hAnsi="Times New Roman"/>
          <w:b/>
          <w:sz w:val="20"/>
          <w:szCs w:val="20"/>
        </w:rPr>
        <w:fldChar w:fldCharType="end"/>
      </w:r>
      <w:r w:rsidRPr="00B6303E">
        <w:rPr>
          <w:rFonts w:ascii="Times New Roman" w:hAnsi="Times New Roman"/>
          <w:b/>
          <w:sz w:val="20"/>
          <w:szCs w:val="20"/>
        </w:rPr>
        <w:t>.</w:t>
      </w:r>
      <w:r w:rsidRPr="00B6303E">
        <w:rPr>
          <w:rFonts w:ascii="Times New Roman" w:hAnsi="Times New Roman"/>
          <w:bCs/>
          <w:sz w:val="20"/>
          <w:szCs w:val="20"/>
        </w:rPr>
        <w:t xml:space="preserve"> </w:t>
      </w:r>
      <w:r w:rsidRPr="00B6303E">
        <w:rPr>
          <w:rFonts w:ascii="Times New Roman" w:hAnsi="Times New Roman"/>
          <w:b/>
          <w:sz w:val="20"/>
          <w:szCs w:val="20"/>
        </w:rPr>
        <w:t>List of Chinese energy infrastructure investments in Pakistan.</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2"/>
        <w:gridCol w:w="5026"/>
      </w:tblGrid>
      <w:tr w:rsidR="00463622" w:rsidRPr="00B6303E">
        <w:trPr>
          <w:trHeight w:val="21"/>
        </w:trPr>
        <w:tc>
          <w:tcPr>
            <w:tcW w:w="2340" w:type="pct"/>
          </w:tcPr>
          <w:p w:rsidR="00463622" w:rsidRPr="00B6303E" w:rsidRDefault="00CA01A3" w:rsidP="00E82F77">
            <w:pPr>
              <w:adjustRightInd w:val="0"/>
              <w:snapToGrid w:val="0"/>
              <w:spacing w:after="0" w:line="240" w:lineRule="auto"/>
              <w:jc w:val="center"/>
              <w:rPr>
                <w:rFonts w:ascii="Times New Roman" w:hAnsi="Times New Roman"/>
                <w:b/>
                <w:bCs/>
                <w:sz w:val="20"/>
                <w:szCs w:val="20"/>
              </w:rPr>
            </w:pPr>
            <w:r w:rsidRPr="00B6303E">
              <w:rPr>
                <w:rFonts w:ascii="Times New Roman" w:hAnsi="Times New Roman"/>
                <w:b/>
                <w:bCs/>
                <w:sz w:val="20"/>
                <w:szCs w:val="20"/>
              </w:rPr>
              <w:t>Project</w:t>
            </w:r>
          </w:p>
        </w:tc>
        <w:tc>
          <w:tcPr>
            <w:tcW w:w="2660" w:type="pct"/>
          </w:tcPr>
          <w:p w:rsidR="00463622" w:rsidRPr="00B6303E" w:rsidRDefault="00CA01A3" w:rsidP="00E82F77">
            <w:pPr>
              <w:adjustRightInd w:val="0"/>
              <w:snapToGrid w:val="0"/>
              <w:spacing w:after="0" w:line="240" w:lineRule="auto"/>
              <w:jc w:val="center"/>
              <w:rPr>
                <w:rFonts w:ascii="Times New Roman" w:hAnsi="Times New Roman"/>
                <w:b/>
                <w:bCs/>
                <w:sz w:val="20"/>
                <w:szCs w:val="20"/>
              </w:rPr>
            </w:pPr>
            <w:r w:rsidRPr="00B6303E">
              <w:rPr>
                <w:rFonts w:ascii="Times New Roman" w:hAnsi="Times New Roman"/>
                <w:b/>
                <w:bCs/>
                <w:sz w:val="20"/>
                <w:szCs w:val="20"/>
              </w:rPr>
              <w:t>Company</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bCs/>
                <w:sz w:val="20"/>
                <w:szCs w:val="20"/>
              </w:rPr>
            </w:pPr>
            <w:r w:rsidRPr="00B6303E">
              <w:rPr>
                <w:rFonts w:ascii="Times New Roman" w:hAnsi="Times New Roman"/>
                <w:bCs/>
                <w:sz w:val="20"/>
                <w:szCs w:val="20"/>
              </w:rPr>
              <w:t>Prioritized/Early Harvest Projects, 10400 MW</w:t>
            </w:r>
          </w:p>
        </w:tc>
        <w:tc>
          <w:tcPr>
            <w:tcW w:w="2660" w:type="pct"/>
          </w:tcPr>
          <w:p w:rsidR="00463622" w:rsidRPr="00B6303E" w:rsidRDefault="00463622" w:rsidP="00E82F77">
            <w:pPr>
              <w:adjustRightInd w:val="0"/>
              <w:snapToGrid w:val="0"/>
              <w:spacing w:after="0" w:line="240" w:lineRule="auto"/>
              <w:rPr>
                <w:rFonts w:ascii="Times New Roman" w:hAnsi="Times New Roman"/>
                <w:sz w:val="20"/>
                <w:szCs w:val="20"/>
              </w:rPr>
            </w:pP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Port Qasim Coal-ﬁred Power Plant (2×660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Power China Resources Ltd.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Sahiwal Coal-Fired Power Plant (2 × 660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Huaneng Shandong Ruyi (Pakistan) Energy (Private) Ltd.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Engro Thar Coal-ﬁred Power Plant and Surﬁce Mine in Block II of Thar Coal Field (4×330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China Machinery Engineering Corporation (CMEC)</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Dawood Wind Farm (50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Hydro china International Engineering (HIE) Co. Ltd.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Quaid-e-Azam Solar Park in Bahawalpur (900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Zonergy Company Ltd.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Jhimpir Wind Farm (100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UEP Wind Power (PVT) Ltd.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Sachal Wind Farm (50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HIE Co. Ltd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Karot Hydro-Power Project (720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China Three Gorges South Asia Investment Ltd.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Suki Kinari Hydropower Project (873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China Gezhouba Group Corporation International Ltd. (CGGC)</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Sachal Wind Farm (50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China Sunec Company</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Rahimyar Khan Coal Power Plant (2 × 660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To Be Decided (TBD)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Thar Coal Block I and Mine Mouth Power Plant (2 × 660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Shanghai Electric</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Hubco Coal Power Plant (2 × 660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China Power International Holding Ltd.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Gwadar Power Plant (300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TBD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Matiari-Lahore Transmission Line </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China State Grid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Matiari-Faisalabad Transmission Line </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China State Grid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Gaddani Powerplant at District Lasbela, Balochistan (2 × 660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TBD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Kohala Hydro-Power Station (1100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China Three Gorges South Asia Investment (CTGSAI) Ltd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Wind Farm Phase II of Pakistan (2 × 50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(CTGSAI)Ltd.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HUBCO Coal Power Plant (660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China Power International Holding Ltd.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Salt Range Mine Mouth Power Plant including Mining (300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China Machinery Engineering Corporation</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Thar Mine Mouth Coal Fired Power Plant by Oracle (2 × 660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TBD</w:t>
            </w:r>
          </w:p>
        </w:tc>
      </w:tr>
      <w:tr w:rsidR="00463622" w:rsidRPr="00B6303E">
        <w:trPr>
          <w:trHeight w:val="21"/>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Muzaﬀargarh Coal-ﬁred Power Plant (2 × 660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(CMEC)</w:t>
            </w:r>
          </w:p>
        </w:tc>
      </w:tr>
      <w:tr w:rsidR="00463622" w:rsidRPr="00B6303E">
        <w:trPr>
          <w:trHeight w:val="88"/>
        </w:trPr>
        <w:tc>
          <w:tcPr>
            <w:tcW w:w="2340" w:type="pct"/>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Gas Fired Power Plant (525 MW)</w:t>
            </w:r>
          </w:p>
        </w:tc>
        <w:tc>
          <w:tcPr>
            <w:tcW w:w="2660" w:type="pct"/>
          </w:tcPr>
          <w:p w:rsidR="00463622" w:rsidRPr="00B6303E" w:rsidRDefault="00CA01A3" w:rsidP="00E82F77">
            <w:pPr>
              <w:adjustRightInd w:val="0"/>
              <w:snapToGrid w:val="0"/>
              <w:spacing w:after="0" w:line="240" w:lineRule="auto"/>
              <w:ind w:left="113"/>
              <w:rPr>
                <w:rFonts w:ascii="Times New Roman" w:hAnsi="Times New Roman"/>
                <w:sz w:val="20"/>
                <w:szCs w:val="20"/>
              </w:rPr>
            </w:pPr>
            <w:r w:rsidRPr="00B6303E">
              <w:rPr>
                <w:rFonts w:ascii="Times New Roman" w:hAnsi="Times New Roman"/>
                <w:sz w:val="20"/>
                <w:szCs w:val="20"/>
              </w:rPr>
              <w:t>TBD</w:t>
            </w:r>
          </w:p>
        </w:tc>
      </w:tr>
    </w:tbl>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Source: CPEC, 2019;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1004-2857","author":[{"dropping-particle":"","family":"Iqbal","given":"Sumera","non-dropping-particle":"","parse-names":false,"suffix":""},{"dropping-particle":"","family":"Chu","given":"Jianxun","non-dropping-particle":"","parse-names":false,"suffix":""},{"dropping-particle":"","family":"Hali","given":"Shafei Moiz","non-dropping-particle":"","parse-names":false,"suffix":""}],"container-title":"Chinese Journal of Population Resources and Environment","id":"ITEM-1","issue":"4","issued":{"date-parts":[["2019"]]},"page":"310-321","publisher":"Taylor &amp; Francis","title":"Projecting impact of CPEC on Pakistan’s electric power crisis","type":"article-journal","volume":"17"},"uris":["http://www.mendeley.com/documents/?uuid=eeacfad7-942a-4e48-b70e-2f6c76b1d040"]}],"mendeley":{"formattedCitation":"(Iqbal et al., 2019)","plainTextFormattedCitation":"(Iqbal et al., 2019)","previouslyFormattedCitation":"Sumera Iqbal, Jianxun Chu, and Shafei Moiz Hali, “Projecting Impact of CPEC on Pakistan’s Electric Power Crisis,” &lt;i&gt;Chinese Journal of Population Resources and Environment&lt;/i&gt;, 17.4 (2019), 310–21."},"properties":{"noteIndex":0},"schema":"https://github.com/citation-style-language/schema/raw/master/csl-citation.json"}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(Iqbal et al., 2019)</w:t>
      </w:r>
      <w:r w:rsidR="00A77D41" w:rsidRPr="00B6303E">
        <w:rPr>
          <w:rStyle w:val="FootnoteReference"/>
          <w:rFonts w:ascii="Times New Roman" w:hAnsi="Times New Roman"/>
          <w:sz w:val="20"/>
          <w:szCs w:val="20"/>
        </w:rPr>
        <w:fldChar w:fldCharType="end"/>
      </w:r>
    </w:p>
    <w:p w:rsidR="00463622" w:rsidRDefault="00463622" w:rsidP="00E82F77">
      <w:pPr>
        <w:adjustRightInd w:val="0"/>
        <w:snapToGrid w:val="0"/>
        <w:spacing w:after="0" w:line="240" w:lineRule="auto"/>
        <w:jc w:val="both"/>
        <w:rPr>
          <w:rFonts w:ascii="Times New Roman" w:eastAsiaTheme="minorEastAsia" w:hAnsi="Times New Roman" w:hint="eastAsia"/>
          <w:sz w:val="20"/>
          <w:szCs w:val="20"/>
          <w:lang w:eastAsia="zh-CN"/>
        </w:rPr>
      </w:pPr>
    </w:p>
    <w:p w:rsidR="00E82F77" w:rsidRDefault="00E82F77" w:rsidP="00E82F77">
      <w:pPr>
        <w:adjustRightInd w:val="0"/>
        <w:snapToGrid w:val="0"/>
        <w:spacing w:after="0" w:line="240" w:lineRule="auto"/>
        <w:jc w:val="both"/>
        <w:rPr>
          <w:rFonts w:ascii="Times New Roman" w:eastAsiaTheme="minorEastAsia" w:hAnsi="Times New Roman" w:hint="eastAsia"/>
          <w:sz w:val="20"/>
          <w:szCs w:val="20"/>
          <w:lang w:eastAsia="zh-CN"/>
        </w:rPr>
      </w:pPr>
    </w:p>
    <w:p w:rsidR="00E82F77" w:rsidRDefault="00E82F77" w:rsidP="00E82F77">
      <w:pPr>
        <w:adjustRightInd w:val="0"/>
        <w:snapToGrid w:val="0"/>
        <w:spacing w:after="0" w:line="240" w:lineRule="auto"/>
        <w:jc w:val="both"/>
        <w:rPr>
          <w:rFonts w:ascii="Times New Roman" w:eastAsiaTheme="minorEastAsia" w:hAnsi="Times New Roman" w:hint="eastAsia"/>
          <w:sz w:val="20"/>
          <w:szCs w:val="20"/>
          <w:lang w:eastAsia="zh-CN"/>
        </w:rPr>
      </w:pPr>
    </w:p>
    <w:p w:rsidR="00E82F77" w:rsidRDefault="00E82F77" w:rsidP="00E82F77">
      <w:pPr>
        <w:adjustRightInd w:val="0"/>
        <w:snapToGrid w:val="0"/>
        <w:spacing w:after="0" w:line="240" w:lineRule="auto"/>
        <w:jc w:val="both"/>
        <w:rPr>
          <w:rFonts w:ascii="Times New Roman" w:eastAsiaTheme="minorEastAsia" w:hAnsi="Times New Roman" w:hint="eastAsia"/>
          <w:sz w:val="20"/>
          <w:szCs w:val="20"/>
          <w:lang w:eastAsia="zh-CN"/>
        </w:rPr>
      </w:pPr>
    </w:p>
    <w:p w:rsidR="00E82F77" w:rsidRDefault="00E82F77" w:rsidP="00E82F77">
      <w:pPr>
        <w:adjustRightInd w:val="0"/>
        <w:snapToGrid w:val="0"/>
        <w:spacing w:after="0" w:line="240" w:lineRule="auto"/>
        <w:jc w:val="both"/>
        <w:rPr>
          <w:rFonts w:ascii="Times New Roman" w:eastAsiaTheme="minorEastAsia" w:hAnsi="Times New Roman" w:hint="eastAsia"/>
          <w:sz w:val="20"/>
          <w:szCs w:val="20"/>
          <w:lang w:eastAsia="zh-CN"/>
        </w:rPr>
      </w:pPr>
    </w:p>
    <w:p w:rsidR="00E82F77" w:rsidRPr="00E82F77" w:rsidRDefault="00E82F77" w:rsidP="00E82F77">
      <w:pPr>
        <w:adjustRightInd w:val="0"/>
        <w:snapToGrid w:val="0"/>
        <w:spacing w:after="0" w:line="240" w:lineRule="auto"/>
        <w:jc w:val="both"/>
        <w:rPr>
          <w:rFonts w:ascii="Times New Roman" w:eastAsiaTheme="minorEastAsia" w:hAnsi="Times New Roman" w:hint="eastAsia"/>
          <w:sz w:val="20"/>
          <w:szCs w:val="20"/>
          <w:lang w:eastAsia="zh-CN"/>
        </w:rPr>
        <w:sectPr w:rsidR="00E82F77" w:rsidRPr="00E82F77">
          <w:type w:val="continuous"/>
          <w:pgSz w:w="12240" w:h="15840"/>
          <w:pgMar w:top="1440" w:right="1440" w:bottom="1440" w:left="1440" w:header="720" w:footer="720" w:gutter="0"/>
          <w:cols w:space="720"/>
          <w:docGrid w:linePitch="360"/>
        </w:sectPr>
      </w:pPr>
    </w:p>
    <w:p w:rsidR="00463622" w:rsidRPr="00B6303E" w:rsidRDefault="00CA01A3" w:rsidP="00E82F77">
      <w:pPr>
        <w:numPr>
          <w:ilvl w:val="1"/>
          <w:numId w:val="2"/>
        </w:num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lastRenderedPageBreak/>
        <w:t xml:space="preserve">Research question </w:t>
      </w:r>
    </w:p>
    <w:p w:rsidR="00463622" w:rsidRDefault="00B6303E"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Pr>
          <w:rFonts w:ascii="Times New Roman" w:hAnsi="Times New Roman"/>
          <w:sz w:val="20"/>
          <w:szCs w:val="20"/>
        </w:rPr>
        <w:t xml:space="preserve"> </w:t>
      </w:r>
      <w:r w:rsidR="00CA01A3" w:rsidRPr="00B6303E">
        <w:rPr>
          <w:rFonts w:ascii="Times New Roman" w:hAnsi="Times New Roman"/>
          <w:sz w:val="20"/>
          <w:szCs w:val="20"/>
        </w:rPr>
        <w:t xml:space="preserve"> As stated in the introduction section, the major problem for Pakistan's economic progress is the energy crisis. Consequentially, for the successful realization of CPEC, most investments will rebuild Pakistan's energy sector to make CPEC a success. Among the BRI's economic corridors, CPEC is also one of the most expensive. As a result, the question of what impact the CPEC investments would have on Pakistan's future energy demand becomes more important.</w:t>
      </w:r>
    </w:p>
    <w:p w:rsidR="00E82F77" w:rsidRP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numPr>
          <w:ilvl w:val="1"/>
          <w:numId w:val="2"/>
        </w:num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Objectives of the study</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t>The research's main goals are as follows:</w:t>
      </w:r>
      <w:r w:rsidR="00B6303E">
        <w:rPr>
          <w:rFonts w:ascii="Times New Roman" w:hAnsi="Times New Roman"/>
          <w:sz w:val="20"/>
          <w:szCs w:val="20"/>
        </w:rPr>
        <w:t xml:space="preserve"> </w:t>
      </w:r>
    </w:p>
    <w:p w:rsidR="00463622" w:rsidRPr="00B6303E" w:rsidRDefault="00CA01A3" w:rsidP="00E82F77">
      <w:pPr>
        <w:numPr>
          <w:ilvl w:val="0"/>
          <w:numId w:val="4"/>
        </w:num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To identify the role of CPEC in future energy consumption in Pakistan</w:t>
      </w:r>
    </w:p>
    <w:p w:rsidR="00463622" w:rsidRPr="00B6303E" w:rsidRDefault="00CA01A3" w:rsidP="00E82F77">
      <w:pPr>
        <w:numPr>
          <w:ilvl w:val="0"/>
          <w:numId w:val="4"/>
        </w:num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To develop a framework that emphasizes the need for CPEC to improve renewable energy consumption in Pakistan.  </w:t>
      </w:r>
    </w:p>
    <w:p w:rsidR="00463622" w:rsidRPr="00B6303E" w:rsidRDefault="00CA01A3" w:rsidP="00E82F77">
      <w:pPr>
        <w:numPr>
          <w:ilvl w:val="0"/>
          <w:numId w:val="4"/>
        </w:num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To investigate the sectoral level of future energy consumption in Pakistan</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The remaining structure of this research work is as follows: Section 2 contains the literature review and author's intentions about CPEC, while section 3 covers the methodology. Results and discussion are presenting in section 4. Finally, section 5 is the conclusion of the study.</w:t>
      </w:r>
    </w:p>
    <w:p w:rsidR="00E82F77" w:rsidRDefault="00E82F77" w:rsidP="00E82F77">
      <w:pPr>
        <w:adjustRightInd w:val="0"/>
        <w:snapToGrid w:val="0"/>
        <w:spacing w:after="0" w:line="240" w:lineRule="auto"/>
        <w:jc w:val="both"/>
        <w:rPr>
          <w:rFonts w:ascii="Times New Roman" w:eastAsiaTheme="minorEastAsia" w:hAnsi="Times New Roman" w:hint="eastAsia"/>
          <w:b/>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2. Literature review</w:t>
      </w:r>
    </w:p>
    <w:p w:rsidR="00463622" w:rsidRPr="00B6303E" w:rsidRDefault="00CA01A3" w:rsidP="00E82F77">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t>2.1. Impact of CPEC on Energy</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bCs/>
          <w:sz w:val="20"/>
          <w:szCs w:val="20"/>
          <w:lang w:eastAsia="zh-CN"/>
        </w:rPr>
        <w:t xml:space="preserve"> </w:t>
      </w:r>
      <w:r w:rsidR="00CA01A3" w:rsidRPr="00B6303E">
        <w:rPr>
          <w:rFonts w:ascii="Times New Roman" w:hAnsi="Times New Roman"/>
          <w:bCs/>
          <w:sz w:val="20"/>
          <w:szCs w:val="20"/>
          <w:lang w:eastAsia="zh-CN"/>
        </w:rPr>
        <w:t xml:space="preserve"> </w:t>
      </w:r>
      <w:r w:rsidR="00CA01A3" w:rsidRPr="00B6303E">
        <w:rPr>
          <w:rFonts w:ascii="Times New Roman" w:hAnsi="Times New Roman"/>
          <w:sz w:val="20"/>
          <w:szCs w:val="20"/>
        </w:rPr>
        <w:t xml:space="preserve">Kazmi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{"citationItems":[{"id":"ITEM-1","itemData":{"ISSN":"0030-9729","author":[{"dropping-particle":"","family":"Kazmi","given":"Syed Twangar Hussain","non-dropping-particle":"","parse-names":false,"suffix":""}],"container-title":"The Pakistan Development Review","id":"ITEM-1","issued":{"date-parts":[["2016"]]},"page":"619-631","publisher":"JSTOR","title":"China's Journey in Renewable Energy and Its Potential Spillover Effects through the CPEC in Pakistan","type":"article-journal"},"suppress-author":1,"uris":["http://www.mendeley.com/documents/?uuid=e8233eb7-449a-4b82-b51f-9bf74b744117"]}],"mendeley":{"formattedCitation":"(2016a)","plainTextFormattedCitation":"(2016a)","previouslyFormattedCitation":"(2016a)"},"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(2016a)</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evaluated the influence of sustainable energy investments in Pakistan as part of the CPEC by using time series data from 2000 to 2016. The early harvested CPEC projects would generate 2840 MW of renewable energy. The investment in wind energy, hydro and solar projects reflects Pakistan's determination to weak economic scenarios. China's Foreign Direct Investment (FDI) has the potential to increase expansion in the renewable energy industry. This relationship with China in the RE area can facilitate the transfer of information and know-how, provided the government has regulations in place to facilitate the flow of knowledge to a business location. Direct professional development must be created with China's involvement for this goal. It is possible to establish win-win scenarios in which a low environmental worker is provided with the required knowledge and talents to work on Chinese-managed projects in Pakistan. Furthermore, local manufacturing of renewable energy goods or products must be encouraged by resolving market failures and supporting local manufacturers. </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Khurshid et al.,</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Khurshid","given":"Muzammil","non-dropping-particle":"","parse-names":false,"suffix":""},{"dropping-particle":"","family":"Rashid","given":"Athar","non-dropping-particle":"","parse-names":false,"suffix":""},{"dropping-particle":"","family":"Zahid","given":"R M Ammar","non-dropping-particle":"","parse-names":false,"suffix":""}],"container-title":"Proceedings of the International Conference on Renewable, Applied and New Energy Technologies","id":"ITEM-1","issued":{"date-parts":[["2018"]]},"title":"Impact of CPEC energy projects on socio-economic development of Pakistan","type":"paper-conference"},"suppress-author":1,"uris":["http://www.mendeley.com/documents/?uuid=4ab990a6-6a3d-4789-99a4-316609ba154f"]}],"mendeley":{"formattedCitation":"(2018)","plainTextFormattedCitation":"(2018)","previouslyFormattedCitation":"(2018)"},"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(2018)</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investigated the influence of CPEC energy projects on Pakistan's </w:t>
      </w:r>
      <w:r w:rsidR="00CA01A3" w:rsidRPr="00B6303E">
        <w:rPr>
          <w:rFonts w:ascii="Times New Roman" w:hAnsi="Times New Roman"/>
          <w:sz w:val="20"/>
          <w:szCs w:val="20"/>
        </w:rPr>
        <w:lastRenderedPageBreak/>
        <w:t>socio-economic development. Using Johansen-Juselius cointegration analysis. Pakistan's energy issues (i.e., 8000 MW) would be addressed by the end of 2019, adding 17000 MW to the national grid as part of CPEC. Pakistan has been suffering an energy problem for the previous two decades, and CPEC has made a significant contribution in the electricity sector by investing $35 billion. CPEC is significant in all sectors, including FDI, transportation, infrastructure development, trade agreements, job opportunities, industrial estates, cultural exchange, tourist, and so on. Despite all of these positives, there are certain problems, such as security, political culture, terrorists, equitable funding allocation, local corporate stabilization, and so on. The long-term impact of GDP, road conditions, and labor productivity conditions, which are the primary factors in generating and lowering oil consumption. Energy, as in other states, is an important factor in Pakistan's economy. Pakistan has been suffering from acute electricity shortages for the last year. The CPEC energy projects have significantly supported Pakistan in eliminating energy poverty.</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Lin &amp; Xie,</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0301-4215","author":[{"dropping-particle":"","family":"Lin","given":"Boqiang","non-dropping-particle":"","parse-names":false,"suffix":""},{"dropping-particle":"","family":"Xie","given":"Chunping","non-dropping-particle":"","parse-names":false,"suffix":""}],"container-title":"Energy Policy","id":"ITEM-1","issued":{"date-parts":[["2013"]]},"page":"472-482","publisher":"Elsevier","title":"Estimation on oil demand and oil saving potential of China's road transport sector","type":"article-journal","volume":"61"},"suppress-author":1,"uris":["http://www.mendeley.com/documents/?uuid=aa7a4b4d-0e08-4372-909f-f79646318207"]}],"mendeley":{"formattedCitation":"(2013)","plainTextFormattedCitation":"(2013)","previouslyFormattedCitation":"(2013)"},"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(2013)</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utilized time-series data from 1980 to 2010 to assess the demand for oil in China's transport industry and the potential savings. They investigated the impact of causal variables such as GDP, oil prices, total roadway, and automotive industry technological level on the dependent variable of energy consumption. The long-term impacts of GDP, road conditions, and labor productivity conditions, which are the primary factors in generating and lowering oil consumption, were predicted using Johansen-Juselius cointegration analysis. According to Monte Carlo risk analysis, improving internal oil-saving strategies can increase productivity.</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H. Raza et al.,</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{"citationItems":[{"id":"ITEM-1","itemData":{"author":[{"dropping-particle":"","family":"Raza","given":"Hasan","non-dropping-particle":"","parse-names":false,"suffix":""},{"dropping-particle":"","family":"Mohiuddin","given":"Zaeema Asrar","non-dropping-particle":"","parse-names":false,"suffix":""},{"dropping-particle":"","family":"Zaidi","given":"Syed Shahid Zaheer","non-dropping-particle":"","parse-names":false,"suffix":""},{"dropping-particle":"","family":"Osama","given":"Ahmed","non-dropping-particle":"","parse-names":false,"suffix":""}],"container-title":"Journal of Accounting, Business and Finance Research","id":"ITEM-1","issue":"1","issued":{"date-parts":[["2018"]]},"page":"1-6","publisher":"Scientific Publishing Institute","title":"CPEC: Pakistan-China Cordial Ties-A Boost to Pakistan's Economy","type":"article-journal","volume":"2"},"suppress-author":1,"uris":["http://www.mendeley.com/documents/?uuid=f84c0c89-a071-48aa-92cf-32aa8dafb1ea"]}],"mendeley":{"formattedCitation":"(2018)","plainTextFormattedCitation":"(2018)","previouslyFormattedCitation":"(2018)"},"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(2018)</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Twenty-one new energy projects being built as part of CPEC are intended to minimize energy poverty in Pakistan. According to the research, energy sufficiency will stimulate the economy by revitalizing industries and companies and providing hundreds of direct and indirect job opportunities.</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Mirza et al.,</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{"citationItems":[{"id":"ITEM-1","itemData":{"DOI":"10.1016/j.esr.2019.04.015","ISSN":"2211467X","abstract":"China-Pakistan Economic Corridor is a strategic economic project to enhance economic connectivity between Pakistan and China. We estimate the impact of CPEC related economic activities on overall energy consumption and its saving potential for Pakistan by 2030. Johansen cointegration is employed to evaluate the long run relationship between energy consumption and its determinants at aggregate and sectoral levels and forecast future energy demand using scenario analysis. Baseline scenario results indicate that aggregate energy consumption will approximately be 41% higher in 2030 compared to 2013 levels. Energy consumption in industrial and commercial sectors in 2030 will increase by 136% and 414% under baseline scenario. The Monte Carlo Simulations incorporating future uncertainty support the scenario analysis results. Energy saving potential suggests that energy conservation should be part of overall energy policies and sector specific energy intensity targets should be implemented to harness the energy saving potential.","author":[{"dropping-particle":"","family":"Mirza","given":"Faisal Mehmood","non-dropping-particle":"","parse-names":false,"suffix":""},{"dropping-particle":"","family":"Fatima","given":"Nishat","non-dropping-particle":"","parse-names":false,"suffix":""},{"dropping-particle":"","family":"Ullah","given":"Kafait","non-dropping-particle":"","parse-names":false,"suffix":""}],"container-title":"Energy Strategy Reviews","id":"ITEM-1","issue":"March","issued":{"date-parts":[["2019"]]},"page":"34-46","publisher":"Elsevier","title":"Impact of China-Pakistan economic corridor on Pakistan's future energy consumption and energy saving potential: Evidence from sectoral time series analysis","type":"article-journal","volume":"25"},"suppress-author":1,"uris":["http://www.mendeley.com/documents/?uuid=f101b087-f393-4edd-b400-7572a02c4469"]}],"mendeley":{"formattedCitation":"(2019)","plainTextFormattedCitation":"(2019)","previouslyFormattedCitation":"(2019)"},"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(2019)</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using secondary data on energy consumption (Dependent variable), GDP, energy prices (P), energy intensity (EI), trade openness (TO) and foreign direct investment (FDI) (Independent variable), and qualitatively evaluated the effect of the CPEC on job creation in Pakistan. According to the sources mentioned above, the CPEC project is expected to promote private investment by establishing free economic zones, energy supply security, a stable economy, and efficient </w:t>
      </w:r>
      <w:r w:rsidR="00CA01A3" w:rsidRPr="00B6303E">
        <w:rPr>
          <w:rFonts w:ascii="Times New Roman" w:hAnsi="Times New Roman"/>
          <w:sz w:val="20"/>
          <w:szCs w:val="20"/>
        </w:rPr>
        <w:lastRenderedPageBreak/>
        <w:t xml:space="preserve">infrastructure. All of these enhancements will result in a 1.5 percent increase in annual GDP growth. </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Iqbal et al.,</w:t>
      </w:r>
      <w:r w:rsidR="00A77D41" w:rsidRPr="00B6303E">
        <w:rPr>
          <w:rStyle w:val="FootnoteReference"/>
          <w:rFonts w:ascii="Times New Roman" w:hAnsi="Times New Roman"/>
          <w:sz w:val="20"/>
          <w:szCs w:val="20"/>
          <w:vertAlign w:val="baseline"/>
        </w:rPr>
        <w:fldChar w:fldCharType="begin" w:fldLock="1"/>
      </w:r>
      <w:r w:rsidR="00CA01A3" w:rsidRPr="00B6303E">
        <w:rPr>
          <w:rFonts w:ascii="Times New Roman" w:hAnsi="Times New Roman"/>
          <w:sz w:val="20"/>
          <w:szCs w:val="20"/>
        </w:rPr>
        <w:instrText>ADDIN CSL_CITATION {"citationItems":[{"id":"ITEM-1","itemData":{"ISSN":"1004-2857","author":[{"dropping-particle":"","family":"Iqbal","given":"Sumera","non-dropping-particle":"","parse-names":false,"suffix":""},{"dropping-particle":"","family":"Chu","given":"Jianxun","non-dropping-particle":"","parse-names":false,"suffix":""},{"dropping-particle":"","family":"Hali","given":"Shafei Moiz","non-dropping-particle":"","parse-names":false,"suffix":""}],"container-title":"Chinese Journal of Population Resources and Environment","id":"ITEM-1","issue":"4","issued":{"date-parts":[["2019"]]},"page":"310-321","publisher":"Taylor &amp; Francis","title":"Projecting impact of CPEC on Pakistan’s electric power crisis","type":"article-journal","volume":"17"},"suppress-author":1,"uris":["http://www.mendeley.com/documents/?uuid=eeacfad7-942a-4e48-b70e-2f6c76b1d040"]}],"mendeley":{"formattedCitation":"(2019)","plainTextFormattedCitation":"(2019)","previouslyFormattedCitation":"(2019)"},"properties":{"noteIndex":0},"schema":"https://github.com/citation-style-language/schema/raw/master/csl-citation.json"}</w:instrText>
      </w:r>
      <w:r w:rsidR="00A77D41" w:rsidRPr="00B6303E">
        <w:rPr>
          <w:rStyle w:val="FootnoteReference"/>
          <w:rFonts w:ascii="Times New Roman" w:hAnsi="Times New Roman"/>
          <w:sz w:val="20"/>
          <w:szCs w:val="20"/>
          <w:vertAlign w:val="baseline"/>
        </w:rPr>
        <w:fldChar w:fldCharType="separate"/>
      </w:r>
      <w:r w:rsidR="00CA01A3" w:rsidRPr="00B6303E">
        <w:rPr>
          <w:rStyle w:val="FootnoteReference"/>
          <w:rFonts w:ascii="Times New Roman" w:hAnsi="Times New Roman"/>
          <w:sz w:val="20"/>
          <w:szCs w:val="20"/>
          <w:vertAlign w:val="baseline"/>
        </w:rPr>
        <w:t>(2019)</w:t>
      </w:r>
      <w:r w:rsidR="00A77D41" w:rsidRPr="00B6303E">
        <w:rPr>
          <w:rStyle w:val="FootnoteReference"/>
          <w:rFonts w:ascii="Times New Roman" w:hAnsi="Times New Roman"/>
          <w:sz w:val="20"/>
          <w:szCs w:val="20"/>
          <w:vertAlign w:val="baseline"/>
        </w:rPr>
        <w:fldChar w:fldCharType="end"/>
      </w:r>
      <w:r w:rsidR="00CA01A3" w:rsidRPr="00B6303E">
        <w:rPr>
          <w:rFonts w:ascii="Times New Roman" w:hAnsi="Times New Roman"/>
          <w:sz w:val="20"/>
          <w:szCs w:val="20"/>
        </w:rPr>
        <w:t xml:space="preserve"> investigated 17 works of literature on the CPEC and Pakistan's power sector. They used factors like planning, energy mix, and the electricity supply system. They demonstrated that CPEC is very helpful in resolving Pakistan's energy crisis 82.30%. The studies also showed concerns, including poor planning 47%, an unsustainable energy mix of 64.7%, and dilapidated electricity distribution systems causing losses of 64.7%. China's investment in energy infrastructure will reduce Pakistan's dependency on furnace oil for power generation, reduce the import of oil, alleviate Pakistan's balance of payment restrictions, and make Pakistan's power generation mix quite sustainable. The system of decrepit power, such as electrical power stations, distribution systems, and smart meters of energy, must be upgraded. Additionally, Long-term policy, energy scheduling tools, and foreign direct investment are other key factors for Pakistan.</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CPEC allows Pakistan to manage its energy crises and rebuild its outdated infrastructure. However, suppose proper corrective actions to mitigate environmental risks are not adopted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1614-7499","author":[{"dropping-particle":"","family":"Kouser","given":"Shahzad","non-dropping-particle":"","parse-names":false,"suffix":""},{"dropping-particle":"","family":"Subhan","given":"Abdul","non-dropping-particle":"","parse-names":false,"suffix":""}],"container-title":"Environmental Science and Pollution Research","id":"ITEM-1","issue":"5","issued":{"date-parts":[["2020"]]},"page":"4661-4663","publisher":"Springer","title":"Uncovering pakistan’s environmental risks and remedies under the China-Pakistan economic corridor","type":"article-journal","volume":"27"},"uris":["http://www.mendeley.com/documents/?uuid=2fd4d6e4-e6f1-4346-9e22-51cafb7872e0"]}],"mendeley":{"formattedCitation":"(Kouser &amp; Subhan, 2020)","plainTextFormattedCitation":"(Kouser &amp; Subhan, 2020)","previouslyFormattedCitation":"(Kouser &amp; Subhan, 2020)"},"properties":{"noteIndex":0},"schema":"https://github.com/citation-style-language/schema/raw/master/csl-citation.json"}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(Kouser &amp; Subhan, 2020)</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In that case, Pakistan would be one of the top emitters of CO2, and its position in the global climate risk index will deteriorate after the project is done. As a result, assessing the potential environmental consequences of CPEC projects in terms of energy, infrastructure, and transportation is critical. In addition, scientists from both countries should work together to manage the environmental consequences of CPEC projects.</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Ali et al.,</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2330-7706","author":[{"dropping-particle":"","family":"Ali","given":"Yousaf","non-dropping-particle":"","parse-names":false,"suffix":""},{"dropping-particle":"","family":"Rasheed","given":"Zaeem","non-dropping-particle":"","parse-names":false,"suffix":""},{"dropping-particle":"","family":"Muhammad","given":"Noor","non-dropping-particle":"","parse-names":false,"suffix":""},{"dropping-particle":"","family":"Yousaf","given":"Salman","non-dropping-particle":"","parse-names":false,"suffix":""}],"container-title":"Journal of Control and Decision","id":"ITEM-1","issue":"2","issued":{"date-parts":[["2018"]]},"page":"129-147","publisher":"Taylor &amp; Francis","title":"Energy optimization in the wake of China Pakistan Economic Corridor (CPEC)","type":"article-journal","volume":"5"},"suppress-author":1,"uris":["http://www.mendeley.com/documents/?uuid=40e22113-e98b-4dca-955e-c763917e87b2"]}],"mendeley":{"formattedCitation":"(2018)","plainTextFormattedCitation":"(2018)","previouslyFormattedCitation":"(2018)"},"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(2018)</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developed a method based to assist the Pakistani government in determining which CPEC energy priority projects should be performed in the first wave of development. The second section of the study advises small/medium-sized industry and company owners on how to choose the best available solution for addressing the energy shortage while CPEC projects are being completed.  the data demonstrate a gradual decline in the gap, which will reach zero in the year 2019. Agriculture, manufacturing, and service sector losses have been steadily declining over the years but will not approach zero in the next four years. This is evident from the tertiary analysis, which indicates a high dependency on energy shortages for key economic indicators including the industrial, agricultural, and service sectors. In addition, Pakistan's biggest industry, textiles, is examined, and it is concluded that the huge damage to this sector, </w:t>
      </w:r>
      <w:r w:rsidR="00CA01A3" w:rsidRPr="00B6303E">
        <w:rPr>
          <w:rFonts w:ascii="Times New Roman" w:hAnsi="Times New Roman"/>
          <w:sz w:val="20"/>
          <w:szCs w:val="20"/>
        </w:rPr>
        <w:lastRenderedPageBreak/>
        <w:t>estimated in billions of PKR, might be significantly reduced by lowering power losses.</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Pakistan has had major energy crises as a result of population increase and industrial demand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Abid","given":"Massarrat","non-dropping-particle":"","parse-names":false,"suffix":""},{"dropping-particle":"","family":"Ashfaq","given":"Ayesha","non-dropping-particle":"","parse-names":false,"suffix":""}],"container-title":"Journal of Pakistan Vision","id":"ITEM-1","issue":"2","issued":{"date-parts":[["2015"]]},"page":"142-169","title":"CPEC: Challenges and opportunities for Pakistan","type":"article-journal","volume":"16"},"uris":["http://www.mendeley.com/documents/?uuid=533f5434-4650-401f-a4ab-f2f6f4c5354b"]}],"mendeley":{"formattedCitation":"(Abid &amp; Ashfaq, 2015)","plainTextFormattedCitation":"(Abid &amp; Ashfaq, 2015)","previouslyFormattedCitation":"(Abid &amp; Ashfaq, 2015)"},"properties":{"noteIndex":0},"schema":"https://github.com/citation-style-language/schema/raw/master/csl-citation.json"}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(Abid &amp; Ashfaq, 2015)</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To develop proposals for policymakers in Pakistan to take dramatic actions to effectively address the country's energy crisis, it's necessary first to identify all of the most critical characteristics that affect the economy and residents' lives. The main reason for Pakistan's poor energy generation is an exponentially growing demand for power, political instability, and a lack of efficiency.</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Asif,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{"citationItems":[{"id":"ITEM-1","itemData":{"author":[{"dropping-particle":"","family":"Asif","given":"Muhammad","non-dropping-particle":"","parse-names":false,"suffix":""}],"container-title":"OUP Catalogue","id":"ITEM-1","issued":{"date-parts":[["2012"]]},"publisher":"Oxford University Press","title":"Energy crisis in Pakistan: origins, challenges, and sustainable solutions","type":"article-journal"},"suppress-author":1,"uris":["http://www.mendeley.com/documents/?uuid=1c16f032-ff5c-4350-a143-dddee890935c"]}],"mendeley":{"formattedCitation":"(2012)","plainTextFormattedCitation":"(2012)","previouslyFormattedCitation":"(2012)"},"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(2012)</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concluded that no meaningful solution to the problem has yet been developed. It continues to torture citizens because power is one of the most necessities in this age of contemporary technology. Power outages and load shedding (planned blackouts) are widespread in Pakistan, particularly in its main cities. WAPDA and KESC have been unable to solve the issue, which reveals the state's system's failure</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{"citationItems":[{"id":"ITEM-1","itemData":{"ISSN":"1364-0321","author":[{"dropping-particle":"","family":"Awan","given":"Ahmad Bilal","non-dropping-particle":"","parse-names":false,"suffix":""},{"dropping-particle":"","family":"Khan","given":"Zeeshan Ali","non-dropping-particle":"","parse-names":false,"suffix":""}],"container-title":"Renewable and Sustainable Energy Reviews","id":"ITEM-1","issued":{"date-parts":[["2014"]]},"page":"236-253","publisher":"Elsevier","title":"Recent progress in renewable energy–Remedy of energy crisis in Pakistan","type":"article-journal","volume":"33"},"uris":["http://www.mendeley.com/documents/?uuid=fd15d327-e9e9-47b9-94e7-1e81ad6f4138"]}],"mendeley":{"formattedCitation":"(Awan &amp; Khan, 2014)","plainTextFormattedCitation":"(Awan &amp; Khan, 2014)","previouslyFormattedCitation":"(Awan &amp; Khan, 2014)"},"properties":{"noteIndex":0},"schema":"https://github.com/citation-style-language/schema/raw/master/csl-citation.json"}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(Awan &amp; Khan, 2014)</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Several studies have indicated that with rising industrial expansion and household demand owing to rising per capita income, the essential criteria to consider include capacity, cost, installation time, environmental, health, and safety concerns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{"citationItems":[{"id":"ITEM-1","itemData":{"author":[{"dropping-particle":"","family":"Farooqui","given":"Rizwan U","non-dropping-particle":"","parse-names":false,"suffix":""},{"dropping-particle":"","family":"Arif","given":"Farrukh","non-dropping-particle":"","parse-names":false,"suffix":""},{"dropping-particle":"","family":"Rafeeqi","given":"S F A","non-dropping-particle":"","parse-names":false,"suffix":""}],"container-title":"First International Conference on Construction In Developing Countries, Karachi, Pakistan","id":"ITEM-1","issue":"2","issued":{"date-parts":[["2008"]]},"page":"74-87","title":"Safety performance in construction industry of Pakistan","type":"paper-conference","volume":"2"},"uris":["http://www.mendeley.com/documents/?uuid=61b5e49b-82bf-41c0-9810-2118fa91c5e3"]}],"mendeley":{"formattedCitation":"(Farooqui et al., 2008)","plainTextFormattedCitation":"(Farooqui et al., 2008)","previouslyFormattedCitation":"(Farooqui et al., 2008)"},"properties":{"noteIndex":0},"schema":"https://github.com/citation-style-language/schema/raw/master/csl-citation.json"}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(Farooqui et al., 2008)</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According to Shaalan,</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{"citationItems":[{"id":"ITEM-1","itemData":{"author":[{"dropping-particle":"","family":"Shaalan","given":"Hesham E","non-dropping-particle":"","parse-names":false,"suffix":""}],"container-title":"Handbook of Electric Power Calculations","id":"ITEM-1","issued":{"date-parts":[["2003"]]},"page":"1-38","publisher":"McGraw-Hill","title":"Generation of electric power","type":"article-journal"},"suppress-author":1,"uris":["http://www.mendeley.com/documents/?uuid=5f3c3445-2fd5-442a-bbd2-db550675f422"]}],"mendeley":{"formattedCitation":"(2003)","plainTextFormattedCitation":"(2003)","previouslyFormattedCitation":"(2003)"},"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(2003)</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the power plant's location is the most important factor because it determines how far energy must be transported in bulk and whether transmission lines are accessible. Similarly, Akber,</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{"citationItems":[{"id":"ITEM-1","itemData":{"author":[{"dropping-particle":"","family":"Akber","given":"A L I","non-dropping-particle":"","parse-names":false,"suffix":""}],"container-title":"International Journal of Social Sciences and Humanity Studies","id":"ITEM-1","issue":"1","issued":{"date-parts":[["2015"]]},"page":"1-15","title":"China Pakistan Economic Corridor (CPEC): Prospects and challenges for regional integeration","type":"article-journal","volume":"7"},"suppress-author":1,"uris":["http://www.mendeley.com/documents/?uuid=3e901055-3f1e-4507-8475-bc64a16d3ab1"]}],"mendeley":{"formattedCitation":"(2015)","plainTextFormattedCitation":"(2015)","previouslyFormattedCitation":"(2015)"},"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(2015)</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revealed that the initial phase of China’s generated funds would support around 22 energy projects as part of CPEC. Since the power projects are of diverse capacity and type, policymakers resolve to decide where to launch these plants.</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Haq,</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0030-9729","author":[{"dropping-particle":"","family":"Haq","given":"Rashida","non-dropping-particle":"","parse-names":false,"suffix":""},{"dropping-particle":"","family":"Farooq","given":"Nadia","non-dropping-particle":"","parse-names":false,"suffix":""}],"container-title":"The Pakistan Development Review","id":"ITEM-1","issued":{"date-parts":[["2016"]]},"page":"597-618","publisher":"JSTOR","title":"Impact of CPEC on social welfare in Pakistan: A district level analysis","type":"article-journal"},"suppress-author":1,"uris":["http://www.mendeley.com/documents/?uuid=36508242-672b-4fb3-a45e-86c9f5d1d216"]}],"mendeley":{"formattedCitation":"(2016)","plainTextFormattedCitation":"(2016)","previouslyFormattedCitation":"(2016)"},"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(2016)</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investigates the effects of CPEC on social welfare in Pakistan at the local level. A district-level analysis is done using data from the tenth round of the Pakistan Social and Living Standards Measurement (PSLM) Survey 2014-15 to investigate the socio-economic welfare impact of CPEC projects in different regions of Pakistan</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0030-9729","author":[{"dropping-particle":"","family":"Haq","given":"Rashida","non-dropping-particle":"","parse-names":false,"suffix":""},{"dropping-particle":"","family":"Farooq","given":"Nadia","non-dropping-particle":"","parse-names":false,"suffix":""}],"container-title":"The Pakistan Development Review","id":"ITEM-1","issued":{"date-parts":[["2016"]]},"page":"597-618","publisher":"JSTOR","title":"Impact of CPEC on social welfare in Pakistan: A district level analysis","type":"article-journal"},"uris":["http://www.mendeley.com/documents/?uuid=36508242-672b-4fb3-a45e-86c9f5d1d216"]}],"mendeley":{"formattedCitation":"(Haq &amp; Farooq, 2016)","plainTextFormattedCitation":"(Haq &amp; Farooq, 2016)","previouslyFormattedCitation":"(Haq &amp; Farooq, 2016)"},"properties":{"noteIndex":0},"schema":"https://github.com/citation-style-language/schema/raw/master/csl-citation.json"}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(Haq &amp; Farooq, 2016)</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There are 5428 sample blocks in the survey (Primary Sampling Units) as well as 81992 families (Secondary Sampling Units), which is required to generate trustworthy district-level findings. In this study, 78,635 families across the country were surveyed, and data on a variety of social problems was obtained from them. The primary focus of the study was on the major areas of education, health (including a child), maternal health, and housing problems. The majority of plant locations are being constructed in specific regions, </w:t>
      </w:r>
      <w:r w:rsidR="00CA01A3" w:rsidRPr="00B6303E">
        <w:rPr>
          <w:rFonts w:ascii="Times New Roman" w:hAnsi="Times New Roman"/>
          <w:sz w:val="20"/>
          <w:szCs w:val="20"/>
        </w:rPr>
        <w:lastRenderedPageBreak/>
        <w:t>including a region with the largest population size. It is proposed that such facilities will lead to an unequal distribution of opportunities for other country regions. Afzal,</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{"citationItems":[{"id":"ITEM-1","itemData":{"author":[{"dropping-particle":"","family":"Afzal","given":"Husnain","non-dropping-particle":"","parse-names":false,"suffix":""}],"container-title":"Virtual University of Pakistan Working Paper","id":"ITEM-1","issued":{"date-parts":[["2008"]]},"page":"1-37","title":"Electricity Shortage in Pakistan in Comparison with Air Conditioners Imported and Produced in 2005-06","type":"article-journal"},"suppress-author":1,"uris":["http://www.mendeley.com/documents/?uuid=04994313-8f45-4f4f-a866-7cc22c5dcfeb"]}],"mendeley":{"formattedCitation":"(2008)","plainTextFormattedCitation":"(2008)","previouslyFormattedCitation":"(2008)"},"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(2008)</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established that the increasing demand for electrical energy caused by the extraordinary energy crisis in Pakistan is explicitly represented in the research.</w:t>
      </w:r>
    </w:p>
    <w:p w:rsidR="00463622" w:rsidRDefault="00B6303E"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Pr>
          <w:rFonts w:ascii="Times New Roman" w:hAnsi="Times New Roman"/>
          <w:sz w:val="20"/>
          <w:szCs w:val="20"/>
        </w:rPr>
        <w:t xml:space="preserve"> </w:t>
      </w:r>
      <w:r w:rsidR="00CA01A3" w:rsidRPr="00B6303E">
        <w:rPr>
          <w:rFonts w:ascii="Times New Roman" w:hAnsi="Times New Roman"/>
          <w:sz w:val="20"/>
          <w:szCs w:val="20"/>
        </w:rPr>
        <w:t xml:space="preserve"> Avais et al.,</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{"citationItems":[{"id":"ITEM-1","itemData":{"ISSN":"2227-7927","author":[{"dropping-particle":"","family":"Avais","given":"Mr Muhammad Abdullah","non-dropping-particle":"","parse-names":false,"suffix":""},{"dropping-particle":"","family":"Shaikh","given":"Ms Saima","non-dropping-particle":"","parse-names":false,"suffix":""},{"dropping-particle":"","family":"Mahesar","given":"Hakim Ali","non-dropping-particle":"","parse-names":false,"suffix":""},{"dropping-particle":"","family":"Memon","given":"Ms Fehmida","non-dropping-particle":"","parse-names":false,"suffix":""}],"container-title":"The Government-Annual Research Journal of Political Science.","id":"ITEM-1","issue":"5","issued":{"date-parts":[["2016"]]},"title":"China-Pak Economic Corridor: Social Analysis for Pakistan","type":"article-journal","volume":"5"},"suppress-author":1,"uris":["http://www.mendeley.com/documents/?uuid=2cbd90b3-e915-4e28-a87b-b054f6021d43"]}],"mendeley":{"formattedCitation":"(2016)","plainTextFormattedCitation":"(2016)","previouslyFormattedCitation":"(2016)"},"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(2016)</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on the other side, CPEC is expected to have the ability to help solve the energy crisis if energy projects are developed promptly with sufficiently short-term solutions. For the socio-economic improvement of the population in all Pakistan provinces, the best location of power and industrial projects is crucial.</w:t>
      </w:r>
    </w:p>
    <w:p w:rsidR="00E82F77" w:rsidRP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outlineLvl w:val="0"/>
        <w:rPr>
          <w:rFonts w:ascii="Times New Roman" w:hAnsi="Times New Roman"/>
          <w:b/>
          <w:color w:val="FF0000"/>
          <w:sz w:val="20"/>
          <w:szCs w:val="20"/>
        </w:rPr>
      </w:pPr>
      <w:r w:rsidRPr="00B6303E">
        <w:rPr>
          <w:rFonts w:ascii="Times New Roman" w:hAnsi="Times New Roman"/>
          <w:b/>
          <w:sz w:val="20"/>
          <w:szCs w:val="20"/>
        </w:rPr>
        <w:t>2.2 FDI as a Source of Technology</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More research has specifically highlighted FDI as a cause of technology transfer.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{"citationItems":[{"id":"ITEM-1","itemData":{"ISSN":"0143-6597","author":[{"dropping-particle":"","family":"Lall","given":"Sanjaya","non-dropping-particle":"","parse-names":false,"suffix":""}],"container-title":"Third World Quarterly","id":"ITEM-1","issue":"1","issued":{"date-parts":[["1993"]]},"page":"95-108","publisher":"Taylor &amp; Francis","title":"Promoting technology development: the role of technology transfer and indigenous effort","type":"article-journal","volume":"14"},"uris":["http://www.mendeley.com/documents/?uuid=82fbcaba-b21c-46d6-8ee7-3f2c189046fc"]}],"mendeley":{"formattedCitation":"(Lall, 1993)","plainTextFormattedCitation":"(Lall, 1993)","previouslyFormattedCitation":"(Lall, 1993)"},"properties":{"noteIndex":0},"schema":"https://github.com/citation-style-language/schema/raw/master/csl-citation.json"}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(Lall, 1993)</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indicates that FDI is the most common method of transferring resources and technology from developed to underdeveloped countries. 'It's the most comprehensive type of technology transfer, combining cash with technical expertise, equipment management, marketing, and other capabilities.'</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{"citationItems":[{"id":"ITEM-1","itemData":{"ISSN":"0143-6597","author":[{"dropping-particle":"","family":"Lall","given":"Sanjaya","non-dropping-particle":"","parse-names":false,"suffix":""}],"container-title":"Third World Quarterly","id":"ITEM-1","issue":"1","issued":{"date-parts":[["1993"]]},"page":"95-108","publisher":"Taylor &amp; Francis","title":"Promoting technology development: the role of technology transfer and indigenous effort","type":"article-journal","volume":"14"},"uris":["http://www.mendeley.com/documents/?uuid=82fbcaba-b21c-46d6-8ee7-3f2c189046fc"]}],"mendeley":{"formattedCitation":"(Lall, 1993)","plainTextFormattedCitation":"(Lall, 1993)","previouslyFormattedCitation":"(Lall, 1993)"},"properties":{"noteIndex":0},"schema":"https://github.com/citation-style-language/schema/raw/master/csl-citation.json"}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(Lall, 1993)</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Therefore, technology transfer encompasses not just the transfer of equipment, but also the transfer of vital know-how and other intangible skills required to successfully manage and utilize technology.</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There is a considerable field of research that investigates the influence of Foreign Direct Investment (FDI) and multinational companies (MNCs) on the capacities of domestic enterprises. However, given the large theoretical support for positive spillover and information transfer from overseas to local companies, empirical research has produced conflicting findings. Some studies indicate that FDI has a beneficial influence on domestic company productivity and performance, indicating that firms are learning and implementing improved production methods. Some studies indicate that FDI has a beneficial influence on domestic company productivity and performance, indicating that firms are learning and implementing improved production methods.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{"citationItems":[{"id":"ITEM-1","itemData":{"author":[{"dropping-particle":"","family":"Kazmi","given":"Syed Twangar Hussain","non-dropping-particle":"","parse-names":false,"suffix":""}],"container-title":"The Pakistan Development Review","id":"ITEM-1","issued":{"date-parts":[["2016"]]},"page":"619-631","title":"China's Journey in Renewable Energy and Its Potential Spillover Effects through the CPEC in Pakistan on JSTOR","type":"article-journal"},"uris":["http://www.mendeley.com/documents/?uuid=ec395e9c-d04b-376f-9ded-b8f2abddca35"]}],"mendeley":{"formattedCitation":"(Kazmi, 2016b)","plainTextFormattedCitation":"(Kazmi, 2016b)","previouslyFormattedCitation":"(Kazmi, 2016b)"},"properties":{"noteIndex":0},"schema":"https://github.com/citation-style-language/schema/raw/master/csl-citation.json"}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(Kazmi, 2016b)</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w:t>
      </w:r>
    </w:p>
    <w:p w:rsidR="00463622" w:rsidRDefault="00B6303E" w:rsidP="00E82F77">
      <w:pPr>
        <w:adjustRightInd w:val="0"/>
        <w:snapToGrid w:val="0"/>
        <w:spacing w:after="0" w:line="240" w:lineRule="auto"/>
        <w:ind w:firstLine="720"/>
        <w:jc w:val="both"/>
        <w:rPr>
          <w:rFonts w:ascii="Times New Roman" w:eastAsiaTheme="minorEastAsia" w:hAnsi="Times New Roman"/>
          <w:sz w:val="20"/>
          <w:szCs w:val="20"/>
          <w:lang w:eastAsia="zh-CN"/>
        </w:rPr>
      </w:pPr>
      <w:r>
        <w:rPr>
          <w:rFonts w:ascii="Times New Roman" w:hAnsi="Times New Roman"/>
          <w:sz w:val="20"/>
          <w:szCs w:val="20"/>
        </w:rPr>
        <w:t xml:space="preserve"> </w:t>
      </w:r>
      <w:r w:rsidR="00CA01A3" w:rsidRPr="00B6303E">
        <w:rPr>
          <w:rFonts w:ascii="Times New Roman" w:hAnsi="Times New Roman"/>
          <w:sz w:val="20"/>
          <w:szCs w:val="20"/>
        </w:rPr>
        <w:t xml:space="preserve"> Many studies, on the other hand, have thrown into doubt the transfer of technology and know-how between foreign businesses and their subsidiary</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{"citationItems":[{"id":"ITEM-1","itemData":{"ISSN":"0012-155X","author":[{"dropping-particle":"","family":"Giuliani","given":"Elisa","non-dropping-particle":"","parse-names":false,"suffix":""}],"container-title":"Development and Change","id":"ITEM-1","issue":"3","issued":{"date-parts":[["2008"]]},"page":"385-407","publisher":"Wiley Online Library","title":"Multinational Corporations and Patterns of Local Knowledge Transfer in Costa Rican High‐Tech Industries","type":"article-journal","volume":"39"},"uris":["http://www.mendeley.com/documents/?uuid=23fb85a6-c594-4b6d-9eb5-7611f3ade2de"]}],"mendeley":{"formattedCitation":"(Giuliani, 2008)","plainTextFormattedCitation":"(Giuliani, 2008)","previouslyFormattedCitation":"(Giuliani, 2008)"},"properties":{"noteIndex":0},"schema":"https://github.com/citation-style-language/schema/raw/master/csl-citation.json"}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(Giuliani, 2008)</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They have emphasized the need of governments concentrating on increasing the local knowledge base rather than depending on horizontal and backward connections to upgrade local companies.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{"citationItems":[{"id":"ITEM-1","itemData":{"author":[{"dropping-particle":"","family":"Kazmi","given":"Syed Twangar Hussain","non-dropping-particle":"","parse-names":false,"suffix":""}],"container-title":"The Pakistan Development Review","id":"ITEM-1","issued":{"date-parts":[["2016"]]},"page":"619-631","title":"China's Journey in Renewable Energy and Its Potential Spillover Effects through the CPEC in Pakistan on JSTOR","type":"article-journal"},"uris":["http://www.mendeley.com/documents/?uuid=ec395e9c-d04b-376f-9ded-b8f2abddca35"]}],"mendeley":{"formattedCitation":"(Kazmi, 2016b)","plainTextFormattedCitation":"(Kazmi, 2016b)","previouslyFormattedCitation":"(Kazmi, 2016b)"},"properties":{"noteIndex":0},"schema":"https://github.com/citation-style-language/schema/raw/master/csl-citation.json"}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(Kazmi, 2016b)</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evaluated panel data on Venezuelan plants and observed that overseas investment in manufacturing had an adverse impact </w:t>
      </w:r>
      <w:r w:rsidR="00CA01A3" w:rsidRPr="00B6303E">
        <w:rPr>
          <w:rFonts w:ascii="Times New Roman" w:hAnsi="Times New Roman"/>
          <w:sz w:val="20"/>
          <w:szCs w:val="20"/>
        </w:rPr>
        <w:lastRenderedPageBreak/>
        <w:t xml:space="preserve">on the local productivity of the company. Haddad and Harrison (1991 and 1993) According to the findings of Moroccan manufacturing research, spillovers do not take place in all industrial sectors. Finds that foreign presence does not result in technological spillovers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Blomström","given":"Magnus","non-dropping-particle":"","parse-names":false,"suffix":""},{"dropping-particle":"","family":"Kokko","given":"Ari","non-dropping-particle":"","parse-names":false,"suffix":""}],"id":"ITEM-1","issued":{"date-parts":[["2003"]]},"publisher":"Centre for Economic Policy Research London","title":"Human capital and inward FDI","type":"book","volume":"3762"},"uris":["http://www.mendeley.com/documents/?uuid=8e6d495c-e2fa-49eb-8e33-3c543ac4662d"]}],"mendeley":{"formattedCitation":"(Blomström &amp; Kokko, 2003)","plainTextFormattedCitation":"(Blomström &amp; Kokko, 2003)","previouslyFormattedCitation":"(Blomström &amp; Kokko, 2003)"},"properties":{"noteIndex":0},"schema":"https://github.com/citation-style-language/schema/raw/master/csl-citation.json"}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(Blomström &amp; Kokko, 2003)</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w:t>
      </w:r>
    </w:p>
    <w:p w:rsidR="00E82F77" w:rsidRPr="00B6303E" w:rsidRDefault="00E82F77" w:rsidP="00E82F77">
      <w:pPr>
        <w:adjustRightInd w:val="0"/>
        <w:snapToGrid w:val="0"/>
        <w:spacing w:after="0" w:line="240" w:lineRule="auto"/>
        <w:ind w:firstLine="720"/>
        <w:jc w:val="both"/>
        <w:rPr>
          <w:rFonts w:ascii="Times New Roman" w:eastAsiaTheme="minorEastAsia" w:hAnsi="Times New Roman"/>
          <w:sz w:val="20"/>
          <w:szCs w:val="20"/>
          <w:lang w:eastAsia="zh-CN"/>
        </w:rPr>
      </w:pPr>
    </w:p>
    <w:p w:rsidR="00463622" w:rsidRPr="00B6303E" w:rsidRDefault="00CA01A3" w:rsidP="00E82F77">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t>2.3 Impact of GDP growth on Energy Consumption</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bCs/>
          <w:sz w:val="20"/>
          <w:szCs w:val="20"/>
        </w:rPr>
        <w:t>O. Khan et al,</w:t>
      </w:r>
      <w:r w:rsidR="00CA01A3" w:rsidRPr="00B6303E">
        <w:rPr>
          <w:rFonts w:ascii="Times New Roman" w:hAnsi="Times New Roman"/>
          <w:sz w:val="20"/>
          <w:szCs w:val="20"/>
        </w:rPr>
        <w:t xml:space="preserve">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{"citationItems":[{"id":"ITEM-1","itemData":{"DOI":"10.18488/journal.82.2019.61.30.51","abstract":"Article History Energy arguably plays a substantial part in the economic growth process. In this paper, we examine the intertemporal causal relationship between energy consumption and economic growth in Pakistan during the period of 1985-2017. Unlike the majority of the previous studies, we employ the newly developed autoregressive distributed lag (ARDL)-bounds testing approach by Pesaran et al. (2001) to examine this association. It is an attempt to explore the long run ties for energy consumption and energy intensity with economic growth, urbanization, trade openness, and financial development. Results postulate that the trade openness has a positive impact on energy consumption while urbanization and financial development have a negative influence. As far as sectoral analysis is concerned, agriculture and manufacturing share has a positive imprint on energy while the services sector has a negative effect. Overall, the study finds that energy consumption spurs economic growth in Pakistan. The findings have practical policy implications for decision makers in the area of macroeconomic planning. Contribution/ Originality: This study is one of very few studies which have investigated the dynamics of the sector-wise impact of the economy on energy consumption. To make the paper more inclusive, effects of trade openness is checked with the help of different dimensions of trade openness; scale effect, technique effect, composition effect, and comparative advantage effect.","author":[{"dropping-particle":"","family":"Khan","given":"Oshin","non-dropping-particle":"","parse-names":false,"suffix":""},{"dropping-particle":"","family":"Muhammad","given":"1+","non-dropping-particle":"","parse-names":false,"suffix":""},{"dropping-particle":"","family":"Younas","given":"Zeeshan","non-dropping-particle":"","parse-names":false,"suffix":""}],"container-title":"Energy Economics Letters","id":"ITEM-1","issued":{"date-parts":[["2019"]]},"title":"INTERACTION BETWEEN ENERGY CONSUMPTION AND ECONOMIC GROWTH IN PAKISTAN: A MORE COMPREHENSIVE ANALYSIS USING ARDL APPROACH","type":"article-journal","volume":"6, No. 1, "},"suppress-author":1,"uris":["http://www.mendeley.com/documents/?uuid=292582c2-f27e-33fe-a840-f5e7d9953b2c"]}],"mendeley":{"formattedCitation":"(2019)","plainTextFormattedCitation":"(2019)","previouslyFormattedCitation":"(2019)"},"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(2019)</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investigated the link between energy usage economic development in Pakistan from 1985 to 2017. They used the ARDL-bounds testing technique and predicted that trade openness has an attractive impact on electricity while population and generating income have a negative impact. In concepts of sectoral analysis, agriculture and manufacturing have a beneficial impact on energy, but the services sector has a negative impact. Overall, the study found that increased energy consumption strengthens economic growth in Pakistan.</w:t>
      </w:r>
    </w:p>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Aqeel &amp; Butt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{"citationItems":[{"id":"ITEM-1","itemData":{"author":[{"dropping-particle":"","family":"Aqeel","given":"Anjum","non-dropping-particle":"","parse-names":false,"suffix":""},{"dropping-particle":"","family":"Butt","given":"Mohammad Sabihuddin","non-dropping-particle":"","parse-names":false,"suffix":""}],"container-title":"Asia-Pacific Development Journal","id":"ITEM-1","issue":"2","issued":{"date-parts":[["2001"]]},"page":"101-110","title":"The relationship between energy consumption and economic growth in Pakistan","type":"article-journal","volume":"8"},"suppress-author":1,"uris":["http://www.mendeley.com/documents/?uuid=75afc785-ebe3-4840-a7ce-efc3320f0a1f"]}],"mendeley":{"formattedCitation":"(2001)","plainTextFormattedCitation":"(2001)","previouslyFormattedCitation":"(Aqeel &amp; Butt, 2001)"},"properties":{"noteIndex":0},"schema":"https://github.com/citation-style-language/schema/raw/master/csl-citation.json"}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(2001)</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examine the relationship between energy use and economic growth and employment in Pakistan. Co-integration and Hsiao's Granger causality were utilized as methodologies. The studies show that overall energy consumption, as well as petroleum use, is driven by economic development.</w:t>
      </w:r>
    </w:p>
    <w:p w:rsidR="00463622" w:rsidRDefault="00B6303E"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Pr>
          <w:rFonts w:ascii="Times New Roman" w:hAnsi="Times New Roman"/>
          <w:sz w:val="20"/>
          <w:szCs w:val="20"/>
        </w:rPr>
        <w:t xml:space="preserve"> </w:t>
      </w:r>
      <w:r w:rsidR="00CA01A3" w:rsidRPr="00B6303E">
        <w:rPr>
          <w:rFonts w:ascii="Times New Roman" w:hAnsi="Times New Roman"/>
          <w:sz w:val="20"/>
          <w:szCs w:val="20"/>
        </w:rPr>
        <w:t xml:space="preserve"> In a summary, following a detailed examination of a multitude of CPEC literature. Much farther, not single research has been conducted to investigate experimentally future energy use in Pakistan, particularly under the direction and supervision of CPEC.  In this study, we think about the impact of electricity prices, GDP, FDI, and trade openness on aggregates energy consumption as well as sectors consumption, i.e., industrial, and commercial usage, in Pakistan. </w:t>
      </w:r>
    </w:p>
    <w:p w:rsidR="00E82F77" w:rsidRP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3. Methodology</w:t>
      </w:r>
    </w:p>
    <w:p w:rsidR="00463622" w:rsidRDefault="00B6303E"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Pr>
          <w:rFonts w:ascii="Times New Roman" w:hAnsi="Times New Roman"/>
          <w:color w:val="FF0000"/>
          <w:sz w:val="20"/>
          <w:szCs w:val="20"/>
        </w:rPr>
        <w:t xml:space="preserve"> </w:t>
      </w:r>
      <w:r w:rsidR="00CA01A3" w:rsidRPr="00B6303E">
        <w:rPr>
          <w:rFonts w:ascii="Times New Roman" w:hAnsi="Times New Roman"/>
          <w:color w:val="FF0000"/>
          <w:sz w:val="20"/>
          <w:szCs w:val="20"/>
        </w:rPr>
        <w:t xml:space="preserve"> </w:t>
      </w:r>
      <w:r w:rsidR="00CA01A3" w:rsidRPr="00B6303E">
        <w:rPr>
          <w:rFonts w:ascii="Times New Roman" w:hAnsi="Times New Roman"/>
          <w:sz w:val="20"/>
          <w:szCs w:val="20"/>
        </w:rPr>
        <w:t xml:space="preserve">In this research work we implemented a modified version of the Impact Population Affluence Technology (IPAT) model to evaluate the underlying causes of Pakistan's overall and sector-specific energy consumption. Biologists, conservationists, and ecologists developed the IPAT model in 1970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{"citationItems":[{"id":"ITEM-1","itemData":{"ISSN":"1074-4827","author":[{"dropping-particle":"","family":"Dietz","given":"Thomas","non-dropping-particle":"","parse-names":false,"suffix":""},{"dropping-particle":"","family":"Rosa","given":"Eugene A","non-dropping-particle":"","parse-names":false,"suffix":""}],"container-title":"Human ecology review","id":"ITEM-1","issue":"2","issued":{"date-parts":[["1994"]]},"page":"277-300","publisher":"JSTOR","title":"Rethinking the environmental impacts of population, affluence and technology","type":"article-journal","volume":"1"},"uris":["http://www.mendeley.com/documents/?uuid=2d2251fc-36a0-4654-ba17-52d0c9ad8eed"]}],"mendeley":{"formattedCitation":"(Dietz &amp; Rosa, 1994)","plainTextFormattedCitation":"(Dietz &amp; Rosa, 1994)","previouslyFormattedCitation":"(Dietz &amp; Rosa, 1994)"},"properties":{"noteIndex":0},"schema":"https://github.com/citation-style-language/schema/raw/master/csl-citation.json"}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(Dietz &amp; Rosa, 1994)</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It’s a widely used framework for analyzing and forecasting the interactions among humans and the environment. The IPAT method may not only complete a quantitative analysis of the environmental implications of population, economics, and technology, but it may also replicate economic, social, and other elements of development.</w:t>
      </w:r>
    </w:p>
    <w:p w:rsid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Pr="00E82F77"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lastRenderedPageBreak/>
        <w:t xml:space="preserve">3.1 Data and data sources </w:t>
      </w:r>
    </w:p>
    <w:p w:rsidR="00463622" w:rsidRDefault="00B6303E"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Pr>
          <w:rFonts w:ascii="Times New Roman" w:hAnsi="Times New Roman"/>
          <w:sz w:val="20"/>
          <w:szCs w:val="20"/>
        </w:rPr>
        <w:t xml:space="preserve"> </w:t>
      </w:r>
      <w:r w:rsidR="00CA01A3" w:rsidRPr="00B6303E">
        <w:rPr>
          <w:rFonts w:ascii="Times New Roman" w:hAnsi="Times New Roman"/>
          <w:sz w:val="20"/>
          <w:szCs w:val="20"/>
        </w:rPr>
        <w:t xml:space="preserve"> The major goal of this research is to forecast Pakistan's future power usage at the national and departmental levels from the perspective of the CPEC scenario. Due to data availability and the fact that these two sectors would be closely connected to CPEC growth, we targeted our research on the industrial and commercial sectors. Time series data from 1981 to 2019 were used in the research. Data on sector-specific and aggregate energy usage was gathered from multiple publications of Pakistan's energy yearbooks and is measured in tons of oil equivalents (TOE). We developed fractional power prices as a measure for power bills, so we used Ref.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URL":"https://ntdc.gov.pk/careers","accessed":{"date-parts":[["2021","7","26"]]},"author":[{"dropping-particle":"","family":"NTDC","given":"","non-dropping-particle":"","parse-names":false,"suffix":""}],"id":"ITEM-1","issued":{"date-parts":[["2020"]]},"title":"NATIONAL TRANSMISSION &amp; DESPATCH COMPANY LIMITED (NTDC) PAKISTAN","type":"webpage"},"uris":["http://www.mendeley.com/documents/?uuid=ee424a62-fa6d-3cf1-874f-74bfe963866e"]}],"mendeley":{"formattedCitation":"(NTDC, 2020)","plainTextFormattedCitation":"(NTDC, 2020)","previouslyFormattedCitation":"(NTDC, 2020)"},"properties":{"noteIndex":0},"schema":"https://github.com/citation-style-language/schema/raw/master/csl-citation.json"}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(NTDC, 2020)</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to get the sector individual and aggregate electricity prices. Electricity bills are calculated as a Paisa/kWh weighted aggregate of WAPDA and KESC. World Bank Development Indicators provided information on GDP, industry revenue generation, and aggregate trade openness. Data on net inflows of foreign direct investment in US dollars has also been gathered and translated to the country's currency units by World Development Indicators (WDI). The statistical results of the variables are given in Table 3.</w:t>
      </w:r>
    </w:p>
    <w:p w:rsidR="00E82F77" w:rsidRP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t>3.2 Proposed Model</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IPAT is a multiplicative approximation of the impact (I) of the population (P), affluence (A), and technology (T) on the environment; Where affluence indicates economic growth per capita, and technology signifies the impact per unit of economic activity as represented in Eq (1). The values of I, P, and A can be used to determine technology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{"citationItems":[{"id":"ITEM-1","itemData":{"author":[{"dropping-particle":"","family":"Ehrlich","given":"Paul R","non-dropping-particle":"","parse-names":false,"suffix":""},{"dropping-particle":"","family":"Holdren","given":"John P","non-dropping-particle":"","parse-names":false,"suffix":""}],"container-title":"Bull At Sci","id":"ITEM-1","issue":"5","issued":{"date-parts":[["1972"]]},"page":"16-27","title":"One-dimensional economy","type":"article-journal","volume":"28"},"uris":["http://www.mendeley.com/documents/?uuid=6385d8f7-ee5f-4aaa-bd77-8ea6ebb3216e"]},{"id":"ITEM-2","itemData":{"ISSN":"0921-8009","author":[{"dropping-particle":"","family":"Raskin","given":"Paul D","non-dropping-particle":"","parse-names":false,"suffix":""}],"container-title":"Ecological economics","id":"ITEM-2","issue":"3","issued":{"date-parts":[["1995"]]},"page":"225-233","publisher":"Elsevier","title":"Methods for estimating the population contribution to environmental change","type":"article-journal","volume":"15"},"uris":["http://www.mendeley.com/documents/?uuid=ce08a467-480d-4c09-9e01-46d969a04fc6"]}],"mendeley":{"formattedCitation":"(Ehrlich &amp; Holdren, 1972; Raskin, 1995)","plainTextFormattedCitation":"(Ehrlich &amp; Holdren, 1972; Raskin, 1995)","previouslyFormattedCitation":"(Ehrlich &amp; Holdren, 1972; Raskin, 1995)"},"properties":{"noteIndex":0},"schema":"https://github.com/citation-style-language/schema/raw/master/csl-citation.json"}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(Ehrlich &amp; Holdren, 1972; Raskin, 1995)</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because affluence is characterized as per capita GDP. P×A =GDP. As a consequence, technology is evaluated as I/PA or I/GDP.</w:t>
      </w:r>
      <w:r>
        <w:rPr>
          <w:rFonts w:ascii="Times New Roman" w:hAnsi="Times New Roman"/>
          <w:sz w:val="20"/>
          <w:szCs w:val="20"/>
        </w:rPr>
        <w:t xml:space="preserve"> </w:t>
      </w:r>
    </w:p>
    <w:p w:rsidR="00463622" w:rsidRPr="00B6303E" w:rsidRDefault="00CA01A3" w:rsidP="00E82F77">
      <w:pPr>
        <w:adjustRightInd w:val="0"/>
        <w:snapToGrid w:val="0"/>
        <w:spacing w:after="0" w:line="240" w:lineRule="auto"/>
        <w:ind w:firstLine="720"/>
        <w:jc w:val="both"/>
        <w:rPr>
          <w:sz w:val="20"/>
          <w:szCs w:val="20"/>
        </w:rPr>
      </w:pPr>
      <w:r w:rsidRPr="00B6303E">
        <w:rPr>
          <w:sz w:val="20"/>
          <w:szCs w:val="20"/>
        </w:rPr>
        <w:tab/>
      </w:r>
      <w:r w:rsidR="00463622" w:rsidRPr="00B6303E">
        <w:rPr>
          <w:position w:val="-4"/>
          <w:sz w:val="20"/>
          <w:szCs w:val="20"/>
        </w:rPr>
        <w:object w:dxaOrig="9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2.75pt" o:ole="">
            <v:imagedata r:id="rId16" o:title=""/>
          </v:shape>
          <o:OLEObject Type="Embed" ProgID="Equation.DSMT4" ShapeID="_x0000_i1025" DrawAspect="Content" ObjectID="_1693236973" r:id="rId17"/>
        </w:object>
      </w:r>
      <w:r w:rsidRPr="00B6303E">
        <w:rPr>
          <w:sz w:val="20"/>
          <w:szCs w:val="20"/>
        </w:rPr>
        <w:t>…(</w:t>
      </w:r>
      <w:r w:rsidR="00A77D41" w:rsidRPr="00B6303E">
        <w:rPr>
          <w:sz w:val="20"/>
          <w:szCs w:val="20"/>
        </w:rPr>
        <w:fldChar w:fldCharType="begin"/>
      </w:r>
      <w:r w:rsidRPr="00B6303E">
        <w:rPr>
          <w:sz w:val="20"/>
          <w:szCs w:val="20"/>
        </w:rPr>
        <w:instrText xml:space="preserve"> MACROBUTTON MTPlaceRef \* MERGEFORMAT </w:instrText>
      </w:r>
      <w:r w:rsidR="00A77D41" w:rsidRPr="00B6303E">
        <w:rPr>
          <w:sz w:val="20"/>
          <w:szCs w:val="20"/>
        </w:rPr>
        <w:fldChar w:fldCharType="begin"/>
      </w:r>
      <w:r w:rsidRPr="00B6303E">
        <w:rPr>
          <w:sz w:val="20"/>
          <w:szCs w:val="20"/>
        </w:rPr>
        <w:instrText xml:space="preserve"> SEQ MTEqn \h \* MERGEFORMAT </w:instrText>
      </w:r>
      <w:r w:rsidR="00A77D41" w:rsidRPr="00B6303E">
        <w:rPr>
          <w:sz w:val="20"/>
          <w:szCs w:val="20"/>
        </w:rPr>
        <w:fldChar w:fldCharType="end"/>
      </w:r>
      <w:r w:rsidRPr="00B6303E">
        <w:rPr>
          <w:sz w:val="20"/>
          <w:szCs w:val="20"/>
        </w:rPr>
        <w:instrText>1</w:instrText>
      </w:r>
      <w:r w:rsidR="00A77D41" w:rsidRPr="00B6303E">
        <w:rPr>
          <w:sz w:val="20"/>
          <w:szCs w:val="20"/>
        </w:rPr>
        <w:fldChar w:fldCharType="end"/>
      </w:r>
      <w:r w:rsidRPr="00B6303E">
        <w:rPr>
          <w:sz w:val="20"/>
          <w:szCs w:val="20"/>
        </w:rPr>
        <w:t>)</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Dietz &amp; Rosa,</w:t>
      </w:r>
      <w:r w:rsidR="00A77D41" w:rsidRPr="00B6303E">
        <w:rPr>
          <w:rStyle w:val="FootnoteReference"/>
          <w:rFonts w:ascii="Times New Roman" w:hAnsi="Times New Roman"/>
          <w:sz w:val="20"/>
          <w:szCs w:val="20"/>
          <w:vertAlign w:val="baseline"/>
        </w:rPr>
        <w:fldChar w:fldCharType="begin" w:fldLock="1"/>
      </w:r>
      <w:r w:rsidR="00CA01A3" w:rsidRPr="00B6303E">
        <w:rPr>
          <w:rFonts w:ascii="Times New Roman" w:hAnsi="Times New Roman"/>
          <w:sz w:val="20"/>
          <w:szCs w:val="20"/>
        </w:rPr>
        <w:instrText>ADDIN CSL_CITATION {"citationItems":[{"id":"ITEM-1","itemData":{"ISSN":"1074-4827","author":[{"dropping-particle":"","family":"Dietz","given":"Thomas","non-dropping-particle":"","parse-names":false,"suffix":""},{"dropping-particle":"","family":"Rosa","given":"Eugene A","non-dropping-particle":"","parse-names":false,"suffix":""}],"container-title":"Human ecology review","id":"ITEM-1","issue":"2","issued":{"date-parts":[["1994"]]},"page":"277-300","publisher":"JSTOR","title":"Rethinking the environmental impacts of population, affluence and technology","type":"article-journal","volume":"1"},"suppress-author":1,"uris":["http://www.mendeley.com/documents/?uuid=2d2251fc-36a0-4654-ba17-52d0c9ad8eed"]}],"mendeley":{"formattedCitation":"(1994)","plainTextFormattedCitation":"(1994)","previouslyFormattedCitation":"(1994)"},"properties":{"noteIndex":0},"schema":"https://github.com/citation-style-language/schema/raw/master/csl-citation.json"}</w:instrText>
      </w:r>
      <w:r w:rsidR="00A77D41" w:rsidRPr="00B6303E">
        <w:rPr>
          <w:rStyle w:val="FootnoteReference"/>
          <w:rFonts w:ascii="Times New Roman" w:hAnsi="Times New Roman"/>
          <w:sz w:val="20"/>
          <w:szCs w:val="20"/>
          <w:vertAlign w:val="baseline"/>
        </w:rPr>
        <w:fldChar w:fldCharType="separate"/>
      </w:r>
      <w:r w:rsidR="00CA01A3" w:rsidRPr="00B6303E">
        <w:rPr>
          <w:rStyle w:val="FootnoteReference"/>
          <w:rFonts w:ascii="Times New Roman" w:hAnsi="Times New Roman"/>
          <w:sz w:val="20"/>
          <w:szCs w:val="20"/>
          <w:vertAlign w:val="baseline"/>
        </w:rPr>
        <w:t>(1994)</w:t>
      </w:r>
      <w:r w:rsidR="00A77D41" w:rsidRPr="00B6303E">
        <w:rPr>
          <w:rStyle w:val="FootnoteReference"/>
          <w:rFonts w:ascii="Times New Roman" w:hAnsi="Times New Roman"/>
          <w:sz w:val="20"/>
          <w:szCs w:val="20"/>
          <w:vertAlign w:val="baseline"/>
        </w:rPr>
        <w:fldChar w:fldCharType="end"/>
      </w:r>
      <w:r w:rsidR="00CA01A3" w:rsidRPr="00B6303E">
        <w:rPr>
          <w:rFonts w:ascii="Times New Roman" w:hAnsi="Times New Roman"/>
          <w:sz w:val="20"/>
          <w:szCs w:val="20"/>
        </w:rPr>
        <w:t xml:space="preserve"> denoted the modified version of the IPAT model by adding stochastic terms in and can be presented as in Eq. (02)</w:t>
      </w:r>
    </w:p>
    <w:p w:rsidR="00463622" w:rsidRPr="00B6303E" w:rsidRDefault="00CA01A3" w:rsidP="00E82F77">
      <w:pPr>
        <w:pStyle w:val="MTDisplayEquation"/>
        <w:adjustRightInd w:val="0"/>
        <w:snapToGrid w:val="0"/>
        <w:spacing w:after="0"/>
      </w:pPr>
      <w:r w:rsidRPr="00B6303E">
        <w:tab/>
      </w:r>
      <w:r w:rsidR="00463622" w:rsidRPr="00B6303E">
        <w:rPr>
          <w:position w:val="-6"/>
        </w:rPr>
        <w:object w:dxaOrig="1879" w:dyaOrig="280">
          <v:shape id="_x0000_i1026" type="#_x0000_t75" style="width:94.5pt;height:14.25pt" o:ole="">
            <v:imagedata r:id="rId18" o:title=""/>
          </v:shape>
          <o:OLEObject Type="Embed" ProgID="Equation.DSMT4" ShapeID="_x0000_i1026" DrawAspect="Content" ObjectID="_1693236974" r:id="rId19"/>
        </w:object>
      </w:r>
      <w:r w:rsidRPr="00B6303E">
        <w:t>… (2)</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The letter e represents the residuals. The parameters to be estimated using advanced econometric procedures are a, k, L, and M.  The STIRPAT model provided in Eq. (02) may be represented as in Eq. (03) by logarithmic transformation:</w:t>
      </w:r>
    </w:p>
    <w:p w:rsidR="00463622" w:rsidRPr="00B6303E" w:rsidRDefault="00CA01A3" w:rsidP="00E82F77">
      <w:pPr>
        <w:pStyle w:val="MTDisplayEquation"/>
        <w:adjustRightInd w:val="0"/>
        <w:snapToGrid w:val="0"/>
        <w:spacing w:after="0"/>
      </w:pPr>
      <w:r w:rsidRPr="00B6303E">
        <w:tab/>
      </w:r>
      <w:r w:rsidR="00463622" w:rsidRPr="00B6303E">
        <w:rPr>
          <w:position w:val="-12"/>
        </w:rPr>
        <w:object w:dxaOrig="3360" w:dyaOrig="340">
          <v:shape id="_x0000_i1027" type="#_x0000_t75" style="width:168pt;height:16.5pt" o:ole="">
            <v:imagedata r:id="rId20" o:title=""/>
          </v:shape>
          <o:OLEObject Type="Embed" ProgID="Equation.DSMT4" ShapeID="_x0000_i1027" DrawAspect="Content" ObjectID="_1693236975" r:id="rId21"/>
        </w:object>
      </w:r>
      <w:r w:rsidRPr="00B6303E">
        <w:t>…</w:t>
      </w:r>
      <w:r w:rsidRPr="00B6303E">
        <w:tab/>
        <w:t xml:space="preserve"> (3)</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In the basic STIRPAT model, technology is regarded as an element of the standard error. This </w:t>
      </w:r>
      <w:r w:rsidR="00CA01A3" w:rsidRPr="00B6303E">
        <w:rPr>
          <w:rFonts w:ascii="Times New Roman" w:hAnsi="Times New Roman"/>
          <w:sz w:val="20"/>
          <w:szCs w:val="20"/>
        </w:rPr>
        <w:lastRenderedPageBreak/>
        <w:t xml:space="preserve">model is not measured independently to comply with the IPAT model. As a result, in the STIRPAT model, technology represents any parameters other than population and economic growth that might influence the impacts. According to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ISSN":"1573-7810","author":[{"dropping-particle":"","family":"Fischer-Kowalski","given":"Marina","non-dropping-particle":"","parse-names":false,"suffix":""},{"dropping-particle":"","family":"Amann","given":"Christof","non-dropping-particle":"","parse-names":false,"suffix":""}],"container-title":"Population and Environment","id":"ITEM-1","issue":"1","issued":{"date-parts":[["2001"]]},"page":"7-47","publisher":"Springer","title":"Beyond IPAT and Kuznets curves: globalization as a vital factor in analysing the environmental impact of socio-economic metabolism","type":"article-journal","volume":"23"},"uris":["http://www.mendeley.com/documents/?uuid=e0c14d97-2872-49f6-8492-0b780f0967f9"]}],"mendeley":{"formattedCitation":"(Fischer-Kowalski &amp; Amann, 2001)","plainTextFormattedCitation":"(Fischer-Kowalski &amp; Amann, 2001)","previouslyFormattedCitation":"(Fischer-Kowalski &amp; Amann, 2001)"},"properties":{"noteIndex":0},"schema":"https://github.com/citation-style-language/schema/raw/master/csl-citation.json"}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bCs/>
          <w:sz w:val="20"/>
          <w:szCs w:val="20"/>
        </w:rPr>
        <w:t>(Fischer-Kowalski &amp; Amann, 2001)</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xml:space="preserve"> the IPAT equation must integrate the socio-economic systems of different economies and the implications of globalization to better understand their influence on various outcome variables. The IPAT model is a mathematical identity that may be modified to comprise the dynamics influencing effects on the environment. In our example, the modified IPAT model for overall and sectoral energy consumption is described in equations (04) and (05), respectively:</w:t>
      </w:r>
    </w:p>
    <w:p w:rsidR="00463622" w:rsidRPr="00B6303E" w:rsidRDefault="00463622" w:rsidP="00E82F77">
      <w:pPr>
        <w:pStyle w:val="MTDisplayEquation"/>
        <w:adjustRightInd w:val="0"/>
        <w:snapToGrid w:val="0"/>
        <w:spacing w:after="0"/>
        <w:ind w:firstLine="0"/>
      </w:pPr>
      <w:r w:rsidRPr="00B6303E">
        <w:rPr>
          <w:position w:val="-16"/>
        </w:rPr>
        <w:object w:dxaOrig="3740" w:dyaOrig="400">
          <v:shape id="_x0000_i1028" type="#_x0000_t75" style="width:186.75pt;height:20.25pt" o:ole="">
            <v:imagedata r:id="rId22" o:title=""/>
          </v:shape>
          <o:OLEObject Type="Embed" ProgID="Equation.DSMT4" ShapeID="_x0000_i1028" DrawAspect="Content" ObjectID="_1693236976" r:id="rId23"/>
        </w:object>
      </w:r>
      <w:r w:rsidR="00CA01A3" w:rsidRPr="00B6303E">
        <w:tab/>
      </w:r>
      <w:r w:rsidR="00B6303E">
        <w:t xml:space="preserve"> </w:t>
      </w:r>
      <w:r w:rsidR="00CA01A3" w:rsidRPr="00B6303E">
        <w:t xml:space="preserve">  (4)</w:t>
      </w:r>
    </w:p>
    <w:p w:rsidR="00463622" w:rsidRPr="00B6303E" w:rsidRDefault="00463622" w:rsidP="00E82F77">
      <w:pPr>
        <w:adjustRightInd w:val="0"/>
        <w:snapToGrid w:val="0"/>
        <w:spacing w:after="0" w:line="240" w:lineRule="auto"/>
        <w:rPr>
          <w:rFonts w:ascii="Times New Roman" w:hAnsi="Times New Roman"/>
          <w:iCs/>
          <w:sz w:val="20"/>
          <w:szCs w:val="20"/>
        </w:rPr>
      </w:pPr>
      <w:r w:rsidRPr="00B6303E">
        <w:rPr>
          <w:rFonts w:ascii="Times New Roman" w:hAnsi="Times New Roman"/>
          <w:iCs/>
          <w:position w:val="-8"/>
          <w:sz w:val="20"/>
          <w:szCs w:val="20"/>
        </w:rPr>
        <w:object w:dxaOrig="3940" w:dyaOrig="260">
          <v:shape id="_x0000_i1029" type="#_x0000_t75" style="width:196.5pt;height:12.75pt" o:ole="">
            <v:imagedata r:id="rId24" o:title=""/>
          </v:shape>
          <o:OLEObject Type="Embed" ProgID="Equation.DSMT4" ShapeID="_x0000_i1029" DrawAspect="Content" ObjectID="_1693236977" r:id="rId25"/>
        </w:object>
      </w:r>
    </w:p>
    <w:p w:rsidR="00463622" w:rsidRPr="00B6303E" w:rsidRDefault="00CA01A3" w:rsidP="00E82F77">
      <w:pPr>
        <w:pStyle w:val="MTDisplayEquation"/>
        <w:adjustRightInd w:val="0"/>
        <w:snapToGrid w:val="0"/>
        <w:spacing w:after="0"/>
      </w:pPr>
      <w:r w:rsidRPr="00B6303E">
        <w:tab/>
        <w:t>(5)</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In Eq. (04),</w:t>
      </w:r>
      <w:r w:rsidR="00463622" w:rsidRPr="00B6303E">
        <w:rPr>
          <w:position w:val="-8"/>
          <w:sz w:val="20"/>
          <w:szCs w:val="20"/>
        </w:rPr>
        <w:object w:dxaOrig="320" w:dyaOrig="260">
          <v:shape id="_x0000_i1030" type="#_x0000_t75" style="width:15.75pt;height:12.75pt" o:ole="">
            <v:imagedata r:id="rId26" o:title=""/>
          </v:shape>
          <o:OLEObject Type="Embed" ProgID="Equation.DSMT4" ShapeID="_x0000_i1030" DrawAspect="Content" ObjectID="_1693236978" r:id="rId27"/>
        </w:object>
      </w:r>
      <w:r w:rsidR="00CA01A3" w:rsidRPr="00B6303E">
        <w:rPr>
          <w:rFonts w:ascii="Times New Roman" w:hAnsi="Times New Roman"/>
          <w:sz w:val="20"/>
          <w:szCs w:val="20"/>
        </w:rPr>
        <w:t>means standing for energy consumption,</w:t>
      </w:r>
      <w:r w:rsidR="00463622" w:rsidRPr="00B6303E">
        <w:rPr>
          <w:rFonts w:ascii="Times New Roman" w:hAnsi="Times New Roman"/>
          <w:position w:val="-8"/>
          <w:sz w:val="20"/>
          <w:szCs w:val="20"/>
        </w:rPr>
        <w:object w:dxaOrig="419" w:dyaOrig="260">
          <v:shape id="_x0000_i1031" type="#_x0000_t75" style="width:21pt;height:12.75pt" o:ole="">
            <v:imagedata r:id="rId28" o:title=""/>
          </v:shape>
          <o:OLEObject Type="Embed" ProgID="Equation.DSMT4" ShapeID="_x0000_i1031" DrawAspect="Content" ObjectID="_1693236979" r:id="rId29"/>
        </w:object>
      </w:r>
      <w:r w:rsidR="00CA01A3" w:rsidRPr="00B6303E">
        <w:rPr>
          <w:rFonts w:ascii="Times New Roman" w:hAnsi="Times New Roman"/>
          <w:sz w:val="20"/>
          <w:szCs w:val="20"/>
        </w:rPr>
        <w:t>means standing for gross domestic product,</w:t>
      </w:r>
      <w:r w:rsidR="00463622" w:rsidRPr="00B6303E">
        <w:rPr>
          <w:rFonts w:ascii="Times New Roman" w:hAnsi="Times New Roman"/>
          <w:position w:val="-8"/>
          <w:sz w:val="20"/>
          <w:szCs w:val="20"/>
        </w:rPr>
        <w:object w:dxaOrig="180" w:dyaOrig="260">
          <v:shape id="_x0000_i1032" type="#_x0000_t75" style="width:9pt;height:12.75pt" o:ole="">
            <v:imagedata r:id="rId30" o:title=""/>
          </v:shape>
          <o:OLEObject Type="Embed" ProgID="Equation.DSMT4" ShapeID="_x0000_i1032" DrawAspect="Content" ObjectID="_1693236980" r:id="rId31"/>
        </w:object>
      </w:r>
      <w:r w:rsidR="00CA01A3" w:rsidRPr="00B6303E">
        <w:rPr>
          <w:rFonts w:ascii="Times New Roman" w:hAnsi="Times New Roman"/>
          <w:sz w:val="20"/>
          <w:szCs w:val="20"/>
        </w:rPr>
        <w:t>is for aggregate energy prices, and</w:t>
      </w:r>
      <w:r w:rsidR="00463622" w:rsidRPr="00B6303E">
        <w:rPr>
          <w:rFonts w:ascii="Times New Roman" w:hAnsi="Times New Roman"/>
          <w:position w:val="-8"/>
          <w:sz w:val="20"/>
          <w:szCs w:val="20"/>
        </w:rPr>
        <w:object w:dxaOrig="260" w:dyaOrig="260">
          <v:shape id="_x0000_i1033" type="#_x0000_t75" style="width:12.75pt;height:12.75pt" o:ole="">
            <v:imagedata r:id="rId32" o:title=""/>
          </v:shape>
          <o:OLEObject Type="Embed" ProgID="Equation.DSMT4" ShapeID="_x0000_i1033" DrawAspect="Content" ObjectID="_1693236981" r:id="rId33"/>
        </w:object>
      </w:r>
      <w:r w:rsidR="00CA01A3" w:rsidRPr="00B6303E">
        <w:rPr>
          <w:rFonts w:ascii="Times New Roman" w:hAnsi="Times New Roman"/>
          <w:sz w:val="20"/>
          <w:szCs w:val="20"/>
          <w:vertAlign w:val="subscript"/>
        </w:rPr>
        <w:t xml:space="preserve"> </w:t>
      </w:r>
      <w:r w:rsidR="00CA01A3" w:rsidRPr="00B6303E">
        <w:rPr>
          <w:rFonts w:ascii="Times New Roman" w:hAnsi="Times New Roman"/>
          <w:sz w:val="20"/>
          <w:szCs w:val="20"/>
        </w:rPr>
        <w:t>needs to stand for energy intensity, which is a measure of technical advancements and energy efficiency in the economy.</w:t>
      </w:r>
      <w:r w:rsidR="00463622" w:rsidRPr="00B6303E">
        <w:rPr>
          <w:rFonts w:ascii="Times New Roman" w:hAnsi="Times New Roman"/>
          <w:position w:val="-8"/>
          <w:sz w:val="20"/>
          <w:szCs w:val="20"/>
        </w:rPr>
        <w:object w:dxaOrig="320" w:dyaOrig="260">
          <v:shape id="_x0000_i1034" type="#_x0000_t75" style="width:15.75pt;height:12.75pt" o:ole="">
            <v:imagedata r:id="rId34" o:title=""/>
          </v:shape>
          <o:OLEObject Type="Embed" ProgID="Equation.DSMT4" ShapeID="_x0000_i1034" DrawAspect="Content" ObjectID="_1693236982" r:id="rId35"/>
        </w:object>
      </w:r>
      <w:r w:rsidR="00CA01A3" w:rsidRPr="00B6303E">
        <w:rPr>
          <w:rFonts w:ascii="Times New Roman" w:hAnsi="Times New Roman"/>
          <w:sz w:val="20"/>
          <w:szCs w:val="20"/>
        </w:rPr>
        <w:t>measures trade openness, whereas</w:t>
      </w:r>
      <w:r w:rsidR="00463622" w:rsidRPr="00B6303E">
        <w:rPr>
          <w:rFonts w:ascii="Times New Roman" w:hAnsi="Times New Roman"/>
          <w:position w:val="-8"/>
          <w:sz w:val="20"/>
          <w:szCs w:val="20"/>
        </w:rPr>
        <w:object w:dxaOrig="380" w:dyaOrig="260">
          <v:shape id="_x0000_i1035" type="#_x0000_t75" style="width:19.5pt;height:12.75pt" o:ole="">
            <v:imagedata r:id="rId36" o:title=""/>
          </v:shape>
          <o:OLEObject Type="Embed" ProgID="Equation.DSMT4" ShapeID="_x0000_i1035" DrawAspect="Content" ObjectID="_1693236983" r:id="rId37"/>
        </w:object>
      </w:r>
      <w:r w:rsidR="00CA01A3" w:rsidRPr="00B6303E">
        <w:rPr>
          <w:rFonts w:ascii="Times New Roman" w:hAnsi="Times New Roman"/>
          <w:sz w:val="20"/>
          <w:szCs w:val="20"/>
        </w:rPr>
        <w:t>measures net inflows of foreign direct investment. We utilize</w:t>
      </w:r>
      <w:r w:rsidR="00463622" w:rsidRPr="00B6303E">
        <w:rPr>
          <w:rFonts w:ascii="Times New Roman" w:hAnsi="Times New Roman"/>
          <w:position w:val="-8"/>
          <w:sz w:val="20"/>
          <w:szCs w:val="20"/>
        </w:rPr>
        <w:object w:dxaOrig="320" w:dyaOrig="260">
          <v:shape id="_x0000_i1036" type="#_x0000_t75" style="width:15.75pt;height:12.75pt" o:ole="">
            <v:imagedata r:id="rId38" o:title=""/>
          </v:shape>
          <o:OLEObject Type="Embed" ProgID="Equation.DSMT4" ShapeID="_x0000_i1036" DrawAspect="Content" ObjectID="_1693236984" r:id="rId39"/>
        </w:object>
      </w:r>
      <w:r w:rsidR="00CA01A3" w:rsidRPr="00B6303E">
        <w:rPr>
          <w:rFonts w:ascii="Times New Roman" w:hAnsi="Times New Roman"/>
          <w:sz w:val="20"/>
          <w:szCs w:val="20"/>
        </w:rPr>
        <w:t>,</w:t>
      </w:r>
      <w:r w:rsidR="00463622" w:rsidRPr="00B6303E">
        <w:rPr>
          <w:rFonts w:ascii="Times New Roman" w:hAnsi="Times New Roman"/>
          <w:position w:val="-8"/>
          <w:sz w:val="20"/>
          <w:szCs w:val="20"/>
        </w:rPr>
        <w:object w:dxaOrig="240" w:dyaOrig="260">
          <v:shape id="_x0000_i1037" type="#_x0000_t75" style="width:12pt;height:12.75pt" o:ole="">
            <v:imagedata r:id="rId40" o:title=""/>
          </v:shape>
          <o:OLEObject Type="Embed" ProgID="Equation.DSMT4" ShapeID="_x0000_i1037" DrawAspect="Content" ObjectID="_1693236985" r:id="rId41"/>
        </w:object>
      </w:r>
      <w:r w:rsidR="00CA01A3" w:rsidRPr="00B6303E">
        <w:rPr>
          <w:rFonts w:ascii="Times New Roman" w:hAnsi="Times New Roman"/>
          <w:sz w:val="20"/>
          <w:szCs w:val="20"/>
        </w:rPr>
        <w:t>,</w:t>
      </w:r>
      <w:r w:rsidR="00463622" w:rsidRPr="00B6303E">
        <w:rPr>
          <w:rFonts w:ascii="Times New Roman" w:hAnsi="Times New Roman"/>
          <w:position w:val="-8"/>
          <w:sz w:val="20"/>
          <w:szCs w:val="20"/>
        </w:rPr>
        <w:object w:dxaOrig="260" w:dyaOrig="260">
          <v:shape id="_x0000_i1038" type="#_x0000_t75" style="width:12.75pt;height:12.75pt" o:ole="">
            <v:imagedata r:id="rId42" o:title=""/>
          </v:shape>
          <o:OLEObject Type="Embed" ProgID="Equation.DSMT4" ShapeID="_x0000_i1038" DrawAspect="Content" ObjectID="_1693236986" r:id="rId43"/>
        </w:object>
      </w:r>
      <w:r w:rsidR="00CA01A3" w:rsidRPr="00B6303E">
        <w:rPr>
          <w:rFonts w:ascii="Times New Roman" w:hAnsi="Times New Roman"/>
          <w:sz w:val="20"/>
          <w:szCs w:val="20"/>
        </w:rPr>
        <w:t>, and</w:t>
      </w:r>
      <w:r w:rsidR="00463622" w:rsidRPr="00B6303E">
        <w:rPr>
          <w:rFonts w:ascii="Times New Roman" w:hAnsi="Times New Roman"/>
          <w:position w:val="-8"/>
          <w:sz w:val="20"/>
          <w:szCs w:val="20"/>
        </w:rPr>
        <w:object w:dxaOrig="380" w:dyaOrig="260">
          <v:shape id="_x0000_i1039" type="#_x0000_t75" style="width:19.5pt;height:12.75pt" o:ole="">
            <v:imagedata r:id="rId44" o:title=""/>
          </v:shape>
          <o:OLEObject Type="Embed" ProgID="Equation.DSMT4" ShapeID="_x0000_i1039" DrawAspect="Content" ObjectID="_1693236987" r:id="rId45"/>
        </w:object>
      </w:r>
      <w:r w:rsidR="00CA01A3" w:rsidRPr="00B6303E">
        <w:rPr>
          <w:rFonts w:ascii="Times New Roman" w:hAnsi="Times New Roman"/>
          <w:sz w:val="20"/>
          <w:szCs w:val="20"/>
        </w:rPr>
        <w:t xml:space="preserve">for the commercial and industrial sectors, respectively, in Eq. (05). </w:t>
      </w:r>
    </w:p>
    <w:p w:rsidR="00E82F77" w:rsidRDefault="00CA01A3" w:rsidP="00E82F77">
      <w:pPr>
        <w:adjustRightInd w:val="0"/>
        <w:snapToGrid w:val="0"/>
        <w:spacing w:after="0" w:line="240" w:lineRule="auto"/>
        <w:ind w:firstLine="720"/>
        <w:jc w:val="both"/>
        <w:rPr>
          <w:rFonts w:ascii="Times New Roman" w:eastAsiaTheme="minorEastAsia" w:hAnsi="Times New Roman" w:hint="eastAsia"/>
          <w:b/>
          <w:sz w:val="20"/>
          <w:szCs w:val="20"/>
          <w:lang w:eastAsia="zh-CN"/>
        </w:rPr>
      </w:pPr>
      <w:r w:rsidRPr="00B6303E">
        <w:rPr>
          <w:rFonts w:ascii="Times New Roman" w:hAnsi="Times New Roman"/>
          <w:sz w:val="20"/>
          <w:szCs w:val="20"/>
        </w:rPr>
        <w:t xml:space="preserve">Few preliminary studies have quantified economic activity as GDP per capita by using IPAT model estimation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{"citationItems":[{"id":"ITEM-1","itemData":{"ISSN":"1877-0428","author":[{"dropping-particle":"","family":"Bargaoui","given":"Saoussen Aguir","non-dropping-particle":"","parse-names":false,"suffix":""},{"dropping-particle":"","family":"Liouane","given":"Naoufel","non-dropping-particle":"","parse-names":false,"suffix":""},{"dropping-particle":"","family":"Nouri","given":"Fethi Zouheir","non-dropping-particle":"","parse-names":false,"suffix":""}],"container-title":"Procedia-Social and Behavioral Sciences","id":"ITEM-1","issued":{"date-parts":[["2014"]]},"page":"449-458","publisher":"Elsevier","title":"Environmental impact determinants: An empirical analysis based on the STIRPAT model","type":"article-journal","volume":"109"},"uris":["http://www.mendeley.com/documents/?uuid=0662cf2f-3f1d-45bf-9590-bf083354c08d"]},{"id":"ITEM-2","itemData":{"ISSN":"1534-7605","author":[{"dropping-particle":"","family":"Fisher","given":"Dana R","non-dropping-particle":"","parse-names":false,"suffix":""},{"dropping-particle":"","family":"Freudenburg","given":"William R","non-dropping-particle":"","parse-names":false,"suffix":""}],"container-title":"Social forces","id":"ITEM-2","issue":"1","issued":{"date-parts":[["2004"]]},"page":"157-188","publisher":"The University of North Carolina Press","title":"Postindustrialization and environmental quality: An empirical analysis of the environmental state","type":"article-journal","volume":"83"},"uris":["http://www.mendeley.com/documents/?uuid=7bb0780f-091f-495f-8a30-699fb4235c22"]},{"id":"ITEM-3","itemData":{"ISSN":"0195-9255","author":[{"dropping-particle":"","family":"Lin","given":"Shoufu","non-dropping-particle":"","parse-names":false,"suffix":""},{"dropping-particle":"","family":"Zhao","given":"Dingtao","non-dropping-particle":"","parse-names":false,"suffix":""},{"dropping-particle":"","family":"Marinova","given":"Dora","non-dropping-particle":"","parse-names":false,"suffix":""}],"container-title":"Environmental Impact Assessment Review","id":"ITEM-3","issue":"6","issued":{"date-parts":[["2009"]]},"page":"341-347","publisher":"Elsevier","title":"Analysis of the environmental impact of China based on STIRPAT model","type":"article-journal","volume":"29"},"uris":["http://www.mendeley.com/documents/?uuid=3a86ee96-b303-456e-9355-c3323167477c"]},{"id":"ITEM-4","itemData":{"author":[{"dropping-particle":"","family":"Zheng","given":"Haitao","non-dropping-particle":"","parse-names":false,"suffix":""},{"dropping-particle":"","family":"Hu","given":"Jie","non-dropping-particle":"","parse-names":false,"suffix":""},{"dropping-particle":"","family":"Guan","given":"Rong","non-dropping-particle":"","parse-names":false,"suffix":""},{"dropping-particle":"","family":"Wang","given":"Shanshan","non-dropping-particle":"","parse-names":false,"suffix":""}],"container-title":"Sustainability","id":"ITEM-4","issue":"12","issued":{"date-parts":[["2016"]]},"page":"1296","publisher":"Multidisciplinary Digital Publishing Institute","title":"Examining determinants of CO2 emissions in 73 cities in China","type":"article-journal","volume":"8"},"uris":["http://www.mendeley.com/documents/?uuid=a6687fb2-c838-4ee4-81fd-662052f91596"]}],"mendeley":{"formattedCitation":"(Bargaoui et al., 2014; Fisher &amp; Freudenburg, 2004; S. Lin et al., 2009; Zheng et al., 2016)","plainTextFormattedCitation":"(Bargaoui et al., 2014; Fisher &amp; Freudenburg, 2004; S. Lin et al., 2009; Zheng et al., 2016)","previouslyFormattedCitation":"(Bargaoui et al., 2014; Fisher &amp; Freudenburg, 2004; S. Lin et al., 2009; Zheng et al., 2016)"},"properties":{"noteIndex":0},"schema":"https://github.com/citation-style-language/schema/raw/master/csl-citation.json"}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(Bargaoui et al., 2014; Fisher &amp; Freudenburg, 2004; S. Lin et al., 2009; Zheng et al., 2016)</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w:t>
      </w:r>
    </w:p>
    <w:p w:rsidR="00E82F77" w:rsidRDefault="00E82F77" w:rsidP="00E82F77">
      <w:pPr>
        <w:adjustRightInd w:val="0"/>
        <w:snapToGrid w:val="0"/>
        <w:spacing w:after="0" w:line="240" w:lineRule="auto"/>
        <w:jc w:val="both"/>
        <w:rPr>
          <w:rFonts w:ascii="Times New Roman" w:eastAsiaTheme="minorEastAsia" w:hAnsi="Times New Roman" w:hint="eastAsia"/>
          <w:b/>
          <w:sz w:val="20"/>
          <w:szCs w:val="20"/>
          <w:lang w:eastAsia="zh-CN"/>
        </w:rPr>
      </w:pPr>
    </w:p>
    <w:p w:rsidR="00E82F77" w:rsidRPr="00B6303E" w:rsidRDefault="00E82F77" w:rsidP="00E82F77">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t xml:space="preserve">3.3 Unit root test </w:t>
      </w:r>
    </w:p>
    <w:p w:rsidR="00E82F77" w:rsidRPr="00B6303E" w:rsidRDefault="00E82F77"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t xml:space="preserve">    Before conducting the empirical studies, we evaluated the unit root features of the data purpose of the study using the Augmented Dickey-Fuller test </w:t>
      </w:r>
      <w:r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{"citationItems":[{"id":"ITEM-1","itemData":{"ISSN":"0162-1459","author":[{"dropping-particle":"","family":"Dickey","given":"David A","non-dropping-particle":"","parse-names":false,"suffix":""},{"dropping-particle":"","family":"Fuller","given":"Wayne A","non-dropping-particle":"","parse-names":false,"suffix":""}],"container-title":"Journal of the American statistical association","id":"ITEM-1","issue":"366a","issued":{"date-parts":[["1979"]]},"page":"427-431","publisher":"Taylor &amp; Francis","title":"Distribution of the estimators for autoregressive time series with a unit root","type":"article-journal","volume":"74"},"uris":["http://www.mendeley.com/documents/?uuid=0209e604-6f28-4b45-b52c-d6c0fb38ee7b"]}],"mendeley":{"formattedCitation":"(Dickey &amp; Fuller, 1979)","plainTextFormattedCitation":"(Dickey &amp; Fuller, 1979)","previouslyFormattedCitation":"(Dickey &amp; Fuller, 1979)"},"properties":{"noteIndex":0},"schema":"https://github.com/citation-style-language/schema/raw/master/csl-citation.json"}</w:instrText>
      </w:r>
      <w:r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(Dickey &amp; Fuller, 1979)</w:t>
      </w:r>
      <w:r w:rsidRPr="00B6303E">
        <w:rPr>
          <w:rStyle w:val="FootnoteReference"/>
          <w:rFonts w:ascii="Times New Roman" w:hAnsi="Times New Roman"/>
          <w:sz w:val="20"/>
          <w:szCs w:val="20"/>
        </w:rPr>
        <w:fldChar w:fldCharType="end"/>
      </w:r>
      <w:r w:rsidRPr="00B6303E">
        <w:rPr>
          <w:rFonts w:ascii="Times New Roman" w:hAnsi="Times New Roman"/>
          <w:sz w:val="20"/>
          <w:szCs w:val="20"/>
        </w:rPr>
        <w:t>. The Dickey-Fuller test's estimable equation is given by Eq. (06).</w:t>
      </w:r>
    </w:p>
    <w:p w:rsidR="00E82F77" w:rsidRPr="00B6303E" w:rsidRDefault="00E82F77" w:rsidP="00E82F77">
      <w:pPr>
        <w:pStyle w:val="MTDisplayEquation"/>
        <w:adjustRightInd w:val="0"/>
        <w:snapToGrid w:val="0"/>
        <w:spacing w:after="0"/>
      </w:pPr>
      <w:r w:rsidRPr="00B6303E">
        <w:tab/>
      </w:r>
      <w:r w:rsidRPr="00B6303E">
        <w:rPr>
          <w:position w:val="-4"/>
        </w:rPr>
        <w:object w:dxaOrig="160" w:dyaOrig="220">
          <v:shape id="_x0000_i1069" type="#_x0000_t75" style="width:8.25pt;height:11.25pt" o:ole="">
            <v:imagedata r:id="rId46" o:title=""/>
          </v:shape>
          <o:OLEObject Type="Embed" ProgID="Equation.DSMT4" ShapeID="_x0000_i1069" DrawAspect="Content" ObjectID="_1693236988" r:id="rId47"/>
        </w:object>
      </w:r>
      <w:r w:rsidRPr="00B6303E">
        <w:rPr>
          <w:position w:val="-12"/>
        </w:rPr>
        <w:object w:dxaOrig="2439" w:dyaOrig="340">
          <v:shape id="_x0000_i1070" type="#_x0000_t75" style="width:122.25pt;height:16.5pt" o:ole="">
            <v:imagedata r:id="rId48" o:title=""/>
          </v:shape>
          <o:OLEObject Type="Embed" ProgID="Equation.DSMT4" ShapeID="_x0000_i1070" DrawAspect="Content" ObjectID="_1693236989" r:id="rId49"/>
        </w:object>
      </w:r>
      <w:r w:rsidRPr="00B6303E">
        <w:t xml:space="preserve"> … (6)</w:t>
      </w:r>
    </w:p>
    <w:p w:rsidR="00E82F77" w:rsidRDefault="00E82F77" w:rsidP="00E82F77">
      <w:pPr>
        <w:pStyle w:val="MTDisplayEquation"/>
        <w:adjustRightInd w:val="0"/>
        <w:snapToGrid w:val="0"/>
        <w:spacing w:after="0"/>
        <w:rPr>
          <w:rFonts w:eastAsiaTheme="minorEastAsia" w:hint="eastAsia"/>
          <w:b/>
          <w:lang w:eastAsia="zh-CN"/>
        </w:rPr>
      </w:pPr>
      <w:r w:rsidRPr="00B6303E">
        <w:tab/>
      </w:r>
      <w:r w:rsidRPr="00B6303E">
        <w:rPr>
          <w:position w:val="-4"/>
        </w:rPr>
        <w:object w:dxaOrig="160" w:dyaOrig="220">
          <v:shape id="_x0000_i1071" type="#_x0000_t75" style="width:8.25pt;height:11.25pt" o:ole="">
            <v:imagedata r:id="rId46" o:title=""/>
          </v:shape>
          <o:OLEObject Type="Embed" ProgID="Equation.DSMT4" ShapeID="_x0000_i1071" DrawAspect="Content" ObjectID="_1693236990" r:id="rId50"/>
        </w:object>
      </w:r>
      <w:r w:rsidRPr="00B6303E">
        <w:t xml:space="preserve">Where y denotes the interesting series, </w:t>
      </w:r>
      <w:proofErr w:type="spellStart"/>
      <w:r w:rsidRPr="00B6303E">
        <w:t>yt</w:t>
      </w:r>
      <w:proofErr w:type="spellEnd"/>
      <w:r w:rsidRPr="00B6303E">
        <w:t xml:space="preserve">-specifies the lagged value of the y series, </w:t>
      </w:r>
      <w:r w:rsidRPr="00B6303E">
        <w:rPr>
          <w:position w:val="-4"/>
        </w:rPr>
        <w:object w:dxaOrig="180" w:dyaOrig="200">
          <v:shape id="_x0000_i1072" type="#_x0000_t75" style="width:9pt;height:9.75pt" o:ole="">
            <v:imagedata r:id="rId51" o:title=""/>
          </v:shape>
          <o:OLEObject Type="Embed" ProgID="Equation.DSMT4" ShapeID="_x0000_i1072" DrawAspect="Content" ObjectID="_1693236991" r:id="rId52"/>
        </w:object>
      </w:r>
      <w:r w:rsidRPr="00B6303E">
        <w:t>shows the difference operator and m is indeed the maximum number of lags to be inserted, represents the difference operator.</w:t>
      </w:r>
      <w:r w:rsidRPr="00B6303E">
        <w:rPr>
          <w:position w:val="-8"/>
        </w:rPr>
        <w:object w:dxaOrig="200" w:dyaOrig="260">
          <v:shape id="_x0000_i1073" type="#_x0000_t75" style="width:9.75pt;height:12.75pt" o:ole="">
            <v:imagedata r:id="rId53" o:title=""/>
          </v:shape>
          <o:OLEObject Type="Embed" ProgID="Equation.DSMT4" ShapeID="_x0000_i1073" DrawAspect="Content" ObjectID="_1693236992" r:id="rId54"/>
        </w:object>
      </w:r>
      <w:r w:rsidRPr="00B6303E">
        <w:t>denotes the error term, which has a zero mean and a constant variance. If</w:t>
      </w:r>
      <w:r w:rsidRPr="00B6303E">
        <w:rPr>
          <w:position w:val="-8"/>
        </w:rPr>
        <w:object w:dxaOrig="420" w:dyaOrig="240">
          <v:shape id="_x0000_i1074" type="#_x0000_t75" style="width:21pt;height:12pt" o:ole="">
            <v:imagedata r:id="rId55" o:title=""/>
          </v:shape>
          <o:OLEObject Type="Embed" ProgID="Equation.DSMT4" ShapeID="_x0000_i1074" DrawAspect="Content" ObjectID="_1693236993" r:id="rId56"/>
        </w:object>
      </w:r>
      <w:r w:rsidRPr="00B6303E">
        <w:t xml:space="preserve"> statistically, the null hypothesis of the presence of a unit root is rejected.</w:t>
      </w:r>
    </w:p>
    <w:p w:rsidR="00E82F77" w:rsidRDefault="00E82F77" w:rsidP="00E82F77">
      <w:pPr>
        <w:adjustRightInd w:val="0"/>
        <w:snapToGrid w:val="0"/>
        <w:spacing w:after="0" w:line="240" w:lineRule="auto"/>
        <w:jc w:val="both"/>
        <w:rPr>
          <w:rFonts w:ascii="Times New Roman" w:eastAsiaTheme="minorEastAsia" w:hAnsi="Times New Roman"/>
          <w:b/>
          <w:sz w:val="20"/>
          <w:szCs w:val="20"/>
          <w:lang w:eastAsia="zh-CN"/>
        </w:rPr>
        <w:sectPr w:rsidR="00E82F77" w:rsidSect="00463622">
          <w:type w:val="continuous"/>
          <w:pgSz w:w="12240" w:h="15840"/>
          <w:pgMar w:top="1440" w:right="1440" w:bottom="1440" w:left="1440" w:header="720" w:footer="720" w:gutter="0"/>
          <w:cols w:num="2" w:space="720"/>
          <w:docGrid w:linePitch="360"/>
        </w:sectPr>
      </w:pPr>
    </w:p>
    <w:p w:rsidR="00E82F77" w:rsidRDefault="00E82F77" w:rsidP="00E82F77">
      <w:pPr>
        <w:adjustRightInd w:val="0"/>
        <w:snapToGrid w:val="0"/>
        <w:spacing w:after="0" w:line="240" w:lineRule="auto"/>
        <w:jc w:val="both"/>
        <w:rPr>
          <w:rFonts w:ascii="Times New Roman" w:eastAsiaTheme="minorEastAsia" w:hAnsi="Times New Roman" w:hint="eastAsia"/>
          <w:b/>
          <w:sz w:val="20"/>
          <w:szCs w:val="20"/>
          <w:lang w:eastAsia="zh-CN"/>
        </w:rPr>
      </w:pPr>
    </w:p>
    <w:p w:rsidR="00F82E9D" w:rsidRDefault="00F82E9D" w:rsidP="00E82F77">
      <w:pPr>
        <w:adjustRightInd w:val="0"/>
        <w:snapToGrid w:val="0"/>
        <w:spacing w:after="0" w:line="240" w:lineRule="auto"/>
        <w:jc w:val="both"/>
        <w:rPr>
          <w:rFonts w:ascii="Times New Roman" w:eastAsiaTheme="minorEastAsia" w:hAnsi="Times New Roman" w:hint="eastAsia"/>
          <w:b/>
          <w:sz w:val="20"/>
          <w:szCs w:val="20"/>
          <w:lang w:eastAsia="zh-CN"/>
        </w:rPr>
      </w:pPr>
    </w:p>
    <w:p w:rsidR="00F82E9D" w:rsidRDefault="00F82E9D" w:rsidP="00E82F77">
      <w:pPr>
        <w:adjustRightInd w:val="0"/>
        <w:snapToGrid w:val="0"/>
        <w:spacing w:after="0" w:line="240" w:lineRule="auto"/>
        <w:jc w:val="both"/>
        <w:rPr>
          <w:rFonts w:ascii="Times New Roman" w:eastAsiaTheme="minorEastAsia" w:hAnsi="Times New Roman" w:hint="eastAsia"/>
          <w:b/>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Table 3: Present Descriptive Statistics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3"/>
        <w:gridCol w:w="2065"/>
        <w:gridCol w:w="1381"/>
        <w:gridCol w:w="1381"/>
        <w:gridCol w:w="1381"/>
        <w:gridCol w:w="1385"/>
      </w:tblGrid>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Series</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Measurement</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Mean</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Std. Dev</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Min</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Max</w:t>
            </w:r>
          </w:p>
        </w:tc>
      </w:tr>
      <w:tr w:rsidR="00463622" w:rsidRPr="00B6303E" w:rsidTr="00E82F77">
        <w:trPr>
          <w:cantSplit/>
          <w:jc w:val="center"/>
        </w:trPr>
        <w:tc>
          <w:tcPr>
            <w:tcW w:w="5000" w:type="pct"/>
            <w:gridSpan w:val="6"/>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Aggregate</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Energy</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Million TOE</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24.614</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8.918</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9.034</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41.275</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Prices</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Paisa/kWh</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491.36</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96.768</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272.736</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611.372</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GDP</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Rs trillion</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5.403</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3.507</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2.045</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11.254</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Energy Intenst</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E*/GDP</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2.15E-05</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6.34E-07</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9.65E-06</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1.17E-05</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FDI</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Rs. Million</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58074.13</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95168.87</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151.72</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372969</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TO</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Rs Billion</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1688.968</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726.564</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662.876</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3024.765</w:t>
            </w:r>
          </w:p>
        </w:tc>
      </w:tr>
      <w:tr w:rsidR="00463622" w:rsidRPr="00B6303E" w:rsidTr="00E82F77">
        <w:trPr>
          <w:cantSplit/>
          <w:jc w:val="center"/>
        </w:trPr>
        <w:tc>
          <w:tcPr>
            <w:tcW w:w="5000" w:type="pct"/>
            <w:gridSpan w:val="6"/>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Industrial Sector</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Energy</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Million TOE</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8.783</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5.042</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4.265</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17.709</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Prices</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Paisa/kWh</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528.673</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88.789</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317.297</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672.181</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GDP</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Rs trillion</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5.567</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2.567</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1.756</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11.456</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Energy Intenst</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E/VA</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8.25E-06</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8.48E-05</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7.25E-07</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1.26E-03</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FDI</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Rs. Million</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25679.76</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44251.07</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174.8</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168076</w:t>
            </w:r>
          </w:p>
        </w:tc>
      </w:tr>
      <w:tr w:rsidR="00463622" w:rsidRPr="00B6303E" w:rsidTr="00E82F77">
        <w:trPr>
          <w:cantSplit/>
          <w:jc w:val="center"/>
        </w:trPr>
        <w:tc>
          <w:tcPr>
            <w:tcW w:w="5000" w:type="pct"/>
            <w:gridSpan w:val="6"/>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Commercial Sector</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Energy</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Thousand TOE</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773.653</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643.705</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193.573</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1675.346</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Prices</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Paisa/kWh</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833.768</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160.654</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417.902</w:t>
            </w:r>
          </w:p>
        </w:tc>
        <w:tc>
          <w:tcPr>
            <w:tcW w:w="721"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GDP</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Rs trillion</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5.632</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3.051</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1.843</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9.653</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Energy Intenst</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E/VA</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0.000327</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2.74E-06</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0.000220</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0.000321</w:t>
            </w:r>
          </w:p>
        </w:tc>
      </w:tr>
      <w:tr w:rsidR="00463622" w:rsidRPr="00B6303E" w:rsidTr="00E82F77">
        <w:trPr>
          <w:cantSplit/>
          <w:jc w:val="center"/>
        </w:trPr>
        <w:tc>
          <w:tcPr>
            <w:tcW w:w="1036"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FDI</w:t>
            </w:r>
          </w:p>
        </w:tc>
        <w:tc>
          <w:tcPr>
            <w:tcW w:w="107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Rs. Million</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32721.54</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64386.37</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11.6</w:t>
            </w:r>
          </w:p>
        </w:tc>
        <w:tc>
          <w:tcPr>
            <w:tcW w:w="72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235865</w:t>
            </w:r>
          </w:p>
        </w:tc>
      </w:tr>
    </w:tbl>
    <w:p w:rsidR="00463622" w:rsidRDefault="00CA01A3" w:rsidP="00E82F77">
      <w:pPr>
        <w:adjustRightInd w:val="0"/>
        <w:snapToGrid w:val="0"/>
        <w:spacing w:after="0" w:line="240" w:lineRule="auto"/>
        <w:jc w:val="both"/>
        <w:rPr>
          <w:rFonts w:ascii="Times New Roman" w:eastAsiaTheme="minorEastAsia" w:hAnsi="Times New Roman" w:hint="eastAsia"/>
          <w:i/>
          <w:sz w:val="20"/>
          <w:szCs w:val="20"/>
          <w:lang w:eastAsia="zh-CN"/>
        </w:rPr>
      </w:pPr>
      <w:r w:rsidRPr="00B6303E">
        <w:rPr>
          <w:rFonts w:ascii="Times New Roman" w:hAnsi="Times New Roman"/>
          <w:i/>
          <w:sz w:val="20"/>
          <w:szCs w:val="20"/>
        </w:rPr>
        <w:t>Note: E* shows primary energy consumption</w:t>
      </w:r>
    </w:p>
    <w:p w:rsidR="00E82F77" w:rsidRDefault="00E82F77" w:rsidP="00E82F77">
      <w:pPr>
        <w:adjustRightInd w:val="0"/>
        <w:snapToGrid w:val="0"/>
        <w:spacing w:after="0" w:line="240" w:lineRule="auto"/>
        <w:jc w:val="both"/>
        <w:rPr>
          <w:rFonts w:ascii="Times New Roman" w:eastAsiaTheme="minorEastAsia" w:hAnsi="Times New Roman" w:hint="eastAsia"/>
          <w:i/>
          <w:sz w:val="20"/>
          <w:szCs w:val="20"/>
          <w:lang w:eastAsia="zh-CN"/>
        </w:rPr>
      </w:pPr>
    </w:p>
    <w:p w:rsidR="00E82F77" w:rsidRDefault="00E82F77" w:rsidP="00E82F77">
      <w:pPr>
        <w:adjustRightInd w:val="0"/>
        <w:snapToGrid w:val="0"/>
        <w:spacing w:after="0" w:line="240" w:lineRule="auto"/>
        <w:jc w:val="both"/>
        <w:rPr>
          <w:rFonts w:ascii="Times New Roman" w:eastAsiaTheme="minorEastAsia" w:hAnsi="Times New Roman"/>
          <w:i/>
          <w:sz w:val="20"/>
          <w:szCs w:val="20"/>
          <w:lang w:eastAsia="zh-CN"/>
        </w:rPr>
        <w:sectPr w:rsidR="00E82F77" w:rsidSect="00E82F77">
          <w:type w:val="continuous"/>
          <w:pgSz w:w="12240" w:h="15840"/>
          <w:pgMar w:top="1440" w:right="1440" w:bottom="1440" w:left="1440" w:header="720" w:footer="720" w:gutter="0"/>
          <w:cols w:space="720"/>
          <w:docGrid w:linePitch="360"/>
        </w:sectPr>
      </w:pPr>
    </w:p>
    <w:p w:rsidR="00463622" w:rsidRPr="00B6303E" w:rsidRDefault="00CA01A3" w:rsidP="00E82F77">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lastRenderedPageBreak/>
        <w:t>3.4 Johansen-</w:t>
      </w:r>
      <w:proofErr w:type="spellStart"/>
      <w:r w:rsidRPr="00B6303E">
        <w:rPr>
          <w:rFonts w:ascii="Times New Roman" w:hAnsi="Times New Roman"/>
          <w:b/>
          <w:sz w:val="20"/>
          <w:szCs w:val="20"/>
        </w:rPr>
        <w:t>Juselius</w:t>
      </w:r>
      <w:proofErr w:type="spellEnd"/>
      <w:r w:rsidRPr="00B6303E">
        <w:rPr>
          <w:rFonts w:ascii="Times New Roman" w:hAnsi="Times New Roman"/>
          <w:b/>
          <w:sz w:val="20"/>
          <w:szCs w:val="20"/>
        </w:rPr>
        <w:t xml:space="preserve"> Co-integration test </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t xml:space="preserve">    The next step would be that if all the project's variables are co-integrated or tied in a long-term connection. To approve the survival of a long-run relationship among all valued variables, Johansen,</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{"citationItems":[{"id":"ITEM-1","itemData":{"author":[{"dropping-particle":"","family":"Johansen","given":"Soren","non-dropping-particle":"","parse-names":false,"suffix":""}],"container-title":"Oxford Bulletin of Econometrics and Statistics","id":"ITEM-1","issued":{"date-parts":[["1990"]]},"page":"169-210","title":"The full information maximum likelihood procedure for inference on cointegration-with application to the demand for money","type":"article-journal","volume":"52"},"suppress-author":1,"uris":["http://www.mendeley.com/documents/?uuid=1cf9edd7-810f-499a-bb1e-a1c8ea6d6747"]}],"mendeley":{"formattedCitation":"(1990)","plainTextFormattedCitation":"(1990)","previouslyFormattedCitation":"(1990)"},"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(1990)</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technique based on the "Maximum Likelihood method" and "eigenvalue statistics" is a broadly exploited method. Cointegration is considered to exist when the values of determined statistics deviate considerably from zero. If variables are determined to be co-integrated, it indicates they have a linear, stable, and long-run relationship, with disequilibrium errors that tend to fluctuate around zero. This indicates that in the long period, variables tend to migrate together to their steady-state path. By considering two variables </w:t>
      </w:r>
      <w:r w:rsidR="00463622" w:rsidRPr="00B6303E">
        <w:rPr>
          <w:rFonts w:ascii="Times New Roman" w:hAnsi="Times New Roman"/>
          <w:position w:val="-8"/>
          <w:sz w:val="20"/>
          <w:szCs w:val="20"/>
        </w:rPr>
        <w:object w:dxaOrig="220" w:dyaOrig="260">
          <v:shape id="_x0000_i1040" type="#_x0000_t75" style="width:11.25pt;height:12.75pt" o:ole="">
            <v:imagedata r:id="rId57" o:title=""/>
          </v:shape>
          <o:OLEObject Type="Embed" ProgID="Equation.DSMT4" ShapeID="_x0000_i1040" DrawAspect="Content" ObjectID="_1693236994" r:id="rId58"/>
        </w:object>
      </w:r>
      <w:r w:rsidRPr="00B6303E">
        <w:rPr>
          <w:rFonts w:ascii="Times New Roman" w:hAnsi="Times New Roman"/>
          <w:sz w:val="20"/>
          <w:szCs w:val="20"/>
        </w:rPr>
        <w:t xml:space="preserve"> and </w:t>
      </w:r>
      <w:r w:rsidR="00463622" w:rsidRPr="00B6303E">
        <w:rPr>
          <w:rFonts w:ascii="Times New Roman" w:hAnsi="Times New Roman"/>
          <w:position w:val="-8"/>
          <w:sz w:val="20"/>
          <w:szCs w:val="20"/>
        </w:rPr>
        <w:object w:dxaOrig="240" w:dyaOrig="260">
          <v:shape id="_x0000_i1041" type="#_x0000_t75" style="width:12pt;height:12.75pt" o:ole="">
            <v:imagedata r:id="rId59" o:title=""/>
          </v:shape>
          <o:OLEObject Type="Embed" ProgID="Equation.DSMT4" ShapeID="_x0000_i1041" DrawAspect="Content" ObjectID="_1693236995" r:id="rId60"/>
        </w:object>
      </w:r>
      <w:r w:rsidRPr="00B6303E">
        <w:rPr>
          <w:rFonts w:ascii="Times New Roman" w:hAnsi="Times New Roman"/>
          <w:sz w:val="20"/>
          <w:szCs w:val="20"/>
        </w:rPr>
        <w:t xml:space="preserve">, first-order VAR is presented in Eqs. (7) and (8). </w:t>
      </w:r>
    </w:p>
    <w:p w:rsidR="00463622" w:rsidRPr="00B6303E" w:rsidRDefault="00463622"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position w:val="-10"/>
          <w:sz w:val="20"/>
          <w:szCs w:val="20"/>
        </w:rPr>
        <w:object w:dxaOrig="1819" w:dyaOrig="280">
          <v:shape id="_x0000_i1042" type="#_x0000_t75" style="width:91.5pt;height:14.25pt" o:ole="">
            <v:imagedata r:id="rId61" o:title=""/>
          </v:shape>
          <o:OLEObject Type="Embed" ProgID="Equation.DSMT4" ShapeID="_x0000_i1042" DrawAspect="Content" ObjectID="_1693236996" r:id="rId62"/>
        </w:object>
      </w:r>
      <w:r w:rsidR="00CA01A3" w:rsidRPr="00B6303E">
        <w:rPr>
          <w:rFonts w:ascii="Times New Roman" w:hAnsi="Times New Roman"/>
          <w:sz w:val="20"/>
          <w:szCs w:val="20"/>
        </w:rPr>
        <w:t>… (7)</w:t>
      </w:r>
    </w:p>
    <w:p w:rsidR="00463622" w:rsidRPr="00B6303E" w:rsidRDefault="00463622"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position w:val="-8"/>
          <w:sz w:val="20"/>
          <w:szCs w:val="20"/>
        </w:rPr>
        <w:object w:dxaOrig="2020" w:dyaOrig="260">
          <v:shape id="_x0000_i1043" type="#_x0000_t75" style="width:100.5pt;height:12.75pt" o:ole="">
            <v:imagedata r:id="rId63" o:title=""/>
          </v:shape>
          <o:OLEObject Type="Embed" ProgID="Equation.DSMT4" ShapeID="_x0000_i1043" DrawAspect="Content" ObjectID="_1693236997" r:id="rId64"/>
        </w:object>
      </w:r>
      <w:r w:rsidR="00CA01A3" w:rsidRPr="00B6303E">
        <w:rPr>
          <w:rFonts w:ascii="Times New Roman" w:hAnsi="Times New Roman"/>
          <w:sz w:val="20"/>
          <w:szCs w:val="20"/>
        </w:rPr>
        <w:t>… (8</w:t>
      </w:r>
      <w:r w:rsidR="00CA01A3" w:rsidRPr="00B6303E">
        <w:rPr>
          <w:sz w:val="20"/>
          <w:szCs w:val="20"/>
        </w:rPr>
        <w:t>)</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t>Where</w:t>
      </w:r>
      <w:r w:rsidR="00463622" w:rsidRPr="00B6303E">
        <w:rPr>
          <w:rFonts w:ascii="Times New Roman" w:hAnsi="Times New Roman"/>
          <w:position w:val="-10"/>
          <w:sz w:val="20"/>
          <w:szCs w:val="20"/>
        </w:rPr>
        <w:object w:dxaOrig="260" w:dyaOrig="280">
          <v:shape id="_x0000_i1044" type="#_x0000_t75" style="width:12.75pt;height:14.25pt" o:ole="">
            <v:imagedata r:id="rId65" o:title=""/>
          </v:shape>
          <o:OLEObject Type="Embed" ProgID="Equation.DSMT4" ShapeID="_x0000_i1044" DrawAspect="Content" ObjectID="_1693236998" r:id="rId66"/>
        </w:object>
      </w:r>
      <w:r w:rsidRPr="00B6303E">
        <w:rPr>
          <w:rFonts w:ascii="Times New Roman" w:hAnsi="Times New Roman"/>
          <w:sz w:val="20"/>
          <w:szCs w:val="20"/>
        </w:rPr>
        <w:t>and</w:t>
      </w:r>
      <w:r w:rsidR="00463622" w:rsidRPr="00B6303E">
        <w:rPr>
          <w:rFonts w:ascii="Times New Roman" w:hAnsi="Times New Roman"/>
          <w:position w:val="-8"/>
          <w:sz w:val="20"/>
          <w:szCs w:val="20"/>
        </w:rPr>
        <w:object w:dxaOrig="260" w:dyaOrig="260">
          <v:shape id="_x0000_i1045" type="#_x0000_t75" style="width:12.75pt;height:12.75pt" o:ole="">
            <v:imagedata r:id="rId67" o:title=""/>
          </v:shape>
          <o:OLEObject Type="Embed" ProgID="Equation.DSMT4" ShapeID="_x0000_i1045" DrawAspect="Content" ObjectID="_1693236999" r:id="rId68"/>
        </w:object>
      </w:r>
      <w:r w:rsidRPr="00B6303E">
        <w:rPr>
          <w:rFonts w:ascii="Times New Roman" w:hAnsi="Times New Roman"/>
          <w:sz w:val="20"/>
          <w:szCs w:val="20"/>
        </w:rPr>
        <w:t>represent white noise error terms that may or may not be linked. In the context of matrices, these equations can be expressed as:</w:t>
      </w:r>
    </w:p>
    <w:p w:rsidR="00463622" w:rsidRPr="00B6303E" w:rsidRDefault="00463622"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position w:val="-8"/>
          <w:sz w:val="20"/>
          <w:szCs w:val="20"/>
        </w:rPr>
        <w:object w:dxaOrig="1300" w:dyaOrig="300">
          <v:shape id="_x0000_i1046" type="#_x0000_t75" style="width:64.5pt;height:15pt" o:ole="">
            <v:imagedata r:id="rId69" o:title=""/>
          </v:shape>
          <o:OLEObject Type="Embed" ProgID="Equation.DSMT4" ShapeID="_x0000_i1046" DrawAspect="Content" ObjectID="_1693237000" r:id="rId70"/>
        </w:object>
      </w:r>
      <w:r w:rsidR="00CA01A3" w:rsidRPr="00B6303E">
        <w:rPr>
          <w:rFonts w:ascii="Times New Roman" w:hAnsi="Times New Roman"/>
          <w:sz w:val="20"/>
          <w:szCs w:val="20"/>
        </w:rPr>
        <w:t>… (9</w:t>
      </w:r>
      <w:r w:rsidR="00CA01A3" w:rsidRPr="00B6303E">
        <w:rPr>
          <w:sz w:val="20"/>
          <w:szCs w:val="20"/>
        </w:rPr>
        <w:t>)</w:t>
      </w:r>
    </w:p>
    <w:p w:rsidR="00463622" w:rsidRPr="00B6303E" w:rsidRDefault="00B6303E" w:rsidP="00E82F77">
      <w:pPr>
        <w:adjustRightInd w:val="0"/>
        <w:snapToGrid w:val="0"/>
        <w:spacing w:after="0" w:line="240" w:lineRule="auto"/>
        <w:ind w:firstLine="720"/>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Where,</w:t>
      </w:r>
      <w:r w:rsidR="00463622" w:rsidRPr="00B6303E">
        <w:rPr>
          <w:rFonts w:ascii="Times New Roman" w:hAnsi="Times New Roman"/>
          <w:position w:val="-6"/>
          <w:sz w:val="20"/>
          <w:szCs w:val="20"/>
        </w:rPr>
        <w:object w:dxaOrig="240" w:dyaOrig="260">
          <v:shape id="_x0000_i1047" type="#_x0000_t75" style="width:12pt;height:12.75pt" o:ole="">
            <v:imagedata r:id="rId71" o:title=""/>
          </v:shape>
          <o:OLEObject Type="Embed" ProgID="Equation.DSMT4" ShapeID="_x0000_i1047" DrawAspect="Content" ObjectID="_1693237001" r:id="rId72"/>
        </w:object>
      </w:r>
      <w:r w:rsidR="00CA01A3" w:rsidRPr="00B6303E">
        <w:rPr>
          <w:rFonts w:ascii="Times New Roman" w:hAnsi="Times New Roman"/>
          <w:sz w:val="20"/>
          <w:szCs w:val="20"/>
        </w:rPr>
        <w:t>represents</w:t>
      </w:r>
      <w:r w:rsidR="00463622" w:rsidRPr="00B6303E">
        <w:rPr>
          <w:rFonts w:ascii="Times New Roman" w:hAnsi="Times New Roman"/>
          <w:position w:val="-8"/>
          <w:sz w:val="20"/>
          <w:szCs w:val="20"/>
        </w:rPr>
        <w:object w:dxaOrig="220" w:dyaOrig="260">
          <v:shape id="_x0000_i1048" type="#_x0000_t75" style="width:11.25pt;height:12.75pt" o:ole="">
            <v:imagedata r:id="rId73" o:title=""/>
          </v:shape>
          <o:OLEObject Type="Embed" ProgID="Equation.DSMT4" ShapeID="_x0000_i1048" DrawAspect="Content" ObjectID="_1693237002" r:id="rId74"/>
        </w:object>
      </w:r>
      <w:r w:rsidR="00CA01A3" w:rsidRPr="00B6303E">
        <w:rPr>
          <w:rFonts w:ascii="Times New Roman" w:hAnsi="Times New Roman"/>
          <w:sz w:val="20"/>
          <w:szCs w:val="20"/>
        </w:rPr>
        <w:t>and</w:t>
      </w:r>
      <w:r w:rsidR="00463622" w:rsidRPr="00B6303E">
        <w:rPr>
          <w:rFonts w:ascii="Times New Roman" w:hAnsi="Times New Roman"/>
          <w:position w:val="-8"/>
          <w:sz w:val="20"/>
          <w:szCs w:val="20"/>
        </w:rPr>
        <w:object w:dxaOrig="240" w:dyaOrig="260">
          <v:shape id="_x0000_i1049" type="#_x0000_t75" style="width:12pt;height:12.75pt" o:ole="">
            <v:imagedata r:id="rId75" o:title=""/>
          </v:shape>
          <o:OLEObject Type="Embed" ProgID="Equation.DSMT4" ShapeID="_x0000_i1049" DrawAspect="Content" ObjectID="_1693237003" r:id="rId76"/>
        </w:object>
      </w:r>
      <w:r w:rsidR="00CA01A3" w:rsidRPr="00B6303E">
        <w:rPr>
          <w:rFonts w:ascii="Times New Roman" w:hAnsi="Times New Roman"/>
          <w:sz w:val="20"/>
          <w:szCs w:val="20"/>
        </w:rPr>
        <w:t>,and</w:t>
      </w:r>
      <w:r w:rsidR="00463622" w:rsidRPr="00B6303E">
        <w:rPr>
          <w:rFonts w:ascii="Times New Roman" w:hAnsi="Times New Roman"/>
          <w:position w:val="-8"/>
          <w:sz w:val="20"/>
          <w:szCs w:val="20"/>
        </w:rPr>
        <w:object w:dxaOrig="180" w:dyaOrig="260">
          <v:shape id="_x0000_i1050" type="#_x0000_t75" style="width:9pt;height:12.75pt" o:ole="">
            <v:imagedata r:id="rId77" o:title=""/>
          </v:shape>
          <o:OLEObject Type="Embed" ProgID="Equation.DSMT4" ShapeID="_x0000_i1050" DrawAspect="Content" ObjectID="_1693237004" r:id="rId78"/>
        </w:object>
      </w:r>
      <w:r w:rsidR="00CA01A3" w:rsidRPr="00B6303E">
        <w:rPr>
          <w:rFonts w:ascii="Times New Roman" w:hAnsi="Times New Roman"/>
          <w:sz w:val="20"/>
          <w:szCs w:val="20"/>
        </w:rPr>
        <w:t xml:space="preserve">represents </w:t>
      </w:r>
      <w:r w:rsidR="00463622" w:rsidRPr="00B6303E">
        <w:rPr>
          <w:rFonts w:ascii="Times New Roman" w:hAnsi="Times New Roman"/>
          <w:position w:val="-10"/>
          <w:sz w:val="20"/>
          <w:szCs w:val="20"/>
        </w:rPr>
        <w:object w:dxaOrig="220" w:dyaOrig="280">
          <v:shape id="_x0000_i1051" type="#_x0000_t75" style="width:11.25pt;height:14.25pt" o:ole="">
            <v:imagedata r:id="rId79" o:title=""/>
          </v:shape>
          <o:OLEObject Type="Embed" ProgID="Equation.DSMT4" ShapeID="_x0000_i1051" DrawAspect="Content" ObjectID="_1693237005" r:id="rId80"/>
        </w:object>
      </w:r>
      <w:r w:rsidR="00CA01A3" w:rsidRPr="00B6303E">
        <w:rPr>
          <w:rFonts w:ascii="Times New Roman" w:hAnsi="Times New Roman"/>
          <w:sz w:val="20"/>
          <w:szCs w:val="20"/>
        </w:rPr>
        <w:t xml:space="preserve"> and </w:t>
      </w:r>
      <w:r w:rsidR="00463622" w:rsidRPr="00B6303E">
        <w:rPr>
          <w:rFonts w:ascii="Times New Roman" w:hAnsi="Times New Roman"/>
          <w:position w:val="-8"/>
          <w:sz w:val="20"/>
          <w:szCs w:val="20"/>
        </w:rPr>
        <w:object w:dxaOrig="240" w:dyaOrig="260">
          <v:shape id="_x0000_i1052" type="#_x0000_t75" style="width:12pt;height:12.75pt" o:ole="">
            <v:imagedata r:id="rId81" o:title=""/>
          </v:shape>
          <o:OLEObject Type="Embed" ProgID="Equation.DSMT4" ShapeID="_x0000_i1052" DrawAspect="Content" ObjectID="_1693237006" r:id="rId82"/>
        </w:object>
      </w:r>
      <w:r w:rsidR="00CA01A3" w:rsidRPr="00B6303E">
        <w:rPr>
          <w:rFonts w:ascii="Times New Roman" w:hAnsi="Times New Roman"/>
          <w:sz w:val="20"/>
          <w:szCs w:val="20"/>
        </w:rPr>
        <w:t>.  Equation (09) indicates the VAR (1) model, whereas Eq. (10) reveals the VAR of pth order:</w:t>
      </w:r>
    </w:p>
    <w:p w:rsidR="00463622" w:rsidRPr="00B6303E" w:rsidRDefault="00463622" w:rsidP="00E82F77">
      <w:pPr>
        <w:adjustRightInd w:val="0"/>
        <w:snapToGrid w:val="0"/>
        <w:spacing w:after="0" w:line="240" w:lineRule="auto"/>
        <w:rPr>
          <w:rFonts w:ascii="Times New Roman" w:hAnsi="Times New Roman"/>
          <w:sz w:val="20"/>
          <w:szCs w:val="20"/>
        </w:rPr>
      </w:pPr>
      <w:r w:rsidRPr="00B6303E">
        <w:rPr>
          <w:rFonts w:ascii="Times New Roman" w:hAnsi="Times New Roman"/>
          <w:position w:val="-8"/>
          <w:sz w:val="20"/>
          <w:szCs w:val="20"/>
        </w:rPr>
        <w:object w:dxaOrig="2420" w:dyaOrig="300">
          <v:shape id="_x0000_i1053" type="#_x0000_t75" style="width:120.75pt;height:15pt" o:ole="">
            <v:imagedata r:id="rId83" o:title=""/>
          </v:shape>
          <o:OLEObject Type="Embed" ProgID="Equation.DSMT4" ShapeID="_x0000_i1053" DrawAspect="Content" ObjectID="_1693237007" r:id="rId84"/>
        </w:object>
      </w:r>
      <w:r w:rsidR="00CA01A3" w:rsidRPr="00B6303E">
        <w:rPr>
          <w:rFonts w:ascii="Times New Roman" w:hAnsi="Times New Roman"/>
          <w:sz w:val="20"/>
          <w:szCs w:val="20"/>
        </w:rPr>
        <w:t>… (10)</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lastRenderedPageBreak/>
        <w:t xml:space="preserve">Where </w:t>
      </w:r>
      <w:r w:rsidR="00463622" w:rsidRPr="00B6303E">
        <w:rPr>
          <w:rFonts w:ascii="Times New Roman" w:hAnsi="Times New Roman"/>
          <w:position w:val="-8"/>
          <w:sz w:val="20"/>
          <w:szCs w:val="20"/>
        </w:rPr>
        <w:object w:dxaOrig="220" w:dyaOrig="280">
          <v:shape id="_x0000_i1054" type="#_x0000_t75" style="width:11.25pt;height:14.25pt" o:ole="">
            <v:imagedata r:id="rId85" o:title=""/>
          </v:shape>
          <o:OLEObject Type="Embed" ProgID="Equation.DSMT4" ShapeID="_x0000_i1054" DrawAspect="Content" ObjectID="_1693237008" r:id="rId86"/>
        </w:object>
      </w:r>
      <w:r w:rsidRPr="00B6303E">
        <w:rPr>
          <w:rFonts w:ascii="Times New Roman" w:hAnsi="Times New Roman"/>
          <w:sz w:val="20"/>
          <w:szCs w:val="20"/>
        </w:rPr>
        <w:t xml:space="preserve">is the </w:t>
      </w:r>
      <w:r w:rsidR="00463622" w:rsidRPr="00B6303E">
        <w:rPr>
          <w:rFonts w:ascii="Times New Roman" w:hAnsi="Times New Roman"/>
          <w:position w:val="-8"/>
          <w:sz w:val="20"/>
          <w:szCs w:val="20"/>
        </w:rPr>
        <w:object w:dxaOrig="460" w:dyaOrig="240">
          <v:shape id="_x0000_i1055" type="#_x0000_t75" style="width:23.25pt;height:12pt" o:ole="">
            <v:imagedata r:id="rId87" o:title=""/>
          </v:shape>
          <o:OLEObject Type="Embed" ProgID="Equation.DSMT4" ShapeID="_x0000_i1055" DrawAspect="Content" ObjectID="_1693237009" r:id="rId88"/>
        </w:object>
      </w:r>
      <w:r w:rsidRPr="00B6303E">
        <w:rPr>
          <w:rFonts w:ascii="Times New Roman" w:hAnsi="Times New Roman"/>
          <w:sz w:val="20"/>
          <w:szCs w:val="20"/>
        </w:rPr>
        <w:t xml:space="preserve"> vector of the whole time series. Each </w:t>
      </w:r>
      <w:r w:rsidR="00463622" w:rsidRPr="00B6303E">
        <w:rPr>
          <w:rFonts w:ascii="Times New Roman" w:hAnsi="Times New Roman"/>
          <w:position w:val="-4"/>
          <w:sz w:val="20"/>
          <w:szCs w:val="20"/>
        </w:rPr>
        <w:object w:dxaOrig="200" w:dyaOrig="200">
          <v:shape id="_x0000_i1056" type="#_x0000_t75" style="width:9.75pt;height:9.75pt" o:ole="">
            <v:imagedata r:id="rId89" o:title=""/>
          </v:shape>
          <o:OLEObject Type="Embed" ProgID="Equation.DSMT4" ShapeID="_x0000_i1056" DrawAspect="Content" ObjectID="_1693237010" r:id="rId90"/>
        </w:object>
      </w:r>
      <w:r w:rsidRPr="00B6303E">
        <w:rPr>
          <w:rFonts w:ascii="Times New Roman" w:hAnsi="Times New Roman"/>
          <w:sz w:val="20"/>
          <w:szCs w:val="20"/>
        </w:rPr>
        <w:t xml:space="preserve">is a </w:t>
      </w:r>
      <w:r w:rsidR="00463622" w:rsidRPr="00B6303E">
        <w:rPr>
          <w:rFonts w:ascii="Times New Roman" w:hAnsi="Times New Roman"/>
          <w:position w:val="-8"/>
          <w:sz w:val="20"/>
          <w:szCs w:val="20"/>
        </w:rPr>
        <w:object w:dxaOrig="500" w:dyaOrig="240">
          <v:shape id="_x0000_i1057" type="#_x0000_t75" style="width:24.75pt;height:12pt" o:ole="">
            <v:imagedata r:id="rId91" o:title=""/>
          </v:shape>
          <o:OLEObject Type="Embed" ProgID="Equation.DSMT4" ShapeID="_x0000_i1057" DrawAspect="Content" ObjectID="_1693237011" r:id="rId92"/>
        </w:object>
      </w:r>
      <w:r w:rsidRPr="00B6303E">
        <w:rPr>
          <w:rFonts w:ascii="Times New Roman" w:hAnsi="Times New Roman"/>
          <w:sz w:val="20"/>
          <w:szCs w:val="20"/>
        </w:rPr>
        <w:t xml:space="preserve"> coefficient matrix, and </w:t>
      </w:r>
      <w:r w:rsidR="00463622" w:rsidRPr="00B6303E">
        <w:rPr>
          <w:rFonts w:ascii="Times New Roman" w:hAnsi="Times New Roman"/>
          <w:position w:val="-8"/>
          <w:sz w:val="20"/>
          <w:szCs w:val="20"/>
        </w:rPr>
        <w:object w:dxaOrig="180" w:dyaOrig="260">
          <v:shape id="_x0000_i1058" type="#_x0000_t75" style="width:9pt;height:12.75pt" o:ole="">
            <v:imagedata r:id="rId93" o:title=""/>
          </v:shape>
          <o:OLEObject Type="Embed" ProgID="Equation.DSMT4" ShapeID="_x0000_i1058" DrawAspect="Content" ObjectID="_1693237012" r:id="rId94"/>
        </w:object>
      </w:r>
      <w:r w:rsidRPr="00B6303E">
        <w:rPr>
          <w:rFonts w:ascii="Times New Roman" w:hAnsi="Times New Roman"/>
          <w:sz w:val="20"/>
          <w:szCs w:val="20"/>
        </w:rPr>
        <w:t xml:space="preserve"> is a </w:t>
      </w:r>
      <w:r w:rsidR="00463622" w:rsidRPr="00B6303E">
        <w:rPr>
          <w:rFonts w:ascii="Times New Roman" w:hAnsi="Times New Roman"/>
          <w:position w:val="-8"/>
          <w:sz w:val="20"/>
          <w:szCs w:val="20"/>
        </w:rPr>
        <w:object w:dxaOrig="460" w:dyaOrig="240">
          <v:shape id="_x0000_i1059" type="#_x0000_t75" style="width:23.25pt;height:12pt" o:ole="">
            <v:imagedata r:id="rId95" o:title=""/>
          </v:shape>
          <o:OLEObject Type="Embed" ProgID="Equation.DSMT4" ShapeID="_x0000_i1059" DrawAspect="Content" ObjectID="_1693237013" r:id="rId96"/>
        </w:object>
      </w:r>
      <w:r w:rsidRPr="00B6303E">
        <w:rPr>
          <w:rFonts w:ascii="Times New Roman" w:hAnsi="Times New Roman"/>
          <w:sz w:val="20"/>
          <w:szCs w:val="20"/>
        </w:rPr>
        <w:t xml:space="preserve"> vector of white noise error terms with two attributes. The mean is </w:t>
      </w:r>
      <w:r w:rsidR="00463622" w:rsidRPr="00B6303E">
        <w:rPr>
          <w:rFonts w:ascii="Times New Roman" w:hAnsi="Times New Roman"/>
          <w:position w:val="-6"/>
          <w:sz w:val="20"/>
          <w:szCs w:val="20"/>
        </w:rPr>
        <w:object w:dxaOrig="160" w:dyaOrig="220">
          <v:shape id="_x0000_i1060" type="#_x0000_t75" style="width:8.25pt;height:11.25pt" o:ole="">
            <v:imagedata r:id="rId97" o:title=""/>
          </v:shape>
          <o:OLEObject Type="Embed" ProgID="Equation.DSMT4" ShapeID="_x0000_i1060" DrawAspect="Content" ObjectID="_1693237014" r:id="rId98"/>
        </w:object>
      </w:r>
      <w:r w:rsidRPr="00B6303E">
        <w:rPr>
          <w:rFonts w:ascii="Times New Roman" w:hAnsi="Times New Roman"/>
          <w:sz w:val="20"/>
          <w:szCs w:val="20"/>
        </w:rPr>
        <w:t>, and the variance is constant. The Johansen-Juselius cointegration test is used in VAR to evaluate whether there is a long-term connection between our variables of interest Eq.11:</w:t>
      </w:r>
    </w:p>
    <w:p w:rsidR="00463622" w:rsidRPr="00B6303E" w:rsidRDefault="00463622"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position w:val="-10"/>
          <w:sz w:val="20"/>
          <w:szCs w:val="20"/>
        </w:rPr>
        <w:object w:dxaOrig="2880" w:dyaOrig="300">
          <v:shape id="_x0000_i1061" type="#_x0000_t75" style="width:2in;height:15pt" o:ole="">
            <v:imagedata r:id="rId99" o:title=""/>
          </v:shape>
          <o:OLEObject Type="Embed" ProgID="Equation.DSMT4" ShapeID="_x0000_i1061" DrawAspect="Content" ObjectID="_1693237015" r:id="rId100"/>
        </w:object>
      </w:r>
      <w:r w:rsidR="00CA01A3" w:rsidRPr="00B6303E">
        <w:rPr>
          <w:rFonts w:ascii="Times New Roman" w:hAnsi="Times New Roman"/>
          <w:sz w:val="20"/>
          <w:szCs w:val="20"/>
        </w:rPr>
        <w:t>… (11</w:t>
      </w:r>
      <w:r w:rsidR="00CA01A3" w:rsidRPr="00B6303E">
        <w:rPr>
          <w:sz w:val="20"/>
          <w:szCs w:val="20"/>
        </w:rPr>
        <w:t>)</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t xml:space="preserve">    In this case, </w:t>
      </w:r>
      <w:r w:rsidR="00463622" w:rsidRPr="00B6303E">
        <w:rPr>
          <w:rFonts w:ascii="Times New Roman" w:hAnsi="Times New Roman"/>
          <w:position w:val="-8"/>
          <w:sz w:val="20"/>
          <w:szCs w:val="20"/>
        </w:rPr>
        <w:object w:dxaOrig="680" w:dyaOrig="240">
          <v:shape id="_x0000_i1062" type="#_x0000_t75" style="width:33.75pt;height:12pt" o:ole="">
            <v:imagedata r:id="rId101" o:title=""/>
          </v:shape>
          <o:OLEObject Type="Embed" ProgID="Equation.DSMT4" ShapeID="_x0000_i1062" DrawAspect="Content" ObjectID="_1693237016" r:id="rId102"/>
        </w:object>
      </w:r>
      <w:r w:rsidRPr="00B6303E">
        <w:rPr>
          <w:rFonts w:ascii="Times New Roman" w:hAnsi="Times New Roman"/>
          <w:sz w:val="20"/>
          <w:szCs w:val="20"/>
        </w:rPr>
        <w:t xml:space="preserve">the matrix of co-integrating vectors and is also the co-integrating matrix's weight. The first element in the Johansen cointegration technique is to test for the hypothesis associated with matrix rank </w:t>
      </w:r>
      <w:r w:rsidR="00463622" w:rsidRPr="00B6303E">
        <w:rPr>
          <w:rFonts w:ascii="Times New Roman" w:hAnsi="Times New Roman"/>
          <w:position w:val="-8"/>
          <w:sz w:val="20"/>
          <w:szCs w:val="20"/>
        </w:rPr>
        <w:object w:dxaOrig="240" w:dyaOrig="240">
          <v:shape id="_x0000_i1063" type="#_x0000_t75" style="width:12pt;height:12pt" o:ole="">
            <v:imagedata r:id="rId103" o:title=""/>
          </v:shape>
          <o:OLEObject Type="Embed" ProgID="Equation.DSMT4" ShapeID="_x0000_i1063" DrawAspect="Content" ObjectID="_1693237017" r:id="rId104"/>
        </w:object>
      </w:r>
      <w:r w:rsidRPr="00B6303E">
        <w:rPr>
          <w:rFonts w:ascii="Times New Roman" w:hAnsi="Times New Roman"/>
          <w:sz w:val="20"/>
          <w:szCs w:val="20"/>
        </w:rPr>
        <w:t xml:space="preserve">. The rank of a model shows the representation of co-integrating vectors. The number of co-integrating vectors may be evaluated using the trace and maximal eigenvalue tests. Trace test checks the null hypothesis of </w:t>
      </w:r>
      <w:r w:rsidR="00463622" w:rsidRPr="00B6303E">
        <w:rPr>
          <w:rFonts w:ascii="Times New Roman" w:hAnsi="Times New Roman"/>
          <w:position w:val="-6"/>
          <w:sz w:val="20"/>
          <w:szCs w:val="20"/>
        </w:rPr>
        <w:object w:dxaOrig="380" w:dyaOrig="220">
          <v:shape id="_x0000_i1064" type="#_x0000_t75" style="width:19.5pt;height:11.25pt" o:ole="">
            <v:imagedata r:id="rId105" o:title=""/>
          </v:shape>
          <o:OLEObject Type="Embed" ProgID="Equation.DSMT4" ShapeID="_x0000_i1064" DrawAspect="Content" ObjectID="_1693237018" r:id="rId106"/>
        </w:object>
      </w:r>
      <w:r w:rsidRPr="00B6303E">
        <w:rPr>
          <w:rFonts w:ascii="Times New Roman" w:hAnsi="Times New Roman"/>
          <w:sz w:val="20"/>
          <w:szCs w:val="20"/>
        </w:rPr>
        <w:t xml:space="preserve"> near the alternative hypothesis of </w:t>
      </w:r>
      <w:r w:rsidR="00463622" w:rsidRPr="00B6303E">
        <w:rPr>
          <w:rFonts w:ascii="Times New Roman" w:hAnsi="Times New Roman"/>
          <w:position w:val="-4"/>
          <w:sz w:val="20"/>
          <w:szCs w:val="20"/>
        </w:rPr>
        <w:object w:dxaOrig="339" w:dyaOrig="200">
          <v:shape id="_x0000_i1065" type="#_x0000_t75" style="width:16.5pt;height:9.75pt" o:ole="">
            <v:imagedata r:id="rId107" o:title=""/>
          </v:shape>
          <o:OLEObject Type="Embed" ProgID="Equation.DSMT4" ShapeID="_x0000_i1065" DrawAspect="Content" ObjectID="_1693237019" r:id="rId108"/>
        </w:object>
      </w:r>
      <w:r w:rsidRPr="00B6303E">
        <w:rPr>
          <w:rFonts w:ascii="Times New Roman" w:hAnsi="Times New Roman"/>
          <w:sz w:val="20"/>
          <w:szCs w:val="20"/>
        </w:rPr>
        <w:t xml:space="preserve"> but and Max test investigates the alternative hypothesis if </w:t>
      </w:r>
      <w:r w:rsidR="00463622" w:rsidRPr="00B6303E">
        <w:rPr>
          <w:rFonts w:ascii="Times New Roman" w:hAnsi="Times New Roman"/>
          <w:position w:val="-4"/>
          <w:sz w:val="20"/>
          <w:szCs w:val="20"/>
        </w:rPr>
        <w:object w:dxaOrig="339" w:dyaOrig="200">
          <v:shape id="_x0000_i1066" type="#_x0000_t75" style="width:16.5pt;height:9.75pt" o:ole="">
            <v:imagedata r:id="rId109" o:title=""/>
          </v:shape>
          <o:OLEObject Type="Embed" ProgID="Equation.DSMT4" ShapeID="_x0000_i1066" DrawAspect="Content" ObjectID="_1693237020" r:id="rId110"/>
        </w:object>
      </w:r>
      <w:r w:rsidRPr="00B6303E">
        <w:rPr>
          <w:rFonts w:ascii="Times New Roman" w:hAnsi="Times New Roman"/>
          <w:sz w:val="20"/>
          <w:szCs w:val="20"/>
        </w:rPr>
        <w:t xml:space="preserve">. The bigger the values of Trace and max statistics, and therefore the more common the appearance of co-integrating vectors, the closer the characteristic roots are to one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{"citationItems":[{"id":"ITEM-1","itemData":{"ISBN":"978-1137415462","abstract":"3rd edition. Earlier edition: 2011. Includes index. \"The third edition of Applied Econometrics builds on the success of the popular previous editions. It takes an intuitive, hands-on approach to presenting fundamental concepts in modern econometrics and carefully guides the reader through them. Step-by-step instructions for all econometric tests and methods of estimation are provided, as well as ways in which to interpret the results. This makes it an ideal companion for students new to the subject, or for those requiring a 'refresher'. Applied Econometrics third edition includes: thorough updates of all material in the book; more finance applications; and a brand new Chapter 20: Time Varying Coefficient Models: A new way of estimating bias free parameters. This is an indispensable textbook for undergraduate and Master's economics or finance students taking a course in applied econometrics.\"--Back cover. Statistical background and basic data handling -- The classical linear regression model -- Violating the assumptions of the CLRM -- Topics in econometrics -- Time series econometrics -- Panel data econometrics -- Using econometric software.","author":[{"dropping-particle":"","family":"Asteriou","given":"Dimitrios","non-dropping-particle":"","parse-names":false,"suffix":""},{"dropping-particle":"","family":"Hall","given":"S. G.","non-dropping-particle":"","parse-names":false,"suffix":""}],"id":"ITEM-1","issued":{"date-parts":[["2015"]]},"page":"518","title":"Applied econometrics","type":"article-journal"},"uris":["http://www.mendeley.com/documents/?uuid=d00482b3-60c5-3be7-a2ab-c40952f12389"]}],"mendeley":{"formattedCitation":"(Asteriou &amp; Hall, 2015)","plainTextFormattedCitation":"(Asteriou &amp; Hall, 2015)","previouslyFormattedCitation":"(Asteriou &amp; Hall, 2015)"},"properties":{"noteIndex":0},"schema":"https://github.com/citation-style-language/schema/raw/master/csl-citation.json"}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(Asteriou &amp; Hall, 2015)</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Equations of Trace and Eigenvalue tests (12) and (13):</w:t>
      </w:r>
    </w:p>
    <w:p w:rsidR="00463622" w:rsidRPr="00B6303E" w:rsidRDefault="00463622"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position w:val="-8"/>
          <w:sz w:val="20"/>
          <w:szCs w:val="20"/>
        </w:rPr>
        <w:object w:dxaOrig="1960" w:dyaOrig="260">
          <v:shape id="_x0000_i1067" type="#_x0000_t75" style="width:98.25pt;height:12.75pt" o:ole="">
            <v:imagedata r:id="rId111" o:title=""/>
          </v:shape>
          <o:OLEObject Type="Embed" ProgID="Equation.DSMT4" ShapeID="_x0000_i1067" DrawAspect="Content" ObjectID="_1693237021" r:id="rId112"/>
        </w:object>
      </w:r>
      <w:r w:rsidR="00CA01A3" w:rsidRPr="00B6303E">
        <w:rPr>
          <w:rFonts w:ascii="Times New Roman" w:hAnsi="Times New Roman"/>
          <w:sz w:val="20"/>
          <w:szCs w:val="20"/>
        </w:rPr>
        <w:t>… (12</w:t>
      </w:r>
      <w:r w:rsidR="00CA01A3" w:rsidRPr="00B6303E">
        <w:rPr>
          <w:sz w:val="20"/>
          <w:szCs w:val="20"/>
        </w:rPr>
        <w:t>)</w:t>
      </w:r>
    </w:p>
    <w:p w:rsidR="00463622" w:rsidRPr="00B6303E" w:rsidRDefault="00463622" w:rsidP="00E82F77">
      <w:pPr>
        <w:adjustRightInd w:val="0"/>
        <w:snapToGrid w:val="0"/>
        <w:spacing w:after="0" w:line="240" w:lineRule="auto"/>
        <w:ind w:firstLine="720"/>
        <w:jc w:val="center"/>
        <w:rPr>
          <w:rFonts w:ascii="Times New Roman" w:eastAsia="Times New Roman" w:hAnsi="Times New Roman"/>
          <w:i/>
          <w:sz w:val="20"/>
          <w:szCs w:val="20"/>
        </w:rPr>
      </w:pPr>
      <w:r w:rsidRPr="00B6303E">
        <w:rPr>
          <w:rFonts w:ascii="Times New Roman" w:eastAsia="Times New Roman" w:hAnsi="Times New Roman"/>
          <w:i/>
          <w:position w:val="-8"/>
          <w:sz w:val="20"/>
          <w:szCs w:val="20"/>
        </w:rPr>
        <w:object w:dxaOrig="1899" w:dyaOrig="260">
          <v:shape id="_x0000_i1068" type="#_x0000_t75" style="width:95.25pt;height:12.75pt" o:ole="">
            <v:imagedata r:id="rId113" o:title=""/>
          </v:shape>
          <o:OLEObject Type="Embed" ProgID="Equation.DSMT4" ShapeID="_x0000_i1068" DrawAspect="Content" ObjectID="_1693237022" r:id="rId114"/>
        </w:object>
      </w:r>
      <w:r w:rsidR="00CA01A3" w:rsidRPr="00B6303E">
        <w:rPr>
          <w:rFonts w:ascii="Times New Roman" w:eastAsia="Times New Roman" w:hAnsi="Times New Roman"/>
          <w:i/>
          <w:sz w:val="20"/>
          <w:szCs w:val="20"/>
        </w:rPr>
        <w:t>…</w:t>
      </w:r>
      <w:r w:rsidR="00CA01A3" w:rsidRPr="00B6303E">
        <w:rPr>
          <w:rFonts w:ascii="Times New Roman" w:eastAsia="Times New Roman" w:hAnsi="Times New Roman"/>
          <w:iCs/>
          <w:sz w:val="20"/>
          <w:szCs w:val="20"/>
        </w:rPr>
        <w:t xml:space="preserve"> (</w:t>
      </w:r>
      <w:r w:rsidR="00A77D41" w:rsidRPr="00B6303E">
        <w:rPr>
          <w:sz w:val="20"/>
          <w:szCs w:val="20"/>
        </w:rPr>
        <w:fldChar w:fldCharType="begin"/>
      </w:r>
      <w:r w:rsidR="00CA01A3" w:rsidRPr="00B6303E">
        <w:rPr>
          <w:sz w:val="20"/>
          <w:szCs w:val="20"/>
        </w:rPr>
        <w:instrText xml:space="preserve"> MACROBUTTON MTPlaceRef \* MERGEFORMAT </w:instrText>
      </w:r>
      <w:r w:rsidR="00A77D41" w:rsidRPr="00B6303E">
        <w:rPr>
          <w:sz w:val="20"/>
          <w:szCs w:val="20"/>
        </w:rPr>
        <w:fldChar w:fldCharType="begin"/>
      </w:r>
      <w:r w:rsidR="00CA01A3" w:rsidRPr="00B6303E">
        <w:rPr>
          <w:sz w:val="20"/>
          <w:szCs w:val="20"/>
        </w:rPr>
        <w:instrText xml:space="preserve"> SEQ MTEqn \h \* MERGEFORMAT </w:instrText>
      </w:r>
      <w:r w:rsidR="00A77D41" w:rsidRPr="00B6303E">
        <w:rPr>
          <w:sz w:val="20"/>
          <w:szCs w:val="20"/>
        </w:rPr>
        <w:fldChar w:fldCharType="end"/>
      </w:r>
      <w:r w:rsidR="00CA01A3" w:rsidRPr="00B6303E">
        <w:rPr>
          <w:sz w:val="20"/>
          <w:szCs w:val="20"/>
        </w:rPr>
        <w:instrText>1</w:instrText>
      </w:r>
      <w:r w:rsidR="00A77D41" w:rsidRPr="00B6303E">
        <w:rPr>
          <w:sz w:val="20"/>
          <w:szCs w:val="20"/>
        </w:rPr>
        <w:fldChar w:fldCharType="end"/>
      </w:r>
      <w:r w:rsidR="00CA01A3" w:rsidRPr="00B6303E">
        <w:rPr>
          <w:rFonts w:ascii="Times New Roman" w:hAnsi="Times New Roman"/>
          <w:sz w:val="20"/>
          <w:szCs w:val="20"/>
        </w:rPr>
        <w:t>3</w:t>
      </w:r>
      <w:r w:rsidR="00CA01A3" w:rsidRPr="00B6303E">
        <w:rPr>
          <w:sz w:val="20"/>
          <w:szCs w:val="20"/>
        </w:rPr>
        <w:t>)</w:t>
      </w:r>
    </w:p>
    <w:p w:rsidR="00F82E9D" w:rsidRDefault="00F82E9D" w:rsidP="00E82F77">
      <w:pPr>
        <w:adjustRightInd w:val="0"/>
        <w:snapToGrid w:val="0"/>
        <w:spacing w:after="0" w:line="240" w:lineRule="auto"/>
        <w:jc w:val="both"/>
        <w:outlineLvl w:val="0"/>
        <w:rPr>
          <w:rFonts w:ascii="Times New Roman" w:eastAsiaTheme="minorEastAsia" w:hAnsi="Times New Roman" w:hint="eastAsia"/>
          <w:b/>
          <w:sz w:val="20"/>
          <w:szCs w:val="20"/>
          <w:lang w:eastAsia="zh-CN"/>
        </w:rPr>
      </w:pPr>
    </w:p>
    <w:p w:rsidR="00F82E9D" w:rsidRDefault="00F82E9D" w:rsidP="00E82F77">
      <w:pPr>
        <w:adjustRightInd w:val="0"/>
        <w:snapToGrid w:val="0"/>
        <w:spacing w:after="0" w:line="240" w:lineRule="auto"/>
        <w:jc w:val="both"/>
        <w:outlineLvl w:val="0"/>
        <w:rPr>
          <w:rFonts w:ascii="Times New Roman" w:eastAsiaTheme="minorEastAsia" w:hAnsi="Times New Roman" w:hint="eastAsia"/>
          <w:b/>
          <w:sz w:val="20"/>
          <w:szCs w:val="20"/>
          <w:lang w:eastAsia="zh-CN"/>
        </w:rPr>
      </w:pPr>
    </w:p>
    <w:p w:rsidR="00463622" w:rsidRPr="00B6303E" w:rsidRDefault="00CA01A3" w:rsidP="00E82F77">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lastRenderedPageBreak/>
        <w:t>3.5 Scenario analysis</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eastAsia="Times New Roman" w:hAnsi="Times New Roman"/>
          <w:sz w:val="20"/>
          <w:szCs w:val="20"/>
        </w:rPr>
        <w:t xml:space="preserve">    </w:t>
      </w:r>
      <w:r w:rsidRPr="00B6303E">
        <w:rPr>
          <w:rFonts w:ascii="Times New Roman" w:hAnsi="Times New Roman"/>
          <w:sz w:val="20"/>
          <w:szCs w:val="20"/>
        </w:rPr>
        <w:t>As delineated in section 2, The CPEC will improve economic activity, commerce, and foreign direct investment (FDI) inflows that are all tied to energy demand. We developed a scenario research design based on cointegration to forecast the future energy consumption under CPEC in 2030. We present three scenarios for assessing future energy use: baseline (business as usual), moderate, and advanced. Each scenario has different exogenous variable growth rates for the future, which are briefly acknowledged in section 4. Based on scenario research, we've also predicted energy-saving possibilities.</w:t>
      </w:r>
    </w:p>
    <w:p w:rsidR="00463622" w:rsidRPr="00B6303E" w:rsidRDefault="00CA01A3" w:rsidP="00E82F77">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t>3.6 Monte Carlo simulation</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eastAsia="Times New Roman" w:hAnsi="Times New Roman"/>
          <w:sz w:val="20"/>
          <w:szCs w:val="20"/>
        </w:rPr>
        <w:t xml:space="preserve">    </w:t>
      </w:r>
      <w:r w:rsidRPr="00B6303E">
        <w:rPr>
          <w:rFonts w:ascii="Times New Roman" w:hAnsi="Times New Roman"/>
          <w:sz w:val="20"/>
          <w:szCs w:val="20"/>
        </w:rPr>
        <w:t xml:space="preserve">Monte Carlo simulation is a mathematical technique that accumulates the risk or uncertainty in our daily decision-making and helps carry out quantitative analysis for the future. It has been widely adopted to account for uncertainty in electricity generation planning and model uncertainties in energy prices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0301-4215","author":[{"dropping-particle":"","family":"Feretic","given":"Danilo","non-dropping-particle":"","parse-names":false,"suffix":""},{"dropping-particle":"","family":"Tomsic","given":"Zeljko","non-dropping-particle":"","parse-names":false,"suffix":""}],"container-title":"Energy Policy","id":"ITEM-1","issue":"1","issued":{"date-parts":[["2005"]]},"page":"5-13","publisher":"Elsevier","title":"Probabilistic analysis of electrical energy costs comparing: production costs for gas, coal and nuclear power plants","type":"article-journal","volume":"33"},"uris":["http://www.mendeley.com/documents/?uuid=738ec508-84a5-4cb2-bf8c-ec6df5237f4a"]},{"id":"ITEM-2","itemData":{"ISSN":"0301-4215","author":[{"dropping-particle":"","family":"Spinney","given":"Peter J","non-dropping-particle":"","parse-names":false,"suffix":""},{"dropping-particle":"","family":"Watkins","given":"G Campbell","non-dropping-particle":"","parse-names":false,"suffix":""}],"container-title":"Energy Policy","id":"ITEM-2","issue":"2","issued":{"date-parts":[["1996"]]},"page":"155-163","publisher":"Elsevier","title":"Monte Carlo simulation techniques and electric utility resource decisions","type":"article-journal","volume":"24"},"uris":["http://www.mendeley.com/documents/?uuid=395fb619-c923-4d83-8667-31990a3bac57"]}],"mendeley":{"formattedCitation":"(Feretic &amp; Tomsic, 2005; Spinney &amp; Watkins, 1996)","plainTextFormattedCitation":"(Feretic &amp; Tomsic, 2005; Spinney &amp; Watkins, 1996)","previouslyFormattedCitation":"(Feretic &amp; Tomsic, 2005; Spinney &amp; Watkins, 1996)"},"properties":{"noteIndex":0},"schema":"https://github.com/citation-style-language/schema/raw/master/csl-citation.json"}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(Feretic &amp; Tomsic, 2005; Spinney &amp; Watkins, 1996)</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But the tension in the issues relating to electricity consumption has been ignored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{"citationItems":[{"id":"ITEM-1","itemData":{"ISSN":"0301-4215","author":[{"dropping-particle":"","family":"Vithayasrichareon","given":"Peerapat","non-dropping-particle":"","parse-names":false,"suffix":""},{"dropping-particle":"","family":"MacGill","given":"Iain F","non-dropping-particle":"","parse-names":false,"suffix":""}],"container-title":"Energy policy","id":"ITEM-1","issued":{"date-parts":[["2012"]]},"page":"374-392","publisher":"Elsevier","title":"A Monte Carlo based decision-support tool for assessing generation portfolios in future carbon constrained electricity industries","type":"article-journal","volume":"41"},"uris":["http://www.mendeley.com/documents/?uuid=7f132141-626d-4aa7-be5b-bab38a731b3e"]}],"mendeley":{"formattedCitation":"(Vithayasrichareon &amp; MacGill, 2012)","plainTextFormattedCitation":"(Vithayasrichareon &amp; MacGill, 2012)","previouslyFormattedCitation":"(Vithayasrichareon &amp; MacGill, 2012)"},"properties":{"noteIndex":0},"schema":"https://github.com/citation-style-language/schema/raw/master/csl-citation.json"}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(Vithayasrichareon &amp; MacGill, 2012)</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And then B. Lin &amp; Xie </w:t>
      </w:r>
      <w:r w:rsidR="00A77D41" w:rsidRPr="00B6303E">
        <w:rPr>
          <w:rStyle w:val="FootnoteReference"/>
          <w:rFonts w:ascii="Times New Roman" w:hAnsi="Times New Roman"/>
          <w:sz w:val="20"/>
          <w:szCs w:val="20"/>
          <w:vertAlign w:val="baseline"/>
        </w:rPr>
        <w:fldChar w:fldCharType="begin" w:fldLock="1"/>
      </w:r>
      <w:r w:rsidRPr="00B6303E">
        <w:rPr>
          <w:rFonts w:ascii="Times New Roman" w:hAnsi="Times New Roman"/>
          <w:sz w:val="20"/>
          <w:szCs w:val="20"/>
        </w:rPr>
        <w:instrText>ADDIN CSL_CITATION {"citationItems":[{"id":"ITEM-1","itemData":{"ISSN":"0301-4215","author":[{"dropping-particle":"","family":"Lin","given":"Boqiang","non-dropping-particle":"","parse-names":false,"suffix":""},{"dropping-particle":"","family":"Xie","given":"Chunping","non-dropping-particle":"","parse-names":false,"suffix":""}],"container-title":"Energy Policy","id":"ITEM-1","issued":{"date-parts":[["2013"]]},"page":"472-482","publisher":"Elsevier","title":"Estimation on oil demand and oil saving potential of China's road transport sector","type":"article-journal","volume":"61"},"suppress-author":1,"uris":["http://www.mendeley.com/documents/?uuid=aa7a4b4d-0e08-4372-909f-f79646318207"]}],"mendeley":{"formattedCitation":"(2013)","plainTextFormattedCitation":"(2013)","previouslyFormattedCitation":"(2013)"},"properties":{"noteIndex":0},"schema":"https://github.com/citation-style-language/schema/raw/master/csl-citation.json"}</w:instrText>
      </w:r>
      <w:r w:rsidR="00A77D41" w:rsidRPr="00B6303E">
        <w:rPr>
          <w:rStyle w:val="FootnoteReference"/>
          <w:rFonts w:ascii="Times New Roman" w:hAnsi="Times New Roman"/>
          <w:sz w:val="20"/>
          <w:szCs w:val="20"/>
          <w:vertAlign w:val="baseline"/>
        </w:rPr>
        <w:fldChar w:fldCharType="separate"/>
      </w:r>
      <w:r w:rsidRPr="00B6303E">
        <w:rPr>
          <w:rStyle w:val="FootnoteReference"/>
          <w:rFonts w:ascii="Times New Roman" w:hAnsi="Times New Roman"/>
          <w:sz w:val="20"/>
          <w:szCs w:val="20"/>
          <w:vertAlign w:val="baseline"/>
        </w:rPr>
        <w:t>(2013)</w:t>
      </w:r>
      <w:r w:rsidR="00A77D41" w:rsidRPr="00B6303E">
        <w:rPr>
          <w:rStyle w:val="FootnoteReference"/>
          <w:rFonts w:ascii="Times New Roman" w:hAnsi="Times New Roman"/>
          <w:sz w:val="20"/>
          <w:szCs w:val="20"/>
          <w:vertAlign w:val="baseline"/>
        </w:rPr>
        <w:fldChar w:fldCharType="end"/>
      </w:r>
      <w:r w:rsidRPr="00B6303E">
        <w:rPr>
          <w:rFonts w:ascii="Times New Roman" w:hAnsi="Times New Roman"/>
          <w:sz w:val="20"/>
          <w:szCs w:val="20"/>
        </w:rPr>
        <w:t xml:space="preserve"> &amp; B. Lin et al.,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0360-5442","author":[{"dropping-particle":"","family":"Lin","given":"Boqiang","non-dropping-particle":"","parse-names":false,"suffix":""},{"dropping-particle":"","family":"Wu","given":"Ya","non-dropping-particle":"","parse-names":false,"suffix":""},{"dropping-particle":"","family":"Zhang","given":"Li","non-dropping-particle":"","parse-names":false,"suffix":""}],"container-title":"Energy","id":"ITEM-1","issue":"1","issued":{"date-parts":[["2012"]]},"page":"307-316","publisher":"Elsevier","title":"Electricity saving potential of the power generation industry in China","type":"article-journal","volume":"40"},"suppress-author":1,"uris":["http://www.mendeley.com/documents/?uuid=f78472d6-24cf-4788-a5a6-72de40122064"]}],"mendeley":{"formattedCitation":"(2012)","plainTextFormattedCitation":"(2012)","previouslyFormattedCitation":"(2012)"},"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(2012)</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from the standpoint of probability theory, we use Monte Carlo simulations to evaluate predictions based on cointegration results and quantify alternative future energy consumption scenarios in Pakistan by 2030.</w:t>
      </w: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4. Discussion and results</w:t>
      </w:r>
    </w:p>
    <w:p w:rsidR="00463622" w:rsidRPr="00B6303E" w:rsidRDefault="00CA01A3" w:rsidP="00E82F77">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t>4.1 Results of unit root tests</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t xml:space="preserve">    Before performing the cointegration research, we conducted the Augmented Dickey-</w:t>
      </w:r>
      <w:r w:rsidRPr="00B6303E">
        <w:rPr>
          <w:rFonts w:ascii="Times New Roman" w:hAnsi="Times New Roman"/>
          <w:sz w:val="20"/>
          <w:szCs w:val="20"/>
        </w:rPr>
        <w:lastRenderedPageBreak/>
        <w:t>Fuller (ADF) technique to evaluate the order of integration of the series. The results of the ADF and P.P. tests are shown in Table 4. Except for GDP, which shows no trend, Table 4 shows clearly that the outcomes of the ADF and P.P. tests are complying. Furthermore, all the series are stochastic and stationary on the initial difference. These results fulfill the criteria for using the Johansen cointegration methodology. The SIBC criteria were used to determine the optimal lag length for each series.</w:t>
      </w:r>
    </w:p>
    <w:p w:rsidR="00463622" w:rsidRPr="00B6303E" w:rsidRDefault="00CA01A3" w:rsidP="00E82F77">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t>4.2 Johansen-Juselius for co-integration test</w:t>
      </w:r>
    </w:p>
    <w:p w:rsidR="00E82F77" w:rsidRDefault="00CA01A3"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sidRPr="00B6303E">
        <w:rPr>
          <w:rFonts w:ascii="Times New Roman" w:hAnsi="Times New Roman"/>
          <w:sz w:val="20"/>
          <w:szCs w:val="20"/>
        </w:rPr>
        <w:t xml:space="preserve">    We proceeded with an unconstrained VAR model to see whether there was any cointegration between the variables. We selected one lag in the unrestrained VAR based on the SBIC criteria. Table 5 shows statistics regarding lag selection. Table 6 illustrates the Johansen Trace and Max-eigenvalue test results for all the models. The max-eigenvalue test rejects the null hypothesis of one or zero co-integrating vectors for aggregate and industrial sector models, favoring the alternative hypothesis of r = 2. However, in the commercial sector model, the null hypothesis of no cointegration must be rejected in favor of the alternative hypothesis of r = 1. The Johansen Trace test accepted the alternative hypothesis (r ≥ 3) for the aggregate model, the presence of a high concentration of three or more co-integrating vectors among the variables. Moreover, the industrial sector model has four or more co-integrating vectors, whereas the commercial sector model contains two or more. These results demonstrate that the variables in all models have a long-term relationship.</w:t>
      </w:r>
    </w:p>
    <w:p w:rsidR="00E82F77" w:rsidRDefault="00E82F77" w:rsidP="00E82F77">
      <w:pPr>
        <w:adjustRightInd w:val="0"/>
        <w:snapToGrid w:val="0"/>
        <w:spacing w:after="0" w:line="240" w:lineRule="auto"/>
        <w:ind w:firstLine="720"/>
        <w:jc w:val="both"/>
        <w:rPr>
          <w:rFonts w:ascii="Times New Roman" w:eastAsiaTheme="minorEastAsia" w:hAnsi="Times New Roman"/>
          <w:sz w:val="20"/>
          <w:szCs w:val="20"/>
          <w:lang w:eastAsia="zh-CN"/>
        </w:rPr>
        <w:sectPr w:rsidR="00E82F77" w:rsidSect="00463622">
          <w:type w:val="continuous"/>
          <w:pgSz w:w="12240" w:h="15840"/>
          <w:pgMar w:top="1440" w:right="1440" w:bottom="1440" w:left="1440" w:header="720" w:footer="720" w:gutter="0"/>
          <w:cols w:num="2" w:space="720"/>
          <w:docGrid w:linePitch="360"/>
        </w:sectPr>
      </w:pPr>
    </w:p>
    <w:p w:rsidR="00E82F77" w:rsidRP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Table 4: Present Unit root tests Results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3"/>
        <w:gridCol w:w="1120"/>
        <w:gridCol w:w="1693"/>
        <w:gridCol w:w="1120"/>
        <w:gridCol w:w="1693"/>
        <w:gridCol w:w="1120"/>
        <w:gridCol w:w="1697"/>
      </w:tblGrid>
      <w:tr w:rsidR="00463622" w:rsidRPr="00B6303E" w:rsidTr="00E82F77">
        <w:trPr>
          <w:cantSplit/>
          <w:jc w:val="center"/>
        </w:trPr>
        <w:tc>
          <w:tcPr>
            <w:tcW w:w="5000" w:type="pct"/>
            <w:gridSpan w:val="7"/>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 xml:space="preserve">  Series</w:t>
            </w:r>
            <w:r w:rsidR="00B6303E">
              <w:rPr>
                <w:rFonts w:ascii="Times New Roman" w:hAnsi="Times New Roman"/>
                <w:b/>
                <w:bCs/>
                <w:sz w:val="20"/>
                <w:szCs w:val="20"/>
              </w:rPr>
              <w:t xml:space="preserve"> </w:t>
            </w:r>
            <w:bookmarkStart w:id="16" w:name="_Hlk77971474"/>
            <w:r w:rsidRPr="00B6303E">
              <w:rPr>
                <w:rFonts w:ascii="Times New Roman" w:hAnsi="Times New Roman"/>
                <w:b/>
                <w:bCs/>
                <w:sz w:val="20"/>
                <w:szCs w:val="20"/>
              </w:rPr>
              <w:t xml:space="preserve">Augmented Dickey-Fuller </w:t>
            </w:r>
            <w:bookmarkEnd w:id="16"/>
            <w:r w:rsidRPr="00B6303E">
              <w:rPr>
                <w:rFonts w:ascii="Times New Roman" w:hAnsi="Times New Roman"/>
                <w:b/>
                <w:bCs/>
                <w:sz w:val="20"/>
                <w:szCs w:val="20"/>
              </w:rPr>
              <w:t>Test (ADF)</w:t>
            </w:r>
          </w:p>
        </w:tc>
      </w:tr>
      <w:tr w:rsidR="00463622" w:rsidRPr="00B6303E" w:rsidTr="00E82F77">
        <w:trPr>
          <w:cantSplit/>
          <w:jc w:val="center"/>
        </w:trPr>
        <w:tc>
          <w:tcPr>
            <w:tcW w:w="5000" w:type="pct"/>
            <w:gridSpan w:val="7"/>
            <w:vAlign w:val="center"/>
          </w:tcPr>
          <w:p w:rsidR="00463622" w:rsidRPr="00B6303E" w:rsidRDefault="00B6303E" w:rsidP="00E82F77">
            <w:pPr>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                Aggregate Model                               Industrial Sector                                Commercial Sector</w:t>
            </w:r>
          </w:p>
        </w:tc>
      </w:tr>
      <w:tr w:rsidR="00463622" w:rsidRPr="00B6303E" w:rsidTr="00E82F77">
        <w:trPr>
          <w:cantSplit/>
          <w:jc w:val="center"/>
        </w:trPr>
        <w:tc>
          <w:tcPr>
            <w:tcW w:w="591"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Level</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w:t>
            </w:r>
            <w:r w:rsidRPr="00B6303E">
              <w:rPr>
                <w:rFonts w:ascii="Times New Roman" w:hAnsi="Times New Roman"/>
                <w:sz w:val="20"/>
                <w:szCs w:val="20"/>
                <w:vertAlign w:val="superscript"/>
              </w:rPr>
              <w:t>st</w:t>
            </w:r>
            <w:r w:rsidRPr="00B6303E">
              <w:rPr>
                <w:rFonts w:ascii="Times New Roman" w:hAnsi="Times New Roman"/>
                <w:sz w:val="20"/>
                <w:szCs w:val="20"/>
              </w:rPr>
              <w:t>Difference</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Level</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w:t>
            </w:r>
            <w:r w:rsidRPr="00B6303E">
              <w:rPr>
                <w:rFonts w:ascii="Times New Roman" w:hAnsi="Times New Roman"/>
                <w:sz w:val="20"/>
                <w:szCs w:val="20"/>
                <w:vertAlign w:val="superscript"/>
              </w:rPr>
              <w:t>st</w:t>
            </w:r>
            <w:r w:rsidRPr="00B6303E">
              <w:rPr>
                <w:rFonts w:ascii="Times New Roman" w:hAnsi="Times New Roman"/>
                <w:sz w:val="20"/>
                <w:szCs w:val="20"/>
              </w:rPr>
              <w:t>Difference</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Level</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w:t>
            </w:r>
            <w:r w:rsidRPr="00B6303E">
              <w:rPr>
                <w:rFonts w:ascii="Times New Roman" w:hAnsi="Times New Roman"/>
                <w:sz w:val="20"/>
                <w:szCs w:val="20"/>
                <w:vertAlign w:val="superscript"/>
              </w:rPr>
              <w:t>st</w:t>
            </w:r>
            <w:r w:rsidRPr="00B6303E">
              <w:rPr>
                <w:rFonts w:ascii="Times New Roman" w:hAnsi="Times New Roman"/>
                <w:sz w:val="20"/>
                <w:szCs w:val="20"/>
              </w:rPr>
              <w:t>Difference</w:t>
            </w:r>
          </w:p>
        </w:tc>
      </w:tr>
      <w:tr w:rsidR="00463622" w:rsidRPr="00B6303E" w:rsidTr="00E82F77">
        <w:trPr>
          <w:cantSplit/>
          <w:jc w:val="center"/>
        </w:trPr>
        <w:tc>
          <w:tcPr>
            <w:tcW w:w="59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LnE</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1.421</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-5.219***</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-3.0101</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-4.812***</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-1.8342</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-3.978***</w:t>
            </w:r>
          </w:p>
        </w:tc>
      </w:tr>
      <w:tr w:rsidR="00463622" w:rsidRPr="00B6303E" w:rsidTr="00E82F77">
        <w:trPr>
          <w:cantSplit/>
          <w:jc w:val="center"/>
        </w:trPr>
        <w:tc>
          <w:tcPr>
            <w:tcW w:w="59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LnP</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-1.753</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-3.782***</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-2.023</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-6.234***</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-0.276</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4.765***</w:t>
            </w:r>
          </w:p>
        </w:tc>
      </w:tr>
      <w:tr w:rsidR="00463622" w:rsidRPr="00B6303E" w:rsidTr="00E82F77">
        <w:trPr>
          <w:cantSplit/>
          <w:jc w:val="center"/>
        </w:trPr>
        <w:tc>
          <w:tcPr>
            <w:tcW w:w="59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LnGDP</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2.213</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-2.987***</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1.754</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-4.182***</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-0.237</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-4.178***</w:t>
            </w:r>
          </w:p>
        </w:tc>
      </w:tr>
      <w:tr w:rsidR="00463622" w:rsidRPr="00B6303E" w:rsidTr="00E82F77">
        <w:trPr>
          <w:cantSplit/>
          <w:jc w:val="center"/>
        </w:trPr>
        <w:tc>
          <w:tcPr>
            <w:tcW w:w="59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LnEI</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1.478</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5.678***</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-1.756</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-7.586***</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0.357</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-6.367***</w:t>
            </w:r>
          </w:p>
        </w:tc>
      </w:tr>
      <w:tr w:rsidR="00463622" w:rsidRPr="00B6303E" w:rsidTr="00E82F77">
        <w:trPr>
          <w:cantSplit/>
          <w:jc w:val="center"/>
        </w:trPr>
        <w:tc>
          <w:tcPr>
            <w:tcW w:w="59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LnFDI</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-0.956</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-2.987***</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-0.745</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-7.235***</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-2.034</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-4.531***</w:t>
            </w:r>
          </w:p>
        </w:tc>
      </w:tr>
      <w:tr w:rsidR="00463622" w:rsidRPr="00B6303E" w:rsidTr="00E82F77">
        <w:trPr>
          <w:cantSplit/>
          <w:jc w:val="center"/>
        </w:trPr>
        <w:tc>
          <w:tcPr>
            <w:tcW w:w="59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LnTO</w:t>
            </w:r>
          </w:p>
        </w:tc>
        <w:tc>
          <w:tcPr>
            <w:tcW w:w="58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1.841</w:t>
            </w:r>
          </w:p>
        </w:tc>
        <w:tc>
          <w:tcPr>
            <w:tcW w:w="884"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-8.561***</w:t>
            </w:r>
          </w:p>
        </w:tc>
        <w:tc>
          <w:tcPr>
            <w:tcW w:w="58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884"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58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884"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r>
    </w:tbl>
    <w:p w:rsidR="00463622" w:rsidRDefault="00CA01A3" w:rsidP="00E82F77">
      <w:pPr>
        <w:adjustRightInd w:val="0"/>
        <w:snapToGrid w:val="0"/>
        <w:spacing w:after="0" w:line="240" w:lineRule="auto"/>
        <w:jc w:val="both"/>
        <w:rPr>
          <w:rFonts w:ascii="Times New Roman" w:eastAsiaTheme="minorEastAsia" w:hAnsi="Times New Roman" w:hint="eastAsia"/>
          <w:i/>
          <w:sz w:val="20"/>
          <w:szCs w:val="20"/>
          <w:lang w:eastAsia="zh-CN"/>
        </w:rPr>
      </w:pPr>
      <w:r w:rsidRPr="00B6303E">
        <w:rPr>
          <w:rFonts w:ascii="Times New Roman" w:hAnsi="Times New Roman"/>
          <w:i/>
          <w:sz w:val="20"/>
          <w:szCs w:val="20"/>
        </w:rPr>
        <w:t>Note: *** indicates a significant level at 1%.</w:t>
      </w:r>
    </w:p>
    <w:p w:rsidR="00E82F77" w:rsidRDefault="00E82F77" w:rsidP="00E82F77">
      <w:pPr>
        <w:adjustRightInd w:val="0"/>
        <w:snapToGrid w:val="0"/>
        <w:spacing w:after="0" w:line="240" w:lineRule="auto"/>
        <w:jc w:val="both"/>
        <w:rPr>
          <w:rFonts w:ascii="Times New Roman" w:eastAsiaTheme="minorEastAsia" w:hAnsi="Times New Roman" w:hint="eastAsia"/>
          <w:i/>
          <w:sz w:val="20"/>
          <w:szCs w:val="20"/>
          <w:lang w:eastAsia="zh-CN"/>
        </w:rPr>
      </w:pPr>
    </w:p>
    <w:p w:rsidR="00E82F77" w:rsidRDefault="00E82F77" w:rsidP="00E82F77">
      <w:pPr>
        <w:adjustRightInd w:val="0"/>
        <w:snapToGrid w:val="0"/>
        <w:spacing w:after="0" w:line="240" w:lineRule="auto"/>
        <w:jc w:val="both"/>
        <w:rPr>
          <w:rFonts w:ascii="Times New Roman" w:eastAsiaTheme="minorEastAsia" w:hAnsi="Times New Roman"/>
          <w:i/>
          <w:sz w:val="20"/>
          <w:szCs w:val="20"/>
          <w:lang w:eastAsia="zh-CN"/>
        </w:rPr>
        <w:sectPr w:rsidR="00E82F77" w:rsidSect="00E82F77">
          <w:type w:val="continuous"/>
          <w:pgSz w:w="12240" w:h="15840"/>
          <w:pgMar w:top="1440" w:right="1440" w:bottom="1440" w:left="1440" w:header="720" w:footer="720" w:gutter="0"/>
          <w:cols w:space="720"/>
          <w:docGrid w:linePitch="360"/>
        </w:sectPr>
      </w:pPr>
    </w:p>
    <w:p w:rsidR="00463622" w:rsidRPr="00B6303E" w:rsidRDefault="00CA01A3" w:rsidP="00E82F77">
      <w:pPr>
        <w:adjustRightInd w:val="0"/>
        <w:snapToGrid w:val="0"/>
        <w:spacing w:after="0" w:line="240" w:lineRule="auto"/>
        <w:jc w:val="both"/>
        <w:outlineLvl w:val="0"/>
        <w:rPr>
          <w:rFonts w:ascii="Times New Roman" w:hAnsi="Times New Roman"/>
          <w:b/>
          <w:sz w:val="20"/>
          <w:szCs w:val="20"/>
        </w:rPr>
      </w:pPr>
      <w:bookmarkStart w:id="17" w:name="_Hlk76083652"/>
      <w:r w:rsidRPr="00B6303E">
        <w:rPr>
          <w:rFonts w:ascii="Times New Roman" w:hAnsi="Times New Roman"/>
          <w:b/>
          <w:sz w:val="20"/>
          <w:szCs w:val="20"/>
        </w:rPr>
        <w:lastRenderedPageBreak/>
        <w:t>4.3 Long run results</w:t>
      </w:r>
    </w:p>
    <w:bookmarkEnd w:id="17"/>
    <w:p w:rsidR="00E82F77" w:rsidRDefault="00CA01A3"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sidRPr="00B6303E">
        <w:rPr>
          <w:rFonts w:ascii="Times New Roman" w:hAnsi="Times New Roman"/>
          <w:sz w:val="20"/>
          <w:szCs w:val="20"/>
        </w:rPr>
        <w:t xml:space="preserve">    The models' normalized long-run equations will be shown in Table 7. Energy consumption price elasticity is associated with energy prices (LnPrice), gross domestic product (LnGDP), energy intensity (LnEI), net inflows of foreign direct investment (LnFDI), and trade openness are all </w:t>
      </w:r>
      <w:r w:rsidRPr="00B6303E">
        <w:rPr>
          <w:rFonts w:ascii="Times New Roman" w:hAnsi="Times New Roman"/>
          <w:sz w:val="20"/>
          <w:szCs w:val="20"/>
        </w:rPr>
        <w:lastRenderedPageBreak/>
        <w:t xml:space="preserve">estimated considerations (LnTO). Long-run coefficients are interpreted in the following way. All models indicated a negative relationship between energy costs and energy consumption. In both the aggregate and each sector studied, the energy price coefficients are significantly positive. Existing research substantiates this idea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{"citationItems":[{"id":"ITEM-1","itemData":{"ISSN":"1364-0321","author":[{"dropping-particle":"","family":"Khan","given":"Muhammad Arshad","non-dropping-particle":"","parse-names":false,"suffix":""},{"dropping-particle":"","family":"Abbas","given":"Faisal","non-dropping-particle":"","parse-names":false,"suffix":""}],"container-title":"Renewable and Sustainable Energy Reviews","id":"ITEM-1","issued":{"date-parts":[["2016"]]},"page":"1159-1178","publisher":"Elsevier","title":"The dynamics of electricity demand in Pakistan: A panel cointegration analysis","type":"article-journal","volume":"65"},"uris":["http://www.mendeley.com/documents/?uuid=b893c897-2e01-4d72-ad19-8bc0112a9e7f"]},{"id":"ITEM-2","itemData":{"ISSN":"0301-4215","author":[{"dropping-particle":"","family":"Lin","given":"Boqiang","non-dropping-particle":"","parse-names":false,"suffix":""},{"dropping-particle":"","family":"Ouyang","given":"Xiaoling","non-dropping-particle":"","parse-names":false,"suffix":""}],"container-title":"Energy Policy","id":"ITEM-2","issued":{"date-parts":[["2014"]]},"page":"243-253","publisher":"Elsevier","title":"Electricity demand and conservation potential in the Chinese nonmetallic mineral products industry","type":"article-journal","volume":"68"},"uris":["http://www.mendeley.com/documents/?uuid=194dc03a-1749-4637-84d1-5983ba0ef3b2"]},{"id":"ITEM-3","itemData":{"ISSN":"0360-5442","author":[{"dropping-particle":"","family":"Lin","given":"Boqiang","non-dropping-particle":"","parse-names":false,"suffix":""},{"dropping-particle":"","family":"Wang","given":"Ailun","non-dropping-particle":"","parse-names":false,"suffix":""}],"container-title":"Energy","id":"ITEM-3","issued":{"date-parts":[["2015"]]},"page":"147-156","publisher":"Elsevier","title":"Estimating energy conservation potential in China's commercial sector","type":"article-journal","volume":"82"},"uris":["http://www.mendeley.com/documents/?uuid=463f3cdd-d3bf-4f15-846e-fd7cba31687e"]},{"id":"ITEM-4","itemData":{"ISSN":"0030-9729","author":[{"dropping-particle":"","family":"Khan","given":"Muhammad Arshad","non-dropping-particle":"","parse-names":false,"suffix":""},{"dropping-particle":"","family":"Ahmad","given":"Usman","non-dropping-particle":"","parse-names":false,"suffix":""}],"container-title":"The Pakistan Development Review","id":"ITEM-4","issued":{"date-parts":[["2008"]]},"page":"437-455","publisher":"JSTOR","title":"Energy demand in Pakistan: a disaggregate analysis","type":"article-journal"},"uris":["http://www.mendeley.com/documents/?uuid=0f411b42-17bb-4ba5-a106-e9bf71f20a27"]},{"id":"ITEM-5","itemData":{"ISSN":"1573-7845","author":[{"dropping-particle":"","family":"Tang","given":"Chor Foon","non-dropping-particle":"","parse-names":false,"suffix":""},{"dropping-particle":"","family":"Tan","given":"Bee Wah","non-dropping-particle":"","parse-names":false,"suffix":""}],"container-title":"Quality &amp; Quantity","id":"ITEM-5","issue":"2","issued":{"date-parts":[["2014"]]},"page":"781-797","publisher":"Springer","title":"The linkages among energy consumption, economic growth, relative price, foreign direct investment, and financial development in Malaysia","type":"article-journal","volume":"48"},"uris":["http://www.mendeley.com/documents/?uuid=2a669b02-5ba8-47e3-b4b2-abfe7388cac2"]}],"mendeley":{"formattedCitation":"(M. A. Khan &amp; Abbas, 2016; M. A. Khan &amp; Ahmad, 2008; B. Lin &amp; Ouyang, 2014; B. Lin &amp; Wang, 2015; Tang &amp; Tan, 2014)","plainTextFormattedCitation":"(M. A. Khan &amp; Abbas, 2016; M. A. Khan &amp; Ahmad, 2008; B. Lin &amp; Ouyang, 2014; B. Lin &amp; Wang, 2015; Tang &amp; Tan, 2014)","previouslyFormattedCitation":"(M. A. Khan &amp; Abbas, 2016; M. A. Khan &amp; Ahmad, 2008; B. Lin &amp; Ouyang, 2014; B. Lin &amp; Wang, 2015; Tang &amp; Tan, 2014)"},"properties":{"noteIndex":0},"schema":"https://github.com/citation-style-language/schema/raw/master/csl-citation.json"}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 xml:space="preserve">(M. A. Khan &amp; </w:t>
      </w:r>
      <w:r w:rsidRPr="00B6303E">
        <w:rPr>
          <w:rFonts w:ascii="Times New Roman" w:hAnsi="Times New Roman"/>
          <w:bCs/>
          <w:sz w:val="20"/>
          <w:szCs w:val="20"/>
        </w:rPr>
        <w:lastRenderedPageBreak/>
        <w:t>Abbas, 2016; M. A. Khan &amp; Ahmad, 2008; B. Lin &amp; Ouyang, 2014; B. Lin &amp; Wang, 2015; Tang &amp; Tan, 2014)</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Price may be considered a powerful weapon in Pakistan to achieve aggregate and sectoral energy efficiency. Both negative and positive spillover effects of foreign direct investment on energy consumption have been shown in the literature. Our research findings are likewise mixed, as the coefficients of net FDI inflows are negative for the aggregate and industrial sectors but positive for the commercial sector. However, the net inflow coefficients in each model are quite insignificant. Our observations confirm what the research shows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{"citationItems":[{"id":"ITEM-1","itemData":{"author":[{"dropping-particle":"","family":"Leitão","given":"Nuno Carlos","non-dropping-particle":"","parse-names":false,"suffix":""}],"container-title":"International Journal of Energy Economics and Policy","id":"ITEM-1","issue":"1","issued":{"date-parts":[["2015"]]},"page":"138-147","title":"Energy consumption and foreign direct investment: a panel data analysis for Portugal","type":"article-journal","volume":"5"},"uris":["http://www.mendeley.com/documents/?uuid=1380d15f-54f4-4fd9-836c-cbb640f69a85"]}],"mendeley":{"formattedCitation":"(Leitão, 2015)","plainTextFormattedCitation":"(Leitão, 2015)","previouslyFormattedCitation":"(Leitão, 2015)"},"properties":{"noteIndex":0},"schema":"https://github.com/citation-style-language/schema/raw/master/csl-citation.json"}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(Leitão, 2015)</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The business sector supports the positive spillover effects of FDI on energy consumption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{"citationItems":[{"id":"ITEM-1","itemData":{"ISSN":"1573-7845","author":[{"dropping-particle":"","family":"Tang","given":"Chor Foon","non-dropping-particle":"","parse-names":false,"suffix":""},{"dropping-particle":"","family":"Tan","given":"Bee Wah","non-dropping-particle":"","parse-names":false,"suffix":""}],"container-title":"Quality &amp; Quantity","id":"ITEM-1","issue":"2","issued":{"date-parts":[["2014"]]},"page":"781-797","publisher":"Springer","title":"The linkages among energy consumption, economic growth, relative price, foreign direct investment, and financial development in Malaysia","type":"article-journal","volume":"48"},"uris":["http://www.mendeley.com/documents/?uuid=2a669b02-5ba8-47e3-b4b2-abfe7388cac2"]},{"id":"ITEM-2","itemData":{"ISSN":"1364-0321","author":[{"dropping-particle":"","family":"Azam","given":"Muhammad","non-dropping-particle":"","parse-names":false,"suffix":""},{"dropping-particle":"","family":"Khan","given":"Abdul Qayyum","non-dropping-particle":"","parse-names":false,"suffix":""},{"dropping-particle":"","family":"Zaman","given":"Khalid","non-dropping-particle":"","parse-names":false,"suffix":""},{"dropping-particle":"","family":"Ahmad","given":"Mehboob","non-dropping-particle":"","parse-names":false,"suffix":""}],"container-title":"Renewable and Sustainable Energy Reviews","id":"ITEM-2","issued":{"date-parts":[["2015"]]},"page":"1123-1131","publisher":"Elsevier","title":"Factors determining energy consumption: Evidence from Indonesia, Malaysia and Thailand","type":"article-journal","volume":"42"},"uris":["http://www.mendeley.com/documents/?uuid=c65878a2-d346-4741-92c4-0f8bd5d0e0a7"]}],"mendeley":{"formattedCitation":"(Azam et al., 2015; Tang &amp; Tan, 2014)","plainTextFormattedCitation":"(Azam et al., 2015; Tang &amp; Tan, 2014)","previouslyFormattedCitation":"(Azam et al., 2015; Tang &amp; Tan, 2014)"},"properties":{"noteIndex":0},"schema":"https://github.com/citation-style-language/schema/raw/master/csl-citation.json"}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(Azam et al., 2015; Tang &amp; Tan, 2014)</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The GDP coefficients are positive and statistically significant in both overall and sectoral models. The available literature contradicts our results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{"citationItems":[{"id":"ITEM-1","itemData":{"ISSN":"0301-4215","author":[{"dropping-particle":"","family":"Zaman","given":"Khalid","non-dropping-particle":"","parse-names":false,"suffix":""},{"dropping-particle":"","family":"Khan","given":"Muhammad M","non-dropping-particle":"","parse-names":false,"suffix":""},{"dropping-particle":"","family":"Ahmad","given":"Mehboob","non-dropping-particle":"","parse-names":false,"suffix":""},{"dropping-particle":"","family":"Rustam","given":"Rabiah","non-dropping-particle":"","parse-names":false,"suffix":""}],"container-title":"Energy Policy","id":"ITEM-1","issued":{"date-parts":[["2012"]]},"page":"623-634","publisher":"Elsevier","title":"Determinants of electricity consumption function in Pakistan: Old wine in a new bottle","type":"article-journal","volume":"50"},"uris":["http://www.mendeley.com/documents/?uuid=f809be17-64ed-4770-8444-c8f70fc5c0cd"]},{"id":"ITEM-2","itemData":{"ISSN":"1364-0321","author":[{"dropping-particle":"","family":"Khan","given":"Muhammad Arshad","non-dropping-particle":"","parse-names":false,"suffix":""},{"dropping-particle":"","family":"Abbas","given":"Faisal","non-dropping-particle":"","parse-names":false,"suffix":""}],"container-title":"Renewable and Sustainable Energy Reviews","id":"ITEM-2","issued":{"date-parts":[["2016"]]},"page":"1159-1178","publisher":"Elsevier","title":"The dynamics of electricity demand in Pakistan: A panel cointegration analysis","type":"article-journal","volume":"65"},"uris":["http://www.mendeley.com/documents/?uuid=b893c897-2e01-4d72-ad19-8bc0112a9e7f"]},{"id":"ITEM-3","itemData":{"ISSN":"0301-4215","author":[{"dropping-particle":"","family":"Lin","given":"Boqiang","non-dropping-particle":"","parse-names":false,"suffix":""},{"dropping-particle":"","family":"Ouyang","given":"Xiaoling","non-dropping-particle":"","parse-names":false,"suffix":""}],"container-title":"Energy Policy","id":"ITEM-3","issued":{"date-parts":[["2014"]]},"page":"243-253","publisher":"Elsevier","title":"Electricity demand and conservation potential in the Chinese nonmetallic mineral products industry","type":"article-journal","volume":"68"},"uris":["http://www.mendeley.com/documents/?uuid=194dc03a-1749-4637-84d1-5983ba0ef3b2"]},{"id":"ITEM-4","itemData":{"author":[{"dropping-particle":"","family":"Leitão","given":"Nuno Carlos","non-dropping-particle":"","parse-names":false,"suffix":""}],"container-title":"International Journal of Energy Economics and Policy","id":"ITEM-4","issue":"1","issued":{"date-parts":[["2015"]]},"page":"138-147","title":"Energy consumption and foreign direct investment: a panel data analysis for Portugal","type":"article-journal","volume":"5"},"uris":["http://www.mendeley.com/documents/?uuid=1380d15f-54f4-4fd9-836c-cbb640f69a85"]},{"id":"ITEM-5","itemData":{"ISSN":"1364-0321","author":[{"dropping-particle":"","family":"Mudakkar","given":"Syeda Rabab","non-dropping-particle":"","parse-names":false,"suffix":""},{"dropping-particle":"","family":"Zaman","given":"Khalid","non-dropping-particle":"","parse-names":false,"suffix":""},{"dropping-particle":"","family":"Shakir","given":"Huma","non-dropping-particle":"","parse-names":false,"suffix":""},{"dropping-particle":"","family":"Arif","given":"Mariam","non-dropping-particle":"","parse-names":false,"suffix":""},{"dropping-particle":"","family":"Naseem","given":"Imran","non-dropping-particle":"","parse-names":false,"suffix":""},{"dropping-particle":"","family":"Naz","given":"Lubna","non-dropping-particle":"","parse-names":false,"suffix":""}],"container-title":"Renewable and Sustainable Energy Reviews","id":"ITEM-5","issued":{"date-parts":[["2013"]]},"page":"566-574","publisher":"Elsevier","title":"Determinants of energy consumption function in SAARC countries: Balancing the odds","type":"article-journal","volume":"28"},"uris":["http://www.mendeley.com/documents/?uuid=6667528f-093b-489c-8e6e-93160902d6ae"]}],"mendeley":{"formattedCitation":"(M. A. Khan &amp; Abbas, 2016; Leitão, 2015; B. Lin &amp; Ouyang, 2014; Mudakkar et al., 2013; Zaman et al., 2012)","plainTextFormattedCitation":"(M. A. Khan &amp; Abbas, 2016; Leitão, 2015; B. Lin &amp; Ouyang, 2014; Mudakkar et al., 2013; Zaman et al., 2012)","previouslyFormattedCitation":"(M. A. Khan &amp; Abbas, 2016; Leitão, 2015; B. Lin &amp; Ouyang, 2014; Mudakkar et al., 2013; Zaman et al., 2012)"},"properties":{"noteIndex":0},"schema":"https://github.com/citation-style-language/schema/raw/master/csl-citation.json"}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(M. A. Khan &amp; Abbas, 2016; Leitão, 2015; B. Lin &amp; Ouyang, 2014; Mudakkar et al., 2013; Zaman et al., 2012)</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Our GDP coefficients correspond with the Environmental Kuznets Curve (EKC) theory which is based on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{"citationItems":[{"id":"ITEM-1","itemData":{"ISSN":"0002-8282","author":[{"dropping-particle":"","family":"Kuznets","given":"Simon","non-dropping-particle":"","parse-names":false,"suffix":""}],"container-title":"The American economic review","id":"ITEM-1","issue":"1","issued":{"date-parts":[["1955"]]},"page":"1-28","publisher":"JSTOR","title":"Economic growth and income inequality","type":"article-journal","volume":"45"},"uris":["http://www.mendeley.com/documents/?uuid=4c921019-b8b1-4763-9ef4-10cc6a784100"]}],"mendeley":{"formattedCitation":"(Kuznets, 1955)","plainTextFormattedCitation":"(Kuznets, 1955)","previouslyFormattedCitation":"(Kuznets, 1955)"},"properties":{"noteIndex":0},"schema":"https://github.com/citation-style-language/schema/raw/master/csl-citation.json"}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(Kuznets, 1955)</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The estimated elasticity of energy intensity in aggregate and industrial sector models is huge and statistically significant. These findings are supported by the fact that Pakistan has a very energy-intensive economy, both at the aggregate and sectoral levels. The country has the second-highest energy-intensive economy among South Asian countries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{"citationItems":[{"id":"ITEM-1","itemData":{"ISSN":"2521-005X","author":[{"dropping-particle":"","family":"Mirza","given":"Faisal Mehmood","non-dropping-particle":"","parse-names":false,"suffix":""},{"dropping-particle":"","family":"Fatima","given":"Nishat","non-dropping-particle":"","parse-names":false,"suffix":""}],"container-title":"Pakistan Business Review","id":"ITEM-1","issue":"4","issued":{"date-parts":[["2016"]]},"title":"Drivers of energy intensity in Pakistan: an assessment using index decomposition methods","type":"article-journal","volume":"17"},"uris":["http://www.mendeley.com/documents/?uuid=ff0a897c-f718-42f6-9baf-a937bb6332a7"]}],"mendeley":{"formattedCitation":"(Mirza &amp; Fatima, 2016)","plainTextFormattedCitation":"(Mirza &amp; Fatima, 2016)","previouslyFormattedCitation":"(Mirza &amp; Fatima, 2016)"},"properties":{"noteIndex":0},"schema":"https://github.com/citation-style-language/schema/raw/master/csl-citation.json"}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(Mirza &amp; Fatima, 2016)</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According to the State Bank of Pakistan, the Pakistani economy's usage of natural gas is inefficient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{"citationItems":[{"id":"ITEM-1","itemData":{"URL":"https://www.sbp.org.pk/reports/annual/arFY14/Anul-index-eng-14.htm","accessed":{"date-parts":[["2021","7","25"]]},"container-title":"State Bank of Pakistan","id":"ITEM-1","issued":{"date-parts":[["2014"]]},"title":"SBP","type":"webpage"},"uris":["http://www.mendeley.com/documents/?uuid=d4ddfb8f-7817-358c-8e50-799a68431fd5"]}],"mendeley":{"formattedCitation":"(&lt;i&gt;SBP&lt;/i&gt;, 2014)","plainTextFormattedCitation":"(SBP, 2014)","previouslyFormattedCitation":"(&lt;i&gt;SBP&lt;/i&gt;, 2014)"},"properties":{"noteIndex":0},"schema":"https://github.com/citation-style-language/schema/raw/master/csl-citation.json"}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w:t>
      </w:r>
      <w:r w:rsidRPr="00B6303E">
        <w:rPr>
          <w:rFonts w:ascii="Times New Roman" w:hAnsi="Times New Roman"/>
          <w:i/>
          <w:sz w:val="20"/>
          <w:szCs w:val="20"/>
        </w:rPr>
        <w:t>SBP</w:t>
      </w:r>
      <w:r w:rsidRPr="00B6303E">
        <w:rPr>
          <w:rFonts w:ascii="Times New Roman" w:hAnsi="Times New Roman"/>
          <w:sz w:val="20"/>
          <w:szCs w:val="20"/>
        </w:rPr>
        <w:t>, 2014)</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in addition, the industrial and residential sectors use a lot of gas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{"citationItems":[{"id":"ITEM-1","itemData":{"author":[{"dropping-particle":"","family":"Yearbook","given":"Pakistan Energy","non-dropping-particle":"","parse-names":false,"suffix":""}],"container-title":"Ministry of petroleum &amp; natural resource. Government of Pakistan, Islamabad. Available at:https://www.hdip.com.pk/.","id":"ITEM-1","issued":{"date-parts":[["2014"]]},"title":"Hydrocarbon Development Institute","type":"article-journal"},"uris":["http://www.mendeley.com/documents/?uuid=8e2ca1e9-2c8a-4868-a3f1-c41ce181da71"]}],"mendeley":{"formattedCitation":"(Yearbook, 2014)","plainTextFormattedCitation":"(Yearbook, 2014)","previouslyFormattedCitation":"(Yearbook, 2014)"},"properties":{"noteIndex":0},"schema":"https://github.com/citation-style-language/schema/raw/master/csl-citation.json"}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(Yearbook, 2014)</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Energy appliances in the corporate sector are inefficient, achieving just 20–25 percent energy efficiency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{"citationItems":[{"id":"ITEM-1","itemData":{"author":[{"dropping-particle":"","family":"Lanka","given":"Sri","non-dropping-particle":"","parse-names":false,"suffix":""}],"id":"ITEM-1","issued":{"date-parts":[["2009"]]},"title":"Technical Assistance Consultant's Final Report Pakistan: Sustainable Energy Efficiency Development Program Financed by the Asian Development Bank (ADB)","type":"article-journal"},"uris":["http://www.mendeley.com/documents/?uuid=f6102864-525f-3d53-a2df-18533313dc03"]}],"mendeley":{"formattedCitation":"(Lanka, 2009)","plainTextFormattedCitation":"(Lanka, 2009)","previouslyFormattedCitation":"(Lanka, 2009)"},"properties":{"noteIndex":0},"schema":"https://github.com/citation-style-language/schema/raw/master/csl-citation.json"}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(Lanka, 2009)</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ENERCON)</w:t>
      </w:r>
      <w:r w:rsidRPr="00B6303E">
        <w:rPr>
          <w:rFonts w:ascii="Times New Roman" w:hAnsi="Times New Roman"/>
          <w:sz w:val="20"/>
          <w:szCs w:val="20"/>
        </w:rPr>
        <w:footnoteReference w:id="2"/>
      </w:r>
      <w:r w:rsidRPr="00B6303E">
        <w:rPr>
          <w:rFonts w:ascii="Times New Roman" w:hAnsi="Times New Roman"/>
          <w:sz w:val="20"/>
          <w:szCs w:val="20"/>
        </w:rPr>
        <w:t xml:space="preserve">. According to the current research, the elasticity of energy consumption concerning trade openness is positive and statistically significant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{"citationItems":[{"id":"ITEM-1","itemData":{"ISSN":"0301-4215","author":[{"dropping-particle":"","family":"Raza","given":"Syed Ali","non-dropping-particle":"","parse-names":false,"suffix":""},{"dropping-particle":"","family":"Shahbaz","given":"Muhammad","non-dropping-particle":"","parse-names":false,"suffix":""},{"dropping-particle":"","family":"Nguyen","given":"Duc Khuong","non-dropping-particle":"","parse-names":false,"suffix":""}],"container-title":"Energy Policy","id":"ITEM-1","issued":{"date-parts":[["2015"]]},"page":"1-10","publisher":"Elsevier","title":"Energy conservation policies, growth and trade performance: Evidence of feedback hypothesis in Pakistan","type":"article-journal","volume":"80"},"uris":["http://www.mendeley.com/documents/?uuid=a8be0fcd-e980-4469-9274-61f89eec4e54"]}],"mendeley":{"formattedCitation":"(S. A. Raza et al., 2015)","manualFormatting":"(Raza, Shahbaz and Nguyen, 2015)","plainTextFormattedCitation":"(S. A. Raza et al., 2015)","previouslyFormattedCitation":"(S. A. Raza et al., 2015)"},"properties":{"noteIndex":0},"schema":"https://github.com/citation-style-language/schema/raw/master/csl-citation.json"}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sz w:val="20"/>
          <w:szCs w:val="20"/>
        </w:rPr>
        <w:t>(Raza, Shahbaz and Nguyen, 2015)</w:t>
      </w:r>
      <w:r w:rsidR="00A77D41" w:rsidRPr="00B6303E">
        <w:rPr>
          <w:rStyle w:val="FootnoteReference"/>
          <w:rFonts w:ascii="Times New Roman" w:hAnsi="Times New Roman"/>
          <w:sz w:val="20"/>
          <w:szCs w:val="20"/>
        </w:rPr>
        <w:fldChar w:fldCharType="end"/>
      </w:r>
      <w:r w:rsidR="00F82E9D">
        <w:rPr>
          <w:rFonts w:ascii="Times New Roman" w:eastAsiaTheme="minorEastAsia" w:hAnsi="Times New Roman" w:hint="eastAsia"/>
          <w:sz w:val="20"/>
          <w:szCs w:val="20"/>
          <w:lang w:eastAsia="zh-CN"/>
        </w:rPr>
        <w:t xml:space="preserve">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{"citationItems":[{"id":"ITEM-1","itemData":{"ISSN":"0140-9883","author":[{"dropping-particle":"","family":"Sadorsky","given":"Perry","non-dropping-particle":"","parse-names":false,"suffix":""}],"container-title":"Energy Economics","id":"ITEM-1","issue":"5","issued":{"date-parts":[["2011"]]},"page":"739-749","publisher":"Elsevier","title":"Trade and energy consumption in the Middle East","type":"article-journal","volume":"33"},"uris":["http://www.mendeley.com/documents/?uuid=1f350ccd-ca62-42e5-bcc0-a1591cff2983"]}],"mendeley":{"formattedCitation":"(Sadorsky, 2011)","plainTextFormattedCitation":"(Sadorsky, 2011)","previouslyFormattedCitation":"(Sadorsky, 2011)"},"properties":{"noteIndex":0},"schema":"https://github.com/citation-style-language/schema/raw/master/csl-citation.json"}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w:t>
      </w:r>
      <w:proofErr w:type="spellStart"/>
      <w:r w:rsidRPr="00B6303E">
        <w:rPr>
          <w:rFonts w:ascii="Times New Roman" w:hAnsi="Times New Roman"/>
          <w:bCs/>
          <w:sz w:val="20"/>
          <w:szCs w:val="20"/>
        </w:rPr>
        <w:t>Sadorsky</w:t>
      </w:r>
      <w:proofErr w:type="spellEnd"/>
      <w:r w:rsidRPr="00B6303E">
        <w:rPr>
          <w:rFonts w:ascii="Times New Roman" w:hAnsi="Times New Roman"/>
          <w:bCs/>
          <w:sz w:val="20"/>
          <w:szCs w:val="20"/>
        </w:rPr>
        <w:t>, 2011)</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w:t>
      </w:r>
      <w:r w:rsidR="00F82E9D">
        <w:rPr>
          <w:rFonts w:ascii="Times New Roman" w:eastAsiaTheme="minorEastAsia" w:hAnsi="Times New Roman" w:hint="eastAsia"/>
          <w:sz w:val="20"/>
          <w:szCs w:val="20"/>
          <w:lang w:eastAsia="zh-CN"/>
        </w:rPr>
        <w:t xml:space="preserve"> </w:t>
      </w:r>
    </w:p>
    <w:p w:rsid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Pr="00B6303E" w:rsidRDefault="00F82E9D" w:rsidP="00F82E9D">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t xml:space="preserve">4.4 Scenario analysis </w:t>
      </w:r>
    </w:p>
    <w:p w:rsidR="00F82E9D" w:rsidRDefault="00F82E9D" w:rsidP="00F82E9D">
      <w:pPr>
        <w:adjustRightInd w:val="0"/>
        <w:snapToGrid w:val="0"/>
        <w:spacing w:after="0" w:line="240" w:lineRule="auto"/>
        <w:ind w:firstLine="720"/>
        <w:jc w:val="both"/>
        <w:rPr>
          <w:rFonts w:ascii="Times New Roman" w:eastAsiaTheme="minorEastAsia" w:hAnsi="Times New Roman" w:hint="eastAsia"/>
          <w:sz w:val="20"/>
          <w:szCs w:val="20"/>
          <w:lang w:eastAsia="zh-CN"/>
        </w:rPr>
      </w:pPr>
      <w:r w:rsidRPr="00B6303E">
        <w:rPr>
          <w:rFonts w:ascii="Times New Roman" w:hAnsi="Times New Roman"/>
          <w:sz w:val="20"/>
          <w:szCs w:val="20"/>
        </w:rPr>
        <w:t xml:space="preserve">    As indicated in Table 8, we have classified yearly growth rates of exogenous variables in three scenarios for future forecasting: baseline, moderate, and advance. Our BAU </w:t>
      </w:r>
      <w:bookmarkStart w:id="18" w:name="_Hlk77978073"/>
      <w:r w:rsidRPr="00B6303E">
        <w:rPr>
          <w:rFonts w:ascii="Times New Roman" w:hAnsi="Times New Roman"/>
          <w:sz w:val="20"/>
          <w:szCs w:val="20"/>
        </w:rPr>
        <w:t xml:space="preserve">baseline scenario </w:t>
      </w:r>
      <w:bookmarkEnd w:id="18"/>
      <w:r w:rsidRPr="00B6303E">
        <w:rPr>
          <w:rFonts w:ascii="Times New Roman" w:hAnsi="Times New Roman"/>
          <w:sz w:val="20"/>
          <w:szCs w:val="20"/>
        </w:rPr>
        <w:t xml:space="preserve">(BS) is specifically defined by the </w:t>
      </w:r>
      <w:bookmarkStart w:id="19" w:name="_Hlk77976832"/>
      <w:r w:rsidRPr="00B6303E">
        <w:rPr>
          <w:rFonts w:ascii="Times New Roman" w:hAnsi="Times New Roman"/>
          <w:sz w:val="20"/>
          <w:szCs w:val="20"/>
        </w:rPr>
        <w:t xml:space="preserve">Intergovernmental Panel on Climate Change </w:t>
      </w:r>
      <w:bookmarkEnd w:id="19"/>
      <w:r w:rsidRPr="00B6303E">
        <w:rPr>
          <w:rFonts w:ascii="Times New Roman" w:hAnsi="Times New Roman"/>
          <w:sz w:val="20"/>
          <w:szCs w:val="20"/>
        </w:rPr>
        <w:t>(</w:t>
      </w:r>
      <w:bookmarkStart w:id="20" w:name="_Hlk77976811"/>
      <w:r w:rsidRPr="00B6303E">
        <w:rPr>
          <w:rFonts w:ascii="Times New Roman" w:hAnsi="Times New Roman"/>
          <w:sz w:val="20"/>
          <w:szCs w:val="20"/>
        </w:rPr>
        <w:t>IPCC</w:t>
      </w:r>
      <w:bookmarkEnd w:id="20"/>
      <w:r w:rsidRPr="00B6303E">
        <w:rPr>
          <w:rFonts w:ascii="Times New Roman" w:hAnsi="Times New Roman"/>
          <w:sz w:val="20"/>
          <w:szCs w:val="20"/>
        </w:rPr>
        <w:t xml:space="preserve">). The BAU baseline scenario's growth rate is the average annual growth rate of each exogenous series from 1981 to 2019. It </w:t>
      </w:r>
      <w:r w:rsidRPr="00B6303E">
        <w:rPr>
          <w:rFonts w:ascii="Times New Roman" w:hAnsi="Times New Roman"/>
          <w:sz w:val="20"/>
          <w:szCs w:val="20"/>
        </w:rPr>
        <w:lastRenderedPageBreak/>
        <w:t xml:space="preserve">denotes that under the BAU baseline scenario from 2014 to 2030, each variable will preserve its average annual growth rate assuming no policy changes. The formulation of a BS is enabled in the absence of assumptions by the fact that the series must pass through this growth rate in the future. The growth rates for each sequence in the advance scenario (AS) are based on Pakistan's economic facts. We provide an AS for CPEC-related economic performance and compliance with Pakistan's Vision 2025. Our scenario research strongly corresponds to the policy documents. The </w:t>
      </w:r>
      <w:bookmarkStart w:id="21" w:name="_Hlk77978210"/>
      <w:r w:rsidRPr="00B6303E">
        <w:rPr>
          <w:rFonts w:ascii="Times New Roman" w:hAnsi="Times New Roman"/>
          <w:sz w:val="20"/>
          <w:szCs w:val="20"/>
        </w:rPr>
        <w:t xml:space="preserve">moderate scenario </w:t>
      </w:r>
      <w:bookmarkEnd w:id="21"/>
      <w:r w:rsidRPr="00B6303E">
        <w:rPr>
          <w:rFonts w:ascii="Times New Roman" w:hAnsi="Times New Roman"/>
          <w:sz w:val="20"/>
          <w:szCs w:val="20"/>
        </w:rPr>
        <w:t>(MS) represents a kind environment and is situated between the advance and baseline scenarios. Its growth rate for each series is computed by averaging the baseline and advanced scenario growth rates. The following is a brief description of the growth rates of the exogenous variables under consideration.</w:t>
      </w:r>
    </w:p>
    <w:p w:rsidR="00F82E9D" w:rsidRPr="00F82E9D" w:rsidRDefault="00F82E9D" w:rsidP="00F82E9D">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Pr="00B6303E" w:rsidRDefault="00F82E9D" w:rsidP="00F82E9D">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4.4.1 Energy prices scenario</w:t>
      </w:r>
    </w:p>
    <w:p w:rsidR="00F82E9D" w:rsidRDefault="00F82E9D" w:rsidP="00F82E9D">
      <w:pPr>
        <w:adjustRightInd w:val="0"/>
        <w:snapToGrid w:val="0"/>
        <w:spacing w:after="0" w:line="240" w:lineRule="auto"/>
        <w:ind w:firstLine="720"/>
        <w:jc w:val="both"/>
        <w:rPr>
          <w:rFonts w:ascii="Times New Roman" w:eastAsiaTheme="minorEastAsia" w:hAnsi="Times New Roman" w:hint="eastAsia"/>
          <w:sz w:val="20"/>
          <w:szCs w:val="20"/>
          <w:lang w:eastAsia="zh-CN"/>
        </w:rPr>
      </w:pPr>
      <w:r w:rsidRPr="00B6303E">
        <w:rPr>
          <w:rFonts w:ascii="Times New Roman" w:hAnsi="Times New Roman"/>
          <w:sz w:val="20"/>
          <w:szCs w:val="20"/>
        </w:rPr>
        <w:t xml:space="preserve">    NTDC </w:t>
      </w:r>
      <w:r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{"citationItems":[{"id":"ITEM-1","itemData":{"author":[{"dropping-particle":"","family":"NTDC","given":"","non-dropping-particle":"","parse-names":false,"suffix":""}],"container-title":"NTDC National Transmission and Dispatch Company","id":"ITEM-1","issued":{"date-parts":[["2011"]]},"page":"32","title":"National Power System Expansion Plan (2011–2030). Final Report. ","type":"article-journal","volume":"Final Repo"},"suppress-author":1,"uris":["http://www.mendeley.com/documents/?uuid=75be6af0-dbe8-4cca-9b20-cb6747e30af7"]}],"mendeley":{"formattedCitation":"(2011)","plainTextFormattedCitation":"(2011)","previouslyFormattedCitation":"(2011)"},"properties":{"noteIndex":0},"schema":"https://github.com/citation-style-language/schema/raw/master/csl-citation.json"}</w:instrText>
      </w:r>
      <w:r w:rsidRPr="00B6303E">
        <w:rPr>
          <w:rStyle w:val="FootnoteReference"/>
          <w:rFonts w:ascii="Times New Roman" w:hAnsi="Times New Roman"/>
          <w:sz w:val="20"/>
          <w:szCs w:val="20"/>
        </w:rPr>
        <w:fldChar w:fldCharType="separate"/>
      </w:r>
      <w:r w:rsidRPr="00B6303E">
        <w:rPr>
          <w:rFonts w:ascii="Times New Roman" w:hAnsi="Times New Roman"/>
          <w:sz w:val="20"/>
          <w:szCs w:val="20"/>
        </w:rPr>
        <w:t>(2011)</w:t>
      </w:r>
      <w:r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&amp; Australia P </w:t>
      </w:r>
      <w:r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{"citationItems":[{"id":"ITEM-1","itemData":{"author":[{"dropping-particle":"","family":"Austrilia","given":"p","non-dropping-particle":"","parse-names":false,"suffix":""}],"id":"ITEM-1","issued":{"date-parts":[["2015","2","11"]]},"title":"The world in 2050: will the shift in global economic power continue?","type":"webpage"},"suppress-author":1,"uris":["http://www.mendeley.com/documents/?uuid=6be3f196-81b2-36f8-92f7-52b0a6f460ae"]}],"mendeley":{"formattedCitation":"(2015)","plainTextFormattedCitation":"(2015)","previouslyFormattedCitation":"(2015)"},"properties":{"noteIndex":0},"schema":"https://github.com/citation-style-language/schema/raw/master/csl-citation.json"}</w:instrText>
      </w:r>
      <w:r w:rsidRPr="00B6303E">
        <w:rPr>
          <w:rStyle w:val="FootnoteReference"/>
          <w:rFonts w:ascii="Times New Roman" w:hAnsi="Times New Roman"/>
          <w:sz w:val="20"/>
          <w:szCs w:val="20"/>
        </w:rPr>
        <w:fldChar w:fldCharType="separate"/>
      </w:r>
      <w:r w:rsidRPr="00B6303E">
        <w:rPr>
          <w:rFonts w:ascii="Times New Roman" w:hAnsi="Times New Roman"/>
          <w:sz w:val="20"/>
          <w:szCs w:val="20"/>
        </w:rPr>
        <w:t>(2015)</w:t>
      </w:r>
      <w:r w:rsidRPr="00B6303E">
        <w:rPr>
          <w:rStyle w:val="FootnoteReference"/>
          <w:rFonts w:ascii="Times New Roman" w:hAnsi="Times New Roman"/>
          <w:sz w:val="20"/>
          <w:szCs w:val="20"/>
        </w:rPr>
        <w:fldChar w:fldCharType="end"/>
      </w:r>
      <w:r w:rsidRPr="00B6303E">
        <w:rPr>
          <w:rFonts w:ascii="Times New Roman" w:hAnsi="Times New Roman"/>
          <w:sz w:val="20"/>
          <w:szCs w:val="20"/>
        </w:rPr>
        <w:t xml:space="preserve"> forecasted that average power prices will rise 2.025 percent from 2011 to 2020 and 1.25 percent from 2020 to 2030 over the period 2011–2030. From 2011 through 2020, these prices will rise by 0.6 percent and 2.2 percent, respectively, in the industrial and commercial sectors. During the years 2020–2030, however, this </w:t>
      </w:r>
      <w:proofErr w:type="spellStart"/>
      <w:r w:rsidRPr="00B6303E">
        <w:rPr>
          <w:rFonts w:ascii="Times New Roman" w:hAnsi="Times New Roman"/>
          <w:sz w:val="20"/>
          <w:szCs w:val="20"/>
        </w:rPr>
        <w:t>sectoral</w:t>
      </w:r>
      <w:proofErr w:type="spellEnd"/>
      <w:r w:rsidRPr="00B6303E">
        <w:rPr>
          <w:rFonts w:ascii="Times New Roman" w:hAnsi="Times New Roman"/>
          <w:sz w:val="20"/>
          <w:szCs w:val="20"/>
        </w:rPr>
        <w:t xml:space="preserve"> price rise will drop to 0.3 percent and 1.1 percent, respectively. According to the AS, the average price growth rates for the overall, industrial, and commercial sectors throughout 2011 and 2030 will be 1.638 percent, 0.45 percent, and 1.65 percent, respectively. For all models, these growth rates will be lower than the BS. The forward scenario has a lower rate of rising energy costs, which is in line with CPEC since more renewable energy is forecast to join Pakistan's permanent magnet.</w:t>
      </w:r>
    </w:p>
    <w:p w:rsidR="00F82E9D" w:rsidRPr="00F82E9D" w:rsidRDefault="00F82E9D" w:rsidP="00F82E9D">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Pr="00B6303E" w:rsidRDefault="00F82E9D" w:rsidP="00F82E9D">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 xml:space="preserve">4.4.2 GDP scenario </w:t>
      </w:r>
    </w:p>
    <w:p w:rsid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sidRPr="00B6303E">
        <w:rPr>
          <w:rFonts w:ascii="Times New Roman" w:hAnsi="Times New Roman"/>
          <w:sz w:val="20"/>
          <w:szCs w:val="20"/>
        </w:rPr>
        <w:t xml:space="preserve">    Due to its enlarging working-age population, Pakistan is expected to have a good GDP growth rate Australia P </w:t>
      </w:r>
      <w:r w:rsidRPr="00B6303E">
        <w:rPr>
          <w:rStyle w:val="FootnoteReference"/>
          <w:rFonts w:ascii="Times New Roman" w:hAnsi="Times New Roman"/>
          <w:sz w:val="20"/>
          <w:szCs w:val="20"/>
          <w:vertAlign w:val="baseline"/>
        </w:rPr>
        <w:fldChar w:fldCharType="begin" w:fldLock="1"/>
      </w:r>
      <w:r w:rsidRPr="00B6303E">
        <w:rPr>
          <w:rFonts w:ascii="Times New Roman" w:hAnsi="Times New Roman"/>
          <w:sz w:val="20"/>
          <w:szCs w:val="20"/>
        </w:rPr>
        <w:instrText>ADDIN CSL_CITATION {"citationItems":[{"id":"ITEM-1","itemData":{"author":[{"dropping-particle":"","family":"Austrilia","given":"p","non-dropping-particle":"","parse-names":false,"suffix":""}],"id":"ITEM-1","issued":{"date-parts":[["2015","2","11"]]},"title":"The world in 2050: will the shift in global economic power continue?","type":"webpage"},"suppress-author":1,"uris":["http://www.mendeley.com/documents/?uuid=6be3f196-81b2-36f8-92f7-52b0a6f460ae"]}],"mendeley":{"formattedCitation":"(2015)","plainTextFormattedCitation":"(2015)","previouslyFormattedCitation":"(2015)"},"properties":{"noteIndex":0},"schema":"https://github.com/citation-style-language/schema/raw/master/csl-citation.json"}</w:instrText>
      </w:r>
      <w:r w:rsidRPr="00B6303E">
        <w:rPr>
          <w:rStyle w:val="FootnoteReference"/>
          <w:rFonts w:ascii="Times New Roman" w:hAnsi="Times New Roman"/>
          <w:sz w:val="20"/>
          <w:szCs w:val="20"/>
          <w:vertAlign w:val="baseline"/>
        </w:rPr>
        <w:fldChar w:fldCharType="separate"/>
      </w:r>
      <w:r w:rsidRPr="00B6303E">
        <w:rPr>
          <w:rStyle w:val="FootnoteReference"/>
          <w:rFonts w:ascii="Times New Roman" w:hAnsi="Times New Roman"/>
          <w:sz w:val="20"/>
          <w:szCs w:val="20"/>
          <w:vertAlign w:val="baseline"/>
        </w:rPr>
        <w:t>(2015)</w:t>
      </w:r>
      <w:r w:rsidRPr="00B6303E">
        <w:rPr>
          <w:rStyle w:val="FootnoteReference"/>
          <w:rFonts w:ascii="Times New Roman" w:hAnsi="Times New Roman"/>
          <w:sz w:val="20"/>
          <w:szCs w:val="20"/>
          <w:vertAlign w:val="baseline"/>
        </w:rPr>
        <w:fldChar w:fldCharType="end"/>
      </w:r>
      <w:r w:rsidRPr="00B6303E">
        <w:rPr>
          <w:rFonts w:ascii="Times New Roman" w:hAnsi="Times New Roman"/>
          <w:sz w:val="20"/>
          <w:szCs w:val="20"/>
        </w:rPr>
        <w:t>. Pakistan's Vision 2025 has set an 8 percent GDP growth goal from 2018 to 2025. Pakistan's Vision 2030 aspires to achieve a 7–8% GDP growth rate by 2030. The CPEC will increase current GDP by 2.5%, extending the level of progress to 7.5%. Given the goals in the Government statements and the CPEC, we have established a GDP growth rate of 7.5 percent for the AS and 6.144 percent for the MS.</w:t>
      </w:r>
    </w:p>
    <w:p w:rsid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Default="00F82E9D" w:rsidP="00E82F77">
      <w:pPr>
        <w:adjustRightInd w:val="0"/>
        <w:snapToGrid w:val="0"/>
        <w:spacing w:after="0" w:line="240" w:lineRule="auto"/>
        <w:ind w:firstLine="720"/>
        <w:jc w:val="both"/>
        <w:rPr>
          <w:rFonts w:ascii="Times New Roman" w:eastAsiaTheme="minorEastAsia" w:hAnsi="Times New Roman"/>
          <w:sz w:val="20"/>
          <w:szCs w:val="20"/>
          <w:lang w:eastAsia="zh-CN"/>
        </w:rPr>
        <w:sectPr w:rsidR="00F82E9D" w:rsidSect="00463622">
          <w:type w:val="continuous"/>
          <w:pgSz w:w="12240" w:h="15840"/>
          <w:pgMar w:top="1440" w:right="1440" w:bottom="1440" w:left="1440" w:header="720" w:footer="720" w:gutter="0"/>
          <w:cols w:num="2" w:space="720"/>
          <w:docGrid w:linePitch="360"/>
        </w:sectPr>
      </w:pPr>
    </w:p>
    <w:p w:rsidR="00E82F77" w:rsidRP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Table 5: Lag order selection criteria in VAR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1398"/>
        <w:gridCol w:w="1398"/>
        <w:gridCol w:w="1528"/>
        <w:gridCol w:w="1496"/>
        <w:gridCol w:w="1496"/>
        <w:gridCol w:w="1498"/>
      </w:tblGrid>
      <w:tr w:rsidR="00463622" w:rsidRPr="00B6303E" w:rsidTr="00E82F77">
        <w:trPr>
          <w:cantSplit/>
          <w:jc w:val="center"/>
        </w:trPr>
        <w:tc>
          <w:tcPr>
            <w:tcW w:w="5000" w:type="pct"/>
            <w:gridSpan w:val="7"/>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Aggregate</w:t>
            </w:r>
          </w:p>
        </w:tc>
      </w:tr>
      <w:tr w:rsidR="00463622" w:rsidRPr="00B6303E" w:rsidTr="00E82F77">
        <w:trPr>
          <w:cantSplit/>
          <w:jc w:val="center"/>
        </w:trPr>
        <w:tc>
          <w:tcPr>
            <w:tcW w:w="3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Lag</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LogL</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LR</w:t>
            </w:r>
          </w:p>
        </w:tc>
        <w:tc>
          <w:tcPr>
            <w:tcW w:w="7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FPE</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AIC</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SBIC</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HQ</w:t>
            </w:r>
          </w:p>
        </w:tc>
      </w:tr>
      <w:tr w:rsidR="00463622" w:rsidRPr="00B6303E" w:rsidTr="00E82F77">
        <w:trPr>
          <w:cantSplit/>
          <w:jc w:val="center"/>
        </w:trPr>
        <w:tc>
          <w:tcPr>
            <w:tcW w:w="3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0</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151.4253</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w:t>
            </w:r>
          </w:p>
        </w:tc>
        <w:tc>
          <w:tcPr>
            <w:tcW w:w="7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7.89E-13</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-9.12435</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-7.33427</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w:t>
            </w:r>
          </w:p>
        </w:tc>
      </w:tr>
      <w:tr w:rsidR="00463622" w:rsidRPr="00B6303E" w:rsidTr="00E82F77">
        <w:trPr>
          <w:cantSplit/>
          <w:jc w:val="center"/>
        </w:trPr>
        <w:tc>
          <w:tcPr>
            <w:tcW w:w="3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1</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345.654</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311.0478</w:t>
            </w:r>
          </w:p>
        </w:tc>
        <w:tc>
          <w:tcPr>
            <w:tcW w:w="7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6.98E-15</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-18.4426</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-12.762*</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-9.563</w:t>
            </w:r>
          </w:p>
        </w:tc>
      </w:tr>
      <w:tr w:rsidR="00463622" w:rsidRPr="00B6303E" w:rsidTr="00E82F77">
        <w:trPr>
          <w:cantSplit/>
          <w:jc w:val="center"/>
        </w:trPr>
        <w:tc>
          <w:tcPr>
            <w:tcW w:w="3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2</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420.456</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52.1145*</w:t>
            </w:r>
          </w:p>
        </w:tc>
        <w:tc>
          <w:tcPr>
            <w:tcW w:w="7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4.32E-14</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-19.0224</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-13.7344</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-16.135</w:t>
            </w:r>
          </w:p>
        </w:tc>
      </w:tr>
      <w:tr w:rsidR="00463622" w:rsidRPr="00B6303E" w:rsidTr="00E82F77">
        <w:trPr>
          <w:cantSplit/>
          <w:jc w:val="center"/>
        </w:trPr>
        <w:tc>
          <w:tcPr>
            <w:tcW w:w="3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3</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440.6927</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43.3976</w:t>
            </w:r>
          </w:p>
        </w:tc>
        <w:tc>
          <w:tcPr>
            <w:tcW w:w="7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2.02E-14*</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19.9227*</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-10.1714</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-19.4521</w:t>
            </w:r>
          </w:p>
        </w:tc>
      </w:tr>
      <w:tr w:rsidR="00463622" w:rsidRPr="00B6303E" w:rsidTr="00E82F77">
        <w:trPr>
          <w:cantSplit/>
          <w:jc w:val="center"/>
        </w:trPr>
        <w:tc>
          <w:tcPr>
            <w:tcW w:w="5000" w:type="pct"/>
            <w:gridSpan w:val="7"/>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Industrial Sector</w:t>
            </w:r>
          </w:p>
        </w:tc>
      </w:tr>
      <w:tr w:rsidR="00463622" w:rsidRPr="00B6303E" w:rsidTr="00E82F77">
        <w:trPr>
          <w:cantSplit/>
          <w:jc w:val="center"/>
        </w:trPr>
        <w:tc>
          <w:tcPr>
            <w:tcW w:w="3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0</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96.438</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w:t>
            </w:r>
          </w:p>
        </w:tc>
        <w:tc>
          <w:tcPr>
            <w:tcW w:w="7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3.30E-08</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-5.2264</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-2.5602</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-4.5298</w:t>
            </w:r>
          </w:p>
        </w:tc>
      </w:tr>
      <w:tr w:rsidR="00463622" w:rsidRPr="00B6303E" w:rsidTr="00E82F77">
        <w:trPr>
          <w:cantSplit/>
          <w:jc w:val="center"/>
        </w:trPr>
        <w:tc>
          <w:tcPr>
            <w:tcW w:w="3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1</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276.342</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312.459*</w:t>
            </w:r>
          </w:p>
        </w:tc>
        <w:tc>
          <w:tcPr>
            <w:tcW w:w="7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2.60E-12*</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-12.6745*</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-14.3456*</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-12.0347*</w:t>
            </w:r>
          </w:p>
        </w:tc>
      </w:tr>
      <w:tr w:rsidR="00463622" w:rsidRPr="00B6303E" w:rsidTr="00E82F77">
        <w:trPr>
          <w:cantSplit/>
          <w:jc w:val="center"/>
        </w:trPr>
        <w:tc>
          <w:tcPr>
            <w:tcW w:w="3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2</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312.3216</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32.6803</w:t>
            </w:r>
          </w:p>
        </w:tc>
        <w:tc>
          <w:tcPr>
            <w:tcW w:w="7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2.03E-14</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-11.465</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-12.0356</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-14.6092</w:t>
            </w:r>
          </w:p>
        </w:tc>
      </w:tr>
      <w:tr w:rsidR="00463622" w:rsidRPr="00B6303E" w:rsidTr="00E82F77">
        <w:trPr>
          <w:cantSplit/>
          <w:jc w:val="center"/>
        </w:trPr>
        <w:tc>
          <w:tcPr>
            <w:tcW w:w="5000" w:type="pct"/>
            <w:gridSpan w:val="7"/>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Commercial Sector</w:t>
            </w:r>
          </w:p>
        </w:tc>
      </w:tr>
      <w:tr w:rsidR="00463622" w:rsidRPr="00B6303E" w:rsidTr="00E82F77">
        <w:trPr>
          <w:cantSplit/>
          <w:jc w:val="center"/>
        </w:trPr>
        <w:tc>
          <w:tcPr>
            <w:tcW w:w="3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0</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117.8097</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w:t>
            </w:r>
          </w:p>
        </w:tc>
        <w:tc>
          <w:tcPr>
            <w:tcW w:w="7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1.03E-07</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-5.4213</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-5.2654</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-4.51834</w:t>
            </w:r>
          </w:p>
        </w:tc>
      </w:tr>
      <w:tr w:rsidR="00463622" w:rsidRPr="00B6303E" w:rsidTr="00E82F77">
        <w:trPr>
          <w:cantSplit/>
          <w:jc w:val="center"/>
        </w:trPr>
        <w:tc>
          <w:tcPr>
            <w:tcW w:w="3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1 </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311.2245</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319.9016</w:t>
            </w:r>
          </w:p>
        </w:tc>
        <w:tc>
          <w:tcPr>
            <w:tcW w:w="7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5.82E-13</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-13.3541</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-15.1128* </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-13.0534*</w:t>
            </w:r>
          </w:p>
        </w:tc>
      </w:tr>
      <w:tr w:rsidR="00463622" w:rsidRPr="00B6303E" w:rsidTr="00E82F77">
        <w:trPr>
          <w:cantSplit/>
          <w:jc w:val="center"/>
        </w:trPr>
        <w:tc>
          <w:tcPr>
            <w:tcW w:w="3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2</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342.8265</w:t>
            </w:r>
          </w:p>
        </w:tc>
        <w:tc>
          <w:tcPr>
            <w:tcW w:w="73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42.5468*</w:t>
            </w:r>
          </w:p>
        </w:tc>
        <w:tc>
          <w:tcPr>
            <w:tcW w:w="798"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3.10E-13*</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-15.2537*</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-14.385</w:t>
            </w:r>
          </w:p>
        </w:tc>
        <w:tc>
          <w:tcPr>
            <w:tcW w:w="781"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-12.3768</w:t>
            </w:r>
          </w:p>
        </w:tc>
      </w:tr>
    </w:tbl>
    <w:p w:rsidR="00463622" w:rsidRPr="00B6303E" w:rsidRDefault="00463622" w:rsidP="00E82F77">
      <w:pPr>
        <w:adjustRightInd w:val="0"/>
        <w:snapToGrid w:val="0"/>
        <w:spacing w:after="0" w:line="240" w:lineRule="auto"/>
        <w:jc w:val="both"/>
        <w:rPr>
          <w:rFonts w:ascii="Times New Roman" w:hAnsi="Times New Roman"/>
          <w:sz w:val="20"/>
          <w:szCs w:val="20"/>
        </w:rPr>
      </w:pPr>
    </w:p>
    <w:p w:rsidR="00E82F77" w:rsidRP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sz w:val="20"/>
          <w:szCs w:val="20"/>
        </w:rPr>
        <w:t>Table 6:</w:t>
      </w:r>
      <w:r w:rsidRPr="00B6303E">
        <w:rPr>
          <w:rFonts w:ascii="Times New Roman" w:hAnsi="Times New Roman"/>
          <w:sz w:val="20"/>
          <w:szCs w:val="20"/>
        </w:rPr>
        <w:t xml:space="preserve"> </w:t>
      </w:r>
      <w:r w:rsidRPr="00B6303E">
        <w:rPr>
          <w:rFonts w:ascii="Times New Roman" w:hAnsi="Times New Roman"/>
          <w:b/>
          <w:bCs/>
          <w:sz w:val="20"/>
          <w:szCs w:val="20"/>
        </w:rPr>
        <w:t>Johansen Trace and Max-Eigen test for cointegration.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597"/>
        <w:gridCol w:w="1388"/>
        <w:gridCol w:w="1389"/>
        <w:gridCol w:w="1389"/>
        <w:gridCol w:w="1389"/>
        <w:gridCol w:w="1389"/>
        <w:gridCol w:w="1385"/>
      </w:tblGrid>
      <w:tr w:rsidR="00463622" w:rsidRPr="00B6303E" w:rsidTr="00F82E9D">
        <w:trPr>
          <w:cantSplit/>
          <w:jc w:val="center"/>
        </w:trPr>
        <w:tc>
          <w:tcPr>
            <w:tcW w:w="340" w:type="pct"/>
            <w:vMerge w:val="restart"/>
            <w:vAlign w:val="center"/>
          </w:tcPr>
          <w:p w:rsidR="00463622" w:rsidRPr="00F82E9D" w:rsidRDefault="00CA01A3" w:rsidP="00F82E9D">
            <w:pPr>
              <w:adjustRightInd w:val="0"/>
              <w:snapToGrid w:val="0"/>
              <w:spacing w:after="0" w:line="240" w:lineRule="auto"/>
              <w:jc w:val="both"/>
              <w:rPr>
                <w:rFonts w:ascii="Times New Roman" w:eastAsiaTheme="minorEastAsia" w:hAnsi="Times New Roman" w:hint="eastAsia"/>
                <w:sz w:val="20"/>
                <w:szCs w:val="20"/>
                <w:lang w:eastAsia="zh-CN"/>
              </w:rPr>
            </w:pPr>
            <w:r w:rsidRPr="00B6303E">
              <w:rPr>
                <w:rFonts w:ascii="Times New Roman" w:hAnsi="Times New Roman"/>
                <w:sz w:val="20"/>
                <w:szCs w:val="20"/>
              </w:rPr>
              <w:t xml:space="preserve"> H</w:t>
            </w:r>
            <w:r w:rsidRPr="00B6303E">
              <w:rPr>
                <w:rFonts w:ascii="Times New Roman" w:hAnsi="Times New Roman"/>
                <w:sz w:val="20"/>
                <w:szCs w:val="20"/>
                <w:vertAlign w:val="subscript"/>
              </w:rPr>
              <w:t>0</w:t>
            </w:r>
            <w:r w:rsidR="00F82E9D">
              <w:rPr>
                <w:rFonts w:ascii="Times New Roman" w:hAnsi="Times New Roman"/>
                <w:sz w:val="20"/>
                <w:szCs w:val="20"/>
                <w:vertAlign w:val="subscript"/>
              </w:rPr>
              <w:t xml:space="preserve"> </w:t>
            </w:r>
            <w:r w:rsidRPr="00B6303E">
              <w:rPr>
                <w:rFonts w:ascii="Times New Roman" w:hAnsi="Times New Roman"/>
                <w:sz w:val="20"/>
                <w:szCs w:val="20"/>
              </w:rPr>
              <w:t xml:space="preserve"> </w:t>
            </w:r>
          </w:p>
        </w:tc>
        <w:tc>
          <w:tcPr>
            <w:tcW w:w="312" w:type="pct"/>
            <w:vMerge w:val="restar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p w:rsidR="00463622" w:rsidRPr="00B6303E" w:rsidRDefault="00CA01A3" w:rsidP="00E82F77">
            <w:pPr>
              <w:adjustRightInd w:val="0"/>
              <w:snapToGrid w:val="0"/>
              <w:spacing w:after="0" w:line="240" w:lineRule="auto"/>
              <w:jc w:val="both"/>
              <w:rPr>
                <w:rFonts w:ascii="Times New Roman" w:hAnsi="Times New Roman"/>
                <w:sz w:val="20"/>
                <w:szCs w:val="20"/>
                <w:vertAlign w:val="subscript"/>
              </w:rPr>
            </w:pPr>
            <w:r w:rsidRPr="00B6303E">
              <w:rPr>
                <w:rFonts w:ascii="Times New Roman" w:hAnsi="Times New Roman"/>
                <w:sz w:val="20"/>
                <w:szCs w:val="20"/>
              </w:rPr>
              <w:t>H</w:t>
            </w:r>
            <w:r w:rsidRPr="00B6303E">
              <w:rPr>
                <w:rFonts w:ascii="Times New Roman" w:hAnsi="Times New Roman"/>
                <w:sz w:val="20"/>
                <w:szCs w:val="20"/>
                <w:vertAlign w:val="subscript"/>
              </w:rPr>
              <w:t>1</w:t>
            </w:r>
          </w:p>
        </w:tc>
        <w:tc>
          <w:tcPr>
            <w:tcW w:w="4348" w:type="pct"/>
            <w:gridSpan w:val="6"/>
            <w:vAlign w:val="center"/>
          </w:tcPr>
          <w:p w:rsidR="00463622" w:rsidRPr="00B6303E" w:rsidRDefault="00CA01A3" w:rsidP="00E82F77">
            <w:pPr>
              <w:tabs>
                <w:tab w:val="left" w:pos="2540"/>
                <w:tab w:val="left" w:pos="5016"/>
              </w:tabs>
              <w:adjustRightInd w:val="0"/>
              <w:snapToGrid w:val="0"/>
              <w:spacing w:after="0" w:line="240" w:lineRule="auto"/>
              <w:jc w:val="both"/>
              <w:rPr>
                <w:rFonts w:ascii="Times New Roman" w:hAnsi="Times New Roman"/>
                <w:b/>
                <w:bCs/>
                <w:sz w:val="20"/>
                <w:szCs w:val="20"/>
              </w:rPr>
            </w:pPr>
            <w:r w:rsidRPr="00B6303E">
              <w:rPr>
                <w:rFonts w:ascii="Times New Roman" w:hAnsi="Times New Roman"/>
                <w:sz w:val="20"/>
                <w:szCs w:val="20"/>
              </w:rPr>
              <w:t xml:space="preserve">            </w:t>
            </w:r>
            <w:r w:rsidRPr="00B6303E">
              <w:rPr>
                <w:rFonts w:ascii="Times New Roman" w:hAnsi="Times New Roman"/>
                <w:b/>
                <w:bCs/>
                <w:sz w:val="20"/>
                <w:szCs w:val="20"/>
              </w:rPr>
              <w:t>Aggregate</w:t>
            </w:r>
            <w:r w:rsidRPr="00B6303E">
              <w:rPr>
                <w:rFonts w:ascii="Times New Roman" w:hAnsi="Times New Roman"/>
                <w:b/>
                <w:bCs/>
                <w:sz w:val="20"/>
                <w:szCs w:val="20"/>
              </w:rPr>
              <w:tab/>
              <w:t xml:space="preserve">     Industrial sector                          Commercial sector</w:t>
            </w:r>
          </w:p>
        </w:tc>
      </w:tr>
      <w:tr w:rsidR="00463622" w:rsidRPr="00B6303E" w:rsidTr="00F82E9D">
        <w:trPr>
          <w:cantSplit/>
          <w:jc w:val="center"/>
        </w:trPr>
        <w:tc>
          <w:tcPr>
            <w:tcW w:w="340" w:type="pct"/>
            <w:vMerge/>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312" w:type="pct"/>
            <w:vMerge/>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4348" w:type="pct"/>
            <w:gridSpan w:val="6"/>
            <w:vAlign w:val="center"/>
          </w:tcPr>
          <w:p w:rsidR="00463622" w:rsidRPr="00B6303E" w:rsidRDefault="00CA01A3" w:rsidP="00F82E9D">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w:t>
            </w:r>
            <w:r w:rsidR="00F82E9D">
              <w:rPr>
                <w:rFonts w:ascii="Times New Roman" w:eastAsiaTheme="minorEastAsia" w:hAnsi="Times New Roman" w:hint="eastAsia"/>
                <w:sz w:val="20"/>
                <w:szCs w:val="20"/>
                <w:lang w:eastAsia="zh-CN"/>
              </w:rPr>
              <w:t xml:space="preserve"> </w:t>
            </w:r>
            <w:r w:rsidRPr="00B6303E">
              <w:rPr>
                <w:rFonts w:ascii="Times New Roman" w:hAnsi="Times New Roman"/>
                <w:sz w:val="20"/>
                <w:szCs w:val="20"/>
              </w:rPr>
              <w:t xml:space="preserve">   Trace       </w:t>
            </w:r>
            <w:r w:rsidR="00F82E9D">
              <w:rPr>
                <w:rFonts w:ascii="Times New Roman" w:eastAsiaTheme="minorEastAsia" w:hAnsi="Times New Roman" w:hint="eastAsia"/>
                <w:sz w:val="20"/>
                <w:szCs w:val="20"/>
                <w:lang w:eastAsia="zh-CN"/>
              </w:rPr>
              <w:t xml:space="preserve">  </w:t>
            </w:r>
            <w:r w:rsidRPr="00B6303E">
              <w:rPr>
                <w:rFonts w:ascii="Times New Roman" w:hAnsi="Times New Roman"/>
                <w:sz w:val="20"/>
                <w:szCs w:val="20"/>
              </w:rPr>
              <w:t xml:space="preserve">    5% CV           </w:t>
            </w:r>
            <w:r w:rsidR="00F82E9D">
              <w:rPr>
                <w:rFonts w:ascii="Times New Roman" w:eastAsiaTheme="minorEastAsia" w:hAnsi="Times New Roman" w:hint="eastAsia"/>
                <w:sz w:val="20"/>
                <w:szCs w:val="20"/>
                <w:lang w:eastAsia="zh-CN"/>
              </w:rPr>
              <w:t xml:space="preserve"> </w:t>
            </w:r>
            <w:r w:rsidRPr="00B6303E">
              <w:rPr>
                <w:rFonts w:ascii="Times New Roman" w:hAnsi="Times New Roman"/>
                <w:sz w:val="20"/>
                <w:szCs w:val="20"/>
              </w:rPr>
              <w:t xml:space="preserve">    Trace   </w:t>
            </w:r>
            <w:r w:rsidR="00F82E9D">
              <w:rPr>
                <w:rFonts w:ascii="Times New Roman" w:eastAsiaTheme="minorEastAsia" w:hAnsi="Times New Roman" w:hint="eastAsia"/>
                <w:sz w:val="20"/>
                <w:szCs w:val="20"/>
                <w:lang w:eastAsia="zh-CN"/>
              </w:rPr>
              <w:t xml:space="preserve">    </w:t>
            </w:r>
            <w:r w:rsidRPr="00B6303E">
              <w:rPr>
                <w:rFonts w:ascii="Times New Roman" w:hAnsi="Times New Roman"/>
                <w:sz w:val="20"/>
                <w:szCs w:val="20"/>
              </w:rPr>
              <w:t xml:space="preserve">            5% CV                  Trace                   5%CV  </w:t>
            </w:r>
          </w:p>
        </w:tc>
      </w:tr>
      <w:tr w:rsidR="00463622" w:rsidRPr="00B6303E" w:rsidTr="00F82E9D">
        <w:trPr>
          <w:gridAfter w:val="6"/>
          <w:wAfter w:w="4348" w:type="pct"/>
          <w:cantSplit/>
          <w:trHeight w:val="230"/>
          <w:jc w:val="center"/>
        </w:trPr>
        <w:tc>
          <w:tcPr>
            <w:tcW w:w="340" w:type="pct"/>
            <w:vMerge/>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312" w:type="pct"/>
            <w:vMerge/>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 = 0</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r≥1</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143.7429</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94.5763</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137.5328</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87.3807</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129.749</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85.3076</w:t>
            </w: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r≤1</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r ≥2                                                         </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93.58076</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68.18981</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91.0217</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64.7851</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72.7099</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62.7681</w:t>
            </w: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r≤2</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r ≥3                                                         </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47.08416</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48.65831</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52.15968</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40.87252</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42.2562</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42.52591</w:t>
            </w: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r≤3</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r ≥4                                                        </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23.6295</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28.70796</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31.7044</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26.21187</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25.39204</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25.11287</w:t>
            </w: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r≤4</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r ≥5                                                     </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11.4158</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15.71449</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11.18287</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13.71698</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9.76532</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11.98516</w:t>
            </w: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r≤5</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 ≥6</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1.24363</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2.41866</w:t>
            </w: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r>
      <w:tr w:rsidR="00463622" w:rsidRPr="00B6303E" w:rsidTr="00F82E9D">
        <w:trPr>
          <w:cantSplit/>
          <w:jc w:val="center"/>
        </w:trPr>
        <w:tc>
          <w:tcPr>
            <w:tcW w:w="340"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312"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r>
      <w:tr w:rsidR="00463622" w:rsidRPr="00B6303E" w:rsidTr="00F82E9D">
        <w:trPr>
          <w:cantSplit/>
          <w:jc w:val="center"/>
        </w:trPr>
        <w:tc>
          <w:tcPr>
            <w:tcW w:w="5000" w:type="pct"/>
            <w:gridSpan w:val="8"/>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H</w:t>
            </w:r>
            <w:r w:rsidRPr="00B6303E">
              <w:rPr>
                <w:rFonts w:ascii="Times New Roman" w:hAnsi="Times New Roman"/>
                <w:sz w:val="20"/>
                <w:szCs w:val="20"/>
                <w:vertAlign w:val="subscript"/>
              </w:rPr>
              <w:t xml:space="preserve">0              </w:t>
            </w:r>
            <w:r w:rsidRPr="00B6303E">
              <w:rPr>
                <w:rFonts w:ascii="Times New Roman" w:hAnsi="Times New Roman"/>
                <w:sz w:val="20"/>
                <w:szCs w:val="20"/>
              </w:rPr>
              <w:t xml:space="preserve"> H</w:t>
            </w:r>
            <w:r w:rsidRPr="00B6303E">
              <w:rPr>
                <w:rFonts w:ascii="Times New Roman" w:hAnsi="Times New Roman"/>
                <w:sz w:val="20"/>
                <w:szCs w:val="20"/>
                <w:vertAlign w:val="subscript"/>
              </w:rPr>
              <w:t xml:space="preserve">1             </w:t>
            </w:r>
            <w:r w:rsidRPr="00B6303E">
              <w:rPr>
                <w:rFonts w:ascii="Times New Roman" w:hAnsi="Times New Roman"/>
                <w:sz w:val="20"/>
                <w:szCs w:val="20"/>
              </w:rPr>
              <w:t>Max.Eign           5% CV              Max.Eign           5% CV               Max.Eign            5% CV</w:t>
            </w: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 =0</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r=1</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52.2658</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41.0577</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48.4814</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38.10133</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54.6078</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9.1037</w:t>
            </w: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 ≤1</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r=2</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45.8125</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33.6878</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38.1029</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32.8321</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30.1375</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34.8321</w:t>
            </w: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 ≤2</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r=3</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24.5645</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27.4348</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21.2216</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21.8232</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17.2235</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25.3212</w:t>
            </w: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 ≤3</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r=4</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14.7753</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22.1623</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18.7934</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19.7043</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14.3472</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19.7048</w:t>
            </w: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 ≤4</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r=5</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8.3756</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13.4627</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11.8187</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10.9696</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12.1798</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12.5673</w:t>
            </w:r>
          </w:p>
        </w:tc>
      </w:tr>
      <w:tr w:rsidR="00463622" w:rsidRPr="00B6303E" w:rsidTr="00F82E9D">
        <w:trPr>
          <w:cantSplit/>
          <w:jc w:val="center"/>
        </w:trPr>
        <w:tc>
          <w:tcPr>
            <w:tcW w:w="340"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r≤5</w:t>
            </w:r>
          </w:p>
        </w:tc>
        <w:tc>
          <w:tcPr>
            <w:tcW w:w="31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r =6</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0.2973</w:t>
            </w:r>
          </w:p>
        </w:tc>
        <w:tc>
          <w:tcPr>
            <w:tcW w:w="72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3.4668</w:t>
            </w: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725" w:type="pct"/>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r>
    </w:tbl>
    <w:p w:rsidR="00E82F77" w:rsidRDefault="00E82F77" w:rsidP="00E82F77">
      <w:pPr>
        <w:adjustRightInd w:val="0"/>
        <w:snapToGrid w:val="0"/>
        <w:spacing w:after="0" w:line="240" w:lineRule="auto"/>
        <w:jc w:val="both"/>
        <w:rPr>
          <w:rFonts w:ascii="Times New Roman" w:eastAsiaTheme="minorEastAsia" w:hAnsi="Times New Roman" w:hint="eastAsia"/>
          <w:b/>
          <w:sz w:val="20"/>
          <w:szCs w:val="20"/>
          <w:lang w:eastAsia="zh-CN"/>
        </w:rPr>
      </w:pPr>
    </w:p>
    <w:p w:rsidR="00E82F77" w:rsidRDefault="00E82F77" w:rsidP="00E82F77">
      <w:pPr>
        <w:adjustRightInd w:val="0"/>
        <w:snapToGrid w:val="0"/>
        <w:spacing w:after="0" w:line="240" w:lineRule="auto"/>
        <w:jc w:val="both"/>
        <w:rPr>
          <w:rFonts w:ascii="Times New Roman" w:eastAsiaTheme="minorEastAsia" w:hAnsi="Times New Roman" w:hint="eastAsia"/>
          <w:b/>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4.4.3 Energy intensity scenario</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t xml:space="preserve">    The economy of Pakistan is largely reliant on energy. There have been no targets set for incorporating energy efficiency into the economy. Consequently, for the aggregate (0.931%) and industrial sector (0.895%) models, we maintained the same growth rate for electricity consumption as in the BS. Because the industrial sector's energy intensity has reduced since 2007, we have projected a 15% reduction in commercial energy intensity growth in the AS. Commercial energy intensity will increase by 0.646 percent and 0.594 percent in the MS and AS, respectively.</w:t>
      </w: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4.4.4 Foreign direct investment scenario</w:t>
      </w:r>
    </w:p>
    <w:p w:rsidR="00463622" w:rsidRDefault="00B6303E"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Pr>
          <w:rFonts w:ascii="Times New Roman" w:hAnsi="Times New Roman"/>
          <w:sz w:val="20"/>
          <w:szCs w:val="20"/>
        </w:rPr>
        <w:t xml:space="preserve"> </w:t>
      </w:r>
      <w:r w:rsidR="00CA01A3" w:rsidRPr="00B6303E">
        <w:rPr>
          <w:rFonts w:ascii="Times New Roman" w:hAnsi="Times New Roman"/>
          <w:sz w:val="20"/>
          <w:szCs w:val="20"/>
        </w:rPr>
        <w:t xml:space="preserve">A foreign direct investment (FDI) towards Pakistan is the China-Pakistan Economic Corridor (CPEC). Electricity and transportation infrastructure investments are classified as CPEC-related commercial FDI by all of us. We envisage the CPEC investment in Gwadar as a significant power source of future industrial FDI. The sum of the increase in the BS and the per year growth rate of FDI inflows due to CPEC is the future growth rate of the FDI series under the AS. The estimate is based on the assumption that the average increase in net FDI inflows from 1981 to 2019 will proceed in the future. As a result, we include it in the FDI inflows associated with the CPEC. In </w:t>
      </w:r>
      <w:r w:rsidR="00CA01A3" w:rsidRPr="00B6303E">
        <w:rPr>
          <w:rFonts w:ascii="Times New Roman" w:hAnsi="Times New Roman"/>
          <w:sz w:val="20"/>
          <w:szCs w:val="20"/>
        </w:rPr>
        <w:lastRenderedPageBreak/>
        <w:t>conclusion, in the AS, we set long-term FDI growth rates of 39.86%, 20.50%, and 39.84% for the absolute numbers, industrial, and commercial components.</w:t>
      </w:r>
    </w:p>
    <w:p w:rsid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E82F77" w:rsidRP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Table 7: Present Long run Results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tblPr>
      <w:tblGrid>
        <w:gridCol w:w="1808"/>
        <w:gridCol w:w="1168"/>
        <w:gridCol w:w="789"/>
        <w:gridCol w:w="1594"/>
        <w:gridCol w:w="1074"/>
        <w:gridCol w:w="1765"/>
        <w:gridCol w:w="1190"/>
      </w:tblGrid>
      <w:tr w:rsidR="00463622" w:rsidRPr="00B6303E" w:rsidTr="00F82E9D">
        <w:trPr>
          <w:cantSplit/>
          <w:jc w:val="center"/>
        </w:trPr>
        <w:tc>
          <w:tcPr>
            <w:tcW w:w="5000" w:type="pct"/>
            <w:gridSpan w:val="7"/>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 xml:space="preserve">Dependent Variable: Energy consumption </w:t>
            </w:r>
          </w:p>
        </w:tc>
      </w:tr>
      <w:tr w:rsidR="00463622" w:rsidRPr="00B6303E" w:rsidTr="00F82E9D">
        <w:trPr>
          <w:cantSplit/>
          <w:jc w:val="center"/>
        </w:trPr>
        <w:tc>
          <w:tcPr>
            <w:tcW w:w="963" w:type="pct"/>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 xml:space="preserve">Series </w:t>
            </w:r>
          </w:p>
        </w:tc>
        <w:tc>
          <w:tcPr>
            <w:tcW w:w="1042" w:type="pct"/>
            <w:gridSpan w:val="2"/>
            <w:vAlign w:val="center"/>
          </w:tcPr>
          <w:p w:rsidR="00463622" w:rsidRPr="00B6303E" w:rsidRDefault="00CA01A3" w:rsidP="00F82E9D">
            <w:pPr>
              <w:adjustRightInd w:val="0"/>
              <w:snapToGrid w:val="0"/>
              <w:spacing w:after="0" w:line="240" w:lineRule="auto"/>
              <w:jc w:val="center"/>
              <w:rPr>
                <w:rFonts w:ascii="Times New Roman" w:hAnsi="Times New Roman"/>
                <w:b/>
                <w:bCs/>
                <w:sz w:val="20"/>
                <w:szCs w:val="20"/>
              </w:rPr>
            </w:pPr>
            <w:r w:rsidRPr="00B6303E">
              <w:rPr>
                <w:rFonts w:ascii="Times New Roman" w:hAnsi="Times New Roman"/>
                <w:b/>
                <w:bCs/>
                <w:sz w:val="20"/>
                <w:szCs w:val="20"/>
              </w:rPr>
              <w:t>Aggregate</w:t>
            </w:r>
          </w:p>
        </w:tc>
        <w:tc>
          <w:tcPr>
            <w:tcW w:w="1421" w:type="pct"/>
            <w:gridSpan w:val="2"/>
            <w:vAlign w:val="center"/>
          </w:tcPr>
          <w:p w:rsidR="00463622" w:rsidRPr="00B6303E" w:rsidRDefault="00CA01A3" w:rsidP="00F82E9D">
            <w:pPr>
              <w:adjustRightInd w:val="0"/>
              <w:snapToGrid w:val="0"/>
              <w:spacing w:after="0" w:line="240" w:lineRule="auto"/>
              <w:jc w:val="center"/>
              <w:rPr>
                <w:rFonts w:ascii="Times New Roman" w:hAnsi="Times New Roman"/>
                <w:b/>
                <w:bCs/>
                <w:sz w:val="20"/>
                <w:szCs w:val="20"/>
              </w:rPr>
            </w:pPr>
            <w:r w:rsidRPr="00B6303E">
              <w:rPr>
                <w:rFonts w:ascii="Times New Roman" w:hAnsi="Times New Roman"/>
                <w:b/>
                <w:bCs/>
                <w:sz w:val="20"/>
                <w:szCs w:val="20"/>
              </w:rPr>
              <w:t>Industrial Sector</w:t>
            </w:r>
          </w:p>
        </w:tc>
        <w:tc>
          <w:tcPr>
            <w:tcW w:w="1574" w:type="pct"/>
            <w:gridSpan w:val="2"/>
            <w:vAlign w:val="center"/>
          </w:tcPr>
          <w:p w:rsidR="00463622" w:rsidRPr="00B6303E" w:rsidRDefault="00CA01A3" w:rsidP="00F82E9D">
            <w:pPr>
              <w:adjustRightInd w:val="0"/>
              <w:snapToGrid w:val="0"/>
              <w:spacing w:after="0" w:line="240" w:lineRule="auto"/>
              <w:jc w:val="center"/>
              <w:rPr>
                <w:rFonts w:ascii="Times New Roman" w:hAnsi="Times New Roman"/>
                <w:b/>
                <w:bCs/>
                <w:sz w:val="20"/>
                <w:szCs w:val="20"/>
              </w:rPr>
            </w:pPr>
            <w:r w:rsidRPr="00B6303E">
              <w:rPr>
                <w:rFonts w:ascii="Times New Roman" w:hAnsi="Times New Roman"/>
                <w:b/>
                <w:bCs/>
                <w:sz w:val="20"/>
                <w:szCs w:val="20"/>
              </w:rPr>
              <w:t>Commercial Sector</w:t>
            </w:r>
          </w:p>
        </w:tc>
      </w:tr>
      <w:tr w:rsidR="00463622" w:rsidRPr="00B6303E" w:rsidTr="00F82E9D">
        <w:trPr>
          <w:cantSplit/>
          <w:jc w:val="center"/>
        </w:trPr>
        <w:tc>
          <w:tcPr>
            <w:tcW w:w="963"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Variables</w:t>
            </w:r>
          </w:p>
        </w:tc>
        <w:tc>
          <w:tcPr>
            <w:tcW w:w="62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Coefficients</w:t>
            </w:r>
          </w:p>
        </w:tc>
        <w:tc>
          <w:tcPr>
            <w:tcW w:w="41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S. E</w:t>
            </w:r>
          </w:p>
        </w:tc>
        <w:tc>
          <w:tcPr>
            <w:tcW w:w="84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Coefficients</w:t>
            </w:r>
          </w:p>
        </w:tc>
        <w:tc>
          <w:tcPr>
            <w:tcW w:w="57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S. E</w:t>
            </w:r>
          </w:p>
        </w:tc>
        <w:tc>
          <w:tcPr>
            <w:tcW w:w="940"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Coefficients</w:t>
            </w:r>
          </w:p>
        </w:tc>
        <w:tc>
          <w:tcPr>
            <w:tcW w:w="634"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S. E</w:t>
            </w:r>
          </w:p>
        </w:tc>
      </w:tr>
      <w:tr w:rsidR="00463622" w:rsidRPr="00B6303E" w:rsidTr="00F82E9D">
        <w:trPr>
          <w:cantSplit/>
          <w:jc w:val="center"/>
        </w:trPr>
        <w:tc>
          <w:tcPr>
            <w:tcW w:w="963"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LnPrices</w:t>
            </w:r>
          </w:p>
        </w:tc>
        <w:tc>
          <w:tcPr>
            <w:tcW w:w="62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0.553</w:t>
            </w:r>
          </w:p>
        </w:tc>
        <w:tc>
          <w:tcPr>
            <w:tcW w:w="41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0.11233</w:t>
            </w:r>
          </w:p>
        </w:tc>
        <w:tc>
          <w:tcPr>
            <w:tcW w:w="84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0.223</w:t>
            </w:r>
          </w:p>
        </w:tc>
        <w:tc>
          <w:tcPr>
            <w:tcW w:w="57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0.10424</w:t>
            </w:r>
          </w:p>
        </w:tc>
        <w:tc>
          <w:tcPr>
            <w:tcW w:w="940"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0.193</w:t>
            </w:r>
          </w:p>
        </w:tc>
        <w:tc>
          <w:tcPr>
            <w:tcW w:w="634"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0.01512</w:t>
            </w:r>
          </w:p>
        </w:tc>
      </w:tr>
      <w:tr w:rsidR="00463622" w:rsidRPr="00B6303E" w:rsidTr="00F82E9D">
        <w:trPr>
          <w:cantSplit/>
          <w:jc w:val="center"/>
        </w:trPr>
        <w:tc>
          <w:tcPr>
            <w:tcW w:w="963"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LnGDP</w:t>
            </w:r>
          </w:p>
        </w:tc>
        <w:tc>
          <w:tcPr>
            <w:tcW w:w="62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-0.656</w:t>
            </w:r>
          </w:p>
        </w:tc>
        <w:tc>
          <w:tcPr>
            <w:tcW w:w="41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0.16938</w:t>
            </w:r>
          </w:p>
        </w:tc>
        <w:tc>
          <w:tcPr>
            <w:tcW w:w="84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-1.526</w:t>
            </w:r>
          </w:p>
        </w:tc>
        <w:tc>
          <w:tcPr>
            <w:tcW w:w="57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0.06815</w:t>
            </w:r>
          </w:p>
        </w:tc>
        <w:tc>
          <w:tcPr>
            <w:tcW w:w="940"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-0.743</w:t>
            </w:r>
          </w:p>
        </w:tc>
        <w:tc>
          <w:tcPr>
            <w:tcW w:w="634"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0.08536</w:t>
            </w:r>
          </w:p>
        </w:tc>
      </w:tr>
      <w:tr w:rsidR="00463622" w:rsidRPr="00B6303E" w:rsidTr="00F82E9D">
        <w:trPr>
          <w:cantSplit/>
          <w:jc w:val="center"/>
        </w:trPr>
        <w:tc>
          <w:tcPr>
            <w:tcW w:w="963"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LnEnergy Intensity</w:t>
            </w:r>
          </w:p>
        </w:tc>
        <w:tc>
          <w:tcPr>
            <w:tcW w:w="62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-2.06</w:t>
            </w:r>
          </w:p>
        </w:tc>
        <w:tc>
          <w:tcPr>
            <w:tcW w:w="41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0.34143</w:t>
            </w:r>
          </w:p>
        </w:tc>
        <w:tc>
          <w:tcPr>
            <w:tcW w:w="84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-1.335</w:t>
            </w:r>
          </w:p>
        </w:tc>
        <w:tc>
          <w:tcPr>
            <w:tcW w:w="57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0.0856</w:t>
            </w:r>
          </w:p>
        </w:tc>
        <w:tc>
          <w:tcPr>
            <w:tcW w:w="940"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-0.698</w:t>
            </w:r>
          </w:p>
        </w:tc>
        <w:tc>
          <w:tcPr>
            <w:tcW w:w="634"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0.05443</w:t>
            </w:r>
          </w:p>
        </w:tc>
      </w:tr>
      <w:tr w:rsidR="00463622" w:rsidRPr="00B6303E" w:rsidTr="00F82E9D">
        <w:trPr>
          <w:cantSplit/>
          <w:jc w:val="center"/>
        </w:trPr>
        <w:tc>
          <w:tcPr>
            <w:tcW w:w="963"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LnFDI</w:t>
            </w:r>
          </w:p>
        </w:tc>
        <w:tc>
          <w:tcPr>
            <w:tcW w:w="62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0.072</w:t>
            </w:r>
          </w:p>
        </w:tc>
        <w:tc>
          <w:tcPr>
            <w:tcW w:w="41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0.02235</w:t>
            </w:r>
          </w:p>
        </w:tc>
        <w:tc>
          <w:tcPr>
            <w:tcW w:w="84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0.193</w:t>
            </w:r>
          </w:p>
        </w:tc>
        <w:tc>
          <w:tcPr>
            <w:tcW w:w="57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0.00702</w:t>
            </w:r>
          </w:p>
        </w:tc>
        <w:tc>
          <w:tcPr>
            <w:tcW w:w="940"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-0.018</w:t>
            </w:r>
          </w:p>
        </w:tc>
        <w:tc>
          <w:tcPr>
            <w:tcW w:w="634"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0.04076</w:t>
            </w:r>
          </w:p>
        </w:tc>
      </w:tr>
      <w:tr w:rsidR="00463622" w:rsidRPr="00B6303E" w:rsidTr="00F82E9D">
        <w:trPr>
          <w:cantSplit/>
          <w:jc w:val="center"/>
        </w:trPr>
        <w:tc>
          <w:tcPr>
            <w:tcW w:w="963"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LnTO</w:t>
            </w:r>
          </w:p>
        </w:tc>
        <w:tc>
          <w:tcPr>
            <w:tcW w:w="62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-0.907</w:t>
            </w:r>
          </w:p>
        </w:tc>
        <w:tc>
          <w:tcPr>
            <w:tcW w:w="41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0.1326</w:t>
            </w:r>
          </w:p>
        </w:tc>
        <w:tc>
          <w:tcPr>
            <w:tcW w:w="849" w:type="pct"/>
            <w:vAlign w:val="center"/>
          </w:tcPr>
          <w:p w:rsidR="00463622" w:rsidRPr="00B6303E" w:rsidRDefault="00463622" w:rsidP="00E82F77">
            <w:pPr>
              <w:adjustRightInd w:val="0"/>
              <w:snapToGrid w:val="0"/>
              <w:spacing w:after="0" w:line="240" w:lineRule="auto"/>
              <w:jc w:val="center"/>
              <w:rPr>
                <w:rFonts w:ascii="Times New Roman" w:hAnsi="Times New Roman"/>
                <w:sz w:val="20"/>
                <w:szCs w:val="20"/>
              </w:rPr>
            </w:pPr>
          </w:p>
        </w:tc>
        <w:tc>
          <w:tcPr>
            <w:tcW w:w="572" w:type="pct"/>
            <w:vAlign w:val="center"/>
          </w:tcPr>
          <w:p w:rsidR="00463622" w:rsidRPr="00B6303E" w:rsidRDefault="00463622" w:rsidP="00E82F77">
            <w:pPr>
              <w:adjustRightInd w:val="0"/>
              <w:snapToGrid w:val="0"/>
              <w:spacing w:after="0" w:line="240" w:lineRule="auto"/>
              <w:jc w:val="center"/>
              <w:rPr>
                <w:rFonts w:ascii="Times New Roman" w:hAnsi="Times New Roman"/>
                <w:sz w:val="20"/>
                <w:szCs w:val="20"/>
              </w:rPr>
            </w:pPr>
          </w:p>
        </w:tc>
        <w:tc>
          <w:tcPr>
            <w:tcW w:w="940" w:type="pct"/>
            <w:vAlign w:val="center"/>
          </w:tcPr>
          <w:p w:rsidR="00463622" w:rsidRPr="00B6303E" w:rsidRDefault="00463622" w:rsidP="00E82F77">
            <w:pPr>
              <w:adjustRightInd w:val="0"/>
              <w:snapToGrid w:val="0"/>
              <w:spacing w:after="0" w:line="240" w:lineRule="auto"/>
              <w:jc w:val="center"/>
              <w:rPr>
                <w:rFonts w:ascii="Times New Roman" w:hAnsi="Times New Roman"/>
                <w:sz w:val="20"/>
                <w:szCs w:val="20"/>
              </w:rPr>
            </w:pPr>
          </w:p>
        </w:tc>
        <w:tc>
          <w:tcPr>
            <w:tcW w:w="634" w:type="pct"/>
            <w:vAlign w:val="center"/>
          </w:tcPr>
          <w:p w:rsidR="00463622" w:rsidRPr="00B6303E" w:rsidRDefault="00463622" w:rsidP="00E82F77">
            <w:pPr>
              <w:adjustRightInd w:val="0"/>
              <w:snapToGrid w:val="0"/>
              <w:spacing w:after="0" w:line="240" w:lineRule="auto"/>
              <w:jc w:val="center"/>
              <w:rPr>
                <w:rFonts w:ascii="Times New Roman" w:hAnsi="Times New Roman"/>
                <w:sz w:val="20"/>
                <w:szCs w:val="20"/>
              </w:rPr>
            </w:pPr>
          </w:p>
        </w:tc>
      </w:tr>
      <w:tr w:rsidR="00463622" w:rsidRPr="00B6303E" w:rsidTr="00F82E9D">
        <w:trPr>
          <w:cantSplit/>
          <w:jc w:val="center"/>
        </w:trPr>
        <w:tc>
          <w:tcPr>
            <w:tcW w:w="963"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Constant</w:t>
            </w:r>
          </w:p>
        </w:tc>
        <w:tc>
          <w:tcPr>
            <w:tcW w:w="622" w:type="pct"/>
            <w:vAlign w:val="center"/>
          </w:tcPr>
          <w:p w:rsidR="00463622" w:rsidRPr="00B6303E" w:rsidRDefault="00463622" w:rsidP="00E82F77">
            <w:pPr>
              <w:adjustRightInd w:val="0"/>
              <w:snapToGrid w:val="0"/>
              <w:spacing w:after="0" w:line="240" w:lineRule="auto"/>
              <w:jc w:val="center"/>
              <w:rPr>
                <w:rFonts w:ascii="Times New Roman" w:hAnsi="Times New Roman"/>
                <w:sz w:val="20"/>
                <w:szCs w:val="20"/>
              </w:rPr>
            </w:pPr>
          </w:p>
        </w:tc>
        <w:tc>
          <w:tcPr>
            <w:tcW w:w="419" w:type="pct"/>
            <w:vAlign w:val="center"/>
          </w:tcPr>
          <w:p w:rsidR="00463622" w:rsidRPr="00B6303E" w:rsidRDefault="00463622" w:rsidP="00E82F77">
            <w:pPr>
              <w:adjustRightInd w:val="0"/>
              <w:snapToGrid w:val="0"/>
              <w:spacing w:after="0" w:line="240" w:lineRule="auto"/>
              <w:jc w:val="center"/>
              <w:rPr>
                <w:rFonts w:ascii="Times New Roman" w:hAnsi="Times New Roman"/>
                <w:sz w:val="20"/>
                <w:szCs w:val="20"/>
              </w:rPr>
            </w:pPr>
          </w:p>
        </w:tc>
        <w:tc>
          <w:tcPr>
            <w:tcW w:w="849"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0.007</w:t>
            </w:r>
          </w:p>
        </w:tc>
        <w:tc>
          <w:tcPr>
            <w:tcW w:w="572"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0.00274</w:t>
            </w:r>
          </w:p>
        </w:tc>
        <w:tc>
          <w:tcPr>
            <w:tcW w:w="940"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-0.013</w:t>
            </w:r>
          </w:p>
        </w:tc>
        <w:tc>
          <w:tcPr>
            <w:tcW w:w="634" w:type="pct"/>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0.00206</w:t>
            </w:r>
          </w:p>
        </w:tc>
      </w:tr>
    </w:tbl>
    <w:p w:rsidR="00E82F77" w:rsidRDefault="00E82F77" w:rsidP="00E82F77">
      <w:pPr>
        <w:adjustRightInd w:val="0"/>
        <w:snapToGrid w:val="0"/>
        <w:spacing w:after="0" w:line="240" w:lineRule="auto"/>
        <w:jc w:val="both"/>
        <w:rPr>
          <w:rFonts w:ascii="Times New Roman" w:eastAsiaTheme="minorEastAsia" w:hAnsi="Times New Roman" w:hint="eastAsia"/>
          <w:b/>
          <w:bCs/>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Table 8: Shows Growth Rates of explanatory variables under three scenarios (2014–2030)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1883"/>
        <w:gridCol w:w="1057"/>
        <w:gridCol w:w="1057"/>
        <w:gridCol w:w="1369"/>
        <w:gridCol w:w="1369"/>
        <w:gridCol w:w="1371"/>
      </w:tblGrid>
      <w:tr w:rsidR="00463622" w:rsidRPr="00B6303E" w:rsidTr="00F82E9D">
        <w:trPr>
          <w:cantSplit/>
          <w:jc w:val="center"/>
        </w:trPr>
        <w:tc>
          <w:tcPr>
            <w:tcW w:w="767" w:type="pct"/>
            <w:vAlign w:val="center"/>
          </w:tcPr>
          <w:p w:rsidR="00463622" w:rsidRPr="00B6303E" w:rsidRDefault="00CA01A3" w:rsidP="00F82E9D">
            <w:pPr>
              <w:adjustRightInd w:val="0"/>
              <w:snapToGrid w:val="0"/>
              <w:spacing w:after="0" w:line="240" w:lineRule="auto"/>
              <w:jc w:val="center"/>
              <w:rPr>
                <w:rFonts w:ascii="Times New Roman" w:hAnsi="Times New Roman"/>
                <w:b/>
                <w:bCs/>
                <w:sz w:val="20"/>
                <w:szCs w:val="20"/>
              </w:rPr>
            </w:pPr>
            <w:r w:rsidRPr="00B6303E">
              <w:rPr>
                <w:rFonts w:ascii="Times New Roman" w:hAnsi="Times New Roman"/>
                <w:b/>
                <w:bCs/>
                <w:sz w:val="20"/>
                <w:szCs w:val="20"/>
              </w:rPr>
              <w:t>Variables</w:t>
            </w:r>
          </w:p>
        </w:tc>
        <w:tc>
          <w:tcPr>
            <w:tcW w:w="983" w:type="pct"/>
            <w:vMerge w:val="restart"/>
            <w:vAlign w:val="center"/>
          </w:tcPr>
          <w:p w:rsidR="00463622" w:rsidRPr="00B6303E" w:rsidRDefault="00CA01A3" w:rsidP="00E82F77">
            <w:pPr>
              <w:adjustRightInd w:val="0"/>
              <w:snapToGrid w:val="0"/>
              <w:spacing w:after="0" w:line="240" w:lineRule="auto"/>
              <w:jc w:val="center"/>
              <w:rPr>
                <w:rFonts w:ascii="Times New Roman" w:hAnsi="Times New Roman"/>
                <w:b/>
                <w:bCs/>
                <w:sz w:val="20"/>
                <w:szCs w:val="20"/>
              </w:rPr>
            </w:pPr>
            <w:r w:rsidRPr="00B6303E">
              <w:rPr>
                <w:rFonts w:ascii="Times New Roman" w:hAnsi="Times New Roman"/>
                <w:b/>
                <w:bCs/>
                <w:sz w:val="20"/>
                <w:szCs w:val="20"/>
              </w:rPr>
              <w:t>Baseline scenario (%)</w:t>
            </w:r>
          </w:p>
        </w:tc>
        <w:tc>
          <w:tcPr>
            <w:tcW w:w="1104" w:type="pct"/>
            <w:gridSpan w:val="2"/>
            <w:vMerge w:val="restart"/>
            <w:vAlign w:val="center"/>
          </w:tcPr>
          <w:p w:rsidR="00463622" w:rsidRPr="00B6303E" w:rsidRDefault="00CA01A3" w:rsidP="00E82F77">
            <w:pPr>
              <w:adjustRightInd w:val="0"/>
              <w:snapToGrid w:val="0"/>
              <w:spacing w:after="0" w:line="240" w:lineRule="auto"/>
              <w:jc w:val="center"/>
              <w:rPr>
                <w:rFonts w:ascii="Times New Roman" w:hAnsi="Times New Roman"/>
                <w:b/>
                <w:bCs/>
                <w:sz w:val="20"/>
                <w:szCs w:val="20"/>
              </w:rPr>
            </w:pPr>
            <w:r w:rsidRPr="00B6303E">
              <w:rPr>
                <w:rFonts w:ascii="Times New Roman" w:hAnsi="Times New Roman"/>
                <w:b/>
                <w:bCs/>
                <w:sz w:val="20"/>
                <w:szCs w:val="20"/>
              </w:rPr>
              <w:t>Moderate Scenario (%)</w:t>
            </w:r>
          </w:p>
        </w:tc>
        <w:tc>
          <w:tcPr>
            <w:tcW w:w="2146" w:type="pct"/>
            <w:gridSpan w:val="3"/>
            <w:vMerge w:val="restart"/>
            <w:vAlign w:val="center"/>
          </w:tcPr>
          <w:p w:rsidR="00463622" w:rsidRPr="00B6303E" w:rsidRDefault="00CA01A3" w:rsidP="00E82F77">
            <w:pPr>
              <w:adjustRightInd w:val="0"/>
              <w:snapToGrid w:val="0"/>
              <w:spacing w:after="0" w:line="240" w:lineRule="auto"/>
              <w:jc w:val="center"/>
              <w:rPr>
                <w:rFonts w:ascii="Times New Roman" w:hAnsi="Times New Roman"/>
                <w:b/>
                <w:bCs/>
                <w:sz w:val="20"/>
                <w:szCs w:val="20"/>
              </w:rPr>
            </w:pPr>
            <w:r w:rsidRPr="00B6303E">
              <w:rPr>
                <w:rFonts w:ascii="Times New Roman" w:hAnsi="Times New Roman"/>
                <w:b/>
                <w:bCs/>
                <w:sz w:val="20"/>
                <w:szCs w:val="20"/>
              </w:rPr>
              <w:t>Advance Scenario (%)</w:t>
            </w:r>
          </w:p>
        </w:tc>
      </w:tr>
      <w:tr w:rsidR="00463622" w:rsidRPr="00B6303E" w:rsidTr="00F82E9D">
        <w:trPr>
          <w:cantSplit/>
          <w:jc w:val="center"/>
        </w:trPr>
        <w:tc>
          <w:tcPr>
            <w:tcW w:w="767" w:type="pct"/>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Aggregate</w:t>
            </w:r>
          </w:p>
        </w:tc>
        <w:tc>
          <w:tcPr>
            <w:tcW w:w="983" w:type="pct"/>
            <w:vMerge/>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1104" w:type="pct"/>
            <w:gridSpan w:val="2"/>
            <w:vMerge/>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c>
          <w:tcPr>
            <w:tcW w:w="2146" w:type="pct"/>
            <w:gridSpan w:val="3"/>
            <w:vMerge/>
            <w:vAlign w:val="center"/>
          </w:tcPr>
          <w:p w:rsidR="00463622" w:rsidRPr="00B6303E" w:rsidRDefault="00463622" w:rsidP="00E82F77">
            <w:pPr>
              <w:adjustRightInd w:val="0"/>
              <w:snapToGrid w:val="0"/>
              <w:spacing w:after="0" w:line="240" w:lineRule="auto"/>
              <w:jc w:val="both"/>
              <w:rPr>
                <w:rFonts w:ascii="Times New Roman" w:hAnsi="Times New Roman"/>
                <w:sz w:val="20"/>
                <w:szCs w:val="20"/>
              </w:rPr>
            </w:pPr>
          </w:p>
        </w:tc>
      </w:tr>
      <w:tr w:rsidR="00463622" w:rsidRPr="00B6303E" w:rsidTr="00F82E9D">
        <w:trPr>
          <w:cantSplit/>
          <w:jc w:val="center"/>
        </w:trPr>
        <w:tc>
          <w:tcPr>
            <w:tcW w:w="767"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Prices</w:t>
            </w:r>
          </w:p>
        </w:tc>
        <w:tc>
          <w:tcPr>
            <w:tcW w:w="983" w:type="pct"/>
            <w:vAlign w:val="center"/>
          </w:tcPr>
          <w:p w:rsidR="00463622" w:rsidRPr="00B6303E" w:rsidRDefault="00CA01A3" w:rsidP="00F82E9D">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2.234</w:t>
            </w:r>
          </w:p>
        </w:tc>
        <w:tc>
          <w:tcPr>
            <w:tcW w:w="1104" w:type="pct"/>
            <w:gridSpan w:val="2"/>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1.875</w:t>
            </w:r>
          </w:p>
        </w:tc>
        <w:tc>
          <w:tcPr>
            <w:tcW w:w="2146" w:type="pct"/>
            <w:gridSpan w:val="3"/>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2.176</w:t>
            </w:r>
          </w:p>
        </w:tc>
      </w:tr>
      <w:tr w:rsidR="00463622" w:rsidRPr="00B6303E" w:rsidTr="00F82E9D">
        <w:trPr>
          <w:cantSplit/>
          <w:jc w:val="center"/>
        </w:trPr>
        <w:tc>
          <w:tcPr>
            <w:tcW w:w="767"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GDP</w:t>
            </w:r>
          </w:p>
        </w:tc>
        <w:tc>
          <w:tcPr>
            <w:tcW w:w="983" w:type="pct"/>
            <w:vAlign w:val="center"/>
          </w:tcPr>
          <w:p w:rsidR="00463622" w:rsidRPr="00B6303E" w:rsidRDefault="00CA01A3" w:rsidP="00F82E9D">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4.678</w:t>
            </w:r>
          </w:p>
        </w:tc>
        <w:tc>
          <w:tcPr>
            <w:tcW w:w="1104" w:type="pct"/>
            <w:gridSpan w:val="2"/>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5.441</w:t>
            </w:r>
          </w:p>
        </w:tc>
        <w:tc>
          <w:tcPr>
            <w:tcW w:w="2146" w:type="pct"/>
            <w:gridSpan w:val="3"/>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7.4</w:t>
            </w:r>
          </w:p>
        </w:tc>
      </w:tr>
      <w:tr w:rsidR="00463622" w:rsidRPr="00B6303E" w:rsidTr="00F82E9D">
        <w:trPr>
          <w:cantSplit/>
          <w:jc w:val="center"/>
        </w:trPr>
        <w:tc>
          <w:tcPr>
            <w:tcW w:w="767"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Energy Intensity</w:t>
            </w:r>
          </w:p>
        </w:tc>
        <w:tc>
          <w:tcPr>
            <w:tcW w:w="983" w:type="pct"/>
            <w:vAlign w:val="center"/>
          </w:tcPr>
          <w:p w:rsidR="00463622" w:rsidRPr="00B6303E" w:rsidRDefault="00CA01A3" w:rsidP="00F82E9D">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-0.875</w:t>
            </w:r>
          </w:p>
        </w:tc>
        <w:tc>
          <w:tcPr>
            <w:tcW w:w="1104" w:type="pct"/>
            <w:gridSpan w:val="2"/>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-0.392</w:t>
            </w:r>
          </w:p>
        </w:tc>
        <w:tc>
          <w:tcPr>
            <w:tcW w:w="2146" w:type="pct"/>
            <w:gridSpan w:val="3"/>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-0.391</w:t>
            </w:r>
          </w:p>
        </w:tc>
      </w:tr>
      <w:tr w:rsidR="00463622" w:rsidRPr="00B6303E" w:rsidTr="00F82E9D">
        <w:trPr>
          <w:cantSplit/>
          <w:jc w:val="center"/>
        </w:trPr>
        <w:tc>
          <w:tcPr>
            <w:tcW w:w="767"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FDI</w:t>
            </w:r>
          </w:p>
        </w:tc>
        <w:tc>
          <w:tcPr>
            <w:tcW w:w="983" w:type="pct"/>
            <w:vAlign w:val="center"/>
          </w:tcPr>
          <w:p w:rsidR="00463622" w:rsidRPr="00B6303E" w:rsidRDefault="00CA01A3" w:rsidP="00F82E9D">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17.983</w:t>
            </w:r>
          </w:p>
        </w:tc>
        <w:tc>
          <w:tcPr>
            <w:tcW w:w="1104" w:type="pct"/>
            <w:gridSpan w:val="2"/>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28.774</w:t>
            </w:r>
          </w:p>
        </w:tc>
        <w:tc>
          <w:tcPr>
            <w:tcW w:w="2146" w:type="pct"/>
            <w:gridSpan w:val="3"/>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38.546</w:t>
            </w:r>
          </w:p>
        </w:tc>
      </w:tr>
      <w:tr w:rsidR="00463622" w:rsidRPr="00B6303E" w:rsidTr="00F82E9D">
        <w:trPr>
          <w:cantSplit/>
          <w:jc w:val="center"/>
        </w:trPr>
        <w:tc>
          <w:tcPr>
            <w:tcW w:w="767"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TO</w:t>
            </w:r>
          </w:p>
        </w:tc>
        <w:tc>
          <w:tcPr>
            <w:tcW w:w="983" w:type="pct"/>
            <w:vAlign w:val="center"/>
          </w:tcPr>
          <w:p w:rsidR="00463622" w:rsidRPr="00B6303E" w:rsidRDefault="00CA01A3" w:rsidP="00F82E9D">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4.1235</w:t>
            </w:r>
          </w:p>
        </w:tc>
        <w:tc>
          <w:tcPr>
            <w:tcW w:w="1104" w:type="pct"/>
            <w:gridSpan w:val="2"/>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5.672</w:t>
            </w:r>
          </w:p>
        </w:tc>
        <w:tc>
          <w:tcPr>
            <w:tcW w:w="2146" w:type="pct"/>
            <w:gridSpan w:val="3"/>
            <w:vAlign w:val="center"/>
          </w:tcPr>
          <w:p w:rsidR="00463622" w:rsidRPr="00B6303E" w:rsidRDefault="00CA01A3" w:rsidP="00E82F77">
            <w:pPr>
              <w:adjustRightInd w:val="0"/>
              <w:snapToGrid w:val="0"/>
              <w:spacing w:after="0" w:line="240" w:lineRule="auto"/>
              <w:jc w:val="center"/>
              <w:rPr>
                <w:rFonts w:ascii="Times New Roman" w:hAnsi="Times New Roman"/>
                <w:sz w:val="20"/>
                <w:szCs w:val="20"/>
              </w:rPr>
            </w:pPr>
            <w:r w:rsidRPr="00B6303E">
              <w:rPr>
                <w:rFonts w:ascii="Times New Roman" w:hAnsi="Times New Roman"/>
                <w:sz w:val="20"/>
                <w:szCs w:val="20"/>
              </w:rPr>
              <w:t>5.288</w:t>
            </w:r>
          </w:p>
        </w:tc>
      </w:tr>
      <w:tr w:rsidR="00463622" w:rsidRPr="00B6303E" w:rsidTr="00F82E9D">
        <w:trPr>
          <w:cantSplit/>
          <w:jc w:val="center"/>
        </w:trPr>
        <w:tc>
          <w:tcPr>
            <w:tcW w:w="5000" w:type="pct"/>
            <w:gridSpan w:val="7"/>
            <w:vAlign w:val="center"/>
          </w:tcPr>
          <w:p w:rsidR="00463622" w:rsidRPr="00B6303E" w:rsidRDefault="00F82E9D" w:rsidP="00E82F77">
            <w:pPr>
              <w:adjustRightInd w:val="0"/>
              <w:snapToGrid w:val="0"/>
              <w:spacing w:after="0" w:line="240" w:lineRule="auto"/>
              <w:jc w:val="both"/>
              <w:rPr>
                <w:rFonts w:ascii="Times New Roman" w:hAnsi="Times New Roman"/>
                <w:b/>
                <w:bCs/>
                <w:sz w:val="20"/>
                <w:szCs w:val="20"/>
              </w:rPr>
            </w:pPr>
            <w:r>
              <w:rPr>
                <w:rFonts w:ascii="Times New Roman" w:eastAsiaTheme="minorEastAsia" w:hAnsi="Times New Roman" w:hint="eastAsia"/>
                <w:b/>
                <w:bCs/>
                <w:sz w:val="20"/>
                <w:szCs w:val="20"/>
                <w:lang w:eastAsia="zh-CN"/>
              </w:rPr>
              <w:t xml:space="preserve">      </w:t>
            </w:r>
            <w:r w:rsidR="00CA01A3" w:rsidRPr="00B6303E">
              <w:rPr>
                <w:rFonts w:ascii="Times New Roman" w:hAnsi="Times New Roman"/>
                <w:b/>
                <w:bCs/>
                <w:sz w:val="20"/>
                <w:szCs w:val="20"/>
              </w:rPr>
              <w:t>Variables                      industrial sector                                                     Commercial sector</w:t>
            </w:r>
          </w:p>
        </w:tc>
      </w:tr>
      <w:tr w:rsidR="00463622" w:rsidRPr="00B6303E" w:rsidTr="00F82E9D">
        <w:trPr>
          <w:cantSplit/>
          <w:jc w:val="center"/>
        </w:trPr>
        <w:tc>
          <w:tcPr>
            <w:tcW w:w="2854" w:type="pct"/>
            <w:gridSpan w:val="4"/>
            <w:vAlign w:val="center"/>
          </w:tcPr>
          <w:p w:rsidR="00463622" w:rsidRPr="00B6303E" w:rsidRDefault="00CA01A3" w:rsidP="00F82E9D">
            <w:pPr>
              <w:adjustRightInd w:val="0"/>
              <w:snapToGrid w:val="0"/>
              <w:spacing w:after="0" w:line="240" w:lineRule="auto"/>
              <w:jc w:val="center"/>
              <w:rPr>
                <w:rFonts w:ascii="Times New Roman" w:hAnsi="Times New Roman"/>
                <w:b/>
                <w:bCs/>
                <w:sz w:val="20"/>
                <w:szCs w:val="20"/>
              </w:rPr>
            </w:pPr>
            <w:r w:rsidRPr="00B6303E">
              <w:rPr>
                <w:rFonts w:ascii="Times New Roman" w:hAnsi="Times New Roman"/>
                <w:b/>
                <w:bCs/>
                <w:sz w:val="20"/>
                <w:szCs w:val="20"/>
              </w:rPr>
              <w:t>B. Scenario (%) M. Scenario (%) A. Scenario (%)</w:t>
            </w:r>
          </w:p>
        </w:tc>
        <w:tc>
          <w:tcPr>
            <w:tcW w:w="2146" w:type="pct"/>
            <w:gridSpan w:val="3"/>
            <w:vAlign w:val="center"/>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 xml:space="preserve">B. Scenario (%) M. Scenario (%) A. Scenario (%)  </w:t>
            </w:r>
          </w:p>
        </w:tc>
      </w:tr>
      <w:tr w:rsidR="00463622" w:rsidRPr="00B6303E" w:rsidTr="00F82E9D">
        <w:trPr>
          <w:cantSplit/>
          <w:jc w:val="center"/>
        </w:trPr>
        <w:tc>
          <w:tcPr>
            <w:tcW w:w="767"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Prices</w:t>
            </w:r>
          </w:p>
        </w:tc>
        <w:tc>
          <w:tcPr>
            <w:tcW w:w="983"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1.784</w:t>
            </w:r>
          </w:p>
        </w:tc>
        <w:tc>
          <w:tcPr>
            <w:tcW w:w="55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1.057</w:t>
            </w:r>
          </w:p>
        </w:tc>
        <w:tc>
          <w:tcPr>
            <w:tcW w:w="55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0.39</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2.106</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1.765</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1.56</w:t>
            </w:r>
          </w:p>
        </w:tc>
      </w:tr>
      <w:tr w:rsidR="00463622" w:rsidRPr="00B6303E" w:rsidTr="00F82E9D">
        <w:trPr>
          <w:cantSplit/>
          <w:jc w:val="center"/>
        </w:trPr>
        <w:tc>
          <w:tcPr>
            <w:tcW w:w="767"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GDP</w:t>
            </w:r>
          </w:p>
        </w:tc>
        <w:tc>
          <w:tcPr>
            <w:tcW w:w="983"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4.636</w:t>
            </w:r>
          </w:p>
        </w:tc>
        <w:tc>
          <w:tcPr>
            <w:tcW w:w="55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5.431</w:t>
            </w:r>
          </w:p>
        </w:tc>
        <w:tc>
          <w:tcPr>
            <w:tcW w:w="55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6.8</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3.876</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5.243</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8.2</w:t>
            </w:r>
          </w:p>
        </w:tc>
      </w:tr>
      <w:tr w:rsidR="00463622" w:rsidRPr="00B6303E" w:rsidTr="00F82E9D">
        <w:trPr>
          <w:cantSplit/>
          <w:jc w:val="center"/>
        </w:trPr>
        <w:tc>
          <w:tcPr>
            <w:tcW w:w="767"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Energy Intensity</w:t>
            </w:r>
          </w:p>
        </w:tc>
        <w:tc>
          <w:tcPr>
            <w:tcW w:w="983"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-0.598</w:t>
            </w:r>
          </w:p>
        </w:tc>
        <w:tc>
          <w:tcPr>
            <w:tcW w:w="55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-0.798</w:t>
            </w:r>
          </w:p>
        </w:tc>
        <w:tc>
          <w:tcPr>
            <w:tcW w:w="55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-0.958</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0.643</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0.5864</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0.6542</w:t>
            </w:r>
          </w:p>
        </w:tc>
      </w:tr>
      <w:tr w:rsidR="00463622" w:rsidRPr="00B6303E" w:rsidTr="00F82E9D">
        <w:trPr>
          <w:cantSplit/>
          <w:jc w:val="center"/>
        </w:trPr>
        <w:tc>
          <w:tcPr>
            <w:tcW w:w="767"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FDI</w:t>
            </w:r>
          </w:p>
        </w:tc>
        <w:tc>
          <w:tcPr>
            <w:tcW w:w="983"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17.120</w:t>
            </w:r>
          </w:p>
        </w:tc>
        <w:tc>
          <w:tcPr>
            <w:tcW w:w="55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18.536</w:t>
            </w:r>
          </w:p>
        </w:tc>
        <w:tc>
          <w:tcPr>
            <w:tcW w:w="552"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21.405</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15.983</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19.836</w:t>
            </w:r>
          </w:p>
        </w:tc>
        <w:tc>
          <w:tcPr>
            <w:tcW w:w="715" w:type="pct"/>
            <w:vAlign w:val="center"/>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40.386</w:t>
            </w:r>
          </w:p>
        </w:tc>
      </w:tr>
    </w:tbl>
    <w:p w:rsidR="00F82E9D" w:rsidRDefault="00F82E9D" w:rsidP="00E82F77">
      <w:pPr>
        <w:adjustRightInd w:val="0"/>
        <w:snapToGrid w:val="0"/>
        <w:spacing w:after="0" w:line="240" w:lineRule="auto"/>
        <w:jc w:val="both"/>
        <w:rPr>
          <w:rFonts w:ascii="Times New Roman" w:eastAsiaTheme="minorEastAsia" w:hAnsi="Times New Roman" w:hint="eastAsia"/>
          <w:b/>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4.4.5 Trade openness scenario</w:t>
      </w:r>
    </w:p>
    <w:p w:rsidR="00463622" w:rsidRPr="00B6303E" w:rsidRDefault="00B6303E" w:rsidP="00E82F77">
      <w:pPr>
        <w:adjustRightInd w:val="0"/>
        <w:snapToGri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CA01A3" w:rsidRPr="00B6303E">
        <w:rPr>
          <w:rFonts w:ascii="Times New Roman" w:hAnsi="Times New Roman"/>
          <w:sz w:val="20"/>
          <w:szCs w:val="20"/>
        </w:rPr>
        <w:t xml:space="preserve">Internal and external trade will expand as infrastructure improves as a result of the CPEC investment. Pakistan will become a regional commerce center once the Gwadar port is completed </w:t>
      </w:r>
      <w:r w:rsidR="00A77D41" w:rsidRPr="00B6303E">
        <w:rPr>
          <w:rStyle w:val="FootnoteReference"/>
          <w:rFonts w:ascii="Times New Roman" w:hAnsi="Times New Roman"/>
          <w:sz w:val="20"/>
          <w:szCs w:val="20"/>
        </w:rPr>
        <w:fldChar w:fldCharType="begin" w:fldLock="1"/>
      </w:r>
      <w:r w:rsidR="00CA01A3" w:rsidRPr="00B6303E">
        <w:rPr>
          <w:rFonts w:ascii="Times New Roman" w:hAnsi="Times New Roman"/>
          <w:sz w:val="20"/>
          <w:szCs w:val="20"/>
        </w:rPr>
        <w:instrText>ADDIN CSL_CITATION {"citationItems":[{"id":"ITEM-1","itemData":{"author":[{"dropping-particle":"","family":"Bhutta","given":"Zafar","non-dropping-particle":"","parse-names":false,"suffix":""}],"container-title":"The express tribune","id":"ITEM-1","issued":{"date-parts":[["2015"]]},"title":"India bid to halt Pakistan projects fails","type":"article-journal","volume":"31"},"uris":["http://www.mendeley.com/documents/?uuid=2fc875c0-3fb1-4994-baaa-1c6a0b1f745a"]}],"mendeley":{"formattedCitation":"(Bhutta, 2015)","plainTextFormattedCitation":"(Bhutta, 2015)","previouslyFormattedCitation":"(Bhutta, 2015)"},"properties":{"noteIndex":0},"schema":"https://github.com/citation-style-language/schema/raw/master/csl-citation.json"}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00CA01A3" w:rsidRPr="00B6303E">
        <w:rPr>
          <w:rFonts w:ascii="Times New Roman" w:hAnsi="Times New Roman"/>
          <w:sz w:val="20"/>
          <w:szCs w:val="20"/>
        </w:rPr>
        <w:t>(Bhutta, 2015)</w:t>
      </w:r>
      <w:r w:rsidR="00A77D41" w:rsidRPr="00B6303E">
        <w:rPr>
          <w:rStyle w:val="FootnoteReference"/>
          <w:rFonts w:ascii="Times New Roman" w:hAnsi="Times New Roman"/>
          <w:sz w:val="20"/>
          <w:szCs w:val="20"/>
        </w:rPr>
        <w:fldChar w:fldCharType="end"/>
      </w:r>
      <w:r w:rsidR="00CA01A3" w:rsidRPr="00B6303E">
        <w:rPr>
          <w:rFonts w:ascii="Times New Roman" w:hAnsi="Times New Roman"/>
          <w:sz w:val="20"/>
          <w:szCs w:val="20"/>
        </w:rPr>
        <w:t>. In addition to CPEC economic growth, Vision 2025 plans to improve exports to $150 billion and the export-to-GDP ratio to 16–19 percent. The objective of the 2030 plan is to increase the trade-to-GDP ratio from 30 percent to 60 percent by 2030. This will only be possible if Pakistan secures FDI through the China-Pakistan Economic Corridor (CPEC). Suppose the trade-to-GDP ratio increases from 2013 to 2030, the annual growth in the AS would be 5.88%, while in the MS it will be 4.94%.</w:t>
      </w:r>
    </w:p>
    <w:p w:rsidR="00463622" w:rsidRPr="00B6303E" w:rsidRDefault="00463622" w:rsidP="00E82F77">
      <w:pPr>
        <w:adjustRightInd w:val="0"/>
        <w:snapToGrid w:val="0"/>
        <w:spacing w:after="0" w:line="240" w:lineRule="auto"/>
        <w:jc w:val="both"/>
        <w:rPr>
          <w:rFonts w:ascii="Times New Roman" w:hAnsi="Times New Roman"/>
          <w:b/>
          <w:sz w:val="20"/>
          <w:szCs w:val="20"/>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4.4.6 Forecasting within scenario approach</w:t>
      </w:r>
    </w:p>
    <w:p w:rsidR="00463622" w:rsidRDefault="00CA01A3"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sidRPr="00B6303E">
        <w:rPr>
          <w:rFonts w:ascii="Times New Roman" w:hAnsi="Times New Roman"/>
          <w:sz w:val="20"/>
          <w:szCs w:val="20"/>
        </w:rPr>
        <w:t xml:space="preserve">    Our scenario method is valuable for anticipating average energy usage since each scenario has various growth rates. Our findings are comparable to those of </w:t>
      </w:r>
      <w:r w:rsidR="00A77D41" w:rsidRPr="00B6303E">
        <w:rPr>
          <w:rStyle w:val="FootnoteReference"/>
          <w:rFonts w:ascii="Times New Roman" w:hAnsi="Times New Roman"/>
          <w:sz w:val="20"/>
          <w:szCs w:val="20"/>
        </w:rPr>
        <w:fldChar w:fldCharType="begin" w:fldLock="1"/>
      </w:r>
      <w:r w:rsidRPr="00B6303E">
        <w:rPr>
          <w:rFonts w:ascii="Times New Roman" w:hAnsi="Times New Roman"/>
          <w:sz w:val="20"/>
          <w:szCs w:val="20"/>
        </w:rPr>
        <w:instrText>ADDIN CSL_CITATION {"citationItems":[{"id":"ITEM-1","itemData":{"ISSN":"0301-4215","author":[{"dropping-particle":"","family":"Lin","given":"Boqiang","non-dropping-particle":"","parse-names":false,"suffix":""},{"dropping-particle":"","family":"Xie","given":"Chunping","non-dropping-particle":"","parse-names":false,"suffix":""}],"container-title":"Energy Policy","id":"ITEM-1","issued":{"date-parts":[["2013"]]},"page":"472-482","publisher":"Elsevier","title":"Estimation on oil demand and oil saving potential of China's road transport sector","type":"article-journal","volume":"61"},"uris":["http://www.mendeley.com/documents/?uuid=aa7a4b4d-0e08-4372-909f-f79646318207"]},{"id":"ITEM-2","itemData":{"author":[{"dropping-particle":"","family":"ETP","given":"I E A","non-dropping-particle":"","parse-names":false,"suffix":""}],"id":"ITEM-2","issued":{"date-parts":[["2008"]]},"publisher":"IEA Publications, Paris","title":"IEA Energy Technology Perspectives 2008–Scenarios and Strategies to 2050. International Energy Agency","type":"article"},"uris":["http://www.mendeley.com/documents/?uuid=d3bb6a95-4c03-4b26-b831-47738afcad65"]},{"id":"ITEM-3","itemData":{"ISSN":"1001-0742","author":[{"dropping-particle":"","family":"Zhou","given":"Yun","non-dropping-particle":"","parse-names":false,"suffix":""},{"dropping-particle":"","family":"Hao","given":"Fanghua","non-dropping-particle":"","parse-names":false,"suffix":""},{"dropping-particle":"","family":"Meng","given":"Wei","non-dropping-particle":"","parse-names":false,"suffix":""},{"dropping-particle":"","family":"Fu","given":"Jiafeng","non-dropping-particle":"","parse-names":false,"suffix":""}],"container-title":"Journal of Environmental Sciences","id":"ITEM-3","issue":"8","issued":{"date-parts":[["2014"]]},"page":"1631-1640","publisher":"Elsevier","title":"Scenario analysis of energy-based low-carbon development in China","type":"article-journal","volume":"26"},"uris":["http://www.mendeley.com/documents/?uuid=b6294238-6627-456c-8788-ca64e9766416"]},{"id":"ITEM-4","itemData":{"ISSN":"0360-5442","author":[{"dropping-particle":"","family":"Hao","given":"Han","non-dropping-particle":"","parse-names":false,"suffix":""},{"dropping-particle":"","family":"Liu","given":"Zongwei","non-dropping-particle":"","parse-names":false,"suffix":""},{"dropping-particle":"","family":"Zhao","given":"Fuquan","non-dropping-particle":"","parse-names":false,"suffix":""},{"dropping-particle":"","family":"Li","given":"Weiqi","non-dropping-particle":"","parse-names":false,"suffix":""},{"dropping-particle":"","family":"Hang","given":"Wen","non-dropping-particle":"","parse-names":false,"suffix":""}],"container-title":"Energy","id":"ITEM-4","issued":{"date-parts":[["2015"]]},"page":"151-159","publisher":"Elsevier","title":"Scenario analysis of energy consumption and greenhouse gas emissions from China's passenger vehicles","type":"article-journal","volume":"91"},"uris":["http://www.mendeley.com/documents/?uuid=dfbbf327-b60b-42ea-9464-14513c9857d9"]}],"mendeley":{"formattedCitation":"(ETP, 2008; Hao et al., 2015; B. Lin &amp; Xie, 2013; Zhou et al., 2014)","plainTextFormattedCitation":"(ETP, 2008; Hao et al., 2015; B. Lin &amp; Xie, 2013; Zhou et al., 2014)","previouslyFormattedCitation":"(ETP, 2008; Hao et al., 2015; B. Lin &amp; Xie, 2013; Zhou et al., 2014)"},"properties":{"noteIndex":0},"schema":"https://github.com/citation-style-language/schema/raw/master/csl-citation.json"}</w:instrText>
      </w:r>
      <w:r w:rsidR="00A77D41" w:rsidRPr="00B6303E">
        <w:rPr>
          <w:rStyle w:val="FootnoteReference"/>
          <w:rFonts w:ascii="Times New Roman" w:hAnsi="Times New Roman"/>
          <w:sz w:val="20"/>
          <w:szCs w:val="20"/>
        </w:rPr>
        <w:fldChar w:fldCharType="separate"/>
      </w:r>
      <w:r w:rsidRPr="00B6303E">
        <w:rPr>
          <w:rFonts w:ascii="Times New Roman" w:hAnsi="Times New Roman"/>
          <w:bCs/>
          <w:sz w:val="20"/>
          <w:szCs w:val="20"/>
        </w:rPr>
        <w:t>(ETP, 2008; Hao et al., 2015; B. Lin &amp; Xie, 2013; Zhou et al., 2014)</w:t>
      </w:r>
      <w:r w:rsidR="00A77D41" w:rsidRPr="00B6303E">
        <w:rPr>
          <w:rStyle w:val="FootnoteReference"/>
          <w:rFonts w:ascii="Times New Roman" w:hAnsi="Times New Roman"/>
          <w:sz w:val="20"/>
          <w:szCs w:val="20"/>
        </w:rPr>
        <w:fldChar w:fldCharType="end"/>
      </w:r>
      <w:r w:rsidRPr="00B6303E">
        <w:rPr>
          <w:rFonts w:ascii="Times New Roman" w:hAnsi="Times New Roman"/>
          <w:sz w:val="20"/>
          <w:szCs w:val="20"/>
        </w:rPr>
        <w:t>. Table 8 shows the predicted energy consumption based on the scenarios and cointegration results stated previously. In all future scenarios, if the exogenous variables increase in direct conflict with the trends given in Table 8, aggregate power consumption will rise. According to the BS, Pakistan would use about 41% more aggregated energy in 2030 than it would in 2013. Considering MS and AS, CPEC-related economic activity will increase energy consumption by around 48 percent and 57 percent from 2013 levels in 2030, significantly. According to the expectations, industrial energy consumption will grow by 136, 211, and 312 percent from 2013 levels by 2030 under the BS, MS, and AS.</w:t>
      </w:r>
    </w:p>
    <w:p w:rsid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P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outlineLvl w:val="0"/>
        <w:rPr>
          <w:rFonts w:ascii="Times New Roman" w:hAnsi="Times New Roman"/>
          <w:b/>
          <w:sz w:val="20"/>
          <w:szCs w:val="20"/>
        </w:rPr>
      </w:pPr>
      <w:r w:rsidRPr="00B6303E">
        <w:rPr>
          <w:rFonts w:ascii="Times New Roman" w:hAnsi="Times New Roman"/>
          <w:b/>
          <w:sz w:val="20"/>
          <w:szCs w:val="20"/>
        </w:rPr>
        <w:t>4.5 Future sectoral energy consumption in Pakistan</w:t>
      </w:r>
    </w:p>
    <w:p w:rsidR="00463622" w:rsidRDefault="00CA01A3"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sidRPr="00B6303E">
        <w:rPr>
          <w:rFonts w:ascii="Times New Roman" w:hAnsi="Times New Roman"/>
          <w:sz w:val="20"/>
          <w:szCs w:val="20"/>
        </w:rPr>
        <w:t xml:space="preserve">    According to Table 9, electricity consumption in 2020, 2025, and 2030 will be 41.79, 48.10, and 56.05 million TOE, correspondingly, under the BS. The MS will increase aggregate electricity consumption by 1.5 percent, 3.4 percent, and 5.5 percent above the BS in 2020, 2025, and 2030. The aggregate electricity consumption in the AS will be 3.1 percent, 6.10 percent, and 11.3 percent higher than in the BS in 2020, 2025, and 2030, correspondingly. In all scenarios, industrial energy demand will rise around across the board from 2020 to 2030. In the BS, industrial electricity consumption will be 20.695, 26.366, and 33.591 million TOE in 2020, 2025, and 2030, correspondingly. In 2020, 2025, and 2030, industrial electricity consumption will be 10.90%, 21.06%, and 32.16 greater in the MS than in the BS. Industrial electricity consumption will be 22.99%, 46.57%, and 74.66% greater in the AS than in the BS in 2020, 2025, and 2030. </w:t>
      </w:r>
    </w:p>
    <w:p w:rsidR="00F82E9D" w:rsidRP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E82F77" w:rsidRP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Table 9: Present Future sectoral energy consumption in Pakistan (Unit: Million TOE).</w:t>
      </w:r>
    </w:p>
    <w:tbl>
      <w:tblPr>
        <w:tblpPr w:leftFromText="180" w:rightFromText="180" w:vertAnchor="text" w:tblpY="1"/>
        <w:tblOverlap w:val="neve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0"/>
        <w:gridCol w:w="2522"/>
        <w:gridCol w:w="2471"/>
        <w:gridCol w:w="2587"/>
      </w:tblGrid>
      <w:tr w:rsidR="00463622" w:rsidRPr="00B6303E">
        <w:trPr>
          <w:trHeight w:val="187"/>
        </w:trPr>
        <w:tc>
          <w:tcPr>
            <w:tcW w:w="9320" w:type="dxa"/>
            <w:gridSpan w:val="4"/>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sz w:val="20"/>
                <w:szCs w:val="20"/>
              </w:rPr>
              <w:t xml:space="preserve"> </w:t>
            </w:r>
            <w:r w:rsidRPr="00B6303E">
              <w:rPr>
                <w:rFonts w:ascii="Times New Roman" w:hAnsi="Times New Roman"/>
                <w:b/>
                <w:bCs/>
                <w:sz w:val="20"/>
                <w:szCs w:val="20"/>
              </w:rPr>
              <w:t>Aggregate</w:t>
            </w:r>
          </w:p>
        </w:tc>
      </w:tr>
      <w:tr w:rsidR="00463622" w:rsidRPr="00B6303E">
        <w:trPr>
          <w:trHeight w:val="187"/>
        </w:trPr>
        <w:tc>
          <w:tcPr>
            <w:tcW w:w="9320" w:type="dxa"/>
            <w:gridSpan w:val="4"/>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Year                           Baseline Scenario                       Moderate Scenario                   Advanced Scenario</w:t>
            </w:r>
          </w:p>
        </w:tc>
      </w:tr>
      <w:tr w:rsidR="00463622" w:rsidRPr="00B6303E">
        <w:trPr>
          <w:trHeight w:val="187"/>
        </w:trPr>
        <w:tc>
          <w:tcPr>
            <w:tcW w:w="1740"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2020</w:t>
            </w:r>
          </w:p>
        </w:tc>
        <w:tc>
          <w:tcPr>
            <w:tcW w:w="2522" w:type="dxa"/>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42.75</w:t>
            </w:r>
          </w:p>
        </w:tc>
        <w:tc>
          <w:tcPr>
            <w:tcW w:w="2471" w:type="dxa"/>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43.41</w:t>
            </w:r>
          </w:p>
        </w:tc>
        <w:tc>
          <w:tcPr>
            <w:tcW w:w="2587" w:type="dxa"/>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44.08</w:t>
            </w:r>
          </w:p>
        </w:tc>
      </w:tr>
      <w:tr w:rsidR="00463622" w:rsidRPr="00B6303E">
        <w:trPr>
          <w:trHeight w:val="187"/>
        </w:trPr>
        <w:tc>
          <w:tcPr>
            <w:tcW w:w="1740"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2025</w:t>
            </w:r>
          </w:p>
        </w:tc>
        <w:tc>
          <w:tcPr>
            <w:tcW w:w="2522" w:type="dxa"/>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49.2</w:t>
            </w:r>
          </w:p>
        </w:tc>
        <w:tc>
          <w:tcPr>
            <w:tcW w:w="2471" w:type="dxa"/>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48.74</w:t>
            </w:r>
          </w:p>
        </w:tc>
        <w:tc>
          <w:tcPr>
            <w:tcW w:w="2587" w:type="dxa"/>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52.45</w:t>
            </w:r>
          </w:p>
        </w:tc>
      </w:tr>
      <w:tr w:rsidR="00463622" w:rsidRPr="00B6303E">
        <w:trPr>
          <w:trHeight w:val="187"/>
        </w:trPr>
        <w:tc>
          <w:tcPr>
            <w:tcW w:w="1740"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 xml:space="preserve"> 2030</w:t>
            </w:r>
          </w:p>
        </w:tc>
        <w:tc>
          <w:tcPr>
            <w:tcW w:w="2522" w:type="dxa"/>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57.04</w:t>
            </w:r>
          </w:p>
        </w:tc>
        <w:tc>
          <w:tcPr>
            <w:tcW w:w="2471" w:type="dxa"/>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58.81</w:t>
            </w:r>
          </w:p>
        </w:tc>
        <w:tc>
          <w:tcPr>
            <w:tcW w:w="2587" w:type="dxa"/>
          </w:tcPr>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61.37</w:t>
            </w:r>
          </w:p>
        </w:tc>
      </w:tr>
      <w:tr w:rsidR="00463622" w:rsidRPr="00B6303E">
        <w:trPr>
          <w:trHeight w:val="187"/>
        </w:trPr>
        <w:tc>
          <w:tcPr>
            <w:tcW w:w="9320" w:type="dxa"/>
            <w:gridSpan w:val="4"/>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Industrial Sector</w:t>
            </w:r>
          </w:p>
        </w:tc>
      </w:tr>
      <w:tr w:rsidR="00463622" w:rsidRPr="00B6303E">
        <w:trPr>
          <w:trHeight w:val="187"/>
        </w:trPr>
        <w:tc>
          <w:tcPr>
            <w:tcW w:w="1740"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2020</w:t>
            </w:r>
          </w:p>
        </w:tc>
        <w:tc>
          <w:tcPr>
            <w:tcW w:w="2522"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21.6</w:t>
            </w:r>
          </w:p>
        </w:tc>
        <w:tc>
          <w:tcPr>
            <w:tcW w:w="2471"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22.85</w:t>
            </w:r>
          </w:p>
        </w:tc>
        <w:tc>
          <w:tcPr>
            <w:tcW w:w="2587"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24.63</w:t>
            </w:r>
          </w:p>
        </w:tc>
      </w:tr>
      <w:tr w:rsidR="00463622" w:rsidRPr="00B6303E">
        <w:trPr>
          <w:trHeight w:val="187"/>
        </w:trPr>
        <w:tc>
          <w:tcPr>
            <w:tcW w:w="1740"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2025</w:t>
            </w:r>
          </w:p>
        </w:tc>
        <w:tc>
          <w:tcPr>
            <w:tcW w:w="2522"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25.45</w:t>
            </w:r>
          </w:p>
        </w:tc>
        <w:tc>
          <w:tcPr>
            <w:tcW w:w="2471"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31.91</w:t>
            </w:r>
          </w:p>
        </w:tc>
        <w:tc>
          <w:tcPr>
            <w:tcW w:w="2587"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39.49</w:t>
            </w:r>
          </w:p>
        </w:tc>
      </w:tr>
      <w:tr w:rsidR="00463622" w:rsidRPr="00B6303E">
        <w:trPr>
          <w:trHeight w:val="187"/>
        </w:trPr>
        <w:tc>
          <w:tcPr>
            <w:tcW w:w="1740"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2030</w:t>
            </w:r>
          </w:p>
        </w:tc>
        <w:tc>
          <w:tcPr>
            <w:tcW w:w="2522"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34.62</w:t>
            </w:r>
          </w:p>
        </w:tc>
        <w:tc>
          <w:tcPr>
            <w:tcW w:w="2471"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43.42</w:t>
            </w:r>
          </w:p>
        </w:tc>
        <w:tc>
          <w:tcPr>
            <w:tcW w:w="2587"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57.76</w:t>
            </w:r>
          </w:p>
        </w:tc>
      </w:tr>
      <w:tr w:rsidR="00463622" w:rsidRPr="00B6303E">
        <w:trPr>
          <w:trHeight w:val="187"/>
        </w:trPr>
        <w:tc>
          <w:tcPr>
            <w:tcW w:w="9320" w:type="dxa"/>
            <w:gridSpan w:val="4"/>
          </w:tcPr>
          <w:p w:rsidR="00463622" w:rsidRPr="00B6303E" w:rsidRDefault="00CA01A3" w:rsidP="00E82F77">
            <w:pPr>
              <w:adjustRightInd w:val="0"/>
              <w:snapToGrid w:val="0"/>
              <w:spacing w:after="0" w:line="240" w:lineRule="auto"/>
              <w:jc w:val="both"/>
              <w:rPr>
                <w:rFonts w:ascii="Times New Roman" w:hAnsi="Times New Roman"/>
                <w:b/>
                <w:bCs/>
                <w:sz w:val="20"/>
                <w:szCs w:val="20"/>
              </w:rPr>
            </w:pPr>
            <w:r w:rsidRPr="00B6303E">
              <w:rPr>
                <w:rFonts w:ascii="Times New Roman" w:hAnsi="Times New Roman"/>
                <w:b/>
                <w:bCs/>
                <w:sz w:val="20"/>
                <w:szCs w:val="20"/>
              </w:rPr>
              <w:t>Commercial Sector</w:t>
            </w:r>
          </w:p>
        </w:tc>
      </w:tr>
      <w:tr w:rsidR="00463622" w:rsidRPr="00B6303E">
        <w:trPr>
          <w:trHeight w:val="187"/>
        </w:trPr>
        <w:tc>
          <w:tcPr>
            <w:tcW w:w="1740"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2020</w:t>
            </w:r>
          </w:p>
        </w:tc>
        <w:tc>
          <w:tcPr>
            <w:tcW w:w="2522"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2.79</w:t>
            </w:r>
          </w:p>
        </w:tc>
        <w:tc>
          <w:tcPr>
            <w:tcW w:w="2471"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3.76</w:t>
            </w:r>
          </w:p>
        </w:tc>
        <w:tc>
          <w:tcPr>
            <w:tcW w:w="2587"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2.45</w:t>
            </w:r>
          </w:p>
        </w:tc>
      </w:tr>
      <w:tr w:rsidR="00463622" w:rsidRPr="00B6303E">
        <w:trPr>
          <w:trHeight w:val="187"/>
        </w:trPr>
        <w:tc>
          <w:tcPr>
            <w:tcW w:w="1740"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2025</w:t>
            </w:r>
          </w:p>
        </w:tc>
        <w:tc>
          <w:tcPr>
            <w:tcW w:w="2522"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4.84</w:t>
            </w:r>
          </w:p>
        </w:tc>
        <w:tc>
          <w:tcPr>
            <w:tcW w:w="2471"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4.36</w:t>
            </w:r>
          </w:p>
        </w:tc>
        <w:tc>
          <w:tcPr>
            <w:tcW w:w="2587"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3.24</w:t>
            </w:r>
          </w:p>
        </w:tc>
      </w:tr>
      <w:tr w:rsidR="00463622" w:rsidRPr="00B6303E">
        <w:trPr>
          <w:trHeight w:val="199"/>
        </w:trPr>
        <w:tc>
          <w:tcPr>
            <w:tcW w:w="1740"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2030</w:t>
            </w:r>
          </w:p>
        </w:tc>
        <w:tc>
          <w:tcPr>
            <w:tcW w:w="2522"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8.52</w:t>
            </w:r>
          </w:p>
        </w:tc>
        <w:tc>
          <w:tcPr>
            <w:tcW w:w="2471"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4.12</w:t>
            </w:r>
          </w:p>
        </w:tc>
        <w:tc>
          <w:tcPr>
            <w:tcW w:w="2587" w:type="dxa"/>
          </w:tcPr>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sz w:val="20"/>
                <w:szCs w:val="20"/>
              </w:rPr>
              <w:t>2.07</w:t>
            </w:r>
          </w:p>
        </w:tc>
      </w:tr>
    </w:tbl>
    <w:p w:rsidR="00463622" w:rsidRDefault="00463622" w:rsidP="00E82F77">
      <w:pPr>
        <w:adjustRightInd w:val="0"/>
        <w:snapToGrid w:val="0"/>
        <w:spacing w:after="0" w:line="240" w:lineRule="auto"/>
        <w:jc w:val="both"/>
        <w:rPr>
          <w:rFonts w:ascii="Times New Roman" w:eastAsiaTheme="minorEastAsia" w:hAnsi="Times New Roman" w:hint="eastAsia"/>
          <w:sz w:val="20"/>
          <w:szCs w:val="20"/>
          <w:lang w:eastAsia="zh-CN"/>
        </w:rPr>
      </w:pPr>
    </w:p>
    <w:p w:rsidR="00F82E9D" w:rsidRDefault="00F82E9D" w:rsidP="00E82F77">
      <w:pPr>
        <w:adjustRightInd w:val="0"/>
        <w:snapToGrid w:val="0"/>
        <w:spacing w:after="0" w:line="240" w:lineRule="auto"/>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t>Commercial electricity consumption will grow from 2020 to 2030 in both the BS and MS. Conversely, in the perfect scenario, commercial energy use would rise to 2.82 million TOE in 2025 before dropping to 2.084 million TOE in 2030. Commercial energy consumption will be 5.09 percent, 20.68 percent, and 50.52 percent lower under the MS in 2020, 2025, and 2030, respectively, compared to the BS. According to the AS, in 2020, 2025, and 2030, commercial electricity consumption will be 9.91%, 37.08%, and 74.51% lower than in the BS.</w:t>
      </w:r>
    </w:p>
    <w:p w:rsidR="00463622" w:rsidRDefault="00CA01A3"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sidRPr="00B6303E">
        <w:rPr>
          <w:rFonts w:ascii="Times New Roman" w:hAnsi="Times New Roman"/>
          <w:sz w:val="20"/>
          <w:szCs w:val="20"/>
        </w:rPr>
        <w:t xml:space="preserve">    As anticipated in the earlier phase of this research, we show that CPEC-related economic activity will improve power consumption in Pakistan's economy at both the aggregate and sectoral levels by integrating the data. Furthermore, there is great potential for saving energy that might be used to address the increasing energy supply and demand imbalance. Although the energy-related projects under CPEC would relieve energy generation shortages, the environmental impacts must be considered because most of the power produced in these projects will be generated using coal-related technologies.</w:t>
      </w:r>
    </w:p>
    <w:p w:rsid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P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5. Conclusion and recommendations</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color w:val="FF0000"/>
          <w:sz w:val="20"/>
          <w:szCs w:val="20"/>
        </w:rPr>
        <w:t xml:space="preserve">    </w:t>
      </w:r>
      <w:r w:rsidRPr="00B6303E">
        <w:rPr>
          <w:rFonts w:ascii="Times New Roman" w:hAnsi="Times New Roman"/>
          <w:sz w:val="20"/>
          <w:szCs w:val="20"/>
        </w:rPr>
        <w:t>The CPEC is an effective economic program that aims to connect Pakistani and Chinese economic systems. The CPEC promotes both nations equally, and both countries must contribute equally to its development. Though an opportunity, the Corridor could be made even better by taking policy measures and removing any hurdles impeding its path. Furthermore, CPEC is more than just an economic corridor; it symbolizes China and Pakistan's strong bonds, their enduring friendship, and the high levels of confidence that both countries have in each other.</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rPr>
      </w:pPr>
      <w:r w:rsidRPr="00B6303E">
        <w:rPr>
          <w:rFonts w:ascii="Times New Roman" w:hAnsi="Times New Roman"/>
          <w:sz w:val="20"/>
          <w:szCs w:val="20"/>
        </w:rPr>
        <w:t xml:space="preserve">The purpose of this study is to predict the impact of CPEC-related economic activities on Pakistan's aggregate and sectoral energy consumption by 2030. We applied Johansen-Juselius Co-integration techniques to check the long-run connection between energy consumption and its predictors at the aggregate and sectoral levels, as well as scenario analysis to evaluate the impact of CPEC on future energy consumption in 2030. The conclusions of co-integration imply that the elasticity of power consumption concerning profitability is negative both at the aggregate and sectoral levels. In contrast, it is favorable for GDP and electricity consumption. The elasticity of </w:t>
      </w:r>
      <w:r w:rsidRPr="00B6303E">
        <w:rPr>
          <w:rFonts w:ascii="Times New Roman" w:hAnsi="Times New Roman"/>
          <w:sz w:val="20"/>
          <w:szCs w:val="20"/>
        </w:rPr>
        <w:lastRenderedPageBreak/>
        <w:t xml:space="preserve">energy consumption in responding to foreign direct investment has produced conflicting results. Trade openness has a massive impact on growing energy consumption in aggregate. According to the baseline scenario, Pakistan's electricity consumption would be 41% greater in 2030 than in 2013. Under the moderate and advanced scenarios, CPEC-related economic activity will grow energy consumption to around 48% and 57% from 2013 levels in 2030, correspondingly. The reduction in energy-saving potential in the moderate and advanced scenarios in 2030 will be 3.08 million TOE and 6.32 million TOE compared to the baseline scenario. According to sectoral research, energy consumption in the industrial and commercial sectors will grow by more than 136% and 414%, respectively, in 2030 under the baseline scenario. In advanced scenarios, electricity consumption in the industrial sector is anticipated to grow by 312% by 2030, compared to 2013. Under the advanced scenario, energy consumption in the commercial sector will be 26% higher than in 2013. We use Monte Carlo simulation for evaluations. The outcomes of the Monte Carlo simulation are pretty close to the values of scenario creation based on co-integration. This justified our scenario BAU outcomes and the multiple prospective energy usage scenarios by 2030. </w:t>
      </w:r>
    </w:p>
    <w:p w:rsidR="00463622" w:rsidRDefault="00CA01A3"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sidRPr="00B6303E">
        <w:rPr>
          <w:rFonts w:ascii="Times New Roman" w:hAnsi="Times New Roman"/>
          <w:sz w:val="20"/>
          <w:szCs w:val="20"/>
        </w:rPr>
        <w:t xml:space="preserve">    The CPEC-related investment in power generation capacity is expected to meet the rise in energy demand and decrease existing energy shortfalls; however, the environmental costs of these initiatives cannot be underestimated because most of the power generated in these project activities is based on coal-related technologies. To reduce the environmental consequences of these projects, targeted interventions with adequate abatement pursuits are needed. If these decisions are backed by concrete evidence, it can realize the dream of resolving Pakistan's energy crisis and environmental issues.</w:t>
      </w:r>
    </w:p>
    <w:p w:rsidR="00E82F77" w:rsidRDefault="00E82F77"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Pr="00E82F77"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463622" w:rsidRPr="00B6303E" w:rsidRDefault="00CA01A3" w:rsidP="00E82F77">
      <w:pPr>
        <w:adjustRightInd w:val="0"/>
        <w:snapToGrid w:val="0"/>
        <w:spacing w:after="0" w:line="240" w:lineRule="auto"/>
        <w:jc w:val="both"/>
        <w:rPr>
          <w:rFonts w:ascii="Times New Roman" w:hAnsi="Times New Roman"/>
          <w:b/>
          <w:sz w:val="20"/>
          <w:szCs w:val="20"/>
        </w:rPr>
      </w:pPr>
      <w:r w:rsidRPr="00B6303E">
        <w:rPr>
          <w:rFonts w:ascii="Times New Roman" w:hAnsi="Times New Roman"/>
          <w:b/>
          <w:sz w:val="20"/>
          <w:szCs w:val="20"/>
        </w:rPr>
        <w:t>Policy recommendation</w:t>
      </w:r>
    </w:p>
    <w:p w:rsidR="00463622" w:rsidRPr="00B6303E" w:rsidRDefault="00CA01A3" w:rsidP="00E82F77">
      <w:pPr>
        <w:adjustRightInd w:val="0"/>
        <w:snapToGrid w:val="0"/>
        <w:spacing w:after="0" w:line="240" w:lineRule="auto"/>
        <w:ind w:firstLine="720"/>
        <w:jc w:val="both"/>
        <w:rPr>
          <w:rFonts w:ascii="Times New Roman" w:hAnsi="Times New Roman"/>
          <w:sz w:val="20"/>
          <w:szCs w:val="20"/>
          <w:shd w:val="clear" w:color="auto" w:fill="FFFFFF"/>
        </w:rPr>
      </w:pPr>
      <w:r w:rsidRPr="00B6303E">
        <w:rPr>
          <w:rFonts w:ascii="Times New Roman" w:hAnsi="Times New Roman"/>
          <w:sz w:val="20"/>
          <w:szCs w:val="20"/>
          <w:shd w:val="clear" w:color="auto" w:fill="FFFFFF"/>
        </w:rPr>
        <w:t xml:space="preserve">    </w:t>
      </w:r>
      <w:r w:rsidRPr="00B6303E">
        <w:rPr>
          <w:rFonts w:ascii="Times New Roman" w:hAnsi="Times New Roman"/>
          <w:sz w:val="20"/>
          <w:szCs w:val="20"/>
        </w:rPr>
        <w:t>We suggest the following additional policy recommendations based on the findings of the current study</w:t>
      </w:r>
      <w:r w:rsidRPr="00B6303E">
        <w:rPr>
          <w:rFonts w:ascii="Times New Roman" w:hAnsi="Times New Roman"/>
          <w:sz w:val="20"/>
          <w:szCs w:val="20"/>
          <w:shd w:val="clear" w:color="auto" w:fill="FFFFFF"/>
        </w:rPr>
        <w:t xml:space="preserve">. </w:t>
      </w:r>
    </w:p>
    <w:p w:rsidR="00463622" w:rsidRPr="00B6303E" w:rsidRDefault="00CA01A3" w:rsidP="00E82F77">
      <w:pPr>
        <w:pStyle w:val="ListParagraph"/>
        <w:numPr>
          <w:ilvl w:val="0"/>
          <w:numId w:val="5"/>
        </w:numPr>
        <w:adjustRightInd w:val="0"/>
        <w:snapToGrid w:val="0"/>
        <w:spacing w:after="0" w:line="240" w:lineRule="auto"/>
        <w:contextualSpacing w:val="0"/>
        <w:jc w:val="both"/>
        <w:rPr>
          <w:rFonts w:ascii="Times New Roman" w:hAnsi="Times New Roman"/>
          <w:sz w:val="20"/>
          <w:szCs w:val="20"/>
          <w:shd w:val="clear" w:color="auto" w:fill="FFFFFF"/>
        </w:rPr>
      </w:pPr>
      <w:r w:rsidRPr="00B6303E">
        <w:rPr>
          <w:rFonts w:ascii="Times New Roman" w:hAnsi="Times New Roman"/>
          <w:sz w:val="20"/>
          <w:szCs w:val="20"/>
          <w:shd w:val="clear" w:color="auto" w:fill="FFFFFF"/>
        </w:rPr>
        <w:t>The government should perform systematic accounting and relevant planning for each sector of the economy to account for the planned increase in energy consumption due to CPEC-related economic growth. Moreover, because increased economic activity under CPEC is predicted to have environmental consequences, it is essential to consider and estimate the future GHG emissions to design effective abatement measures.</w:t>
      </w:r>
    </w:p>
    <w:p w:rsidR="00463622" w:rsidRPr="00B6303E" w:rsidRDefault="00CA01A3" w:rsidP="00E82F77">
      <w:pPr>
        <w:pStyle w:val="ListParagraph"/>
        <w:numPr>
          <w:ilvl w:val="0"/>
          <w:numId w:val="5"/>
        </w:numPr>
        <w:adjustRightInd w:val="0"/>
        <w:snapToGrid w:val="0"/>
        <w:spacing w:after="0" w:line="240" w:lineRule="auto"/>
        <w:contextualSpacing w:val="0"/>
        <w:jc w:val="both"/>
        <w:rPr>
          <w:rFonts w:ascii="Times New Roman" w:hAnsi="Times New Roman"/>
          <w:sz w:val="20"/>
          <w:szCs w:val="20"/>
          <w:shd w:val="clear" w:color="auto" w:fill="FFFFFF"/>
        </w:rPr>
      </w:pPr>
      <w:r w:rsidRPr="00B6303E">
        <w:rPr>
          <w:rFonts w:ascii="Times New Roman" w:hAnsi="Times New Roman"/>
          <w:sz w:val="20"/>
          <w:szCs w:val="20"/>
          <w:shd w:val="clear" w:color="auto" w:fill="FFFFFF"/>
        </w:rPr>
        <w:t>Energy should seek energy conservation by promoting energy-efficient technologies through investment techniques and also motivate local investors in such initiatives.</w:t>
      </w:r>
    </w:p>
    <w:p w:rsidR="00463622" w:rsidRPr="00B6303E" w:rsidRDefault="00CA01A3" w:rsidP="00E82F77">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B6303E">
        <w:rPr>
          <w:rFonts w:ascii="Times New Roman" w:hAnsi="Times New Roman"/>
          <w:sz w:val="20"/>
          <w:szCs w:val="20"/>
        </w:rPr>
        <w:t>Long-term policies based on research evidence are required for renewable energy sector expansion.</w:t>
      </w:r>
    </w:p>
    <w:p w:rsidR="00463622" w:rsidRPr="00B6303E" w:rsidRDefault="00CA01A3" w:rsidP="00E82F77">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B6303E">
        <w:rPr>
          <w:rFonts w:ascii="Times New Roman" w:hAnsi="Times New Roman"/>
          <w:sz w:val="20"/>
          <w:szCs w:val="20"/>
        </w:rPr>
        <w:t>The CPEC should prioritize local development to create trust and public support, ensuring the project's success.</w:t>
      </w:r>
    </w:p>
    <w:p w:rsidR="00463622" w:rsidRPr="00B6303E" w:rsidRDefault="00CA01A3" w:rsidP="00E82F77">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B6303E">
        <w:rPr>
          <w:rFonts w:ascii="Times New Roman" w:hAnsi="Times New Roman"/>
          <w:sz w:val="20"/>
          <w:szCs w:val="20"/>
        </w:rPr>
        <w:t>The increasing economic activity will have to be watched at all levels to ensure the efficiency of investments and investor reliability so that there is a very little potential of tampering at any stage of growth.</w:t>
      </w:r>
    </w:p>
    <w:p w:rsidR="00463622" w:rsidRPr="00B6303E" w:rsidRDefault="00CA01A3" w:rsidP="00E82F77">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B6303E">
        <w:rPr>
          <w:rFonts w:ascii="Times New Roman" w:hAnsi="Times New Roman"/>
          <w:sz w:val="20"/>
          <w:szCs w:val="20"/>
        </w:rPr>
        <w:t>There is a need to establish that while governments may modify, policies should not modify or affect the growth of CPEC, and CPEC programs should continue running smoothly in all authorities. CPEC should continue every government's plan until it is completed.</w:t>
      </w:r>
    </w:p>
    <w:p w:rsidR="00463622" w:rsidRPr="00B6303E" w:rsidRDefault="00CA01A3" w:rsidP="00E82F77">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B6303E">
        <w:rPr>
          <w:rFonts w:ascii="Times New Roman" w:hAnsi="Times New Roman"/>
          <w:sz w:val="20"/>
          <w:szCs w:val="20"/>
        </w:rPr>
        <w:t>Pakistani governments should develop methods to maximize the advantages of CPEC while ensuring that the country does not become embroiled in the responsibilities of refundable borrowing again.</w:t>
      </w:r>
    </w:p>
    <w:p w:rsidR="00463622" w:rsidRPr="00B6303E" w:rsidRDefault="00CA01A3" w:rsidP="00E82F77">
      <w:pPr>
        <w:pStyle w:val="ListParagraph"/>
        <w:numPr>
          <w:ilvl w:val="0"/>
          <w:numId w:val="5"/>
        </w:numPr>
        <w:adjustRightInd w:val="0"/>
        <w:snapToGrid w:val="0"/>
        <w:spacing w:after="0" w:line="240" w:lineRule="auto"/>
        <w:contextualSpacing w:val="0"/>
        <w:jc w:val="both"/>
        <w:rPr>
          <w:rFonts w:ascii="Times New Roman" w:hAnsi="Times New Roman"/>
          <w:sz w:val="20"/>
          <w:szCs w:val="20"/>
        </w:rPr>
      </w:pPr>
      <w:r w:rsidRPr="00B6303E">
        <w:rPr>
          <w:rFonts w:ascii="Times New Roman" w:hAnsi="Times New Roman"/>
          <w:sz w:val="20"/>
          <w:szCs w:val="20"/>
        </w:rPr>
        <w:t>If the major goal of the China Pakistan Economic Corridor is to establish a transit corridor, Pakistan should promote its country's interests.</w:t>
      </w:r>
    </w:p>
    <w:p w:rsidR="00F82E9D" w:rsidRDefault="00F82E9D" w:rsidP="00E82F77">
      <w:pPr>
        <w:adjustRightInd w:val="0"/>
        <w:snapToGrid w:val="0"/>
        <w:spacing w:after="0" w:line="240" w:lineRule="auto"/>
        <w:rPr>
          <w:rFonts w:ascii="Times New Roman" w:eastAsiaTheme="minorEastAsia" w:hAnsi="Times New Roman" w:hint="eastAsia"/>
          <w:b/>
          <w:bCs/>
          <w:sz w:val="20"/>
          <w:szCs w:val="20"/>
          <w:lang w:eastAsia="zh-CN"/>
        </w:rPr>
      </w:pPr>
    </w:p>
    <w:p w:rsidR="00F82E9D" w:rsidRDefault="00F82E9D" w:rsidP="00E82F77">
      <w:pPr>
        <w:adjustRightInd w:val="0"/>
        <w:snapToGrid w:val="0"/>
        <w:spacing w:after="0" w:line="240" w:lineRule="auto"/>
        <w:rPr>
          <w:rFonts w:ascii="Times New Roman" w:eastAsiaTheme="minorEastAsia" w:hAnsi="Times New Roman" w:hint="eastAsia"/>
          <w:b/>
          <w:bCs/>
          <w:sz w:val="20"/>
          <w:szCs w:val="20"/>
          <w:lang w:eastAsia="zh-CN"/>
        </w:rPr>
      </w:pPr>
    </w:p>
    <w:p w:rsidR="00463622" w:rsidRPr="00B6303E" w:rsidRDefault="00CA01A3" w:rsidP="00E82F77">
      <w:pPr>
        <w:adjustRightInd w:val="0"/>
        <w:snapToGrid w:val="0"/>
        <w:spacing w:after="0" w:line="240" w:lineRule="auto"/>
        <w:rPr>
          <w:rFonts w:ascii="Times New Roman" w:hAnsi="Times New Roman"/>
          <w:sz w:val="20"/>
          <w:szCs w:val="20"/>
        </w:rPr>
      </w:pPr>
      <w:r w:rsidRPr="00B6303E">
        <w:rPr>
          <w:rFonts w:ascii="Times New Roman" w:hAnsi="Times New Roman"/>
          <w:b/>
          <w:bCs/>
          <w:sz w:val="20"/>
          <w:szCs w:val="20"/>
        </w:rPr>
        <w:t>Acknowledgements</w:t>
      </w:r>
      <w:r w:rsidRPr="00B6303E">
        <w:rPr>
          <w:rFonts w:ascii="Times New Roman" w:hAnsi="Times New Roman"/>
          <w:sz w:val="20"/>
          <w:szCs w:val="20"/>
        </w:rPr>
        <w:t xml:space="preserve"> </w:t>
      </w:r>
    </w:p>
    <w:p w:rsidR="00463622" w:rsidRDefault="00CA01A3"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r w:rsidRPr="00B6303E">
        <w:rPr>
          <w:rFonts w:ascii="Times New Roman" w:hAnsi="Times New Roman"/>
          <w:sz w:val="20"/>
          <w:szCs w:val="20"/>
        </w:rPr>
        <w:t>This paper is contributed by the first author Wajid Ali Khan and is part of the Master dissertation. He is thankful to the Chinese Scholarship Commission (CSC) and the Ministry of Education (MOE) China for awarding the scholarship and providing a marvelous opportunity to get higher education. The author is grateful to his research Supervisor Professor Dr. Xiaoyan Li, the author’s parents, friends, and teachers whose efforts able him to do such work.</w:t>
      </w:r>
    </w:p>
    <w:p w:rsid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p w:rsidR="00F82E9D" w:rsidRPr="00F82E9D" w:rsidRDefault="00F82E9D" w:rsidP="00E82F77">
      <w:pPr>
        <w:adjustRightInd w:val="0"/>
        <w:snapToGrid w:val="0"/>
        <w:spacing w:after="0" w:line="240" w:lineRule="auto"/>
        <w:ind w:firstLine="720"/>
        <w:jc w:val="both"/>
        <w:rPr>
          <w:rFonts w:ascii="Times New Roman" w:eastAsiaTheme="minorEastAsia" w:hAnsi="Times New Roman" w:hint="eastAsia"/>
          <w:sz w:val="20"/>
          <w:szCs w:val="20"/>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2"/>
        <w:gridCol w:w="1404"/>
      </w:tblGrid>
      <w:tr w:rsidR="00463622" w:rsidRPr="00B6303E" w:rsidTr="00F82E9D">
        <w:trPr>
          <w:cantSplit/>
          <w:jc w:val="center"/>
        </w:trPr>
        <w:tc>
          <w:tcPr>
            <w:tcW w:w="5000" w:type="pct"/>
            <w:gridSpan w:val="2"/>
            <w:vAlign w:val="center"/>
          </w:tcPr>
          <w:p w:rsidR="00463622" w:rsidRPr="00B6303E" w:rsidRDefault="00CA01A3" w:rsidP="00F82E9D">
            <w:pPr>
              <w:adjustRightInd w:val="0"/>
              <w:snapToGrid w:val="0"/>
              <w:spacing w:after="0" w:line="240" w:lineRule="auto"/>
              <w:jc w:val="center"/>
              <w:rPr>
                <w:rFonts w:ascii="Times New Roman" w:hAnsi="Times New Roman"/>
                <w:sz w:val="20"/>
                <w:szCs w:val="20"/>
              </w:rPr>
            </w:pPr>
            <w:r w:rsidRPr="00B6303E">
              <w:rPr>
                <w:rFonts w:ascii="Times New Roman" w:hAnsi="Times New Roman"/>
                <w:b/>
                <w:bCs/>
                <w:sz w:val="20"/>
                <w:szCs w:val="20"/>
              </w:rPr>
              <w:t>Abbreviations</w:t>
            </w:r>
          </w:p>
        </w:tc>
      </w:tr>
      <w:tr w:rsidR="00463622" w:rsidRPr="00B6303E" w:rsidTr="00F82E9D">
        <w:trPr>
          <w:cantSplit/>
          <w:jc w:val="center"/>
        </w:trPr>
        <w:tc>
          <w:tcPr>
            <w:tcW w:w="4267" w:type="pct"/>
            <w:vAlign w:val="center"/>
          </w:tcPr>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China Pakistan Economic Corridor</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Gross Domestic Product</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Megawatt’s</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Liquefied Natural Gas</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China Machinery Engineering Corporation</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China Gezhouba Group Corporation</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To Be Decided</w:t>
            </w:r>
          </w:p>
          <w:p w:rsidR="00463622" w:rsidRPr="00B6303E" w:rsidRDefault="00CA01A3" w:rsidP="00F82E9D">
            <w:pPr>
              <w:adjustRightInd w:val="0"/>
              <w:snapToGrid w:val="0"/>
              <w:spacing w:after="0" w:line="240" w:lineRule="auto"/>
              <w:rPr>
                <w:rFonts w:ascii="Times New Roman" w:hAnsi="Times New Roman"/>
                <w:spacing w:val="15"/>
                <w:sz w:val="20"/>
                <w:szCs w:val="20"/>
                <w:shd w:val="clear" w:color="auto" w:fill="FFFFFF"/>
              </w:rPr>
            </w:pPr>
            <w:r w:rsidRPr="00B6303E">
              <w:rPr>
                <w:rFonts w:ascii="Times New Roman" w:hAnsi="Times New Roman"/>
                <w:spacing w:val="15"/>
                <w:sz w:val="20"/>
                <w:szCs w:val="20"/>
                <w:shd w:val="clear" w:color="auto" w:fill="FFFFFF"/>
              </w:rPr>
              <w:t>Belt and Road initiative</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Balance of Payments</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Pakistan Rupee</w:t>
            </w:r>
          </w:p>
          <w:p w:rsidR="00463622" w:rsidRPr="00B6303E" w:rsidRDefault="00CA01A3" w:rsidP="00F82E9D">
            <w:pPr>
              <w:tabs>
                <w:tab w:val="left" w:pos="1731"/>
                <w:tab w:val="center" w:pos="4680"/>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Water and Power Development Authority</w:t>
            </w:r>
          </w:p>
          <w:p w:rsidR="00463622" w:rsidRPr="00B6303E" w:rsidRDefault="00CA01A3" w:rsidP="00F82E9D">
            <w:pPr>
              <w:tabs>
                <w:tab w:val="left" w:pos="1731"/>
                <w:tab w:val="center" w:pos="4680"/>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Karachi Electric Supply Company</w:t>
            </w:r>
          </w:p>
          <w:p w:rsidR="00463622" w:rsidRPr="00B6303E" w:rsidRDefault="00CA01A3" w:rsidP="00F82E9D">
            <w:pPr>
              <w:tabs>
                <w:tab w:val="left" w:pos="1731"/>
                <w:tab w:val="center" w:pos="4680"/>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Tons of Oil Equivalents</w:t>
            </w:r>
          </w:p>
          <w:p w:rsidR="00463622" w:rsidRPr="00B6303E" w:rsidRDefault="00CA01A3" w:rsidP="00F82E9D">
            <w:pPr>
              <w:tabs>
                <w:tab w:val="left" w:pos="1731"/>
                <w:tab w:val="center" w:pos="4680"/>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Foreign Direct Investment</w:t>
            </w:r>
          </w:p>
          <w:p w:rsidR="00463622" w:rsidRPr="00B6303E" w:rsidRDefault="00CA01A3" w:rsidP="00F82E9D">
            <w:pPr>
              <w:tabs>
                <w:tab w:val="left" w:pos="1731"/>
                <w:tab w:val="center" w:pos="4680"/>
              </w:tabs>
              <w:adjustRightInd w:val="0"/>
              <w:snapToGrid w:val="0"/>
              <w:spacing w:after="0" w:line="240" w:lineRule="auto"/>
              <w:rPr>
                <w:rFonts w:ascii="Times New Roman" w:hAnsi="Times New Roman"/>
                <w:sz w:val="20"/>
                <w:szCs w:val="20"/>
              </w:rPr>
            </w:pPr>
            <w:r w:rsidRPr="00B6303E">
              <w:rPr>
                <w:rFonts w:ascii="Times New Roman" w:hAnsi="Times New Roman"/>
                <w:color w:val="0D0D0D"/>
                <w:sz w:val="20"/>
                <w:szCs w:val="20"/>
                <w:shd w:val="clear" w:color="auto" w:fill="FFFFFF"/>
              </w:rPr>
              <w:t>World Development Indicators</w:t>
            </w:r>
          </w:p>
          <w:p w:rsidR="00463622" w:rsidRPr="00B6303E" w:rsidRDefault="00CA01A3" w:rsidP="00F82E9D">
            <w:pPr>
              <w:adjustRightInd w:val="0"/>
              <w:snapToGrid w:val="0"/>
              <w:spacing w:after="0" w:line="240" w:lineRule="auto"/>
              <w:rPr>
                <w:rFonts w:ascii="Times New Roman" w:eastAsia="微软雅黑" w:hAnsi="Times New Roman"/>
                <w:color w:val="111111"/>
                <w:sz w:val="20"/>
                <w:szCs w:val="20"/>
                <w:shd w:val="clear" w:color="auto" w:fill="FFFFFF"/>
              </w:rPr>
            </w:pPr>
            <w:r w:rsidRPr="00B6303E">
              <w:rPr>
                <w:rFonts w:ascii="Times New Roman" w:eastAsia="微软雅黑" w:hAnsi="Times New Roman"/>
                <w:color w:val="111111"/>
                <w:sz w:val="20"/>
                <w:szCs w:val="20"/>
                <w:shd w:val="clear" w:color="auto" w:fill="FFFFFF"/>
              </w:rPr>
              <w:t>Impact Population Affluence Technology</w:t>
            </w:r>
          </w:p>
          <w:p w:rsidR="00463622" w:rsidRPr="00B6303E" w:rsidRDefault="00CA01A3" w:rsidP="00F82E9D">
            <w:pPr>
              <w:tabs>
                <w:tab w:val="left" w:pos="1731"/>
                <w:tab w:val="left" w:pos="4151"/>
              </w:tabs>
              <w:adjustRightInd w:val="0"/>
              <w:snapToGrid w:val="0"/>
              <w:spacing w:after="0" w:line="240" w:lineRule="auto"/>
              <w:rPr>
                <w:rFonts w:ascii="Times New Roman" w:hAnsi="Times New Roman"/>
                <w:sz w:val="20"/>
                <w:szCs w:val="20"/>
                <w:shd w:val="clear" w:color="auto" w:fill="FFFFFF"/>
              </w:rPr>
            </w:pPr>
            <w:r w:rsidRPr="00B6303E">
              <w:rPr>
                <w:rFonts w:ascii="Times New Roman" w:hAnsi="Times New Roman"/>
                <w:sz w:val="20"/>
                <w:szCs w:val="20"/>
                <w:shd w:val="clear" w:color="auto" w:fill="FFFFFF"/>
              </w:rPr>
              <w:t>Stochastic Impacts by Regression on Population, Affluence Technology</w:t>
            </w:r>
          </w:p>
          <w:p w:rsidR="00463622" w:rsidRPr="00B6303E" w:rsidRDefault="00CA01A3" w:rsidP="00F82E9D">
            <w:pPr>
              <w:tabs>
                <w:tab w:val="left" w:pos="1731"/>
                <w:tab w:val="left" w:pos="4151"/>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Energy Consumption</w:t>
            </w:r>
          </w:p>
          <w:p w:rsidR="00463622" w:rsidRPr="00B6303E" w:rsidRDefault="00CA01A3" w:rsidP="00F82E9D">
            <w:pPr>
              <w:tabs>
                <w:tab w:val="left" w:pos="1731"/>
                <w:tab w:val="left" w:pos="4151"/>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Energy Price</w:t>
            </w:r>
          </w:p>
          <w:p w:rsidR="00463622" w:rsidRPr="00B6303E" w:rsidRDefault="00CA01A3" w:rsidP="00F82E9D">
            <w:pPr>
              <w:tabs>
                <w:tab w:val="left" w:pos="1731"/>
                <w:tab w:val="left" w:pos="4151"/>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Energy Intensity</w:t>
            </w:r>
          </w:p>
          <w:p w:rsidR="00463622" w:rsidRPr="00B6303E" w:rsidRDefault="00CA01A3" w:rsidP="00F82E9D">
            <w:pPr>
              <w:tabs>
                <w:tab w:val="left" w:pos="1731"/>
                <w:tab w:val="left" w:pos="4151"/>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Trade Openness</w:t>
            </w:r>
          </w:p>
          <w:p w:rsidR="00463622" w:rsidRPr="00B6303E" w:rsidRDefault="00CA01A3" w:rsidP="00F82E9D">
            <w:pPr>
              <w:tabs>
                <w:tab w:val="left" w:pos="1731"/>
                <w:tab w:val="left" w:pos="4151"/>
              </w:tabs>
              <w:adjustRightInd w:val="0"/>
              <w:snapToGrid w:val="0"/>
              <w:spacing w:after="0" w:line="240" w:lineRule="auto"/>
              <w:rPr>
                <w:rFonts w:ascii="Times New Roman" w:hAnsi="Times New Roman"/>
                <w:sz w:val="20"/>
                <w:szCs w:val="20"/>
                <w:shd w:val="clear" w:color="auto" w:fill="FFFFFF"/>
              </w:rPr>
            </w:pPr>
            <w:r w:rsidRPr="00B6303E">
              <w:rPr>
                <w:rFonts w:ascii="Times New Roman" w:hAnsi="Times New Roman"/>
                <w:sz w:val="20"/>
                <w:szCs w:val="20"/>
              </w:rPr>
              <w:t>Augmented Dickey-Fuller</w:t>
            </w:r>
          </w:p>
          <w:p w:rsidR="00463622" w:rsidRPr="00B6303E" w:rsidRDefault="00CA01A3" w:rsidP="00F82E9D">
            <w:pPr>
              <w:adjustRightInd w:val="0"/>
              <w:snapToGrid w:val="0"/>
              <w:spacing w:after="0" w:line="240" w:lineRule="auto"/>
              <w:rPr>
                <w:rFonts w:ascii="Times New Roman" w:hAnsi="Times New Roman"/>
                <w:color w:val="000000"/>
                <w:sz w:val="20"/>
                <w:szCs w:val="20"/>
                <w:shd w:val="clear" w:color="auto" w:fill="FFFFFF"/>
              </w:rPr>
            </w:pPr>
            <w:r w:rsidRPr="00B6303E">
              <w:rPr>
                <w:rStyle w:val="Strong"/>
                <w:rFonts w:ascii="Times New Roman" w:hAnsi="Times New Roman"/>
                <w:b w:val="0"/>
                <w:bCs w:val="0"/>
                <w:color w:val="000000"/>
                <w:sz w:val="20"/>
                <w:szCs w:val="20"/>
                <w:shd w:val="clear" w:color="auto" w:fill="FFFFFF"/>
              </w:rPr>
              <w:t>Phillips-Perron (PP)</w:t>
            </w:r>
            <w:r w:rsidRPr="00B6303E">
              <w:rPr>
                <w:rFonts w:ascii="Times New Roman" w:hAnsi="Times New Roman"/>
                <w:color w:val="000000"/>
                <w:sz w:val="20"/>
                <w:szCs w:val="20"/>
                <w:shd w:val="clear" w:color="auto" w:fill="FFFFFF"/>
              </w:rPr>
              <w:t> unit root test</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Vector Auto Regression</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Environmental Kuznets Curve</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Intergovernmental Panel Climate Change</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Business as Usual</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Baseline Scenario</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Advance Scenario</w:t>
            </w:r>
          </w:p>
          <w:p w:rsidR="00463622" w:rsidRPr="00B6303E" w:rsidRDefault="00CA01A3" w:rsidP="00F82E9D">
            <w:pPr>
              <w:tabs>
                <w:tab w:val="left" w:pos="1792"/>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Moderate Scenario</w:t>
            </w:r>
          </w:p>
        </w:tc>
        <w:tc>
          <w:tcPr>
            <w:tcW w:w="733" w:type="pct"/>
            <w:vAlign w:val="center"/>
          </w:tcPr>
          <w:p w:rsidR="00463622" w:rsidRPr="00B6303E" w:rsidRDefault="00CA01A3" w:rsidP="00F82E9D">
            <w:pPr>
              <w:tabs>
                <w:tab w:val="left" w:pos="1792"/>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CPEC</w:t>
            </w:r>
          </w:p>
          <w:p w:rsidR="00463622" w:rsidRPr="00B6303E" w:rsidRDefault="00CA01A3" w:rsidP="00F82E9D">
            <w:pPr>
              <w:tabs>
                <w:tab w:val="left" w:pos="1792"/>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GDP</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MW</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LNG</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CMEC</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CGGC</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TBD</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BRI</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BoP</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PKR</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WAPDA</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KESC</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TOE</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FDI</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WDI</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IPAT</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STIRPAT</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EC</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EP</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EI</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TO</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ADF</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PP</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VAR</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EKC</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IPCC</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BAU</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BS</w:t>
            </w:r>
          </w:p>
          <w:p w:rsidR="00463622" w:rsidRPr="00B6303E" w:rsidRDefault="00CA01A3" w:rsidP="00F82E9D">
            <w:pPr>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AS</w:t>
            </w:r>
          </w:p>
          <w:p w:rsidR="00463622" w:rsidRPr="00B6303E" w:rsidRDefault="00CA01A3" w:rsidP="00F82E9D">
            <w:pPr>
              <w:tabs>
                <w:tab w:val="left" w:pos="1792"/>
              </w:tabs>
              <w:adjustRightInd w:val="0"/>
              <w:snapToGrid w:val="0"/>
              <w:spacing w:after="0" w:line="240" w:lineRule="auto"/>
              <w:rPr>
                <w:rFonts w:ascii="Times New Roman" w:hAnsi="Times New Roman"/>
                <w:sz w:val="20"/>
                <w:szCs w:val="20"/>
              </w:rPr>
            </w:pPr>
            <w:r w:rsidRPr="00B6303E">
              <w:rPr>
                <w:rFonts w:ascii="Times New Roman" w:hAnsi="Times New Roman"/>
                <w:sz w:val="20"/>
                <w:szCs w:val="20"/>
              </w:rPr>
              <w:t>MS</w:t>
            </w:r>
          </w:p>
        </w:tc>
      </w:tr>
    </w:tbl>
    <w:p w:rsidR="00463622" w:rsidRPr="00B6303E" w:rsidRDefault="00463622" w:rsidP="00E82F77">
      <w:pPr>
        <w:adjustRightInd w:val="0"/>
        <w:snapToGrid w:val="0"/>
        <w:spacing w:after="0" w:line="240" w:lineRule="auto"/>
        <w:jc w:val="both"/>
        <w:rPr>
          <w:rFonts w:ascii="Times New Roman" w:hAnsi="Times New Roman"/>
          <w:sz w:val="20"/>
          <w:szCs w:val="20"/>
        </w:rPr>
      </w:pPr>
    </w:p>
    <w:p w:rsidR="00F82E9D" w:rsidRDefault="00F82E9D" w:rsidP="00E82F77">
      <w:pPr>
        <w:adjustRightInd w:val="0"/>
        <w:snapToGrid w:val="0"/>
        <w:spacing w:after="0" w:line="240" w:lineRule="auto"/>
        <w:jc w:val="both"/>
        <w:rPr>
          <w:rFonts w:ascii="Times New Roman" w:hAnsi="Times New Roman"/>
          <w:b/>
          <w:bCs/>
          <w:sz w:val="20"/>
          <w:szCs w:val="20"/>
        </w:rPr>
        <w:sectPr w:rsidR="00F82E9D" w:rsidSect="00F82E9D">
          <w:type w:val="continuous"/>
          <w:pgSz w:w="12240" w:h="15840"/>
          <w:pgMar w:top="1440" w:right="1440" w:bottom="1440" w:left="1440" w:header="720" w:footer="720" w:gutter="0"/>
          <w:cols w:space="720"/>
          <w:docGrid w:linePitch="360"/>
        </w:sectPr>
      </w:pPr>
    </w:p>
    <w:p w:rsidR="00463622" w:rsidRPr="00B6303E" w:rsidRDefault="00CA01A3" w:rsidP="00E82F77">
      <w:pPr>
        <w:adjustRightInd w:val="0"/>
        <w:snapToGrid w:val="0"/>
        <w:spacing w:after="0" w:line="240" w:lineRule="auto"/>
        <w:jc w:val="both"/>
        <w:rPr>
          <w:rFonts w:ascii="Times New Roman" w:hAnsi="Times New Roman"/>
          <w:sz w:val="20"/>
          <w:szCs w:val="20"/>
        </w:rPr>
      </w:pPr>
      <w:r w:rsidRPr="00B6303E">
        <w:rPr>
          <w:rFonts w:ascii="Times New Roman" w:hAnsi="Times New Roman"/>
          <w:b/>
          <w:bCs/>
          <w:sz w:val="20"/>
          <w:szCs w:val="20"/>
        </w:rPr>
        <w:lastRenderedPageBreak/>
        <w:t>References</w:t>
      </w:r>
    </w:p>
    <w:p w:rsidR="00463622" w:rsidRPr="00B6303E" w:rsidRDefault="00A77D41"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fldChar w:fldCharType="begin" w:fldLock="1"/>
      </w:r>
      <w:r w:rsidR="00CA01A3" w:rsidRPr="00B6303E">
        <w:rPr>
          <w:rFonts w:ascii="Times New Roman" w:hAnsi="Times New Roman"/>
          <w:sz w:val="20"/>
          <w:szCs w:val="20"/>
        </w:rPr>
        <w:instrText xml:space="preserve">ADDIN Mendeley Bibliography CSL_BIBLIOGRAPHY </w:instrText>
      </w:r>
      <w:r w:rsidRPr="00B6303E">
        <w:rPr>
          <w:rFonts w:ascii="Times New Roman" w:hAnsi="Times New Roman"/>
          <w:sz w:val="20"/>
          <w:szCs w:val="20"/>
        </w:rPr>
        <w:fldChar w:fldCharType="separate"/>
      </w:r>
      <w:r w:rsidR="00CA01A3" w:rsidRPr="00B6303E">
        <w:rPr>
          <w:rFonts w:ascii="Times New Roman" w:hAnsi="Times New Roman"/>
          <w:sz w:val="20"/>
          <w:szCs w:val="20"/>
        </w:rPr>
        <w:t xml:space="preserve">Abid, M., &amp; Ashfaq, A. (2015). CPEC: Challenges and opportunities for Pakistan. </w:t>
      </w:r>
      <w:r w:rsidR="00CA01A3" w:rsidRPr="00B6303E">
        <w:rPr>
          <w:rFonts w:ascii="Times New Roman" w:hAnsi="Times New Roman"/>
          <w:i/>
          <w:iCs/>
          <w:sz w:val="20"/>
          <w:szCs w:val="20"/>
        </w:rPr>
        <w:t>Journal of Pakistan Vision</w:t>
      </w:r>
      <w:r w:rsidR="00CA01A3" w:rsidRPr="00B6303E">
        <w:rPr>
          <w:rFonts w:ascii="Times New Roman" w:hAnsi="Times New Roman"/>
          <w:sz w:val="20"/>
          <w:szCs w:val="20"/>
        </w:rPr>
        <w:t xml:space="preserve">, </w:t>
      </w:r>
      <w:r w:rsidR="00CA01A3" w:rsidRPr="00B6303E">
        <w:rPr>
          <w:rFonts w:ascii="Times New Roman" w:hAnsi="Times New Roman"/>
          <w:i/>
          <w:iCs/>
          <w:sz w:val="20"/>
          <w:szCs w:val="20"/>
        </w:rPr>
        <w:t>16</w:t>
      </w:r>
      <w:r w:rsidR="00CA01A3" w:rsidRPr="00B6303E">
        <w:rPr>
          <w:rFonts w:ascii="Times New Roman" w:hAnsi="Times New Roman"/>
          <w:sz w:val="20"/>
          <w:szCs w:val="20"/>
        </w:rPr>
        <w:t>(2), 142–169.</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Afzal, H. (2008). Electricity Shortage in Pakistan in Comparison with Air Conditioners Imported and Produced in 2005-06. </w:t>
      </w:r>
      <w:r w:rsidRPr="00B6303E">
        <w:rPr>
          <w:rFonts w:ascii="Times New Roman" w:hAnsi="Times New Roman"/>
          <w:i/>
          <w:iCs/>
          <w:sz w:val="20"/>
          <w:szCs w:val="20"/>
        </w:rPr>
        <w:t>Virtual University of Pakistan Working Paper</w:t>
      </w:r>
      <w:r w:rsidRPr="00B6303E">
        <w:rPr>
          <w:rFonts w:ascii="Times New Roman" w:hAnsi="Times New Roman"/>
          <w:sz w:val="20"/>
          <w:szCs w:val="20"/>
        </w:rPr>
        <w:t>, 1–37.</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Ahmed, R., &amp; Mustafa, U. (2016). Impact of CPEC projects on agriculture sector of Pakistan: Infrastructure and agricultural output linkages. </w:t>
      </w:r>
      <w:r w:rsidRPr="00B6303E">
        <w:rPr>
          <w:rFonts w:ascii="Times New Roman" w:hAnsi="Times New Roman"/>
          <w:i/>
          <w:iCs/>
          <w:sz w:val="20"/>
          <w:szCs w:val="20"/>
        </w:rPr>
        <w:t>The Pakistan Development Review</w:t>
      </w:r>
      <w:r w:rsidRPr="00B6303E">
        <w:rPr>
          <w:rFonts w:ascii="Times New Roman" w:hAnsi="Times New Roman"/>
          <w:sz w:val="20"/>
          <w:szCs w:val="20"/>
        </w:rPr>
        <w:t>, 511–527.</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Akber, A. L. I. (2015). China Pakistan Economic Corridor (CPEC): Prospects and challenges for regional integeration. </w:t>
      </w:r>
      <w:r w:rsidRPr="00B6303E">
        <w:rPr>
          <w:rFonts w:ascii="Times New Roman" w:hAnsi="Times New Roman"/>
          <w:i/>
          <w:iCs/>
          <w:sz w:val="20"/>
          <w:szCs w:val="20"/>
        </w:rPr>
        <w:t>International Journal of Social Sciences and Humanity Studies</w:t>
      </w:r>
      <w:r w:rsidRPr="00B6303E">
        <w:rPr>
          <w:rFonts w:ascii="Times New Roman" w:hAnsi="Times New Roman"/>
          <w:sz w:val="20"/>
          <w:szCs w:val="20"/>
        </w:rPr>
        <w:t xml:space="preserve">, </w:t>
      </w:r>
      <w:r w:rsidRPr="00B6303E">
        <w:rPr>
          <w:rFonts w:ascii="Times New Roman" w:hAnsi="Times New Roman"/>
          <w:i/>
          <w:iCs/>
          <w:sz w:val="20"/>
          <w:szCs w:val="20"/>
        </w:rPr>
        <w:t>7</w:t>
      </w:r>
      <w:r w:rsidRPr="00B6303E">
        <w:rPr>
          <w:rFonts w:ascii="Times New Roman" w:hAnsi="Times New Roman"/>
          <w:sz w:val="20"/>
          <w:szCs w:val="20"/>
        </w:rPr>
        <w:t>(1), 1–15.</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Ali, Y., Rasheed, Z., Muhammad, N., &amp; Yousaf, S. (2018). Energy optimization in </w:t>
      </w:r>
      <w:r w:rsidRPr="00B6303E">
        <w:rPr>
          <w:rFonts w:ascii="Times New Roman" w:hAnsi="Times New Roman"/>
          <w:sz w:val="20"/>
          <w:szCs w:val="20"/>
        </w:rPr>
        <w:lastRenderedPageBreak/>
        <w:t xml:space="preserve">the wake of China Pakistan Economic Corridor (CPEC). </w:t>
      </w:r>
      <w:r w:rsidRPr="00B6303E">
        <w:rPr>
          <w:rFonts w:ascii="Times New Roman" w:hAnsi="Times New Roman"/>
          <w:i/>
          <w:iCs/>
          <w:sz w:val="20"/>
          <w:szCs w:val="20"/>
        </w:rPr>
        <w:t>Journal of Control and Decision</w:t>
      </w:r>
      <w:r w:rsidRPr="00B6303E">
        <w:rPr>
          <w:rFonts w:ascii="Times New Roman" w:hAnsi="Times New Roman"/>
          <w:sz w:val="20"/>
          <w:szCs w:val="20"/>
        </w:rPr>
        <w:t xml:space="preserve">, </w:t>
      </w:r>
      <w:r w:rsidRPr="00B6303E">
        <w:rPr>
          <w:rFonts w:ascii="Times New Roman" w:hAnsi="Times New Roman"/>
          <w:i/>
          <w:iCs/>
          <w:sz w:val="20"/>
          <w:szCs w:val="20"/>
        </w:rPr>
        <w:t>5</w:t>
      </w:r>
      <w:r w:rsidRPr="00B6303E">
        <w:rPr>
          <w:rFonts w:ascii="Times New Roman" w:hAnsi="Times New Roman"/>
          <w:sz w:val="20"/>
          <w:szCs w:val="20"/>
        </w:rPr>
        <w:t>(2), 129–147.</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Aqeel, A., &amp; Butt, M. S. (2001). The relationship between energy consumption and economic growth in Pakistan. </w:t>
      </w:r>
      <w:r w:rsidRPr="00B6303E">
        <w:rPr>
          <w:rFonts w:ascii="Times New Roman" w:hAnsi="Times New Roman"/>
          <w:i/>
          <w:iCs/>
          <w:sz w:val="20"/>
          <w:szCs w:val="20"/>
        </w:rPr>
        <w:t>Asia-Pacific Development Journal</w:t>
      </w:r>
      <w:r w:rsidRPr="00B6303E">
        <w:rPr>
          <w:rFonts w:ascii="Times New Roman" w:hAnsi="Times New Roman"/>
          <w:sz w:val="20"/>
          <w:szCs w:val="20"/>
        </w:rPr>
        <w:t xml:space="preserve">, </w:t>
      </w:r>
      <w:r w:rsidRPr="00B6303E">
        <w:rPr>
          <w:rFonts w:ascii="Times New Roman" w:hAnsi="Times New Roman"/>
          <w:i/>
          <w:iCs/>
          <w:sz w:val="20"/>
          <w:szCs w:val="20"/>
        </w:rPr>
        <w:t>8</w:t>
      </w:r>
      <w:r w:rsidRPr="00B6303E">
        <w:rPr>
          <w:rFonts w:ascii="Times New Roman" w:hAnsi="Times New Roman"/>
          <w:sz w:val="20"/>
          <w:szCs w:val="20"/>
        </w:rPr>
        <w:t>(2), 101–110.</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Asif, M. (2012). Energy crisis in Pakistan: origins, challenges, and sustainable solutions. </w:t>
      </w:r>
      <w:r w:rsidRPr="00B6303E">
        <w:rPr>
          <w:rFonts w:ascii="Times New Roman" w:hAnsi="Times New Roman"/>
          <w:i/>
          <w:iCs/>
          <w:sz w:val="20"/>
          <w:szCs w:val="20"/>
        </w:rPr>
        <w:t>OUP Catalogue</w:t>
      </w:r>
      <w:r w:rsidRPr="00B6303E">
        <w:rPr>
          <w:rFonts w:ascii="Times New Roman" w:hAnsi="Times New Roman"/>
          <w:sz w:val="20"/>
          <w:szCs w:val="20"/>
        </w:rPr>
        <w:t>.</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Asteriou, D., &amp; Hall, S. G. (2015). </w:t>
      </w:r>
      <w:r w:rsidRPr="00B6303E">
        <w:rPr>
          <w:rFonts w:ascii="Times New Roman" w:hAnsi="Times New Roman"/>
          <w:i/>
          <w:iCs/>
          <w:sz w:val="20"/>
          <w:szCs w:val="20"/>
        </w:rPr>
        <w:t>Applied econometrics</w:t>
      </w:r>
      <w:r w:rsidRPr="00B6303E">
        <w:rPr>
          <w:rFonts w:ascii="Times New Roman" w:hAnsi="Times New Roman"/>
          <w:sz w:val="20"/>
          <w:szCs w:val="20"/>
        </w:rPr>
        <w:t>. 518.</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Austrilia,  p. (2015, February 11). </w:t>
      </w:r>
      <w:r w:rsidRPr="00B6303E">
        <w:rPr>
          <w:rFonts w:ascii="Times New Roman" w:hAnsi="Times New Roman"/>
          <w:i/>
          <w:iCs/>
          <w:sz w:val="20"/>
          <w:szCs w:val="20"/>
        </w:rPr>
        <w:t>The world in 2050: will the shift in global economic power continue?</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Avais, M. M. A., Shaikh, M. S., Mahesar, H. A., &amp; Memon, M. F. (2016). China-Pak Economic Corridor: Social Analysis for Pakistan. </w:t>
      </w:r>
      <w:r w:rsidRPr="00B6303E">
        <w:rPr>
          <w:rFonts w:ascii="Times New Roman" w:hAnsi="Times New Roman"/>
          <w:i/>
          <w:iCs/>
          <w:sz w:val="20"/>
          <w:szCs w:val="20"/>
        </w:rPr>
        <w:t>The Government-Annual Research Journal of Political Science.</w:t>
      </w:r>
      <w:r w:rsidRPr="00B6303E">
        <w:rPr>
          <w:rFonts w:ascii="Times New Roman" w:hAnsi="Times New Roman"/>
          <w:sz w:val="20"/>
          <w:szCs w:val="20"/>
        </w:rPr>
        <w:t xml:space="preserve">, </w:t>
      </w:r>
      <w:r w:rsidRPr="00B6303E">
        <w:rPr>
          <w:rFonts w:ascii="Times New Roman" w:hAnsi="Times New Roman"/>
          <w:i/>
          <w:iCs/>
          <w:sz w:val="20"/>
          <w:szCs w:val="20"/>
        </w:rPr>
        <w:t>5</w:t>
      </w:r>
      <w:r w:rsidRPr="00B6303E">
        <w:rPr>
          <w:rFonts w:ascii="Times New Roman" w:hAnsi="Times New Roman"/>
          <w:sz w:val="20"/>
          <w:szCs w:val="20"/>
        </w:rPr>
        <w:t>(5).</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lastRenderedPageBreak/>
        <w:t xml:space="preserve">Awan, A. B., &amp; Khan, Z. A. (2014). Recent progress in renewable energy–Remedy of energy crisis in Pakistan. </w:t>
      </w:r>
      <w:r w:rsidRPr="00B6303E">
        <w:rPr>
          <w:rFonts w:ascii="Times New Roman" w:hAnsi="Times New Roman"/>
          <w:i/>
          <w:iCs/>
          <w:sz w:val="20"/>
          <w:szCs w:val="20"/>
        </w:rPr>
        <w:t>Renewable and Sustainable Energy Reviews</w:t>
      </w:r>
      <w:r w:rsidRPr="00B6303E">
        <w:rPr>
          <w:rFonts w:ascii="Times New Roman" w:hAnsi="Times New Roman"/>
          <w:sz w:val="20"/>
          <w:szCs w:val="20"/>
        </w:rPr>
        <w:t xml:space="preserve">, </w:t>
      </w:r>
      <w:r w:rsidRPr="00B6303E">
        <w:rPr>
          <w:rFonts w:ascii="Times New Roman" w:hAnsi="Times New Roman"/>
          <w:i/>
          <w:iCs/>
          <w:sz w:val="20"/>
          <w:szCs w:val="20"/>
        </w:rPr>
        <w:t>33</w:t>
      </w:r>
      <w:r w:rsidRPr="00B6303E">
        <w:rPr>
          <w:rFonts w:ascii="Times New Roman" w:hAnsi="Times New Roman"/>
          <w:sz w:val="20"/>
          <w:szCs w:val="20"/>
        </w:rPr>
        <w:t>, 236–253.</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Azam, M., Khan, A. Q., Zaman, K., &amp; Ahmad, M. (2015). Factors determining energy consumption: Evidence from Indonesia, Malaysia and Thailand. </w:t>
      </w:r>
      <w:r w:rsidRPr="00B6303E">
        <w:rPr>
          <w:rFonts w:ascii="Times New Roman" w:hAnsi="Times New Roman"/>
          <w:i/>
          <w:iCs/>
          <w:sz w:val="20"/>
          <w:szCs w:val="20"/>
        </w:rPr>
        <w:t>Renewable and Sustainable Energy Reviews</w:t>
      </w:r>
      <w:r w:rsidRPr="00B6303E">
        <w:rPr>
          <w:rFonts w:ascii="Times New Roman" w:hAnsi="Times New Roman"/>
          <w:sz w:val="20"/>
          <w:szCs w:val="20"/>
        </w:rPr>
        <w:t xml:space="preserve">, </w:t>
      </w:r>
      <w:r w:rsidRPr="00B6303E">
        <w:rPr>
          <w:rFonts w:ascii="Times New Roman" w:hAnsi="Times New Roman"/>
          <w:i/>
          <w:iCs/>
          <w:sz w:val="20"/>
          <w:szCs w:val="20"/>
        </w:rPr>
        <w:t>42</w:t>
      </w:r>
      <w:r w:rsidRPr="00B6303E">
        <w:rPr>
          <w:rFonts w:ascii="Times New Roman" w:hAnsi="Times New Roman"/>
          <w:sz w:val="20"/>
          <w:szCs w:val="20"/>
        </w:rPr>
        <w:t>, 1123–1131.</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Bargaoui, S. A., Liouane, N., &amp; Nouri, F. Z. (2014). Environmental impact determinants: An empirical analysis based on the STIRPAT model. </w:t>
      </w:r>
      <w:r w:rsidRPr="00B6303E">
        <w:rPr>
          <w:rFonts w:ascii="Times New Roman" w:hAnsi="Times New Roman"/>
          <w:i/>
          <w:iCs/>
          <w:sz w:val="20"/>
          <w:szCs w:val="20"/>
        </w:rPr>
        <w:t>Procedia-Social and Behavioral Sciences</w:t>
      </w:r>
      <w:r w:rsidRPr="00B6303E">
        <w:rPr>
          <w:rFonts w:ascii="Times New Roman" w:hAnsi="Times New Roman"/>
          <w:sz w:val="20"/>
          <w:szCs w:val="20"/>
        </w:rPr>
        <w:t xml:space="preserve">, </w:t>
      </w:r>
      <w:r w:rsidRPr="00B6303E">
        <w:rPr>
          <w:rFonts w:ascii="Times New Roman" w:hAnsi="Times New Roman"/>
          <w:i/>
          <w:iCs/>
          <w:sz w:val="20"/>
          <w:szCs w:val="20"/>
        </w:rPr>
        <w:t>109</w:t>
      </w:r>
      <w:r w:rsidRPr="00B6303E">
        <w:rPr>
          <w:rFonts w:ascii="Times New Roman" w:hAnsi="Times New Roman"/>
          <w:sz w:val="20"/>
          <w:szCs w:val="20"/>
        </w:rPr>
        <w:t>, 449–458.</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Bhutta, Z. (2015). India bid to halt Pakistan projects fails. </w:t>
      </w:r>
      <w:r w:rsidRPr="00B6303E">
        <w:rPr>
          <w:rFonts w:ascii="Times New Roman" w:hAnsi="Times New Roman"/>
          <w:i/>
          <w:iCs/>
          <w:sz w:val="20"/>
          <w:szCs w:val="20"/>
        </w:rPr>
        <w:t>The Express Tribune</w:t>
      </w:r>
      <w:r w:rsidRPr="00B6303E">
        <w:rPr>
          <w:rFonts w:ascii="Times New Roman" w:hAnsi="Times New Roman"/>
          <w:sz w:val="20"/>
          <w:szCs w:val="20"/>
        </w:rPr>
        <w:t xml:space="preserve">, </w:t>
      </w:r>
      <w:r w:rsidRPr="00B6303E">
        <w:rPr>
          <w:rFonts w:ascii="Times New Roman" w:hAnsi="Times New Roman"/>
          <w:i/>
          <w:iCs/>
          <w:sz w:val="20"/>
          <w:szCs w:val="20"/>
        </w:rPr>
        <w:t>31</w:t>
      </w:r>
      <w:r w:rsidRPr="00B6303E">
        <w:rPr>
          <w:rFonts w:ascii="Times New Roman" w:hAnsi="Times New Roman"/>
          <w:sz w:val="20"/>
          <w:szCs w:val="20"/>
        </w:rPr>
        <w:t>.</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Blomström, M., &amp; Kokko, A. (2003). </w:t>
      </w:r>
      <w:r w:rsidRPr="00B6303E">
        <w:rPr>
          <w:rFonts w:ascii="Times New Roman" w:hAnsi="Times New Roman"/>
          <w:i/>
          <w:iCs/>
          <w:sz w:val="20"/>
          <w:szCs w:val="20"/>
        </w:rPr>
        <w:t>Human capital and inward FDI</w:t>
      </w:r>
      <w:r w:rsidRPr="00B6303E">
        <w:rPr>
          <w:rFonts w:ascii="Times New Roman" w:hAnsi="Times New Roman"/>
          <w:sz w:val="20"/>
          <w:szCs w:val="20"/>
        </w:rPr>
        <w:t xml:space="preserve"> (Vol. 3762). Centre for Economic Policy Research London.</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Dickey, D. A., &amp; Fuller, W. A. (1979). Distribution of the estimators for autoregressive time series with a unit root. </w:t>
      </w:r>
      <w:r w:rsidRPr="00B6303E">
        <w:rPr>
          <w:rFonts w:ascii="Times New Roman" w:hAnsi="Times New Roman"/>
          <w:i/>
          <w:iCs/>
          <w:sz w:val="20"/>
          <w:szCs w:val="20"/>
        </w:rPr>
        <w:t>Journal of the American Statistical Association</w:t>
      </w:r>
      <w:r w:rsidRPr="00B6303E">
        <w:rPr>
          <w:rFonts w:ascii="Times New Roman" w:hAnsi="Times New Roman"/>
          <w:sz w:val="20"/>
          <w:szCs w:val="20"/>
        </w:rPr>
        <w:t xml:space="preserve">, </w:t>
      </w:r>
      <w:r w:rsidRPr="00B6303E">
        <w:rPr>
          <w:rFonts w:ascii="Times New Roman" w:hAnsi="Times New Roman"/>
          <w:i/>
          <w:iCs/>
          <w:sz w:val="20"/>
          <w:szCs w:val="20"/>
        </w:rPr>
        <w:t>74</w:t>
      </w:r>
      <w:r w:rsidRPr="00B6303E">
        <w:rPr>
          <w:rFonts w:ascii="Times New Roman" w:hAnsi="Times New Roman"/>
          <w:sz w:val="20"/>
          <w:szCs w:val="20"/>
        </w:rPr>
        <w:t>(366a), 427–431.</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Dietz, T., &amp; Rosa, E. A. (1994). Rethinking the environmental impacts of population, affluence and technology. </w:t>
      </w:r>
      <w:r w:rsidRPr="00B6303E">
        <w:rPr>
          <w:rFonts w:ascii="Times New Roman" w:hAnsi="Times New Roman"/>
          <w:i/>
          <w:iCs/>
          <w:sz w:val="20"/>
          <w:szCs w:val="20"/>
        </w:rPr>
        <w:t>Human Ecology Review</w:t>
      </w:r>
      <w:r w:rsidRPr="00B6303E">
        <w:rPr>
          <w:rFonts w:ascii="Times New Roman" w:hAnsi="Times New Roman"/>
          <w:sz w:val="20"/>
          <w:szCs w:val="20"/>
        </w:rPr>
        <w:t xml:space="preserve">, </w:t>
      </w:r>
      <w:r w:rsidRPr="00B6303E">
        <w:rPr>
          <w:rFonts w:ascii="Times New Roman" w:hAnsi="Times New Roman"/>
          <w:i/>
          <w:iCs/>
          <w:sz w:val="20"/>
          <w:szCs w:val="20"/>
        </w:rPr>
        <w:t>1</w:t>
      </w:r>
      <w:r w:rsidRPr="00B6303E">
        <w:rPr>
          <w:rFonts w:ascii="Times New Roman" w:hAnsi="Times New Roman"/>
          <w:sz w:val="20"/>
          <w:szCs w:val="20"/>
        </w:rPr>
        <w:t>(2), 277–300.</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Ehrlich, P. R., &amp; Holdren, J. P. (1972). One-dimensional economy. </w:t>
      </w:r>
      <w:r w:rsidRPr="00B6303E">
        <w:rPr>
          <w:rFonts w:ascii="Times New Roman" w:hAnsi="Times New Roman"/>
          <w:i/>
          <w:iCs/>
          <w:sz w:val="20"/>
          <w:szCs w:val="20"/>
        </w:rPr>
        <w:t>Bull At Sci</w:t>
      </w:r>
      <w:r w:rsidRPr="00B6303E">
        <w:rPr>
          <w:rFonts w:ascii="Times New Roman" w:hAnsi="Times New Roman"/>
          <w:sz w:val="20"/>
          <w:szCs w:val="20"/>
        </w:rPr>
        <w:t xml:space="preserve">, </w:t>
      </w:r>
      <w:r w:rsidRPr="00B6303E">
        <w:rPr>
          <w:rFonts w:ascii="Times New Roman" w:hAnsi="Times New Roman"/>
          <w:i/>
          <w:iCs/>
          <w:sz w:val="20"/>
          <w:szCs w:val="20"/>
        </w:rPr>
        <w:t>28</w:t>
      </w:r>
      <w:r w:rsidRPr="00B6303E">
        <w:rPr>
          <w:rFonts w:ascii="Times New Roman" w:hAnsi="Times New Roman"/>
          <w:sz w:val="20"/>
          <w:szCs w:val="20"/>
        </w:rPr>
        <w:t>(5), 16–27.</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ETP, I. E. A. (2008). </w:t>
      </w:r>
      <w:r w:rsidRPr="00B6303E">
        <w:rPr>
          <w:rFonts w:ascii="Times New Roman" w:hAnsi="Times New Roman"/>
          <w:i/>
          <w:iCs/>
          <w:sz w:val="20"/>
          <w:szCs w:val="20"/>
        </w:rPr>
        <w:t>IEA Energy Technology Perspectives 2008–Scenarios and Strategies to 2050. International Energy Agency</w:t>
      </w:r>
      <w:r w:rsidRPr="00B6303E">
        <w:rPr>
          <w:rFonts w:ascii="Times New Roman" w:hAnsi="Times New Roman"/>
          <w:sz w:val="20"/>
          <w:szCs w:val="20"/>
        </w:rPr>
        <w:t>. IEA Publications, Paris.</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Farooqui, R. U., Arif, F., &amp; Rafeeqi, S. F. A. (2008). Safety performance in construction industry of Pakistan. </w:t>
      </w:r>
      <w:r w:rsidRPr="00B6303E">
        <w:rPr>
          <w:rFonts w:ascii="Times New Roman" w:hAnsi="Times New Roman"/>
          <w:i/>
          <w:iCs/>
          <w:sz w:val="20"/>
          <w:szCs w:val="20"/>
        </w:rPr>
        <w:t>First International Conference on Construction In Developing Countries, Karachi, Pakistan</w:t>
      </w:r>
      <w:r w:rsidRPr="00B6303E">
        <w:rPr>
          <w:rFonts w:ascii="Times New Roman" w:hAnsi="Times New Roman"/>
          <w:sz w:val="20"/>
          <w:szCs w:val="20"/>
        </w:rPr>
        <w:t xml:space="preserve">, </w:t>
      </w:r>
      <w:r w:rsidRPr="00B6303E">
        <w:rPr>
          <w:rFonts w:ascii="Times New Roman" w:hAnsi="Times New Roman"/>
          <w:i/>
          <w:iCs/>
          <w:sz w:val="20"/>
          <w:szCs w:val="20"/>
        </w:rPr>
        <w:t>2</w:t>
      </w:r>
      <w:r w:rsidRPr="00B6303E">
        <w:rPr>
          <w:rFonts w:ascii="Times New Roman" w:hAnsi="Times New Roman"/>
          <w:sz w:val="20"/>
          <w:szCs w:val="20"/>
        </w:rPr>
        <w:t>(2), 74–87.</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Feretic, D., &amp; Tomsic, Z. (2005). Probabilistic analysis of electrical energy costs comparing: production costs for gas, coal and nuclear power plants. </w:t>
      </w:r>
      <w:r w:rsidRPr="00B6303E">
        <w:rPr>
          <w:rFonts w:ascii="Times New Roman" w:hAnsi="Times New Roman"/>
          <w:i/>
          <w:iCs/>
          <w:sz w:val="20"/>
          <w:szCs w:val="20"/>
        </w:rPr>
        <w:t>Energy Policy</w:t>
      </w:r>
      <w:r w:rsidRPr="00B6303E">
        <w:rPr>
          <w:rFonts w:ascii="Times New Roman" w:hAnsi="Times New Roman"/>
          <w:sz w:val="20"/>
          <w:szCs w:val="20"/>
        </w:rPr>
        <w:t xml:space="preserve">, </w:t>
      </w:r>
      <w:r w:rsidRPr="00B6303E">
        <w:rPr>
          <w:rFonts w:ascii="Times New Roman" w:hAnsi="Times New Roman"/>
          <w:i/>
          <w:iCs/>
          <w:sz w:val="20"/>
          <w:szCs w:val="20"/>
        </w:rPr>
        <w:t>33</w:t>
      </w:r>
      <w:r w:rsidRPr="00B6303E">
        <w:rPr>
          <w:rFonts w:ascii="Times New Roman" w:hAnsi="Times New Roman"/>
          <w:sz w:val="20"/>
          <w:szCs w:val="20"/>
        </w:rPr>
        <w:t>(1), 5–13.</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Fischer-Kowalski, M., &amp; Amann, C. (2001). Beyond IPAT and Kuznets curves: globalization as a vital factor in analysing the environmental impact of socio-economic metabolism. </w:t>
      </w:r>
      <w:r w:rsidRPr="00B6303E">
        <w:rPr>
          <w:rFonts w:ascii="Times New Roman" w:hAnsi="Times New Roman"/>
          <w:i/>
          <w:iCs/>
          <w:sz w:val="20"/>
          <w:szCs w:val="20"/>
        </w:rPr>
        <w:t>Population and Environment</w:t>
      </w:r>
      <w:r w:rsidRPr="00B6303E">
        <w:rPr>
          <w:rFonts w:ascii="Times New Roman" w:hAnsi="Times New Roman"/>
          <w:sz w:val="20"/>
          <w:szCs w:val="20"/>
        </w:rPr>
        <w:t xml:space="preserve">, </w:t>
      </w:r>
      <w:r w:rsidRPr="00B6303E">
        <w:rPr>
          <w:rFonts w:ascii="Times New Roman" w:hAnsi="Times New Roman"/>
          <w:i/>
          <w:iCs/>
          <w:sz w:val="20"/>
          <w:szCs w:val="20"/>
        </w:rPr>
        <w:t>23</w:t>
      </w:r>
      <w:r w:rsidRPr="00B6303E">
        <w:rPr>
          <w:rFonts w:ascii="Times New Roman" w:hAnsi="Times New Roman"/>
          <w:sz w:val="20"/>
          <w:szCs w:val="20"/>
        </w:rPr>
        <w:t>(1), 7–47.</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Fisher, D. R., &amp; Freudenburg, W. R. (2004). </w:t>
      </w:r>
      <w:r w:rsidRPr="00B6303E">
        <w:rPr>
          <w:rFonts w:ascii="Times New Roman" w:hAnsi="Times New Roman"/>
          <w:sz w:val="20"/>
          <w:szCs w:val="20"/>
        </w:rPr>
        <w:lastRenderedPageBreak/>
        <w:t xml:space="preserve">Postindustrialization and environmental quality: An empirical analysis of the environmental state. </w:t>
      </w:r>
      <w:r w:rsidRPr="00B6303E">
        <w:rPr>
          <w:rFonts w:ascii="Times New Roman" w:hAnsi="Times New Roman"/>
          <w:i/>
          <w:iCs/>
          <w:sz w:val="20"/>
          <w:szCs w:val="20"/>
        </w:rPr>
        <w:t>Social Forces</w:t>
      </w:r>
      <w:r w:rsidRPr="00B6303E">
        <w:rPr>
          <w:rFonts w:ascii="Times New Roman" w:hAnsi="Times New Roman"/>
          <w:sz w:val="20"/>
          <w:szCs w:val="20"/>
        </w:rPr>
        <w:t xml:space="preserve">, </w:t>
      </w:r>
      <w:r w:rsidRPr="00B6303E">
        <w:rPr>
          <w:rFonts w:ascii="Times New Roman" w:hAnsi="Times New Roman"/>
          <w:i/>
          <w:iCs/>
          <w:sz w:val="20"/>
          <w:szCs w:val="20"/>
        </w:rPr>
        <w:t>83</w:t>
      </w:r>
      <w:r w:rsidRPr="00B6303E">
        <w:rPr>
          <w:rFonts w:ascii="Times New Roman" w:hAnsi="Times New Roman"/>
          <w:sz w:val="20"/>
          <w:szCs w:val="20"/>
        </w:rPr>
        <w:t>(1), 157–188.</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Giuliani, E. (2008). Multinational Corporations and Patterns of Local Knowledge Transfer in Costa Rican High‐Tech Industries. </w:t>
      </w:r>
      <w:r w:rsidRPr="00B6303E">
        <w:rPr>
          <w:rFonts w:ascii="Times New Roman" w:hAnsi="Times New Roman"/>
          <w:i/>
          <w:iCs/>
          <w:sz w:val="20"/>
          <w:szCs w:val="20"/>
        </w:rPr>
        <w:t>Development and Change</w:t>
      </w:r>
      <w:r w:rsidRPr="00B6303E">
        <w:rPr>
          <w:rFonts w:ascii="Times New Roman" w:hAnsi="Times New Roman"/>
          <w:sz w:val="20"/>
          <w:szCs w:val="20"/>
        </w:rPr>
        <w:t xml:space="preserve">, </w:t>
      </w:r>
      <w:r w:rsidRPr="00B6303E">
        <w:rPr>
          <w:rFonts w:ascii="Times New Roman" w:hAnsi="Times New Roman"/>
          <w:i/>
          <w:iCs/>
          <w:sz w:val="20"/>
          <w:szCs w:val="20"/>
        </w:rPr>
        <w:t>39</w:t>
      </w:r>
      <w:r w:rsidRPr="00B6303E">
        <w:rPr>
          <w:rFonts w:ascii="Times New Roman" w:hAnsi="Times New Roman"/>
          <w:sz w:val="20"/>
          <w:szCs w:val="20"/>
        </w:rPr>
        <w:t>(3), 385–407.</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Hao, H., Liu, Z., Zhao, F., Li, W., &amp; Hang, W. (2015). Scenario analysis of energy consumption and greenhouse gas emissions from China’s passenger vehicles. </w:t>
      </w:r>
      <w:r w:rsidRPr="00B6303E">
        <w:rPr>
          <w:rFonts w:ascii="Times New Roman" w:hAnsi="Times New Roman"/>
          <w:i/>
          <w:iCs/>
          <w:sz w:val="20"/>
          <w:szCs w:val="20"/>
        </w:rPr>
        <w:t>Energy</w:t>
      </w:r>
      <w:r w:rsidRPr="00B6303E">
        <w:rPr>
          <w:rFonts w:ascii="Times New Roman" w:hAnsi="Times New Roman"/>
          <w:sz w:val="20"/>
          <w:szCs w:val="20"/>
        </w:rPr>
        <w:t xml:space="preserve">, </w:t>
      </w:r>
      <w:r w:rsidRPr="00B6303E">
        <w:rPr>
          <w:rFonts w:ascii="Times New Roman" w:hAnsi="Times New Roman"/>
          <w:i/>
          <w:iCs/>
          <w:sz w:val="20"/>
          <w:szCs w:val="20"/>
        </w:rPr>
        <w:t>91</w:t>
      </w:r>
      <w:r w:rsidRPr="00B6303E">
        <w:rPr>
          <w:rFonts w:ascii="Times New Roman" w:hAnsi="Times New Roman"/>
          <w:sz w:val="20"/>
          <w:szCs w:val="20"/>
        </w:rPr>
        <w:t>, 151–159.</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Haq, R., &amp; Farooq, N. (2016). Impact of CPEC on social welfare in Pakistan: A district level analysis. </w:t>
      </w:r>
      <w:r w:rsidRPr="00B6303E">
        <w:rPr>
          <w:rFonts w:ascii="Times New Roman" w:hAnsi="Times New Roman"/>
          <w:i/>
          <w:iCs/>
          <w:sz w:val="20"/>
          <w:szCs w:val="20"/>
        </w:rPr>
        <w:t>The Pakistan Development Review</w:t>
      </w:r>
      <w:r w:rsidRPr="00B6303E">
        <w:rPr>
          <w:rFonts w:ascii="Times New Roman" w:hAnsi="Times New Roman"/>
          <w:sz w:val="20"/>
          <w:szCs w:val="20"/>
        </w:rPr>
        <w:t>, 597–618.</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Huang, B.-N., Hwang, M. J., &amp; Yang, C. W. (2008). Causal relationship between energy consumption and GDP growth revisited: a dynamic panel data approach. </w:t>
      </w:r>
      <w:r w:rsidRPr="00B6303E">
        <w:rPr>
          <w:rFonts w:ascii="Times New Roman" w:hAnsi="Times New Roman"/>
          <w:i/>
          <w:iCs/>
          <w:sz w:val="20"/>
          <w:szCs w:val="20"/>
        </w:rPr>
        <w:t>Ecological Economics</w:t>
      </w:r>
      <w:r w:rsidRPr="00B6303E">
        <w:rPr>
          <w:rFonts w:ascii="Times New Roman" w:hAnsi="Times New Roman"/>
          <w:sz w:val="20"/>
          <w:szCs w:val="20"/>
        </w:rPr>
        <w:t xml:space="preserve">, </w:t>
      </w:r>
      <w:r w:rsidRPr="00B6303E">
        <w:rPr>
          <w:rFonts w:ascii="Times New Roman" w:hAnsi="Times New Roman"/>
          <w:i/>
          <w:iCs/>
          <w:sz w:val="20"/>
          <w:szCs w:val="20"/>
        </w:rPr>
        <w:t>67</w:t>
      </w:r>
      <w:r w:rsidRPr="00B6303E">
        <w:rPr>
          <w:rFonts w:ascii="Times New Roman" w:hAnsi="Times New Roman"/>
          <w:sz w:val="20"/>
          <w:szCs w:val="20"/>
        </w:rPr>
        <w:t>(1), 41–54.</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Iqbal, S., Chu, J., &amp; Hali, S. M. (2019). Projecting impact of CPEC on Pakistan’s electric power crisis. </w:t>
      </w:r>
      <w:r w:rsidRPr="00B6303E">
        <w:rPr>
          <w:rFonts w:ascii="Times New Roman" w:hAnsi="Times New Roman"/>
          <w:i/>
          <w:iCs/>
          <w:sz w:val="20"/>
          <w:szCs w:val="20"/>
        </w:rPr>
        <w:t>Chinese Journal of Population Resources and Environment</w:t>
      </w:r>
      <w:r w:rsidRPr="00B6303E">
        <w:rPr>
          <w:rFonts w:ascii="Times New Roman" w:hAnsi="Times New Roman"/>
          <w:sz w:val="20"/>
          <w:szCs w:val="20"/>
        </w:rPr>
        <w:t xml:space="preserve">, </w:t>
      </w:r>
      <w:r w:rsidRPr="00B6303E">
        <w:rPr>
          <w:rFonts w:ascii="Times New Roman" w:hAnsi="Times New Roman"/>
          <w:i/>
          <w:iCs/>
          <w:sz w:val="20"/>
          <w:szCs w:val="20"/>
        </w:rPr>
        <w:t>17</w:t>
      </w:r>
      <w:r w:rsidRPr="00B6303E">
        <w:rPr>
          <w:rFonts w:ascii="Times New Roman" w:hAnsi="Times New Roman"/>
          <w:sz w:val="20"/>
          <w:szCs w:val="20"/>
        </w:rPr>
        <w:t>(4), 310–321.</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Johansen, S. (1990). The full information maximum likelihood procedure for inference on cointegration-with application to the demand for money. </w:t>
      </w:r>
      <w:r w:rsidRPr="00B6303E">
        <w:rPr>
          <w:rFonts w:ascii="Times New Roman" w:hAnsi="Times New Roman"/>
          <w:i/>
          <w:iCs/>
          <w:sz w:val="20"/>
          <w:szCs w:val="20"/>
        </w:rPr>
        <w:t>Oxford Bulletin of Econometrics and Statistics</w:t>
      </w:r>
      <w:r w:rsidRPr="00B6303E">
        <w:rPr>
          <w:rFonts w:ascii="Times New Roman" w:hAnsi="Times New Roman"/>
          <w:sz w:val="20"/>
          <w:szCs w:val="20"/>
        </w:rPr>
        <w:t xml:space="preserve">, </w:t>
      </w:r>
      <w:r w:rsidRPr="00B6303E">
        <w:rPr>
          <w:rFonts w:ascii="Times New Roman" w:hAnsi="Times New Roman"/>
          <w:i/>
          <w:iCs/>
          <w:sz w:val="20"/>
          <w:szCs w:val="20"/>
        </w:rPr>
        <w:t>52</w:t>
      </w:r>
      <w:r w:rsidRPr="00B6303E">
        <w:rPr>
          <w:rFonts w:ascii="Times New Roman" w:hAnsi="Times New Roman"/>
          <w:sz w:val="20"/>
          <w:szCs w:val="20"/>
        </w:rPr>
        <w:t>, 169–210.</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Kalar, Z. H., &amp; Khilji, B. A. (2011). Energy Consumption and Economic Growth ln Pakistan. </w:t>
      </w:r>
      <w:r w:rsidRPr="00B6303E">
        <w:rPr>
          <w:rFonts w:ascii="Times New Roman" w:hAnsi="Times New Roman"/>
          <w:i/>
          <w:iCs/>
          <w:sz w:val="20"/>
          <w:szCs w:val="20"/>
        </w:rPr>
        <w:t>Journal of International Academic Research</w:t>
      </w:r>
      <w:r w:rsidRPr="00B6303E">
        <w:rPr>
          <w:rFonts w:ascii="Times New Roman" w:hAnsi="Times New Roman"/>
          <w:sz w:val="20"/>
          <w:szCs w:val="20"/>
        </w:rPr>
        <w:t xml:space="preserve">, </w:t>
      </w:r>
      <w:r w:rsidRPr="00B6303E">
        <w:rPr>
          <w:rFonts w:ascii="Times New Roman" w:hAnsi="Times New Roman"/>
          <w:i/>
          <w:iCs/>
          <w:sz w:val="20"/>
          <w:szCs w:val="20"/>
        </w:rPr>
        <w:t>11</w:t>
      </w:r>
      <w:r w:rsidRPr="00B6303E">
        <w:rPr>
          <w:rFonts w:ascii="Times New Roman" w:hAnsi="Times New Roman"/>
          <w:sz w:val="20"/>
          <w:szCs w:val="20"/>
        </w:rPr>
        <w:t>(1), 33–36.</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Kazmi, S. T. H. (2016a). China’s Journey in Renewable Energy and Its Potential Spillover Effects through the CPEC in Pakistan. </w:t>
      </w:r>
      <w:r w:rsidRPr="00B6303E">
        <w:rPr>
          <w:rFonts w:ascii="Times New Roman" w:hAnsi="Times New Roman"/>
          <w:i/>
          <w:iCs/>
          <w:sz w:val="20"/>
          <w:szCs w:val="20"/>
        </w:rPr>
        <w:t>The Pakistan Development Review</w:t>
      </w:r>
      <w:r w:rsidRPr="00B6303E">
        <w:rPr>
          <w:rFonts w:ascii="Times New Roman" w:hAnsi="Times New Roman"/>
          <w:sz w:val="20"/>
          <w:szCs w:val="20"/>
        </w:rPr>
        <w:t>, 619–631.</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Kazmi, S. T. H. (2016b). China’s Journey in Renewable Energy and Its Potential Spillover Effects through the CPEC in Pakistan on JSTOR. </w:t>
      </w:r>
      <w:r w:rsidRPr="00B6303E">
        <w:rPr>
          <w:rFonts w:ascii="Times New Roman" w:hAnsi="Times New Roman"/>
          <w:i/>
          <w:iCs/>
          <w:sz w:val="20"/>
          <w:szCs w:val="20"/>
        </w:rPr>
        <w:t>The Pakistan Development Review</w:t>
      </w:r>
      <w:r w:rsidRPr="00B6303E">
        <w:rPr>
          <w:rFonts w:ascii="Times New Roman" w:hAnsi="Times New Roman"/>
          <w:sz w:val="20"/>
          <w:szCs w:val="20"/>
        </w:rPr>
        <w:t>, 619–631. https://www.jstor.org/stable/44986508?seq=1#metadata_info_tab_contents</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Khan, M. A. (2015). Modelling and forecasting the demand for natural gas in Pakistan. </w:t>
      </w:r>
      <w:r w:rsidRPr="00B6303E">
        <w:rPr>
          <w:rFonts w:ascii="Times New Roman" w:hAnsi="Times New Roman"/>
          <w:i/>
          <w:iCs/>
          <w:sz w:val="20"/>
          <w:szCs w:val="20"/>
        </w:rPr>
        <w:t>Renewable and Sustainable Energy Reviews</w:t>
      </w:r>
      <w:r w:rsidRPr="00B6303E">
        <w:rPr>
          <w:rFonts w:ascii="Times New Roman" w:hAnsi="Times New Roman"/>
          <w:sz w:val="20"/>
          <w:szCs w:val="20"/>
        </w:rPr>
        <w:t xml:space="preserve">, </w:t>
      </w:r>
      <w:r w:rsidRPr="00B6303E">
        <w:rPr>
          <w:rFonts w:ascii="Times New Roman" w:hAnsi="Times New Roman"/>
          <w:i/>
          <w:iCs/>
          <w:sz w:val="20"/>
          <w:szCs w:val="20"/>
        </w:rPr>
        <w:t>49</w:t>
      </w:r>
      <w:r w:rsidRPr="00B6303E">
        <w:rPr>
          <w:rFonts w:ascii="Times New Roman" w:hAnsi="Times New Roman"/>
          <w:sz w:val="20"/>
          <w:szCs w:val="20"/>
        </w:rPr>
        <w:t>, 1145–1159.</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Khan, M. A., &amp; Abbas, F. (2016). The </w:t>
      </w:r>
      <w:r w:rsidRPr="00B6303E">
        <w:rPr>
          <w:rFonts w:ascii="Times New Roman" w:hAnsi="Times New Roman"/>
          <w:sz w:val="20"/>
          <w:szCs w:val="20"/>
        </w:rPr>
        <w:lastRenderedPageBreak/>
        <w:t xml:space="preserve">dynamics of electricity demand in Pakistan: A panel cointegration analysis. </w:t>
      </w:r>
      <w:r w:rsidRPr="00B6303E">
        <w:rPr>
          <w:rFonts w:ascii="Times New Roman" w:hAnsi="Times New Roman"/>
          <w:i/>
          <w:iCs/>
          <w:sz w:val="20"/>
          <w:szCs w:val="20"/>
        </w:rPr>
        <w:t>Renewable and Sustainable Energy Reviews</w:t>
      </w:r>
      <w:r w:rsidRPr="00B6303E">
        <w:rPr>
          <w:rFonts w:ascii="Times New Roman" w:hAnsi="Times New Roman"/>
          <w:sz w:val="20"/>
          <w:szCs w:val="20"/>
        </w:rPr>
        <w:t xml:space="preserve">, </w:t>
      </w:r>
      <w:r w:rsidRPr="00B6303E">
        <w:rPr>
          <w:rFonts w:ascii="Times New Roman" w:hAnsi="Times New Roman"/>
          <w:i/>
          <w:iCs/>
          <w:sz w:val="20"/>
          <w:szCs w:val="20"/>
        </w:rPr>
        <w:t>65</w:t>
      </w:r>
      <w:r w:rsidRPr="00B6303E">
        <w:rPr>
          <w:rFonts w:ascii="Times New Roman" w:hAnsi="Times New Roman"/>
          <w:sz w:val="20"/>
          <w:szCs w:val="20"/>
        </w:rPr>
        <w:t>, 1159–1178.</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Khan, M. A., &amp; Ahmad, U. (2008). Energy demand in Pakistan: a disaggregate analysis. </w:t>
      </w:r>
      <w:r w:rsidRPr="00B6303E">
        <w:rPr>
          <w:rFonts w:ascii="Times New Roman" w:hAnsi="Times New Roman"/>
          <w:i/>
          <w:iCs/>
          <w:sz w:val="20"/>
          <w:szCs w:val="20"/>
        </w:rPr>
        <w:t>The Pakistan Development Review</w:t>
      </w:r>
      <w:r w:rsidRPr="00B6303E">
        <w:rPr>
          <w:rFonts w:ascii="Times New Roman" w:hAnsi="Times New Roman"/>
          <w:sz w:val="20"/>
          <w:szCs w:val="20"/>
        </w:rPr>
        <w:t>, 437–455.</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Khan, O., Muhammad, 1+, &amp; Younas, Z. (2019). INTERACTION BETWEEN ENERGY CONSUMPTION AND ECONOMIC GROWTH IN PAKISTAN: A MORE COMPREHENSIVE ANALYSIS USING ARDL APPROACH. </w:t>
      </w:r>
      <w:r w:rsidRPr="00B6303E">
        <w:rPr>
          <w:rFonts w:ascii="Times New Roman" w:hAnsi="Times New Roman"/>
          <w:i/>
          <w:iCs/>
          <w:sz w:val="20"/>
          <w:szCs w:val="20"/>
        </w:rPr>
        <w:t>Energy Economics Letters</w:t>
      </w:r>
      <w:r w:rsidRPr="00B6303E">
        <w:rPr>
          <w:rFonts w:ascii="Times New Roman" w:hAnsi="Times New Roman"/>
          <w:sz w:val="20"/>
          <w:szCs w:val="20"/>
        </w:rPr>
        <w:t xml:space="preserve">, </w:t>
      </w:r>
      <w:r w:rsidRPr="00B6303E">
        <w:rPr>
          <w:rFonts w:ascii="Times New Roman" w:hAnsi="Times New Roman"/>
          <w:i/>
          <w:iCs/>
          <w:sz w:val="20"/>
          <w:szCs w:val="20"/>
        </w:rPr>
        <w:t>6</w:t>
      </w:r>
      <w:r w:rsidRPr="00B6303E">
        <w:rPr>
          <w:rFonts w:ascii="Times New Roman" w:hAnsi="Times New Roman"/>
          <w:sz w:val="20"/>
          <w:szCs w:val="20"/>
        </w:rPr>
        <w:t xml:space="preserve">, </w:t>
      </w:r>
      <w:r w:rsidRPr="00B6303E">
        <w:rPr>
          <w:rFonts w:ascii="Times New Roman" w:hAnsi="Times New Roman"/>
          <w:i/>
          <w:iCs/>
          <w:sz w:val="20"/>
          <w:szCs w:val="20"/>
        </w:rPr>
        <w:t>No. 1,</w:t>
      </w:r>
      <w:r w:rsidRPr="00B6303E">
        <w:rPr>
          <w:rFonts w:ascii="Times New Roman" w:hAnsi="Times New Roman"/>
          <w:sz w:val="20"/>
          <w:szCs w:val="20"/>
        </w:rPr>
        <w:t>. https://doi.org/10.18488/journal.82.2019.61.30.51</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Khurshid, M., Rashid, A., &amp; Zahid, R. M. A. (2018). Impact of CPEC energy projects on socio-economic development of Pakistan. </w:t>
      </w:r>
      <w:r w:rsidRPr="00B6303E">
        <w:rPr>
          <w:rFonts w:ascii="Times New Roman" w:hAnsi="Times New Roman"/>
          <w:i/>
          <w:iCs/>
          <w:sz w:val="20"/>
          <w:szCs w:val="20"/>
        </w:rPr>
        <w:t>Proceedings of the International Conference on Renewable, Applied and New Energy Technologies</w:t>
      </w:r>
      <w:r w:rsidRPr="00B6303E">
        <w:rPr>
          <w:rFonts w:ascii="Times New Roman" w:hAnsi="Times New Roman"/>
          <w:sz w:val="20"/>
          <w:szCs w:val="20"/>
        </w:rPr>
        <w:t>.</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Kouser, S., &amp; Subhan, A. (2020). Uncovering pakistan’s environmental risks and remedies under the China-Pakistan economic corridor. </w:t>
      </w:r>
      <w:r w:rsidRPr="00B6303E">
        <w:rPr>
          <w:rFonts w:ascii="Times New Roman" w:hAnsi="Times New Roman"/>
          <w:i/>
          <w:iCs/>
          <w:sz w:val="20"/>
          <w:szCs w:val="20"/>
        </w:rPr>
        <w:t>Environmental Science and Pollution Research</w:t>
      </w:r>
      <w:r w:rsidRPr="00B6303E">
        <w:rPr>
          <w:rFonts w:ascii="Times New Roman" w:hAnsi="Times New Roman"/>
          <w:sz w:val="20"/>
          <w:szCs w:val="20"/>
        </w:rPr>
        <w:t xml:space="preserve">, </w:t>
      </w:r>
      <w:r w:rsidRPr="00B6303E">
        <w:rPr>
          <w:rFonts w:ascii="Times New Roman" w:hAnsi="Times New Roman"/>
          <w:i/>
          <w:iCs/>
          <w:sz w:val="20"/>
          <w:szCs w:val="20"/>
        </w:rPr>
        <w:t>27</w:t>
      </w:r>
      <w:r w:rsidRPr="00B6303E">
        <w:rPr>
          <w:rFonts w:ascii="Times New Roman" w:hAnsi="Times New Roman"/>
          <w:sz w:val="20"/>
          <w:szCs w:val="20"/>
        </w:rPr>
        <w:t>(5), 4661–4663.</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Kuznets, S. (1955). Economic growth and income inequality. </w:t>
      </w:r>
      <w:r w:rsidRPr="00B6303E">
        <w:rPr>
          <w:rFonts w:ascii="Times New Roman" w:hAnsi="Times New Roman"/>
          <w:i/>
          <w:iCs/>
          <w:sz w:val="20"/>
          <w:szCs w:val="20"/>
        </w:rPr>
        <w:t>The American Economic Review</w:t>
      </w:r>
      <w:r w:rsidRPr="00B6303E">
        <w:rPr>
          <w:rFonts w:ascii="Times New Roman" w:hAnsi="Times New Roman"/>
          <w:sz w:val="20"/>
          <w:szCs w:val="20"/>
        </w:rPr>
        <w:t xml:space="preserve">, </w:t>
      </w:r>
      <w:r w:rsidRPr="00B6303E">
        <w:rPr>
          <w:rFonts w:ascii="Times New Roman" w:hAnsi="Times New Roman"/>
          <w:i/>
          <w:iCs/>
          <w:sz w:val="20"/>
          <w:szCs w:val="20"/>
        </w:rPr>
        <w:t>45</w:t>
      </w:r>
      <w:r w:rsidRPr="00B6303E">
        <w:rPr>
          <w:rFonts w:ascii="Times New Roman" w:hAnsi="Times New Roman"/>
          <w:sz w:val="20"/>
          <w:szCs w:val="20"/>
        </w:rPr>
        <w:t>(1), 1–28.</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Lall, S. (1993). Promoting technology development: the role of technology transfer and indigenous effort. </w:t>
      </w:r>
      <w:r w:rsidRPr="00B6303E">
        <w:rPr>
          <w:rFonts w:ascii="Times New Roman" w:hAnsi="Times New Roman"/>
          <w:i/>
          <w:iCs/>
          <w:sz w:val="20"/>
          <w:szCs w:val="20"/>
        </w:rPr>
        <w:t>Third World Quarterly</w:t>
      </w:r>
      <w:r w:rsidRPr="00B6303E">
        <w:rPr>
          <w:rFonts w:ascii="Times New Roman" w:hAnsi="Times New Roman"/>
          <w:sz w:val="20"/>
          <w:szCs w:val="20"/>
        </w:rPr>
        <w:t xml:space="preserve">, </w:t>
      </w:r>
      <w:r w:rsidRPr="00B6303E">
        <w:rPr>
          <w:rFonts w:ascii="Times New Roman" w:hAnsi="Times New Roman"/>
          <w:i/>
          <w:iCs/>
          <w:sz w:val="20"/>
          <w:szCs w:val="20"/>
        </w:rPr>
        <w:t>14</w:t>
      </w:r>
      <w:r w:rsidRPr="00B6303E">
        <w:rPr>
          <w:rFonts w:ascii="Times New Roman" w:hAnsi="Times New Roman"/>
          <w:sz w:val="20"/>
          <w:szCs w:val="20"/>
        </w:rPr>
        <w:t>(1), 95–108.</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Lanka, S. (2009). </w:t>
      </w:r>
      <w:r w:rsidRPr="00B6303E">
        <w:rPr>
          <w:rFonts w:ascii="Times New Roman" w:hAnsi="Times New Roman"/>
          <w:i/>
          <w:iCs/>
          <w:sz w:val="20"/>
          <w:szCs w:val="20"/>
        </w:rPr>
        <w:t>Technical Assistance Consultant’s Final Report Pakistan: Sustainable Energy Efficiency Development Program Financed by the Asian Development Bank (ADB)</w:t>
      </w:r>
      <w:r w:rsidRPr="00B6303E">
        <w:rPr>
          <w:rFonts w:ascii="Times New Roman" w:hAnsi="Times New Roman"/>
          <w:sz w:val="20"/>
          <w:szCs w:val="20"/>
        </w:rPr>
        <w:t>.</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Leitão, N. C. (2015). Energy consumption and foreign direct investment: a panel data analysis for Portugal. </w:t>
      </w:r>
      <w:r w:rsidRPr="00B6303E">
        <w:rPr>
          <w:rFonts w:ascii="Times New Roman" w:hAnsi="Times New Roman"/>
          <w:i/>
          <w:iCs/>
          <w:sz w:val="20"/>
          <w:szCs w:val="20"/>
        </w:rPr>
        <w:t>International Journal of Energy Economics and Policy</w:t>
      </w:r>
      <w:r w:rsidRPr="00B6303E">
        <w:rPr>
          <w:rFonts w:ascii="Times New Roman" w:hAnsi="Times New Roman"/>
          <w:sz w:val="20"/>
          <w:szCs w:val="20"/>
        </w:rPr>
        <w:t xml:space="preserve">, </w:t>
      </w:r>
      <w:r w:rsidRPr="00B6303E">
        <w:rPr>
          <w:rFonts w:ascii="Times New Roman" w:hAnsi="Times New Roman"/>
          <w:i/>
          <w:iCs/>
          <w:sz w:val="20"/>
          <w:szCs w:val="20"/>
        </w:rPr>
        <w:t>5</w:t>
      </w:r>
      <w:r w:rsidRPr="00B6303E">
        <w:rPr>
          <w:rFonts w:ascii="Times New Roman" w:hAnsi="Times New Roman"/>
          <w:sz w:val="20"/>
          <w:szCs w:val="20"/>
        </w:rPr>
        <w:t>(1), 138–147.</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Lin, B., &amp; Ouyang, X. (2014). Electricity demand and conservation potential in the Chinese nonmetallic mineral products industry. </w:t>
      </w:r>
      <w:r w:rsidRPr="00B6303E">
        <w:rPr>
          <w:rFonts w:ascii="Times New Roman" w:hAnsi="Times New Roman"/>
          <w:i/>
          <w:iCs/>
          <w:sz w:val="20"/>
          <w:szCs w:val="20"/>
        </w:rPr>
        <w:t>Energy Policy</w:t>
      </w:r>
      <w:r w:rsidRPr="00B6303E">
        <w:rPr>
          <w:rFonts w:ascii="Times New Roman" w:hAnsi="Times New Roman"/>
          <w:sz w:val="20"/>
          <w:szCs w:val="20"/>
        </w:rPr>
        <w:t xml:space="preserve">, </w:t>
      </w:r>
      <w:r w:rsidRPr="00B6303E">
        <w:rPr>
          <w:rFonts w:ascii="Times New Roman" w:hAnsi="Times New Roman"/>
          <w:i/>
          <w:iCs/>
          <w:sz w:val="20"/>
          <w:szCs w:val="20"/>
        </w:rPr>
        <w:t>68</w:t>
      </w:r>
      <w:r w:rsidRPr="00B6303E">
        <w:rPr>
          <w:rFonts w:ascii="Times New Roman" w:hAnsi="Times New Roman"/>
          <w:sz w:val="20"/>
          <w:szCs w:val="20"/>
        </w:rPr>
        <w:t>, 243–253.</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Lin, B., &amp; Wang, A. (2015). Estimating energy conservation potential in China’s commercial sector. </w:t>
      </w:r>
      <w:r w:rsidRPr="00B6303E">
        <w:rPr>
          <w:rFonts w:ascii="Times New Roman" w:hAnsi="Times New Roman"/>
          <w:i/>
          <w:iCs/>
          <w:sz w:val="20"/>
          <w:szCs w:val="20"/>
        </w:rPr>
        <w:t>Energy</w:t>
      </w:r>
      <w:r w:rsidRPr="00B6303E">
        <w:rPr>
          <w:rFonts w:ascii="Times New Roman" w:hAnsi="Times New Roman"/>
          <w:sz w:val="20"/>
          <w:szCs w:val="20"/>
        </w:rPr>
        <w:t xml:space="preserve">, </w:t>
      </w:r>
      <w:r w:rsidRPr="00B6303E">
        <w:rPr>
          <w:rFonts w:ascii="Times New Roman" w:hAnsi="Times New Roman"/>
          <w:i/>
          <w:iCs/>
          <w:sz w:val="20"/>
          <w:szCs w:val="20"/>
        </w:rPr>
        <w:t>82</w:t>
      </w:r>
      <w:r w:rsidRPr="00B6303E">
        <w:rPr>
          <w:rFonts w:ascii="Times New Roman" w:hAnsi="Times New Roman"/>
          <w:sz w:val="20"/>
          <w:szCs w:val="20"/>
        </w:rPr>
        <w:t>, 147–156.</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Lin, B., Wu, Y., &amp; Zhang, L. (2012). Electricity saving potential of the power </w:t>
      </w:r>
      <w:r w:rsidRPr="00B6303E">
        <w:rPr>
          <w:rFonts w:ascii="Times New Roman" w:hAnsi="Times New Roman"/>
          <w:sz w:val="20"/>
          <w:szCs w:val="20"/>
        </w:rPr>
        <w:lastRenderedPageBreak/>
        <w:t xml:space="preserve">generation industry in China. </w:t>
      </w:r>
      <w:r w:rsidRPr="00B6303E">
        <w:rPr>
          <w:rFonts w:ascii="Times New Roman" w:hAnsi="Times New Roman"/>
          <w:i/>
          <w:iCs/>
          <w:sz w:val="20"/>
          <w:szCs w:val="20"/>
        </w:rPr>
        <w:t>Energy</w:t>
      </w:r>
      <w:r w:rsidRPr="00B6303E">
        <w:rPr>
          <w:rFonts w:ascii="Times New Roman" w:hAnsi="Times New Roman"/>
          <w:sz w:val="20"/>
          <w:szCs w:val="20"/>
        </w:rPr>
        <w:t xml:space="preserve">, </w:t>
      </w:r>
      <w:r w:rsidRPr="00B6303E">
        <w:rPr>
          <w:rFonts w:ascii="Times New Roman" w:hAnsi="Times New Roman"/>
          <w:i/>
          <w:iCs/>
          <w:sz w:val="20"/>
          <w:szCs w:val="20"/>
        </w:rPr>
        <w:t>40</w:t>
      </w:r>
      <w:r w:rsidRPr="00B6303E">
        <w:rPr>
          <w:rFonts w:ascii="Times New Roman" w:hAnsi="Times New Roman"/>
          <w:sz w:val="20"/>
          <w:szCs w:val="20"/>
        </w:rPr>
        <w:t>(1), 307–316.</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Lin, B., &amp; Xie, C. (2013). Estimation on oil demand and oil saving potential of China’s road transport sector. </w:t>
      </w:r>
      <w:r w:rsidRPr="00B6303E">
        <w:rPr>
          <w:rFonts w:ascii="Times New Roman" w:hAnsi="Times New Roman"/>
          <w:i/>
          <w:iCs/>
          <w:sz w:val="20"/>
          <w:szCs w:val="20"/>
        </w:rPr>
        <w:t>Energy Policy</w:t>
      </w:r>
      <w:r w:rsidRPr="00B6303E">
        <w:rPr>
          <w:rFonts w:ascii="Times New Roman" w:hAnsi="Times New Roman"/>
          <w:sz w:val="20"/>
          <w:szCs w:val="20"/>
        </w:rPr>
        <w:t xml:space="preserve">, </w:t>
      </w:r>
      <w:r w:rsidRPr="00B6303E">
        <w:rPr>
          <w:rFonts w:ascii="Times New Roman" w:hAnsi="Times New Roman"/>
          <w:i/>
          <w:iCs/>
          <w:sz w:val="20"/>
          <w:szCs w:val="20"/>
        </w:rPr>
        <w:t>61</w:t>
      </w:r>
      <w:r w:rsidRPr="00B6303E">
        <w:rPr>
          <w:rFonts w:ascii="Times New Roman" w:hAnsi="Times New Roman"/>
          <w:sz w:val="20"/>
          <w:szCs w:val="20"/>
        </w:rPr>
        <w:t>, 472–482.</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Lin, S., Zhao, D., &amp; Marinova, D. (2009). Analysis of the environmental impact of China based on STIRPAT model. </w:t>
      </w:r>
      <w:r w:rsidRPr="00B6303E">
        <w:rPr>
          <w:rFonts w:ascii="Times New Roman" w:hAnsi="Times New Roman"/>
          <w:i/>
          <w:iCs/>
          <w:sz w:val="20"/>
          <w:szCs w:val="20"/>
        </w:rPr>
        <w:t>Environmental Impact Assessment Review</w:t>
      </w:r>
      <w:r w:rsidRPr="00B6303E">
        <w:rPr>
          <w:rFonts w:ascii="Times New Roman" w:hAnsi="Times New Roman"/>
          <w:sz w:val="20"/>
          <w:szCs w:val="20"/>
        </w:rPr>
        <w:t xml:space="preserve">, </w:t>
      </w:r>
      <w:r w:rsidRPr="00B6303E">
        <w:rPr>
          <w:rFonts w:ascii="Times New Roman" w:hAnsi="Times New Roman"/>
          <w:i/>
          <w:iCs/>
          <w:sz w:val="20"/>
          <w:szCs w:val="20"/>
        </w:rPr>
        <w:t>29</w:t>
      </w:r>
      <w:r w:rsidRPr="00B6303E">
        <w:rPr>
          <w:rFonts w:ascii="Times New Roman" w:hAnsi="Times New Roman"/>
          <w:sz w:val="20"/>
          <w:szCs w:val="20"/>
        </w:rPr>
        <w:t>(6), 341–347.</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Michieka, N. M. (2014). Population Dynamics, Economic Growth, and Energy Consumption in Kenya. In </w:t>
      </w:r>
      <w:r w:rsidRPr="00B6303E">
        <w:rPr>
          <w:rFonts w:ascii="Times New Roman" w:hAnsi="Times New Roman"/>
          <w:i/>
          <w:iCs/>
          <w:sz w:val="20"/>
          <w:szCs w:val="20"/>
        </w:rPr>
        <w:t>Econometric Methods for Analyzing Economic Development</w:t>
      </w:r>
      <w:r w:rsidRPr="00B6303E">
        <w:rPr>
          <w:rFonts w:ascii="Times New Roman" w:hAnsi="Times New Roman"/>
          <w:sz w:val="20"/>
          <w:szCs w:val="20"/>
        </w:rPr>
        <w:t xml:space="preserve"> (pp. 178–191). IGI Global.</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Mirza, F. M., &amp; Fatima, N. (2016). Drivers of energy intensity in Pakistan: an assessment using index decomposition methods. </w:t>
      </w:r>
      <w:r w:rsidRPr="00B6303E">
        <w:rPr>
          <w:rFonts w:ascii="Times New Roman" w:hAnsi="Times New Roman"/>
          <w:i/>
          <w:iCs/>
          <w:sz w:val="20"/>
          <w:szCs w:val="20"/>
        </w:rPr>
        <w:t>Pakistan Business Review</w:t>
      </w:r>
      <w:r w:rsidRPr="00B6303E">
        <w:rPr>
          <w:rFonts w:ascii="Times New Roman" w:hAnsi="Times New Roman"/>
          <w:sz w:val="20"/>
          <w:szCs w:val="20"/>
        </w:rPr>
        <w:t xml:space="preserve">, </w:t>
      </w:r>
      <w:r w:rsidRPr="00B6303E">
        <w:rPr>
          <w:rFonts w:ascii="Times New Roman" w:hAnsi="Times New Roman"/>
          <w:i/>
          <w:iCs/>
          <w:sz w:val="20"/>
          <w:szCs w:val="20"/>
        </w:rPr>
        <w:t>17</w:t>
      </w:r>
      <w:r w:rsidRPr="00B6303E">
        <w:rPr>
          <w:rFonts w:ascii="Times New Roman" w:hAnsi="Times New Roman"/>
          <w:sz w:val="20"/>
          <w:szCs w:val="20"/>
        </w:rPr>
        <w:t>(4).</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Mirza, F. M., Fatima, N., &amp; Ullah, K. (2019). Impact of China-Pakistan economic corridor on Pakistan’s future energy consumption and energy saving potential: Evidence from sectoral time series analysis. </w:t>
      </w:r>
      <w:r w:rsidRPr="00B6303E">
        <w:rPr>
          <w:rFonts w:ascii="Times New Roman" w:hAnsi="Times New Roman"/>
          <w:i/>
          <w:iCs/>
          <w:sz w:val="20"/>
          <w:szCs w:val="20"/>
        </w:rPr>
        <w:t>Energy Strategy Reviews</w:t>
      </w:r>
      <w:r w:rsidRPr="00B6303E">
        <w:rPr>
          <w:rFonts w:ascii="Times New Roman" w:hAnsi="Times New Roman"/>
          <w:sz w:val="20"/>
          <w:szCs w:val="20"/>
        </w:rPr>
        <w:t xml:space="preserve">, </w:t>
      </w:r>
      <w:r w:rsidRPr="00B6303E">
        <w:rPr>
          <w:rFonts w:ascii="Times New Roman" w:hAnsi="Times New Roman"/>
          <w:i/>
          <w:iCs/>
          <w:sz w:val="20"/>
          <w:szCs w:val="20"/>
        </w:rPr>
        <w:t>25</w:t>
      </w:r>
      <w:r w:rsidRPr="00B6303E">
        <w:rPr>
          <w:rFonts w:ascii="Times New Roman" w:hAnsi="Times New Roman"/>
          <w:sz w:val="20"/>
          <w:szCs w:val="20"/>
        </w:rPr>
        <w:t>(March), 34–46. https://doi.org/10.1016/j.esr.2019.04.015</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MOP. (2015). Pakistan 2025-One nation-One vision. In </w:t>
      </w:r>
      <w:r w:rsidRPr="00B6303E">
        <w:rPr>
          <w:rFonts w:ascii="Times New Roman" w:hAnsi="Times New Roman"/>
          <w:i/>
          <w:iCs/>
          <w:sz w:val="20"/>
          <w:szCs w:val="20"/>
        </w:rPr>
        <w:t>Ministry of Planning, Development &amp; Reform, Government of Pakistan. Islamabad</w:t>
      </w:r>
      <w:r w:rsidRPr="00B6303E">
        <w:rPr>
          <w:rFonts w:ascii="Times New Roman" w:hAnsi="Times New Roman"/>
          <w:sz w:val="20"/>
          <w:szCs w:val="20"/>
        </w:rPr>
        <w:t>.</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Mudakkar, S. R., Zaman, K., Shakir, H., Arif, M., Naseem, I., &amp; Naz, L. (2013). Determinants of energy consumption function in SAARC countries: Balancing the odds. </w:t>
      </w:r>
      <w:r w:rsidRPr="00B6303E">
        <w:rPr>
          <w:rFonts w:ascii="Times New Roman" w:hAnsi="Times New Roman"/>
          <w:i/>
          <w:iCs/>
          <w:sz w:val="20"/>
          <w:szCs w:val="20"/>
        </w:rPr>
        <w:t>Renewable and Sustainable Energy Reviews</w:t>
      </w:r>
      <w:r w:rsidRPr="00B6303E">
        <w:rPr>
          <w:rFonts w:ascii="Times New Roman" w:hAnsi="Times New Roman"/>
          <w:sz w:val="20"/>
          <w:szCs w:val="20"/>
        </w:rPr>
        <w:t xml:space="preserve">, </w:t>
      </w:r>
      <w:r w:rsidRPr="00B6303E">
        <w:rPr>
          <w:rFonts w:ascii="Times New Roman" w:hAnsi="Times New Roman"/>
          <w:i/>
          <w:iCs/>
          <w:sz w:val="20"/>
          <w:szCs w:val="20"/>
        </w:rPr>
        <w:t>28</w:t>
      </w:r>
      <w:r w:rsidRPr="00B6303E">
        <w:rPr>
          <w:rFonts w:ascii="Times New Roman" w:hAnsi="Times New Roman"/>
          <w:sz w:val="20"/>
          <w:szCs w:val="20"/>
        </w:rPr>
        <w:t>, 566–574.</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Noor, S., Shah, S. M. A., Khan, S. M., &amp; Ali, S. F. (2008). Pakistan’s Foreign Policy: Quarterly Survey: July—September 2008. In </w:t>
      </w:r>
      <w:r w:rsidRPr="00B6303E">
        <w:rPr>
          <w:rFonts w:ascii="Times New Roman" w:hAnsi="Times New Roman"/>
          <w:i/>
          <w:iCs/>
          <w:sz w:val="20"/>
          <w:szCs w:val="20"/>
        </w:rPr>
        <w:t>Pakistan Horizon</w:t>
      </w:r>
      <w:r w:rsidRPr="00B6303E">
        <w:rPr>
          <w:rFonts w:ascii="Times New Roman" w:hAnsi="Times New Roman"/>
          <w:sz w:val="20"/>
          <w:szCs w:val="20"/>
        </w:rPr>
        <w:t xml:space="preserve"> (Vol. 61, Issue 4). JSTOR.</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NTDC. (2011). National Power System Expansion Plan (2011–2030). Final Report. . </w:t>
      </w:r>
      <w:r w:rsidRPr="00B6303E">
        <w:rPr>
          <w:rFonts w:ascii="Times New Roman" w:hAnsi="Times New Roman"/>
          <w:i/>
          <w:iCs/>
          <w:sz w:val="20"/>
          <w:szCs w:val="20"/>
        </w:rPr>
        <w:t>NTDC National Transmission and Dispatch Company</w:t>
      </w:r>
      <w:r w:rsidRPr="00B6303E">
        <w:rPr>
          <w:rFonts w:ascii="Times New Roman" w:hAnsi="Times New Roman"/>
          <w:sz w:val="20"/>
          <w:szCs w:val="20"/>
        </w:rPr>
        <w:t xml:space="preserve">, </w:t>
      </w:r>
      <w:r w:rsidRPr="00B6303E">
        <w:rPr>
          <w:rFonts w:ascii="Times New Roman" w:hAnsi="Times New Roman"/>
          <w:i/>
          <w:iCs/>
          <w:sz w:val="20"/>
          <w:szCs w:val="20"/>
        </w:rPr>
        <w:t>Final Repo</w:t>
      </w:r>
      <w:r w:rsidRPr="00B6303E">
        <w:rPr>
          <w:rFonts w:ascii="Times New Roman" w:hAnsi="Times New Roman"/>
          <w:sz w:val="20"/>
          <w:szCs w:val="20"/>
        </w:rPr>
        <w:t>, 32. http://www.ntdc.com.pk/CurrentProjects.php</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NTDC. (2020). </w:t>
      </w:r>
      <w:r w:rsidRPr="00B6303E">
        <w:rPr>
          <w:rFonts w:ascii="Times New Roman" w:hAnsi="Times New Roman"/>
          <w:i/>
          <w:iCs/>
          <w:sz w:val="20"/>
          <w:szCs w:val="20"/>
        </w:rPr>
        <w:t>NATIONAL TRANSMISSION &amp; DESPATCH COMPANY LIMITED (NTDC) PAKISTAN</w:t>
      </w:r>
      <w:r w:rsidRPr="00B6303E">
        <w:rPr>
          <w:rFonts w:ascii="Times New Roman" w:hAnsi="Times New Roman"/>
          <w:sz w:val="20"/>
          <w:szCs w:val="20"/>
        </w:rPr>
        <w:t>. https://ntdc.gov.pk/careers</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Rafiq, A. (2016). CPEC &amp; related projects: CPEC projects. </w:t>
      </w:r>
      <w:r w:rsidRPr="00B6303E">
        <w:rPr>
          <w:rFonts w:ascii="Times New Roman" w:hAnsi="Times New Roman"/>
          <w:i/>
          <w:iCs/>
          <w:sz w:val="20"/>
          <w:szCs w:val="20"/>
        </w:rPr>
        <w:t xml:space="preserve">Proceedings of the International Academic Symposium on China-Pakistan Economic Corridor, Beijing, </w:t>
      </w:r>
      <w:r w:rsidRPr="00B6303E">
        <w:rPr>
          <w:rFonts w:ascii="Times New Roman" w:hAnsi="Times New Roman"/>
          <w:i/>
          <w:iCs/>
          <w:sz w:val="20"/>
          <w:szCs w:val="20"/>
        </w:rPr>
        <w:lastRenderedPageBreak/>
        <w:t>China</w:t>
      </w:r>
      <w:r w:rsidRPr="00B6303E">
        <w:rPr>
          <w:rFonts w:ascii="Times New Roman" w:hAnsi="Times New Roman"/>
          <w:sz w:val="20"/>
          <w:szCs w:val="20"/>
        </w:rPr>
        <w:t xml:space="preserve">, </w:t>
      </w:r>
      <w:r w:rsidRPr="00B6303E">
        <w:rPr>
          <w:rFonts w:ascii="Times New Roman" w:hAnsi="Times New Roman"/>
          <w:i/>
          <w:iCs/>
          <w:sz w:val="20"/>
          <w:szCs w:val="20"/>
        </w:rPr>
        <w:t>5</w:t>
      </w:r>
      <w:r w:rsidRPr="00B6303E">
        <w:rPr>
          <w:rFonts w:ascii="Times New Roman" w:hAnsi="Times New Roman"/>
          <w:sz w:val="20"/>
          <w:szCs w:val="20"/>
        </w:rPr>
        <w:t>.</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Raskin, P. D. (1995). Methods for estimating the population contribution to environmental change. </w:t>
      </w:r>
      <w:r w:rsidRPr="00B6303E">
        <w:rPr>
          <w:rFonts w:ascii="Times New Roman" w:hAnsi="Times New Roman"/>
          <w:i/>
          <w:iCs/>
          <w:sz w:val="20"/>
          <w:szCs w:val="20"/>
        </w:rPr>
        <w:t>Ecological Economics</w:t>
      </w:r>
      <w:r w:rsidRPr="00B6303E">
        <w:rPr>
          <w:rFonts w:ascii="Times New Roman" w:hAnsi="Times New Roman"/>
          <w:sz w:val="20"/>
          <w:szCs w:val="20"/>
        </w:rPr>
        <w:t xml:space="preserve">, </w:t>
      </w:r>
      <w:r w:rsidRPr="00B6303E">
        <w:rPr>
          <w:rFonts w:ascii="Times New Roman" w:hAnsi="Times New Roman"/>
          <w:i/>
          <w:iCs/>
          <w:sz w:val="20"/>
          <w:szCs w:val="20"/>
        </w:rPr>
        <w:t>15</w:t>
      </w:r>
      <w:r w:rsidRPr="00B6303E">
        <w:rPr>
          <w:rFonts w:ascii="Times New Roman" w:hAnsi="Times New Roman"/>
          <w:sz w:val="20"/>
          <w:szCs w:val="20"/>
        </w:rPr>
        <w:t>(3), 225–233.</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Raza, H., Mohiuddin, Z. A., Zaidi, S. S. Z., &amp; Osama, A. (2018). CPEC: Pakistan-China Cordial Ties-A Boost to Pakistan’s Economy. </w:t>
      </w:r>
      <w:r w:rsidRPr="00B6303E">
        <w:rPr>
          <w:rFonts w:ascii="Times New Roman" w:hAnsi="Times New Roman"/>
          <w:i/>
          <w:iCs/>
          <w:sz w:val="20"/>
          <w:szCs w:val="20"/>
        </w:rPr>
        <w:t>Journal of Accounting, Business and Finance Research</w:t>
      </w:r>
      <w:r w:rsidRPr="00B6303E">
        <w:rPr>
          <w:rFonts w:ascii="Times New Roman" w:hAnsi="Times New Roman"/>
          <w:sz w:val="20"/>
          <w:szCs w:val="20"/>
        </w:rPr>
        <w:t xml:space="preserve">, </w:t>
      </w:r>
      <w:r w:rsidRPr="00B6303E">
        <w:rPr>
          <w:rFonts w:ascii="Times New Roman" w:hAnsi="Times New Roman"/>
          <w:i/>
          <w:iCs/>
          <w:sz w:val="20"/>
          <w:szCs w:val="20"/>
        </w:rPr>
        <w:t>2</w:t>
      </w:r>
      <w:r w:rsidRPr="00B6303E">
        <w:rPr>
          <w:rFonts w:ascii="Times New Roman" w:hAnsi="Times New Roman"/>
          <w:sz w:val="20"/>
          <w:szCs w:val="20"/>
        </w:rPr>
        <w:t>(1), 1–6.</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Raza, S. A., Shahbaz, M., &amp; Nguyen, D. K. (2015). Energy conservation policies, growth and trade performance: Evidence of feedback hypothesis in Pakistan. </w:t>
      </w:r>
      <w:r w:rsidRPr="00B6303E">
        <w:rPr>
          <w:rFonts w:ascii="Times New Roman" w:hAnsi="Times New Roman"/>
          <w:i/>
          <w:iCs/>
          <w:sz w:val="20"/>
          <w:szCs w:val="20"/>
        </w:rPr>
        <w:t>Energy Policy</w:t>
      </w:r>
      <w:r w:rsidRPr="00B6303E">
        <w:rPr>
          <w:rFonts w:ascii="Times New Roman" w:hAnsi="Times New Roman"/>
          <w:sz w:val="20"/>
          <w:szCs w:val="20"/>
        </w:rPr>
        <w:t xml:space="preserve">, </w:t>
      </w:r>
      <w:r w:rsidRPr="00B6303E">
        <w:rPr>
          <w:rFonts w:ascii="Times New Roman" w:hAnsi="Times New Roman"/>
          <w:i/>
          <w:iCs/>
          <w:sz w:val="20"/>
          <w:szCs w:val="20"/>
        </w:rPr>
        <w:t>80</w:t>
      </w:r>
      <w:r w:rsidRPr="00B6303E">
        <w:rPr>
          <w:rFonts w:ascii="Times New Roman" w:hAnsi="Times New Roman"/>
          <w:sz w:val="20"/>
          <w:szCs w:val="20"/>
        </w:rPr>
        <w:t>, 1–10.</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Rizvi, J. (2015). </w:t>
      </w:r>
      <w:r w:rsidRPr="00B6303E">
        <w:rPr>
          <w:rFonts w:ascii="Times New Roman" w:hAnsi="Times New Roman"/>
          <w:i/>
          <w:iCs/>
          <w:sz w:val="20"/>
          <w:szCs w:val="20"/>
        </w:rPr>
        <w:t>Demystifying Pakistan’s energy crisis</w:t>
      </w:r>
      <w:r w:rsidRPr="00B6303E">
        <w:rPr>
          <w:rFonts w:ascii="Times New Roman" w:hAnsi="Times New Roman"/>
          <w:sz w:val="20"/>
          <w:szCs w:val="20"/>
        </w:rPr>
        <w:t>. MIT Technology Review (Pakistan).</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Sadorsky, P. (2011). Trade and energy consumption in the Middle East. </w:t>
      </w:r>
      <w:r w:rsidRPr="00B6303E">
        <w:rPr>
          <w:rFonts w:ascii="Times New Roman" w:hAnsi="Times New Roman"/>
          <w:i/>
          <w:iCs/>
          <w:sz w:val="20"/>
          <w:szCs w:val="20"/>
        </w:rPr>
        <w:t>Energy Economics</w:t>
      </w:r>
      <w:r w:rsidRPr="00B6303E">
        <w:rPr>
          <w:rFonts w:ascii="Times New Roman" w:hAnsi="Times New Roman"/>
          <w:sz w:val="20"/>
          <w:szCs w:val="20"/>
        </w:rPr>
        <w:t xml:space="preserve">, </w:t>
      </w:r>
      <w:r w:rsidRPr="00B6303E">
        <w:rPr>
          <w:rFonts w:ascii="Times New Roman" w:hAnsi="Times New Roman"/>
          <w:i/>
          <w:iCs/>
          <w:sz w:val="20"/>
          <w:szCs w:val="20"/>
        </w:rPr>
        <w:t>33</w:t>
      </w:r>
      <w:r w:rsidRPr="00B6303E">
        <w:rPr>
          <w:rFonts w:ascii="Times New Roman" w:hAnsi="Times New Roman"/>
          <w:sz w:val="20"/>
          <w:szCs w:val="20"/>
        </w:rPr>
        <w:t>(5), 739–749.</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i/>
          <w:iCs/>
          <w:sz w:val="20"/>
          <w:szCs w:val="20"/>
        </w:rPr>
        <w:t>SBP</w:t>
      </w:r>
      <w:r w:rsidRPr="00B6303E">
        <w:rPr>
          <w:rFonts w:ascii="Times New Roman" w:hAnsi="Times New Roman"/>
          <w:sz w:val="20"/>
          <w:szCs w:val="20"/>
        </w:rPr>
        <w:t>. (2014). State Bank of Pakistan. https://www.sbp.org.pk/reports/annual/arFY14/Anul-index-eng-14.htm</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Shaalan, H. E. (2003). Generation of electric power. </w:t>
      </w:r>
      <w:r w:rsidRPr="00B6303E">
        <w:rPr>
          <w:rFonts w:ascii="Times New Roman" w:hAnsi="Times New Roman"/>
          <w:i/>
          <w:iCs/>
          <w:sz w:val="20"/>
          <w:szCs w:val="20"/>
        </w:rPr>
        <w:t>Handbook of Electric Power Calculations</w:t>
      </w:r>
      <w:r w:rsidRPr="00B6303E">
        <w:rPr>
          <w:rFonts w:ascii="Times New Roman" w:hAnsi="Times New Roman"/>
          <w:sz w:val="20"/>
          <w:szCs w:val="20"/>
        </w:rPr>
        <w:t>, 1–38.</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Spinney, P. J., &amp; Watkins, G. C. (1996). Monte Carlo simulation techniques and electric utility resource decisions. </w:t>
      </w:r>
      <w:r w:rsidRPr="00B6303E">
        <w:rPr>
          <w:rFonts w:ascii="Times New Roman" w:hAnsi="Times New Roman"/>
          <w:i/>
          <w:iCs/>
          <w:sz w:val="20"/>
          <w:szCs w:val="20"/>
        </w:rPr>
        <w:t>Energy Policy</w:t>
      </w:r>
      <w:r w:rsidRPr="00B6303E">
        <w:rPr>
          <w:rFonts w:ascii="Times New Roman" w:hAnsi="Times New Roman"/>
          <w:sz w:val="20"/>
          <w:szCs w:val="20"/>
        </w:rPr>
        <w:t xml:space="preserve">, </w:t>
      </w:r>
      <w:r w:rsidRPr="00B6303E">
        <w:rPr>
          <w:rFonts w:ascii="Times New Roman" w:hAnsi="Times New Roman"/>
          <w:i/>
          <w:iCs/>
          <w:sz w:val="20"/>
          <w:szCs w:val="20"/>
        </w:rPr>
        <w:t>24</w:t>
      </w:r>
      <w:r w:rsidRPr="00B6303E">
        <w:rPr>
          <w:rFonts w:ascii="Times New Roman" w:hAnsi="Times New Roman"/>
          <w:sz w:val="20"/>
          <w:szCs w:val="20"/>
        </w:rPr>
        <w:t>(2), 155–163.</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Tang, C. F., &amp; Tan, B. W. (2014). The linkages among energy consumption, economic growth, relative price, foreign direct investment, and financial development in Malaysia. </w:t>
      </w:r>
      <w:r w:rsidRPr="00B6303E">
        <w:rPr>
          <w:rFonts w:ascii="Times New Roman" w:hAnsi="Times New Roman"/>
          <w:i/>
          <w:iCs/>
          <w:sz w:val="20"/>
          <w:szCs w:val="20"/>
        </w:rPr>
        <w:t>Quality &amp; Quantity</w:t>
      </w:r>
      <w:r w:rsidRPr="00B6303E">
        <w:rPr>
          <w:rFonts w:ascii="Times New Roman" w:hAnsi="Times New Roman"/>
          <w:sz w:val="20"/>
          <w:szCs w:val="20"/>
        </w:rPr>
        <w:t xml:space="preserve">, </w:t>
      </w:r>
      <w:r w:rsidRPr="00B6303E">
        <w:rPr>
          <w:rFonts w:ascii="Times New Roman" w:hAnsi="Times New Roman"/>
          <w:i/>
          <w:iCs/>
          <w:sz w:val="20"/>
          <w:szCs w:val="20"/>
        </w:rPr>
        <w:t>48</w:t>
      </w:r>
      <w:r w:rsidRPr="00B6303E">
        <w:rPr>
          <w:rFonts w:ascii="Times New Roman" w:hAnsi="Times New Roman"/>
          <w:sz w:val="20"/>
          <w:szCs w:val="20"/>
        </w:rPr>
        <w:t>(2), 781–797.</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Today, P. (2014). Pakistan, China to collaborate in 21,690 MW projects under CPEC. </w:t>
      </w:r>
      <w:r w:rsidRPr="00B6303E">
        <w:rPr>
          <w:rFonts w:ascii="Times New Roman" w:hAnsi="Times New Roman"/>
          <w:i/>
          <w:iCs/>
          <w:sz w:val="20"/>
          <w:szCs w:val="20"/>
        </w:rPr>
        <w:t>April 15th</w:t>
      </w:r>
      <w:r w:rsidRPr="00B6303E">
        <w:rPr>
          <w:rFonts w:ascii="Times New Roman" w:hAnsi="Times New Roman"/>
          <w:sz w:val="20"/>
          <w:szCs w:val="20"/>
        </w:rPr>
        <w:t>.</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lastRenderedPageBreak/>
        <w:t xml:space="preserve">Vithayasrichareon, P., &amp; MacGill, I. F. (2012). A Monte Carlo based decision-support tool for assessing generation portfolios in future carbon constrained electricity industries. </w:t>
      </w:r>
      <w:r w:rsidRPr="00B6303E">
        <w:rPr>
          <w:rFonts w:ascii="Times New Roman" w:hAnsi="Times New Roman"/>
          <w:i/>
          <w:iCs/>
          <w:sz w:val="20"/>
          <w:szCs w:val="20"/>
        </w:rPr>
        <w:t>Energy Policy</w:t>
      </w:r>
      <w:r w:rsidRPr="00B6303E">
        <w:rPr>
          <w:rFonts w:ascii="Times New Roman" w:hAnsi="Times New Roman"/>
          <w:sz w:val="20"/>
          <w:szCs w:val="20"/>
        </w:rPr>
        <w:t xml:space="preserve">, </w:t>
      </w:r>
      <w:r w:rsidRPr="00B6303E">
        <w:rPr>
          <w:rFonts w:ascii="Times New Roman" w:hAnsi="Times New Roman"/>
          <w:i/>
          <w:iCs/>
          <w:sz w:val="20"/>
          <w:szCs w:val="20"/>
        </w:rPr>
        <w:t>41</w:t>
      </w:r>
      <w:r w:rsidRPr="00B6303E">
        <w:rPr>
          <w:rFonts w:ascii="Times New Roman" w:hAnsi="Times New Roman"/>
          <w:sz w:val="20"/>
          <w:szCs w:val="20"/>
        </w:rPr>
        <w:t>, 374–392.</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Wahid, F., Khattak, N., &amp; Ve Ali, S. (2015). The determinants and forecasting of coal consumption in Pakistan. </w:t>
      </w:r>
      <w:r w:rsidRPr="00B6303E">
        <w:rPr>
          <w:rFonts w:ascii="Times New Roman" w:hAnsi="Times New Roman"/>
          <w:i/>
          <w:iCs/>
          <w:sz w:val="20"/>
          <w:szCs w:val="20"/>
        </w:rPr>
        <w:t>J Energy Technol Policy</w:t>
      </w:r>
      <w:r w:rsidRPr="00B6303E">
        <w:rPr>
          <w:rFonts w:ascii="Times New Roman" w:hAnsi="Times New Roman"/>
          <w:sz w:val="20"/>
          <w:szCs w:val="20"/>
        </w:rPr>
        <w:t xml:space="preserve">, </w:t>
      </w:r>
      <w:r w:rsidRPr="00B6303E">
        <w:rPr>
          <w:rFonts w:ascii="Times New Roman" w:hAnsi="Times New Roman"/>
          <w:i/>
          <w:iCs/>
          <w:sz w:val="20"/>
          <w:szCs w:val="20"/>
        </w:rPr>
        <w:t>5</w:t>
      </w:r>
      <w:r w:rsidRPr="00B6303E">
        <w:rPr>
          <w:rFonts w:ascii="Times New Roman" w:hAnsi="Times New Roman"/>
          <w:sz w:val="20"/>
          <w:szCs w:val="20"/>
        </w:rPr>
        <w:t>, 55–61.</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Yearbook, P. E. (2014). Hydrocarbon Development Institute. </w:t>
      </w:r>
      <w:r w:rsidRPr="00B6303E">
        <w:rPr>
          <w:rFonts w:ascii="Times New Roman" w:hAnsi="Times New Roman"/>
          <w:i/>
          <w:iCs/>
          <w:sz w:val="20"/>
          <w:szCs w:val="20"/>
        </w:rPr>
        <w:t>Ministry of Petroleum &amp; Natural Resource. Government of Pakistan, Islamabad. Available at:Https://Www.Hdip.Com.Pk/.</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Zahid, R. M. A., &amp; Rashid, A. (2018). </w:t>
      </w:r>
      <w:r w:rsidRPr="00B6303E">
        <w:rPr>
          <w:rFonts w:ascii="Times New Roman" w:hAnsi="Times New Roman"/>
          <w:i/>
          <w:iCs/>
          <w:sz w:val="20"/>
          <w:szCs w:val="20"/>
        </w:rPr>
        <w:t>IMPACT OF CPEC ENERGY PROJECTS ON SOCIO-ECONOMIC DEVELOPMENT OF PAKISTAN Analysis of energy related household consumer preferences, awareness and behaviors in Pakistan View project One Belt One Road Initiative View project</w:t>
      </w:r>
      <w:r w:rsidRPr="00B6303E">
        <w:rPr>
          <w:rFonts w:ascii="Times New Roman" w:hAnsi="Times New Roman"/>
          <w:sz w:val="20"/>
          <w:szCs w:val="20"/>
        </w:rPr>
        <w:t xml:space="preserve">. </w:t>
      </w:r>
      <w:r w:rsidRPr="00B6303E">
        <w:rPr>
          <w:rFonts w:ascii="Times New Roman" w:hAnsi="Times New Roman"/>
          <w:i/>
          <w:iCs/>
          <w:sz w:val="20"/>
          <w:szCs w:val="20"/>
        </w:rPr>
        <w:t>November</w:t>
      </w:r>
      <w:r w:rsidRPr="00B6303E">
        <w:rPr>
          <w:rFonts w:ascii="Times New Roman" w:hAnsi="Times New Roman"/>
          <w:sz w:val="20"/>
          <w:szCs w:val="20"/>
        </w:rPr>
        <w:t>. https://www.researchgate.net/publication/329799370</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Zaman, K., Khan, M. M., Ahmad, M., &amp; Rustam, R. (2012). Determinants of electricity consumption function in Pakistan: Old wine in a new bottle. </w:t>
      </w:r>
      <w:r w:rsidRPr="00B6303E">
        <w:rPr>
          <w:rFonts w:ascii="Times New Roman" w:hAnsi="Times New Roman"/>
          <w:i/>
          <w:iCs/>
          <w:sz w:val="20"/>
          <w:szCs w:val="20"/>
        </w:rPr>
        <w:t>Energy Policy</w:t>
      </w:r>
      <w:r w:rsidRPr="00B6303E">
        <w:rPr>
          <w:rFonts w:ascii="Times New Roman" w:hAnsi="Times New Roman"/>
          <w:sz w:val="20"/>
          <w:szCs w:val="20"/>
        </w:rPr>
        <w:t xml:space="preserve">, </w:t>
      </w:r>
      <w:r w:rsidRPr="00B6303E">
        <w:rPr>
          <w:rFonts w:ascii="Times New Roman" w:hAnsi="Times New Roman"/>
          <w:i/>
          <w:iCs/>
          <w:sz w:val="20"/>
          <w:szCs w:val="20"/>
        </w:rPr>
        <w:t>50</w:t>
      </w:r>
      <w:r w:rsidRPr="00B6303E">
        <w:rPr>
          <w:rFonts w:ascii="Times New Roman" w:hAnsi="Times New Roman"/>
          <w:sz w:val="20"/>
          <w:szCs w:val="20"/>
        </w:rPr>
        <w:t>, 623–634.</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Zheng, H., Hu, J., Guan, R., &amp; Wang, S. (2016). Examining determinants of CO2 emissions in 73 cities in China. </w:t>
      </w:r>
      <w:r w:rsidRPr="00B6303E">
        <w:rPr>
          <w:rFonts w:ascii="Times New Roman" w:hAnsi="Times New Roman"/>
          <w:i/>
          <w:iCs/>
          <w:sz w:val="20"/>
          <w:szCs w:val="20"/>
        </w:rPr>
        <w:t>Sustainability</w:t>
      </w:r>
      <w:r w:rsidRPr="00B6303E">
        <w:rPr>
          <w:rFonts w:ascii="Times New Roman" w:hAnsi="Times New Roman"/>
          <w:sz w:val="20"/>
          <w:szCs w:val="20"/>
        </w:rPr>
        <w:t xml:space="preserve">, </w:t>
      </w:r>
      <w:r w:rsidRPr="00B6303E">
        <w:rPr>
          <w:rFonts w:ascii="Times New Roman" w:hAnsi="Times New Roman"/>
          <w:i/>
          <w:iCs/>
          <w:sz w:val="20"/>
          <w:szCs w:val="20"/>
        </w:rPr>
        <w:t>8</w:t>
      </w:r>
      <w:r w:rsidRPr="00B6303E">
        <w:rPr>
          <w:rFonts w:ascii="Times New Roman" w:hAnsi="Times New Roman"/>
          <w:sz w:val="20"/>
          <w:szCs w:val="20"/>
        </w:rPr>
        <w:t>(12), 1296.</w:t>
      </w:r>
    </w:p>
    <w:p w:rsidR="00463622" w:rsidRPr="00B6303E" w:rsidRDefault="00CA01A3" w:rsidP="00E82F77">
      <w:pPr>
        <w:widowControl w:val="0"/>
        <w:numPr>
          <w:ilvl w:val="0"/>
          <w:numId w:val="6"/>
        </w:numPr>
        <w:autoSpaceDE w:val="0"/>
        <w:autoSpaceDN w:val="0"/>
        <w:adjustRightInd w:val="0"/>
        <w:snapToGrid w:val="0"/>
        <w:spacing w:after="0" w:line="240" w:lineRule="auto"/>
        <w:ind w:leftChars="65" w:left="709" w:hangingChars="283" w:hanging="566"/>
        <w:jc w:val="both"/>
        <w:rPr>
          <w:rFonts w:ascii="Times New Roman" w:hAnsi="Times New Roman"/>
          <w:sz w:val="20"/>
          <w:szCs w:val="20"/>
        </w:rPr>
      </w:pPr>
      <w:r w:rsidRPr="00B6303E">
        <w:rPr>
          <w:rFonts w:ascii="Times New Roman" w:hAnsi="Times New Roman"/>
          <w:sz w:val="20"/>
          <w:szCs w:val="20"/>
        </w:rPr>
        <w:t xml:space="preserve">Zhou, Y., Hao, F., Meng, W., &amp; Fu, J. (2014). Scenario analysis of energy-based low-carbon development in China. </w:t>
      </w:r>
      <w:r w:rsidRPr="00B6303E">
        <w:rPr>
          <w:rFonts w:ascii="Times New Roman" w:hAnsi="Times New Roman"/>
          <w:i/>
          <w:iCs/>
          <w:sz w:val="20"/>
          <w:szCs w:val="20"/>
        </w:rPr>
        <w:t>Journal of Environmental Sciences</w:t>
      </w:r>
      <w:r w:rsidRPr="00B6303E">
        <w:rPr>
          <w:rFonts w:ascii="Times New Roman" w:hAnsi="Times New Roman"/>
          <w:sz w:val="20"/>
          <w:szCs w:val="20"/>
        </w:rPr>
        <w:t xml:space="preserve">, </w:t>
      </w:r>
      <w:r w:rsidRPr="00B6303E">
        <w:rPr>
          <w:rFonts w:ascii="Times New Roman" w:hAnsi="Times New Roman"/>
          <w:i/>
          <w:iCs/>
          <w:sz w:val="20"/>
          <w:szCs w:val="20"/>
        </w:rPr>
        <w:t>26</w:t>
      </w:r>
      <w:r w:rsidRPr="00B6303E">
        <w:rPr>
          <w:rFonts w:ascii="Times New Roman" w:hAnsi="Times New Roman"/>
          <w:sz w:val="20"/>
          <w:szCs w:val="20"/>
        </w:rPr>
        <w:t>(8), 1631–1640.</w:t>
      </w:r>
    </w:p>
    <w:p w:rsidR="00B6303E" w:rsidRPr="00B6303E" w:rsidRDefault="00A77D41" w:rsidP="00E82F77">
      <w:pPr>
        <w:adjustRightInd w:val="0"/>
        <w:snapToGrid w:val="0"/>
        <w:spacing w:after="0" w:line="240" w:lineRule="auto"/>
        <w:ind w:leftChars="65" w:left="709" w:hangingChars="283" w:hanging="566"/>
        <w:jc w:val="both"/>
        <w:rPr>
          <w:rFonts w:ascii="Times New Roman" w:eastAsiaTheme="minorEastAsia" w:hAnsi="Times New Roman"/>
          <w:sz w:val="20"/>
          <w:szCs w:val="20"/>
          <w:lang w:eastAsia="zh-CN"/>
        </w:rPr>
      </w:pPr>
      <w:r w:rsidRPr="00B6303E">
        <w:rPr>
          <w:rFonts w:ascii="Times New Roman" w:hAnsi="Times New Roman"/>
          <w:sz w:val="20"/>
          <w:szCs w:val="20"/>
        </w:rPr>
        <w:fldChar w:fldCharType="end"/>
      </w:r>
    </w:p>
    <w:p w:rsidR="00B6303E" w:rsidRPr="00B6303E" w:rsidRDefault="00B6303E" w:rsidP="00E82F77">
      <w:pPr>
        <w:adjustRightInd w:val="0"/>
        <w:snapToGrid w:val="0"/>
        <w:spacing w:after="0" w:line="240" w:lineRule="auto"/>
        <w:jc w:val="both"/>
        <w:rPr>
          <w:rFonts w:ascii="Times New Roman" w:eastAsiaTheme="minorEastAsia" w:hAnsi="Times New Roman"/>
          <w:sz w:val="20"/>
          <w:szCs w:val="20"/>
          <w:lang w:eastAsia="zh-CN"/>
        </w:rPr>
        <w:sectPr w:rsidR="00B6303E" w:rsidRPr="00B6303E" w:rsidSect="00463622">
          <w:type w:val="continuous"/>
          <w:pgSz w:w="12240" w:h="15840"/>
          <w:pgMar w:top="1440" w:right="1440" w:bottom="1440" w:left="1440" w:header="720" w:footer="720" w:gutter="0"/>
          <w:cols w:num="2" w:space="720"/>
          <w:docGrid w:linePitch="360"/>
        </w:sectPr>
      </w:pPr>
    </w:p>
    <w:p w:rsidR="00463622" w:rsidRPr="00B6303E" w:rsidRDefault="00463622" w:rsidP="00E82F77">
      <w:pPr>
        <w:adjustRightInd w:val="0"/>
        <w:snapToGrid w:val="0"/>
        <w:spacing w:after="0" w:line="240" w:lineRule="auto"/>
        <w:jc w:val="both"/>
        <w:rPr>
          <w:rFonts w:ascii="Times New Roman" w:eastAsiaTheme="minorEastAsia" w:hAnsi="Times New Roman"/>
          <w:sz w:val="20"/>
          <w:szCs w:val="20"/>
          <w:lang w:eastAsia="zh-CN"/>
        </w:rPr>
      </w:pPr>
    </w:p>
    <w:p w:rsidR="00B6303E" w:rsidRPr="00B6303E" w:rsidRDefault="00B6303E" w:rsidP="00E82F77">
      <w:pPr>
        <w:adjustRightInd w:val="0"/>
        <w:snapToGrid w:val="0"/>
        <w:spacing w:after="0" w:line="240" w:lineRule="auto"/>
        <w:jc w:val="both"/>
        <w:rPr>
          <w:rFonts w:ascii="Times New Roman" w:eastAsiaTheme="minorEastAsia" w:hAnsi="Times New Roman"/>
          <w:sz w:val="20"/>
          <w:szCs w:val="20"/>
          <w:lang w:eastAsia="zh-CN"/>
        </w:rPr>
      </w:pPr>
    </w:p>
    <w:p w:rsidR="00B6303E" w:rsidRPr="00B6303E" w:rsidRDefault="00B6303E" w:rsidP="00E82F77">
      <w:pPr>
        <w:adjustRightInd w:val="0"/>
        <w:snapToGrid w:val="0"/>
        <w:spacing w:after="0" w:line="240" w:lineRule="auto"/>
        <w:jc w:val="both"/>
        <w:rPr>
          <w:rFonts w:ascii="Times New Roman" w:eastAsiaTheme="minorEastAsia" w:hAnsi="Times New Roman"/>
          <w:sz w:val="20"/>
          <w:szCs w:val="20"/>
          <w:lang w:eastAsia="zh-CN"/>
        </w:rPr>
      </w:pPr>
    </w:p>
    <w:p w:rsidR="00463622" w:rsidRPr="00B6303E" w:rsidRDefault="00B6303E" w:rsidP="00E82F77">
      <w:pPr>
        <w:pStyle w:val="ListParagraph"/>
        <w:adjustRightInd w:val="0"/>
        <w:snapToGrid w:val="0"/>
        <w:spacing w:after="0" w:line="240" w:lineRule="auto"/>
        <w:ind w:left="0"/>
        <w:contextualSpacing w:val="0"/>
        <w:jc w:val="both"/>
        <w:rPr>
          <w:rFonts w:ascii="Times New Roman" w:eastAsiaTheme="minorEastAsia" w:hAnsi="Times New Roman"/>
          <w:sz w:val="20"/>
          <w:szCs w:val="20"/>
          <w:lang w:eastAsia="zh-CN"/>
        </w:rPr>
      </w:pPr>
      <w:r w:rsidRPr="00B6303E">
        <w:rPr>
          <w:rFonts w:ascii="Times New Roman" w:eastAsiaTheme="minorEastAsia" w:hAnsi="Times New Roman" w:hint="eastAsia"/>
          <w:sz w:val="20"/>
          <w:szCs w:val="20"/>
          <w:lang w:eastAsia="zh-CN"/>
        </w:rPr>
        <w:t>9/11/2021</w:t>
      </w:r>
    </w:p>
    <w:sectPr w:rsidR="00463622" w:rsidRPr="00B6303E" w:rsidSect="00B6303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F3E" w:rsidRDefault="00CE2F3E" w:rsidP="00463622">
      <w:pPr>
        <w:spacing w:after="0" w:line="240" w:lineRule="auto"/>
      </w:pPr>
      <w:r>
        <w:separator/>
      </w:r>
    </w:p>
  </w:endnote>
  <w:endnote w:type="continuationSeparator" w:id="0">
    <w:p w:rsidR="00CE2F3E" w:rsidRDefault="00CE2F3E" w:rsidP="00463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线 Light">
    <w:altName w:val="微软雅黑"/>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77" w:rsidRDefault="00E82F77">
    <w:pPr>
      <w:jc w:val="center"/>
      <w:rPr>
        <w:rFonts w:eastAsiaTheme="minorEastAsia"/>
        <w:lang w:eastAsia="zh-CN"/>
      </w:rPr>
    </w:pPr>
  </w:p>
  <w:p w:rsidR="00E82F77" w:rsidRPr="00B6303E" w:rsidRDefault="00E82F77" w:rsidP="00B6303E">
    <w:pPr>
      <w:jc w:val="center"/>
      <w:rPr>
        <w:rFonts w:eastAsiaTheme="minorEastAsia"/>
        <w:sz w:val="24"/>
        <w:szCs w:val="24"/>
        <w:lang w:eastAsia="zh-CN"/>
      </w:rPr>
    </w:pPr>
    <w:r w:rsidRPr="00A77D41">
      <w:pict>
        <v:shapetype id="_x0000_t202" coordsize="21600,21600" o:spt="202" path="m,l,21600r21600,l21600,xe">
          <v:stroke joinstyle="miter"/>
          <v:path gradientshapeok="t" o:connecttype="rect"/>
        </v:shapetype>
        <v:shape id="_x0000_s2049" type="#_x0000_t202" style="position:absolute;left:0;text-align:left;margin-left:229pt;margin-top:13.5pt;width:2in;height:2in;z-index:251658240;mso-wrap-style:none;mso-position-horizontal-relative:margin" filled="f" stroked="f">
          <v:textbox style="mso-fit-shape-to-text:t" inset="0,0,0,0">
            <w:txbxContent>
              <w:p w:rsidR="00E82F77" w:rsidRDefault="00E82F77">
                <w:pPr>
                  <w:pStyle w:val="Footer"/>
                  <w:jc w:val="cen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F82E9D">
                  <w:rPr>
                    <w:rFonts w:ascii="Times New Roman" w:hAnsi="Times New Roman"/>
                    <w:noProof/>
                    <w:sz w:val="20"/>
                    <w:szCs w:val="20"/>
                  </w:rPr>
                  <w:t>52</w:t>
                </w:r>
                <w:r>
                  <w:rPr>
                    <w:rFonts w:ascii="Times New Roman" w:hAnsi="Times New Roman"/>
                    <w:sz w:val="20"/>
                    <w:szCs w:val="20"/>
                  </w:rPr>
                  <w:fldChar w:fldCharType="end"/>
                </w:r>
              </w:p>
            </w:txbxContent>
          </v:textbox>
          <w10:wrap anchorx="margin"/>
        </v:shape>
      </w:pict>
    </w:r>
    <w:hyperlink r:id="rId1" w:history="1">
      <w:r>
        <w:rPr>
          <w:rStyle w:val="Hyperlink"/>
          <w:rFonts w:cs="Calibri"/>
          <w:sz w:val="20"/>
          <w:szCs w:val="20"/>
        </w:rPr>
        <w:t>http://www.sciencepub.net</w:t>
      </w:r>
      <w:r>
        <w:rPr>
          <w:rStyle w:val="Hyperlink"/>
          <w:sz w:val="20"/>
          <w:szCs w:val="20"/>
        </w:rPr>
        <w:t>/newyork</w:t>
      </w:r>
    </w:hyperlink>
    <w:r>
      <w:rPr>
        <w:bCs/>
        <w:sz w:val="20"/>
      </w:rPr>
      <w:t xml:space="preserve">                        </w:t>
    </w:r>
    <w:r>
      <w:rPr>
        <w:bCs/>
        <w:sz w:val="20"/>
      </w:rPr>
      <w:tab/>
    </w:r>
    <w:r>
      <w:rPr>
        <w:bCs/>
        <w:sz w:val="20"/>
      </w:rPr>
      <w:tab/>
    </w:r>
    <w:r>
      <w:rPr>
        <w:bCs/>
        <w:sz w:val="20"/>
      </w:rPr>
      <w:tab/>
      <w:t xml:space="preserve">                   </w:t>
    </w:r>
    <w:bookmarkStart w:id="14" w:name="OLE_LINK12"/>
    <w:bookmarkStart w:id="15" w:name="OLE_LINK13"/>
    <w:r>
      <w:rPr>
        <w:bCs/>
        <w:sz w:val="20"/>
      </w:rPr>
      <w:fldChar w:fldCharType="begin"/>
    </w:r>
    <w:r>
      <w:rPr>
        <w:bCs/>
        <w:sz w:val="20"/>
      </w:rPr>
      <w:instrText xml:space="preserve"> HYPERLINK "mailto:newyorksci@gmail.com" </w:instrText>
    </w:r>
    <w:r>
      <w:rPr>
        <w:bCs/>
        <w:sz w:val="20"/>
      </w:rPr>
      <w:fldChar w:fldCharType="separate"/>
    </w:r>
    <w:r>
      <w:rPr>
        <w:rStyle w:val="Hyperlink"/>
        <w:bCs/>
        <w:sz w:val="20"/>
      </w:rPr>
      <w:t>newyorksci@gmail.com</w:t>
    </w:r>
    <w:bookmarkEnd w:id="14"/>
    <w:bookmarkEnd w:id="15"/>
    <w:r>
      <w:rPr>
        <w:bCs/>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77" w:rsidRDefault="00E82F77">
    <w:pPr>
      <w:pStyle w:val="Footer"/>
    </w:pPr>
    <w:r>
      <w:pict>
        <v:shapetype id="_x0000_t202" coordsize="21600,21600" o:spt="202" path="m,l,21600r21600,l21600,xe">
          <v:stroke joinstyle="miter"/>
          <v:path gradientshapeok="t" o:connecttype="rect"/>
        </v:shapetype>
        <v:shape id="_x0000_s2050" type="#_x0000_t202" style="position:absolute;margin-left:228.4pt;margin-top:-11.25pt;width:2in;height:2in;z-index:251659264;mso-wrap-style:none;mso-position-horizontal-relative:margin" filled="f" stroked="f">
          <v:textbox style="mso-fit-shape-to-text:t" inset="0,0,0,0">
            <w:txbxContent>
              <w:p w:rsidR="00E82F77" w:rsidRDefault="00E82F77">
                <w:pPr>
                  <w:pStyle w:val="Footer"/>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F82E9D">
                  <w:rPr>
                    <w:rFonts w:eastAsia="宋体"/>
                    <w:noProof/>
                    <w:lang w:eastAsia="zh-CN"/>
                  </w:rPr>
                  <w:t>39</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F3E" w:rsidRDefault="00CE2F3E" w:rsidP="00463622">
      <w:pPr>
        <w:spacing w:after="0" w:line="240" w:lineRule="auto"/>
      </w:pPr>
      <w:r>
        <w:separator/>
      </w:r>
    </w:p>
  </w:footnote>
  <w:footnote w:type="continuationSeparator" w:id="0">
    <w:p w:rsidR="00CE2F3E" w:rsidRDefault="00CE2F3E" w:rsidP="00463622">
      <w:pPr>
        <w:spacing w:after="0" w:line="240" w:lineRule="auto"/>
      </w:pPr>
      <w:r>
        <w:continuationSeparator/>
      </w:r>
    </w:p>
  </w:footnote>
  <w:footnote w:id="1">
    <w:p w:rsidR="00E82F77" w:rsidRDefault="00E82F7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Fordetailsseehttp://www.enercon.gov.pk/.</w:t>
      </w:r>
    </w:p>
    <w:p w:rsidR="00E82F77" w:rsidRDefault="00E82F77">
      <w:pPr>
        <w:pStyle w:val="FootnoteText"/>
      </w:pPr>
    </w:p>
  </w:footnote>
  <w:footnote w:id="2">
    <w:p w:rsidR="00E82F77" w:rsidRDefault="00E82F77">
      <w:pPr>
        <w:pStyle w:val="FootnoteText"/>
      </w:pPr>
      <w:r>
        <w:rPr>
          <w:rStyle w:val="FootnoteReference"/>
        </w:rPr>
        <w:footnoteRef/>
      </w:r>
      <w:r>
        <w:t xml:space="preserve"> Fordetailsseehttp://www.enercon.gov.pk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77" w:rsidRDefault="00E82F77">
    <w:pPr>
      <w:pBdr>
        <w:bottom w:val="thinThickMediumGap" w:sz="12" w:space="1" w:color="auto"/>
      </w:pBdr>
      <w:ind w:firstLineChars="300" w:firstLine="600"/>
      <w:rPr>
        <w:rFonts w:ascii="Times New Roman" w:hAnsi="Times New Roman"/>
        <w:sz w:val="20"/>
        <w:szCs w:val="20"/>
      </w:rPr>
    </w:pPr>
    <w:bookmarkStart w:id="1" w:name="OLE_LINK5"/>
    <w:bookmarkStart w:id="2" w:name="OLE_LINK4"/>
    <w:bookmarkStart w:id="3" w:name="OLE_LINK7"/>
    <w:bookmarkStart w:id="4" w:name="_Hlk302678399"/>
    <w:bookmarkStart w:id="5" w:name="_Hlk302678401"/>
    <w:bookmarkStart w:id="6" w:name="OLE_LINK3"/>
    <w:bookmarkStart w:id="7" w:name="OLE_LINK6"/>
    <w:bookmarkStart w:id="8" w:name="OLE_LINK10"/>
    <w:bookmarkStart w:id="9" w:name="OLE_LINK11"/>
    <w:bookmarkStart w:id="10" w:name="_Hlk313407879"/>
    <w:bookmarkStart w:id="11" w:name="_Hlk313407873"/>
    <w:bookmarkStart w:id="12" w:name="OLE_LINK9"/>
    <w:bookmarkStart w:id="13" w:name="OLE_LINK8"/>
    <w:r>
      <w:rPr>
        <w:rFonts w:ascii="Times New Roman" w:hAnsi="Times New Roman"/>
        <w:sz w:val="20"/>
        <w:szCs w:val="20"/>
      </w:rPr>
      <w:t>New York Science Journal 20</w:t>
    </w:r>
    <w:r>
      <w:rPr>
        <w:rFonts w:ascii="Times New Roman" w:hAnsi="Times New Roman"/>
        <w:sz w:val="20"/>
        <w:szCs w:val="20"/>
        <w:lang w:eastAsia="zh-CN"/>
      </w:rPr>
      <w:t>21</w:t>
    </w:r>
    <w:r>
      <w:rPr>
        <w:rFonts w:ascii="Times New Roman" w:hAnsi="Times New Roman"/>
        <w:sz w:val="20"/>
        <w:szCs w:val="20"/>
      </w:rPr>
      <w:t>;1</w:t>
    </w:r>
    <w:r>
      <w:rPr>
        <w:rFonts w:ascii="Times New Roman" w:hAnsi="Times New Roman"/>
        <w:sz w:val="20"/>
        <w:szCs w:val="20"/>
        <w:lang w:eastAsia="zh-CN"/>
      </w:rPr>
      <w:t>4</w:t>
    </w:r>
    <w:r>
      <w:rPr>
        <w:rFonts w:ascii="Times New Roman" w:hAnsi="Times New Roman"/>
        <w:sz w:val="20"/>
        <w:szCs w:val="20"/>
      </w:rPr>
      <w:t>(</w:t>
    </w:r>
    <w:r>
      <w:rPr>
        <w:rFonts w:ascii="Times New Roman" w:hAnsi="Times New Roman" w:hint="eastAsia"/>
        <w:sz w:val="20"/>
        <w:szCs w:val="20"/>
        <w:lang w:eastAsia="zh-CN"/>
      </w:rPr>
      <w:t>9</w:t>
    </w:r>
    <w:r>
      <w:rPr>
        <w:rFonts w:ascii="Times New Roman" w:hAnsi="Times New Roman"/>
        <w:sz w:val="20"/>
        <w:szCs w:val="20"/>
      </w:rPr>
      <w:t>)</w:t>
    </w:r>
    <w:r>
      <w:rPr>
        <w:rFonts w:ascii="Times New Roman" w:hAnsi="Times New Roman" w:hint="eastAsia"/>
        <w:sz w:val="20"/>
        <w:szCs w:val="20"/>
        <w:lang w:eastAsia="zh-CN"/>
      </w:rPr>
      <w:t xml:space="preserve">                                   </w:t>
    </w:r>
    <w:hyperlink r:id="rId1" w:history="1">
      <w:r>
        <w:rPr>
          <w:rFonts w:ascii="Times New Roman" w:hAnsi="Times New Roman"/>
          <w:color w:val="0000FF"/>
          <w:sz w:val="20"/>
          <w:szCs w:val="20"/>
          <w:u w:val="single"/>
        </w:rPr>
        <w:t>http://www.sciencepub.net/newyork</w:t>
      </w:r>
    </w:hyperlink>
    <w:bookmarkEnd w:id="1"/>
    <w:bookmarkEnd w:id="2"/>
    <w:bookmarkEnd w:id="3"/>
    <w:bookmarkEnd w:id="4"/>
    <w:bookmarkEnd w:id="5"/>
    <w:bookmarkEnd w:id="6"/>
    <w:bookmarkEnd w:id="7"/>
    <w:r>
      <w:rPr>
        <w:rFonts w:ascii="Times New Roman" w:hAnsi="Times New Roman"/>
        <w:sz w:val="20"/>
        <w:szCs w:val="20"/>
      </w:rPr>
      <w:t xml:space="preserve"> </w:t>
    </w:r>
    <w:r>
      <w:rPr>
        <w:rFonts w:ascii="Times New Roman" w:eastAsiaTheme="minorEastAsia" w:hAnsi="Times New Roman" w:hint="eastAsia"/>
        <w:sz w:val="20"/>
        <w:szCs w:val="20"/>
        <w:lang w:eastAsia="zh-CN"/>
      </w:rPr>
      <w:t xml:space="preserve">     </w:t>
    </w:r>
    <w:r>
      <w:rPr>
        <w:rFonts w:ascii="Times New Roman" w:hAnsi="Times New Roman"/>
        <w:b/>
        <w:i/>
        <w:color w:val="FF0000"/>
        <w:sz w:val="20"/>
        <w:szCs w:val="20"/>
        <w:bdr w:val="single" w:sz="4" w:space="0" w:color="FF0000"/>
      </w:rPr>
      <w:t>NYJ</w:t>
    </w:r>
    <w:bookmarkEnd w:id="8"/>
    <w:bookmarkEnd w:id="9"/>
    <w:bookmarkEnd w:id="10"/>
    <w:bookmarkEnd w:id="11"/>
    <w:bookmarkEnd w:id="12"/>
    <w:bookmarkEnd w:id="13"/>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77" w:rsidRDefault="00E82F77">
    <w:pPr>
      <w:pStyle w:val="Header"/>
    </w:pPr>
    <w:r>
      <w:rPr>
        <w:noProof/>
        <w:szCs w:val="20"/>
        <w:lang w:eastAsia="zh-CN"/>
      </w:rPr>
      <w:drawing>
        <wp:inline distT="0" distB="0" distL="114300" distR="114300">
          <wp:extent cx="5966460" cy="779145"/>
          <wp:effectExtent l="0" t="0" r="15240"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66460"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EB50D"/>
    <w:multiLevelType w:val="multilevel"/>
    <w:tmpl w:val="877EB50D"/>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945BE9"/>
    <w:multiLevelType w:val="multilevel"/>
    <w:tmpl w:val="46945BE9"/>
    <w:lvl w:ilvl="0">
      <w:start w:val="1"/>
      <w:numFmt w:val="bullet"/>
      <w:lvlText w:val=""/>
      <w:lvlJc w:val="left"/>
      <w:pPr>
        <w:ind w:left="810" w:hanging="360"/>
      </w:pPr>
      <w:rPr>
        <w:rFonts w:ascii="Wingdings" w:hAnsi="Wingdings"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2">
    <w:nsid w:val="4A3D424D"/>
    <w:multiLevelType w:val="multilevel"/>
    <w:tmpl w:val="4A3D424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2FB7523"/>
    <w:multiLevelType w:val="multilevel"/>
    <w:tmpl w:val="62FB752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7B85301"/>
    <w:multiLevelType w:val="multilevel"/>
    <w:tmpl w:val="67B8530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A6B4F2C"/>
    <w:multiLevelType w:val="multilevel"/>
    <w:tmpl w:val="6A6B4F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s7QwM7QwMAUCS0szEyUdpeDU4uLM/DyQAmOjWgDAAEHXLQAAAA=="/>
  </w:docVars>
  <w:rsids>
    <w:rsidRoot w:val="00460DD9"/>
    <w:rsid w:val="00003A3B"/>
    <w:rsid w:val="000041EA"/>
    <w:rsid w:val="00004452"/>
    <w:rsid w:val="0000621A"/>
    <w:rsid w:val="00014299"/>
    <w:rsid w:val="00016537"/>
    <w:rsid w:val="000177AF"/>
    <w:rsid w:val="0002161B"/>
    <w:rsid w:val="00021CE2"/>
    <w:rsid w:val="00022C04"/>
    <w:rsid w:val="0002343A"/>
    <w:rsid w:val="00025C40"/>
    <w:rsid w:val="000273E6"/>
    <w:rsid w:val="00027AD3"/>
    <w:rsid w:val="00033039"/>
    <w:rsid w:val="00035368"/>
    <w:rsid w:val="00040636"/>
    <w:rsid w:val="00040FA8"/>
    <w:rsid w:val="0004143C"/>
    <w:rsid w:val="0004203A"/>
    <w:rsid w:val="000439C8"/>
    <w:rsid w:val="00045C60"/>
    <w:rsid w:val="00053505"/>
    <w:rsid w:val="0005464B"/>
    <w:rsid w:val="0005538F"/>
    <w:rsid w:val="00061F9F"/>
    <w:rsid w:val="00063F39"/>
    <w:rsid w:val="00066394"/>
    <w:rsid w:val="000728E9"/>
    <w:rsid w:val="00072D6F"/>
    <w:rsid w:val="0007548B"/>
    <w:rsid w:val="00077999"/>
    <w:rsid w:val="00080F50"/>
    <w:rsid w:val="0008326D"/>
    <w:rsid w:val="00083867"/>
    <w:rsid w:val="00087FF6"/>
    <w:rsid w:val="00094E54"/>
    <w:rsid w:val="000A2B0E"/>
    <w:rsid w:val="000A4E63"/>
    <w:rsid w:val="000A71F5"/>
    <w:rsid w:val="000B0639"/>
    <w:rsid w:val="000B13C3"/>
    <w:rsid w:val="000B58BC"/>
    <w:rsid w:val="000B6214"/>
    <w:rsid w:val="000C0718"/>
    <w:rsid w:val="000D2210"/>
    <w:rsid w:val="000D70F5"/>
    <w:rsid w:val="000D7CFE"/>
    <w:rsid w:val="000E2D67"/>
    <w:rsid w:val="000E4F13"/>
    <w:rsid w:val="000F0702"/>
    <w:rsid w:val="000F7DE7"/>
    <w:rsid w:val="001030CD"/>
    <w:rsid w:val="00104D16"/>
    <w:rsid w:val="001057BB"/>
    <w:rsid w:val="00105C2F"/>
    <w:rsid w:val="001065E5"/>
    <w:rsid w:val="00107AC7"/>
    <w:rsid w:val="00111B03"/>
    <w:rsid w:val="00114490"/>
    <w:rsid w:val="00120FD3"/>
    <w:rsid w:val="00123A27"/>
    <w:rsid w:val="00123BFF"/>
    <w:rsid w:val="001261C3"/>
    <w:rsid w:val="0013175A"/>
    <w:rsid w:val="0013235C"/>
    <w:rsid w:val="00141532"/>
    <w:rsid w:val="00144032"/>
    <w:rsid w:val="00150CB3"/>
    <w:rsid w:val="001512D7"/>
    <w:rsid w:val="001517E4"/>
    <w:rsid w:val="00153F60"/>
    <w:rsid w:val="00154C92"/>
    <w:rsid w:val="00156BA3"/>
    <w:rsid w:val="00157833"/>
    <w:rsid w:val="00157A6D"/>
    <w:rsid w:val="00162060"/>
    <w:rsid w:val="00162610"/>
    <w:rsid w:val="001631F3"/>
    <w:rsid w:val="00163A33"/>
    <w:rsid w:val="001746D1"/>
    <w:rsid w:val="00175FF4"/>
    <w:rsid w:val="0017711D"/>
    <w:rsid w:val="00183EA5"/>
    <w:rsid w:val="00183EBB"/>
    <w:rsid w:val="001841DB"/>
    <w:rsid w:val="001869D8"/>
    <w:rsid w:val="00193608"/>
    <w:rsid w:val="00195535"/>
    <w:rsid w:val="00196AD4"/>
    <w:rsid w:val="001A0A80"/>
    <w:rsid w:val="001A3CB6"/>
    <w:rsid w:val="001A563F"/>
    <w:rsid w:val="001B4049"/>
    <w:rsid w:val="001B5D73"/>
    <w:rsid w:val="001C2FD6"/>
    <w:rsid w:val="001C3684"/>
    <w:rsid w:val="001C51E2"/>
    <w:rsid w:val="001C5DF1"/>
    <w:rsid w:val="001C6691"/>
    <w:rsid w:val="001D014B"/>
    <w:rsid w:val="001D29A9"/>
    <w:rsid w:val="001D3737"/>
    <w:rsid w:val="001D5107"/>
    <w:rsid w:val="001E2727"/>
    <w:rsid w:val="001E4410"/>
    <w:rsid w:val="001E4A17"/>
    <w:rsid w:val="001E5DA0"/>
    <w:rsid w:val="001E5FF8"/>
    <w:rsid w:val="001E6DF0"/>
    <w:rsid w:val="001F10A9"/>
    <w:rsid w:val="001F3B7A"/>
    <w:rsid w:val="001F5287"/>
    <w:rsid w:val="001F5DFF"/>
    <w:rsid w:val="001F77E4"/>
    <w:rsid w:val="002164DE"/>
    <w:rsid w:val="00217640"/>
    <w:rsid w:val="002249B5"/>
    <w:rsid w:val="002305AF"/>
    <w:rsid w:val="002357D6"/>
    <w:rsid w:val="00236CE1"/>
    <w:rsid w:val="002403D3"/>
    <w:rsid w:val="00241FD9"/>
    <w:rsid w:val="00254B28"/>
    <w:rsid w:val="00255662"/>
    <w:rsid w:val="00256B64"/>
    <w:rsid w:val="00260429"/>
    <w:rsid w:val="002620BE"/>
    <w:rsid w:val="00262479"/>
    <w:rsid w:val="0026406C"/>
    <w:rsid w:val="00264529"/>
    <w:rsid w:val="00270EF9"/>
    <w:rsid w:val="002712A1"/>
    <w:rsid w:val="00271A7B"/>
    <w:rsid w:val="00275D7B"/>
    <w:rsid w:val="002772A4"/>
    <w:rsid w:val="00277925"/>
    <w:rsid w:val="0028070B"/>
    <w:rsid w:val="00283616"/>
    <w:rsid w:val="00284788"/>
    <w:rsid w:val="00285036"/>
    <w:rsid w:val="002873D4"/>
    <w:rsid w:val="00291F6D"/>
    <w:rsid w:val="00293617"/>
    <w:rsid w:val="0029486C"/>
    <w:rsid w:val="002A3237"/>
    <w:rsid w:val="002B1848"/>
    <w:rsid w:val="002B230C"/>
    <w:rsid w:val="002B2424"/>
    <w:rsid w:val="002C00C1"/>
    <w:rsid w:val="002C1CE0"/>
    <w:rsid w:val="002D4F9E"/>
    <w:rsid w:val="002E0AF7"/>
    <w:rsid w:val="002E1D8B"/>
    <w:rsid w:val="002E5C6F"/>
    <w:rsid w:val="002F3854"/>
    <w:rsid w:val="002F4A6A"/>
    <w:rsid w:val="002F60C8"/>
    <w:rsid w:val="002F71A7"/>
    <w:rsid w:val="00311C28"/>
    <w:rsid w:val="00312070"/>
    <w:rsid w:val="00317CC6"/>
    <w:rsid w:val="00320FED"/>
    <w:rsid w:val="00327AE6"/>
    <w:rsid w:val="00330B20"/>
    <w:rsid w:val="003341B5"/>
    <w:rsid w:val="00336396"/>
    <w:rsid w:val="003401A3"/>
    <w:rsid w:val="003426C5"/>
    <w:rsid w:val="003456F7"/>
    <w:rsid w:val="00345DCF"/>
    <w:rsid w:val="00346F05"/>
    <w:rsid w:val="00352D49"/>
    <w:rsid w:val="00353608"/>
    <w:rsid w:val="00357702"/>
    <w:rsid w:val="00360105"/>
    <w:rsid w:val="00362D06"/>
    <w:rsid w:val="00363EB9"/>
    <w:rsid w:val="00364CBD"/>
    <w:rsid w:val="0037015B"/>
    <w:rsid w:val="003766EA"/>
    <w:rsid w:val="00376C8F"/>
    <w:rsid w:val="00383EFF"/>
    <w:rsid w:val="00386296"/>
    <w:rsid w:val="003864D9"/>
    <w:rsid w:val="00394518"/>
    <w:rsid w:val="00397C1B"/>
    <w:rsid w:val="003A1CBB"/>
    <w:rsid w:val="003A75A4"/>
    <w:rsid w:val="003B5A6B"/>
    <w:rsid w:val="003C180B"/>
    <w:rsid w:val="003C1A99"/>
    <w:rsid w:val="003C283E"/>
    <w:rsid w:val="003D013C"/>
    <w:rsid w:val="003D02F2"/>
    <w:rsid w:val="003D0FD0"/>
    <w:rsid w:val="003D1982"/>
    <w:rsid w:val="003D1D2D"/>
    <w:rsid w:val="003D1F63"/>
    <w:rsid w:val="003D26E1"/>
    <w:rsid w:val="003D6FEC"/>
    <w:rsid w:val="003E1A26"/>
    <w:rsid w:val="003E3294"/>
    <w:rsid w:val="003E3856"/>
    <w:rsid w:val="003E6919"/>
    <w:rsid w:val="003F1CF3"/>
    <w:rsid w:val="003F4466"/>
    <w:rsid w:val="003F5C24"/>
    <w:rsid w:val="00400692"/>
    <w:rsid w:val="00401153"/>
    <w:rsid w:val="00403972"/>
    <w:rsid w:val="0040555D"/>
    <w:rsid w:val="00407DD0"/>
    <w:rsid w:val="00412615"/>
    <w:rsid w:val="004138CB"/>
    <w:rsid w:val="004165F0"/>
    <w:rsid w:val="004260A8"/>
    <w:rsid w:val="00427255"/>
    <w:rsid w:val="004305D2"/>
    <w:rsid w:val="004318A7"/>
    <w:rsid w:val="004349BB"/>
    <w:rsid w:val="00436F22"/>
    <w:rsid w:val="00437203"/>
    <w:rsid w:val="004372FA"/>
    <w:rsid w:val="00450E1F"/>
    <w:rsid w:val="00457086"/>
    <w:rsid w:val="00460DD9"/>
    <w:rsid w:val="00463622"/>
    <w:rsid w:val="00463707"/>
    <w:rsid w:val="00463D84"/>
    <w:rsid w:val="00467C24"/>
    <w:rsid w:val="00472DE0"/>
    <w:rsid w:val="004749A8"/>
    <w:rsid w:val="004759A3"/>
    <w:rsid w:val="00481564"/>
    <w:rsid w:val="00484A7F"/>
    <w:rsid w:val="00490127"/>
    <w:rsid w:val="004907DF"/>
    <w:rsid w:val="004A0F82"/>
    <w:rsid w:val="004A23A7"/>
    <w:rsid w:val="004B15D2"/>
    <w:rsid w:val="004B4918"/>
    <w:rsid w:val="004B5936"/>
    <w:rsid w:val="004B7216"/>
    <w:rsid w:val="004C063C"/>
    <w:rsid w:val="004C3F60"/>
    <w:rsid w:val="004C5004"/>
    <w:rsid w:val="004D0D8B"/>
    <w:rsid w:val="004D196A"/>
    <w:rsid w:val="004D38F0"/>
    <w:rsid w:val="004D6A25"/>
    <w:rsid w:val="004E6130"/>
    <w:rsid w:val="004F34E0"/>
    <w:rsid w:val="004F4941"/>
    <w:rsid w:val="004F7093"/>
    <w:rsid w:val="00503523"/>
    <w:rsid w:val="00513DE0"/>
    <w:rsid w:val="00514C76"/>
    <w:rsid w:val="00515980"/>
    <w:rsid w:val="00515E0D"/>
    <w:rsid w:val="0051731F"/>
    <w:rsid w:val="00517EDF"/>
    <w:rsid w:val="005202E6"/>
    <w:rsid w:val="005210B7"/>
    <w:rsid w:val="0052224E"/>
    <w:rsid w:val="00523CF5"/>
    <w:rsid w:val="005315FD"/>
    <w:rsid w:val="005347D9"/>
    <w:rsid w:val="005358E9"/>
    <w:rsid w:val="00535920"/>
    <w:rsid w:val="00543808"/>
    <w:rsid w:val="00543E47"/>
    <w:rsid w:val="00545EC9"/>
    <w:rsid w:val="00550BF0"/>
    <w:rsid w:val="00551607"/>
    <w:rsid w:val="005552F5"/>
    <w:rsid w:val="00556691"/>
    <w:rsid w:val="005569CE"/>
    <w:rsid w:val="00557047"/>
    <w:rsid w:val="00563B69"/>
    <w:rsid w:val="00570E41"/>
    <w:rsid w:val="00571739"/>
    <w:rsid w:val="00572F6F"/>
    <w:rsid w:val="0057411A"/>
    <w:rsid w:val="00580AB3"/>
    <w:rsid w:val="0058514E"/>
    <w:rsid w:val="005968A2"/>
    <w:rsid w:val="005A1DE0"/>
    <w:rsid w:val="005A1F62"/>
    <w:rsid w:val="005A39C7"/>
    <w:rsid w:val="005A3A44"/>
    <w:rsid w:val="005A4DA3"/>
    <w:rsid w:val="005B124E"/>
    <w:rsid w:val="005B144C"/>
    <w:rsid w:val="005B2F14"/>
    <w:rsid w:val="005B37FB"/>
    <w:rsid w:val="005B65B9"/>
    <w:rsid w:val="005C42D0"/>
    <w:rsid w:val="005C7507"/>
    <w:rsid w:val="005D4514"/>
    <w:rsid w:val="005D608A"/>
    <w:rsid w:val="005D7A0E"/>
    <w:rsid w:val="005E08F6"/>
    <w:rsid w:val="005E40A6"/>
    <w:rsid w:val="005F19AC"/>
    <w:rsid w:val="005F301A"/>
    <w:rsid w:val="005F385D"/>
    <w:rsid w:val="005F6848"/>
    <w:rsid w:val="005F74C7"/>
    <w:rsid w:val="00603148"/>
    <w:rsid w:val="00603AF0"/>
    <w:rsid w:val="00603FDC"/>
    <w:rsid w:val="00613D62"/>
    <w:rsid w:val="00615D69"/>
    <w:rsid w:val="00623ABE"/>
    <w:rsid w:val="00624803"/>
    <w:rsid w:val="00626AFA"/>
    <w:rsid w:val="0062747E"/>
    <w:rsid w:val="0063038B"/>
    <w:rsid w:val="006308D0"/>
    <w:rsid w:val="006321FD"/>
    <w:rsid w:val="00633D36"/>
    <w:rsid w:val="00641447"/>
    <w:rsid w:val="00641DAC"/>
    <w:rsid w:val="00641F1A"/>
    <w:rsid w:val="00645319"/>
    <w:rsid w:val="00647B74"/>
    <w:rsid w:val="006509BD"/>
    <w:rsid w:val="00654849"/>
    <w:rsid w:val="00656606"/>
    <w:rsid w:val="00656801"/>
    <w:rsid w:val="006601D2"/>
    <w:rsid w:val="0066242A"/>
    <w:rsid w:val="0066412D"/>
    <w:rsid w:val="00665370"/>
    <w:rsid w:val="00666F53"/>
    <w:rsid w:val="006710F6"/>
    <w:rsid w:val="00671BF3"/>
    <w:rsid w:val="00684843"/>
    <w:rsid w:val="00684869"/>
    <w:rsid w:val="0068734F"/>
    <w:rsid w:val="006876B6"/>
    <w:rsid w:val="00690153"/>
    <w:rsid w:val="006932EB"/>
    <w:rsid w:val="0069493F"/>
    <w:rsid w:val="006964B2"/>
    <w:rsid w:val="006965B8"/>
    <w:rsid w:val="006A4864"/>
    <w:rsid w:val="006B2ABD"/>
    <w:rsid w:val="006B6358"/>
    <w:rsid w:val="006C0EC5"/>
    <w:rsid w:val="006D6B3F"/>
    <w:rsid w:val="006D7443"/>
    <w:rsid w:val="006E3283"/>
    <w:rsid w:val="006E46E1"/>
    <w:rsid w:val="006E6447"/>
    <w:rsid w:val="006E7A24"/>
    <w:rsid w:val="006E7F07"/>
    <w:rsid w:val="006F01C1"/>
    <w:rsid w:val="006F2470"/>
    <w:rsid w:val="006F513B"/>
    <w:rsid w:val="006F7B5A"/>
    <w:rsid w:val="00701EA3"/>
    <w:rsid w:val="00707D5E"/>
    <w:rsid w:val="0071009B"/>
    <w:rsid w:val="00711FDE"/>
    <w:rsid w:val="00713E32"/>
    <w:rsid w:val="00714463"/>
    <w:rsid w:val="00716103"/>
    <w:rsid w:val="0071746C"/>
    <w:rsid w:val="00717517"/>
    <w:rsid w:val="00721EBC"/>
    <w:rsid w:val="00723B4A"/>
    <w:rsid w:val="00723D78"/>
    <w:rsid w:val="00731151"/>
    <w:rsid w:val="00732701"/>
    <w:rsid w:val="00732D70"/>
    <w:rsid w:val="0073539A"/>
    <w:rsid w:val="00737AE2"/>
    <w:rsid w:val="00741E32"/>
    <w:rsid w:val="00743066"/>
    <w:rsid w:val="00744CB3"/>
    <w:rsid w:val="00744DE7"/>
    <w:rsid w:val="00745B79"/>
    <w:rsid w:val="007462F9"/>
    <w:rsid w:val="007478CE"/>
    <w:rsid w:val="007518B1"/>
    <w:rsid w:val="0076110A"/>
    <w:rsid w:val="0076350E"/>
    <w:rsid w:val="00767348"/>
    <w:rsid w:val="0077099E"/>
    <w:rsid w:val="00772653"/>
    <w:rsid w:val="0077348C"/>
    <w:rsid w:val="007753BB"/>
    <w:rsid w:val="00781051"/>
    <w:rsid w:val="007820B5"/>
    <w:rsid w:val="007827A0"/>
    <w:rsid w:val="007856C6"/>
    <w:rsid w:val="00786153"/>
    <w:rsid w:val="0079125E"/>
    <w:rsid w:val="00793838"/>
    <w:rsid w:val="00794124"/>
    <w:rsid w:val="00794508"/>
    <w:rsid w:val="00796B39"/>
    <w:rsid w:val="007A2991"/>
    <w:rsid w:val="007A70D5"/>
    <w:rsid w:val="007A7C7E"/>
    <w:rsid w:val="007B0F89"/>
    <w:rsid w:val="007B1055"/>
    <w:rsid w:val="007C0FEC"/>
    <w:rsid w:val="007C7ADE"/>
    <w:rsid w:val="007D0FC5"/>
    <w:rsid w:val="007E347C"/>
    <w:rsid w:val="007E53CB"/>
    <w:rsid w:val="007E59E0"/>
    <w:rsid w:val="007F284C"/>
    <w:rsid w:val="007F364A"/>
    <w:rsid w:val="007F459E"/>
    <w:rsid w:val="00800972"/>
    <w:rsid w:val="0080353E"/>
    <w:rsid w:val="00805FD3"/>
    <w:rsid w:val="00814B1B"/>
    <w:rsid w:val="008248D5"/>
    <w:rsid w:val="008272DB"/>
    <w:rsid w:val="008278E5"/>
    <w:rsid w:val="00827BFB"/>
    <w:rsid w:val="00831390"/>
    <w:rsid w:val="00832C3E"/>
    <w:rsid w:val="00836286"/>
    <w:rsid w:val="00836CC9"/>
    <w:rsid w:val="00844BC3"/>
    <w:rsid w:val="00847A95"/>
    <w:rsid w:val="00853AE1"/>
    <w:rsid w:val="00857A9B"/>
    <w:rsid w:val="00860CCC"/>
    <w:rsid w:val="008611D1"/>
    <w:rsid w:val="008657C8"/>
    <w:rsid w:val="0086658D"/>
    <w:rsid w:val="00871B82"/>
    <w:rsid w:val="008721E3"/>
    <w:rsid w:val="00875863"/>
    <w:rsid w:val="00883BAE"/>
    <w:rsid w:val="008845B5"/>
    <w:rsid w:val="008849F3"/>
    <w:rsid w:val="008A0EAF"/>
    <w:rsid w:val="008B513E"/>
    <w:rsid w:val="008B6F5C"/>
    <w:rsid w:val="008C2D0B"/>
    <w:rsid w:val="008C3503"/>
    <w:rsid w:val="008C366E"/>
    <w:rsid w:val="008C5618"/>
    <w:rsid w:val="008D06D6"/>
    <w:rsid w:val="008D11B3"/>
    <w:rsid w:val="008D3E73"/>
    <w:rsid w:val="008D6CB6"/>
    <w:rsid w:val="008D738B"/>
    <w:rsid w:val="008D78E1"/>
    <w:rsid w:val="008E07A5"/>
    <w:rsid w:val="008E1A91"/>
    <w:rsid w:val="008E2CCB"/>
    <w:rsid w:val="008E53D4"/>
    <w:rsid w:val="008F18E5"/>
    <w:rsid w:val="008F52AA"/>
    <w:rsid w:val="008F6A1C"/>
    <w:rsid w:val="008F7512"/>
    <w:rsid w:val="00901EEB"/>
    <w:rsid w:val="0090380E"/>
    <w:rsid w:val="009065A6"/>
    <w:rsid w:val="009110C6"/>
    <w:rsid w:val="00911DBD"/>
    <w:rsid w:val="00913B86"/>
    <w:rsid w:val="00913BEA"/>
    <w:rsid w:val="00915598"/>
    <w:rsid w:val="0092465E"/>
    <w:rsid w:val="00924D9D"/>
    <w:rsid w:val="009265D3"/>
    <w:rsid w:val="00932EC8"/>
    <w:rsid w:val="009402AE"/>
    <w:rsid w:val="00942BD6"/>
    <w:rsid w:val="00943377"/>
    <w:rsid w:val="009450A5"/>
    <w:rsid w:val="00945CAB"/>
    <w:rsid w:val="00952163"/>
    <w:rsid w:val="00953E9B"/>
    <w:rsid w:val="0096651D"/>
    <w:rsid w:val="0097048F"/>
    <w:rsid w:val="00981D90"/>
    <w:rsid w:val="009845AB"/>
    <w:rsid w:val="00992267"/>
    <w:rsid w:val="00992EDA"/>
    <w:rsid w:val="00996B7E"/>
    <w:rsid w:val="009A0915"/>
    <w:rsid w:val="009A15F7"/>
    <w:rsid w:val="009B31DE"/>
    <w:rsid w:val="009C0F30"/>
    <w:rsid w:val="009C1F81"/>
    <w:rsid w:val="009C6FEA"/>
    <w:rsid w:val="009C7147"/>
    <w:rsid w:val="009D1261"/>
    <w:rsid w:val="009D356E"/>
    <w:rsid w:val="009E00E2"/>
    <w:rsid w:val="009E31BB"/>
    <w:rsid w:val="009E3C49"/>
    <w:rsid w:val="009E7F53"/>
    <w:rsid w:val="00A02569"/>
    <w:rsid w:val="00A04CDB"/>
    <w:rsid w:val="00A10E12"/>
    <w:rsid w:val="00A13A9C"/>
    <w:rsid w:val="00A140E1"/>
    <w:rsid w:val="00A17A87"/>
    <w:rsid w:val="00A20174"/>
    <w:rsid w:val="00A25134"/>
    <w:rsid w:val="00A27B38"/>
    <w:rsid w:val="00A3055D"/>
    <w:rsid w:val="00A3425E"/>
    <w:rsid w:val="00A379DD"/>
    <w:rsid w:val="00A37FB6"/>
    <w:rsid w:val="00A40266"/>
    <w:rsid w:val="00A44E65"/>
    <w:rsid w:val="00A46BD4"/>
    <w:rsid w:val="00A5290B"/>
    <w:rsid w:val="00A60DA6"/>
    <w:rsid w:val="00A66BB4"/>
    <w:rsid w:val="00A70A10"/>
    <w:rsid w:val="00A717ED"/>
    <w:rsid w:val="00A7219E"/>
    <w:rsid w:val="00A72D8A"/>
    <w:rsid w:val="00A733DF"/>
    <w:rsid w:val="00A73E3D"/>
    <w:rsid w:val="00A74922"/>
    <w:rsid w:val="00A75666"/>
    <w:rsid w:val="00A7628B"/>
    <w:rsid w:val="00A776D6"/>
    <w:rsid w:val="00A77B7D"/>
    <w:rsid w:val="00A77D41"/>
    <w:rsid w:val="00A82722"/>
    <w:rsid w:val="00A83284"/>
    <w:rsid w:val="00A874C9"/>
    <w:rsid w:val="00A907A7"/>
    <w:rsid w:val="00A934F9"/>
    <w:rsid w:val="00A94BB7"/>
    <w:rsid w:val="00A95058"/>
    <w:rsid w:val="00A96D77"/>
    <w:rsid w:val="00AA227F"/>
    <w:rsid w:val="00AA771A"/>
    <w:rsid w:val="00AA7F99"/>
    <w:rsid w:val="00AB3982"/>
    <w:rsid w:val="00AC28E7"/>
    <w:rsid w:val="00AC5BB8"/>
    <w:rsid w:val="00AD149C"/>
    <w:rsid w:val="00AD26BE"/>
    <w:rsid w:val="00AD4970"/>
    <w:rsid w:val="00AD57D1"/>
    <w:rsid w:val="00AD5B6F"/>
    <w:rsid w:val="00AD5E36"/>
    <w:rsid w:val="00AD63A6"/>
    <w:rsid w:val="00AE04BD"/>
    <w:rsid w:val="00AE6B9C"/>
    <w:rsid w:val="00B00736"/>
    <w:rsid w:val="00B0262F"/>
    <w:rsid w:val="00B045E9"/>
    <w:rsid w:val="00B10F89"/>
    <w:rsid w:val="00B170FB"/>
    <w:rsid w:val="00B21ABA"/>
    <w:rsid w:val="00B24DF5"/>
    <w:rsid w:val="00B4187A"/>
    <w:rsid w:val="00B41DE3"/>
    <w:rsid w:val="00B423EC"/>
    <w:rsid w:val="00B558D4"/>
    <w:rsid w:val="00B55F09"/>
    <w:rsid w:val="00B57798"/>
    <w:rsid w:val="00B60909"/>
    <w:rsid w:val="00B6303E"/>
    <w:rsid w:val="00B63E4C"/>
    <w:rsid w:val="00B70309"/>
    <w:rsid w:val="00B71156"/>
    <w:rsid w:val="00B7319E"/>
    <w:rsid w:val="00B73A7D"/>
    <w:rsid w:val="00B74755"/>
    <w:rsid w:val="00B76ADC"/>
    <w:rsid w:val="00B773F1"/>
    <w:rsid w:val="00B801B6"/>
    <w:rsid w:val="00B80C5C"/>
    <w:rsid w:val="00B85D08"/>
    <w:rsid w:val="00B87341"/>
    <w:rsid w:val="00B907EA"/>
    <w:rsid w:val="00BA328A"/>
    <w:rsid w:val="00BA6999"/>
    <w:rsid w:val="00BB1ADF"/>
    <w:rsid w:val="00BB26F7"/>
    <w:rsid w:val="00BB6241"/>
    <w:rsid w:val="00BB6DAF"/>
    <w:rsid w:val="00BB769C"/>
    <w:rsid w:val="00BB7FD9"/>
    <w:rsid w:val="00BC6989"/>
    <w:rsid w:val="00BC7518"/>
    <w:rsid w:val="00BD114E"/>
    <w:rsid w:val="00BD3685"/>
    <w:rsid w:val="00BE1D7E"/>
    <w:rsid w:val="00BE4E90"/>
    <w:rsid w:val="00BE72E6"/>
    <w:rsid w:val="00BF24FB"/>
    <w:rsid w:val="00C011DC"/>
    <w:rsid w:val="00C01279"/>
    <w:rsid w:val="00C04C2D"/>
    <w:rsid w:val="00C05D59"/>
    <w:rsid w:val="00C1770C"/>
    <w:rsid w:val="00C2783C"/>
    <w:rsid w:val="00C41550"/>
    <w:rsid w:val="00C41740"/>
    <w:rsid w:val="00C417C4"/>
    <w:rsid w:val="00C42ACB"/>
    <w:rsid w:val="00C50693"/>
    <w:rsid w:val="00C520FC"/>
    <w:rsid w:val="00C52C01"/>
    <w:rsid w:val="00C63156"/>
    <w:rsid w:val="00C63792"/>
    <w:rsid w:val="00C63CDA"/>
    <w:rsid w:val="00C66685"/>
    <w:rsid w:val="00C71BFD"/>
    <w:rsid w:val="00C74DE2"/>
    <w:rsid w:val="00C754C9"/>
    <w:rsid w:val="00C82209"/>
    <w:rsid w:val="00C8248B"/>
    <w:rsid w:val="00C82B15"/>
    <w:rsid w:val="00C87801"/>
    <w:rsid w:val="00C906F2"/>
    <w:rsid w:val="00C9294E"/>
    <w:rsid w:val="00CA01A3"/>
    <w:rsid w:val="00CA5964"/>
    <w:rsid w:val="00CB2449"/>
    <w:rsid w:val="00CB2FD2"/>
    <w:rsid w:val="00CB425F"/>
    <w:rsid w:val="00CC0180"/>
    <w:rsid w:val="00CC03D7"/>
    <w:rsid w:val="00CD7DC8"/>
    <w:rsid w:val="00CE2F3E"/>
    <w:rsid w:val="00CE7D0B"/>
    <w:rsid w:val="00CF13EC"/>
    <w:rsid w:val="00D00FC0"/>
    <w:rsid w:val="00D03A97"/>
    <w:rsid w:val="00D10882"/>
    <w:rsid w:val="00D14CD6"/>
    <w:rsid w:val="00D159BB"/>
    <w:rsid w:val="00D16AA2"/>
    <w:rsid w:val="00D20007"/>
    <w:rsid w:val="00D20E69"/>
    <w:rsid w:val="00D23995"/>
    <w:rsid w:val="00D30DE6"/>
    <w:rsid w:val="00D32C02"/>
    <w:rsid w:val="00D35820"/>
    <w:rsid w:val="00D36DF2"/>
    <w:rsid w:val="00D41418"/>
    <w:rsid w:val="00D511FE"/>
    <w:rsid w:val="00D518A9"/>
    <w:rsid w:val="00D51A19"/>
    <w:rsid w:val="00D60B0C"/>
    <w:rsid w:val="00D6393F"/>
    <w:rsid w:val="00D63B2E"/>
    <w:rsid w:val="00D71DBE"/>
    <w:rsid w:val="00D73161"/>
    <w:rsid w:val="00D7617A"/>
    <w:rsid w:val="00D77194"/>
    <w:rsid w:val="00D77889"/>
    <w:rsid w:val="00D77F97"/>
    <w:rsid w:val="00D85E71"/>
    <w:rsid w:val="00D878A1"/>
    <w:rsid w:val="00D93C26"/>
    <w:rsid w:val="00D93F84"/>
    <w:rsid w:val="00D95DBA"/>
    <w:rsid w:val="00DA4393"/>
    <w:rsid w:val="00DB175A"/>
    <w:rsid w:val="00DB2503"/>
    <w:rsid w:val="00DB3579"/>
    <w:rsid w:val="00DB7E6B"/>
    <w:rsid w:val="00DC1BAA"/>
    <w:rsid w:val="00DC3C82"/>
    <w:rsid w:val="00DC7DFD"/>
    <w:rsid w:val="00DD0039"/>
    <w:rsid w:val="00DD0214"/>
    <w:rsid w:val="00DD3ED0"/>
    <w:rsid w:val="00DD46B4"/>
    <w:rsid w:val="00DD59D2"/>
    <w:rsid w:val="00DD6384"/>
    <w:rsid w:val="00DE0AC5"/>
    <w:rsid w:val="00DE3695"/>
    <w:rsid w:val="00DE747A"/>
    <w:rsid w:val="00DF1FA2"/>
    <w:rsid w:val="00DF63DA"/>
    <w:rsid w:val="00E01A65"/>
    <w:rsid w:val="00E03ADC"/>
    <w:rsid w:val="00E055CF"/>
    <w:rsid w:val="00E1289D"/>
    <w:rsid w:val="00E153B7"/>
    <w:rsid w:val="00E20B08"/>
    <w:rsid w:val="00E25C60"/>
    <w:rsid w:val="00E26604"/>
    <w:rsid w:val="00E353B5"/>
    <w:rsid w:val="00E41BB7"/>
    <w:rsid w:val="00E433BD"/>
    <w:rsid w:val="00E43B2F"/>
    <w:rsid w:val="00E450F3"/>
    <w:rsid w:val="00E45793"/>
    <w:rsid w:val="00E5073C"/>
    <w:rsid w:val="00E51555"/>
    <w:rsid w:val="00E6419F"/>
    <w:rsid w:val="00E655D3"/>
    <w:rsid w:val="00E679C8"/>
    <w:rsid w:val="00E71B54"/>
    <w:rsid w:val="00E726CB"/>
    <w:rsid w:val="00E7281B"/>
    <w:rsid w:val="00E80164"/>
    <w:rsid w:val="00E82771"/>
    <w:rsid w:val="00E82F77"/>
    <w:rsid w:val="00EA08AC"/>
    <w:rsid w:val="00EB0B76"/>
    <w:rsid w:val="00EB2CA8"/>
    <w:rsid w:val="00EB4352"/>
    <w:rsid w:val="00EB45D6"/>
    <w:rsid w:val="00EB79ED"/>
    <w:rsid w:val="00EB7F6C"/>
    <w:rsid w:val="00EC5654"/>
    <w:rsid w:val="00EC6D44"/>
    <w:rsid w:val="00EC7251"/>
    <w:rsid w:val="00ED6AE8"/>
    <w:rsid w:val="00ED726E"/>
    <w:rsid w:val="00EE6679"/>
    <w:rsid w:val="00EE706B"/>
    <w:rsid w:val="00EF3B94"/>
    <w:rsid w:val="00EF48F0"/>
    <w:rsid w:val="00EF4FB1"/>
    <w:rsid w:val="00EF5D7B"/>
    <w:rsid w:val="00F01D2E"/>
    <w:rsid w:val="00F02415"/>
    <w:rsid w:val="00F06340"/>
    <w:rsid w:val="00F074D8"/>
    <w:rsid w:val="00F07644"/>
    <w:rsid w:val="00F14557"/>
    <w:rsid w:val="00F16090"/>
    <w:rsid w:val="00F16789"/>
    <w:rsid w:val="00F17028"/>
    <w:rsid w:val="00F20D0E"/>
    <w:rsid w:val="00F21761"/>
    <w:rsid w:val="00F2185F"/>
    <w:rsid w:val="00F242EA"/>
    <w:rsid w:val="00F25F2F"/>
    <w:rsid w:val="00F318CB"/>
    <w:rsid w:val="00F326CB"/>
    <w:rsid w:val="00F34D14"/>
    <w:rsid w:val="00F445EA"/>
    <w:rsid w:val="00F45BFE"/>
    <w:rsid w:val="00F46590"/>
    <w:rsid w:val="00F52C47"/>
    <w:rsid w:val="00F56CFF"/>
    <w:rsid w:val="00F57344"/>
    <w:rsid w:val="00F577EE"/>
    <w:rsid w:val="00F63EE7"/>
    <w:rsid w:val="00F6657F"/>
    <w:rsid w:val="00F70D78"/>
    <w:rsid w:val="00F72972"/>
    <w:rsid w:val="00F734D0"/>
    <w:rsid w:val="00F74E01"/>
    <w:rsid w:val="00F76ECD"/>
    <w:rsid w:val="00F77786"/>
    <w:rsid w:val="00F82E9D"/>
    <w:rsid w:val="00F8505B"/>
    <w:rsid w:val="00F8560D"/>
    <w:rsid w:val="00F85688"/>
    <w:rsid w:val="00F916D5"/>
    <w:rsid w:val="00F97478"/>
    <w:rsid w:val="00FA2C0A"/>
    <w:rsid w:val="00FA5D76"/>
    <w:rsid w:val="00FB1FD1"/>
    <w:rsid w:val="00FB21F7"/>
    <w:rsid w:val="00FB46B7"/>
    <w:rsid w:val="00FB60FD"/>
    <w:rsid w:val="00FC3F2A"/>
    <w:rsid w:val="00FC7446"/>
    <w:rsid w:val="00FC7B2E"/>
    <w:rsid w:val="00FD0783"/>
    <w:rsid w:val="00FD0CFD"/>
    <w:rsid w:val="00FD1244"/>
    <w:rsid w:val="00FD3999"/>
    <w:rsid w:val="00FE2FF2"/>
    <w:rsid w:val="00FE727E"/>
    <w:rsid w:val="00FF26DE"/>
    <w:rsid w:val="00FF6357"/>
    <w:rsid w:val="00FF77E5"/>
    <w:rsid w:val="589454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22"/>
    <w:rPr>
      <w:rFonts w:ascii="Calibri" w:eastAsia="Calibri" w:hAnsi="Calibri"/>
      <w:sz w:val="22"/>
      <w:szCs w:val="22"/>
      <w:lang w:eastAsia="en-US"/>
    </w:rPr>
  </w:style>
  <w:style w:type="paragraph" w:styleId="Heading1">
    <w:name w:val="heading 1"/>
    <w:basedOn w:val="Normal"/>
    <w:next w:val="Normal"/>
    <w:link w:val="Heading1Char"/>
    <w:uiPriority w:val="9"/>
    <w:qFormat/>
    <w:rsid w:val="0046362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63622"/>
    <w:pPr>
      <w:spacing w:line="240" w:lineRule="auto"/>
    </w:pPr>
    <w:rPr>
      <w:rFonts w:eastAsia="等线"/>
      <w:i/>
      <w:iCs/>
      <w:color w:val="44546A"/>
      <w:sz w:val="18"/>
      <w:szCs w:val="18"/>
    </w:rPr>
  </w:style>
  <w:style w:type="paragraph" w:styleId="EndnoteText">
    <w:name w:val="endnote text"/>
    <w:basedOn w:val="Normal"/>
    <w:link w:val="EndnoteTextChar"/>
    <w:uiPriority w:val="99"/>
    <w:semiHidden/>
    <w:unhideWhenUsed/>
    <w:rsid w:val="00463622"/>
    <w:rPr>
      <w:sz w:val="20"/>
      <w:szCs w:val="20"/>
    </w:rPr>
  </w:style>
  <w:style w:type="paragraph" w:styleId="BalloonText">
    <w:name w:val="Balloon Text"/>
    <w:basedOn w:val="Normal"/>
    <w:link w:val="BalloonTextChar"/>
    <w:uiPriority w:val="99"/>
    <w:semiHidden/>
    <w:unhideWhenUsed/>
    <w:rsid w:val="00463622"/>
    <w:pPr>
      <w:spacing w:after="0" w:line="240" w:lineRule="auto"/>
    </w:pPr>
    <w:rPr>
      <w:rFonts w:ascii="Tahoma" w:hAnsi="Tahoma"/>
      <w:sz w:val="16"/>
      <w:szCs w:val="16"/>
    </w:rPr>
  </w:style>
  <w:style w:type="paragraph" w:styleId="Footer">
    <w:name w:val="footer"/>
    <w:basedOn w:val="Normal"/>
    <w:link w:val="FooterChar"/>
    <w:uiPriority w:val="99"/>
    <w:unhideWhenUsed/>
    <w:rsid w:val="00463622"/>
    <w:pPr>
      <w:tabs>
        <w:tab w:val="center" w:pos="4680"/>
        <w:tab w:val="right" w:pos="9360"/>
      </w:tabs>
    </w:pPr>
  </w:style>
  <w:style w:type="paragraph" w:styleId="Header">
    <w:name w:val="header"/>
    <w:basedOn w:val="Normal"/>
    <w:link w:val="HeaderChar"/>
    <w:uiPriority w:val="99"/>
    <w:unhideWhenUsed/>
    <w:qFormat/>
    <w:rsid w:val="00463622"/>
    <w:pPr>
      <w:tabs>
        <w:tab w:val="center" w:pos="4680"/>
        <w:tab w:val="right" w:pos="9360"/>
      </w:tabs>
    </w:pPr>
  </w:style>
  <w:style w:type="paragraph" w:styleId="FootnoteText">
    <w:name w:val="footnote text"/>
    <w:basedOn w:val="Normal"/>
    <w:link w:val="FootnoteTextChar"/>
    <w:uiPriority w:val="99"/>
    <w:semiHidden/>
    <w:unhideWhenUsed/>
    <w:rsid w:val="00463622"/>
    <w:pPr>
      <w:spacing w:after="0" w:line="240" w:lineRule="auto"/>
    </w:pPr>
    <w:rPr>
      <w:sz w:val="20"/>
      <w:szCs w:val="20"/>
    </w:rPr>
  </w:style>
  <w:style w:type="paragraph" w:styleId="NormalWeb">
    <w:name w:val="Normal (Web)"/>
    <w:basedOn w:val="Normal"/>
    <w:uiPriority w:val="99"/>
    <w:unhideWhenUsed/>
    <w:rsid w:val="00463622"/>
    <w:pPr>
      <w:spacing w:before="100" w:beforeAutospacing="1" w:after="100" w:afterAutospacing="1" w:line="240" w:lineRule="auto"/>
    </w:pPr>
    <w:rPr>
      <w:rFonts w:ascii="Times New Roman" w:eastAsia="Times New Roman" w:hAnsi="Times New Roman"/>
      <w:sz w:val="24"/>
      <w:szCs w:val="24"/>
      <w:lang w:eastAsia="zh-CN"/>
    </w:rPr>
  </w:style>
  <w:style w:type="paragraph" w:styleId="Title">
    <w:name w:val="Title"/>
    <w:basedOn w:val="Normal"/>
    <w:next w:val="Normal"/>
    <w:link w:val="TitleChar"/>
    <w:uiPriority w:val="10"/>
    <w:qFormat/>
    <w:rsid w:val="00463622"/>
    <w:pPr>
      <w:spacing w:before="240" w:after="60"/>
      <w:jc w:val="center"/>
      <w:outlineLvl w:val="0"/>
    </w:pPr>
    <w:rPr>
      <w:rFonts w:ascii="Calibri Light" w:eastAsia="等线 Light" w:hAnsi="Calibri Light"/>
      <w:b/>
      <w:bCs/>
      <w:kern w:val="28"/>
      <w:sz w:val="32"/>
      <w:szCs w:val="32"/>
    </w:rPr>
  </w:style>
  <w:style w:type="table" w:styleId="TableGrid">
    <w:name w:val="Table Grid"/>
    <w:basedOn w:val="TableNormal"/>
    <w:uiPriority w:val="39"/>
    <w:rsid w:val="004636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463622"/>
    <w:rPr>
      <w:b/>
      <w:bCs/>
    </w:rPr>
  </w:style>
  <w:style w:type="character" w:styleId="EndnoteReference">
    <w:name w:val="endnote reference"/>
    <w:uiPriority w:val="99"/>
    <w:semiHidden/>
    <w:unhideWhenUsed/>
    <w:rsid w:val="00463622"/>
    <w:rPr>
      <w:vertAlign w:val="superscript"/>
    </w:rPr>
  </w:style>
  <w:style w:type="character" w:styleId="Hyperlink">
    <w:name w:val="Hyperlink"/>
    <w:basedOn w:val="DefaultParagraphFont"/>
    <w:uiPriority w:val="99"/>
    <w:unhideWhenUsed/>
    <w:rsid w:val="00463622"/>
    <w:rPr>
      <w:color w:val="0000FF"/>
      <w:u w:val="single"/>
    </w:rPr>
  </w:style>
  <w:style w:type="character" w:styleId="FootnoteReference">
    <w:name w:val="footnote reference"/>
    <w:uiPriority w:val="99"/>
    <w:semiHidden/>
    <w:unhideWhenUsed/>
    <w:rsid w:val="00463622"/>
    <w:rPr>
      <w:vertAlign w:val="superscript"/>
    </w:rPr>
  </w:style>
  <w:style w:type="character" w:customStyle="1" w:styleId="FootnoteTextChar">
    <w:name w:val="Footnote Text Char"/>
    <w:link w:val="FootnoteText"/>
    <w:uiPriority w:val="99"/>
    <w:semiHidden/>
    <w:rsid w:val="00463622"/>
    <w:rPr>
      <w:sz w:val="20"/>
      <w:szCs w:val="20"/>
    </w:rPr>
  </w:style>
  <w:style w:type="paragraph" w:styleId="ListParagraph">
    <w:name w:val="List Paragraph"/>
    <w:basedOn w:val="Normal"/>
    <w:link w:val="ListParagraphChar"/>
    <w:uiPriority w:val="34"/>
    <w:qFormat/>
    <w:rsid w:val="00463622"/>
    <w:pPr>
      <w:ind w:left="720"/>
      <w:contextualSpacing/>
    </w:pPr>
  </w:style>
  <w:style w:type="table" w:customStyle="1" w:styleId="LightShading1">
    <w:name w:val="Light Shading1"/>
    <w:basedOn w:val="TableNormal"/>
    <w:uiPriority w:val="60"/>
    <w:rsid w:val="00463622"/>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463622"/>
    <w:rPr>
      <w:color w:val="808080"/>
    </w:rPr>
  </w:style>
  <w:style w:type="character" w:customStyle="1" w:styleId="BalloonTextChar">
    <w:name w:val="Balloon Text Char"/>
    <w:link w:val="BalloonText"/>
    <w:uiPriority w:val="99"/>
    <w:semiHidden/>
    <w:rsid w:val="00463622"/>
    <w:rPr>
      <w:rFonts w:ascii="Tahoma" w:hAnsi="Tahoma" w:cs="Tahoma"/>
      <w:sz w:val="16"/>
      <w:szCs w:val="16"/>
    </w:rPr>
  </w:style>
  <w:style w:type="character" w:customStyle="1" w:styleId="TitleChar">
    <w:name w:val="Title Char"/>
    <w:link w:val="Title"/>
    <w:uiPriority w:val="10"/>
    <w:rsid w:val="00463622"/>
    <w:rPr>
      <w:rFonts w:ascii="Calibri Light" w:eastAsia="等线 Light" w:hAnsi="Calibri Light" w:cs="Times New Roman"/>
      <w:b/>
      <w:bCs/>
      <w:kern w:val="28"/>
      <w:sz w:val="32"/>
      <w:szCs w:val="32"/>
      <w:lang w:eastAsia="en-US"/>
    </w:rPr>
  </w:style>
  <w:style w:type="character" w:customStyle="1" w:styleId="UnresolvedMention">
    <w:name w:val="Unresolved Mention"/>
    <w:uiPriority w:val="99"/>
    <w:semiHidden/>
    <w:unhideWhenUsed/>
    <w:rsid w:val="00463622"/>
    <w:rPr>
      <w:color w:val="605E5C"/>
      <w:shd w:val="clear" w:color="auto" w:fill="E1DFDD"/>
    </w:rPr>
  </w:style>
  <w:style w:type="character" w:customStyle="1" w:styleId="Heading1Char">
    <w:name w:val="Heading 1 Char"/>
    <w:link w:val="Heading1"/>
    <w:uiPriority w:val="9"/>
    <w:rsid w:val="00463622"/>
    <w:rPr>
      <w:rFonts w:ascii="Times New Roman" w:eastAsia="Times New Roman" w:hAnsi="Times New Roman"/>
      <w:b/>
      <w:bCs/>
      <w:kern w:val="36"/>
      <w:sz w:val="48"/>
      <w:szCs w:val="48"/>
    </w:rPr>
  </w:style>
  <w:style w:type="character" w:customStyle="1" w:styleId="HeaderChar">
    <w:name w:val="Header Char"/>
    <w:link w:val="Header"/>
    <w:uiPriority w:val="99"/>
    <w:rsid w:val="00463622"/>
    <w:rPr>
      <w:sz w:val="22"/>
      <w:szCs w:val="22"/>
      <w:lang w:eastAsia="en-US"/>
    </w:rPr>
  </w:style>
  <w:style w:type="character" w:customStyle="1" w:styleId="FooterChar">
    <w:name w:val="Footer Char"/>
    <w:link w:val="Footer"/>
    <w:uiPriority w:val="99"/>
    <w:rsid w:val="00463622"/>
    <w:rPr>
      <w:sz w:val="22"/>
      <w:szCs w:val="22"/>
      <w:lang w:eastAsia="en-US"/>
    </w:rPr>
  </w:style>
  <w:style w:type="character" w:customStyle="1" w:styleId="ListParagraphChar">
    <w:name w:val="List Paragraph Char"/>
    <w:link w:val="ListParagraph"/>
    <w:uiPriority w:val="34"/>
    <w:rsid w:val="00463622"/>
    <w:rPr>
      <w:sz w:val="22"/>
      <w:szCs w:val="22"/>
      <w:lang w:eastAsia="en-US"/>
    </w:rPr>
  </w:style>
  <w:style w:type="character" w:customStyle="1" w:styleId="EndnoteTextChar">
    <w:name w:val="Endnote Text Char"/>
    <w:link w:val="EndnoteText"/>
    <w:uiPriority w:val="99"/>
    <w:semiHidden/>
    <w:rsid w:val="00463622"/>
    <w:rPr>
      <w:lang w:eastAsia="en-US"/>
    </w:rPr>
  </w:style>
  <w:style w:type="character" w:customStyle="1" w:styleId="MTEquationSection">
    <w:name w:val="MTEquationSection"/>
    <w:rsid w:val="00463622"/>
    <w:rPr>
      <w:rFonts w:ascii="Times New Roman" w:hAnsi="Times New Roman"/>
      <w:vanish/>
      <w:color w:val="FF0000"/>
      <w:sz w:val="20"/>
      <w:szCs w:val="20"/>
    </w:rPr>
  </w:style>
  <w:style w:type="paragraph" w:customStyle="1" w:styleId="MTDisplayEquation">
    <w:name w:val="MTDisplayEquation"/>
    <w:basedOn w:val="Normal"/>
    <w:next w:val="Normal"/>
    <w:link w:val="MTDisplayEquationChar"/>
    <w:rsid w:val="00463622"/>
    <w:pPr>
      <w:tabs>
        <w:tab w:val="center" w:pos="2160"/>
        <w:tab w:val="right" w:pos="4320"/>
      </w:tabs>
      <w:spacing w:after="120" w:line="240" w:lineRule="auto"/>
      <w:ind w:firstLine="720"/>
      <w:jc w:val="both"/>
    </w:pPr>
    <w:rPr>
      <w:rFonts w:ascii="Times New Roman" w:hAnsi="Times New Roman"/>
      <w:sz w:val="20"/>
      <w:szCs w:val="20"/>
    </w:rPr>
  </w:style>
  <w:style w:type="character" w:customStyle="1" w:styleId="MTDisplayEquationChar">
    <w:name w:val="MTDisplayEquation Char"/>
    <w:link w:val="MTDisplayEquation"/>
    <w:rsid w:val="00463622"/>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3.bin"/><Relationship Id="rId42" Type="http://schemas.openxmlformats.org/officeDocument/2006/relationships/image" Target="media/image15.wmf"/><Relationship Id="rId47" Type="http://schemas.openxmlformats.org/officeDocument/2006/relationships/oleObject" Target="embeddings/oleObject16.bin"/><Relationship Id="rId63" Type="http://schemas.openxmlformats.org/officeDocument/2006/relationships/image" Target="media/image25.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38.wmf"/><Relationship Id="rId112" Type="http://schemas.openxmlformats.org/officeDocument/2006/relationships/oleObject" Target="embeddings/oleObject49.bin"/><Relationship Id="rId16" Type="http://schemas.openxmlformats.org/officeDocument/2006/relationships/image" Target="media/image2.wmf"/><Relationship Id="rId107" Type="http://schemas.openxmlformats.org/officeDocument/2006/relationships/image" Target="media/image47.wmf"/><Relationship Id="rId11" Type="http://schemas.openxmlformats.org/officeDocument/2006/relationships/hyperlink" Target="http://www.dx.doi.org/10.7537/marsnys140921.05"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15.bin"/><Relationship Id="rId53" Type="http://schemas.openxmlformats.org/officeDocument/2006/relationships/image" Target="media/image20.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3.wmf"/><Relationship Id="rId87" Type="http://schemas.openxmlformats.org/officeDocument/2006/relationships/image" Target="media/image37.wmf"/><Relationship Id="rId102" Type="http://schemas.openxmlformats.org/officeDocument/2006/relationships/oleObject" Target="embeddings/oleObject44.bin"/><Relationship Id="rId110" Type="http://schemas.openxmlformats.org/officeDocument/2006/relationships/oleObject" Target="embeddings/oleObject48.bin"/><Relationship Id="rId115"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1.wmf"/><Relationship Id="rId19" Type="http://schemas.openxmlformats.org/officeDocument/2006/relationships/oleObject" Target="embeddings/oleObject2.bin"/><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43.bin"/><Relationship Id="rId105" Type="http://schemas.openxmlformats.org/officeDocument/2006/relationships/image" Target="media/image46.wmf"/><Relationship Id="rId113" Type="http://schemas.openxmlformats.org/officeDocument/2006/relationships/image" Target="media/image50.wmf"/><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4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47.bin"/><Relationship Id="rId11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3.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7.bin"/><Relationship Id="rId91" Type="http://schemas.openxmlformats.org/officeDocument/2006/relationships/image" Target="media/image39.wmf"/><Relationship Id="rId96" Type="http://schemas.openxmlformats.org/officeDocument/2006/relationships/oleObject" Target="embeddings/oleObject41.bin"/><Relationship Id="rId111"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7.bin"/><Relationship Id="rId57" Type="http://schemas.openxmlformats.org/officeDocument/2006/relationships/image" Target="media/image22.wmf"/><Relationship Id="rId106" Type="http://schemas.openxmlformats.org/officeDocument/2006/relationships/oleObject" Target="embeddings/oleObject46.bin"/><Relationship Id="rId114" Type="http://schemas.openxmlformats.org/officeDocument/2006/relationships/oleObject" Target="embeddings/oleObject50.bin"/><Relationship Id="rId10" Type="http://schemas.openxmlformats.org/officeDocument/2006/relationships/hyperlink" Target="http://www.sciencepub.net/newyork" TargetMode="External"/><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2.bin"/><Relationship Id="rId81" Type="http://schemas.openxmlformats.org/officeDocument/2006/relationships/image" Target="media/image34.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styles" Target="styles.xml"/><Relationship Id="rId9" Type="http://schemas.openxmlformats.org/officeDocument/2006/relationships/hyperlink" Target="mailto:wajidali.kh05@hotmail.com" TargetMode="External"/><Relationship Id="rId13" Type="http://schemas.openxmlformats.org/officeDocument/2006/relationships/footer" Target="footer1.xml"/><Relationship Id="rId18" Type="http://schemas.openxmlformats.org/officeDocument/2006/relationships/image" Target="media/image3.wmf"/><Relationship Id="rId39" Type="http://schemas.openxmlformats.org/officeDocument/2006/relationships/oleObject" Target="embeddings/oleObject12.bin"/><Relationship Id="rId109" Type="http://schemas.openxmlformats.org/officeDocument/2006/relationships/image" Target="media/image48.wmf"/><Relationship Id="rId34" Type="http://schemas.openxmlformats.org/officeDocument/2006/relationships/image" Target="media/image11.wmf"/><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image" Target="media/image42.wmf"/><Relationship Id="rId104" Type="http://schemas.openxmlformats.org/officeDocument/2006/relationships/oleObject" Target="embeddings/oleObject45.bin"/><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oleObject" Target="embeddings/oleObject39.bin"/><Relationship Id="rId2" Type="http://schemas.openxmlformats.org/officeDocument/2006/relationships/customXml" Target="../customXml/item2.xml"/><Relationship Id="rId29" Type="http://schemas.openxmlformats.org/officeDocument/2006/relationships/oleObject" Target="embeddings/oleObject7.bin"/></Relationships>
</file>

<file path=word/_rels/foot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E7D0C-D633-4BF2-81BA-F1581ADEA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23046</Words>
  <Characters>131363</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Administrator</cp:lastModifiedBy>
  <cp:revision>5</cp:revision>
  <dcterms:created xsi:type="dcterms:W3CDTF">2021-09-13T22:28:00Z</dcterms:created>
  <dcterms:modified xsi:type="dcterms:W3CDTF">2021-09-15T22:49:00Z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http://www.zotero.org/styles/renewable-energy</vt:lpwstr>
  </property>
  <property fmtid="{D5CDD505-2E9C-101B-9397-08002B2CF9AE}" pid="21" name="Mendeley Recent Style Name 9_1">
    <vt:lpwstr>Renewable Energy</vt:lpwstr>
  </property>
  <property fmtid="{D5CDD505-2E9C-101B-9397-08002B2CF9AE}" pid="22" name="Mendeley Document_1">
    <vt:lpwstr>True</vt:lpwstr>
  </property>
  <property fmtid="{D5CDD505-2E9C-101B-9397-08002B2CF9AE}" pid="23" name="Mendeley Unique User Id_1">
    <vt:lpwstr>5defaeba-cf71-3838-a3e6-6f7717e2dd27</vt:lpwstr>
  </property>
  <property fmtid="{D5CDD505-2E9C-101B-9397-08002B2CF9AE}" pid="24" name="Mendeley Citation Style_1">
    <vt:lpwstr>http://www.zotero.org/styles/apa</vt:lpwstr>
  </property>
  <property fmtid="{D5CDD505-2E9C-101B-9397-08002B2CF9AE}" pid="25" name="MTEquationSection">
    <vt:lpwstr>1</vt:lpwstr>
  </property>
  <property fmtid="{D5CDD505-2E9C-101B-9397-08002B2CF9AE}" pid="26" name="MTWinEqns">
    <vt:bool>true</vt:bool>
  </property>
  <property fmtid="{D5CDD505-2E9C-101B-9397-08002B2CF9AE}" pid="27" name="MTEquationNumber2">
    <vt:lpwstr>1</vt:lpwstr>
  </property>
  <property fmtid="{D5CDD505-2E9C-101B-9397-08002B2CF9AE}" pid="28" name="MTCustomEquationNumber">
    <vt:lpwstr>1</vt:lpwstr>
  </property>
  <property fmtid="{D5CDD505-2E9C-101B-9397-08002B2CF9AE}" pid="29" name="MTEqnNumsOnRight">
    <vt:bool>true</vt:bool>
  </property>
  <property fmtid="{D5CDD505-2E9C-101B-9397-08002B2CF9AE}" pid="30" name="KSOProductBuildVer">
    <vt:lpwstr>2052-11.1.0.10314</vt:lpwstr>
  </property>
</Properties>
</file>