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C2" w:rsidRDefault="00BE15C2">
      <w:pPr>
        <w:jc w:val="center"/>
        <w:rPr>
          <w:b/>
          <w:sz w:val="20"/>
          <w:szCs w:val="20"/>
        </w:rPr>
      </w:pPr>
    </w:p>
    <w:p w:rsidR="00BE15C2" w:rsidRDefault="00D10942">
      <w:pPr>
        <w:jc w:val="center"/>
        <w:rPr>
          <w:b/>
          <w:sz w:val="20"/>
          <w:szCs w:val="20"/>
        </w:rPr>
      </w:pPr>
      <w:r>
        <w:rPr>
          <w:b/>
          <w:sz w:val="20"/>
          <w:szCs w:val="20"/>
        </w:rPr>
        <w:t>The Prevalence of Addiction Among Students in Dire Dawa University Ethiopia</w:t>
      </w:r>
    </w:p>
    <w:p w:rsidR="00BE15C2" w:rsidRDefault="00BE15C2">
      <w:pPr>
        <w:jc w:val="center"/>
        <w:rPr>
          <w:sz w:val="20"/>
          <w:szCs w:val="20"/>
          <w:lang w:eastAsia="zh-CN"/>
        </w:rPr>
      </w:pPr>
    </w:p>
    <w:p w:rsidR="00BE15C2" w:rsidRDefault="00D10942">
      <w:pPr>
        <w:jc w:val="center"/>
        <w:rPr>
          <w:b/>
          <w:bCs/>
          <w:sz w:val="20"/>
          <w:szCs w:val="20"/>
          <w:lang w:eastAsia="zh-CN"/>
        </w:rPr>
      </w:pPr>
      <w:r>
        <w:rPr>
          <w:b/>
          <w:bCs/>
          <w:sz w:val="20"/>
          <w:szCs w:val="20"/>
        </w:rPr>
        <w:t>Mustefa JIBRIL</w:t>
      </w:r>
    </w:p>
    <w:p w:rsidR="00BE15C2" w:rsidRDefault="00BE15C2">
      <w:pPr>
        <w:jc w:val="center"/>
        <w:rPr>
          <w:b/>
          <w:bCs/>
          <w:sz w:val="20"/>
          <w:szCs w:val="20"/>
          <w:lang w:eastAsia="zh-CN"/>
        </w:rPr>
      </w:pPr>
    </w:p>
    <w:p w:rsidR="00BE15C2" w:rsidRDefault="00D10942">
      <w:pPr>
        <w:jc w:val="center"/>
        <w:rPr>
          <w:sz w:val="20"/>
          <w:szCs w:val="20"/>
        </w:rPr>
      </w:pPr>
      <w:r>
        <w:rPr>
          <w:sz w:val="20"/>
          <w:szCs w:val="20"/>
        </w:rPr>
        <w:t xml:space="preserve">School of Electrical &amp; Computer Engineering, Dire Dawa Institute of Technology, Dire Dawa, </w:t>
      </w:r>
      <w:r>
        <w:rPr>
          <w:sz w:val="20"/>
          <w:szCs w:val="20"/>
        </w:rPr>
        <w:t>Ethiopia</w:t>
      </w:r>
    </w:p>
    <w:p w:rsidR="00BE15C2" w:rsidRDefault="00BE15C2">
      <w:pPr>
        <w:jc w:val="center"/>
        <w:rPr>
          <w:sz w:val="20"/>
          <w:szCs w:val="20"/>
        </w:rPr>
      </w:pPr>
      <w:hyperlink r:id="rId8" w:history="1">
        <w:r w:rsidR="00D10942">
          <w:rPr>
            <w:rStyle w:val="Hyperlink"/>
            <w:sz w:val="20"/>
            <w:szCs w:val="20"/>
          </w:rPr>
          <w:t>mustefa.jibril@ddu.edu.et</w:t>
        </w:r>
      </w:hyperlink>
    </w:p>
    <w:p w:rsidR="00BE15C2" w:rsidRDefault="00BE15C2">
      <w:pPr>
        <w:jc w:val="center"/>
        <w:rPr>
          <w:sz w:val="20"/>
          <w:szCs w:val="20"/>
        </w:rPr>
      </w:pPr>
    </w:p>
    <w:p w:rsidR="00BE15C2" w:rsidRDefault="00D10942">
      <w:pPr>
        <w:jc w:val="both"/>
        <w:rPr>
          <w:sz w:val="20"/>
          <w:szCs w:val="20"/>
        </w:rPr>
      </w:pPr>
      <w:r>
        <w:rPr>
          <w:b/>
          <w:sz w:val="20"/>
          <w:szCs w:val="20"/>
        </w:rPr>
        <w:t xml:space="preserve">Abstract: </w:t>
      </w:r>
      <w:r>
        <w:rPr>
          <w:sz w:val="20"/>
          <w:szCs w:val="20"/>
        </w:rPr>
        <w:t xml:space="preserve">This study was carried out to determine the prevalence of, and reasons for the various forms of addictive use among the students of the University of Dire Dawa. </w:t>
      </w:r>
      <w:r>
        <w:rPr>
          <w:sz w:val="20"/>
          <w:szCs w:val="20"/>
        </w:rPr>
        <w:t>The research system is used, cross-sectional, questionnaire-question. This study has been carried out, including the first-and second-year students at the University of Dire Dawa. The study included 164 students who have completed a structured questionnair</w:t>
      </w:r>
      <w:r>
        <w:rPr>
          <w:sz w:val="20"/>
          <w:szCs w:val="20"/>
        </w:rPr>
        <w:t>e. The Data was analyzed on SPSS version 16. The prevalence of addictive use was 20.7%, with 64.7% of the male students are dominating. It is the most common addiction among students was that the Chewing of Chat (38.2%), followed by cigarette smoking (23.5</w:t>
      </w:r>
      <w:r>
        <w:rPr>
          <w:sz w:val="20"/>
          <w:szCs w:val="20"/>
        </w:rPr>
        <w:t>%), marijuana smoking (17.6%), shisha smoking (8.8%), alcohol (6%), and 5.9% were of other addiction. The most important factor appears to be the pleasure to compete and not being able to love. The vast majority of addictive users of the students (47.1%) w</w:t>
      </w:r>
      <w:r>
        <w:rPr>
          <w:sz w:val="20"/>
          <w:szCs w:val="20"/>
        </w:rPr>
        <w:t>ere motivated by the friends of the start of an addiction. addictive usage among university students, even though they are well known about their dangers, a cause for concern. Education, training, counseling, and proper training can help prevent the depend</w:t>
      </w:r>
      <w:r>
        <w:rPr>
          <w:sz w:val="20"/>
          <w:szCs w:val="20"/>
        </w:rPr>
        <w:t>ency of prospective students, who are expected to serve the community.</w:t>
      </w:r>
    </w:p>
    <w:p w:rsidR="00D65F02" w:rsidRDefault="00D10942">
      <w:pPr>
        <w:wordWrap w:val="0"/>
        <w:jc w:val="both"/>
        <w:rPr>
          <w:rFonts w:hint="eastAsia"/>
          <w:color w:val="0000FF"/>
          <w:sz w:val="20"/>
          <w:szCs w:val="20"/>
          <w:lang w:eastAsia="zh-CN"/>
        </w:rPr>
      </w:pPr>
      <w:r>
        <w:rPr>
          <w:sz w:val="20"/>
          <w:szCs w:val="20"/>
        </w:rPr>
        <w:t>[</w:t>
      </w:r>
      <w:r>
        <w:rPr>
          <w:bCs/>
          <w:kern w:val="2"/>
          <w:sz w:val="20"/>
          <w:szCs w:val="20"/>
          <w:lang w:eastAsia="zh-CN"/>
        </w:rPr>
        <w:t>Mustefa JIBRIL</w:t>
      </w:r>
      <w:r>
        <w:rPr>
          <w:sz w:val="20"/>
          <w:szCs w:val="20"/>
        </w:rPr>
        <w:t xml:space="preserve">. </w:t>
      </w:r>
      <w:r>
        <w:rPr>
          <w:b/>
          <w:sz w:val="20"/>
          <w:szCs w:val="20"/>
        </w:rPr>
        <w:t>The Prevalence of Addiction Among Students in Dire Dawa University Ethiopia</w:t>
      </w:r>
      <w:r>
        <w:rPr>
          <w:b/>
          <w:sz w:val="20"/>
          <w:szCs w:val="20"/>
        </w:rPr>
        <w:t>.</w:t>
      </w:r>
      <w:r>
        <w:rPr>
          <w:sz w:val="20"/>
          <w:szCs w:val="20"/>
        </w:rPr>
        <w:t xml:space="preserve"> </w:t>
      </w:r>
      <w:r>
        <w:rPr>
          <w:rFonts w:eastAsia="Times New Roman"/>
          <w:bCs/>
          <w:i/>
          <w:sz w:val="20"/>
          <w:szCs w:val="20"/>
        </w:rPr>
        <w:t>N Y Sci</w:t>
      </w:r>
      <w:r>
        <w:rPr>
          <w:bCs/>
          <w:i/>
          <w:sz w:val="20"/>
          <w:szCs w:val="20"/>
          <w:lang w:eastAsia="zh-CN"/>
        </w:rPr>
        <w:t xml:space="preserve"> </w:t>
      </w:r>
      <w:r>
        <w:rPr>
          <w:rFonts w:eastAsia="Times New Roman"/>
          <w:bCs/>
          <w:i/>
          <w:sz w:val="20"/>
          <w:szCs w:val="20"/>
        </w:rPr>
        <w:t>J</w:t>
      </w:r>
      <w:r w:rsidR="00D65F02">
        <w:rPr>
          <w:rFonts w:hint="eastAsia"/>
          <w:bCs/>
          <w:i/>
          <w:sz w:val="20"/>
          <w:szCs w:val="20"/>
          <w:lang w:eastAsia="zh-CN"/>
        </w:rPr>
        <w:t xml:space="preserve"> </w:t>
      </w:r>
      <w:r>
        <w:rPr>
          <w:sz w:val="20"/>
          <w:szCs w:val="20"/>
        </w:rPr>
        <w:t>20</w:t>
      </w:r>
      <w:r>
        <w:rPr>
          <w:sz w:val="20"/>
          <w:szCs w:val="20"/>
          <w:lang w:eastAsia="zh-CN"/>
        </w:rPr>
        <w:t>21</w:t>
      </w:r>
      <w:r>
        <w:rPr>
          <w:sz w:val="20"/>
          <w:szCs w:val="20"/>
        </w:rPr>
        <w:t>;1</w:t>
      </w:r>
      <w:r>
        <w:rPr>
          <w:sz w:val="20"/>
          <w:szCs w:val="20"/>
          <w:lang w:eastAsia="zh-CN"/>
        </w:rPr>
        <w:t>4</w:t>
      </w:r>
      <w:r>
        <w:rPr>
          <w:iCs/>
          <w:color w:val="000000"/>
          <w:sz w:val="20"/>
          <w:szCs w:val="20"/>
          <w:lang w:eastAsia="zh-CN"/>
        </w:rPr>
        <w:t>(</w:t>
      </w:r>
      <w:r>
        <w:rPr>
          <w:sz w:val="20"/>
          <w:szCs w:val="20"/>
          <w:lang w:eastAsia="zh-CN"/>
        </w:rPr>
        <w:t>1</w:t>
      </w:r>
      <w:r>
        <w:rPr>
          <w:rFonts w:hint="eastAsia"/>
          <w:sz w:val="20"/>
          <w:szCs w:val="20"/>
          <w:lang w:eastAsia="zh-CN"/>
        </w:rPr>
        <w:t>1</w:t>
      </w:r>
      <w:r>
        <w:rPr>
          <w:sz w:val="20"/>
          <w:szCs w:val="20"/>
        </w:rPr>
        <w:t>):</w:t>
      </w:r>
      <w:r>
        <w:rPr>
          <w:rFonts w:hint="eastAsia"/>
          <w:sz w:val="20"/>
          <w:szCs w:val="20"/>
          <w:lang w:eastAsia="zh-CN"/>
        </w:rPr>
        <w:t>16</w:t>
      </w:r>
      <w:r>
        <w:rPr>
          <w:sz w:val="20"/>
          <w:szCs w:val="20"/>
          <w:lang w:eastAsia="zh-CN"/>
        </w:rPr>
        <w:t>-</w:t>
      </w:r>
      <w:r w:rsidR="00D65F02">
        <w:rPr>
          <w:rFonts w:hint="eastAsia"/>
          <w:sz w:val="20"/>
          <w:szCs w:val="20"/>
          <w:lang w:eastAsia="zh-CN"/>
        </w:rPr>
        <w:t>20</w:t>
      </w:r>
      <w:r>
        <w:rPr>
          <w:sz w:val="20"/>
          <w:szCs w:val="20"/>
        </w:rPr>
        <w:t>]</w:t>
      </w:r>
      <w:r w:rsidR="00D65F02">
        <w:rPr>
          <w:rFonts w:hint="eastAsia"/>
          <w:sz w:val="20"/>
          <w:szCs w:val="20"/>
          <w:lang w:eastAsia="zh-CN"/>
        </w:rPr>
        <w:t xml:space="preserve"> </w:t>
      </w:r>
      <w:r>
        <w:rPr>
          <w:iCs/>
          <w:color w:val="000000"/>
          <w:sz w:val="20"/>
          <w:szCs w:val="20"/>
          <w:lang w:eastAsia="zh-CN"/>
        </w:rPr>
        <w:t>ISSN</w:t>
      </w:r>
      <w:r w:rsidR="00D65F02">
        <w:rPr>
          <w:rFonts w:hint="eastAsia"/>
          <w:iCs/>
          <w:color w:val="000000"/>
          <w:sz w:val="20"/>
          <w:szCs w:val="20"/>
          <w:lang w:eastAsia="zh-CN"/>
        </w:rPr>
        <w:t xml:space="preserve"> </w:t>
      </w:r>
      <w:r>
        <w:rPr>
          <w:iCs/>
          <w:color w:val="000000"/>
          <w:sz w:val="20"/>
          <w:szCs w:val="20"/>
          <w:lang w:eastAsia="zh-CN"/>
        </w:rPr>
        <w:t>1554-0200(print);</w:t>
      </w:r>
      <w:r w:rsidR="00D65F02">
        <w:rPr>
          <w:rFonts w:hint="eastAsia"/>
          <w:iCs/>
          <w:color w:val="000000"/>
          <w:sz w:val="20"/>
          <w:szCs w:val="20"/>
          <w:lang w:eastAsia="zh-CN"/>
        </w:rPr>
        <w:t xml:space="preserve"> </w:t>
      </w:r>
      <w:r>
        <w:rPr>
          <w:iCs/>
          <w:color w:val="000000"/>
          <w:sz w:val="20"/>
          <w:szCs w:val="20"/>
          <w:lang w:eastAsia="zh-CN"/>
        </w:rPr>
        <w:t>ISSN</w:t>
      </w:r>
      <w:r w:rsidR="00D65F02">
        <w:rPr>
          <w:rFonts w:hint="eastAsia"/>
          <w:iCs/>
          <w:color w:val="000000"/>
          <w:sz w:val="20"/>
          <w:szCs w:val="20"/>
          <w:lang w:eastAsia="zh-CN"/>
        </w:rPr>
        <w:t xml:space="preserve"> </w:t>
      </w:r>
      <w:r>
        <w:rPr>
          <w:iCs/>
          <w:color w:val="000000"/>
          <w:sz w:val="20"/>
          <w:szCs w:val="20"/>
          <w:lang w:eastAsia="zh-CN"/>
        </w:rPr>
        <w:t>2375-723X(online)</w:t>
      </w:r>
      <w:r w:rsidR="00D65F02">
        <w:rPr>
          <w:rFonts w:hint="eastAsia"/>
          <w:iCs/>
          <w:color w:val="000000"/>
          <w:sz w:val="20"/>
          <w:szCs w:val="20"/>
          <w:lang w:eastAsia="zh-CN"/>
        </w:rPr>
        <w:t xml:space="preserve"> </w:t>
      </w:r>
      <w:hyperlink r:id="rId9" w:history="1">
        <w:r>
          <w:rPr>
            <w:rStyle w:val="Hyperlink"/>
            <w:sz w:val="20"/>
            <w:szCs w:val="20"/>
          </w:rPr>
          <w:t>http://www.sciencepub.net/newyork</w:t>
        </w:r>
      </w:hyperlink>
      <w:r>
        <w:rPr>
          <w:color w:val="0000FF"/>
          <w:sz w:val="20"/>
          <w:szCs w:val="20"/>
          <w:lang w:eastAsia="zh-CN"/>
        </w:rPr>
        <w:t>.</w:t>
      </w:r>
      <w:r>
        <w:rPr>
          <w:color w:val="0000FF"/>
          <w:sz w:val="20"/>
          <w:szCs w:val="20"/>
          <w:lang w:eastAsia="zh-CN"/>
        </w:rPr>
        <w:t xml:space="preserve"> </w:t>
      </w:r>
      <w:r>
        <w:rPr>
          <w:rFonts w:hint="eastAsia"/>
          <w:sz w:val="20"/>
          <w:szCs w:val="20"/>
          <w:lang w:eastAsia="zh-CN"/>
        </w:rPr>
        <w:t>4</w:t>
      </w:r>
      <w:r>
        <w:rPr>
          <w:color w:val="0000FF"/>
          <w:sz w:val="20"/>
          <w:szCs w:val="20"/>
        </w:rPr>
        <w:t>.</w:t>
      </w:r>
      <w:r w:rsidR="00D65F02">
        <w:rPr>
          <w:rFonts w:hint="eastAsia"/>
          <w:color w:val="0000FF"/>
          <w:sz w:val="20"/>
          <w:szCs w:val="20"/>
          <w:lang w:eastAsia="zh-CN"/>
        </w:rPr>
        <w:t xml:space="preserve"> </w:t>
      </w:r>
    </w:p>
    <w:p w:rsidR="00BE15C2" w:rsidRDefault="00D10942">
      <w:pPr>
        <w:wordWrap w:val="0"/>
        <w:jc w:val="both"/>
        <w:rPr>
          <w:rFonts w:eastAsia="Times New Roman"/>
          <w:sz w:val="20"/>
          <w:szCs w:val="20"/>
          <w:u w:val="single"/>
          <w:lang w:eastAsia="zh-CN"/>
        </w:rPr>
      </w:pPr>
      <w:r>
        <w:rPr>
          <w:color w:val="3A42EF"/>
          <w:sz w:val="20"/>
          <w:szCs w:val="20"/>
          <w:u w:val="single"/>
          <w:shd w:val="clear" w:color="auto" w:fill="FFFFFF"/>
        </w:rPr>
        <w:t>doi:</w:t>
      </w:r>
      <w:hyperlink r:id="rId10" w:history="1">
        <w:r>
          <w:rPr>
            <w:rStyle w:val="Hyperlink"/>
            <w:sz w:val="20"/>
            <w:szCs w:val="20"/>
            <w:shd w:val="clear" w:color="auto" w:fill="FFFFFF"/>
          </w:rPr>
          <w:t>10.7537/marsnys141121.04.</w:t>
        </w:r>
      </w:hyperlink>
    </w:p>
    <w:p w:rsidR="00BE15C2" w:rsidRDefault="00BE15C2">
      <w:pPr>
        <w:jc w:val="both"/>
        <w:rPr>
          <w:sz w:val="20"/>
          <w:szCs w:val="20"/>
        </w:rPr>
      </w:pPr>
    </w:p>
    <w:p w:rsidR="00BE15C2" w:rsidRDefault="00D10942">
      <w:pPr>
        <w:jc w:val="both"/>
        <w:rPr>
          <w:sz w:val="20"/>
          <w:szCs w:val="20"/>
        </w:rPr>
      </w:pPr>
      <w:r>
        <w:rPr>
          <w:b/>
          <w:sz w:val="20"/>
          <w:szCs w:val="20"/>
        </w:rPr>
        <w:t xml:space="preserve">Keywords: </w:t>
      </w:r>
      <w:r>
        <w:rPr>
          <w:sz w:val="20"/>
          <w:szCs w:val="20"/>
        </w:rPr>
        <w:t>Addiction, Prevalence, Dire Dawa, Dominating</w:t>
      </w:r>
    </w:p>
    <w:p w:rsidR="00BE15C2" w:rsidRDefault="00BE15C2">
      <w:pPr>
        <w:jc w:val="both"/>
        <w:rPr>
          <w:sz w:val="20"/>
          <w:szCs w:val="20"/>
        </w:rPr>
      </w:pPr>
    </w:p>
    <w:p w:rsidR="00BE15C2" w:rsidRDefault="00BE15C2">
      <w:pPr>
        <w:jc w:val="both"/>
        <w:rPr>
          <w:b/>
          <w:sz w:val="20"/>
          <w:szCs w:val="20"/>
        </w:rPr>
        <w:sectPr w:rsidR="00BE15C2">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6"/>
          <w:cols w:space="720"/>
          <w:titlePg/>
          <w:docGrid w:linePitch="360"/>
        </w:sectPr>
      </w:pPr>
    </w:p>
    <w:p w:rsidR="00BE15C2" w:rsidRDefault="00D10942">
      <w:pPr>
        <w:pStyle w:val="ListParagraph"/>
        <w:snapToGrid w:val="0"/>
        <w:spacing w:after="0" w:line="240" w:lineRule="auto"/>
        <w:ind w:left="0"/>
        <w:jc w:val="both"/>
        <w:rPr>
          <w:rFonts w:ascii="Times New Roman" w:hAnsi="Times New Roman"/>
          <w:sz w:val="20"/>
          <w:szCs w:val="20"/>
        </w:rPr>
      </w:pPr>
      <w:r>
        <w:rPr>
          <w:b/>
          <w:sz w:val="20"/>
          <w:szCs w:val="20"/>
        </w:rPr>
        <w:lastRenderedPageBreak/>
        <w:t xml:space="preserve">1 </w:t>
      </w:r>
      <w:r>
        <w:rPr>
          <w:rFonts w:ascii="Times New Roman" w:hAnsi="Times New Roman"/>
          <w:b/>
          <w:sz w:val="20"/>
          <w:szCs w:val="20"/>
        </w:rPr>
        <w:t>Introduction:</w:t>
      </w:r>
    </w:p>
    <w:p w:rsidR="00BE15C2" w:rsidRDefault="00BE15C2">
      <w:pPr>
        <w:snapToGrid w:val="0"/>
        <w:jc w:val="both"/>
        <w:rPr>
          <w:sz w:val="20"/>
          <w:szCs w:val="20"/>
        </w:rPr>
      </w:pPr>
    </w:p>
    <w:p w:rsidR="00BE15C2" w:rsidRDefault="00D10942">
      <w:pPr>
        <w:snapToGrid w:val="0"/>
        <w:jc w:val="both"/>
        <w:rPr>
          <w:sz w:val="20"/>
          <w:szCs w:val="20"/>
        </w:rPr>
      </w:pPr>
      <w:r>
        <w:rPr>
          <w:sz w:val="20"/>
          <w:szCs w:val="20"/>
        </w:rPr>
        <w:t xml:space="preserve">          Addiction is a global concern. This does not just affect the individual's mental, physical, and social well-being, but also to their social surroundings, and still is, the first case. The distribution of students may be different from that of the</w:t>
      </w:r>
      <w:r>
        <w:rPr>
          <w:sz w:val="20"/>
          <w:szCs w:val="20"/>
        </w:rPr>
        <w:t xml:space="preserve"> general population, particularly among</w:t>
      </w:r>
      <w:bookmarkStart w:id="15" w:name="_GoBack"/>
      <w:bookmarkEnd w:id="15"/>
      <w:r>
        <w:rPr>
          <w:sz w:val="20"/>
          <w:szCs w:val="20"/>
        </w:rPr>
        <w:t xml:space="preserve"> the university students who have to cope with the various stresses of their education and training.</w:t>
      </w:r>
    </w:p>
    <w:p w:rsidR="00BE15C2" w:rsidRDefault="00D10942">
      <w:pPr>
        <w:snapToGrid w:val="0"/>
        <w:jc w:val="both"/>
        <w:rPr>
          <w:sz w:val="20"/>
          <w:szCs w:val="20"/>
        </w:rPr>
      </w:pPr>
      <w:r>
        <w:rPr>
          <w:sz w:val="20"/>
          <w:szCs w:val="20"/>
        </w:rPr>
        <w:t xml:space="preserve">           The student will undergo dramatic changes as they leave the safety and security of their family and arriv</w:t>
      </w:r>
      <w:r>
        <w:rPr>
          <w:sz w:val="20"/>
          <w:szCs w:val="20"/>
        </w:rPr>
        <w:t>e at college. Upon arriving on campus, they can expect to gain independence, expand their knowledge, and progress to adulthood. Despite these opportunities, however, college students face many challenges including expanded courses, new space, and, at least</w:t>
      </w:r>
      <w:r>
        <w:rPr>
          <w:sz w:val="20"/>
          <w:szCs w:val="20"/>
        </w:rPr>
        <w:t xml:space="preserve"> initially, a small support network. Also, they have the challenge to complete their education while alcohol and other addictions are readily available.</w:t>
      </w:r>
    </w:p>
    <w:p w:rsidR="00BE15C2" w:rsidRDefault="00D10942">
      <w:pPr>
        <w:snapToGrid w:val="0"/>
        <w:jc w:val="both"/>
        <w:rPr>
          <w:sz w:val="20"/>
          <w:szCs w:val="20"/>
        </w:rPr>
      </w:pPr>
      <w:r>
        <w:rPr>
          <w:sz w:val="20"/>
          <w:szCs w:val="20"/>
        </w:rPr>
        <w:t xml:space="preserve">            Although addiction use is a concern for all ages and demographics, it is especially true fo</w:t>
      </w:r>
      <w:r>
        <w:rPr>
          <w:sz w:val="20"/>
          <w:szCs w:val="20"/>
        </w:rPr>
        <w:t>r adult students in college. The country is experiencing some very high levels of addiction use, which can disrupt college knowledge and lead to addiction.</w:t>
      </w:r>
    </w:p>
    <w:p w:rsidR="00BE15C2" w:rsidRDefault="00D10942">
      <w:pPr>
        <w:snapToGrid w:val="0"/>
        <w:jc w:val="both"/>
        <w:rPr>
          <w:sz w:val="20"/>
          <w:szCs w:val="20"/>
        </w:rPr>
      </w:pPr>
      <w:r>
        <w:rPr>
          <w:sz w:val="20"/>
          <w:szCs w:val="20"/>
        </w:rPr>
        <w:t xml:space="preserve">           The most common use of addiction among university students has been tobacco, Chewing Chat</w:t>
      </w:r>
      <w:r>
        <w:rPr>
          <w:sz w:val="20"/>
          <w:szCs w:val="20"/>
        </w:rPr>
        <w:t xml:space="preserve">, and Shisha smoking. In some studies, it has been </w:t>
      </w:r>
      <w:r>
        <w:rPr>
          <w:sz w:val="20"/>
          <w:szCs w:val="20"/>
        </w:rPr>
        <w:lastRenderedPageBreak/>
        <w:t>found that they are the most addictive, starting at the age of 18, when students take this addiction to school, and they think it depends on who the source is among their friends.</w:t>
      </w:r>
    </w:p>
    <w:p w:rsidR="00BE15C2" w:rsidRDefault="00D10942">
      <w:pPr>
        <w:snapToGrid w:val="0"/>
        <w:jc w:val="both"/>
        <w:rPr>
          <w:sz w:val="20"/>
          <w:szCs w:val="20"/>
        </w:rPr>
      </w:pPr>
      <w:r>
        <w:rPr>
          <w:sz w:val="20"/>
          <w:szCs w:val="20"/>
        </w:rPr>
        <w:t xml:space="preserve">            College addic</w:t>
      </w:r>
      <w:r>
        <w:rPr>
          <w:sz w:val="20"/>
          <w:szCs w:val="20"/>
        </w:rPr>
        <w:t>tion use may be as prevalent as it is due to the new freedom offered by the college environment. As a young person approaches the college campus, students are accountable for their decisions and behavior without parental guidance, for the first time in man</w:t>
      </w:r>
      <w:r>
        <w:rPr>
          <w:sz w:val="20"/>
          <w:szCs w:val="20"/>
        </w:rPr>
        <w:t xml:space="preserve">y cases.           </w:t>
      </w:r>
    </w:p>
    <w:p w:rsidR="00BE15C2" w:rsidRDefault="00D10942">
      <w:pPr>
        <w:snapToGrid w:val="0"/>
        <w:jc w:val="both"/>
        <w:rPr>
          <w:sz w:val="20"/>
          <w:szCs w:val="20"/>
        </w:rPr>
      </w:pPr>
      <w:r>
        <w:rPr>
          <w:sz w:val="20"/>
          <w:szCs w:val="20"/>
        </w:rPr>
        <w:t xml:space="preserve">           In Ethiopia, some studies have been done based on the addiction of university students. This study was carried out to determine the prevalence and reasons for the various forms of addiction among Dire Dawa university students</w:t>
      </w:r>
      <w:r>
        <w:rPr>
          <w:sz w:val="20"/>
          <w:szCs w:val="20"/>
        </w:rPr>
        <w:t>.</w:t>
      </w:r>
    </w:p>
    <w:p w:rsidR="00BE15C2" w:rsidRDefault="00BE15C2">
      <w:pPr>
        <w:snapToGrid w:val="0"/>
        <w:jc w:val="both"/>
        <w:rPr>
          <w:b/>
          <w:sz w:val="20"/>
          <w:szCs w:val="20"/>
        </w:rPr>
      </w:pPr>
    </w:p>
    <w:p w:rsidR="00BE15C2" w:rsidRDefault="00D10942">
      <w:pPr>
        <w:pStyle w:val="ListParagraph"/>
        <w:snapToGrid w:val="0"/>
        <w:spacing w:after="0" w:line="240" w:lineRule="auto"/>
        <w:ind w:left="0"/>
        <w:jc w:val="both"/>
        <w:rPr>
          <w:rFonts w:ascii="Times New Roman" w:hAnsi="Times New Roman"/>
          <w:b/>
          <w:sz w:val="20"/>
          <w:szCs w:val="20"/>
        </w:rPr>
      </w:pPr>
      <w:r>
        <w:rPr>
          <w:rFonts w:ascii="Times New Roman" w:hAnsi="Times New Roman"/>
          <w:b/>
          <w:sz w:val="20"/>
          <w:szCs w:val="20"/>
        </w:rPr>
        <w:t>Materials and Methods:</w:t>
      </w:r>
    </w:p>
    <w:p w:rsidR="00BE15C2" w:rsidRDefault="00D10942">
      <w:pPr>
        <w:snapToGrid w:val="0"/>
        <w:ind w:firstLine="425"/>
        <w:jc w:val="both"/>
        <w:rPr>
          <w:sz w:val="20"/>
          <w:szCs w:val="20"/>
        </w:rPr>
      </w:pPr>
      <w:r>
        <w:rPr>
          <w:sz w:val="20"/>
          <w:szCs w:val="20"/>
        </w:rPr>
        <w:t>This study was carried out at the University of Dire Dawa among the first-and second-year students. 164 the volunteers, the students completed a self-administered survey at the end of the lecture, explaining, their goals, learning</w:t>
      </w:r>
      <w:r>
        <w:rPr>
          <w:sz w:val="20"/>
          <w:szCs w:val="20"/>
        </w:rPr>
        <w:t xml:space="preserve">, and filling in the questionnaire. The students were assured of confidentiality and are asked not to write their names will remain anonymous. </w:t>
      </w:r>
    </w:p>
    <w:p w:rsidR="00BE15C2" w:rsidRDefault="00D10942">
      <w:pPr>
        <w:snapToGrid w:val="0"/>
        <w:ind w:firstLine="425"/>
        <w:jc w:val="both"/>
        <w:rPr>
          <w:sz w:val="20"/>
          <w:szCs w:val="20"/>
        </w:rPr>
      </w:pPr>
      <w:r>
        <w:rPr>
          <w:sz w:val="20"/>
          <w:szCs w:val="20"/>
        </w:rPr>
        <w:t>If it is assumed that the prevalence of addictive uses among students, 16% of the previous studies, the sample i</w:t>
      </w:r>
      <w:r>
        <w:rPr>
          <w:sz w:val="20"/>
          <w:szCs w:val="20"/>
        </w:rPr>
        <w:t xml:space="preserve">s designed in the shape of 149, with a 95% </w:t>
      </w:r>
      <w:r>
        <w:rPr>
          <w:sz w:val="20"/>
          <w:szCs w:val="20"/>
        </w:rPr>
        <w:lastRenderedPageBreak/>
        <w:t xml:space="preserve">confidence level of alpha= 0.05. The request for information, which contains the general information of the students (age, sex, place of residence), addictive dependence (a type of addictive dependence, frequency </w:t>
      </w:r>
      <w:r>
        <w:rPr>
          <w:sz w:val="20"/>
          <w:szCs w:val="20"/>
        </w:rPr>
        <w:t xml:space="preserve">of use, age of initiation, the cause, the beginning, and the continuance, of the important factors, and financial resources to purchase it, it's dangerous influence, and ready to stop the addiction, and the information from the non-addicted individuals. </w:t>
      </w:r>
    </w:p>
    <w:p w:rsidR="00BE15C2" w:rsidRDefault="00D10942">
      <w:pPr>
        <w:snapToGrid w:val="0"/>
        <w:ind w:firstLine="425"/>
        <w:jc w:val="both"/>
        <w:rPr>
          <w:sz w:val="20"/>
          <w:szCs w:val="20"/>
        </w:rPr>
      </w:pPr>
      <w:r>
        <w:rPr>
          <w:sz w:val="20"/>
          <w:szCs w:val="20"/>
        </w:rPr>
        <w:t>T</w:t>
      </w:r>
      <w:r>
        <w:rPr>
          <w:sz w:val="20"/>
          <w:szCs w:val="20"/>
        </w:rPr>
        <w:t xml:space="preserve">he Data were analyzed using the Statistical Packages for the Social Sciences (SPSS) version 16. The proportion/ percentage and chi-square criteria </w:t>
      </w:r>
      <w:r>
        <w:rPr>
          <w:sz w:val="20"/>
          <w:szCs w:val="20"/>
        </w:rPr>
        <w:lastRenderedPageBreak/>
        <w:t>were used for statistical analysis. An R-value less than 0.05 is considered to be significant.</w:t>
      </w:r>
    </w:p>
    <w:p w:rsidR="00BE15C2" w:rsidRDefault="00BE15C2">
      <w:pPr>
        <w:snapToGrid w:val="0"/>
        <w:ind w:firstLine="425"/>
        <w:jc w:val="both"/>
        <w:rPr>
          <w:sz w:val="20"/>
          <w:szCs w:val="20"/>
          <w:lang w:eastAsia="zh-CN"/>
        </w:rPr>
      </w:pPr>
    </w:p>
    <w:p w:rsidR="00BE15C2" w:rsidRDefault="00D10942">
      <w:pPr>
        <w:pStyle w:val="ListParagraph"/>
        <w:snapToGrid w:val="0"/>
        <w:spacing w:after="0" w:line="240" w:lineRule="auto"/>
        <w:ind w:left="0"/>
        <w:jc w:val="both"/>
        <w:rPr>
          <w:rFonts w:ascii="Times New Roman" w:hAnsi="Times New Roman"/>
          <w:b/>
          <w:sz w:val="20"/>
          <w:szCs w:val="20"/>
        </w:rPr>
      </w:pPr>
      <w:r>
        <w:rPr>
          <w:rFonts w:ascii="Times New Roman" w:hAnsi="Times New Roman"/>
          <w:b/>
          <w:sz w:val="20"/>
          <w:szCs w:val="20"/>
        </w:rPr>
        <w:t>Result and Di</w:t>
      </w:r>
      <w:r>
        <w:rPr>
          <w:rFonts w:ascii="Times New Roman" w:hAnsi="Times New Roman"/>
          <w:b/>
          <w:sz w:val="20"/>
          <w:szCs w:val="20"/>
        </w:rPr>
        <w:t>scussion</w:t>
      </w:r>
    </w:p>
    <w:p w:rsidR="00BE15C2" w:rsidRDefault="00D10942">
      <w:pPr>
        <w:snapToGrid w:val="0"/>
        <w:ind w:firstLine="425"/>
        <w:jc w:val="both"/>
        <w:rPr>
          <w:rFonts w:hint="eastAsia"/>
          <w:sz w:val="20"/>
          <w:szCs w:val="20"/>
          <w:lang w:eastAsia="zh-CN"/>
        </w:rPr>
      </w:pPr>
      <w:r>
        <w:rPr>
          <w:sz w:val="20"/>
          <w:szCs w:val="20"/>
        </w:rPr>
        <w:t xml:space="preserve">Among 164 participants, 72 were male (43.9%) and 92 female (56.1%). The mean age of the participants was 18.6 years. The average age of onset of addiction was 14.05 years. The overall prevalence of addiction use was 20.7%, with 64.7 % of the male </w:t>
      </w:r>
      <w:r>
        <w:rPr>
          <w:sz w:val="20"/>
          <w:szCs w:val="20"/>
        </w:rPr>
        <w:t xml:space="preserve">students is dominating compared to 35.3% of the female students (p&lt;0.05) </w:t>
      </w:r>
    </w:p>
    <w:p w:rsidR="00D65F02" w:rsidRDefault="00D65F02">
      <w:pPr>
        <w:snapToGrid w:val="0"/>
        <w:ind w:firstLine="425"/>
        <w:jc w:val="both"/>
        <w:rPr>
          <w:sz w:val="20"/>
          <w:szCs w:val="20"/>
          <w:lang w:eastAsia="zh-CN"/>
        </w:rPr>
        <w:sectPr w:rsidR="00D65F02">
          <w:headerReference w:type="default" r:id="rId16"/>
          <w:type w:val="continuous"/>
          <w:pgSz w:w="12240" w:h="15840"/>
          <w:pgMar w:top="1440" w:right="1440" w:bottom="1440" w:left="1440" w:header="720" w:footer="720" w:gutter="0"/>
          <w:cols w:num="2" w:space="550"/>
          <w:docGrid w:linePitch="360"/>
        </w:sectPr>
      </w:pPr>
    </w:p>
    <w:p w:rsidR="00D65F02" w:rsidRDefault="00D65F02">
      <w:pPr>
        <w:snapToGrid w:val="0"/>
        <w:ind w:firstLine="425"/>
        <w:jc w:val="both"/>
        <w:rPr>
          <w:rFonts w:hint="eastAsia"/>
          <w:sz w:val="20"/>
          <w:szCs w:val="20"/>
          <w:lang w:eastAsia="zh-CN"/>
        </w:rPr>
      </w:pPr>
    </w:p>
    <w:p w:rsidR="00BE15C2" w:rsidRDefault="00D10942">
      <w:pPr>
        <w:snapToGrid w:val="0"/>
        <w:ind w:firstLine="425"/>
        <w:jc w:val="center"/>
        <w:rPr>
          <w:sz w:val="20"/>
          <w:szCs w:val="20"/>
        </w:rPr>
      </w:pPr>
      <w:r>
        <w:rPr>
          <w:noProof/>
          <w:sz w:val="20"/>
          <w:szCs w:val="20"/>
          <w:lang w:eastAsia="zh-CN"/>
        </w:rPr>
        <w:drawing>
          <wp:inline distT="0" distB="0" distL="0" distR="0">
            <wp:extent cx="3964686" cy="2305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srcRect/>
                    <a:stretch>
                      <a:fillRect/>
                    </a:stretch>
                  </pic:blipFill>
                  <pic:spPr>
                    <a:xfrm>
                      <a:off x="0" y="0"/>
                      <a:ext cx="3966304" cy="2305991"/>
                    </a:xfrm>
                    <a:prstGeom prst="rect">
                      <a:avLst/>
                    </a:prstGeom>
                    <a:noFill/>
                    <a:ln w="9525">
                      <a:noFill/>
                      <a:miter lim="800000"/>
                      <a:headEnd/>
                      <a:tailEnd/>
                    </a:ln>
                  </pic:spPr>
                </pic:pic>
              </a:graphicData>
            </a:graphic>
          </wp:inline>
        </w:drawing>
      </w:r>
    </w:p>
    <w:p w:rsidR="00BE15C2" w:rsidRDefault="00D10942">
      <w:pPr>
        <w:snapToGrid w:val="0"/>
        <w:ind w:firstLine="425"/>
        <w:jc w:val="center"/>
        <w:rPr>
          <w:rFonts w:hint="eastAsia"/>
          <w:sz w:val="20"/>
          <w:szCs w:val="20"/>
          <w:lang w:eastAsia="zh-CN"/>
        </w:rPr>
      </w:pPr>
      <w:r>
        <w:rPr>
          <w:sz w:val="20"/>
          <w:szCs w:val="20"/>
        </w:rPr>
        <w:t>Figure 1 The overall prevalence of addiction</w:t>
      </w:r>
    </w:p>
    <w:p w:rsidR="00D65F02" w:rsidRDefault="00D65F02">
      <w:pPr>
        <w:snapToGrid w:val="0"/>
        <w:ind w:firstLine="425"/>
        <w:jc w:val="center"/>
        <w:rPr>
          <w:rFonts w:hint="eastAsia"/>
          <w:sz w:val="20"/>
          <w:szCs w:val="20"/>
          <w:lang w:eastAsia="zh-CN"/>
        </w:rPr>
      </w:pPr>
    </w:p>
    <w:p w:rsidR="00BE15C2" w:rsidRDefault="00D10942">
      <w:pPr>
        <w:snapToGrid w:val="0"/>
        <w:ind w:firstLine="425"/>
        <w:jc w:val="center"/>
        <w:rPr>
          <w:sz w:val="20"/>
          <w:szCs w:val="20"/>
        </w:rPr>
      </w:pPr>
      <w:r>
        <w:rPr>
          <w:noProof/>
          <w:sz w:val="20"/>
          <w:szCs w:val="20"/>
          <w:lang w:eastAsia="zh-CN"/>
        </w:rPr>
        <w:drawing>
          <wp:inline distT="0" distB="0" distL="0" distR="0">
            <wp:extent cx="3880119" cy="2590800"/>
            <wp:effectExtent l="19050" t="0" r="608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srcRect/>
                    <a:stretch>
                      <a:fillRect/>
                    </a:stretch>
                  </pic:blipFill>
                  <pic:spPr>
                    <a:xfrm>
                      <a:off x="0" y="0"/>
                      <a:ext cx="3880119" cy="2590800"/>
                    </a:xfrm>
                    <a:prstGeom prst="rect">
                      <a:avLst/>
                    </a:prstGeom>
                    <a:noFill/>
                    <a:ln w="9525">
                      <a:noFill/>
                      <a:miter lim="800000"/>
                      <a:headEnd/>
                      <a:tailEnd/>
                    </a:ln>
                  </pic:spPr>
                </pic:pic>
              </a:graphicData>
            </a:graphic>
          </wp:inline>
        </w:drawing>
      </w:r>
    </w:p>
    <w:p w:rsidR="00BE15C2" w:rsidRDefault="00D10942">
      <w:pPr>
        <w:snapToGrid w:val="0"/>
        <w:ind w:firstLine="425"/>
        <w:jc w:val="center"/>
        <w:rPr>
          <w:sz w:val="20"/>
          <w:szCs w:val="20"/>
        </w:rPr>
      </w:pPr>
      <w:r>
        <w:rPr>
          <w:sz w:val="20"/>
          <w:szCs w:val="20"/>
        </w:rPr>
        <w:t>Figure 2 Male female addiction percentage</w:t>
      </w:r>
    </w:p>
    <w:p w:rsidR="00BE15C2" w:rsidRDefault="00BE15C2">
      <w:pPr>
        <w:snapToGrid w:val="0"/>
        <w:ind w:firstLine="425"/>
        <w:jc w:val="both"/>
        <w:rPr>
          <w:sz w:val="20"/>
          <w:szCs w:val="20"/>
        </w:rPr>
      </w:pPr>
    </w:p>
    <w:p w:rsidR="00BE15C2" w:rsidRDefault="00D10942">
      <w:pPr>
        <w:snapToGrid w:val="0"/>
        <w:ind w:firstLine="425"/>
        <w:jc w:val="both"/>
        <w:rPr>
          <w:rFonts w:hint="eastAsia"/>
          <w:bCs/>
          <w:sz w:val="20"/>
          <w:szCs w:val="20"/>
          <w:lang w:eastAsia="zh-CN"/>
        </w:rPr>
      </w:pPr>
      <w:r>
        <w:rPr>
          <w:sz w:val="20"/>
          <w:szCs w:val="20"/>
        </w:rPr>
        <w:t xml:space="preserve">Addiction use was higher among students who live in their own homes (51.5%), based on discrimination, as part of a university dormitory (39.4%), and that the lease of private housing (6.1%) and with their relatives (3%). The </w:t>
      </w:r>
      <w:r>
        <w:rPr>
          <w:bCs/>
          <w:sz w:val="20"/>
          <w:szCs w:val="20"/>
        </w:rPr>
        <w:t>most common addiction among stu</w:t>
      </w:r>
      <w:r>
        <w:rPr>
          <w:bCs/>
          <w:sz w:val="20"/>
          <w:szCs w:val="20"/>
        </w:rPr>
        <w:t xml:space="preserve">dents was that the Chewing of Chat (38.2%), followed by cigarette smoking (23.5%), marijuana smoking (17.6%), shisha smoking (8.8%), alcohol (6%), and 5.9% were of other </w:t>
      </w:r>
      <w:r>
        <w:rPr>
          <w:sz w:val="20"/>
          <w:szCs w:val="20"/>
        </w:rPr>
        <w:t>addiction</w:t>
      </w:r>
      <w:r>
        <w:rPr>
          <w:bCs/>
          <w:sz w:val="20"/>
          <w:szCs w:val="20"/>
        </w:rPr>
        <w:t>.</w:t>
      </w:r>
    </w:p>
    <w:p w:rsidR="00D65F02" w:rsidRDefault="00D65F02">
      <w:pPr>
        <w:snapToGrid w:val="0"/>
        <w:ind w:firstLine="425"/>
        <w:jc w:val="both"/>
        <w:rPr>
          <w:rFonts w:hint="eastAsia"/>
          <w:sz w:val="20"/>
          <w:szCs w:val="20"/>
          <w:lang w:eastAsia="zh-CN"/>
        </w:rPr>
      </w:pPr>
    </w:p>
    <w:p w:rsidR="00BE15C2" w:rsidRDefault="00D10942">
      <w:pPr>
        <w:snapToGrid w:val="0"/>
        <w:ind w:firstLine="425"/>
        <w:jc w:val="center"/>
        <w:rPr>
          <w:sz w:val="20"/>
          <w:szCs w:val="20"/>
        </w:rPr>
      </w:pPr>
      <w:r>
        <w:rPr>
          <w:noProof/>
          <w:sz w:val="20"/>
          <w:szCs w:val="20"/>
          <w:lang w:eastAsia="zh-CN"/>
        </w:rPr>
        <w:lastRenderedPageBreak/>
        <w:drawing>
          <wp:inline distT="0" distB="0" distL="0" distR="0">
            <wp:extent cx="3609443" cy="2638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srcRect/>
                    <a:stretch>
                      <a:fillRect/>
                    </a:stretch>
                  </pic:blipFill>
                  <pic:spPr>
                    <a:xfrm>
                      <a:off x="0" y="0"/>
                      <a:ext cx="3612088" cy="2640358"/>
                    </a:xfrm>
                    <a:prstGeom prst="rect">
                      <a:avLst/>
                    </a:prstGeom>
                    <a:noFill/>
                    <a:ln w="9525">
                      <a:noFill/>
                      <a:miter lim="800000"/>
                      <a:headEnd/>
                      <a:tailEnd/>
                    </a:ln>
                  </pic:spPr>
                </pic:pic>
              </a:graphicData>
            </a:graphic>
          </wp:inline>
        </w:drawing>
      </w:r>
    </w:p>
    <w:p w:rsidR="00BE15C2" w:rsidRDefault="00D10942">
      <w:pPr>
        <w:snapToGrid w:val="0"/>
        <w:ind w:firstLine="425"/>
        <w:jc w:val="center"/>
        <w:rPr>
          <w:rFonts w:hint="eastAsia"/>
          <w:sz w:val="20"/>
          <w:szCs w:val="20"/>
          <w:lang w:eastAsia="zh-CN"/>
        </w:rPr>
      </w:pPr>
      <w:r>
        <w:rPr>
          <w:sz w:val="20"/>
          <w:szCs w:val="20"/>
        </w:rPr>
        <w:t>Figure 3 Students addiction based on living</w:t>
      </w:r>
    </w:p>
    <w:p w:rsidR="00D65F02" w:rsidRDefault="00D65F02">
      <w:pPr>
        <w:snapToGrid w:val="0"/>
        <w:ind w:firstLine="425"/>
        <w:jc w:val="center"/>
        <w:rPr>
          <w:rFonts w:hint="eastAsia"/>
          <w:sz w:val="20"/>
          <w:szCs w:val="20"/>
          <w:lang w:eastAsia="zh-CN"/>
        </w:rPr>
      </w:pPr>
    </w:p>
    <w:p w:rsidR="00BE15C2" w:rsidRDefault="00D10942">
      <w:pPr>
        <w:snapToGrid w:val="0"/>
        <w:ind w:firstLine="425"/>
        <w:jc w:val="center"/>
        <w:rPr>
          <w:sz w:val="20"/>
          <w:szCs w:val="20"/>
        </w:rPr>
      </w:pPr>
      <w:r>
        <w:rPr>
          <w:noProof/>
          <w:sz w:val="20"/>
          <w:szCs w:val="20"/>
          <w:lang w:eastAsia="zh-CN"/>
        </w:rPr>
        <w:drawing>
          <wp:inline distT="0" distB="0" distL="0" distR="0">
            <wp:extent cx="3779825" cy="2676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srcRect/>
                    <a:stretch>
                      <a:fillRect/>
                    </a:stretch>
                  </pic:blipFill>
                  <pic:spPr>
                    <a:xfrm>
                      <a:off x="0" y="0"/>
                      <a:ext cx="3784070" cy="2679531"/>
                    </a:xfrm>
                    <a:prstGeom prst="rect">
                      <a:avLst/>
                    </a:prstGeom>
                    <a:noFill/>
                    <a:ln w="9525">
                      <a:noFill/>
                      <a:miter lim="800000"/>
                      <a:headEnd/>
                      <a:tailEnd/>
                    </a:ln>
                  </pic:spPr>
                </pic:pic>
              </a:graphicData>
            </a:graphic>
          </wp:inline>
        </w:drawing>
      </w:r>
    </w:p>
    <w:p w:rsidR="00BE15C2" w:rsidRDefault="00D10942">
      <w:pPr>
        <w:snapToGrid w:val="0"/>
        <w:ind w:firstLine="425"/>
        <w:jc w:val="center"/>
        <w:rPr>
          <w:sz w:val="20"/>
          <w:szCs w:val="20"/>
        </w:rPr>
      </w:pPr>
      <w:r>
        <w:rPr>
          <w:sz w:val="20"/>
          <w:szCs w:val="20"/>
        </w:rPr>
        <w:t xml:space="preserve">Figure 4 Types of students </w:t>
      </w:r>
      <w:r>
        <w:rPr>
          <w:sz w:val="20"/>
          <w:szCs w:val="20"/>
        </w:rPr>
        <w:t>addiction</w:t>
      </w:r>
    </w:p>
    <w:p w:rsidR="00BE15C2" w:rsidRDefault="00BE15C2">
      <w:pPr>
        <w:snapToGrid w:val="0"/>
        <w:ind w:firstLine="425"/>
        <w:jc w:val="center"/>
        <w:rPr>
          <w:sz w:val="20"/>
          <w:szCs w:val="20"/>
        </w:rPr>
      </w:pPr>
    </w:p>
    <w:p w:rsidR="00BE15C2" w:rsidRDefault="00D10942">
      <w:pPr>
        <w:snapToGrid w:val="0"/>
        <w:jc w:val="center"/>
        <w:rPr>
          <w:sz w:val="20"/>
          <w:szCs w:val="20"/>
        </w:rPr>
      </w:pPr>
      <w:r>
        <w:rPr>
          <w:sz w:val="20"/>
          <w:szCs w:val="20"/>
        </w:rPr>
        <w:t>Table 1: Factors that initiate addiction among university students.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6"/>
        <w:gridCol w:w="2880"/>
        <w:gridCol w:w="2970"/>
      </w:tblGrid>
      <w:tr w:rsidR="00BE15C2" w:rsidTr="00D65F02">
        <w:trPr>
          <w:jc w:val="center"/>
        </w:trPr>
        <w:tc>
          <w:tcPr>
            <w:tcW w:w="5000" w:type="pct"/>
            <w:gridSpan w:val="3"/>
            <w:shd w:val="clear" w:color="auto" w:fill="auto"/>
          </w:tcPr>
          <w:p w:rsidR="00BE15C2" w:rsidRDefault="00D10942">
            <w:pPr>
              <w:snapToGrid w:val="0"/>
              <w:jc w:val="both"/>
              <w:rPr>
                <w:sz w:val="20"/>
                <w:szCs w:val="20"/>
                <w:lang w:val="en-GB"/>
              </w:rPr>
            </w:pPr>
            <w:r>
              <w:rPr>
                <w:bCs/>
                <w:sz w:val="20"/>
                <w:szCs w:val="20"/>
              </w:rPr>
              <w:t>Causes Of Initiation for Addiction (N= 164)</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CAUSE</w:t>
            </w:r>
          </w:p>
        </w:tc>
        <w:tc>
          <w:tcPr>
            <w:tcW w:w="1504" w:type="pct"/>
            <w:shd w:val="clear" w:color="auto" w:fill="auto"/>
          </w:tcPr>
          <w:p w:rsidR="00BE15C2" w:rsidRDefault="00D10942">
            <w:pPr>
              <w:snapToGrid w:val="0"/>
              <w:jc w:val="both"/>
              <w:rPr>
                <w:sz w:val="20"/>
                <w:szCs w:val="20"/>
                <w:lang w:val="en-GB"/>
              </w:rPr>
            </w:pPr>
            <w:r>
              <w:rPr>
                <w:sz w:val="20"/>
                <w:szCs w:val="20"/>
              </w:rPr>
              <w:t>Frequency</w:t>
            </w:r>
          </w:p>
        </w:tc>
        <w:tc>
          <w:tcPr>
            <w:tcW w:w="1551" w:type="pct"/>
            <w:shd w:val="clear" w:color="auto" w:fill="auto"/>
          </w:tcPr>
          <w:p w:rsidR="00BE15C2" w:rsidRDefault="00D10942">
            <w:pPr>
              <w:snapToGrid w:val="0"/>
              <w:jc w:val="both"/>
              <w:rPr>
                <w:sz w:val="20"/>
                <w:szCs w:val="20"/>
                <w:lang w:val="en-GB"/>
              </w:rPr>
            </w:pPr>
            <w:r>
              <w:rPr>
                <w:sz w:val="20"/>
                <w:szCs w:val="20"/>
              </w:rPr>
              <w:t>Percentage</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Curiosity</w:t>
            </w:r>
          </w:p>
        </w:tc>
        <w:tc>
          <w:tcPr>
            <w:tcW w:w="1504" w:type="pct"/>
            <w:shd w:val="clear" w:color="auto" w:fill="auto"/>
          </w:tcPr>
          <w:p w:rsidR="00BE15C2" w:rsidRDefault="00D10942">
            <w:pPr>
              <w:snapToGrid w:val="0"/>
              <w:jc w:val="both"/>
              <w:rPr>
                <w:sz w:val="20"/>
                <w:szCs w:val="20"/>
                <w:lang w:val="en-GB"/>
              </w:rPr>
            </w:pPr>
            <w:r>
              <w:rPr>
                <w:sz w:val="20"/>
                <w:szCs w:val="20"/>
              </w:rPr>
              <w:t>5</w:t>
            </w:r>
          </w:p>
        </w:tc>
        <w:tc>
          <w:tcPr>
            <w:tcW w:w="1551" w:type="pct"/>
            <w:shd w:val="clear" w:color="auto" w:fill="auto"/>
          </w:tcPr>
          <w:p w:rsidR="00BE15C2" w:rsidRDefault="00D10942">
            <w:pPr>
              <w:snapToGrid w:val="0"/>
              <w:jc w:val="both"/>
              <w:rPr>
                <w:sz w:val="20"/>
                <w:szCs w:val="20"/>
                <w:lang w:val="en-GB"/>
              </w:rPr>
            </w:pPr>
            <w:r>
              <w:rPr>
                <w:sz w:val="20"/>
                <w:szCs w:val="20"/>
              </w:rPr>
              <w:t>2.9%</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Pleasure</w:t>
            </w:r>
          </w:p>
        </w:tc>
        <w:tc>
          <w:tcPr>
            <w:tcW w:w="1504" w:type="pct"/>
            <w:shd w:val="clear" w:color="auto" w:fill="auto"/>
          </w:tcPr>
          <w:p w:rsidR="00BE15C2" w:rsidRDefault="00D10942">
            <w:pPr>
              <w:snapToGrid w:val="0"/>
              <w:jc w:val="both"/>
              <w:rPr>
                <w:sz w:val="20"/>
                <w:szCs w:val="20"/>
                <w:lang w:val="en-GB"/>
              </w:rPr>
            </w:pPr>
            <w:r>
              <w:rPr>
                <w:sz w:val="20"/>
                <w:szCs w:val="20"/>
              </w:rPr>
              <w:t>53</w:t>
            </w:r>
          </w:p>
        </w:tc>
        <w:tc>
          <w:tcPr>
            <w:tcW w:w="1551" w:type="pct"/>
            <w:shd w:val="clear" w:color="auto" w:fill="auto"/>
          </w:tcPr>
          <w:p w:rsidR="00BE15C2" w:rsidRDefault="00D10942">
            <w:pPr>
              <w:snapToGrid w:val="0"/>
              <w:jc w:val="both"/>
              <w:rPr>
                <w:sz w:val="20"/>
                <w:szCs w:val="20"/>
                <w:lang w:val="en-GB"/>
              </w:rPr>
            </w:pPr>
            <w:r>
              <w:rPr>
                <w:sz w:val="20"/>
                <w:szCs w:val="20"/>
              </w:rPr>
              <w:t>32.4%</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Failure in love</w:t>
            </w:r>
          </w:p>
        </w:tc>
        <w:tc>
          <w:tcPr>
            <w:tcW w:w="1504" w:type="pct"/>
            <w:shd w:val="clear" w:color="auto" w:fill="auto"/>
          </w:tcPr>
          <w:p w:rsidR="00BE15C2" w:rsidRDefault="00D10942">
            <w:pPr>
              <w:snapToGrid w:val="0"/>
              <w:jc w:val="both"/>
              <w:rPr>
                <w:sz w:val="20"/>
                <w:szCs w:val="20"/>
                <w:lang w:val="en-GB"/>
              </w:rPr>
            </w:pPr>
            <w:r>
              <w:rPr>
                <w:sz w:val="20"/>
                <w:szCs w:val="20"/>
              </w:rPr>
              <w:t>19</w:t>
            </w:r>
          </w:p>
        </w:tc>
        <w:tc>
          <w:tcPr>
            <w:tcW w:w="1551" w:type="pct"/>
            <w:shd w:val="clear" w:color="auto" w:fill="auto"/>
          </w:tcPr>
          <w:p w:rsidR="00BE15C2" w:rsidRDefault="00D10942">
            <w:pPr>
              <w:snapToGrid w:val="0"/>
              <w:jc w:val="both"/>
              <w:rPr>
                <w:sz w:val="20"/>
                <w:szCs w:val="20"/>
                <w:lang w:val="en-GB"/>
              </w:rPr>
            </w:pPr>
            <w:r>
              <w:rPr>
                <w:sz w:val="20"/>
                <w:szCs w:val="20"/>
              </w:rPr>
              <w:t>11.8%</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Maturity</w:t>
            </w:r>
          </w:p>
        </w:tc>
        <w:tc>
          <w:tcPr>
            <w:tcW w:w="1504" w:type="pct"/>
            <w:shd w:val="clear" w:color="auto" w:fill="auto"/>
          </w:tcPr>
          <w:p w:rsidR="00BE15C2" w:rsidRDefault="00D10942">
            <w:pPr>
              <w:snapToGrid w:val="0"/>
              <w:jc w:val="both"/>
              <w:rPr>
                <w:sz w:val="20"/>
                <w:szCs w:val="20"/>
                <w:lang w:val="en-GB"/>
              </w:rPr>
            </w:pPr>
            <w:r>
              <w:rPr>
                <w:sz w:val="20"/>
                <w:szCs w:val="20"/>
              </w:rPr>
              <w:t>5</w:t>
            </w:r>
          </w:p>
        </w:tc>
        <w:tc>
          <w:tcPr>
            <w:tcW w:w="1551" w:type="pct"/>
            <w:shd w:val="clear" w:color="auto" w:fill="auto"/>
          </w:tcPr>
          <w:p w:rsidR="00BE15C2" w:rsidRDefault="00D10942">
            <w:pPr>
              <w:snapToGrid w:val="0"/>
              <w:jc w:val="both"/>
              <w:rPr>
                <w:sz w:val="20"/>
                <w:szCs w:val="20"/>
                <w:lang w:val="en-GB"/>
              </w:rPr>
            </w:pPr>
            <w:r>
              <w:rPr>
                <w:sz w:val="20"/>
                <w:szCs w:val="20"/>
              </w:rPr>
              <w:t>2.9%</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Unintentional</w:t>
            </w:r>
          </w:p>
        </w:tc>
        <w:tc>
          <w:tcPr>
            <w:tcW w:w="1504" w:type="pct"/>
            <w:shd w:val="clear" w:color="auto" w:fill="auto"/>
          </w:tcPr>
          <w:p w:rsidR="00BE15C2" w:rsidRDefault="00D10942">
            <w:pPr>
              <w:snapToGrid w:val="0"/>
              <w:jc w:val="both"/>
              <w:rPr>
                <w:sz w:val="20"/>
                <w:szCs w:val="20"/>
                <w:lang w:val="en-GB"/>
              </w:rPr>
            </w:pPr>
            <w:r>
              <w:rPr>
                <w:sz w:val="20"/>
                <w:szCs w:val="20"/>
              </w:rPr>
              <w:t>14</w:t>
            </w:r>
          </w:p>
        </w:tc>
        <w:tc>
          <w:tcPr>
            <w:tcW w:w="1551" w:type="pct"/>
            <w:shd w:val="clear" w:color="auto" w:fill="auto"/>
          </w:tcPr>
          <w:p w:rsidR="00BE15C2" w:rsidRDefault="00D10942">
            <w:pPr>
              <w:snapToGrid w:val="0"/>
              <w:jc w:val="both"/>
              <w:rPr>
                <w:sz w:val="20"/>
                <w:szCs w:val="20"/>
                <w:lang w:val="en-GB"/>
              </w:rPr>
            </w:pPr>
            <w:r>
              <w:rPr>
                <w:sz w:val="20"/>
                <w:szCs w:val="20"/>
              </w:rPr>
              <w:t>8.8%</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Friends company</w:t>
            </w:r>
          </w:p>
        </w:tc>
        <w:tc>
          <w:tcPr>
            <w:tcW w:w="1504" w:type="pct"/>
            <w:shd w:val="clear" w:color="auto" w:fill="auto"/>
          </w:tcPr>
          <w:p w:rsidR="00BE15C2" w:rsidRDefault="00D10942">
            <w:pPr>
              <w:snapToGrid w:val="0"/>
              <w:jc w:val="both"/>
              <w:rPr>
                <w:sz w:val="20"/>
                <w:szCs w:val="20"/>
                <w:lang w:val="en-GB"/>
              </w:rPr>
            </w:pPr>
            <w:r>
              <w:rPr>
                <w:sz w:val="20"/>
                <w:szCs w:val="20"/>
              </w:rPr>
              <w:t>10</w:t>
            </w:r>
          </w:p>
        </w:tc>
        <w:tc>
          <w:tcPr>
            <w:tcW w:w="1551" w:type="pct"/>
            <w:shd w:val="clear" w:color="auto" w:fill="auto"/>
          </w:tcPr>
          <w:p w:rsidR="00BE15C2" w:rsidRDefault="00D10942">
            <w:pPr>
              <w:snapToGrid w:val="0"/>
              <w:jc w:val="both"/>
              <w:rPr>
                <w:sz w:val="20"/>
                <w:szCs w:val="20"/>
                <w:lang w:val="en-GB"/>
              </w:rPr>
            </w:pPr>
            <w:r>
              <w:rPr>
                <w:sz w:val="20"/>
                <w:szCs w:val="20"/>
              </w:rPr>
              <w:t>5.9%</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Impersonating others</w:t>
            </w:r>
          </w:p>
        </w:tc>
        <w:tc>
          <w:tcPr>
            <w:tcW w:w="1504" w:type="pct"/>
            <w:shd w:val="clear" w:color="auto" w:fill="auto"/>
          </w:tcPr>
          <w:p w:rsidR="00BE15C2" w:rsidRDefault="00D10942">
            <w:pPr>
              <w:snapToGrid w:val="0"/>
              <w:jc w:val="both"/>
              <w:rPr>
                <w:sz w:val="20"/>
                <w:szCs w:val="20"/>
                <w:lang w:val="en-GB"/>
              </w:rPr>
            </w:pPr>
            <w:r>
              <w:rPr>
                <w:sz w:val="20"/>
                <w:szCs w:val="20"/>
              </w:rPr>
              <w:t>39</w:t>
            </w:r>
          </w:p>
        </w:tc>
        <w:tc>
          <w:tcPr>
            <w:tcW w:w="1551" w:type="pct"/>
            <w:shd w:val="clear" w:color="auto" w:fill="auto"/>
          </w:tcPr>
          <w:p w:rsidR="00BE15C2" w:rsidRDefault="00D10942">
            <w:pPr>
              <w:snapToGrid w:val="0"/>
              <w:jc w:val="both"/>
              <w:rPr>
                <w:sz w:val="20"/>
                <w:szCs w:val="20"/>
                <w:lang w:val="en-GB"/>
              </w:rPr>
            </w:pPr>
            <w:r>
              <w:rPr>
                <w:sz w:val="20"/>
                <w:szCs w:val="20"/>
              </w:rPr>
              <w:t>23.5%</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Release of tension</w:t>
            </w:r>
          </w:p>
        </w:tc>
        <w:tc>
          <w:tcPr>
            <w:tcW w:w="1504" w:type="pct"/>
            <w:shd w:val="clear" w:color="auto" w:fill="auto"/>
          </w:tcPr>
          <w:p w:rsidR="00BE15C2" w:rsidRDefault="00D10942">
            <w:pPr>
              <w:snapToGrid w:val="0"/>
              <w:jc w:val="both"/>
              <w:rPr>
                <w:sz w:val="20"/>
                <w:szCs w:val="20"/>
                <w:lang w:val="en-GB"/>
              </w:rPr>
            </w:pPr>
            <w:r>
              <w:rPr>
                <w:sz w:val="20"/>
                <w:szCs w:val="20"/>
              </w:rPr>
              <w:t>5</w:t>
            </w:r>
          </w:p>
        </w:tc>
        <w:tc>
          <w:tcPr>
            <w:tcW w:w="1551" w:type="pct"/>
            <w:shd w:val="clear" w:color="auto" w:fill="auto"/>
          </w:tcPr>
          <w:p w:rsidR="00BE15C2" w:rsidRDefault="00D10942">
            <w:pPr>
              <w:snapToGrid w:val="0"/>
              <w:jc w:val="both"/>
              <w:rPr>
                <w:sz w:val="20"/>
                <w:szCs w:val="20"/>
                <w:lang w:val="en-GB"/>
              </w:rPr>
            </w:pPr>
            <w:r>
              <w:rPr>
                <w:sz w:val="20"/>
                <w:szCs w:val="20"/>
              </w:rPr>
              <w:t>2.9%</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High society trend</w:t>
            </w:r>
          </w:p>
        </w:tc>
        <w:tc>
          <w:tcPr>
            <w:tcW w:w="1504" w:type="pct"/>
            <w:shd w:val="clear" w:color="auto" w:fill="auto"/>
          </w:tcPr>
          <w:p w:rsidR="00BE15C2" w:rsidRDefault="00D10942">
            <w:pPr>
              <w:snapToGrid w:val="0"/>
              <w:jc w:val="both"/>
              <w:rPr>
                <w:sz w:val="20"/>
                <w:szCs w:val="20"/>
                <w:lang w:val="en-GB"/>
              </w:rPr>
            </w:pPr>
            <w:r>
              <w:rPr>
                <w:sz w:val="20"/>
                <w:szCs w:val="20"/>
              </w:rPr>
              <w:t>5</w:t>
            </w:r>
          </w:p>
        </w:tc>
        <w:tc>
          <w:tcPr>
            <w:tcW w:w="1551" w:type="pct"/>
            <w:shd w:val="clear" w:color="auto" w:fill="auto"/>
          </w:tcPr>
          <w:p w:rsidR="00BE15C2" w:rsidRDefault="00D10942">
            <w:pPr>
              <w:snapToGrid w:val="0"/>
              <w:jc w:val="both"/>
              <w:rPr>
                <w:sz w:val="20"/>
                <w:szCs w:val="20"/>
                <w:lang w:val="en-GB"/>
              </w:rPr>
            </w:pPr>
            <w:r>
              <w:rPr>
                <w:sz w:val="20"/>
                <w:szCs w:val="20"/>
              </w:rPr>
              <w:t>2.9%</w:t>
            </w:r>
          </w:p>
        </w:tc>
      </w:tr>
      <w:tr w:rsidR="00BE15C2" w:rsidTr="00D65F02">
        <w:trPr>
          <w:jc w:val="center"/>
        </w:trPr>
        <w:tc>
          <w:tcPr>
            <w:tcW w:w="1945" w:type="pct"/>
            <w:shd w:val="clear" w:color="auto" w:fill="auto"/>
          </w:tcPr>
          <w:p w:rsidR="00BE15C2" w:rsidRDefault="00D10942">
            <w:pPr>
              <w:snapToGrid w:val="0"/>
              <w:jc w:val="both"/>
              <w:rPr>
                <w:sz w:val="20"/>
                <w:szCs w:val="20"/>
                <w:lang w:val="en-GB"/>
              </w:rPr>
            </w:pPr>
            <w:r>
              <w:rPr>
                <w:sz w:val="20"/>
                <w:szCs w:val="20"/>
              </w:rPr>
              <w:t>Other</w:t>
            </w:r>
          </w:p>
        </w:tc>
        <w:tc>
          <w:tcPr>
            <w:tcW w:w="1504" w:type="pct"/>
            <w:shd w:val="clear" w:color="auto" w:fill="auto"/>
          </w:tcPr>
          <w:p w:rsidR="00BE15C2" w:rsidRDefault="00D10942">
            <w:pPr>
              <w:snapToGrid w:val="0"/>
              <w:jc w:val="both"/>
              <w:rPr>
                <w:sz w:val="20"/>
                <w:szCs w:val="20"/>
                <w:lang w:val="en-GB"/>
              </w:rPr>
            </w:pPr>
            <w:r>
              <w:rPr>
                <w:sz w:val="20"/>
                <w:szCs w:val="20"/>
              </w:rPr>
              <w:t>9</w:t>
            </w:r>
          </w:p>
        </w:tc>
        <w:tc>
          <w:tcPr>
            <w:tcW w:w="1551" w:type="pct"/>
            <w:shd w:val="clear" w:color="auto" w:fill="auto"/>
          </w:tcPr>
          <w:p w:rsidR="00BE15C2" w:rsidRDefault="00D10942">
            <w:pPr>
              <w:snapToGrid w:val="0"/>
              <w:jc w:val="both"/>
              <w:rPr>
                <w:sz w:val="20"/>
                <w:szCs w:val="20"/>
                <w:lang w:val="en-GB"/>
              </w:rPr>
            </w:pPr>
            <w:r>
              <w:rPr>
                <w:sz w:val="20"/>
                <w:szCs w:val="20"/>
              </w:rPr>
              <w:t>5.9%</w:t>
            </w:r>
          </w:p>
        </w:tc>
      </w:tr>
    </w:tbl>
    <w:p w:rsidR="00BE15C2" w:rsidRDefault="00BE15C2">
      <w:pPr>
        <w:snapToGrid w:val="0"/>
        <w:ind w:firstLine="425"/>
        <w:jc w:val="both"/>
        <w:rPr>
          <w:rFonts w:hint="eastAsia"/>
          <w:sz w:val="20"/>
          <w:szCs w:val="20"/>
          <w:lang w:eastAsia="zh-CN"/>
        </w:rPr>
      </w:pPr>
    </w:p>
    <w:p w:rsidR="00D65F02" w:rsidRDefault="00D65F02">
      <w:pPr>
        <w:snapToGrid w:val="0"/>
        <w:ind w:firstLine="425"/>
        <w:jc w:val="both"/>
        <w:rPr>
          <w:sz w:val="20"/>
          <w:szCs w:val="20"/>
          <w:lang w:eastAsia="zh-CN"/>
        </w:rPr>
      </w:pPr>
    </w:p>
    <w:p w:rsidR="00D65F02" w:rsidRDefault="00D65F02">
      <w:pPr>
        <w:snapToGrid w:val="0"/>
        <w:ind w:firstLine="425"/>
        <w:jc w:val="both"/>
        <w:rPr>
          <w:sz w:val="20"/>
          <w:szCs w:val="20"/>
        </w:rPr>
        <w:sectPr w:rsidR="00D65F02" w:rsidSect="00D65F02">
          <w:type w:val="continuous"/>
          <w:pgSz w:w="12240" w:h="15840"/>
          <w:pgMar w:top="1440" w:right="1440" w:bottom="1440" w:left="1440" w:header="720" w:footer="720" w:gutter="0"/>
          <w:cols w:space="550"/>
          <w:docGrid w:linePitch="360"/>
        </w:sectPr>
      </w:pPr>
    </w:p>
    <w:p w:rsidR="00BE15C2" w:rsidRDefault="00D10942">
      <w:pPr>
        <w:snapToGrid w:val="0"/>
        <w:ind w:firstLine="425"/>
        <w:jc w:val="both"/>
        <w:rPr>
          <w:sz w:val="20"/>
          <w:szCs w:val="20"/>
        </w:rPr>
      </w:pPr>
      <w:r>
        <w:rPr>
          <w:sz w:val="20"/>
          <w:szCs w:val="20"/>
        </w:rPr>
        <w:lastRenderedPageBreak/>
        <w:t>The most important factors for the occurrence of the addiction, to enjoy, to compete with friends, and not to be in love (see Table 1). The vast majority of addiction users of the students (47.1%) were motivated by the friends of the start of an addiction.</w:t>
      </w:r>
      <w:r>
        <w:rPr>
          <w:sz w:val="20"/>
          <w:szCs w:val="20"/>
        </w:rPr>
        <w:t xml:space="preserve"> 59.4 % of the students think, to enjoy, to continue to be the cause of the addiction, while 21.9% thought the continuation of the addiction and 18.9% think that it is desirable for a short rest. </w:t>
      </w:r>
    </w:p>
    <w:p w:rsidR="00BE15C2" w:rsidRDefault="00D10942">
      <w:pPr>
        <w:snapToGrid w:val="0"/>
        <w:ind w:firstLine="425"/>
        <w:jc w:val="both"/>
        <w:rPr>
          <w:sz w:val="20"/>
          <w:szCs w:val="20"/>
          <w:lang w:eastAsia="zh-CN"/>
        </w:rPr>
      </w:pPr>
      <w:r>
        <w:rPr>
          <w:sz w:val="20"/>
          <w:szCs w:val="20"/>
        </w:rPr>
        <w:t>66.7% of the adductors believe that their addiction is dang</w:t>
      </w:r>
      <w:r>
        <w:rPr>
          <w:sz w:val="20"/>
          <w:szCs w:val="20"/>
        </w:rPr>
        <w:t xml:space="preserve">erous for their health, while 33.3 % believe that it is not harmful in any way. 50% of students showed a desire to quit smoking. The main reasons for absenteeism among the students, the non-adductors of the knowledge of the harmful effects of the (77.9%), </w:t>
      </w:r>
      <w:r>
        <w:rPr>
          <w:sz w:val="20"/>
          <w:szCs w:val="20"/>
        </w:rPr>
        <w:t>social exclusion, and the reprehensibility (9.1%), and female (1.5%), and in 11.5% of it was for a different reason.</w:t>
      </w:r>
    </w:p>
    <w:p w:rsidR="00BE15C2" w:rsidRDefault="00BE15C2">
      <w:pPr>
        <w:snapToGrid w:val="0"/>
        <w:ind w:firstLine="425"/>
        <w:jc w:val="both"/>
        <w:rPr>
          <w:sz w:val="20"/>
          <w:szCs w:val="20"/>
          <w:lang w:eastAsia="zh-CN"/>
        </w:rPr>
      </w:pPr>
    </w:p>
    <w:p w:rsidR="00BE15C2" w:rsidRDefault="00D10942">
      <w:pPr>
        <w:pStyle w:val="ListParagraph"/>
        <w:snapToGrid w:val="0"/>
        <w:spacing w:after="0" w:line="240" w:lineRule="auto"/>
        <w:ind w:left="0"/>
        <w:jc w:val="both"/>
        <w:rPr>
          <w:rFonts w:ascii="Times New Roman" w:hAnsi="Times New Roman"/>
          <w:b/>
          <w:sz w:val="20"/>
          <w:szCs w:val="20"/>
        </w:rPr>
      </w:pPr>
      <w:r>
        <w:rPr>
          <w:rFonts w:ascii="Times New Roman" w:hAnsi="Times New Roman"/>
          <w:b/>
          <w:sz w:val="20"/>
          <w:szCs w:val="20"/>
        </w:rPr>
        <w:t>Discussion:</w:t>
      </w:r>
    </w:p>
    <w:p w:rsidR="00BE15C2" w:rsidRDefault="00D10942">
      <w:pPr>
        <w:snapToGrid w:val="0"/>
        <w:ind w:firstLine="425"/>
        <w:contextualSpacing/>
        <w:jc w:val="both"/>
        <w:rPr>
          <w:sz w:val="20"/>
          <w:szCs w:val="20"/>
        </w:rPr>
      </w:pPr>
      <w:r>
        <w:rPr>
          <w:sz w:val="20"/>
          <w:szCs w:val="20"/>
        </w:rPr>
        <w:t>In particular, the large-scale use of the addiction in our study was 20.7%, which is relatively lower than that of western African countries. A variety of studies in the United States from 1973 to 2013, has shown that the dependence of the various topics a</w:t>
      </w:r>
      <w:r>
        <w:rPr>
          <w:sz w:val="20"/>
          <w:szCs w:val="20"/>
        </w:rPr>
        <w:t>mong the students is quite common, rather than their abusing marijuana, alcohol, tobacco, and cocaine. In our study, we found that the most common addiction is chewing Chat consumption, followed by smoking Tobacco. In our case, none of the students reporte</w:t>
      </w:r>
      <w:r>
        <w:rPr>
          <w:sz w:val="20"/>
          <w:szCs w:val="20"/>
        </w:rPr>
        <w:t xml:space="preserve">d a dependency on a Smelling Benzine or Shoe Glue (Mastish). This may be due to the differences in the culture, the favorability of the element, and the small studies carried out in Ethiopia, compared to other countries. </w:t>
      </w:r>
    </w:p>
    <w:p w:rsidR="00BE15C2" w:rsidRDefault="00D10942">
      <w:pPr>
        <w:snapToGrid w:val="0"/>
        <w:ind w:firstLine="425"/>
        <w:contextualSpacing/>
        <w:jc w:val="both"/>
        <w:rPr>
          <w:sz w:val="20"/>
          <w:szCs w:val="20"/>
        </w:rPr>
      </w:pPr>
      <w:r>
        <w:rPr>
          <w:sz w:val="20"/>
          <w:szCs w:val="20"/>
        </w:rPr>
        <w:t>It is important to take note of th</w:t>
      </w:r>
      <w:r>
        <w:rPr>
          <w:sz w:val="20"/>
          <w:szCs w:val="20"/>
        </w:rPr>
        <w:t>e fact that the average age for the onset of the addiction, which was found in our study is more around the age of 14, indicating that the majority of the beginning of his addiction at the school. This suggests that advice the student at school, since most</w:t>
      </w:r>
      <w:r>
        <w:rPr>
          <w:sz w:val="20"/>
          <w:szCs w:val="20"/>
        </w:rPr>
        <w:t xml:space="preserve"> of the students are not aware of the adverse effects of the addiction, and the like have already been taken to medical institutions, they are subject to such addictions. </w:t>
      </w:r>
    </w:p>
    <w:p w:rsidR="00BE15C2" w:rsidRDefault="00D10942">
      <w:pPr>
        <w:snapToGrid w:val="0"/>
        <w:ind w:firstLine="425"/>
        <w:contextualSpacing/>
        <w:jc w:val="both"/>
        <w:rPr>
          <w:sz w:val="20"/>
          <w:szCs w:val="20"/>
          <w:lang w:eastAsia="zh-CN"/>
        </w:rPr>
      </w:pPr>
      <w:r>
        <w:rPr>
          <w:sz w:val="20"/>
          <w:szCs w:val="20"/>
        </w:rPr>
        <w:t>It should also be noted that the majority of the students who had been influenced by</w:t>
      </w:r>
      <w:r>
        <w:rPr>
          <w:sz w:val="20"/>
          <w:szCs w:val="20"/>
        </w:rPr>
        <w:t xml:space="preserve"> their friends to start an addiction, which suggests that the parents of control children, their friendships, can also prevent a child from becoming addicted.</w:t>
      </w:r>
    </w:p>
    <w:p w:rsidR="00BE15C2" w:rsidRDefault="00BE15C2">
      <w:pPr>
        <w:snapToGrid w:val="0"/>
        <w:ind w:firstLine="425"/>
        <w:contextualSpacing/>
        <w:jc w:val="both"/>
        <w:rPr>
          <w:sz w:val="20"/>
          <w:szCs w:val="20"/>
          <w:lang w:eastAsia="zh-CN"/>
        </w:rPr>
      </w:pPr>
    </w:p>
    <w:p w:rsidR="00BE15C2" w:rsidRDefault="00D10942">
      <w:pPr>
        <w:snapToGrid w:val="0"/>
        <w:contextualSpacing/>
        <w:jc w:val="both"/>
        <w:rPr>
          <w:b/>
          <w:sz w:val="20"/>
          <w:szCs w:val="20"/>
        </w:rPr>
      </w:pPr>
      <w:r>
        <w:rPr>
          <w:b/>
          <w:sz w:val="20"/>
          <w:szCs w:val="20"/>
        </w:rPr>
        <w:t>Conclusion:</w:t>
      </w:r>
    </w:p>
    <w:p w:rsidR="00BE15C2" w:rsidRDefault="00D10942">
      <w:pPr>
        <w:snapToGrid w:val="0"/>
        <w:ind w:firstLine="425"/>
        <w:contextualSpacing/>
        <w:jc w:val="both"/>
        <w:rPr>
          <w:sz w:val="20"/>
          <w:szCs w:val="20"/>
        </w:rPr>
      </w:pPr>
      <w:r>
        <w:rPr>
          <w:sz w:val="20"/>
          <w:szCs w:val="20"/>
        </w:rPr>
        <w:t>The high prevalence of addiction among university students is alarming. Although col</w:t>
      </w:r>
      <w:r>
        <w:rPr>
          <w:sz w:val="20"/>
          <w:szCs w:val="20"/>
        </w:rPr>
        <w:t xml:space="preserve">lege students are aware of the hazardous effects of addictive substances, despite that, these future persons had less concern over their health. As the majority of them begin addiction during school age, it is important </w:t>
      </w:r>
      <w:r>
        <w:rPr>
          <w:sz w:val="20"/>
          <w:szCs w:val="20"/>
        </w:rPr>
        <w:lastRenderedPageBreak/>
        <w:t>that proper counseling and preventiv</w:t>
      </w:r>
      <w:r>
        <w:rPr>
          <w:sz w:val="20"/>
          <w:szCs w:val="20"/>
        </w:rPr>
        <w:t>e as well therapeutic programs should be planned and made effective at schools, colleges, and higher institutions.</w:t>
      </w:r>
    </w:p>
    <w:p w:rsidR="00BE15C2" w:rsidRDefault="00D10942">
      <w:pPr>
        <w:snapToGrid w:val="0"/>
        <w:ind w:firstLine="425"/>
        <w:contextualSpacing/>
        <w:jc w:val="both"/>
        <w:rPr>
          <w:sz w:val="20"/>
          <w:szCs w:val="20"/>
          <w:lang w:eastAsia="zh-CN"/>
        </w:rPr>
      </w:pPr>
      <w:r>
        <w:rPr>
          <w:sz w:val="20"/>
          <w:szCs w:val="20"/>
          <w:lang w:eastAsia="zh-CN"/>
        </w:rPr>
        <w:t xml:space="preserve"> </w:t>
      </w:r>
    </w:p>
    <w:p w:rsidR="00BE15C2" w:rsidRDefault="00D10942">
      <w:pPr>
        <w:snapToGrid w:val="0"/>
        <w:contextualSpacing/>
        <w:jc w:val="both"/>
        <w:rPr>
          <w:sz w:val="20"/>
          <w:szCs w:val="20"/>
          <w:lang w:eastAsia="zh-CN"/>
        </w:rPr>
      </w:pPr>
      <w:r>
        <w:rPr>
          <w:b/>
          <w:bCs/>
          <w:sz w:val="20"/>
          <w:szCs w:val="20"/>
          <w:lang w:eastAsia="zh-CN"/>
        </w:rPr>
        <w:t>Reference</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Caamano-Isorna, F., Adkins, A., Moure-Rodríguez, L., Conley, A. H., &amp; Dick, D. (2021). Alcohol use and sexual and physical assau</w:t>
      </w:r>
      <w:r>
        <w:rPr>
          <w:sz w:val="20"/>
          <w:szCs w:val="20"/>
          <w:lang w:eastAsia="zh-CN"/>
        </w:rPr>
        <w:t>lt victimization among university students: Three years of follow-up. Journal of interpersonal violence, 36(7-8), NP3574-NP3595.</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Năsui, B. A., Ungur, R. A., Talaba, P., Varlas, V. N., Ciuciuc, N., Silaghi, C. A., ... &amp; Pop, A. L. (2021). Is alcohol consump</w:t>
      </w:r>
      <w:r>
        <w:rPr>
          <w:sz w:val="20"/>
          <w:szCs w:val="20"/>
          <w:lang w:eastAsia="zh-CN"/>
        </w:rPr>
        <w:t>tion related to lifestyle factors in Romanian university students?. International journal of environmental research and public health, 18(4), 1835.</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Caamano-Isorna, F., Adkins, A., Moure-Rodríguez, L., Conley, A. H., &amp; Dick, D. (2021). Alcohol use and sexua</w:t>
      </w:r>
      <w:r>
        <w:rPr>
          <w:sz w:val="20"/>
          <w:szCs w:val="20"/>
          <w:lang w:eastAsia="zh-CN"/>
        </w:rPr>
        <w:t>l and physical assault victimization among university students: Three years of follow-up. Journal of interpersonal violence, 36(7-8), NP3574-NP3595.</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Alves, R., Precioso, J., &amp; Becoña, E. (2021). illicit Drug Use among College Students: The Importance of Kn</w:t>
      </w:r>
      <w:r>
        <w:rPr>
          <w:sz w:val="20"/>
          <w:szCs w:val="20"/>
          <w:lang w:eastAsia="zh-CN"/>
        </w:rPr>
        <w:t>owledge about Drugs, Live at Home, and Peer Influence. Journal of psychoactive drugs, 1-10.</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Mohammed Al Ghafri, J. S., SS, J. A. S., &amp; Shaikh, J. (2021). Prevalence of Substance Abuse among Omani Population in two Governorates in Sultanate of Oman. Madridg</w:t>
      </w:r>
      <w:r>
        <w:rPr>
          <w:sz w:val="20"/>
          <w:szCs w:val="20"/>
          <w:lang w:eastAsia="zh-CN"/>
        </w:rPr>
        <w:t>e J Nurs, 5(1), 167-172.</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Essam Eldin, R., Othman, H., &amp; Salah Eldin, H. (2021). Evaluation of Substance Abuse Cases Admitted in ICU of Poison Control Center-Ain Shams University Hospitals by Certain Clinical Scoring Systems. Ain Shams Journal of Forensic M</w:t>
      </w:r>
      <w:r>
        <w:rPr>
          <w:sz w:val="20"/>
          <w:szCs w:val="20"/>
          <w:lang w:eastAsia="zh-CN"/>
        </w:rPr>
        <w:t>edicine and Clinical Toxicology, 36(1), 90-97.</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Heradstveit, O., Skogen, J. C., Brunborg, G. S., Lønning, K. J., &amp; Sivertsen, B. (2021). Alcohol-related problems among college and university students in Norway: extent of the problem. Scandinavian journal of</w:t>
      </w:r>
      <w:r>
        <w:rPr>
          <w:sz w:val="20"/>
          <w:szCs w:val="20"/>
          <w:lang w:eastAsia="zh-CN"/>
        </w:rPr>
        <w:t xml:space="preserve"> public health, 49(4), 402-410.</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t>Graupensperger, S., Jaffe, A. E., Fleming, C. N., Kilmer, J. R., Lee, C. M., &amp; Larimer, M. E. (2021). Changes in college student alcohol use during the COVID-19 pandemic: Are perceived drinking norms still relevant?. Emergin</w:t>
      </w:r>
      <w:r>
        <w:rPr>
          <w:sz w:val="20"/>
          <w:szCs w:val="20"/>
          <w:lang w:eastAsia="zh-CN"/>
        </w:rPr>
        <w:t>g Adulthood, 2167696820986742.</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lastRenderedPageBreak/>
        <w:t>Schilling, L., Zeeb, H., Pischke, C., Helmer, S., Schmidt-Pokrzywniak, A., Reintjes, R., ... &amp; Schneider, S. (2017). Licit and illicit substance use patterns among university students in Germany using cluster analysis. Substa</w:t>
      </w:r>
      <w:r>
        <w:rPr>
          <w:sz w:val="20"/>
          <w:szCs w:val="20"/>
          <w:lang w:eastAsia="zh-CN"/>
        </w:rPr>
        <w:t>nce abuse treatment, prevention, and policy, 12(1), 1-11.</w:t>
      </w:r>
    </w:p>
    <w:p w:rsidR="00BE15C2" w:rsidRDefault="00D10942" w:rsidP="00D65F02">
      <w:pPr>
        <w:numPr>
          <w:ilvl w:val="0"/>
          <w:numId w:val="2"/>
        </w:numPr>
        <w:suppressAutoHyphens w:val="0"/>
        <w:snapToGrid w:val="0"/>
        <w:ind w:hanging="578"/>
        <w:contextualSpacing/>
        <w:jc w:val="both"/>
        <w:rPr>
          <w:sz w:val="20"/>
          <w:szCs w:val="20"/>
          <w:lang w:eastAsia="zh-CN"/>
        </w:rPr>
      </w:pPr>
      <w:r>
        <w:rPr>
          <w:sz w:val="20"/>
          <w:szCs w:val="20"/>
          <w:lang w:eastAsia="zh-CN"/>
        </w:rPr>
        <w:lastRenderedPageBreak/>
        <w:t>El Mhamdi, S., Lemieux, A., Bouanene, I., Salah, A. B., Nakajima, M., Salem, K. B., &amp; Al'absi, M. (2017). Gender differences in adverse childhood experiences, collective violence, and the risk for a</w:t>
      </w:r>
      <w:r>
        <w:rPr>
          <w:sz w:val="20"/>
          <w:szCs w:val="20"/>
          <w:lang w:eastAsia="zh-CN"/>
        </w:rPr>
        <w:t>ddictive behaviors among university students in Tunisia. Preventive medicine, 99, 99-104.</w:t>
      </w:r>
    </w:p>
    <w:p w:rsidR="00BE15C2" w:rsidRDefault="00BE15C2">
      <w:pPr>
        <w:snapToGrid w:val="0"/>
        <w:contextualSpacing/>
        <w:jc w:val="both"/>
        <w:rPr>
          <w:sz w:val="20"/>
          <w:szCs w:val="20"/>
          <w:lang w:eastAsia="zh-CN"/>
        </w:rPr>
      </w:pPr>
    </w:p>
    <w:p w:rsidR="00BE15C2" w:rsidRDefault="00BE15C2">
      <w:pPr>
        <w:snapToGrid w:val="0"/>
        <w:contextualSpacing/>
        <w:jc w:val="both"/>
        <w:rPr>
          <w:lang w:eastAsia="zh-CN"/>
        </w:rPr>
        <w:sectPr w:rsidR="00BE15C2">
          <w:type w:val="continuous"/>
          <w:pgSz w:w="12240" w:h="15840"/>
          <w:pgMar w:top="1440" w:right="1440" w:bottom="1440" w:left="1440" w:header="720" w:footer="720" w:gutter="0"/>
          <w:cols w:num="2" w:space="550"/>
          <w:docGrid w:linePitch="360"/>
        </w:sectPr>
      </w:pPr>
    </w:p>
    <w:p w:rsidR="00BE15C2" w:rsidRDefault="00BE15C2">
      <w:pPr>
        <w:snapToGrid w:val="0"/>
        <w:contextualSpacing/>
        <w:jc w:val="both"/>
        <w:rPr>
          <w:lang w:eastAsia="zh-CN"/>
        </w:rPr>
      </w:pPr>
    </w:p>
    <w:p w:rsidR="00BE15C2" w:rsidRDefault="00BE15C2">
      <w:pPr>
        <w:snapToGrid w:val="0"/>
        <w:contextualSpacing/>
        <w:jc w:val="both"/>
        <w:rPr>
          <w:lang w:eastAsia="zh-CN"/>
        </w:rPr>
      </w:pPr>
    </w:p>
    <w:p w:rsidR="00BE15C2" w:rsidRDefault="00BE15C2">
      <w:pPr>
        <w:snapToGrid w:val="0"/>
        <w:contextualSpacing/>
        <w:jc w:val="both"/>
        <w:rPr>
          <w:lang w:eastAsia="zh-CN"/>
        </w:rPr>
      </w:pPr>
    </w:p>
    <w:p w:rsidR="00BE15C2" w:rsidRDefault="00D10942">
      <w:pPr>
        <w:jc w:val="both"/>
        <w:rPr>
          <w:sz w:val="20"/>
          <w:szCs w:val="20"/>
        </w:rPr>
      </w:pPr>
      <w:r>
        <w:rPr>
          <w:sz w:val="20"/>
          <w:szCs w:val="20"/>
        </w:rPr>
        <w:t>10//2</w:t>
      </w:r>
      <w:r>
        <w:rPr>
          <w:rFonts w:hint="eastAsia"/>
          <w:sz w:val="20"/>
          <w:szCs w:val="20"/>
          <w:lang w:eastAsia="zh-CN"/>
        </w:rPr>
        <w:t>5</w:t>
      </w:r>
      <w:r>
        <w:rPr>
          <w:sz w:val="20"/>
          <w:szCs w:val="20"/>
        </w:rPr>
        <w:t>/2021</w:t>
      </w:r>
    </w:p>
    <w:sectPr w:rsidR="00BE15C2" w:rsidSect="00BE15C2">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42" w:rsidRDefault="00D10942" w:rsidP="00BE15C2">
      <w:r>
        <w:separator/>
      </w:r>
    </w:p>
  </w:endnote>
  <w:endnote w:type="continuationSeparator" w:id="0">
    <w:p w:rsidR="00D10942" w:rsidRDefault="00D10942" w:rsidP="00BE1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C2" w:rsidRDefault="00BE15C2">
    <w:pPr>
      <w:pStyle w:val="Footer"/>
      <w:framePr w:wrap="around" w:vAnchor="text" w:hAnchor="margin" w:xAlign="center" w:y="1"/>
      <w:rPr>
        <w:rStyle w:val="PageNumber"/>
      </w:rPr>
    </w:pPr>
    <w:r>
      <w:rPr>
        <w:rStyle w:val="PageNumber"/>
      </w:rPr>
      <w:fldChar w:fldCharType="begin"/>
    </w:r>
    <w:r w:rsidR="00D10942">
      <w:rPr>
        <w:rStyle w:val="PageNumber"/>
      </w:rPr>
      <w:instrText xml:space="preserve">PAGE  </w:instrText>
    </w:r>
    <w:r>
      <w:rPr>
        <w:rStyle w:val="PageNumber"/>
      </w:rPr>
      <w:fldChar w:fldCharType="end"/>
    </w:r>
  </w:p>
  <w:p w:rsidR="00BE15C2" w:rsidRDefault="00BE15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C2" w:rsidRDefault="00BE15C2">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BE15C2" w:rsidRDefault="00BE15C2">
                <w:pPr>
                  <w:pStyle w:val="Footer"/>
                  <w:rPr>
                    <w:rStyle w:val="PageNumber"/>
                    <w:sz w:val="20"/>
                    <w:szCs w:val="20"/>
                  </w:rPr>
                </w:pPr>
                <w:r>
                  <w:rPr>
                    <w:rStyle w:val="PageNumber"/>
                    <w:sz w:val="20"/>
                    <w:szCs w:val="20"/>
                  </w:rPr>
                  <w:fldChar w:fldCharType="begin"/>
                </w:r>
                <w:r w:rsidR="00D10942">
                  <w:rPr>
                    <w:rStyle w:val="PageNumber"/>
                    <w:sz w:val="20"/>
                    <w:szCs w:val="20"/>
                  </w:rPr>
                  <w:instrText xml:space="preserve">PAGE  </w:instrText>
                </w:r>
                <w:r>
                  <w:rPr>
                    <w:rStyle w:val="PageNumber"/>
                    <w:sz w:val="20"/>
                    <w:szCs w:val="20"/>
                  </w:rPr>
                  <w:fldChar w:fldCharType="separate"/>
                </w:r>
                <w:r w:rsidR="00D65F02">
                  <w:rPr>
                    <w:rStyle w:val="PageNumber"/>
                    <w:noProof/>
                    <w:sz w:val="20"/>
                    <w:szCs w:val="20"/>
                  </w:rPr>
                  <w:t>19</w:t>
                </w:r>
                <w:r>
                  <w:rPr>
                    <w:rStyle w:val="PageNumber"/>
                    <w:sz w:val="20"/>
                    <w:szCs w:val="20"/>
                  </w:rPr>
                  <w:fldChar w:fldCharType="end"/>
                </w:r>
              </w:p>
            </w:txbxContent>
          </v:textbox>
          <w10:wrap anchorx="margin"/>
        </v:shape>
      </w:pict>
    </w:r>
    <w:hyperlink r:id="rId1" w:history="1">
      <w:r w:rsidR="00D10942">
        <w:rPr>
          <w:rStyle w:val="Hyperlink"/>
          <w:rFonts w:cs="Calibri"/>
          <w:sz w:val="20"/>
          <w:szCs w:val="20"/>
        </w:rPr>
        <w:t>http://www.sciencepub.net</w:t>
      </w:r>
      <w:r w:rsidR="00D10942">
        <w:rPr>
          <w:rStyle w:val="Hyperlink"/>
          <w:sz w:val="20"/>
          <w:szCs w:val="20"/>
        </w:rPr>
        <w:t>/newyork</w:t>
      </w:r>
    </w:hyperlink>
    <w:r w:rsidR="00D10942">
      <w:rPr>
        <w:bCs/>
        <w:sz w:val="20"/>
      </w:rPr>
      <w:t xml:space="preserve">                        </w:t>
    </w:r>
    <w:r w:rsidR="00D10942">
      <w:rPr>
        <w:bCs/>
        <w:sz w:val="20"/>
      </w:rPr>
      <w:tab/>
    </w:r>
    <w:r w:rsidR="00D10942">
      <w:rPr>
        <w:bCs/>
        <w:sz w:val="20"/>
      </w:rPr>
      <w:tab/>
    </w:r>
    <w:r w:rsidR="00D10942">
      <w:rPr>
        <w:bCs/>
        <w:sz w:val="20"/>
      </w:rPr>
      <w:tab/>
      <w:t xml:space="preserve">                   </w:t>
    </w:r>
    <w:bookmarkStart w:id="13" w:name="OLE_LINK13"/>
    <w:bookmarkStart w:id="14" w:name="OLE_LINK12"/>
    <w:r>
      <w:rPr>
        <w:bCs/>
        <w:sz w:val="20"/>
      </w:rPr>
      <w:fldChar w:fldCharType="begin"/>
    </w:r>
    <w:r w:rsidR="00D10942">
      <w:rPr>
        <w:bCs/>
        <w:sz w:val="20"/>
      </w:rPr>
      <w:instrText xml:space="preserve"> HYPERLINK "mailto:newyorksci@gmail.com" </w:instrText>
    </w:r>
    <w:r>
      <w:rPr>
        <w:bCs/>
        <w:sz w:val="20"/>
      </w:rPr>
      <w:fldChar w:fldCharType="separate"/>
    </w:r>
    <w:r w:rsidR="00D10942">
      <w:rPr>
        <w:rStyle w:val="Hyperlink"/>
        <w:bCs/>
        <w:sz w:val="20"/>
      </w:rPr>
      <w:t>newyorksci@gmail.com</w:t>
    </w:r>
    <w:bookmarkEnd w:id="13"/>
    <w:bookmarkEnd w:id="14"/>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C2" w:rsidRDefault="00BE15C2">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BE15C2" w:rsidRDefault="00BE15C2">
                <w:pPr>
                  <w:pStyle w:val="Footer"/>
                </w:pPr>
                <w:r>
                  <w:rPr>
                    <w:sz w:val="20"/>
                    <w:szCs w:val="20"/>
                  </w:rPr>
                  <w:fldChar w:fldCharType="begin"/>
                </w:r>
                <w:r w:rsidR="00D10942">
                  <w:rPr>
                    <w:sz w:val="20"/>
                    <w:szCs w:val="20"/>
                  </w:rPr>
                  <w:instrText xml:space="preserve"> PAGE  \* MERGEFORMAT </w:instrText>
                </w:r>
                <w:r>
                  <w:rPr>
                    <w:sz w:val="20"/>
                    <w:szCs w:val="20"/>
                  </w:rPr>
                  <w:fldChar w:fldCharType="separate"/>
                </w:r>
                <w:r w:rsidR="00D65F02">
                  <w:rPr>
                    <w:noProof/>
                    <w:sz w:val="20"/>
                    <w:szCs w:val="20"/>
                  </w:rPr>
                  <w:t>16</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42" w:rsidRDefault="00D10942" w:rsidP="00BE15C2">
      <w:r>
        <w:separator/>
      </w:r>
    </w:p>
  </w:footnote>
  <w:footnote w:type="continuationSeparator" w:id="0">
    <w:p w:rsidR="00D10942" w:rsidRDefault="00D10942" w:rsidP="00BE1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C2" w:rsidRDefault="00D10942">
    <w:pPr>
      <w:pBdr>
        <w:bottom w:val="none" w:sz="0" w:space="1" w:color="auto"/>
      </w:pBdr>
      <w:jc w:val="center"/>
      <w:rPr>
        <w:iCs/>
        <w:sz w:val="20"/>
      </w:rPr>
    </w:pPr>
    <w:bookmarkStart w:id="0" w:name="OLE_LINK3"/>
    <w:bookmarkStart w:id="1" w:name="OLE_LINK5"/>
    <w:bookmarkStart w:id="2" w:name="OLE_LINK6"/>
    <w:bookmarkStart w:id="3" w:name="OLE_LINK4"/>
    <w:bookmarkStart w:id="4" w:name="_Hlk302678399"/>
    <w:bookmarkStart w:id="5" w:name="OLE_LINK7"/>
    <w:bookmarkStart w:id="6" w:name="_Hlk302678401"/>
    <w:bookmarkStart w:id="7" w:name="OLE_LINK9"/>
    <w:bookmarkStart w:id="8" w:name="OLE_LINK11"/>
    <w:bookmarkStart w:id="9" w:name="_Hlk313407873"/>
    <w:bookmarkStart w:id="10" w:name="OLE_LINK10"/>
    <w:bookmarkStart w:id="11" w:name="OLE_LINK8"/>
    <w:bookmarkStart w:id="12" w:name="_Hlk313407879"/>
    <w:r>
      <w:rPr>
        <w:sz w:val="20"/>
      </w:rPr>
      <w:t>New York Science Journal 20</w:t>
    </w:r>
    <w:r>
      <w:rPr>
        <w:rFonts w:hint="eastAsia"/>
        <w:sz w:val="20"/>
        <w:lang w:eastAsia="zh-CN"/>
      </w:rPr>
      <w:t>21</w:t>
    </w:r>
    <w:r>
      <w:rPr>
        <w:sz w:val="20"/>
      </w:rPr>
      <w:t>;1</w:t>
    </w:r>
    <w:r>
      <w:rPr>
        <w:rFonts w:hint="eastAsia"/>
        <w:sz w:val="20"/>
        <w:lang w:eastAsia="zh-CN"/>
      </w:rPr>
      <w:t>4</w:t>
    </w:r>
    <w:r>
      <w:rPr>
        <w:sz w:val="20"/>
      </w:rPr>
      <w:t>(x)</w:t>
    </w:r>
    <w:r>
      <w:rPr>
        <w:iCs/>
        <w:sz w:val="20"/>
      </w:rPr>
      <w:t xml:space="preserve">                                                </w:t>
    </w:r>
    <w:hyperlink r:id="rId1" w:history="1">
      <w:r>
        <w:rPr>
          <w:rStyle w:val="Hyperlink"/>
          <w:sz w:val="20"/>
        </w:rPr>
        <w:t>http://www.sciencepub.net/newyork</w:t>
      </w:r>
    </w:hyperlink>
    <w:bookmarkEnd w:id="0"/>
    <w:bookmarkEnd w:id="1"/>
    <w:bookmarkEnd w:id="2"/>
    <w:bookmarkEnd w:id="3"/>
    <w:bookmarkEnd w:id="4"/>
    <w:bookmarkEnd w:id="5"/>
    <w:bookmarkEnd w:id="6"/>
  </w:p>
  <w:bookmarkEnd w:id="7"/>
  <w:bookmarkEnd w:id="8"/>
  <w:bookmarkEnd w:id="9"/>
  <w:bookmarkEnd w:id="10"/>
  <w:bookmarkEnd w:id="11"/>
  <w:bookmarkEnd w:id="12"/>
  <w:p w:rsidR="00BE15C2" w:rsidRDefault="00BE15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C2" w:rsidRDefault="00D10942">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C2" w:rsidRDefault="00D10942">
    <w:pPr>
      <w:pBdr>
        <w:bottom w:val="thinThickMediumGap" w:sz="12" w:space="1" w:color="auto"/>
      </w:pBdr>
      <w:ind w:firstLineChars="300" w:firstLine="600"/>
    </w:pPr>
    <w:r>
      <w:rPr>
        <w:rFonts w:hint="eastAsia"/>
        <w:sz w:val="20"/>
        <w:szCs w:val="20"/>
        <w:lang w:eastAsia="zh-CN"/>
      </w:rPr>
      <w:t xml:space="preserve">    </w:t>
    </w:r>
    <w:r>
      <w:rPr>
        <w:rFonts w:eastAsia="宋体" w:hint="eastAsia"/>
        <w:sz w:val="20"/>
        <w:szCs w:val="20"/>
        <w:lang w:eastAsia="zh-CN"/>
      </w:rPr>
      <w:t xml:space="preserve"> </w:t>
    </w:r>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11</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783D08BA"/>
    <w:multiLevelType w:val="multilevel"/>
    <w:tmpl w:val="783D0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A0CD7"/>
    <w:rsid w:val="001B41B8"/>
    <w:rsid w:val="001B650D"/>
    <w:rsid w:val="001C3D42"/>
    <w:rsid w:val="001F2DCC"/>
    <w:rsid w:val="00205E97"/>
    <w:rsid w:val="00245C21"/>
    <w:rsid w:val="002721F1"/>
    <w:rsid w:val="00282FA1"/>
    <w:rsid w:val="002B5613"/>
    <w:rsid w:val="002C20C5"/>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87FF3"/>
    <w:rsid w:val="00997A8E"/>
    <w:rsid w:val="009A3681"/>
    <w:rsid w:val="00A1557F"/>
    <w:rsid w:val="00A3476D"/>
    <w:rsid w:val="00AB1446"/>
    <w:rsid w:val="00AC2B08"/>
    <w:rsid w:val="00B06DF9"/>
    <w:rsid w:val="00B3167C"/>
    <w:rsid w:val="00B36B45"/>
    <w:rsid w:val="00B60543"/>
    <w:rsid w:val="00B60E8D"/>
    <w:rsid w:val="00B76E38"/>
    <w:rsid w:val="00B80C0E"/>
    <w:rsid w:val="00B918AE"/>
    <w:rsid w:val="00B94E19"/>
    <w:rsid w:val="00BA4DAA"/>
    <w:rsid w:val="00BD2A8D"/>
    <w:rsid w:val="00BD4FCC"/>
    <w:rsid w:val="00BE15C2"/>
    <w:rsid w:val="00BF6579"/>
    <w:rsid w:val="00C0761F"/>
    <w:rsid w:val="00C101C9"/>
    <w:rsid w:val="00C26E05"/>
    <w:rsid w:val="00C44596"/>
    <w:rsid w:val="00C60D61"/>
    <w:rsid w:val="00C92003"/>
    <w:rsid w:val="00CC4387"/>
    <w:rsid w:val="00CC7C6D"/>
    <w:rsid w:val="00CE7B2F"/>
    <w:rsid w:val="00CF24FB"/>
    <w:rsid w:val="00CF6616"/>
    <w:rsid w:val="00D04C27"/>
    <w:rsid w:val="00D10942"/>
    <w:rsid w:val="00D13147"/>
    <w:rsid w:val="00D26F2E"/>
    <w:rsid w:val="00D3777A"/>
    <w:rsid w:val="00D56002"/>
    <w:rsid w:val="00D62F80"/>
    <w:rsid w:val="00D65F02"/>
    <w:rsid w:val="00D778C9"/>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EF48E1"/>
    <w:rsid w:val="00F02C87"/>
    <w:rsid w:val="00F03305"/>
    <w:rsid w:val="00F2228B"/>
    <w:rsid w:val="00F41A85"/>
    <w:rsid w:val="00F62573"/>
    <w:rsid w:val="00F83A62"/>
    <w:rsid w:val="00FA6D77"/>
    <w:rsid w:val="00FB5B6A"/>
    <w:rsid w:val="00FB6DD9"/>
    <w:rsid w:val="00FC4906"/>
    <w:rsid w:val="00FF7666"/>
    <w:rsid w:val="13741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C2"/>
    <w:pPr>
      <w:suppressAutoHyphens/>
    </w:pPr>
    <w:rPr>
      <w:sz w:val="24"/>
      <w:szCs w:val="24"/>
      <w:lang w:eastAsia="ar-SA"/>
    </w:rPr>
  </w:style>
  <w:style w:type="paragraph" w:styleId="Heading1">
    <w:name w:val="heading 1"/>
    <w:basedOn w:val="Normal"/>
    <w:next w:val="Normal"/>
    <w:qFormat/>
    <w:rsid w:val="00BE15C2"/>
    <w:pPr>
      <w:keepNext/>
      <w:numPr>
        <w:numId w:val="1"/>
      </w:numPr>
      <w:outlineLvl w:val="0"/>
    </w:pPr>
    <w:rPr>
      <w:b/>
      <w:bCs/>
      <w:sz w:val="32"/>
    </w:rPr>
  </w:style>
  <w:style w:type="paragraph" w:styleId="Heading2">
    <w:name w:val="heading 2"/>
    <w:basedOn w:val="Normal"/>
    <w:next w:val="Normal"/>
    <w:qFormat/>
    <w:rsid w:val="00BE15C2"/>
    <w:pPr>
      <w:keepNext/>
      <w:numPr>
        <w:ilvl w:val="1"/>
        <w:numId w:val="1"/>
      </w:numPr>
      <w:jc w:val="both"/>
      <w:outlineLvl w:val="1"/>
    </w:pPr>
    <w:rPr>
      <w:b/>
      <w:sz w:val="28"/>
    </w:rPr>
  </w:style>
  <w:style w:type="paragraph" w:styleId="Heading3">
    <w:name w:val="heading 3"/>
    <w:basedOn w:val="Normal"/>
    <w:next w:val="Normal"/>
    <w:qFormat/>
    <w:rsid w:val="00BE15C2"/>
    <w:pPr>
      <w:keepNext/>
      <w:numPr>
        <w:ilvl w:val="2"/>
        <w:numId w:val="1"/>
      </w:numPr>
      <w:spacing w:line="360" w:lineRule="auto"/>
      <w:jc w:val="both"/>
      <w:outlineLvl w:val="2"/>
    </w:pPr>
    <w:rPr>
      <w:b/>
      <w:bCs/>
    </w:rPr>
  </w:style>
  <w:style w:type="paragraph" w:styleId="Heading6">
    <w:name w:val="heading 6"/>
    <w:basedOn w:val="Normal"/>
    <w:next w:val="Normal"/>
    <w:qFormat/>
    <w:rsid w:val="00BE15C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E15C2"/>
    <w:pPr>
      <w:suppressLineNumbers/>
      <w:spacing w:before="120" w:after="120"/>
    </w:pPr>
    <w:rPr>
      <w:i/>
      <w:iCs/>
    </w:rPr>
  </w:style>
  <w:style w:type="paragraph" w:styleId="BodyText">
    <w:name w:val="Body Text"/>
    <w:basedOn w:val="Normal"/>
    <w:rsid w:val="00BE15C2"/>
    <w:pPr>
      <w:spacing w:line="360" w:lineRule="auto"/>
    </w:pPr>
  </w:style>
  <w:style w:type="paragraph" w:styleId="BodyTextIndent">
    <w:name w:val="Body Text Indent"/>
    <w:basedOn w:val="Normal"/>
    <w:rsid w:val="00BE15C2"/>
    <w:pPr>
      <w:ind w:left="540" w:hanging="720"/>
      <w:jc w:val="both"/>
    </w:pPr>
  </w:style>
  <w:style w:type="paragraph" w:styleId="BodyTextIndent2">
    <w:name w:val="Body Text Indent 2"/>
    <w:basedOn w:val="Normal"/>
    <w:rsid w:val="00BE15C2"/>
    <w:pPr>
      <w:spacing w:line="360" w:lineRule="auto"/>
      <w:ind w:firstLine="720"/>
      <w:jc w:val="both"/>
    </w:pPr>
  </w:style>
  <w:style w:type="paragraph" w:styleId="BalloonText">
    <w:name w:val="Balloon Text"/>
    <w:basedOn w:val="Normal"/>
    <w:link w:val="BalloonTextChar"/>
    <w:uiPriority w:val="99"/>
    <w:semiHidden/>
    <w:unhideWhenUsed/>
    <w:rsid w:val="00BE15C2"/>
    <w:rPr>
      <w:rFonts w:ascii="Tahoma" w:hAnsi="Tahoma" w:cs="Tahoma"/>
      <w:sz w:val="16"/>
      <w:szCs w:val="16"/>
    </w:rPr>
  </w:style>
  <w:style w:type="paragraph" w:styleId="Footer">
    <w:name w:val="footer"/>
    <w:basedOn w:val="Normal"/>
    <w:rsid w:val="00BE15C2"/>
    <w:pPr>
      <w:tabs>
        <w:tab w:val="center" w:pos="4320"/>
        <w:tab w:val="right" w:pos="8640"/>
      </w:tabs>
    </w:pPr>
    <w:rPr>
      <w:sz w:val="32"/>
    </w:rPr>
  </w:style>
  <w:style w:type="paragraph" w:styleId="Header">
    <w:name w:val="header"/>
    <w:basedOn w:val="Normal"/>
    <w:next w:val="Heading1"/>
    <w:link w:val="HeaderChar"/>
    <w:uiPriority w:val="99"/>
    <w:rsid w:val="00BE15C2"/>
    <w:pPr>
      <w:tabs>
        <w:tab w:val="center" w:pos="4320"/>
        <w:tab w:val="right" w:pos="8640"/>
      </w:tabs>
    </w:pPr>
  </w:style>
  <w:style w:type="paragraph" w:styleId="List">
    <w:name w:val="List"/>
    <w:basedOn w:val="BodyText"/>
    <w:rsid w:val="00BE15C2"/>
  </w:style>
  <w:style w:type="paragraph" w:styleId="BodyTextIndent3">
    <w:name w:val="Body Text Indent 3"/>
    <w:basedOn w:val="Normal"/>
    <w:rsid w:val="00BE15C2"/>
    <w:pPr>
      <w:spacing w:line="360" w:lineRule="auto"/>
      <w:ind w:firstLine="720"/>
      <w:jc w:val="both"/>
    </w:pPr>
    <w:rPr>
      <w:b/>
      <w:bCs/>
    </w:rPr>
  </w:style>
  <w:style w:type="paragraph" w:styleId="BodyText2">
    <w:name w:val="Body Text 2"/>
    <w:basedOn w:val="Normal"/>
    <w:rsid w:val="00BE15C2"/>
    <w:pPr>
      <w:spacing w:line="360" w:lineRule="auto"/>
      <w:jc w:val="both"/>
    </w:pPr>
  </w:style>
  <w:style w:type="character" w:styleId="PageNumber">
    <w:name w:val="page number"/>
    <w:basedOn w:val="DefaultParagraphFont"/>
    <w:rsid w:val="00BE15C2"/>
  </w:style>
  <w:style w:type="character" w:styleId="FollowedHyperlink">
    <w:name w:val="FollowedHyperlink"/>
    <w:basedOn w:val="DefaultParagraphFont"/>
    <w:rsid w:val="00BE15C2"/>
    <w:rPr>
      <w:color w:val="800080"/>
      <w:u w:val="single"/>
    </w:rPr>
  </w:style>
  <w:style w:type="character" w:styleId="Hyperlink">
    <w:name w:val="Hyperlink"/>
    <w:basedOn w:val="DefaultParagraphFont"/>
    <w:rsid w:val="00BE15C2"/>
    <w:rPr>
      <w:color w:val="0000FF"/>
      <w:u w:val="single"/>
    </w:rPr>
  </w:style>
  <w:style w:type="character" w:customStyle="1" w:styleId="Absatz-Standardschriftart">
    <w:name w:val="Absatz-Standardschriftart"/>
    <w:rsid w:val="00BE15C2"/>
  </w:style>
  <w:style w:type="character" w:customStyle="1" w:styleId="WW-Absatz-Standardschriftart">
    <w:name w:val="WW-Absatz-Standardschriftart"/>
    <w:rsid w:val="00BE15C2"/>
  </w:style>
  <w:style w:type="character" w:customStyle="1" w:styleId="WW-Absatz-Standardschriftart1">
    <w:name w:val="WW-Absatz-Standardschriftart1"/>
    <w:rsid w:val="00BE15C2"/>
  </w:style>
  <w:style w:type="character" w:customStyle="1" w:styleId="WW-Absatz-Standardschriftart11">
    <w:name w:val="WW-Absatz-Standardschriftart11"/>
    <w:rsid w:val="00BE15C2"/>
  </w:style>
  <w:style w:type="character" w:customStyle="1" w:styleId="WW-Absatz-Standardschriftart111">
    <w:name w:val="WW-Absatz-Standardschriftart111"/>
    <w:rsid w:val="00BE15C2"/>
  </w:style>
  <w:style w:type="character" w:customStyle="1" w:styleId="WW-Absatz-Standardschriftart1111">
    <w:name w:val="WW-Absatz-Standardschriftart1111"/>
    <w:qFormat/>
    <w:rsid w:val="00BE15C2"/>
  </w:style>
  <w:style w:type="character" w:customStyle="1" w:styleId="WW-Absatz-Standardschriftart11111">
    <w:name w:val="WW-Absatz-Standardschriftart11111"/>
    <w:rsid w:val="00BE15C2"/>
  </w:style>
  <w:style w:type="character" w:customStyle="1" w:styleId="WW-Absatz-Standardschriftart111111">
    <w:name w:val="WW-Absatz-Standardschriftart111111"/>
    <w:rsid w:val="00BE15C2"/>
  </w:style>
  <w:style w:type="character" w:customStyle="1" w:styleId="WW-Absatz-Standardschriftart1111111">
    <w:name w:val="WW-Absatz-Standardschriftart1111111"/>
    <w:rsid w:val="00BE15C2"/>
  </w:style>
  <w:style w:type="character" w:customStyle="1" w:styleId="WW-Absatz-Standardschriftart11111111">
    <w:name w:val="WW-Absatz-Standardschriftart11111111"/>
    <w:rsid w:val="00BE15C2"/>
  </w:style>
  <w:style w:type="character" w:customStyle="1" w:styleId="WW-Absatz-Standardschriftart111111111">
    <w:name w:val="WW-Absatz-Standardschriftart111111111"/>
    <w:rsid w:val="00BE15C2"/>
  </w:style>
  <w:style w:type="character" w:customStyle="1" w:styleId="WW-Absatz-Standardschriftart1111111111">
    <w:name w:val="WW-Absatz-Standardschriftart1111111111"/>
    <w:rsid w:val="00BE15C2"/>
  </w:style>
  <w:style w:type="character" w:customStyle="1" w:styleId="WW-Absatz-Standardschriftart11111111111">
    <w:name w:val="WW-Absatz-Standardschriftart11111111111"/>
    <w:rsid w:val="00BE15C2"/>
  </w:style>
  <w:style w:type="character" w:customStyle="1" w:styleId="WW-Absatz-Standardschriftart111111111111">
    <w:name w:val="WW-Absatz-Standardschriftart111111111111"/>
    <w:rsid w:val="00BE15C2"/>
  </w:style>
  <w:style w:type="character" w:customStyle="1" w:styleId="WW-Absatz-Standardschriftart1111111111111">
    <w:name w:val="WW-Absatz-Standardschriftart1111111111111"/>
    <w:rsid w:val="00BE15C2"/>
  </w:style>
  <w:style w:type="character" w:customStyle="1" w:styleId="WW-Absatz-Standardschriftart11111111111111">
    <w:name w:val="WW-Absatz-Standardschriftart11111111111111"/>
    <w:rsid w:val="00BE15C2"/>
  </w:style>
  <w:style w:type="character" w:customStyle="1" w:styleId="WW-Absatz-Standardschriftart111111111111111">
    <w:name w:val="WW-Absatz-Standardschriftart111111111111111"/>
    <w:qFormat/>
    <w:rsid w:val="00BE15C2"/>
  </w:style>
  <w:style w:type="character" w:customStyle="1" w:styleId="WW-Absatz-Standardschriftart1111111111111111">
    <w:name w:val="WW-Absatz-Standardschriftart1111111111111111"/>
    <w:qFormat/>
    <w:rsid w:val="00BE15C2"/>
  </w:style>
  <w:style w:type="character" w:customStyle="1" w:styleId="WW8Num1z0">
    <w:name w:val="WW8Num1z0"/>
    <w:rsid w:val="00BE15C2"/>
    <w:rPr>
      <w:rFonts w:ascii="Symbol" w:eastAsia="Times New Roman" w:hAnsi="Symbol" w:cs="Times New Roman"/>
    </w:rPr>
  </w:style>
  <w:style w:type="character" w:customStyle="1" w:styleId="WW8Num1z1">
    <w:name w:val="WW8Num1z1"/>
    <w:rsid w:val="00BE15C2"/>
    <w:rPr>
      <w:rFonts w:ascii="Courier New" w:hAnsi="Courier New" w:cs="Courier New"/>
    </w:rPr>
  </w:style>
  <w:style w:type="character" w:customStyle="1" w:styleId="WW8Num1z2">
    <w:name w:val="WW8Num1z2"/>
    <w:rsid w:val="00BE15C2"/>
    <w:rPr>
      <w:rFonts w:ascii="Wingdings" w:hAnsi="Wingdings"/>
    </w:rPr>
  </w:style>
  <w:style w:type="character" w:customStyle="1" w:styleId="WW8Num1z3">
    <w:name w:val="WW8Num1z3"/>
    <w:rsid w:val="00BE15C2"/>
    <w:rPr>
      <w:rFonts w:ascii="Symbol" w:hAnsi="Symbol"/>
    </w:rPr>
  </w:style>
  <w:style w:type="character" w:customStyle="1" w:styleId="NumberingSymbols">
    <w:name w:val="Numbering Symbols"/>
    <w:rsid w:val="00BE15C2"/>
  </w:style>
  <w:style w:type="paragraph" w:customStyle="1" w:styleId="Heading">
    <w:name w:val="Heading"/>
    <w:basedOn w:val="Normal"/>
    <w:next w:val="BodyText"/>
    <w:rsid w:val="00BE15C2"/>
    <w:pPr>
      <w:keepNext/>
      <w:spacing w:before="240" w:after="120"/>
    </w:pPr>
    <w:rPr>
      <w:rFonts w:ascii="Nimbus Sans L" w:eastAsia="DejaVu Sans" w:hAnsi="Nimbus Sans L" w:cs="DejaVu Sans"/>
      <w:sz w:val="28"/>
      <w:szCs w:val="28"/>
    </w:rPr>
  </w:style>
  <w:style w:type="paragraph" w:customStyle="1" w:styleId="Index">
    <w:name w:val="Index"/>
    <w:basedOn w:val="Normal"/>
    <w:rsid w:val="00BE15C2"/>
    <w:pPr>
      <w:suppressLineNumbers/>
    </w:pPr>
  </w:style>
  <w:style w:type="paragraph" w:customStyle="1" w:styleId="TableContents">
    <w:name w:val="Table Contents"/>
    <w:basedOn w:val="Normal"/>
    <w:qFormat/>
    <w:rsid w:val="00BE15C2"/>
    <w:pPr>
      <w:suppressLineNumbers/>
    </w:pPr>
  </w:style>
  <w:style w:type="paragraph" w:customStyle="1" w:styleId="TableHeading">
    <w:name w:val="Table Heading"/>
    <w:basedOn w:val="TableContents"/>
    <w:rsid w:val="00BE15C2"/>
    <w:pPr>
      <w:jc w:val="center"/>
    </w:pPr>
    <w:rPr>
      <w:b/>
      <w:bCs/>
    </w:rPr>
  </w:style>
  <w:style w:type="paragraph" w:customStyle="1" w:styleId="Framecontents">
    <w:name w:val="Frame contents"/>
    <w:basedOn w:val="BodyText"/>
    <w:rsid w:val="00BE15C2"/>
  </w:style>
  <w:style w:type="paragraph" w:customStyle="1" w:styleId="Text">
    <w:name w:val="Text"/>
    <w:basedOn w:val="Normal"/>
    <w:rsid w:val="00BE15C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BE15C2"/>
    <w:rPr>
      <w:sz w:val="24"/>
      <w:szCs w:val="24"/>
      <w:lang w:eastAsia="ar-SA"/>
    </w:rPr>
  </w:style>
  <w:style w:type="character" w:customStyle="1" w:styleId="UnresolvedMention">
    <w:name w:val="Unresolved Mention"/>
    <w:basedOn w:val="DefaultParagraphFont"/>
    <w:uiPriority w:val="99"/>
    <w:semiHidden/>
    <w:unhideWhenUsed/>
    <w:rsid w:val="00BE15C2"/>
    <w:rPr>
      <w:color w:val="605E5C"/>
      <w:shd w:val="clear" w:color="auto" w:fill="E1DFDD"/>
    </w:rPr>
  </w:style>
  <w:style w:type="paragraph" w:styleId="ListParagraph">
    <w:name w:val="List Paragraph"/>
    <w:basedOn w:val="Normal"/>
    <w:uiPriority w:val="34"/>
    <w:qFormat/>
    <w:rsid w:val="00BE15C2"/>
    <w:pPr>
      <w:suppressAutoHyphens w:val="0"/>
      <w:spacing w:after="200" w:line="276" w:lineRule="auto"/>
      <w:ind w:left="720"/>
      <w:contextualSpacing/>
    </w:pPr>
    <w:rPr>
      <w:rFonts w:ascii="Calibri" w:hAnsi="Calibri"/>
      <w:sz w:val="22"/>
      <w:szCs w:val="22"/>
      <w:lang w:eastAsia="en-US"/>
    </w:rPr>
  </w:style>
  <w:style w:type="character" w:customStyle="1" w:styleId="BalloonTextChar">
    <w:name w:val="Balloon Text Char"/>
    <w:basedOn w:val="DefaultParagraphFont"/>
    <w:link w:val="BalloonText"/>
    <w:uiPriority w:val="99"/>
    <w:semiHidden/>
    <w:rsid w:val="00BE15C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41121.04"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1786</Words>
  <Characters>10181</Characters>
  <Application>Microsoft Office Word</Application>
  <DocSecurity>0</DocSecurity>
  <Lines>84</Lines>
  <Paragraphs>23</Paragraphs>
  <ScaleCrop>false</ScaleCrop>
  <Manager>Marsland</Manager>
  <Company>Marsland Press</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2021-11-04T04:09:00Z</dcterms:created>
  <dcterms:modified xsi:type="dcterms:W3CDTF">2021-11-06T23:51:00Z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77DE674CB4F048A0A0CD8CBBA3D88597</vt:lpwstr>
  </property>
</Properties>
</file>