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B7513" w14:textId="40EFC7F8" w:rsidR="00FE2B49" w:rsidRPr="001E7730" w:rsidRDefault="00AE24EC" w:rsidP="001F58DA">
      <w:pPr>
        <w:snapToGrid w:val="0"/>
        <w:spacing w:before="120" w:after="120" w:line="240" w:lineRule="auto"/>
        <w:jc w:val="center"/>
        <w:rPr>
          <w:rFonts w:ascii="Times New Roman" w:hAnsi="Times New Roman" w:cs="Times New Roman"/>
          <w:b/>
          <w:sz w:val="20"/>
          <w:szCs w:val="20"/>
          <w:lang w:eastAsia="zh-CN"/>
        </w:rPr>
      </w:pPr>
      <w:r w:rsidRPr="001E7730">
        <w:rPr>
          <w:rFonts w:ascii="Times New Roman" w:hAnsi="Times New Roman" w:cs="Times New Roman"/>
          <w:b/>
          <w:sz w:val="20"/>
          <w:szCs w:val="20"/>
        </w:rPr>
        <w:t>Section 324 of IPC: Bailable and Compoundable- Explained</w:t>
      </w:r>
    </w:p>
    <w:p w14:paraId="30174D85" w14:textId="49D7433E" w:rsidR="00FE2B49" w:rsidRPr="001E7730" w:rsidRDefault="00FD0DBC" w:rsidP="001F58DA">
      <w:pPr>
        <w:snapToGrid w:val="0"/>
        <w:spacing w:before="120" w:after="120" w:line="240" w:lineRule="auto"/>
        <w:jc w:val="center"/>
        <w:rPr>
          <w:rFonts w:ascii="Times New Roman" w:hAnsi="Times New Roman" w:cs="Times New Roman"/>
          <w:sz w:val="20"/>
          <w:szCs w:val="20"/>
        </w:rPr>
      </w:pPr>
      <w:r w:rsidRPr="001E7730">
        <w:rPr>
          <w:rFonts w:ascii="Times New Roman" w:hAnsi="Times New Roman" w:cs="Times New Roman"/>
          <w:sz w:val="20"/>
          <w:szCs w:val="20"/>
        </w:rPr>
        <w:t>Jamshed Ansari</w:t>
      </w:r>
    </w:p>
    <w:p w14:paraId="3D8F321C" w14:textId="77777777" w:rsidR="00AE24EC" w:rsidRPr="001E7730" w:rsidRDefault="00AE24EC" w:rsidP="001F58DA">
      <w:pPr>
        <w:snapToGrid w:val="0"/>
        <w:spacing w:before="120" w:after="120" w:line="240" w:lineRule="auto"/>
        <w:jc w:val="center"/>
        <w:rPr>
          <w:rFonts w:ascii="Times New Roman" w:hAnsi="Times New Roman" w:cs="Times New Roman"/>
          <w:bCs/>
          <w:sz w:val="20"/>
          <w:szCs w:val="20"/>
        </w:rPr>
      </w:pPr>
      <w:proofErr w:type="spellStart"/>
      <w:r w:rsidRPr="001E7730">
        <w:rPr>
          <w:rFonts w:ascii="Times New Roman" w:hAnsi="Times New Roman" w:cs="Times New Roman"/>
          <w:bCs/>
          <w:sz w:val="20"/>
          <w:szCs w:val="20"/>
        </w:rPr>
        <w:t>Asstt</w:t>
      </w:r>
      <w:proofErr w:type="spellEnd"/>
      <w:r w:rsidRPr="001E7730">
        <w:rPr>
          <w:rFonts w:ascii="Times New Roman" w:hAnsi="Times New Roman" w:cs="Times New Roman"/>
          <w:bCs/>
          <w:sz w:val="20"/>
          <w:szCs w:val="20"/>
        </w:rPr>
        <w:t>. Public Prosecutor, Directorate of Prosecution, Govt. of NCT of Delhi (India)</w:t>
      </w:r>
    </w:p>
    <w:p w14:paraId="26052317" w14:textId="704B16B8" w:rsidR="00FE2B49" w:rsidRPr="001E7730" w:rsidRDefault="00FD0DBC" w:rsidP="007763B1">
      <w:pPr>
        <w:snapToGrid w:val="0"/>
        <w:spacing w:before="120" w:after="120" w:line="240" w:lineRule="auto"/>
        <w:jc w:val="both"/>
        <w:rPr>
          <w:rFonts w:ascii="Times New Roman" w:hAnsi="Times New Roman" w:cs="Times New Roman"/>
          <w:color w:val="000000"/>
          <w:sz w:val="20"/>
          <w:szCs w:val="20"/>
          <w:lang w:eastAsia="zh-CN"/>
        </w:rPr>
      </w:pPr>
      <w:r w:rsidRPr="001E7730">
        <w:rPr>
          <w:rFonts w:ascii="Times New Roman" w:hAnsi="Times New Roman" w:cs="Times New Roman"/>
          <w:b/>
          <w:bCs/>
          <w:sz w:val="20"/>
          <w:szCs w:val="20"/>
          <w:lang w:eastAsia="zh-CN"/>
        </w:rPr>
        <w:t>Abstract:</w:t>
      </w:r>
      <w:r w:rsidRPr="001E7730">
        <w:rPr>
          <w:rFonts w:ascii="Times New Roman" w:hAnsi="Times New Roman" w:cs="Times New Roman"/>
          <w:bCs/>
          <w:sz w:val="20"/>
          <w:szCs w:val="20"/>
          <w:lang w:eastAsia="zh-CN"/>
        </w:rPr>
        <w:t xml:space="preserve"> </w:t>
      </w:r>
      <w:r w:rsidR="00AE24EC" w:rsidRPr="001E7730">
        <w:rPr>
          <w:rFonts w:ascii="Times New Roman" w:eastAsia="Times New Roman" w:hAnsi="Times New Roman" w:cs="Times New Roman"/>
          <w:color w:val="000000"/>
          <w:sz w:val="20"/>
          <w:szCs w:val="20"/>
        </w:rPr>
        <w:t xml:space="preserve">There has been some confusion with respect to the nature of offence punishable under Section 324 of Indian Penal Code, 1860 (“the IPC”). The question is whether the offence under Section 324 of IPC is a </w:t>
      </w:r>
      <w:r w:rsidR="00AE24EC" w:rsidRPr="00CA05FD">
        <w:rPr>
          <w:rFonts w:ascii="Times New Roman" w:eastAsia="Times New Roman" w:hAnsi="Times New Roman" w:cs="Times New Roman"/>
          <w:i/>
          <w:iCs/>
          <w:color w:val="000000"/>
          <w:sz w:val="20"/>
          <w:szCs w:val="20"/>
        </w:rPr>
        <w:t>bailable</w:t>
      </w:r>
      <w:r w:rsidR="00AE24EC" w:rsidRPr="001E7730">
        <w:rPr>
          <w:rFonts w:ascii="Times New Roman" w:eastAsia="Times New Roman" w:hAnsi="Times New Roman" w:cs="Times New Roman"/>
          <w:color w:val="000000"/>
          <w:sz w:val="20"/>
          <w:szCs w:val="20"/>
        </w:rPr>
        <w:t xml:space="preserve"> or a </w:t>
      </w:r>
      <w:r w:rsidR="00CA05FD" w:rsidRPr="00CA05FD">
        <w:rPr>
          <w:rFonts w:ascii="Times New Roman" w:eastAsia="Times New Roman" w:hAnsi="Times New Roman" w:cs="Times New Roman"/>
          <w:i/>
          <w:iCs/>
          <w:color w:val="000000"/>
          <w:sz w:val="20"/>
          <w:szCs w:val="20"/>
        </w:rPr>
        <w:t>non-bailable</w:t>
      </w:r>
      <w:r w:rsidR="00AE24EC" w:rsidRPr="001E7730">
        <w:rPr>
          <w:rFonts w:ascii="Times New Roman" w:eastAsia="Times New Roman" w:hAnsi="Times New Roman" w:cs="Times New Roman"/>
          <w:color w:val="000000"/>
          <w:sz w:val="20"/>
          <w:szCs w:val="20"/>
        </w:rPr>
        <w:t xml:space="preserve"> one, a </w:t>
      </w:r>
      <w:r w:rsidR="00AE24EC" w:rsidRPr="00CA05FD">
        <w:rPr>
          <w:rFonts w:ascii="Times New Roman" w:eastAsia="Times New Roman" w:hAnsi="Times New Roman" w:cs="Times New Roman"/>
          <w:i/>
          <w:iCs/>
          <w:color w:val="000000"/>
          <w:sz w:val="20"/>
          <w:szCs w:val="20"/>
        </w:rPr>
        <w:t>compoundable</w:t>
      </w:r>
      <w:r w:rsidR="00AE24EC" w:rsidRPr="001E7730">
        <w:rPr>
          <w:rFonts w:ascii="Times New Roman" w:eastAsia="Times New Roman" w:hAnsi="Times New Roman" w:cs="Times New Roman"/>
          <w:color w:val="000000"/>
          <w:sz w:val="20"/>
          <w:szCs w:val="20"/>
        </w:rPr>
        <w:t xml:space="preserve"> or a </w:t>
      </w:r>
      <w:r w:rsidR="00CA05FD" w:rsidRPr="00CA05FD">
        <w:rPr>
          <w:rFonts w:ascii="Times New Roman" w:eastAsia="Times New Roman" w:hAnsi="Times New Roman" w:cs="Times New Roman"/>
          <w:i/>
          <w:iCs/>
          <w:color w:val="000000"/>
          <w:sz w:val="20"/>
          <w:szCs w:val="20"/>
        </w:rPr>
        <w:t>non-compoundable</w:t>
      </w:r>
      <w:r w:rsidR="00AE24EC" w:rsidRPr="001E7730">
        <w:rPr>
          <w:rFonts w:ascii="Times New Roman" w:eastAsia="Times New Roman" w:hAnsi="Times New Roman" w:cs="Times New Roman"/>
          <w:color w:val="000000"/>
          <w:sz w:val="20"/>
          <w:szCs w:val="20"/>
        </w:rPr>
        <w:t xml:space="preserve"> one. This paper shall </w:t>
      </w:r>
      <w:proofErr w:type="spellStart"/>
      <w:r w:rsidR="00AE24EC" w:rsidRPr="001E7730">
        <w:rPr>
          <w:rFonts w:ascii="Times New Roman" w:eastAsia="Times New Roman" w:hAnsi="Times New Roman" w:cs="Times New Roman"/>
          <w:color w:val="000000"/>
          <w:sz w:val="20"/>
          <w:szCs w:val="20"/>
        </w:rPr>
        <w:t>analyse</w:t>
      </w:r>
      <w:proofErr w:type="spellEnd"/>
      <w:r w:rsidR="00AE24EC" w:rsidRPr="001E7730">
        <w:rPr>
          <w:rFonts w:ascii="Times New Roman" w:eastAsia="Times New Roman" w:hAnsi="Times New Roman" w:cs="Times New Roman"/>
          <w:color w:val="000000"/>
          <w:sz w:val="20"/>
          <w:szCs w:val="20"/>
        </w:rPr>
        <w:t xml:space="preserve"> the relevant statutory provisions, statutory amendments, Gazette Notifications and jurisprudential developments in order to understand how we can deal with the issue.</w:t>
      </w:r>
    </w:p>
    <w:p w14:paraId="2E1FEDD7" w14:textId="4F03EBE3" w:rsidR="00FE2B49" w:rsidRPr="001E7730" w:rsidRDefault="00FD0DBC" w:rsidP="007763B1">
      <w:pPr>
        <w:snapToGrid w:val="0"/>
        <w:spacing w:before="120" w:after="120" w:line="240" w:lineRule="auto"/>
        <w:jc w:val="both"/>
        <w:rPr>
          <w:rFonts w:ascii="Times New Roman" w:eastAsia="SimSun" w:hAnsi="Times New Roman" w:cs="Times New Roman"/>
          <w:iCs/>
          <w:color w:val="3A42EF"/>
          <w:sz w:val="20"/>
          <w:szCs w:val="20"/>
          <w:u w:val="single"/>
          <w:shd w:val="clear" w:color="auto" w:fill="FFFFFF"/>
          <w:lang w:eastAsia="zh-CN"/>
        </w:rPr>
      </w:pPr>
      <w:r w:rsidRPr="001E7730">
        <w:rPr>
          <w:rFonts w:ascii="Times New Roman" w:hAnsi="Times New Roman" w:cs="Times New Roman"/>
          <w:iCs/>
          <w:sz w:val="20"/>
          <w:szCs w:val="20"/>
        </w:rPr>
        <w:t>[</w:t>
      </w:r>
      <w:r w:rsidRPr="001E7730">
        <w:rPr>
          <w:rFonts w:ascii="Times New Roman" w:hAnsi="Times New Roman" w:cs="Times New Roman"/>
          <w:sz w:val="20"/>
          <w:szCs w:val="20"/>
        </w:rPr>
        <w:t>Jamshed Ansari</w:t>
      </w:r>
      <w:r w:rsidRPr="001E7730">
        <w:rPr>
          <w:rFonts w:ascii="Times New Roman" w:hAnsi="Times New Roman" w:cs="Times New Roman"/>
          <w:iCs/>
          <w:sz w:val="20"/>
          <w:szCs w:val="20"/>
        </w:rPr>
        <w:t xml:space="preserve">. </w:t>
      </w:r>
      <w:r w:rsidR="00AE24EC" w:rsidRPr="001E7730">
        <w:rPr>
          <w:rFonts w:ascii="Times New Roman" w:hAnsi="Times New Roman" w:cs="Times New Roman"/>
          <w:b/>
          <w:sz w:val="20"/>
          <w:szCs w:val="20"/>
        </w:rPr>
        <w:t>Section 324 of IPC: Bailable and Compoundable- Explained</w:t>
      </w:r>
      <w:r w:rsidRPr="001E7730">
        <w:rPr>
          <w:rFonts w:ascii="Times New Roman" w:hAnsi="Times New Roman" w:cs="Times New Roman"/>
          <w:b/>
          <w:iCs/>
          <w:sz w:val="20"/>
          <w:szCs w:val="20"/>
        </w:rPr>
        <w:t>.</w:t>
      </w:r>
      <w:r w:rsidRPr="001E7730">
        <w:rPr>
          <w:rFonts w:ascii="Times New Roman" w:hAnsi="Times New Roman" w:cs="Times New Roman"/>
          <w:iCs/>
          <w:sz w:val="20"/>
          <w:szCs w:val="20"/>
        </w:rPr>
        <w:t xml:space="preserve"> </w:t>
      </w:r>
      <w:r w:rsidRPr="001E7730">
        <w:rPr>
          <w:rFonts w:ascii="Times New Roman" w:eastAsia="Times New Roman" w:hAnsi="Times New Roman" w:cs="Times New Roman"/>
          <w:bCs/>
          <w:iCs/>
          <w:sz w:val="20"/>
          <w:szCs w:val="20"/>
        </w:rPr>
        <w:t>N Y Sci J</w:t>
      </w:r>
      <w:r w:rsidRPr="001E7730">
        <w:rPr>
          <w:rFonts w:ascii="Times New Roman" w:hAnsi="Times New Roman" w:cs="Times New Roman"/>
          <w:iCs/>
          <w:sz w:val="20"/>
          <w:szCs w:val="20"/>
        </w:rPr>
        <w:t>20</w:t>
      </w:r>
      <w:r w:rsidRPr="001E7730">
        <w:rPr>
          <w:rFonts w:ascii="Times New Roman" w:hAnsi="Times New Roman" w:cs="Times New Roman"/>
          <w:iCs/>
          <w:sz w:val="20"/>
          <w:szCs w:val="20"/>
          <w:lang w:eastAsia="zh-CN"/>
        </w:rPr>
        <w:t>21</w:t>
      </w:r>
      <w:r w:rsidRPr="001E7730">
        <w:rPr>
          <w:rFonts w:ascii="Times New Roman" w:hAnsi="Times New Roman" w:cs="Times New Roman"/>
          <w:iCs/>
          <w:sz w:val="20"/>
          <w:szCs w:val="20"/>
        </w:rPr>
        <w:t>;1</w:t>
      </w:r>
      <w:r w:rsidRPr="001E7730">
        <w:rPr>
          <w:rFonts w:ascii="Times New Roman" w:hAnsi="Times New Roman" w:cs="Times New Roman"/>
          <w:iCs/>
          <w:sz w:val="20"/>
          <w:szCs w:val="20"/>
          <w:lang w:eastAsia="zh-CN"/>
        </w:rPr>
        <w:t>4</w:t>
      </w:r>
      <w:r w:rsidRPr="001E7730">
        <w:rPr>
          <w:rFonts w:ascii="Times New Roman" w:hAnsi="Times New Roman" w:cs="Times New Roman"/>
          <w:iCs/>
          <w:color w:val="000000"/>
          <w:sz w:val="20"/>
          <w:szCs w:val="20"/>
          <w:lang w:eastAsia="zh-CN"/>
        </w:rPr>
        <w:t>(</w:t>
      </w:r>
      <w:r w:rsidRPr="001E7730">
        <w:rPr>
          <w:rFonts w:ascii="Times New Roman" w:hAnsi="Times New Roman" w:cs="Times New Roman"/>
          <w:iCs/>
          <w:sz w:val="20"/>
          <w:szCs w:val="20"/>
          <w:lang w:eastAsia="zh-CN"/>
        </w:rPr>
        <w:t>12</w:t>
      </w:r>
      <w:r w:rsidRPr="001E7730">
        <w:rPr>
          <w:rFonts w:ascii="Times New Roman" w:hAnsi="Times New Roman" w:cs="Times New Roman"/>
          <w:iCs/>
          <w:sz w:val="20"/>
          <w:szCs w:val="20"/>
        </w:rPr>
        <w:t>):</w:t>
      </w:r>
      <w:r w:rsidR="000A6A55" w:rsidRPr="001E7730">
        <w:rPr>
          <w:rFonts w:ascii="Times New Roman" w:hAnsi="Times New Roman" w:cs="Times New Roman"/>
          <w:iCs/>
          <w:sz w:val="20"/>
          <w:szCs w:val="20"/>
          <w:lang w:eastAsia="zh-CN"/>
        </w:rPr>
        <w:t>42-44</w:t>
      </w:r>
      <w:r w:rsidRPr="001E7730">
        <w:rPr>
          <w:rFonts w:ascii="Times New Roman" w:hAnsi="Times New Roman" w:cs="Times New Roman"/>
          <w:iCs/>
          <w:sz w:val="20"/>
          <w:szCs w:val="20"/>
        </w:rPr>
        <w:t>]</w:t>
      </w:r>
      <w:r w:rsidR="000A6A55" w:rsidRPr="001E7730">
        <w:rPr>
          <w:rFonts w:ascii="Times New Roman" w:hAnsi="Times New Roman" w:cs="Times New Roman"/>
          <w:iCs/>
          <w:sz w:val="20"/>
          <w:szCs w:val="20"/>
          <w:lang w:eastAsia="zh-CN"/>
        </w:rPr>
        <w:t xml:space="preserve"> </w:t>
      </w:r>
      <w:r w:rsidRPr="001E7730">
        <w:rPr>
          <w:rFonts w:ascii="Times New Roman" w:hAnsi="Times New Roman" w:cs="Times New Roman"/>
          <w:iCs/>
          <w:color w:val="000000"/>
          <w:sz w:val="20"/>
          <w:szCs w:val="20"/>
          <w:lang w:eastAsia="zh-CN"/>
        </w:rPr>
        <w:t>ISSN</w:t>
      </w:r>
      <w:r w:rsidR="000A6A55" w:rsidRPr="001E7730">
        <w:rPr>
          <w:rFonts w:ascii="Times New Roman" w:hAnsi="Times New Roman" w:cs="Times New Roman"/>
          <w:iCs/>
          <w:color w:val="000000"/>
          <w:sz w:val="20"/>
          <w:szCs w:val="20"/>
          <w:lang w:eastAsia="zh-CN"/>
        </w:rPr>
        <w:t xml:space="preserve"> </w:t>
      </w:r>
      <w:r w:rsidRPr="001E7730">
        <w:rPr>
          <w:rFonts w:ascii="Times New Roman" w:hAnsi="Times New Roman" w:cs="Times New Roman"/>
          <w:iCs/>
          <w:color w:val="000000"/>
          <w:sz w:val="20"/>
          <w:szCs w:val="20"/>
          <w:lang w:eastAsia="zh-CN"/>
        </w:rPr>
        <w:t>1554-0200</w:t>
      </w:r>
      <w:r w:rsidR="000A6A55" w:rsidRPr="001E7730">
        <w:rPr>
          <w:rFonts w:ascii="Times New Roman" w:hAnsi="Times New Roman" w:cs="Times New Roman"/>
          <w:iCs/>
          <w:color w:val="000000"/>
          <w:sz w:val="20"/>
          <w:szCs w:val="20"/>
          <w:lang w:eastAsia="zh-CN"/>
        </w:rPr>
        <w:t xml:space="preserve"> </w:t>
      </w:r>
      <w:r w:rsidRPr="001E7730">
        <w:rPr>
          <w:rFonts w:ascii="Times New Roman" w:hAnsi="Times New Roman" w:cs="Times New Roman"/>
          <w:iCs/>
          <w:color w:val="000000"/>
          <w:sz w:val="20"/>
          <w:szCs w:val="20"/>
          <w:lang w:eastAsia="zh-CN"/>
        </w:rPr>
        <w:t>(print);</w:t>
      </w:r>
      <w:r w:rsidR="000A6A55" w:rsidRPr="001E7730">
        <w:rPr>
          <w:rFonts w:ascii="Times New Roman" w:hAnsi="Times New Roman" w:cs="Times New Roman"/>
          <w:iCs/>
          <w:color w:val="000000"/>
          <w:sz w:val="20"/>
          <w:szCs w:val="20"/>
          <w:lang w:eastAsia="zh-CN"/>
        </w:rPr>
        <w:t xml:space="preserve"> </w:t>
      </w:r>
      <w:r w:rsidRPr="001E7730">
        <w:rPr>
          <w:rFonts w:ascii="Times New Roman" w:hAnsi="Times New Roman" w:cs="Times New Roman"/>
          <w:iCs/>
          <w:color w:val="000000"/>
          <w:sz w:val="20"/>
          <w:szCs w:val="20"/>
          <w:lang w:eastAsia="zh-CN"/>
        </w:rPr>
        <w:t>ISSN</w:t>
      </w:r>
      <w:r w:rsidR="000A6A55" w:rsidRPr="001E7730">
        <w:rPr>
          <w:rFonts w:ascii="Times New Roman" w:hAnsi="Times New Roman" w:cs="Times New Roman"/>
          <w:iCs/>
          <w:color w:val="000000"/>
          <w:sz w:val="20"/>
          <w:szCs w:val="20"/>
          <w:lang w:eastAsia="zh-CN"/>
        </w:rPr>
        <w:t xml:space="preserve"> </w:t>
      </w:r>
      <w:r w:rsidRPr="001E7730">
        <w:rPr>
          <w:rFonts w:ascii="Times New Roman" w:hAnsi="Times New Roman" w:cs="Times New Roman"/>
          <w:iCs/>
          <w:color w:val="000000"/>
          <w:sz w:val="20"/>
          <w:szCs w:val="20"/>
          <w:lang w:eastAsia="zh-CN"/>
        </w:rPr>
        <w:t>2375-723X</w:t>
      </w:r>
      <w:r w:rsidR="000A6A55" w:rsidRPr="001E7730">
        <w:rPr>
          <w:rFonts w:ascii="Times New Roman" w:hAnsi="Times New Roman" w:cs="Times New Roman"/>
          <w:iCs/>
          <w:color w:val="000000"/>
          <w:sz w:val="20"/>
          <w:szCs w:val="20"/>
          <w:lang w:eastAsia="zh-CN"/>
        </w:rPr>
        <w:t xml:space="preserve"> </w:t>
      </w:r>
      <w:r w:rsidRPr="001E7730">
        <w:rPr>
          <w:rFonts w:ascii="Times New Roman" w:hAnsi="Times New Roman" w:cs="Times New Roman"/>
          <w:iCs/>
          <w:color w:val="000000"/>
          <w:sz w:val="20"/>
          <w:szCs w:val="20"/>
          <w:lang w:eastAsia="zh-CN"/>
        </w:rPr>
        <w:t>(online)</w:t>
      </w:r>
      <w:r w:rsidR="000A6A55" w:rsidRPr="001E7730">
        <w:rPr>
          <w:rFonts w:ascii="Times New Roman" w:hAnsi="Times New Roman" w:cs="Times New Roman"/>
          <w:iCs/>
          <w:color w:val="000000"/>
          <w:sz w:val="20"/>
          <w:szCs w:val="20"/>
          <w:lang w:eastAsia="zh-CN"/>
        </w:rPr>
        <w:t xml:space="preserve"> </w:t>
      </w:r>
      <w:hyperlink r:id="rId9" w:history="1">
        <w:r w:rsidRPr="001E7730">
          <w:rPr>
            <w:rStyle w:val="Hyperlink"/>
            <w:rFonts w:ascii="Times New Roman" w:hAnsi="Times New Roman" w:cs="Times New Roman"/>
            <w:iCs/>
            <w:color w:val="0000FF"/>
            <w:sz w:val="20"/>
            <w:szCs w:val="20"/>
          </w:rPr>
          <w:t>http://www.sciencepub.net/newyork</w:t>
        </w:r>
      </w:hyperlink>
      <w:r w:rsidRPr="001E7730">
        <w:rPr>
          <w:rFonts w:ascii="Times New Roman" w:hAnsi="Times New Roman" w:cs="Times New Roman"/>
          <w:iCs/>
          <w:color w:val="0000FF"/>
          <w:sz w:val="20"/>
          <w:szCs w:val="20"/>
          <w:lang w:eastAsia="zh-CN"/>
        </w:rPr>
        <w:t xml:space="preserve">. </w:t>
      </w:r>
      <w:r w:rsidRPr="001E7730">
        <w:rPr>
          <w:rFonts w:ascii="Times New Roman" w:hAnsi="Times New Roman" w:cs="Times New Roman"/>
          <w:iCs/>
          <w:sz w:val="20"/>
          <w:szCs w:val="20"/>
          <w:lang w:eastAsia="zh-CN"/>
        </w:rPr>
        <w:t>6</w:t>
      </w:r>
      <w:r w:rsidRPr="001E7730">
        <w:rPr>
          <w:rFonts w:ascii="Times New Roman" w:hAnsi="Times New Roman" w:cs="Times New Roman"/>
          <w:iCs/>
          <w:color w:val="0000FF"/>
          <w:sz w:val="20"/>
          <w:szCs w:val="20"/>
        </w:rPr>
        <w:t>.</w:t>
      </w:r>
      <w:r w:rsidR="000A6A55" w:rsidRPr="001E7730">
        <w:rPr>
          <w:rFonts w:ascii="Times New Roman" w:hAnsi="Times New Roman" w:cs="Times New Roman"/>
          <w:iCs/>
          <w:color w:val="0000FF"/>
          <w:sz w:val="20"/>
          <w:szCs w:val="20"/>
          <w:lang w:eastAsia="zh-CN"/>
        </w:rPr>
        <w:t xml:space="preserve"> </w:t>
      </w:r>
      <w:r w:rsidRPr="001E7730">
        <w:rPr>
          <w:rFonts w:ascii="Times New Roman" w:hAnsi="Times New Roman" w:cs="Times New Roman"/>
          <w:iCs/>
          <w:color w:val="3A42EF"/>
          <w:sz w:val="20"/>
          <w:szCs w:val="20"/>
          <w:u w:val="single"/>
          <w:shd w:val="clear" w:color="auto" w:fill="FFFFFF"/>
        </w:rPr>
        <w:t>doi:</w:t>
      </w:r>
      <w:hyperlink r:id="rId10" w:history="1">
        <w:r w:rsidRPr="001E7730">
          <w:rPr>
            <w:rStyle w:val="Hyperlink"/>
            <w:rFonts w:ascii="Times New Roman" w:hAnsi="Times New Roman" w:cs="Times New Roman"/>
            <w:iCs/>
            <w:sz w:val="20"/>
            <w:szCs w:val="20"/>
            <w:shd w:val="clear" w:color="auto" w:fill="FFFFFF"/>
          </w:rPr>
          <w:t>10.7537/marsnys141221.06</w:t>
        </w:r>
      </w:hyperlink>
      <w:r w:rsidRPr="001E7730">
        <w:rPr>
          <w:rFonts w:ascii="Times New Roman" w:eastAsia="SimSun" w:hAnsi="Times New Roman" w:cs="Times New Roman"/>
          <w:iCs/>
          <w:color w:val="3A42EF"/>
          <w:sz w:val="20"/>
          <w:szCs w:val="20"/>
          <w:u w:val="single"/>
          <w:shd w:val="clear" w:color="auto" w:fill="FFFFFF"/>
          <w:lang w:eastAsia="zh-CN"/>
        </w:rPr>
        <w:t>.</w:t>
      </w:r>
    </w:p>
    <w:p w14:paraId="473D164B" w14:textId="180B5CA5" w:rsidR="00FE2B49" w:rsidRPr="001E7730" w:rsidRDefault="00FD0DBC" w:rsidP="007763B1">
      <w:pPr>
        <w:snapToGrid w:val="0"/>
        <w:spacing w:before="240" w:after="240" w:line="240" w:lineRule="auto"/>
        <w:rPr>
          <w:rFonts w:ascii="Times New Roman" w:eastAsia="Times New Roman" w:hAnsi="Times New Roman" w:cs="Times New Roman"/>
          <w:b/>
          <w:bCs/>
          <w:i/>
          <w:iCs/>
          <w:color w:val="000000" w:themeColor="text1"/>
          <w:sz w:val="20"/>
          <w:szCs w:val="20"/>
          <w:lang w:val="en-IN" w:eastAsia="en-IN"/>
        </w:rPr>
      </w:pPr>
      <w:r w:rsidRPr="001E7730">
        <w:rPr>
          <w:rFonts w:ascii="Times New Roman" w:hAnsi="Times New Roman" w:cs="Times New Roman"/>
          <w:b/>
          <w:color w:val="000000" w:themeColor="text1"/>
          <w:sz w:val="20"/>
          <w:szCs w:val="20"/>
          <w:lang w:eastAsia="zh-CN"/>
        </w:rPr>
        <w:t>Keywords</w:t>
      </w:r>
      <w:r w:rsidRPr="001E7730">
        <w:rPr>
          <w:rFonts w:ascii="Times New Roman" w:hAnsi="Times New Roman" w:cs="Times New Roman"/>
          <w:color w:val="000000" w:themeColor="text1"/>
          <w:sz w:val="20"/>
          <w:szCs w:val="20"/>
          <w:lang w:eastAsia="zh-CN"/>
        </w:rPr>
        <w:t>:</w:t>
      </w:r>
      <w:r w:rsidRPr="001E7730">
        <w:rPr>
          <w:rFonts w:ascii="Times New Roman" w:eastAsia="Times New Roman" w:hAnsi="Times New Roman" w:cs="Times New Roman"/>
          <w:color w:val="000000" w:themeColor="text1"/>
          <w:sz w:val="20"/>
          <w:szCs w:val="20"/>
        </w:rPr>
        <w:t xml:space="preserve"> </w:t>
      </w:r>
      <w:r w:rsidR="00AE24EC" w:rsidRPr="001E7730">
        <w:rPr>
          <w:rFonts w:ascii="Times New Roman" w:eastAsia="Times New Roman" w:hAnsi="Times New Roman" w:cs="Times New Roman"/>
          <w:color w:val="000000" w:themeColor="text1"/>
          <w:sz w:val="20"/>
          <w:szCs w:val="20"/>
        </w:rPr>
        <w:t xml:space="preserve">Section 324 of IPC; Section 320 of </w:t>
      </w:r>
      <w:proofErr w:type="spellStart"/>
      <w:proofErr w:type="gramStart"/>
      <w:r w:rsidR="00AE24EC" w:rsidRPr="001E7730">
        <w:rPr>
          <w:rFonts w:ascii="Times New Roman" w:eastAsia="Times New Roman" w:hAnsi="Times New Roman" w:cs="Times New Roman"/>
          <w:color w:val="000000" w:themeColor="text1"/>
          <w:sz w:val="20"/>
          <w:szCs w:val="20"/>
        </w:rPr>
        <w:t>Cr.PC</w:t>
      </w:r>
      <w:proofErr w:type="spellEnd"/>
      <w:proofErr w:type="gramEnd"/>
      <w:r w:rsidR="00AE24EC" w:rsidRPr="001E7730">
        <w:rPr>
          <w:rFonts w:ascii="Times New Roman" w:eastAsia="Times New Roman" w:hAnsi="Times New Roman" w:cs="Times New Roman"/>
          <w:color w:val="000000" w:themeColor="text1"/>
          <w:sz w:val="20"/>
          <w:szCs w:val="20"/>
        </w:rPr>
        <w:t xml:space="preserve">; compoundable; bailable; </w:t>
      </w:r>
      <w:proofErr w:type="spellStart"/>
      <w:r w:rsidR="00AE24EC" w:rsidRPr="001E7730">
        <w:rPr>
          <w:rFonts w:ascii="Times New Roman" w:eastAsia="Times New Roman" w:hAnsi="Times New Roman" w:cs="Times New Roman"/>
          <w:color w:val="000000" w:themeColor="text1"/>
          <w:sz w:val="20"/>
          <w:szCs w:val="20"/>
        </w:rPr>
        <w:t>Cr.PC</w:t>
      </w:r>
      <w:proofErr w:type="spellEnd"/>
      <w:r w:rsidR="00AE24EC" w:rsidRPr="001E7730">
        <w:rPr>
          <w:rFonts w:ascii="Times New Roman" w:eastAsia="Times New Roman" w:hAnsi="Times New Roman" w:cs="Times New Roman"/>
          <w:color w:val="000000" w:themeColor="text1"/>
          <w:sz w:val="20"/>
          <w:szCs w:val="20"/>
        </w:rPr>
        <w:t xml:space="preserve"> (Amendment) Act, 2005, </w:t>
      </w:r>
      <w:proofErr w:type="spellStart"/>
      <w:r w:rsidR="00AE24EC" w:rsidRPr="001E7730">
        <w:rPr>
          <w:rFonts w:ascii="Times New Roman" w:eastAsia="Times New Roman" w:hAnsi="Times New Roman" w:cs="Times New Roman"/>
          <w:color w:val="000000" w:themeColor="text1"/>
          <w:sz w:val="20"/>
          <w:szCs w:val="20"/>
        </w:rPr>
        <w:t>Cr.PC</w:t>
      </w:r>
      <w:proofErr w:type="spellEnd"/>
      <w:r w:rsidR="00AE24EC" w:rsidRPr="001E7730">
        <w:rPr>
          <w:rFonts w:ascii="Times New Roman" w:eastAsia="Times New Roman" w:hAnsi="Times New Roman" w:cs="Times New Roman"/>
          <w:color w:val="000000" w:themeColor="text1"/>
          <w:sz w:val="20"/>
          <w:szCs w:val="20"/>
        </w:rPr>
        <w:t xml:space="preserve"> (Amendment) Act, 2008; Gazette of India Notification dated 21.06.2006</w:t>
      </w:r>
    </w:p>
    <w:p w14:paraId="77F0445A" w14:textId="77777777" w:rsidR="000A6A55" w:rsidRPr="001E7730" w:rsidRDefault="000A6A55" w:rsidP="007763B1">
      <w:pPr>
        <w:snapToGrid w:val="0"/>
        <w:spacing w:before="240" w:after="240" w:line="240" w:lineRule="auto"/>
        <w:jc w:val="both"/>
        <w:rPr>
          <w:rFonts w:ascii="Times New Roman" w:hAnsi="Times New Roman" w:cs="Times New Roman"/>
          <w:b/>
          <w:bCs/>
          <w:color w:val="000000" w:themeColor="text1"/>
          <w:sz w:val="20"/>
          <w:szCs w:val="20"/>
          <w:lang w:eastAsia="zh-CN"/>
        </w:rPr>
        <w:sectPr w:rsidR="000A6A55" w:rsidRPr="001E7730" w:rsidSect="000A6A55">
          <w:headerReference w:type="default" r:id="rId11"/>
          <w:footerReference w:type="default" r:id="rId12"/>
          <w:headerReference w:type="first" r:id="rId13"/>
          <w:footerReference w:type="first" r:id="rId14"/>
          <w:pgSz w:w="11907" w:h="16840"/>
          <w:pgMar w:top="1440" w:right="1440" w:bottom="1440" w:left="1440" w:header="720" w:footer="720" w:gutter="0"/>
          <w:pgNumType w:start="42"/>
          <w:cols w:space="720"/>
          <w:titlePg/>
          <w:docGrid w:linePitch="360"/>
        </w:sectPr>
      </w:pPr>
    </w:p>
    <w:p w14:paraId="577B25F5" w14:textId="3677FA03" w:rsidR="00FE2B49" w:rsidRPr="001E7730" w:rsidRDefault="00FD0DBC" w:rsidP="007763B1">
      <w:pPr>
        <w:snapToGrid w:val="0"/>
        <w:spacing w:before="240" w:after="240" w:line="240" w:lineRule="auto"/>
        <w:jc w:val="both"/>
        <w:rPr>
          <w:rFonts w:ascii="Times New Roman" w:eastAsia="Times New Roman" w:hAnsi="Times New Roman" w:cs="Times New Roman"/>
          <w:b/>
          <w:bCs/>
          <w:color w:val="000000" w:themeColor="text1"/>
          <w:sz w:val="20"/>
          <w:szCs w:val="20"/>
        </w:rPr>
      </w:pPr>
      <w:r w:rsidRPr="001E7730">
        <w:rPr>
          <w:rFonts w:ascii="Times New Roman" w:eastAsia="Times New Roman" w:hAnsi="Times New Roman" w:cs="Times New Roman"/>
          <w:b/>
          <w:bCs/>
          <w:color w:val="000000" w:themeColor="text1"/>
          <w:sz w:val="20"/>
          <w:szCs w:val="20"/>
        </w:rPr>
        <w:t>Introduction</w:t>
      </w:r>
    </w:p>
    <w:p w14:paraId="246160B5" w14:textId="447194E3" w:rsidR="001E7730" w:rsidRPr="001E7730" w:rsidRDefault="001E7730" w:rsidP="001E7730">
      <w:pPr>
        <w:snapToGrid w:val="0"/>
        <w:spacing w:after="0" w:line="240" w:lineRule="auto"/>
        <w:ind w:firstLine="567"/>
        <w:jc w:val="both"/>
        <w:rPr>
          <w:rFonts w:ascii="Times New Roman" w:eastAsia="Times New Roman" w:hAnsi="Times New Roman" w:cs="Times New Roman"/>
          <w:color w:val="000000" w:themeColor="text1"/>
          <w:sz w:val="20"/>
          <w:szCs w:val="20"/>
        </w:rPr>
      </w:pPr>
      <w:r w:rsidRPr="001E7730">
        <w:rPr>
          <w:rFonts w:ascii="Times New Roman" w:eastAsia="Times New Roman" w:hAnsi="Times New Roman" w:cs="Times New Roman"/>
          <w:color w:val="000000" w:themeColor="text1"/>
          <w:sz w:val="20"/>
          <w:szCs w:val="20"/>
        </w:rPr>
        <w:t xml:space="preserve">The offence under Section 324 of IPC (voluntarily causing hurt by dangerous weapons or means) is punishable with imprisonment extending to three years or/and fine. Both in the old Code as well as the new Code of 1973, the said offence was treated as </w:t>
      </w:r>
      <w:r w:rsidRPr="00CA05FD">
        <w:rPr>
          <w:rFonts w:ascii="Times New Roman" w:eastAsia="Times New Roman" w:hAnsi="Times New Roman" w:cs="Times New Roman"/>
          <w:i/>
          <w:iCs/>
          <w:color w:val="000000" w:themeColor="text1"/>
          <w:sz w:val="20"/>
          <w:szCs w:val="20"/>
        </w:rPr>
        <w:t>bailable</w:t>
      </w:r>
      <w:r w:rsidRPr="001E7730">
        <w:rPr>
          <w:rFonts w:ascii="Times New Roman" w:eastAsia="Times New Roman" w:hAnsi="Times New Roman" w:cs="Times New Roman"/>
          <w:color w:val="000000" w:themeColor="text1"/>
          <w:sz w:val="20"/>
          <w:szCs w:val="20"/>
        </w:rPr>
        <w:t xml:space="preserve"> and </w:t>
      </w:r>
      <w:r w:rsidRPr="00CA05FD">
        <w:rPr>
          <w:rFonts w:ascii="Times New Roman" w:eastAsia="Times New Roman" w:hAnsi="Times New Roman" w:cs="Times New Roman"/>
          <w:i/>
          <w:iCs/>
          <w:color w:val="000000" w:themeColor="text1"/>
          <w:sz w:val="20"/>
          <w:szCs w:val="20"/>
        </w:rPr>
        <w:t>compoundable</w:t>
      </w:r>
      <w:r w:rsidRPr="001E7730">
        <w:rPr>
          <w:rFonts w:ascii="Times New Roman" w:eastAsia="Times New Roman" w:hAnsi="Times New Roman" w:cs="Times New Roman"/>
          <w:color w:val="000000" w:themeColor="text1"/>
          <w:sz w:val="20"/>
          <w:szCs w:val="20"/>
        </w:rPr>
        <w:t xml:space="preserve"> one.</w:t>
      </w:r>
    </w:p>
    <w:p w14:paraId="2A6C0C2F" w14:textId="56A4506F" w:rsidR="00FE2B49" w:rsidRPr="001E7730" w:rsidRDefault="001E7730" w:rsidP="001E7730">
      <w:pPr>
        <w:snapToGrid w:val="0"/>
        <w:spacing w:before="120" w:after="120" w:line="240" w:lineRule="auto"/>
        <w:ind w:firstLine="567"/>
        <w:jc w:val="both"/>
        <w:rPr>
          <w:rFonts w:ascii="Times New Roman" w:eastAsia="Times New Roman" w:hAnsi="Times New Roman" w:cs="Times New Roman"/>
          <w:color w:val="000000" w:themeColor="text1"/>
          <w:sz w:val="20"/>
          <w:szCs w:val="20"/>
        </w:rPr>
      </w:pPr>
      <w:r w:rsidRPr="001E7730">
        <w:rPr>
          <w:rFonts w:ascii="Times New Roman" w:eastAsia="Times New Roman" w:hAnsi="Times New Roman" w:cs="Times New Roman"/>
          <w:color w:val="000000" w:themeColor="text1"/>
          <w:sz w:val="20"/>
          <w:szCs w:val="20"/>
        </w:rPr>
        <w:t xml:space="preserve">In the </w:t>
      </w:r>
      <w:proofErr w:type="spellStart"/>
      <w:proofErr w:type="gramStart"/>
      <w:r w:rsidRPr="001E7730">
        <w:rPr>
          <w:rFonts w:ascii="Times New Roman" w:eastAsia="Times New Roman" w:hAnsi="Times New Roman" w:cs="Times New Roman"/>
          <w:color w:val="000000" w:themeColor="text1"/>
          <w:sz w:val="20"/>
          <w:szCs w:val="20"/>
        </w:rPr>
        <w:t>Cr.PC</w:t>
      </w:r>
      <w:proofErr w:type="spellEnd"/>
      <w:proofErr w:type="gramEnd"/>
      <w:r w:rsidRPr="001E7730">
        <w:rPr>
          <w:rFonts w:ascii="Times New Roman" w:eastAsia="Times New Roman" w:hAnsi="Times New Roman" w:cs="Times New Roman"/>
          <w:color w:val="000000" w:themeColor="text1"/>
          <w:sz w:val="20"/>
          <w:szCs w:val="20"/>
        </w:rPr>
        <w:t xml:space="preserve"> (Amendment) Bill of 1994, it was proposed that Section 324 of IPC should be omitted from the Table of compoundable offences. The apparent reason for such proposal was that the provision was likely to be misused by the accused by exerting pressure on the complainant to agree for composition. The proposal which was initiated during 1990s came to fruition in 2005 and by the </w:t>
      </w:r>
      <w:proofErr w:type="spellStart"/>
      <w:proofErr w:type="gramStart"/>
      <w:r w:rsidRPr="001E7730">
        <w:rPr>
          <w:rFonts w:ascii="Times New Roman" w:eastAsia="Times New Roman" w:hAnsi="Times New Roman" w:cs="Times New Roman"/>
          <w:color w:val="000000" w:themeColor="text1"/>
          <w:sz w:val="20"/>
          <w:szCs w:val="20"/>
        </w:rPr>
        <w:t>Cr.PC</w:t>
      </w:r>
      <w:proofErr w:type="spellEnd"/>
      <w:proofErr w:type="gramEnd"/>
      <w:r w:rsidRPr="001E7730">
        <w:rPr>
          <w:rFonts w:ascii="Times New Roman" w:eastAsia="Times New Roman" w:hAnsi="Times New Roman" w:cs="Times New Roman"/>
          <w:color w:val="000000" w:themeColor="text1"/>
          <w:sz w:val="20"/>
          <w:szCs w:val="20"/>
        </w:rPr>
        <w:t xml:space="preserve"> (Amendment) Act, 2005 (Act no. 25 of 2005), Section 324 was omitted from the list of compoundable offences.</w:t>
      </w:r>
    </w:p>
    <w:p w14:paraId="6C1B8C60" w14:textId="77777777" w:rsidR="00FE2B49" w:rsidRPr="001E7730" w:rsidRDefault="00FD0DBC" w:rsidP="001E7730">
      <w:pPr>
        <w:snapToGrid w:val="0"/>
        <w:spacing w:before="120" w:after="120" w:line="240" w:lineRule="auto"/>
        <w:jc w:val="both"/>
        <w:rPr>
          <w:rFonts w:ascii="Times New Roman" w:eastAsia="Times New Roman" w:hAnsi="Times New Roman" w:cs="Times New Roman"/>
          <w:b/>
          <w:bCs/>
          <w:color w:val="000000" w:themeColor="text1"/>
          <w:sz w:val="20"/>
          <w:szCs w:val="20"/>
        </w:rPr>
      </w:pPr>
      <w:r w:rsidRPr="001E7730">
        <w:rPr>
          <w:rFonts w:ascii="Times New Roman" w:eastAsia="Times New Roman" w:hAnsi="Times New Roman" w:cs="Times New Roman"/>
          <w:b/>
          <w:bCs/>
          <w:color w:val="000000" w:themeColor="text1"/>
          <w:sz w:val="20"/>
          <w:szCs w:val="20"/>
        </w:rPr>
        <w:t>Section 324 of Indian Penal Code, 1860</w:t>
      </w:r>
    </w:p>
    <w:p w14:paraId="154A44B2" w14:textId="77777777" w:rsidR="001E7730" w:rsidRPr="001E7730" w:rsidRDefault="001E7730" w:rsidP="001E7730">
      <w:pPr>
        <w:snapToGrid w:val="0"/>
        <w:spacing w:before="120" w:after="120" w:line="240" w:lineRule="auto"/>
        <w:ind w:firstLine="567"/>
        <w:jc w:val="both"/>
        <w:rPr>
          <w:rFonts w:ascii="Times New Roman" w:eastAsia="Times New Roman" w:hAnsi="Times New Roman" w:cs="Times New Roman"/>
          <w:color w:val="000000" w:themeColor="text1"/>
          <w:sz w:val="20"/>
          <w:szCs w:val="20"/>
        </w:rPr>
      </w:pPr>
      <w:r w:rsidRPr="001E7730">
        <w:rPr>
          <w:rFonts w:ascii="Times New Roman" w:eastAsia="Times New Roman" w:hAnsi="Times New Roman" w:cs="Times New Roman"/>
          <w:color w:val="000000" w:themeColor="text1"/>
          <w:sz w:val="20"/>
          <w:szCs w:val="20"/>
        </w:rPr>
        <w:t>Section 324 of IPC is reproduced hereunder:</w:t>
      </w:r>
    </w:p>
    <w:p w14:paraId="5D3A2B84" w14:textId="710358D8" w:rsidR="001E7730" w:rsidRPr="001E7730" w:rsidRDefault="001E7730" w:rsidP="001E7730">
      <w:pPr>
        <w:snapToGrid w:val="0"/>
        <w:spacing w:before="120" w:after="120" w:line="240" w:lineRule="auto"/>
        <w:jc w:val="both"/>
        <w:rPr>
          <w:rFonts w:ascii="Times New Roman" w:eastAsia="Times New Roman" w:hAnsi="Times New Roman" w:cs="Times New Roman"/>
          <w:b/>
          <w:bCs/>
          <w:i/>
          <w:iCs/>
          <w:color w:val="000000" w:themeColor="text1"/>
          <w:sz w:val="20"/>
          <w:szCs w:val="20"/>
          <w:u w:val="single"/>
        </w:rPr>
      </w:pPr>
      <w:r w:rsidRPr="001E7730">
        <w:rPr>
          <w:rFonts w:ascii="Times New Roman" w:eastAsia="Times New Roman" w:hAnsi="Times New Roman" w:cs="Times New Roman"/>
          <w:b/>
          <w:bCs/>
          <w:i/>
          <w:iCs/>
          <w:color w:val="000000" w:themeColor="text1"/>
          <w:sz w:val="20"/>
          <w:szCs w:val="20"/>
          <w:u w:val="single"/>
        </w:rPr>
        <w:t>“Section 324 of IPC: Voluntarily causing hurt by dangerous weapons or means.</w:t>
      </w:r>
    </w:p>
    <w:p w14:paraId="1B044CF9" w14:textId="77777777" w:rsidR="007763B1" w:rsidRDefault="001E7730" w:rsidP="001E7730">
      <w:pPr>
        <w:snapToGrid w:val="0"/>
        <w:spacing w:after="0" w:line="240" w:lineRule="auto"/>
        <w:ind w:firstLine="567"/>
        <w:jc w:val="both"/>
        <w:rPr>
          <w:rFonts w:ascii="Times New Roman" w:eastAsia="Times New Roman" w:hAnsi="Times New Roman" w:cs="Times New Roman"/>
          <w:b/>
          <w:bCs/>
          <w:i/>
          <w:iCs/>
          <w:color w:val="000000" w:themeColor="text1"/>
          <w:sz w:val="20"/>
          <w:szCs w:val="20"/>
        </w:rPr>
      </w:pPr>
      <w:r w:rsidRPr="001E7730">
        <w:rPr>
          <w:rFonts w:ascii="Times New Roman" w:eastAsia="Times New Roman" w:hAnsi="Times New Roman" w:cs="Times New Roman"/>
          <w:b/>
          <w:bCs/>
          <w:i/>
          <w:iCs/>
          <w:color w:val="000000" w:themeColor="text1"/>
          <w:sz w:val="20"/>
          <w:szCs w:val="20"/>
        </w:rPr>
        <w:t xml:space="preserve">Whoever, except in the case provided for by section 334, voluntarily causes hurt by means of any instrument for shooting, stab­bing or cutting, or any instrument which, used as weapon of offence, is likely to cause death, or by means of fire or any heated substance, or by means of any poison or any corrosive substance, or by means of any explosive substance or by means of any substance which it is deleterious to the human body to inhale, to swallow, </w:t>
      </w:r>
      <w:r w:rsidRPr="001E7730">
        <w:rPr>
          <w:rFonts w:ascii="Times New Roman" w:eastAsia="Times New Roman" w:hAnsi="Times New Roman" w:cs="Times New Roman"/>
          <w:b/>
          <w:bCs/>
          <w:i/>
          <w:iCs/>
          <w:color w:val="000000" w:themeColor="text1"/>
          <w:sz w:val="20"/>
          <w:szCs w:val="20"/>
        </w:rPr>
        <w:t xml:space="preserve">or to receive into the blood, or by means of any animal, shall be punished with imprisonment </w:t>
      </w:r>
    </w:p>
    <w:p w14:paraId="1BA45267" w14:textId="12106BCD" w:rsidR="001E7730" w:rsidRPr="001E7730" w:rsidRDefault="001E7730" w:rsidP="007763B1">
      <w:pPr>
        <w:snapToGrid w:val="0"/>
        <w:spacing w:after="0" w:line="240" w:lineRule="auto"/>
        <w:jc w:val="both"/>
        <w:rPr>
          <w:rFonts w:ascii="Times New Roman" w:eastAsia="Times New Roman" w:hAnsi="Times New Roman" w:cs="Times New Roman"/>
          <w:b/>
          <w:bCs/>
          <w:i/>
          <w:iCs/>
          <w:color w:val="000000" w:themeColor="text1"/>
          <w:sz w:val="20"/>
          <w:szCs w:val="20"/>
        </w:rPr>
      </w:pPr>
      <w:r w:rsidRPr="001E7730">
        <w:rPr>
          <w:rFonts w:ascii="Times New Roman" w:eastAsia="Times New Roman" w:hAnsi="Times New Roman" w:cs="Times New Roman"/>
          <w:b/>
          <w:bCs/>
          <w:i/>
          <w:iCs/>
          <w:color w:val="000000" w:themeColor="text1"/>
          <w:sz w:val="20"/>
          <w:szCs w:val="20"/>
        </w:rPr>
        <w:t>of either description for a term which may extend to three years, or with fine, or with both.”</w:t>
      </w:r>
    </w:p>
    <w:p w14:paraId="5CD5FF4E" w14:textId="1508AD26" w:rsidR="00FE2B49" w:rsidRPr="001E7730" w:rsidRDefault="001E7730" w:rsidP="001E7730">
      <w:pPr>
        <w:snapToGrid w:val="0"/>
        <w:spacing w:before="120" w:after="120" w:line="240" w:lineRule="auto"/>
        <w:ind w:firstLine="567"/>
        <w:jc w:val="both"/>
        <w:rPr>
          <w:rFonts w:ascii="Times New Roman" w:hAnsi="Times New Roman" w:cs="Times New Roman"/>
          <w:color w:val="000000" w:themeColor="text1"/>
          <w:sz w:val="20"/>
          <w:szCs w:val="20"/>
        </w:rPr>
      </w:pPr>
      <w:r w:rsidRPr="001E7730">
        <w:rPr>
          <w:rFonts w:ascii="Times New Roman" w:eastAsia="Times New Roman" w:hAnsi="Times New Roman" w:cs="Times New Roman"/>
          <w:color w:val="000000" w:themeColor="text1"/>
          <w:sz w:val="20"/>
          <w:szCs w:val="20"/>
        </w:rPr>
        <w:t xml:space="preserve">In order to establish whether an offence is a </w:t>
      </w:r>
      <w:r w:rsidRPr="004F6E4D">
        <w:rPr>
          <w:rFonts w:ascii="Times New Roman" w:eastAsia="Times New Roman" w:hAnsi="Times New Roman" w:cs="Times New Roman"/>
          <w:color w:val="000000" w:themeColor="text1"/>
          <w:sz w:val="20"/>
          <w:szCs w:val="20"/>
        </w:rPr>
        <w:t>bailable</w:t>
      </w:r>
      <w:r w:rsidRPr="001E7730">
        <w:rPr>
          <w:rFonts w:ascii="Times New Roman" w:eastAsia="Times New Roman" w:hAnsi="Times New Roman" w:cs="Times New Roman"/>
          <w:color w:val="000000" w:themeColor="text1"/>
          <w:sz w:val="20"/>
          <w:szCs w:val="20"/>
        </w:rPr>
        <w:t xml:space="preserve"> offence or not, it is important to look into the First Schedule of the Code of Criminal Procedure, 1973 (“</w:t>
      </w:r>
      <w:proofErr w:type="spellStart"/>
      <w:proofErr w:type="gramStart"/>
      <w:r w:rsidRPr="001E7730">
        <w:rPr>
          <w:rFonts w:ascii="Times New Roman" w:eastAsia="Times New Roman" w:hAnsi="Times New Roman" w:cs="Times New Roman"/>
          <w:color w:val="000000" w:themeColor="text1"/>
          <w:sz w:val="20"/>
          <w:szCs w:val="20"/>
        </w:rPr>
        <w:t>Cr.PC</w:t>
      </w:r>
      <w:proofErr w:type="spellEnd"/>
      <w:proofErr w:type="gramEnd"/>
      <w:r w:rsidRPr="001E7730">
        <w:rPr>
          <w:rFonts w:ascii="Times New Roman" w:eastAsia="Times New Roman" w:hAnsi="Times New Roman" w:cs="Times New Roman"/>
          <w:color w:val="000000" w:themeColor="text1"/>
          <w:sz w:val="20"/>
          <w:szCs w:val="20"/>
        </w:rPr>
        <w:t xml:space="preserve">, 1973”) in which classification of the offences have been made. The offence </w:t>
      </w:r>
      <w:r w:rsidR="00CA05FD">
        <w:rPr>
          <w:rFonts w:ascii="Times New Roman" w:eastAsia="Times New Roman" w:hAnsi="Times New Roman" w:cs="Times New Roman"/>
          <w:color w:val="000000" w:themeColor="text1"/>
          <w:sz w:val="20"/>
          <w:szCs w:val="20"/>
        </w:rPr>
        <w:t xml:space="preserve">punishable </w:t>
      </w:r>
      <w:r w:rsidRPr="001E7730">
        <w:rPr>
          <w:rFonts w:ascii="Times New Roman" w:eastAsia="Times New Roman" w:hAnsi="Times New Roman" w:cs="Times New Roman"/>
          <w:color w:val="000000" w:themeColor="text1"/>
          <w:sz w:val="20"/>
          <w:szCs w:val="20"/>
        </w:rPr>
        <w:t xml:space="preserve">under Section 324 of IPC was originally shown as a </w:t>
      </w:r>
      <w:r w:rsidRPr="004F6E4D">
        <w:rPr>
          <w:rFonts w:ascii="Times New Roman" w:eastAsia="Times New Roman" w:hAnsi="Times New Roman" w:cs="Times New Roman"/>
          <w:i/>
          <w:iCs/>
          <w:color w:val="000000" w:themeColor="text1"/>
          <w:sz w:val="20"/>
          <w:szCs w:val="20"/>
        </w:rPr>
        <w:t>bailable</w:t>
      </w:r>
      <w:r w:rsidRPr="001E7730">
        <w:rPr>
          <w:rFonts w:ascii="Times New Roman" w:eastAsia="Times New Roman" w:hAnsi="Times New Roman" w:cs="Times New Roman"/>
          <w:color w:val="000000" w:themeColor="text1"/>
          <w:sz w:val="20"/>
          <w:szCs w:val="20"/>
        </w:rPr>
        <w:t xml:space="preserve"> one. Further, the Table under sub-section (1) and the Table under sub-section (2) of Section 320 of </w:t>
      </w:r>
      <w:proofErr w:type="spellStart"/>
      <w:proofErr w:type="gramStart"/>
      <w:r w:rsidRPr="001E7730">
        <w:rPr>
          <w:rFonts w:ascii="Times New Roman" w:eastAsia="Times New Roman" w:hAnsi="Times New Roman" w:cs="Times New Roman"/>
          <w:color w:val="000000" w:themeColor="text1"/>
          <w:sz w:val="20"/>
          <w:szCs w:val="20"/>
        </w:rPr>
        <w:t>Cr.PC</w:t>
      </w:r>
      <w:proofErr w:type="spellEnd"/>
      <w:proofErr w:type="gramEnd"/>
      <w:r w:rsidRPr="001E7730">
        <w:rPr>
          <w:rFonts w:ascii="Times New Roman" w:eastAsia="Times New Roman" w:hAnsi="Times New Roman" w:cs="Times New Roman"/>
          <w:color w:val="000000" w:themeColor="text1"/>
          <w:sz w:val="20"/>
          <w:szCs w:val="20"/>
        </w:rPr>
        <w:t xml:space="preserve">, 1973, list the offences that can be compounded by the person specified in third column of the said Tables. The offence under Section 324 of IPC was originally shown in the Table of compoundable offences. Thus, under the Code as originally enacted, an offence punishable under Section 324 of IPC was shown as </w:t>
      </w:r>
      <w:r w:rsidRPr="004F6E4D">
        <w:rPr>
          <w:rFonts w:ascii="Times New Roman" w:eastAsia="Times New Roman" w:hAnsi="Times New Roman" w:cs="Times New Roman"/>
          <w:i/>
          <w:iCs/>
          <w:color w:val="000000" w:themeColor="text1"/>
          <w:sz w:val="20"/>
          <w:szCs w:val="20"/>
        </w:rPr>
        <w:t>bailable</w:t>
      </w:r>
      <w:r w:rsidRPr="001E7730">
        <w:rPr>
          <w:rFonts w:ascii="Times New Roman" w:eastAsia="Times New Roman" w:hAnsi="Times New Roman" w:cs="Times New Roman"/>
          <w:color w:val="000000" w:themeColor="text1"/>
          <w:sz w:val="20"/>
          <w:szCs w:val="20"/>
        </w:rPr>
        <w:t xml:space="preserve"> and </w:t>
      </w:r>
      <w:r w:rsidRPr="004F6E4D">
        <w:rPr>
          <w:rFonts w:ascii="Times New Roman" w:eastAsia="Times New Roman" w:hAnsi="Times New Roman" w:cs="Times New Roman"/>
          <w:i/>
          <w:iCs/>
          <w:color w:val="000000" w:themeColor="text1"/>
          <w:sz w:val="20"/>
          <w:szCs w:val="20"/>
        </w:rPr>
        <w:t>compoundable</w:t>
      </w:r>
      <w:r w:rsidRPr="001E7730">
        <w:rPr>
          <w:rFonts w:ascii="Times New Roman" w:eastAsia="Times New Roman" w:hAnsi="Times New Roman" w:cs="Times New Roman"/>
          <w:color w:val="000000" w:themeColor="text1"/>
          <w:sz w:val="20"/>
          <w:szCs w:val="20"/>
        </w:rPr>
        <w:t>.</w:t>
      </w:r>
    </w:p>
    <w:p w14:paraId="3C400C4F" w14:textId="64049524" w:rsidR="00FE2B49" w:rsidRPr="001E7730" w:rsidRDefault="00FD0DBC" w:rsidP="001E7730">
      <w:pPr>
        <w:snapToGrid w:val="0"/>
        <w:spacing w:before="120" w:after="120" w:line="240" w:lineRule="auto"/>
        <w:jc w:val="both"/>
        <w:rPr>
          <w:rFonts w:ascii="Times New Roman" w:hAnsi="Times New Roman" w:cs="Times New Roman"/>
          <w:b/>
          <w:bCs/>
          <w:color w:val="000000" w:themeColor="text1"/>
          <w:sz w:val="20"/>
          <w:szCs w:val="20"/>
        </w:rPr>
      </w:pPr>
      <w:bookmarkStart w:id="0" w:name="_Hlk90102138"/>
      <w:r w:rsidRPr="001E7730">
        <w:rPr>
          <w:rFonts w:ascii="Times New Roman" w:hAnsi="Times New Roman" w:cs="Times New Roman"/>
          <w:b/>
          <w:bCs/>
          <w:color w:val="000000" w:themeColor="text1"/>
          <w:sz w:val="20"/>
          <w:szCs w:val="20"/>
        </w:rPr>
        <w:t>The Code of Criminal Procedure (Amendment) Act, 2005 (Act no. 25 of 2005)</w:t>
      </w:r>
    </w:p>
    <w:bookmarkEnd w:id="0"/>
    <w:p w14:paraId="387DEC7B" w14:textId="3CD5E13F" w:rsidR="00DD3F62" w:rsidRDefault="00DD3F62" w:rsidP="00DD3F62">
      <w:pPr>
        <w:snapToGrid w:val="0"/>
        <w:spacing w:after="0" w:line="240" w:lineRule="auto"/>
        <w:ind w:firstLine="567"/>
        <w:jc w:val="both"/>
        <w:rPr>
          <w:rFonts w:ascii="Times New Roman" w:hAnsi="Times New Roman" w:cs="Times New Roman"/>
          <w:color w:val="000000" w:themeColor="text1"/>
          <w:sz w:val="20"/>
          <w:szCs w:val="20"/>
        </w:rPr>
      </w:pPr>
      <w:r w:rsidRPr="00DD3F62">
        <w:rPr>
          <w:rFonts w:ascii="Times New Roman" w:hAnsi="Times New Roman" w:cs="Times New Roman"/>
          <w:color w:val="000000" w:themeColor="text1"/>
          <w:sz w:val="20"/>
          <w:szCs w:val="20"/>
        </w:rPr>
        <w:t>Section 28(a) and Section 42(f)(iii) of the Code of Criminal Procedure (Amendment) Act, 2005 made the offence under Section 324 of IPC as “</w:t>
      </w:r>
      <w:r w:rsidR="00CA05FD" w:rsidRPr="00CA05FD">
        <w:rPr>
          <w:rFonts w:ascii="Times New Roman" w:hAnsi="Times New Roman" w:cs="Times New Roman"/>
          <w:i/>
          <w:iCs/>
          <w:color w:val="000000" w:themeColor="text1"/>
          <w:sz w:val="20"/>
          <w:szCs w:val="20"/>
        </w:rPr>
        <w:t>non-compoundable</w:t>
      </w:r>
      <w:r w:rsidRPr="00DD3F62">
        <w:rPr>
          <w:rFonts w:ascii="Times New Roman" w:hAnsi="Times New Roman" w:cs="Times New Roman"/>
          <w:color w:val="000000" w:themeColor="text1"/>
          <w:sz w:val="20"/>
          <w:szCs w:val="20"/>
        </w:rPr>
        <w:t>” and “</w:t>
      </w:r>
      <w:r w:rsidR="00CA05FD" w:rsidRPr="00CA05FD">
        <w:rPr>
          <w:rFonts w:ascii="Times New Roman" w:hAnsi="Times New Roman" w:cs="Times New Roman"/>
          <w:i/>
          <w:iCs/>
          <w:color w:val="000000" w:themeColor="text1"/>
          <w:sz w:val="20"/>
          <w:szCs w:val="20"/>
        </w:rPr>
        <w:t>non-bailable</w:t>
      </w:r>
      <w:r w:rsidRPr="00DD3F62">
        <w:rPr>
          <w:rFonts w:ascii="Times New Roman" w:hAnsi="Times New Roman" w:cs="Times New Roman"/>
          <w:color w:val="000000" w:themeColor="text1"/>
          <w:sz w:val="20"/>
          <w:szCs w:val="20"/>
        </w:rPr>
        <w:t xml:space="preserve">”, respectively. Though, the </w:t>
      </w:r>
      <w:proofErr w:type="spellStart"/>
      <w:proofErr w:type="gramStart"/>
      <w:r w:rsidRPr="00DD3F62">
        <w:rPr>
          <w:rFonts w:ascii="Times New Roman" w:hAnsi="Times New Roman" w:cs="Times New Roman"/>
          <w:color w:val="000000" w:themeColor="text1"/>
          <w:sz w:val="20"/>
          <w:szCs w:val="20"/>
        </w:rPr>
        <w:t>Cr.PC</w:t>
      </w:r>
      <w:proofErr w:type="spellEnd"/>
      <w:proofErr w:type="gramEnd"/>
      <w:r w:rsidRPr="00DD3F62">
        <w:rPr>
          <w:rFonts w:ascii="Times New Roman" w:hAnsi="Times New Roman" w:cs="Times New Roman"/>
          <w:color w:val="000000" w:themeColor="text1"/>
          <w:sz w:val="20"/>
          <w:szCs w:val="20"/>
        </w:rPr>
        <w:t xml:space="preserve"> (Amendment) Act, 2005 was enacted and published on 23.06.2005, it was to take its effect only from the date appointed by the Central Government  by a notification in the Official Gazette</w:t>
      </w:r>
      <w:r w:rsidR="00EE77BD">
        <w:rPr>
          <w:rStyle w:val="FootnoteReference"/>
          <w:rFonts w:ascii="Times New Roman" w:hAnsi="Times New Roman" w:cs="Times New Roman"/>
          <w:color w:val="000000" w:themeColor="text1"/>
          <w:sz w:val="20"/>
          <w:szCs w:val="20"/>
        </w:rPr>
        <w:footnoteReference w:id="1"/>
      </w:r>
      <w:r>
        <w:rPr>
          <w:rFonts w:ascii="Times New Roman" w:hAnsi="Times New Roman" w:cs="Times New Roman"/>
          <w:color w:val="000000" w:themeColor="text1"/>
          <w:sz w:val="20"/>
          <w:szCs w:val="20"/>
        </w:rPr>
        <w:t>.</w:t>
      </w:r>
    </w:p>
    <w:p w14:paraId="2466273E" w14:textId="49F22BA2" w:rsidR="00DD3F62" w:rsidRPr="00DD3F62" w:rsidRDefault="00DD3F62" w:rsidP="00DD3F62">
      <w:pPr>
        <w:snapToGrid w:val="0"/>
        <w:spacing w:after="0" w:line="240" w:lineRule="auto"/>
        <w:ind w:firstLine="567"/>
        <w:jc w:val="both"/>
        <w:rPr>
          <w:rFonts w:ascii="Times New Roman" w:hAnsi="Times New Roman" w:cs="Times New Roman"/>
          <w:color w:val="000000" w:themeColor="text1"/>
          <w:sz w:val="20"/>
          <w:szCs w:val="20"/>
        </w:rPr>
      </w:pPr>
      <w:r w:rsidRPr="00DD3F62">
        <w:rPr>
          <w:rFonts w:ascii="Times New Roman" w:hAnsi="Times New Roman" w:cs="Times New Roman"/>
          <w:color w:val="000000" w:themeColor="text1"/>
          <w:sz w:val="20"/>
          <w:szCs w:val="20"/>
        </w:rPr>
        <w:t xml:space="preserve">In exercise of power conferred by sub-section (2) of Section 1 of the </w:t>
      </w:r>
      <w:proofErr w:type="spellStart"/>
      <w:proofErr w:type="gramStart"/>
      <w:r w:rsidRPr="00DD3F62">
        <w:rPr>
          <w:rFonts w:ascii="Times New Roman" w:hAnsi="Times New Roman" w:cs="Times New Roman"/>
          <w:color w:val="000000" w:themeColor="text1"/>
          <w:sz w:val="20"/>
          <w:szCs w:val="20"/>
        </w:rPr>
        <w:t>Cr.PC</w:t>
      </w:r>
      <w:proofErr w:type="spellEnd"/>
      <w:proofErr w:type="gramEnd"/>
      <w:r w:rsidRPr="00DD3F62">
        <w:rPr>
          <w:rFonts w:ascii="Times New Roman" w:hAnsi="Times New Roman" w:cs="Times New Roman"/>
          <w:color w:val="000000" w:themeColor="text1"/>
          <w:sz w:val="20"/>
          <w:szCs w:val="20"/>
        </w:rPr>
        <w:t xml:space="preserve"> (Amendment) Act, 2005, the Central Government, vide Gazette of India Notification dated 21.06.2006, appointed 23rd June, 2006, as the date on which the provisions of the </w:t>
      </w:r>
      <w:proofErr w:type="spellStart"/>
      <w:r w:rsidRPr="00DD3F62">
        <w:rPr>
          <w:rFonts w:ascii="Times New Roman" w:hAnsi="Times New Roman" w:cs="Times New Roman"/>
          <w:color w:val="000000" w:themeColor="text1"/>
          <w:sz w:val="20"/>
          <w:szCs w:val="20"/>
        </w:rPr>
        <w:t>Cr.PC</w:t>
      </w:r>
      <w:proofErr w:type="spellEnd"/>
      <w:r w:rsidRPr="00DD3F62">
        <w:rPr>
          <w:rFonts w:ascii="Times New Roman" w:hAnsi="Times New Roman" w:cs="Times New Roman"/>
          <w:color w:val="000000" w:themeColor="text1"/>
          <w:sz w:val="20"/>
          <w:szCs w:val="20"/>
        </w:rPr>
        <w:t xml:space="preserve"> </w:t>
      </w:r>
      <w:r w:rsidRPr="00DD3F62">
        <w:rPr>
          <w:rFonts w:ascii="Times New Roman" w:hAnsi="Times New Roman" w:cs="Times New Roman"/>
          <w:color w:val="000000" w:themeColor="text1"/>
          <w:sz w:val="20"/>
          <w:szCs w:val="20"/>
        </w:rPr>
        <w:lastRenderedPageBreak/>
        <w:t xml:space="preserve">(Amendment) Act, 2005, </w:t>
      </w:r>
      <w:r w:rsidRPr="006B75FD">
        <w:rPr>
          <w:rFonts w:ascii="Times New Roman" w:hAnsi="Times New Roman" w:cs="Times New Roman"/>
          <w:b/>
          <w:bCs/>
          <w:i/>
          <w:iCs/>
          <w:color w:val="000000" w:themeColor="text1"/>
          <w:sz w:val="20"/>
          <w:szCs w:val="20"/>
        </w:rPr>
        <w:t>except the provisions of Sections 28(a), …, 42(f)(iii)</w:t>
      </w:r>
      <w:r w:rsidRPr="00DD3F62">
        <w:rPr>
          <w:rFonts w:ascii="Times New Roman" w:hAnsi="Times New Roman" w:cs="Times New Roman"/>
          <w:color w:val="000000" w:themeColor="text1"/>
          <w:sz w:val="20"/>
          <w:szCs w:val="20"/>
        </w:rPr>
        <w:t xml:space="preserve">, …, shall come into force. Consequently, Sections 28(a) and 42(f)(iii) of the </w:t>
      </w:r>
      <w:proofErr w:type="spellStart"/>
      <w:proofErr w:type="gramStart"/>
      <w:r w:rsidRPr="00DD3F62">
        <w:rPr>
          <w:rFonts w:ascii="Times New Roman" w:hAnsi="Times New Roman" w:cs="Times New Roman"/>
          <w:color w:val="000000" w:themeColor="text1"/>
          <w:sz w:val="20"/>
          <w:szCs w:val="20"/>
        </w:rPr>
        <w:t>Cr.PC</w:t>
      </w:r>
      <w:proofErr w:type="spellEnd"/>
      <w:proofErr w:type="gramEnd"/>
      <w:r w:rsidRPr="00DD3F62">
        <w:rPr>
          <w:rFonts w:ascii="Times New Roman" w:hAnsi="Times New Roman" w:cs="Times New Roman"/>
          <w:color w:val="000000" w:themeColor="text1"/>
          <w:sz w:val="20"/>
          <w:szCs w:val="20"/>
        </w:rPr>
        <w:t xml:space="preserve"> (Amendment) Act, 2005, which sought to make the offence under Section 324 of IPC as </w:t>
      </w:r>
      <w:r w:rsidR="00CA05FD" w:rsidRPr="00CA05FD">
        <w:rPr>
          <w:rFonts w:ascii="Times New Roman" w:hAnsi="Times New Roman" w:cs="Times New Roman"/>
          <w:i/>
          <w:iCs/>
          <w:color w:val="000000" w:themeColor="text1"/>
          <w:sz w:val="20"/>
          <w:szCs w:val="20"/>
        </w:rPr>
        <w:t>non-compoundable</w:t>
      </w:r>
      <w:r w:rsidRPr="00DD3F62">
        <w:rPr>
          <w:rFonts w:ascii="Times New Roman" w:hAnsi="Times New Roman" w:cs="Times New Roman"/>
          <w:color w:val="000000" w:themeColor="text1"/>
          <w:sz w:val="20"/>
          <w:szCs w:val="20"/>
        </w:rPr>
        <w:t xml:space="preserve"> and </w:t>
      </w:r>
      <w:r w:rsidR="00CA05FD" w:rsidRPr="00CA05FD">
        <w:rPr>
          <w:rFonts w:ascii="Times New Roman" w:hAnsi="Times New Roman" w:cs="Times New Roman"/>
          <w:i/>
          <w:iCs/>
          <w:color w:val="000000" w:themeColor="text1"/>
          <w:sz w:val="20"/>
          <w:szCs w:val="20"/>
        </w:rPr>
        <w:t>non-bailable</w:t>
      </w:r>
      <w:r w:rsidRPr="00DD3F62">
        <w:rPr>
          <w:rFonts w:ascii="Times New Roman" w:hAnsi="Times New Roman" w:cs="Times New Roman"/>
          <w:color w:val="000000" w:themeColor="text1"/>
          <w:sz w:val="20"/>
          <w:szCs w:val="20"/>
        </w:rPr>
        <w:t xml:space="preserve">, respectively, have not yet been brought into force. Hence, the offence under Section 324 of IPC continues as a </w:t>
      </w:r>
      <w:r w:rsidRPr="00EE77BD">
        <w:rPr>
          <w:rFonts w:ascii="Times New Roman" w:hAnsi="Times New Roman" w:cs="Times New Roman"/>
          <w:i/>
          <w:iCs/>
          <w:color w:val="000000" w:themeColor="text1"/>
          <w:sz w:val="20"/>
          <w:szCs w:val="20"/>
        </w:rPr>
        <w:t>bailable</w:t>
      </w:r>
      <w:r w:rsidRPr="00DD3F62">
        <w:rPr>
          <w:rFonts w:ascii="Times New Roman" w:hAnsi="Times New Roman" w:cs="Times New Roman"/>
          <w:color w:val="000000" w:themeColor="text1"/>
          <w:sz w:val="20"/>
          <w:szCs w:val="20"/>
        </w:rPr>
        <w:t xml:space="preserve"> and </w:t>
      </w:r>
      <w:r w:rsidRPr="00EE77BD">
        <w:rPr>
          <w:rFonts w:ascii="Times New Roman" w:hAnsi="Times New Roman" w:cs="Times New Roman"/>
          <w:i/>
          <w:iCs/>
          <w:color w:val="000000" w:themeColor="text1"/>
          <w:sz w:val="20"/>
          <w:szCs w:val="20"/>
        </w:rPr>
        <w:t>compoundable</w:t>
      </w:r>
      <w:r w:rsidRPr="00DD3F62">
        <w:rPr>
          <w:rFonts w:ascii="Times New Roman" w:hAnsi="Times New Roman" w:cs="Times New Roman"/>
          <w:color w:val="000000" w:themeColor="text1"/>
          <w:sz w:val="20"/>
          <w:szCs w:val="20"/>
        </w:rPr>
        <w:t>, as it originally stood.</w:t>
      </w:r>
    </w:p>
    <w:p w14:paraId="7DFC44A5" w14:textId="77777777" w:rsidR="00DD3F62" w:rsidRPr="00DD3F62" w:rsidRDefault="00DD3F62" w:rsidP="00C060BE">
      <w:pPr>
        <w:snapToGrid w:val="0"/>
        <w:spacing w:before="120" w:after="120" w:line="240" w:lineRule="auto"/>
        <w:ind w:firstLine="567"/>
        <w:jc w:val="both"/>
        <w:rPr>
          <w:rFonts w:ascii="Times New Roman" w:hAnsi="Times New Roman" w:cs="Times New Roman"/>
          <w:color w:val="000000" w:themeColor="text1"/>
          <w:sz w:val="20"/>
          <w:szCs w:val="20"/>
        </w:rPr>
      </w:pPr>
      <w:r w:rsidRPr="00DD3F62">
        <w:rPr>
          <w:rFonts w:ascii="Times New Roman" w:hAnsi="Times New Roman" w:cs="Times New Roman"/>
          <w:color w:val="000000" w:themeColor="text1"/>
          <w:sz w:val="20"/>
          <w:szCs w:val="20"/>
        </w:rPr>
        <w:t xml:space="preserve">It is pertinent to note that people ignore the Gazette of India Notification dated 21.06.2006 whereby only some provisions of the </w:t>
      </w:r>
      <w:proofErr w:type="spellStart"/>
      <w:proofErr w:type="gramStart"/>
      <w:r w:rsidRPr="00DD3F62">
        <w:rPr>
          <w:rFonts w:ascii="Times New Roman" w:hAnsi="Times New Roman" w:cs="Times New Roman"/>
          <w:color w:val="000000" w:themeColor="text1"/>
          <w:sz w:val="20"/>
          <w:szCs w:val="20"/>
        </w:rPr>
        <w:t>Cr.PC</w:t>
      </w:r>
      <w:proofErr w:type="spellEnd"/>
      <w:proofErr w:type="gramEnd"/>
      <w:r w:rsidRPr="00DD3F62">
        <w:rPr>
          <w:rFonts w:ascii="Times New Roman" w:hAnsi="Times New Roman" w:cs="Times New Roman"/>
          <w:color w:val="000000" w:themeColor="text1"/>
          <w:sz w:val="20"/>
          <w:szCs w:val="20"/>
        </w:rPr>
        <w:t xml:space="preserve"> (Amendment) Act, 2005 were brought into force w.e.f. 23rd June, 2006. Due to the ignorance of the said Gazette Notification, in some of the places, the accused persons arrested for offence under Section 324 of IPC are not given bail as a matter of right immediately, despite it is still bailable offence. Further, sometimes, the parties are also not allowed to compound the offence under Section 324 of IPC despite the fact that the offence is still compoundable.</w:t>
      </w:r>
    </w:p>
    <w:p w14:paraId="51E266F3" w14:textId="6F1C79E9" w:rsidR="00DD3F62" w:rsidRPr="00DD3F62" w:rsidRDefault="00DD3F62" w:rsidP="00C060BE">
      <w:pPr>
        <w:snapToGrid w:val="0"/>
        <w:spacing w:before="120" w:after="120" w:line="240" w:lineRule="auto"/>
        <w:ind w:firstLine="567"/>
        <w:jc w:val="both"/>
        <w:rPr>
          <w:rFonts w:ascii="Times New Roman" w:hAnsi="Times New Roman" w:cs="Times New Roman"/>
          <w:color w:val="000000" w:themeColor="text1"/>
          <w:sz w:val="20"/>
          <w:szCs w:val="20"/>
        </w:rPr>
      </w:pPr>
      <w:r w:rsidRPr="00DD3F62">
        <w:rPr>
          <w:rFonts w:ascii="Times New Roman" w:hAnsi="Times New Roman" w:cs="Times New Roman"/>
          <w:color w:val="000000" w:themeColor="text1"/>
          <w:sz w:val="20"/>
          <w:szCs w:val="20"/>
        </w:rPr>
        <w:t xml:space="preserve">It is, further, pertinent to note that the Hon’ble Supreme Court and several High Courts have wrongly observed in their judgments that after coming into force of the </w:t>
      </w:r>
      <w:proofErr w:type="spellStart"/>
      <w:proofErr w:type="gramStart"/>
      <w:r w:rsidRPr="00DD3F62">
        <w:rPr>
          <w:rFonts w:ascii="Times New Roman" w:hAnsi="Times New Roman" w:cs="Times New Roman"/>
          <w:color w:val="000000" w:themeColor="text1"/>
          <w:sz w:val="20"/>
          <w:szCs w:val="20"/>
        </w:rPr>
        <w:t>Cr.PC</w:t>
      </w:r>
      <w:proofErr w:type="spellEnd"/>
      <w:proofErr w:type="gramEnd"/>
      <w:r w:rsidRPr="00DD3F62">
        <w:rPr>
          <w:rFonts w:ascii="Times New Roman" w:hAnsi="Times New Roman" w:cs="Times New Roman"/>
          <w:color w:val="000000" w:themeColor="text1"/>
          <w:sz w:val="20"/>
          <w:szCs w:val="20"/>
        </w:rPr>
        <w:t xml:space="preserve"> (Amendment) Act, 2005, the offence under Section 324 of IPC is made </w:t>
      </w:r>
      <w:r w:rsidR="00CA05FD" w:rsidRPr="00CA05FD">
        <w:rPr>
          <w:rFonts w:ascii="Times New Roman" w:hAnsi="Times New Roman" w:cs="Times New Roman"/>
          <w:i/>
          <w:iCs/>
          <w:color w:val="000000" w:themeColor="text1"/>
          <w:sz w:val="20"/>
          <w:szCs w:val="20"/>
        </w:rPr>
        <w:t>non-compoundable</w:t>
      </w:r>
      <w:r w:rsidRPr="00DD3F62">
        <w:rPr>
          <w:rFonts w:ascii="Times New Roman" w:hAnsi="Times New Roman" w:cs="Times New Roman"/>
          <w:color w:val="000000" w:themeColor="text1"/>
          <w:sz w:val="20"/>
          <w:szCs w:val="20"/>
        </w:rPr>
        <w:t>. Many judicial officers do not allow compounding of offence under Section 324 of IPC, reflecting that the offence is no more compoundable.</w:t>
      </w:r>
    </w:p>
    <w:p w14:paraId="75945F9A" w14:textId="73AA278E" w:rsidR="00DD3F62" w:rsidRPr="00DD3F62" w:rsidRDefault="00DD3F62" w:rsidP="00C060BE">
      <w:pPr>
        <w:snapToGrid w:val="0"/>
        <w:spacing w:before="120" w:after="120" w:line="240" w:lineRule="auto"/>
        <w:ind w:firstLine="567"/>
        <w:jc w:val="both"/>
        <w:rPr>
          <w:rFonts w:ascii="Times New Roman" w:hAnsi="Times New Roman" w:cs="Times New Roman"/>
          <w:color w:val="000000" w:themeColor="text1"/>
          <w:sz w:val="20"/>
          <w:szCs w:val="20"/>
        </w:rPr>
      </w:pPr>
      <w:r w:rsidRPr="00DD3F62">
        <w:rPr>
          <w:rFonts w:ascii="Times New Roman" w:hAnsi="Times New Roman" w:cs="Times New Roman"/>
          <w:color w:val="000000" w:themeColor="text1"/>
          <w:sz w:val="20"/>
          <w:szCs w:val="20"/>
        </w:rPr>
        <w:t xml:space="preserve">The Hon’ble Supreme in </w:t>
      </w:r>
      <w:proofErr w:type="spellStart"/>
      <w:r w:rsidRPr="00D142FD">
        <w:rPr>
          <w:rFonts w:ascii="Times New Roman" w:hAnsi="Times New Roman" w:cs="Times New Roman"/>
          <w:b/>
          <w:bCs/>
          <w:i/>
          <w:iCs/>
          <w:color w:val="000000" w:themeColor="text1"/>
          <w:sz w:val="20"/>
          <w:szCs w:val="20"/>
          <w:u w:val="single"/>
        </w:rPr>
        <w:t>Hirabhai</w:t>
      </w:r>
      <w:proofErr w:type="spellEnd"/>
      <w:r w:rsidRPr="00D142FD">
        <w:rPr>
          <w:rFonts w:ascii="Times New Roman" w:hAnsi="Times New Roman" w:cs="Times New Roman"/>
          <w:b/>
          <w:bCs/>
          <w:i/>
          <w:iCs/>
          <w:color w:val="000000" w:themeColor="text1"/>
          <w:sz w:val="20"/>
          <w:szCs w:val="20"/>
          <w:u w:val="single"/>
        </w:rPr>
        <w:t xml:space="preserve"> </w:t>
      </w:r>
      <w:proofErr w:type="spellStart"/>
      <w:r w:rsidRPr="00D142FD">
        <w:rPr>
          <w:rFonts w:ascii="Times New Roman" w:hAnsi="Times New Roman" w:cs="Times New Roman"/>
          <w:b/>
          <w:bCs/>
          <w:i/>
          <w:iCs/>
          <w:color w:val="000000" w:themeColor="text1"/>
          <w:sz w:val="20"/>
          <w:szCs w:val="20"/>
          <w:u w:val="single"/>
        </w:rPr>
        <w:t>Jhaverbhai</w:t>
      </w:r>
      <w:proofErr w:type="spellEnd"/>
      <w:r w:rsidRPr="00D142FD">
        <w:rPr>
          <w:rFonts w:ascii="Times New Roman" w:hAnsi="Times New Roman" w:cs="Times New Roman"/>
          <w:b/>
          <w:bCs/>
          <w:i/>
          <w:iCs/>
          <w:color w:val="000000" w:themeColor="text1"/>
          <w:sz w:val="20"/>
          <w:szCs w:val="20"/>
          <w:u w:val="single"/>
        </w:rPr>
        <w:t xml:space="preserve"> v. State of Gujarat</w:t>
      </w:r>
      <w:r w:rsidR="00D142FD" w:rsidRPr="00D142FD">
        <w:rPr>
          <w:rStyle w:val="FootnoteReference"/>
          <w:rFonts w:ascii="Times New Roman" w:hAnsi="Times New Roman" w:cs="Times New Roman"/>
          <w:i/>
          <w:iCs/>
          <w:color w:val="000000" w:themeColor="text1"/>
          <w:sz w:val="20"/>
          <w:szCs w:val="20"/>
        </w:rPr>
        <w:footnoteReference w:id="2"/>
      </w:r>
      <w:r>
        <w:rPr>
          <w:rFonts w:ascii="Times New Roman" w:hAnsi="Times New Roman" w:cs="Times New Roman"/>
          <w:color w:val="000000" w:themeColor="text1"/>
          <w:sz w:val="20"/>
          <w:szCs w:val="20"/>
        </w:rPr>
        <w:t>,</w:t>
      </w:r>
      <w:r w:rsidRPr="00DD3F62">
        <w:rPr>
          <w:rFonts w:ascii="Times New Roman" w:hAnsi="Times New Roman" w:cs="Times New Roman"/>
          <w:color w:val="000000" w:themeColor="text1"/>
          <w:sz w:val="20"/>
          <w:szCs w:val="20"/>
        </w:rPr>
        <w:t xml:space="preserve"> </w:t>
      </w:r>
      <w:r w:rsidRPr="00D142FD">
        <w:rPr>
          <w:rFonts w:ascii="Times New Roman" w:hAnsi="Times New Roman" w:cs="Times New Roman"/>
          <w:b/>
          <w:bCs/>
          <w:i/>
          <w:iCs/>
          <w:color w:val="000000" w:themeColor="text1"/>
          <w:sz w:val="20"/>
          <w:szCs w:val="20"/>
          <w:u w:val="single"/>
        </w:rPr>
        <w:t xml:space="preserve">Md. Abdul </w:t>
      </w:r>
      <w:proofErr w:type="spellStart"/>
      <w:r w:rsidRPr="00D142FD">
        <w:rPr>
          <w:rFonts w:ascii="Times New Roman" w:hAnsi="Times New Roman" w:cs="Times New Roman"/>
          <w:b/>
          <w:bCs/>
          <w:i/>
          <w:iCs/>
          <w:color w:val="000000" w:themeColor="text1"/>
          <w:sz w:val="20"/>
          <w:szCs w:val="20"/>
          <w:u w:val="single"/>
        </w:rPr>
        <w:t>Sufan</w:t>
      </w:r>
      <w:proofErr w:type="spellEnd"/>
      <w:r w:rsidRPr="00D142FD">
        <w:rPr>
          <w:rFonts w:ascii="Times New Roman" w:hAnsi="Times New Roman" w:cs="Times New Roman"/>
          <w:b/>
          <w:bCs/>
          <w:i/>
          <w:iCs/>
          <w:color w:val="000000" w:themeColor="text1"/>
          <w:sz w:val="20"/>
          <w:szCs w:val="20"/>
          <w:u w:val="single"/>
        </w:rPr>
        <w:t xml:space="preserve"> </w:t>
      </w:r>
      <w:proofErr w:type="spellStart"/>
      <w:r w:rsidRPr="00D142FD">
        <w:rPr>
          <w:rFonts w:ascii="Times New Roman" w:hAnsi="Times New Roman" w:cs="Times New Roman"/>
          <w:b/>
          <w:bCs/>
          <w:i/>
          <w:iCs/>
          <w:color w:val="000000" w:themeColor="text1"/>
          <w:sz w:val="20"/>
          <w:szCs w:val="20"/>
          <w:u w:val="single"/>
        </w:rPr>
        <w:t>Laskar</w:t>
      </w:r>
      <w:proofErr w:type="spellEnd"/>
      <w:r w:rsidRPr="00D142FD">
        <w:rPr>
          <w:rFonts w:ascii="Times New Roman" w:hAnsi="Times New Roman" w:cs="Times New Roman"/>
          <w:b/>
          <w:bCs/>
          <w:i/>
          <w:iCs/>
          <w:color w:val="000000" w:themeColor="text1"/>
          <w:sz w:val="20"/>
          <w:szCs w:val="20"/>
          <w:u w:val="single"/>
        </w:rPr>
        <w:t xml:space="preserve"> v. State of Assam</w:t>
      </w:r>
      <w:r w:rsidR="00D142FD" w:rsidRPr="00D142FD">
        <w:rPr>
          <w:rStyle w:val="FootnoteReference"/>
          <w:rFonts w:ascii="Times New Roman" w:hAnsi="Times New Roman" w:cs="Times New Roman"/>
          <w:i/>
          <w:iCs/>
          <w:color w:val="000000" w:themeColor="text1"/>
          <w:sz w:val="20"/>
          <w:szCs w:val="20"/>
        </w:rPr>
        <w:footnoteReference w:id="3"/>
      </w:r>
      <w:r w:rsidRPr="00DD3F62">
        <w:rPr>
          <w:rFonts w:ascii="Times New Roman" w:hAnsi="Times New Roman" w:cs="Times New Roman"/>
          <w:color w:val="000000" w:themeColor="text1"/>
          <w:sz w:val="20"/>
          <w:szCs w:val="20"/>
        </w:rPr>
        <w:t xml:space="preserve">, and </w:t>
      </w:r>
      <w:proofErr w:type="spellStart"/>
      <w:r w:rsidRPr="00D142FD">
        <w:rPr>
          <w:rFonts w:ascii="Times New Roman" w:hAnsi="Times New Roman" w:cs="Times New Roman"/>
          <w:b/>
          <w:bCs/>
          <w:i/>
          <w:iCs/>
          <w:color w:val="000000" w:themeColor="text1"/>
          <w:sz w:val="20"/>
          <w:szCs w:val="20"/>
          <w:u w:val="single"/>
        </w:rPr>
        <w:t>Pravat</w:t>
      </w:r>
      <w:proofErr w:type="spellEnd"/>
      <w:r w:rsidRPr="00D142FD">
        <w:rPr>
          <w:rFonts w:ascii="Times New Roman" w:hAnsi="Times New Roman" w:cs="Times New Roman"/>
          <w:b/>
          <w:bCs/>
          <w:i/>
          <w:iCs/>
          <w:color w:val="000000" w:themeColor="text1"/>
          <w:sz w:val="20"/>
          <w:szCs w:val="20"/>
          <w:u w:val="single"/>
        </w:rPr>
        <w:t xml:space="preserve"> Chandra Mohanty v. State of Odisha</w:t>
      </w:r>
      <w:r w:rsidR="00D142FD" w:rsidRPr="00D142FD">
        <w:rPr>
          <w:rStyle w:val="FootnoteReference"/>
          <w:rFonts w:ascii="Times New Roman" w:hAnsi="Times New Roman" w:cs="Times New Roman"/>
          <w:i/>
          <w:iCs/>
          <w:color w:val="000000" w:themeColor="text1"/>
          <w:sz w:val="20"/>
          <w:szCs w:val="20"/>
        </w:rPr>
        <w:footnoteReference w:id="4"/>
      </w:r>
      <w:r w:rsidR="00C060BE">
        <w:rPr>
          <w:rFonts w:ascii="Times New Roman" w:hAnsi="Times New Roman" w:cs="Times New Roman"/>
          <w:color w:val="000000" w:themeColor="text1"/>
          <w:sz w:val="20"/>
          <w:szCs w:val="20"/>
        </w:rPr>
        <w:t xml:space="preserve"> </w:t>
      </w:r>
      <w:r w:rsidRPr="00DD3F62">
        <w:rPr>
          <w:rFonts w:ascii="Times New Roman" w:hAnsi="Times New Roman" w:cs="Times New Roman"/>
          <w:color w:val="000000" w:themeColor="text1"/>
          <w:sz w:val="20"/>
          <w:szCs w:val="20"/>
        </w:rPr>
        <w:t xml:space="preserve">has wrongly and unwittingly held that after coming into force of the </w:t>
      </w:r>
      <w:proofErr w:type="spellStart"/>
      <w:proofErr w:type="gramStart"/>
      <w:r w:rsidRPr="00DD3F62">
        <w:rPr>
          <w:rFonts w:ascii="Times New Roman" w:hAnsi="Times New Roman" w:cs="Times New Roman"/>
          <w:color w:val="000000" w:themeColor="text1"/>
          <w:sz w:val="20"/>
          <w:szCs w:val="20"/>
        </w:rPr>
        <w:t>Cr.PC</w:t>
      </w:r>
      <w:proofErr w:type="spellEnd"/>
      <w:proofErr w:type="gramEnd"/>
      <w:r w:rsidRPr="00DD3F62">
        <w:rPr>
          <w:rFonts w:ascii="Times New Roman" w:hAnsi="Times New Roman" w:cs="Times New Roman"/>
          <w:color w:val="000000" w:themeColor="text1"/>
          <w:sz w:val="20"/>
          <w:szCs w:val="20"/>
        </w:rPr>
        <w:t xml:space="preserve"> (Amendment) Act, 2005, the offence under Section 324 of IPC is made </w:t>
      </w:r>
      <w:r w:rsidR="00CA05FD" w:rsidRPr="00CA05FD">
        <w:rPr>
          <w:rFonts w:ascii="Times New Roman" w:hAnsi="Times New Roman" w:cs="Times New Roman"/>
          <w:i/>
          <w:iCs/>
          <w:color w:val="000000" w:themeColor="text1"/>
          <w:sz w:val="20"/>
          <w:szCs w:val="20"/>
        </w:rPr>
        <w:t>non-compoundable</w:t>
      </w:r>
      <w:r w:rsidRPr="00DD3F62">
        <w:rPr>
          <w:rFonts w:ascii="Times New Roman" w:hAnsi="Times New Roman" w:cs="Times New Roman"/>
          <w:color w:val="000000" w:themeColor="text1"/>
          <w:sz w:val="20"/>
          <w:szCs w:val="20"/>
        </w:rPr>
        <w:t>.</w:t>
      </w:r>
    </w:p>
    <w:p w14:paraId="5824834A" w14:textId="07F6A1DA" w:rsidR="00DD3F62" w:rsidRPr="00DD3F62" w:rsidRDefault="00DD3F62" w:rsidP="00DD3F62">
      <w:pPr>
        <w:snapToGrid w:val="0"/>
        <w:spacing w:after="0" w:line="240" w:lineRule="auto"/>
        <w:ind w:firstLine="567"/>
        <w:jc w:val="both"/>
        <w:rPr>
          <w:rFonts w:ascii="Times New Roman" w:hAnsi="Times New Roman" w:cs="Times New Roman"/>
          <w:color w:val="000000" w:themeColor="text1"/>
          <w:sz w:val="20"/>
          <w:szCs w:val="20"/>
        </w:rPr>
      </w:pPr>
      <w:r w:rsidRPr="00DD3F62">
        <w:rPr>
          <w:rFonts w:ascii="Times New Roman" w:hAnsi="Times New Roman" w:cs="Times New Roman"/>
          <w:color w:val="000000" w:themeColor="text1"/>
          <w:sz w:val="20"/>
          <w:szCs w:val="20"/>
        </w:rPr>
        <w:t xml:space="preserve">The Hon'ble </w:t>
      </w:r>
      <w:proofErr w:type="spellStart"/>
      <w:r w:rsidRPr="00DD3F62">
        <w:rPr>
          <w:rFonts w:ascii="Times New Roman" w:hAnsi="Times New Roman" w:cs="Times New Roman"/>
          <w:color w:val="000000" w:themeColor="text1"/>
          <w:sz w:val="20"/>
          <w:szCs w:val="20"/>
        </w:rPr>
        <w:t>Gauhati</w:t>
      </w:r>
      <w:proofErr w:type="spellEnd"/>
      <w:r w:rsidRPr="00DD3F62">
        <w:rPr>
          <w:rFonts w:ascii="Times New Roman" w:hAnsi="Times New Roman" w:cs="Times New Roman"/>
          <w:color w:val="000000" w:themeColor="text1"/>
          <w:sz w:val="20"/>
          <w:szCs w:val="20"/>
        </w:rPr>
        <w:t xml:space="preserve"> High Court in </w:t>
      </w:r>
      <w:r w:rsidRPr="00D142FD">
        <w:rPr>
          <w:rFonts w:ascii="Times New Roman" w:hAnsi="Times New Roman" w:cs="Times New Roman"/>
          <w:b/>
          <w:bCs/>
          <w:i/>
          <w:iCs/>
          <w:color w:val="000000" w:themeColor="text1"/>
          <w:sz w:val="20"/>
          <w:szCs w:val="20"/>
          <w:u w:val="single"/>
        </w:rPr>
        <w:t>Prabhat Das &amp; others v. State of Tripura &amp; others</w:t>
      </w:r>
      <w:r w:rsidR="00D142FD" w:rsidRPr="00D142FD">
        <w:rPr>
          <w:rStyle w:val="FootnoteReference"/>
          <w:rFonts w:ascii="Times New Roman" w:hAnsi="Times New Roman" w:cs="Times New Roman"/>
          <w:i/>
          <w:iCs/>
          <w:color w:val="000000" w:themeColor="text1"/>
          <w:sz w:val="20"/>
          <w:szCs w:val="20"/>
        </w:rPr>
        <w:footnoteReference w:id="5"/>
      </w:r>
      <w:r w:rsidRPr="00DD3F62">
        <w:rPr>
          <w:rFonts w:ascii="Times New Roman" w:hAnsi="Times New Roman" w:cs="Times New Roman"/>
          <w:color w:val="000000" w:themeColor="text1"/>
          <w:sz w:val="20"/>
          <w:szCs w:val="20"/>
        </w:rPr>
        <w:t xml:space="preserve"> and the Hon'ble Kerala High Court in </w:t>
      </w:r>
      <w:proofErr w:type="spellStart"/>
      <w:r w:rsidRPr="00D142FD">
        <w:rPr>
          <w:rFonts w:ascii="Times New Roman" w:hAnsi="Times New Roman" w:cs="Times New Roman"/>
          <w:b/>
          <w:bCs/>
          <w:i/>
          <w:iCs/>
          <w:color w:val="000000" w:themeColor="text1"/>
          <w:sz w:val="20"/>
          <w:szCs w:val="20"/>
          <w:u w:val="single"/>
        </w:rPr>
        <w:t>Bineesh</w:t>
      </w:r>
      <w:proofErr w:type="spellEnd"/>
      <w:r w:rsidRPr="00D142FD">
        <w:rPr>
          <w:rFonts w:ascii="Times New Roman" w:hAnsi="Times New Roman" w:cs="Times New Roman"/>
          <w:b/>
          <w:bCs/>
          <w:i/>
          <w:iCs/>
          <w:color w:val="000000" w:themeColor="text1"/>
          <w:sz w:val="20"/>
          <w:szCs w:val="20"/>
          <w:u w:val="single"/>
        </w:rPr>
        <w:t xml:space="preserve"> &amp; another v. State of Kerala and another</w:t>
      </w:r>
      <w:r w:rsidR="00D142FD" w:rsidRPr="00D142FD">
        <w:rPr>
          <w:rStyle w:val="FootnoteReference"/>
          <w:rFonts w:ascii="Times New Roman" w:hAnsi="Times New Roman" w:cs="Times New Roman"/>
          <w:i/>
          <w:iCs/>
          <w:color w:val="000000" w:themeColor="text1"/>
          <w:sz w:val="20"/>
          <w:szCs w:val="20"/>
        </w:rPr>
        <w:footnoteReference w:id="6"/>
      </w:r>
      <w:r>
        <w:rPr>
          <w:rFonts w:ascii="Times New Roman" w:hAnsi="Times New Roman" w:cs="Times New Roman"/>
          <w:color w:val="000000" w:themeColor="text1"/>
          <w:sz w:val="20"/>
          <w:szCs w:val="20"/>
        </w:rPr>
        <w:t xml:space="preserve"> </w:t>
      </w:r>
      <w:r w:rsidRPr="00DD3F62">
        <w:rPr>
          <w:rFonts w:ascii="Times New Roman" w:hAnsi="Times New Roman" w:cs="Times New Roman"/>
          <w:color w:val="000000" w:themeColor="text1"/>
          <w:sz w:val="20"/>
          <w:szCs w:val="20"/>
        </w:rPr>
        <w:t xml:space="preserve">have wrongly and unwittingly held that the offence under section 324 of IPC was made </w:t>
      </w:r>
      <w:r w:rsidR="00CA05FD" w:rsidRPr="00CA05FD">
        <w:rPr>
          <w:rFonts w:ascii="Times New Roman" w:hAnsi="Times New Roman" w:cs="Times New Roman"/>
          <w:i/>
          <w:iCs/>
          <w:color w:val="000000" w:themeColor="text1"/>
          <w:sz w:val="20"/>
          <w:szCs w:val="20"/>
        </w:rPr>
        <w:t>non-compoundable</w:t>
      </w:r>
      <w:r w:rsidRPr="00DD3F62">
        <w:rPr>
          <w:rFonts w:ascii="Times New Roman" w:hAnsi="Times New Roman" w:cs="Times New Roman"/>
          <w:color w:val="000000" w:themeColor="text1"/>
          <w:sz w:val="20"/>
          <w:szCs w:val="20"/>
        </w:rPr>
        <w:t xml:space="preserve"> after the </w:t>
      </w:r>
      <w:proofErr w:type="spellStart"/>
      <w:proofErr w:type="gramStart"/>
      <w:r w:rsidRPr="00DD3F62">
        <w:rPr>
          <w:rFonts w:ascii="Times New Roman" w:hAnsi="Times New Roman" w:cs="Times New Roman"/>
          <w:color w:val="000000" w:themeColor="text1"/>
          <w:sz w:val="20"/>
          <w:szCs w:val="20"/>
        </w:rPr>
        <w:t>Cr.PC</w:t>
      </w:r>
      <w:proofErr w:type="spellEnd"/>
      <w:proofErr w:type="gramEnd"/>
      <w:r w:rsidRPr="00DD3F62">
        <w:rPr>
          <w:rFonts w:ascii="Times New Roman" w:hAnsi="Times New Roman" w:cs="Times New Roman"/>
          <w:color w:val="000000" w:themeColor="text1"/>
          <w:sz w:val="20"/>
          <w:szCs w:val="20"/>
        </w:rPr>
        <w:t xml:space="preserve"> (Amendment Act) 2005</w:t>
      </w:r>
      <w:r w:rsidR="00C060BE">
        <w:rPr>
          <w:rFonts w:ascii="Times New Roman" w:hAnsi="Times New Roman" w:cs="Times New Roman"/>
          <w:color w:val="000000" w:themeColor="text1"/>
          <w:sz w:val="20"/>
          <w:szCs w:val="20"/>
        </w:rPr>
        <w:t xml:space="preserve"> came into force</w:t>
      </w:r>
      <w:r w:rsidRPr="00DD3F62">
        <w:rPr>
          <w:rFonts w:ascii="Times New Roman" w:hAnsi="Times New Roman" w:cs="Times New Roman"/>
          <w:color w:val="000000" w:themeColor="text1"/>
          <w:sz w:val="20"/>
          <w:szCs w:val="20"/>
        </w:rPr>
        <w:t xml:space="preserve">. Further, the Hon'ble Patna High Court also in </w:t>
      </w:r>
      <w:r w:rsidRPr="00D142FD">
        <w:rPr>
          <w:rFonts w:ascii="Times New Roman" w:hAnsi="Times New Roman" w:cs="Times New Roman"/>
          <w:b/>
          <w:bCs/>
          <w:i/>
          <w:iCs/>
          <w:color w:val="000000" w:themeColor="text1"/>
          <w:sz w:val="20"/>
          <w:szCs w:val="20"/>
          <w:u w:val="single"/>
        </w:rPr>
        <w:t xml:space="preserve">Prabhu </w:t>
      </w:r>
      <w:proofErr w:type="spellStart"/>
      <w:r w:rsidRPr="00D142FD">
        <w:rPr>
          <w:rFonts w:ascii="Times New Roman" w:hAnsi="Times New Roman" w:cs="Times New Roman"/>
          <w:b/>
          <w:bCs/>
          <w:i/>
          <w:iCs/>
          <w:color w:val="000000" w:themeColor="text1"/>
          <w:sz w:val="20"/>
          <w:szCs w:val="20"/>
          <w:u w:val="single"/>
        </w:rPr>
        <w:t>Mahto</w:t>
      </w:r>
      <w:proofErr w:type="spellEnd"/>
      <w:r w:rsidRPr="00D142FD">
        <w:rPr>
          <w:rFonts w:ascii="Times New Roman" w:hAnsi="Times New Roman" w:cs="Times New Roman"/>
          <w:b/>
          <w:bCs/>
          <w:i/>
          <w:iCs/>
          <w:color w:val="000000" w:themeColor="text1"/>
          <w:sz w:val="20"/>
          <w:szCs w:val="20"/>
          <w:u w:val="single"/>
        </w:rPr>
        <w:t xml:space="preserve"> &amp; </w:t>
      </w:r>
      <w:proofErr w:type="spellStart"/>
      <w:r w:rsidRPr="00D142FD">
        <w:rPr>
          <w:rFonts w:ascii="Times New Roman" w:hAnsi="Times New Roman" w:cs="Times New Roman"/>
          <w:b/>
          <w:bCs/>
          <w:i/>
          <w:iCs/>
          <w:color w:val="000000" w:themeColor="text1"/>
          <w:sz w:val="20"/>
          <w:szCs w:val="20"/>
          <w:u w:val="single"/>
        </w:rPr>
        <w:t>Ors</w:t>
      </w:r>
      <w:proofErr w:type="spellEnd"/>
      <w:r w:rsidRPr="00D142FD">
        <w:rPr>
          <w:rFonts w:ascii="Times New Roman" w:hAnsi="Times New Roman" w:cs="Times New Roman"/>
          <w:b/>
          <w:bCs/>
          <w:i/>
          <w:iCs/>
          <w:color w:val="000000" w:themeColor="text1"/>
          <w:sz w:val="20"/>
          <w:szCs w:val="20"/>
          <w:u w:val="single"/>
        </w:rPr>
        <w:t xml:space="preserve"> vs State of Bihar</w:t>
      </w:r>
      <w:r w:rsidR="00D142FD" w:rsidRPr="00D142FD">
        <w:rPr>
          <w:rStyle w:val="FootnoteReference"/>
          <w:rFonts w:ascii="Times New Roman" w:hAnsi="Times New Roman" w:cs="Times New Roman"/>
          <w:i/>
          <w:iCs/>
          <w:color w:val="000000" w:themeColor="text1"/>
          <w:sz w:val="20"/>
          <w:szCs w:val="20"/>
        </w:rPr>
        <w:footnoteReference w:id="7"/>
      </w:r>
      <w:r w:rsidRPr="00DD3F62">
        <w:rPr>
          <w:rFonts w:ascii="Times New Roman" w:hAnsi="Times New Roman" w:cs="Times New Roman"/>
          <w:color w:val="000000" w:themeColor="text1"/>
          <w:sz w:val="20"/>
          <w:szCs w:val="20"/>
        </w:rPr>
        <w:t xml:space="preserve"> has wrongly and unwittingly held that the offence under Section 324 of IPC is no more compoundable after the </w:t>
      </w:r>
      <w:proofErr w:type="spellStart"/>
      <w:proofErr w:type="gramStart"/>
      <w:r w:rsidRPr="00DD3F62">
        <w:rPr>
          <w:rFonts w:ascii="Times New Roman" w:hAnsi="Times New Roman" w:cs="Times New Roman"/>
          <w:color w:val="000000" w:themeColor="text1"/>
          <w:sz w:val="20"/>
          <w:szCs w:val="20"/>
        </w:rPr>
        <w:t>Cr.PC</w:t>
      </w:r>
      <w:proofErr w:type="spellEnd"/>
      <w:proofErr w:type="gramEnd"/>
      <w:r w:rsidRPr="00DD3F62">
        <w:rPr>
          <w:rFonts w:ascii="Times New Roman" w:hAnsi="Times New Roman" w:cs="Times New Roman"/>
          <w:color w:val="000000" w:themeColor="text1"/>
          <w:sz w:val="20"/>
          <w:szCs w:val="20"/>
        </w:rPr>
        <w:t xml:space="preserve"> (Amendment Act) 2005 came into force.</w:t>
      </w:r>
    </w:p>
    <w:p w14:paraId="00DF271F" w14:textId="7527833A" w:rsidR="00FE2B49" w:rsidRPr="001E7730" w:rsidRDefault="00DD3F62" w:rsidP="00DD3F62">
      <w:pPr>
        <w:snapToGrid w:val="0"/>
        <w:spacing w:before="120" w:after="120" w:line="240" w:lineRule="auto"/>
        <w:ind w:firstLine="567"/>
        <w:jc w:val="both"/>
        <w:rPr>
          <w:rFonts w:ascii="Times New Roman" w:hAnsi="Times New Roman" w:cs="Times New Roman"/>
          <w:color w:val="000000" w:themeColor="text1"/>
          <w:sz w:val="20"/>
          <w:szCs w:val="20"/>
        </w:rPr>
      </w:pPr>
      <w:r w:rsidRPr="00DD3F62">
        <w:rPr>
          <w:rFonts w:ascii="Times New Roman" w:hAnsi="Times New Roman" w:cs="Times New Roman"/>
          <w:color w:val="000000" w:themeColor="text1"/>
          <w:sz w:val="20"/>
          <w:szCs w:val="20"/>
        </w:rPr>
        <w:t xml:space="preserve">The Gazette of India Notification dated 21.06.2006 had escaped the attention of the Hon’ble Supreme Court and High Courts. The attention of the Hon’ble Supreme Court and High Courts was not drawn to the said Gazette Notification whereby </w:t>
      </w:r>
      <w:r w:rsidRPr="00DD3F62">
        <w:rPr>
          <w:rFonts w:ascii="Times New Roman" w:hAnsi="Times New Roman" w:cs="Times New Roman"/>
          <w:color w:val="000000" w:themeColor="text1"/>
          <w:sz w:val="20"/>
          <w:szCs w:val="20"/>
        </w:rPr>
        <w:t xml:space="preserve">Sections 28(a) and 42(f)(iii) of the </w:t>
      </w:r>
      <w:proofErr w:type="spellStart"/>
      <w:proofErr w:type="gramStart"/>
      <w:r w:rsidRPr="00DD3F62">
        <w:rPr>
          <w:rFonts w:ascii="Times New Roman" w:hAnsi="Times New Roman" w:cs="Times New Roman"/>
          <w:color w:val="000000" w:themeColor="text1"/>
          <w:sz w:val="20"/>
          <w:szCs w:val="20"/>
        </w:rPr>
        <w:t>Cr.PC</w:t>
      </w:r>
      <w:proofErr w:type="spellEnd"/>
      <w:proofErr w:type="gramEnd"/>
      <w:r w:rsidRPr="00DD3F62">
        <w:rPr>
          <w:rFonts w:ascii="Times New Roman" w:hAnsi="Times New Roman" w:cs="Times New Roman"/>
          <w:color w:val="000000" w:themeColor="text1"/>
          <w:sz w:val="20"/>
          <w:szCs w:val="20"/>
        </w:rPr>
        <w:t xml:space="preserve"> (Amendment) Act, 2005 which </w:t>
      </w:r>
      <w:r w:rsidR="00E04447">
        <w:rPr>
          <w:rFonts w:ascii="Times New Roman" w:hAnsi="Times New Roman" w:cs="Times New Roman"/>
          <w:color w:val="000000" w:themeColor="text1"/>
          <w:sz w:val="20"/>
          <w:szCs w:val="20"/>
        </w:rPr>
        <w:t xml:space="preserve">sought to make the offence under </w:t>
      </w:r>
      <w:r w:rsidRPr="00DD3F62">
        <w:rPr>
          <w:rFonts w:ascii="Times New Roman" w:hAnsi="Times New Roman" w:cs="Times New Roman"/>
          <w:color w:val="000000" w:themeColor="text1"/>
          <w:sz w:val="20"/>
          <w:szCs w:val="20"/>
        </w:rPr>
        <w:t xml:space="preserve">Section 324 of IPC as </w:t>
      </w:r>
      <w:r w:rsidR="00CA05FD" w:rsidRPr="00CA05FD">
        <w:rPr>
          <w:rFonts w:ascii="Times New Roman" w:hAnsi="Times New Roman" w:cs="Times New Roman"/>
          <w:i/>
          <w:iCs/>
          <w:color w:val="000000" w:themeColor="text1"/>
          <w:sz w:val="20"/>
          <w:szCs w:val="20"/>
        </w:rPr>
        <w:t>non-compoundable</w:t>
      </w:r>
      <w:r w:rsidRPr="00DD3F62">
        <w:rPr>
          <w:rFonts w:ascii="Times New Roman" w:hAnsi="Times New Roman" w:cs="Times New Roman"/>
          <w:color w:val="000000" w:themeColor="text1"/>
          <w:sz w:val="20"/>
          <w:szCs w:val="20"/>
        </w:rPr>
        <w:t xml:space="preserve"> and </w:t>
      </w:r>
      <w:r w:rsidR="00CA05FD" w:rsidRPr="00CA05FD">
        <w:rPr>
          <w:rFonts w:ascii="Times New Roman" w:hAnsi="Times New Roman" w:cs="Times New Roman"/>
          <w:i/>
          <w:iCs/>
          <w:color w:val="000000" w:themeColor="text1"/>
          <w:sz w:val="20"/>
          <w:szCs w:val="20"/>
        </w:rPr>
        <w:t>non-bailable</w:t>
      </w:r>
      <w:r w:rsidRPr="00DD3F62">
        <w:rPr>
          <w:rFonts w:ascii="Times New Roman" w:hAnsi="Times New Roman" w:cs="Times New Roman"/>
          <w:color w:val="000000" w:themeColor="text1"/>
          <w:sz w:val="20"/>
          <w:szCs w:val="20"/>
        </w:rPr>
        <w:t>, respectively, have not yet been brought into force.</w:t>
      </w:r>
    </w:p>
    <w:p w14:paraId="0BAEF987" w14:textId="77777777" w:rsidR="00FE2B49" w:rsidRPr="001E7730" w:rsidRDefault="00FD0DBC" w:rsidP="00DD3F62">
      <w:pPr>
        <w:snapToGrid w:val="0"/>
        <w:spacing w:before="120" w:after="120" w:line="240" w:lineRule="auto"/>
        <w:jc w:val="both"/>
        <w:rPr>
          <w:rFonts w:ascii="Times New Roman" w:hAnsi="Times New Roman" w:cs="Times New Roman"/>
          <w:b/>
          <w:bCs/>
          <w:color w:val="000000" w:themeColor="text1"/>
          <w:sz w:val="20"/>
          <w:szCs w:val="20"/>
        </w:rPr>
      </w:pPr>
      <w:r w:rsidRPr="001E7730">
        <w:rPr>
          <w:rFonts w:ascii="Times New Roman" w:hAnsi="Times New Roman" w:cs="Times New Roman"/>
          <w:b/>
          <w:bCs/>
          <w:color w:val="000000" w:themeColor="text1"/>
          <w:sz w:val="20"/>
          <w:szCs w:val="20"/>
        </w:rPr>
        <w:t xml:space="preserve">Date of enforcement of the </w:t>
      </w:r>
      <w:proofErr w:type="spellStart"/>
      <w:proofErr w:type="gramStart"/>
      <w:r w:rsidRPr="001E7730">
        <w:rPr>
          <w:rFonts w:ascii="Times New Roman" w:hAnsi="Times New Roman" w:cs="Times New Roman"/>
          <w:b/>
          <w:bCs/>
          <w:color w:val="000000" w:themeColor="text1"/>
          <w:sz w:val="20"/>
          <w:szCs w:val="20"/>
        </w:rPr>
        <w:t>Cr.PC</w:t>
      </w:r>
      <w:proofErr w:type="spellEnd"/>
      <w:proofErr w:type="gramEnd"/>
      <w:r w:rsidRPr="001E7730">
        <w:rPr>
          <w:rFonts w:ascii="Times New Roman" w:hAnsi="Times New Roman" w:cs="Times New Roman"/>
          <w:b/>
          <w:bCs/>
          <w:color w:val="000000" w:themeColor="text1"/>
          <w:sz w:val="20"/>
          <w:szCs w:val="20"/>
        </w:rPr>
        <w:t xml:space="preserve"> (Amendment) Act, 2005 (25 of 2005)</w:t>
      </w:r>
    </w:p>
    <w:p w14:paraId="52A75B3D" w14:textId="5DD6884B" w:rsidR="00FE2B49" w:rsidRPr="001E7730" w:rsidRDefault="00FD0DBC" w:rsidP="00DD3F62">
      <w:pPr>
        <w:snapToGrid w:val="0"/>
        <w:spacing w:before="120" w:after="120" w:line="240" w:lineRule="auto"/>
        <w:ind w:firstLine="567"/>
        <w:jc w:val="both"/>
        <w:rPr>
          <w:rFonts w:ascii="Times New Roman" w:hAnsi="Times New Roman" w:cs="Times New Roman"/>
          <w:color w:val="000000" w:themeColor="text1"/>
          <w:sz w:val="20"/>
          <w:szCs w:val="20"/>
        </w:rPr>
      </w:pPr>
      <w:r w:rsidRPr="001E7730">
        <w:rPr>
          <w:rFonts w:ascii="Times New Roman" w:hAnsi="Times New Roman" w:cs="Times New Roman"/>
          <w:color w:val="000000" w:themeColor="text1"/>
          <w:sz w:val="20"/>
          <w:szCs w:val="20"/>
        </w:rPr>
        <w:t xml:space="preserve">In some judgments, the date of the enforcement of the </w:t>
      </w:r>
      <w:proofErr w:type="spellStart"/>
      <w:proofErr w:type="gramStart"/>
      <w:r w:rsidRPr="001E7730">
        <w:rPr>
          <w:rFonts w:ascii="Times New Roman" w:hAnsi="Times New Roman" w:cs="Times New Roman"/>
          <w:color w:val="000000" w:themeColor="text1"/>
          <w:sz w:val="20"/>
          <w:szCs w:val="20"/>
        </w:rPr>
        <w:t>Cr.PC</w:t>
      </w:r>
      <w:proofErr w:type="spellEnd"/>
      <w:proofErr w:type="gramEnd"/>
      <w:r w:rsidRPr="001E7730">
        <w:rPr>
          <w:rFonts w:ascii="Times New Roman" w:hAnsi="Times New Roman" w:cs="Times New Roman"/>
          <w:color w:val="000000" w:themeColor="text1"/>
          <w:sz w:val="20"/>
          <w:szCs w:val="20"/>
        </w:rPr>
        <w:t xml:space="preserve"> (Amendment) Act, 2005 has been mentioned as 31</w:t>
      </w:r>
      <w:r w:rsidRPr="001E7730">
        <w:rPr>
          <w:rFonts w:ascii="Times New Roman" w:hAnsi="Times New Roman" w:cs="Times New Roman"/>
          <w:color w:val="000000" w:themeColor="text1"/>
          <w:sz w:val="20"/>
          <w:szCs w:val="20"/>
          <w:vertAlign w:val="superscript"/>
        </w:rPr>
        <w:t>st</w:t>
      </w:r>
      <w:r w:rsidRPr="001E7730">
        <w:rPr>
          <w:rFonts w:ascii="Times New Roman" w:hAnsi="Times New Roman" w:cs="Times New Roman"/>
          <w:color w:val="000000" w:themeColor="text1"/>
          <w:sz w:val="20"/>
          <w:szCs w:val="20"/>
        </w:rPr>
        <w:t xml:space="preserve"> Dec., 2009. It is to be noted that on 31</w:t>
      </w:r>
      <w:r w:rsidRPr="001E7730">
        <w:rPr>
          <w:rFonts w:ascii="Times New Roman" w:hAnsi="Times New Roman" w:cs="Times New Roman"/>
          <w:color w:val="000000" w:themeColor="text1"/>
          <w:sz w:val="20"/>
          <w:szCs w:val="20"/>
          <w:vertAlign w:val="superscript"/>
        </w:rPr>
        <w:t>st</w:t>
      </w:r>
      <w:r w:rsidRPr="001E7730">
        <w:rPr>
          <w:rFonts w:ascii="Times New Roman" w:hAnsi="Times New Roman" w:cs="Times New Roman"/>
          <w:color w:val="000000" w:themeColor="text1"/>
          <w:sz w:val="20"/>
          <w:szCs w:val="20"/>
        </w:rPr>
        <w:t xml:space="preserve"> Dec., 2009, the provisions of </w:t>
      </w:r>
      <w:proofErr w:type="spellStart"/>
      <w:proofErr w:type="gramStart"/>
      <w:r w:rsidRPr="001E7730">
        <w:rPr>
          <w:rFonts w:ascii="Times New Roman" w:hAnsi="Times New Roman" w:cs="Times New Roman"/>
          <w:color w:val="000000" w:themeColor="text1"/>
          <w:sz w:val="20"/>
          <w:szCs w:val="20"/>
        </w:rPr>
        <w:t>Cr.PC</w:t>
      </w:r>
      <w:proofErr w:type="spellEnd"/>
      <w:proofErr w:type="gramEnd"/>
      <w:r w:rsidRPr="001E7730">
        <w:rPr>
          <w:rFonts w:ascii="Times New Roman" w:hAnsi="Times New Roman" w:cs="Times New Roman"/>
          <w:color w:val="000000" w:themeColor="text1"/>
          <w:sz w:val="20"/>
          <w:szCs w:val="20"/>
        </w:rPr>
        <w:t xml:space="preserve"> (Amendment) Act, 2008 were brought into force and not the provisions of the </w:t>
      </w:r>
      <w:proofErr w:type="spellStart"/>
      <w:r w:rsidRPr="001E7730">
        <w:rPr>
          <w:rFonts w:ascii="Times New Roman" w:hAnsi="Times New Roman" w:cs="Times New Roman"/>
          <w:color w:val="000000" w:themeColor="text1"/>
          <w:sz w:val="20"/>
          <w:szCs w:val="20"/>
        </w:rPr>
        <w:t>Cr.PC</w:t>
      </w:r>
      <w:proofErr w:type="spellEnd"/>
      <w:r w:rsidRPr="001E7730">
        <w:rPr>
          <w:rFonts w:ascii="Times New Roman" w:hAnsi="Times New Roman" w:cs="Times New Roman"/>
          <w:color w:val="000000" w:themeColor="text1"/>
          <w:sz w:val="20"/>
          <w:szCs w:val="20"/>
        </w:rPr>
        <w:t xml:space="preserve"> (Amendment) Act, 2005. The Hon’ble Supreme Court and High Courts were not apprised with the fact that by way of Gazette Notification dated 21.06.2006, the Central Government appointed 23</w:t>
      </w:r>
      <w:r w:rsidRPr="001E7730">
        <w:rPr>
          <w:rFonts w:ascii="Times New Roman" w:hAnsi="Times New Roman" w:cs="Times New Roman"/>
          <w:color w:val="000000" w:themeColor="text1"/>
          <w:sz w:val="20"/>
          <w:szCs w:val="20"/>
          <w:vertAlign w:val="superscript"/>
        </w:rPr>
        <w:t>rd</w:t>
      </w:r>
      <w:r w:rsidRPr="001E7730">
        <w:rPr>
          <w:rFonts w:ascii="Times New Roman" w:hAnsi="Times New Roman" w:cs="Times New Roman"/>
          <w:color w:val="000000" w:themeColor="text1"/>
          <w:sz w:val="20"/>
          <w:szCs w:val="20"/>
        </w:rPr>
        <w:t xml:space="preserve"> June, 2006, on which date provisions of the </w:t>
      </w:r>
      <w:proofErr w:type="spellStart"/>
      <w:proofErr w:type="gramStart"/>
      <w:r w:rsidRPr="001E7730">
        <w:rPr>
          <w:rFonts w:ascii="Times New Roman" w:hAnsi="Times New Roman" w:cs="Times New Roman"/>
          <w:color w:val="000000" w:themeColor="text1"/>
          <w:sz w:val="20"/>
          <w:szCs w:val="20"/>
        </w:rPr>
        <w:t>Cr.PC</w:t>
      </w:r>
      <w:proofErr w:type="spellEnd"/>
      <w:proofErr w:type="gramEnd"/>
      <w:r w:rsidR="00DD3F62">
        <w:rPr>
          <w:rFonts w:ascii="Times New Roman" w:hAnsi="Times New Roman" w:cs="Times New Roman"/>
          <w:color w:val="000000" w:themeColor="text1"/>
          <w:sz w:val="20"/>
          <w:szCs w:val="20"/>
        </w:rPr>
        <w:t xml:space="preserve"> </w:t>
      </w:r>
      <w:r w:rsidRPr="001E7730">
        <w:rPr>
          <w:rFonts w:ascii="Times New Roman" w:hAnsi="Times New Roman" w:cs="Times New Roman"/>
          <w:color w:val="000000" w:themeColor="text1"/>
          <w:sz w:val="20"/>
          <w:szCs w:val="20"/>
        </w:rPr>
        <w:t xml:space="preserve">(Amendment) Act, 2005, except some, came into force. </w:t>
      </w:r>
    </w:p>
    <w:p w14:paraId="2E763979" w14:textId="16A87DAB" w:rsidR="00DD3F62" w:rsidRPr="00DD3F62" w:rsidRDefault="00DD3F62" w:rsidP="00DD3F62">
      <w:pPr>
        <w:snapToGrid w:val="0"/>
        <w:spacing w:before="120" w:after="120" w:line="240" w:lineRule="auto"/>
        <w:jc w:val="both"/>
        <w:rPr>
          <w:rFonts w:ascii="Times New Roman" w:hAnsi="Times New Roman" w:cs="Times New Roman"/>
          <w:b/>
          <w:bCs/>
          <w:color w:val="000000" w:themeColor="text1"/>
          <w:sz w:val="20"/>
          <w:szCs w:val="20"/>
        </w:rPr>
      </w:pPr>
      <w:proofErr w:type="spellStart"/>
      <w:proofErr w:type="gramStart"/>
      <w:r w:rsidRPr="00DD3F62">
        <w:rPr>
          <w:rFonts w:ascii="Times New Roman" w:hAnsi="Times New Roman" w:cs="Times New Roman"/>
          <w:b/>
          <w:bCs/>
          <w:color w:val="000000" w:themeColor="text1"/>
          <w:sz w:val="20"/>
          <w:szCs w:val="20"/>
        </w:rPr>
        <w:t>Cr.PC</w:t>
      </w:r>
      <w:proofErr w:type="spellEnd"/>
      <w:proofErr w:type="gramEnd"/>
      <w:r w:rsidRPr="00DD3F62">
        <w:rPr>
          <w:rFonts w:ascii="Times New Roman" w:hAnsi="Times New Roman" w:cs="Times New Roman"/>
          <w:b/>
          <w:bCs/>
          <w:color w:val="000000" w:themeColor="text1"/>
          <w:sz w:val="20"/>
          <w:szCs w:val="20"/>
        </w:rPr>
        <w:t xml:space="preserve"> (Amendment) Act, 2008 (Act no. 5 of 2009)</w:t>
      </w:r>
    </w:p>
    <w:p w14:paraId="08879287" w14:textId="229E150D" w:rsidR="00DD3F62" w:rsidRPr="00DD3F62" w:rsidRDefault="00DD3F62" w:rsidP="00DD3F62">
      <w:pPr>
        <w:snapToGrid w:val="0"/>
        <w:spacing w:before="120" w:after="120" w:line="240" w:lineRule="auto"/>
        <w:ind w:firstLine="567"/>
        <w:jc w:val="both"/>
        <w:rPr>
          <w:rFonts w:ascii="Times New Roman" w:hAnsi="Times New Roman" w:cs="Times New Roman"/>
          <w:color w:val="000000" w:themeColor="text1"/>
          <w:sz w:val="20"/>
          <w:szCs w:val="20"/>
        </w:rPr>
      </w:pPr>
      <w:r w:rsidRPr="00DD3F62">
        <w:rPr>
          <w:rFonts w:ascii="Times New Roman" w:hAnsi="Times New Roman" w:cs="Times New Roman"/>
          <w:color w:val="000000" w:themeColor="text1"/>
          <w:sz w:val="20"/>
          <w:szCs w:val="20"/>
        </w:rPr>
        <w:t>People</w:t>
      </w:r>
      <w:r w:rsidR="00BD0FF2">
        <w:rPr>
          <w:rFonts w:ascii="Times New Roman" w:hAnsi="Times New Roman" w:cs="Times New Roman"/>
          <w:color w:val="000000" w:themeColor="text1"/>
          <w:sz w:val="20"/>
          <w:szCs w:val="20"/>
        </w:rPr>
        <w:t xml:space="preserve"> are also</w:t>
      </w:r>
      <w:r w:rsidRPr="00DD3F62">
        <w:rPr>
          <w:rFonts w:ascii="Times New Roman" w:hAnsi="Times New Roman" w:cs="Times New Roman"/>
          <w:color w:val="000000" w:themeColor="text1"/>
          <w:sz w:val="20"/>
          <w:szCs w:val="20"/>
        </w:rPr>
        <w:t xml:space="preserve"> confuse</w:t>
      </w:r>
      <w:r w:rsidR="00BD0FF2">
        <w:rPr>
          <w:rFonts w:ascii="Times New Roman" w:hAnsi="Times New Roman" w:cs="Times New Roman"/>
          <w:color w:val="000000" w:themeColor="text1"/>
          <w:sz w:val="20"/>
          <w:szCs w:val="20"/>
        </w:rPr>
        <w:t>d</w:t>
      </w:r>
      <w:r w:rsidRPr="00DD3F62">
        <w:rPr>
          <w:rFonts w:ascii="Times New Roman" w:hAnsi="Times New Roman" w:cs="Times New Roman"/>
          <w:color w:val="000000" w:themeColor="text1"/>
          <w:sz w:val="20"/>
          <w:szCs w:val="20"/>
        </w:rPr>
        <w:t xml:space="preserve"> with the </w:t>
      </w:r>
      <w:proofErr w:type="spellStart"/>
      <w:proofErr w:type="gramStart"/>
      <w:r w:rsidRPr="00DD3F62">
        <w:rPr>
          <w:rFonts w:ascii="Times New Roman" w:hAnsi="Times New Roman" w:cs="Times New Roman"/>
          <w:color w:val="000000" w:themeColor="text1"/>
          <w:sz w:val="20"/>
          <w:szCs w:val="20"/>
        </w:rPr>
        <w:t>Cr.PC</w:t>
      </w:r>
      <w:proofErr w:type="spellEnd"/>
      <w:proofErr w:type="gramEnd"/>
      <w:r w:rsidRPr="00DD3F62">
        <w:rPr>
          <w:rFonts w:ascii="Times New Roman" w:hAnsi="Times New Roman" w:cs="Times New Roman"/>
          <w:color w:val="000000" w:themeColor="text1"/>
          <w:sz w:val="20"/>
          <w:szCs w:val="20"/>
        </w:rPr>
        <w:t xml:space="preserve"> (Amendment) Act, 2008 (Act no. 5 of 2009) by </w:t>
      </w:r>
      <w:r w:rsidR="00BD0FF2">
        <w:rPr>
          <w:rFonts w:ascii="Times New Roman" w:hAnsi="Times New Roman" w:cs="Times New Roman"/>
          <w:color w:val="000000" w:themeColor="text1"/>
          <w:sz w:val="20"/>
          <w:szCs w:val="20"/>
        </w:rPr>
        <w:t xml:space="preserve">taking the view that </w:t>
      </w:r>
      <w:r w:rsidRPr="00DD3F62">
        <w:rPr>
          <w:rFonts w:ascii="Times New Roman" w:hAnsi="Times New Roman" w:cs="Times New Roman"/>
          <w:color w:val="000000" w:themeColor="text1"/>
          <w:sz w:val="20"/>
          <w:szCs w:val="20"/>
        </w:rPr>
        <w:t xml:space="preserve">the Tables in Section 320 of </w:t>
      </w:r>
      <w:proofErr w:type="spellStart"/>
      <w:r w:rsidRPr="00DD3F62">
        <w:rPr>
          <w:rFonts w:ascii="Times New Roman" w:hAnsi="Times New Roman" w:cs="Times New Roman"/>
          <w:color w:val="000000" w:themeColor="text1"/>
          <w:sz w:val="20"/>
          <w:szCs w:val="20"/>
        </w:rPr>
        <w:t>Cr.PC</w:t>
      </w:r>
      <w:proofErr w:type="spellEnd"/>
      <w:r w:rsidRPr="00DD3F62">
        <w:rPr>
          <w:rFonts w:ascii="Times New Roman" w:hAnsi="Times New Roman" w:cs="Times New Roman"/>
          <w:color w:val="000000" w:themeColor="text1"/>
          <w:sz w:val="20"/>
          <w:szCs w:val="20"/>
        </w:rPr>
        <w:t>, 1973 were replaced thereby</w:t>
      </w:r>
      <w:r w:rsidR="00BD0FF2">
        <w:rPr>
          <w:rFonts w:ascii="Times New Roman" w:hAnsi="Times New Roman" w:cs="Times New Roman"/>
          <w:color w:val="000000" w:themeColor="text1"/>
          <w:sz w:val="20"/>
          <w:szCs w:val="20"/>
        </w:rPr>
        <w:t xml:space="preserve"> and Section 324 of IPC is not present in the Tables</w:t>
      </w:r>
      <w:r w:rsidR="009A2DF4">
        <w:rPr>
          <w:rFonts w:ascii="Times New Roman" w:hAnsi="Times New Roman" w:cs="Times New Roman"/>
          <w:color w:val="000000" w:themeColor="text1"/>
          <w:sz w:val="20"/>
          <w:szCs w:val="20"/>
        </w:rPr>
        <w:t xml:space="preserve">, hence it is </w:t>
      </w:r>
      <w:r w:rsidR="00CA05FD" w:rsidRPr="00CA05FD">
        <w:rPr>
          <w:rFonts w:ascii="Times New Roman" w:hAnsi="Times New Roman" w:cs="Times New Roman"/>
          <w:i/>
          <w:iCs/>
          <w:color w:val="000000" w:themeColor="text1"/>
          <w:sz w:val="20"/>
          <w:szCs w:val="20"/>
        </w:rPr>
        <w:t>non-compoundable</w:t>
      </w:r>
      <w:r w:rsidRPr="00DD3F62">
        <w:rPr>
          <w:rFonts w:ascii="Times New Roman" w:hAnsi="Times New Roman" w:cs="Times New Roman"/>
          <w:color w:val="000000" w:themeColor="text1"/>
          <w:sz w:val="20"/>
          <w:szCs w:val="20"/>
        </w:rPr>
        <w:t xml:space="preserve">. It is </w:t>
      </w:r>
      <w:r w:rsidR="00E04447">
        <w:rPr>
          <w:rFonts w:ascii="Times New Roman" w:hAnsi="Times New Roman" w:cs="Times New Roman"/>
          <w:color w:val="000000" w:themeColor="text1"/>
          <w:sz w:val="20"/>
          <w:szCs w:val="20"/>
        </w:rPr>
        <w:t xml:space="preserve">pertinent </w:t>
      </w:r>
      <w:r w:rsidRPr="00DD3F62">
        <w:rPr>
          <w:rFonts w:ascii="Times New Roman" w:hAnsi="Times New Roman" w:cs="Times New Roman"/>
          <w:color w:val="000000" w:themeColor="text1"/>
          <w:sz w:val="20"/>
          <w:szCs w:val="20"/>
        </w:rPr>
        <w:t xml:space="preserve">to note that by way of </w:t>
      </w:r>
      <w:proofErr w:type="spellStart"/>
      <w:proofErr w:type="gramStart"/>
      <w:r w:rsidRPr="00DD3F62">
        <w:rPr>
          <w:rFonts w:ascii="Times New Roman" w:hAnsi="Times New Roman" w:cs="Times New Roman"/>
          <w:color w:val="000000" w:themeColor="text1"/>
          <w:sz w:val="20"/>
          <w:szCs w:val="20"/>
        </w:rPr>
        <w:t>Cr.PC</w:t>
      </w:r>
      <w:proofErr w:type="spellEnd"/>
      <w:proofErr w:type="gramEnd"/>
      <w:r w:rsidRPr="00DD3F62">
        <w:rPr>
          <w:rFonts w:ascii="Times New Roman" w:hAnsi="Times New Roman" w:cs="Times New Roman"/>
          <w:color w:val="000000" w:themeColor="text1"/>
          <w:sz w:val="20"/>
          <w:szCs w:val="20"/>
        </w:rPr>
        <w:t xml:space="preserve"> (Amendment) Act, 2008, </w:t>
      </w:r>
      <w:r w:rsidRPr="00E04447">
        <w:rPr>
          <w:rFonts w:ascii="Times New Roman" w:hAnsi="Times New Roman" w:cs="Times New Roman"/>
          <w:i/>
          <w:iCs/>
          <w:color w:val="000000" w:themeColor="text1"/>
          <w:sz w:val="20"/>
          <w:szCs w:val="20"/>
        </w:rPr>
        <w:t>inter alia</w:t>
      </w:r>
      <w:r w:rsidRPr="00DD3F62">
        <w:rPr>
          <w:rFonts w:ascii="Times New Roman" w:hAnsi="Times New Roman" w:cs="Times New Roman"/>
          <w:color w:val="000000" w:themeColor="text1"/>
          <w:sz w:val="20"/>
          <w:szCs w:val="20"/>
        </w:rPr>
        <w:t xml:space="preserve">, the Tables forming part of Section 320 (1) and (2) of the </w:t>
      </w:r>
      <w:proofErr w:type="spellStart"/>
      <w:r w:rsidRPr="00DD3F62">
        <w:rPr>
          <w:rFonts w:ascii="Times New Roman" w:hAnsi="Times New Roman" w:cs="Times New Roman"/>
          <w:color w:val="000000" w:themeColor="text1"/>
          <w:sz w:val="20"/>
          <w:szCs w:val="20"/>
        </w:rPr>
        <w:t>Cr.PC</w:t>
      </w:r>
      <w:proofErr w:type="spellEnd"/>
      <w:r w:rsidRPr="00DD3F62">
        <w:rPr>
          <w:rFonts w:ascii="Times New Roman" w:hAnsi="Times New Roman" w:cs="Times New Roman"/>
          <w:color w:val="000000" w:themeColor="text1"/>
          <w:sz w:val="20"/>
          <w:szCs w:val="20"/>
        </w:rPr>
        <w:t xml:space="preserve">, 1973, underwent certain changes. A number of offences in the Table falling under sub-section (2) of Section 320 were transferred to the Table falling under sub-section (1) of Section 320. Another important change that was made was the deletion of Section 354 of IPC from the list of compoundable offences. Further, Section 312 of IPC (causing miscarriage) was included in the Table under Section 320(2) of the </w:t>
      </w:r>
      <w:proofErr w:type="spellStart"/>
      <w:proofErr w:type="gramStart"/>
      <w:r w:rsidRPr="00DD3F62">
        <w:rPr>
          <w:rFonts w:ascii="Times New Roman" w:hAnsi="Times New Roman" w:cs="Times New Roman"/>
          <w:color w:val="000000" w:themeColor="text1"/>
          <w:sz w:val="20"/>
          <w:szCs w:val="20"/>
        </w:rPr>
        <w:t>Cr.PC</w:t>
      </w:r>
      <w:proofErr w:type="spellEnd"/>
      <w:proofErr w:type="gramEnd"/>
      <w:r w:rsidRPr="00DD3F62">
        <w:rPr>
          <w:rFonts w:ascii="Times New Roman" w:hAnsi="Times New Roman" w:cs="Times New Roman"/>
          <w:color w:val="000000" w:themeColor="text1"/>
          <w:sz w:val="20"/>
          <w:szCs w:val="20"/>
        </w:rPr>
        <w:t xml:space="preserve">, 1973. Interestingly, the offence under Section 324 of IPC which was already omitted from the list of compoundable offences by </w:t>
      </w:r>
      <w:proofErr w:type="spellStart"/>
      <w:proofErr w:type="gramStart"/>
      <w:r w:rsidRPr="00DD3F62">
        <w:rPr>
          <w:rFonts w:ascii="Times New Roman" w:hAnsi="Times New Roman" w:cs="Times New Roman"/>
          <w:color w:val="000000" w:themeColor="text1"/>
          <w:sz w:val="20"/>
          <w:szCs w:val="20"/>
        </w:rPr>
        <w:t>Cr.PC</w:t>
      </w:r>
      <w:proofErr w:type="spellEnd"/>
      <w:proofErr w:type="gramEnd"/>
      <w:r w:rsidRPr="00DD3F62">
        <w:rPr>
          <w:rFonts w:ascii="Times New Roman" w:hAnsi="Times New Roman" w:cs="Times New Roman"/>
          <w:color w:val="000000" w:themeColor="text1"/>
          <w:sz w:val="20"/>
          <w:szCs w:val="20"/>
        </w:rPr>
        <w:t xml:space="preserve"> (Amendment) Act, 2005 was sought to be </w:t>
      </w:r>
      <w:proofErr w:type="spellStart"/>
      <w:r w:rsidRPr="00DD3F62">
        <w:rPr>
          <w:rFonts w:ascii="Times New Roman" w:hAnsi="Times New Roman" w:cs="Times New Roman"/>
          <w:color w:val="000000" w:themeColor="text1"/>
          <w:sz w:val="20"/>
          <w:szCs w:val="20"/>
        </w:rPr>
        <w:t>reinducted</w:t>
      </w:r>
      <w:proofErr w:type="spellEnd"/>
      <w:r w:rsidRPr="00DD3F62">
        <w:rPr>
          <w:rFonts w:ascii="Times New Roman" w:hAnsi="Times New Roman" w:cs="Times New Roman"/>
          <w:color w:val="000000" w:themeColor="text1"/>
          <w:sz w:val="20"/>
          <w:szCs w:val="20"/>
        </w:rPr>
        <w:t xml:space="preserve"> within the ambit of Section 320 of the </w:t>
      </w:r>
      <w:proofErr w:type="spellStart"/>
      <w:r w:rsidRPr="00DD3F62">
        <w:rPr>
          <w:rFonts w:ascii="Times New Roman" w:hAnsi="Times New Roman" w:cs="Times New Roman"/>
          <w:color w:val="000000" w:themeColor="text1"/>
          <w:sz w:val="20"/>
          <w:szCs w:val="20"/>
        </w:rPr>
        <w:t>Cr.PC</w:t>
      </w:r>
      <w:proofErr w:type="spellEnd"/>
      <w:r w:rsidRPr="00DD3F62">
        <w:rPr>
          <w:rFonts w:ascii="Times New Roman" w:hAnsi="Times New Roman" w:cs="Times New Roman"/>
          <w:color w:val="000000" w:themeColor="text1"/>
          <w:sz w:val="20"/>
          <w:szCs w:val="20"/>
        </w:rPr>
        <w:t xml:space="preserve">, 1973. However, the </w:t>
      </w:r>
      <w:proofErr w:type="spellStart"/>
      <w:proofErr w:type="gramStart"/>
      <w:r w:rsidRPr="00DD3F62">
        <w:rPr>
          <w:rFonts w:ascii="Times New Roman" w:hAnsi="Times New Roman" w:cs="Times New Roman"/>
          <w:color w:val="000000" w:themeColor="text1"/>
          <w:sz w:val="20"/>
          <w:szCs w:val="20"/>
        </w:rPr>
        <w:t>Cr.PC</w:t>
      </w:r>
      <w:proofErr w:type="spellEnd"/>
      <w:proofErr w:type="gramEnd"/>
      <w:r w:rsidRPr="00DD3F62">
        <w:rPr>
          <w:rFonts w:ascii="Times New Roman" w:hAnsi="Times New Roman" w:cs="Times New Roman"/>
          <w:color w:val="000000" w:themeColor="text1"/>
          <w:sz w:val="20"/>
          <w:szCs w:val="20"/>
        </w:rPr>
        <w:t xml:space="preserve"> (Amendment) Act, 2008 shows that the said change was not approved by Parliament, and Section 324 remained omitted from the list of compoundable offences as done by Section 28(a) of the </w:t>
      </w:r>
      <w:proofErr w:type="spellStart"/>
      <w:r w:rsidRPr="00DD3F62">
        <w:rPr>
          <w:rFonts w:ascii="Times New Roman" w:hAnsi="Times New Roman" w:cs="Times New Roman"/>
          <w:color w:val="000000" w:themeColor="text1"/>
          <w:sz w:val="20"/>
          <w:szCs w:val="20"/>
        </w:rPr>
        <w:t>Cr.PC</w:t>
      </w:r>
      <w:proofErr w:type="spellEnd"/>
      <w:r w:rsidRPr="00DD3F62">
        <w:rPr>
          <w:rFonts w:ascii="Times New Roman" w:hAnsi="Times New Roman" w:cs="Times New Roman"/>
          <w:color w:val="000000" w:themeColor="text1"/>
          <w:sz w:val="20"/>
          <w:szCs w:val="20"/>
        </w:rPr>
        <w:t xml:space="preserve"> (Amendment) Act, 2005 (though not yet notified). Thus, after the </w:t>
      </w:r>
      <w:proofErr w:type="spellStart"/>
      <w:proofErr w:type="gramStart"/>
      <w:r w:rsidRPr="00DD3F62">
        <w:rPr>
          <w:rFonts w:ascii="Times New Roman" w:hAnsi="Times New Roman" w:cs="Times New Roman"/>
          <w:color w:val="000000" w:themeColor="text1"/>
          <w:sz w:val="20"/>
          <w:szCs w:val="20"/>
        </w:rPr>
        <w:t>Cr.PC</w:t>
      </w:r>
      <w:proofErr w:type="spellEnd"/>
      <w:proofErr w:type="gramEnd"/>
      <w:r w:rsidRPr="00DD3F62">
        <w:rPr>
          <w:rFonts w:ascii="Times New Roman" w:hAnsi="Times New Roman" w:cs="Times New Roman"/>
          <w:color w:val="000000" w:themeColor="text1"/>
          <w:sz w:val="20"/>
          <w:szCs w:val="20"/>
        </w:rPr>
        <w:t xml:space="preserve"> (Amendment) Act, 2008, which came into effect on 31st December, 2009, the number of compoundable offences in </w:t>
      </w:r>
      <w:proofErr w:type="spellStart"/>
      <w:r w:rsidRPr="00DD3F62">
        <w:rPr>
          <w:rFonts w:ascii="Times New Roman" w:hAnsi="Times New Roman" w:cs="Times New Roman"/>
          <w:color w:val="000000" w:themeColor="text1"/>
          <w:sz w:val="20"/>
          <w:szCs w:val="20"/>
        </w:rPr>
        <w:t>CrPC</w:t>
      </w:r>
      <w:proofErr w:type="spellEnd"/>
      <w:r w:rsidRPr="00DD3F62">
        <w:rPr>
          <w:rFonts w:ascii="Times New Roman" w:hAnsi="Times New Roman" w:cs="Times New Roman"/>
          <w:color w:val="000000" w:themeColor="text1"/>
          <w:sz w:val="20"/>
          <w:szCs w:val="20"/>
        </w:rPr>
        <w:t xml:space="preserve">, 1973 stands at 56 i.e. 43 in the Table under Section 320 (1) and 13 in the Table under Section 320 (2). </w:t>
      </w:r>
    </w:p>
    <w:p w14:paraId="36C07122" w14:textId="4CC1EA89" w:rsidR="00DD3F62" w:rsidRDefault="00DD3F62" w:rsidP="00DD3F62">
      <w:pPr>
        <w:snapToGrid w:val="0"/>
        <w:spacing w:before="120" w:after="120" w:line="240" w:lineRule="auto"/>
        <w:ind w:firstLine="567"/>
        <w:jc w:val="both"/>
        <w:rPr>
          <w:rFonts w:ascii="Times New Roman" w:hAnsi="Times New Roman" w:cs="Times New Roman"/>
          <w:color w:val="000000" w:themeColor="text1"/>
          <w:sz w:val="20"/>
          <w:szCs w:val="20"/>
        </w:rPr>
      </w:pPr>
      <w:r w:rsidRPr="00DD3F62">
        <w:rPr>
          <w:rFonts w:ascii="Times New Roman" w:hAnsi="Times New Roman" w:cs="Times New Roman"/>
          <w:color w:val="000000" w:themeColor="text1"/>
          <w:sz w:val="20"/>
          <w:szCs w:val="20"/>
        </w:rPr>
        <w:t xml:space="preserve">It is pertinent to note that even though there were changes under Section 320 of the </w:t>
      </w:r>
      <w:proofErr w:type="spellStart"/>
      <w:proofErr w:type="gramStart"/>
      <w:r w:rsidRPr="00DD3F62">
        <w:rPr>
          <w:rFonts w:ascii="Times New Roman" w:hAnsi="Times New Roman" w:cs="Times New Roman"/>
          <w:color w:val="000000" w:themeColor="text1"/>
          <w:sz w:val="20"/>
          <w:szCs w:val="20"/>
        </w:rPr>
        <w:t>Cr.PC</w:t>
      </w:r>
      <w:proofErr w:type="spellEnd"/>
      <w:proofErr w:type="gramEnd"/>
      <w:r w:rsidRPr="00DD3F62">
        <w:rPr>
          <w:rFonts w:ascii="Times New Roman" w:hAnsi="Times New Roman" w:cs="Times New Roman"/>
          <w:color w:val="000000" w:themeColor="text1"/>
          <w:sz w:val="20"/>
          <w:szCs w:val="20"/>
        </w:rPr>
        <w:t xml:space="preserve">, 1973 </w:t>
      </w:r>
      <w:r w:rsidRPr="00DD3F62">
        <w:rPr>
          <w:rFonts w:ascii="Times New Roman" w:hAnsi="Times New Roman" w:cs="Times New Roman"/>
          <w:color w:val="000000" w:themeColor="text1"/>
          <w:sz w:val="20"/>
          <w:szCs w:val="20"/>
        </w:rPr>
        <w:lastRenderedPageBreak/>
        <w:t xml:space="preserve">by the </w:t>
      </w:r>
      <w:proofErr w:type="spellStart"/>
      <w:r w:rsidRPr="00DD3F62">
        <w:rPr>
          <w:rFonts w:ascii="Times New Roman" w:hAnsi="Times New Roman" w:cs="Times New Roman"/>
          <w:color w:val="000000" w:themeColor="text1"/>
          <w:sz w:val="20"/>
          <w:szCs w:val="20"/>
        </w:rPr>
        <w:t>Cr.PC</w:t>
      </w:r>
      <w:proofErr w:type="spellEnd"/>
      <w:r w:rsidRPr="00DD3F62">
        <w:rPr>
          <w:rFonts w:ascii="Times New Roman" w:hAnsi="Times New Roman" w:cs="Times New Roman"/>
          <w:color w:val="000000" w:themeColor="text1"/>
          <w:sz w:val="20"/>
          <w:szCs w:val="20"/>
        </w:rPr>
        <w:t xml:space="preserve"> (Amendment) Act, 2008, the offence under Section 324 of IPC was not touched upon. Meaning thereby, the offence under Section 324 of IPC has remained as </w:t>
      </w:r>
      <w:r w:rsidR="00CA05FD" w:rsidRPr="00CA05FD">
        <w:rPr>
          <w:rFonts w:ascii="Times New Roman" w:hAnsi="Times New Roman" w:cs="Times New Roman"/>
          <w:i/>
          <w:iCs/>
          <w:color w:val="000000" w:themeColor="text1"/>
          <w:sz w:val="20"/>
          <w:szCs w:val="20"/>
        </w:rPr>
        <w:t>non-bailable</w:t>
      </w:r>
      <w:r w:rsidRPr="00DD3F62">
        <w:rPr>
          <w:rFonts w:ascii="Times New Roman" w:hAnsi="Times New Roman" w:cs="Times New Roman"/>
          <w:color w:val="000000" w:themeColor="text1"/>
          <w:sz w:val="20"/>
          <w:szCs w:val="20"/>
        </w:rPr>
        <w:t xml:space="preserve"> and </w:t>
      </w:r>
      <w:r w:rsidR="00CA05FD" w:rsidRPr="00CA05FD">
        <w:rPr>
          <w:rFonts w:ascii="Times New Roman" w:hAnsi="Times New Roman" w:cs="Times New Roman"/>
          <w:i/>
          <w:iCs/>
          <w:color w:val="000000" w:themeColor="text1"/>
          <w:sz w:val="20"/>
          <w:szCs w:val="20"/>
        </w:rPr>
        <w:t>non-compoundable</w:t>
      </w:r>
      <w:r w:rsidRPr="00DD3F62">
        <w:rPr>
          <w:rFonts w:ascii="Times New Roman" w:hAnsi="Times New Roman" w:cs="Times New Roman"/>
          <w:color w:val="000000" w:themeColor="text1"/>
          <w:sz w:val="20"/>
          <w:szCs w:val="20"/>
        </w:rPr>
        <w:t xml:space="preserve"> (though not yet notified) by virtue of the </w:t>
      </w:r>
      <w:proofErr w:type="spellStart"/>
      <w:proofErr w:type="gramStart"/>
      <w:r w:rsidRPr="00DD3F62">
        <w:rPr>
          <w:rFonts w:ascii="Times New Roman" w:hAnsi="Times New Roman" w:cs="Times New Roman"/>
          <w:color w:val="000000" w:themeColor="text1"/>
          <w:sz w:val="20"/>
          <w:szCs w:val="20"/>
        </w:rPr>
        <w:t>Cr.PC</w:t>
      </w:r>
      <w:proofErr w:type="spellEnd"/>
      <w:proofErr w:type="gramEnd"/>
      <w:r w:rsidRPr="00DD3F62">
        <w:rPr>
          <w:rFonts w:ascii="Times New Roman" w:hAnsi="Times New Roman" w:cs="Times New Roman"/>
          <w:color w:val="000000" w:themeColor="text1"/>
          <w:sz w:val="20"/>
          <w:szCs w:val="20"/>
        </w:rPr>
        <w:t xml:space="preserve"> (Amendment) Act, 2005</w:t>
      </w:r>
    </w:p>
    <w:p w14:paraId="4F5F0702" w14:textId="279B83FE" w:rsidR="00FE2B49" w:rsidRDefault="00FD0DBC" w:rsidP="00DD3F62">
      <w:pPr>
        <w:snapToGrid w:val="0"/>
        <w:spacing w:before="120" w:after="120" w:line="240" w:lineRule="auto"/>
        <w:jc w:val="both"/>
        <w:rPr>
          <w:rFonts w:ascii="Times New Roman" w:hAnsi="Times New Roman" w:cs="Times New Roman"/>
          <w:b/>
          <w:bCs/>
          <w:color w:val="000000" w:themeColor="text1"/>
          <w:sz w:val="20"/>
          <w:szCs w:val="20"/>
        </w:rPr>
      </w:pPr>
      <w:r w:rsidRPr="001E7730">
        <w:rPr>
          <w:rFonts w:ascii="Times New Roman" w:hAnsi="Times New Roman" w:cs="Times New Roman"/>
          <w:b/>
          <w:bCs/>
          <w:color w:val="000000" w:themeColor="text1"/>
          <w:sz w:val="20"/>
          <w:szCs w:val="20"/>
        </w:rPr>
        <w:t>Conclusion</w:t>
      </w:r>
    </w:p>
    <w:p w14:paraId="28460FB5" w14:textId="77777777" w:rsidR="007763B1" w:rsidRPr="007763B1" w:rsidRDefault="007763B1" w:rsidP="009A2DF4">
      <w:pPr>
        <w:snapToGrid w:val="0"/>
        <w:spacing w:before="120" w:after="120" w:line="240" w:lineRule="auto"/>
        <w:ind w:firstLine="720"/>
        <w:jc w:val="both"/>
        <w:rPr>
          <w:rFonts w:ascii="Times New Roman" w:hAnsi="Times New Roman" w:cs="Times New Roman"/>
          <w:color w:val="000000" w:themeColor="text1"/>
          <w:sz w:val="20"/>
          <w:szCs w:val="20"/>
        </w:rPr>
      </w:pPr>
      <w:r w:rsidRPr="007763B1">
        <w:rPr>
          <w:rFonts w:ascii="Times New Roman" w:hAnsi="Times New Roman" w:cs="Times New Roman"/>
          <w:color w:val="000000" w:themeColor="text1"/>
          <w:sz w:val="20"/>
          <w:szCs w:val="20"/>
        </w:rPr>
        <w:t xml:space="preserve">After </w:t>
      </w:r>
      <w:proofErr w:type="spellStart"/>
      <w:r w:rsidRPr="007763B1">
        <w:rPr>
          <w:rFonts w:ascii="Times New Roman" w:hAnsi="Times New Roman" w:cs="Times New Roman"/>
          <w:color w:val="000000" w:themeColor="text1"/>
          <w:sz w:val="20"/>
          <w:szCs w:val="20"/>
        </w:rPr>
        <w:t>analysing</w:t>
      </w:r>
      <w:proofErr w:type="spellEnd"/>
      <w:r w:rsidRPr="007763B1">
        <w:rPr>
          <w:rFonts w:ascii="Times New Roman" w:hAnsi="Times New Roman" w:cs="Times New Roman"/>
          <w:color w:val="000000" w:themeColor="text1"/>
          <w:sz w:val="20"/>
          <w:szCs w:val="20"/>
        </w:rPr>
        <w:t xml:space="preserve"> the facts, the </w:t>
      </w:r>
      <w:proofErr w:type="spellStart"/>
      <w:proofErr w:type="gramStart"/>
      <w:r w:rsidRPr="007763B1">
        <w:rPr>
          <w:rFonts w:ascii="Times New Roman" w:hAnsi="Times New Roman" w:cs="Times New Roman"/>
          <w:color w:val="000000" w:themeColor="text1"/>
          <w:sz w:val="20"/>
          <w:szCs w:val="20"/>
        </w:rPr>
        <w:t>Cr.PC</w:t>
      </w:r>
      <w:proofErr w:type="spellEnd"/>
      <w:proofErr w:type="gramEnd"/>
      <w:r w:rsidRPr="007763B1">
        <w:rPr>
          <w:rFonts w:ascii="Times New Roman" w:hAnsi="Times New Roman" w:cs="Times New Roman"/>
          <w:color w:val="000000" w:themeColor="text1"/>
          <w:sz w:val="20"/>
          <w:szCs w:val="20"/>
        </w:rPr>
        <w:t xml:space="preserve"> (Amendment) Act, 2005 followed by the Gazette of India Notification dated 21st June, 2006, the </w:t>
      </w:r>
      <w:proofErr w:type="spellStart"/>
      <w:r w:rsidRPr="007763B1">
        <w:rPr>
          <w:rFonts w:ascii="Times New Roman" w:hAnsi="Times New Roman" w:cs="Times New Roman"/>
          <w:color w:val="000000" w:themeColor="text1"/>
          <w:sz w:val="20"/>
          <w:szCs w:val="20"/>
        </w:rPr>
        <w:t>Cr.PC</w:t>
      </w:r>
      <w:proofErr w:type="spellEnd"/>
      <w:r w:rsidRPr="007763B1">
        <w:rPr>
          <w:rFonts w:ascii="Times New Roman" w:hAnsi="Times New Roman" w:cs="Times New Roman"/>
          <w:color w:val="000000" w:themeColor="text1"/>
          <w:sz w:val="20"/>
          <w:szCs w:val="20"/>
        </w:rPr>
        <w:t xml:space="preserve"> (Amendment) Act, 2008 followed by the Gazette of India Notification dated 31st Dec., 2009  and the judicial pronouncements, it would be clear that, at present, the offence punishable under Section 324 of IPC is bailable and compoundable.</w:t>
      </w:r>
    </w:p>
    <w:p w14:paraId="4E2A7AF6" w14:textId="77777777" w:rsidR="007763B1" w:rsidRPr="007763B1" w:rsidRDefault="007763B1" w:rsidP="007763B1">
      <w:pPr>
        <w:snapToGrid w:val="0"/>
        <w:spacing w:before="120" w:after="120" w:line="240" w:lineRule="auto"/>
        <w:jc w:val="both"/>
        <w:rPr>
          <w:rFonts w:ascii="Times New Roman" w:hAnsi="Times New Roman" w:cs="Times New Roman"/>
          <w:b/>
          <w:bCs/>
          <w:color w:val="000000" w:themeColor="text1"/>
          <w:sz w:val="20"/>
          <w:szCs w:val="20"/>
          <w:lang w:val="de-DE" w:eastAsia="zh-CN"/>
        </w:rPr>
      </w:pPr>
      <w:r w:rsidRPr="007763B1">
        <w:rPr>
          <w:rFonts w:ascii="Times New Roman" w:hAnsi="Times New Roman" w:cs="Times New Roman"/>
          <w:b/>
          <w:bCs/>
          <w:color w:val="000000" w:themeColor="text1"/>
          <w:sz w:val="20"/>
          <w:szCs w:val="20"/>
          <w:lang w:val="de-DE" w:eastAsia="zh-CN"/>
        </w:rPr>
        <w:t>References</w:t>
      </w:r>
    </w:p>
    <w:p w14:paraId="36A7849C" w14:textId="77777777" w:rsidR="007763B1" w:rsidRDefault="007763B1" w:rsidP="007763B1">
      <w:pPr>
        <w:pStyle w:val="ListParagraph"/>
        <w:numPr>
          <w:ilvl w:val="0"/>
          <w:numId w:val="4"/>
        </w:numPr>
        <w:snapToGrid w:val="0"/>
        <w:spacing w:before="120" w:after="120" w:line="240" w:lineRule="auto"/>
        <w:ind w:left="426" w:hanging="426"/>
        <w:jc w:val="both"/>
        <w:rPr>
          <w:rFonts w:ascii="Times New Roman" w:hAnsi="Times New Roman" w:cs="Times New Roman"/>
          <w:color w:val="000000" w:themeColor="text1"/>
          <w:sz w:val="20"/>
          <w:szCs w:val="20"/>
          <w:lang w:val="de-DE" w:eastAsia="zh-CN"/>
        </w:rPr>
      </w:pPr>
      <w:r w:rsidRPr="007763B1">
        <w:rPr>
          <w:rFonts w:ascii="Times New Roman" w:hAnsi="Times New Roman" w:cs="Times New Roman"/>
          <w:color w:val="000000" w:themeColor="text1"/>
          <w:sz w:val="20"/>
          <w:szCs w:val="20"/>
          <w:lang w:val="de-DE" w:eastAsia="zh-CN"/>
        </w:rPr>
        <w:t>Indian Penal Code, 1860</w:t>
      </w:r>
    </w:p>
    <w:p w14:paraId="74E181D4" w14:textId="628FE870" w:rsidR="007763B1" w:rsidRDefault="007763B1" w:rsidP="007763B1">
      <w:pPr>
        <w:pStyle w:val="ListParagraph"/>
        <w:numPr>
          <w:ilvl w:val="0"/>
          <w:numId w:val="4"/>
        </w:numPr>
        <w:snapToGrid w:val="0"/>
        <w:spacing w:before="120" w:after="120" w:line="240" w:lineRule="auto"/>
        <w:ind w:left="426" w:hanging="426"/>
        <w:jc w:val="both"/>
        <w:rPr>
          <w:rFonts w:ascii="Times New Roman" w:hAnsi="Times New Roman" w:cs="Times New Roman"/>
          <w:color w:val="000000" w:themeColor="text1"/>
          <w:sz w:val="20"/>
          <w:szCs w:val="20"/>
          <w:lang w:val="de-DE" w:eastAsia="zh-CN"/>
        </w:rPr>
      </w:pPr>
      <w:r w:rsidRPr="007763B1">
        <w:rPr>
          <w:rFonts w:ascii="Times New Roman" w:hAnsi="Times New Roman" w:cs="Times New Roman"/>
          <w:color w:val="000000" w:themeColor="text1"/>
          <w:sz w:val="20"/>
          <w:szCs w:val="20"/>
          <w:lang w:val="de-DE" w:eastAsia="zh-CN"/>
        </w:rPr>
        <w:t>Code of Criminal Procedure, 1973</w:t>
      </w:r>
    </w:p>
    <w:p w14:paraId="13F9B16F" w14:textId="77777777" w:rsidR="00B65010" w:rsidRDefault="00B65010" w:rsidP="00B65010">
      <w:pPr>
        <w:pStyle w:val="ListParagraph"/>
        <w:numPr>
          <w:ilvl w:val="0"/>
          <w:numId w:val="4"/>
        </w:numPr>
        <w:snapToGrid w:val="0"/>
        <w:spacing w:before="120" w:after="120" w:line="240" w:lineRule="auto"/>
        <w:ind w:left="426" w:hanging="426"/>
        <w:jc w:val="both"/>
        <w:rPr>
          <w:rFonts w:ascii="Times New Roman" w:hAnsi="Times New Roman" w:cs="Times New Roman"/>
          <w:color w:val="000000" w:themeColor="text1"/>
          <w:sz w:val="20"/>
          <w:szCs w:val="20"/>
          <w:lang w:val="de-DE" w:eastAsia="zh-CN"/>
        </w:rPr>
      </w:pPr>
      <w:r w:rsidRPr="007763B1">
        <w:rPr>
          <w:rFonts w:ascii="Times New Roman" w:hAnsi="Times New Roman" w:cs="Times New Roman"/>
          <w:color w:val="000000" w:themeColor="text1"/>
          <w:sz w:val="20"/>
          <w:szCs w:val="20"/>
          <w:lang w:val="de-DE" w:eastAsia="zh-CN"/>
        </w:rPr>
        <w:t>Code of Criminal Procedure (Amendment) Act, 2005 (Act no. 25 of 2005)</w:t>
      </w:r>
    </w:p>
    <w:p w14:paraId="6D18AC2A" w14:textId="77777777" w:rsidR="00B65010" w:rsidRDefault="00B65010" w:rsidP="00B65010">
      <w:pPr>
        <w:pStyle w:val="ListParagraph"/>
        <w:numPr>
          <w:ilvl w:val="0"/>
          <w:numId w:val="4"/>
        </w:numPr>
        <w:snapToGrid w:val="0"/>
        <w:spacing w:before="120" w:after="120" w:line="240" w:lineRule="auto"/>
        <w:ind w:left="426" w:hanging="426"/>
        <w:jc w:val="both"/>
        <w:rPr>
          <w:rFonts w:ascii="Times New Roman" w:hAnsi="Times New Roman" w:cs="Times New Roman"/>
          <w:color w:val="000000" w:themeColor="text1"/>
          <w:sz w:val="20"/>
          <w:szCs w:val="20"/>
          <w:lang w:val="de-DE" w:eastAsia="zh-CN"/>
        </w:rPr>
      </w:pPr>
      <w:r w:rsidRPr="007763B1">
        <w:rPr>
          <w:rFonts w:ascii="Times New Roman" w:hAnsi="Times New Roman" w:cs="Times New Roman"/>
          <w:color w:val="000000" w:themeColor="text1"/>
          <w:sz w:val="20"/>
          <w:szCs w:val="20"/>
          <w:lang w:val="de-DE" w:eastAsia="zh-CN"/>
        </w:rPr>
        <w:t xml:space="preserve">Hirabhai Jhaverbhai v. State of Gujarat, AIR 2010 SC 2321 </w:t>
      </w:r>
    </w:p>
    <w:p w14:paraId="45D4E8F4" w14:textId="77777777" w:rsidR="00B65010" w:rsidRDefault="00B65010" w:rsidP="00B65010">
      <w:pPr>
        <w:pStyle w:val="ListParagraph"/>
        <w:snapToGrid w:val="0"/>
        <w:spacing w:before="120" w:after="120" w:line="240" w:lineRule="auto"/>
        <w:ind w:left="426"/>
        <w:jc w:val="both"/>
        <w:rPr>
          <w:rFonts w:ascii="Times New Roman" w:hAnsi="Times New Roman" w:cs="Times New Roman"/>
          <w:color w:val="000000" w:themeColor="text1"/>
          <w:sz w:val="20"/>
          <w:szCs w:val="20"/>
          <w:lang w:val="de-DE" w:eastAsia="zh-CN"/>
        </w:rPr>
      </w:pPr>
    </w:p>
    <w:p w14:paraId="669D5377" w14:textId="77777777" w:rsidR="00A95B03" w:rsidRDefault="00A95B03" w:rsidP="00A95B03">
      <w:pPr>
        <w:pStyle w:val="ListParagraph"/>
        <w:snapToGrid w:val="0"/>
        <w:spacing w:before="120" w:after="120" w:line="240" w:lineRule="auto"/>
        <w:ind w:left="426"/>
        <w:jc w:val="both"/>
        <w:rPr>
          <w:rFonts w:ascii="Times New Roman" w:hAnsi="Times New Roman" w:cs="Times New Roman"/>
          <w:color w:val="000000" w:themeColor="text1"/>
          <w:sz w:val="20"/>
          <w:szCs w:val="20"/>
          <w:lang w:val="de-DE" w:eastAsia="zh-CN"/>
        </w:rPr>
      </w:pPr>
    </w:p>
    <w:p w14:paraId="648819E6" w14:textId="54567587" w:rsidR="001F58DA" w:rsidRDefault="001F58DA" w:rsidP="001F58DA">
      <w:pPr>
        <w:pStyle w:val="ListParagraph"/>
        <w:snapToGrid w:val="0"/>
        <w:spacing w:before="120" w:after="120" w:line="240" w:lineRule="auto"/>
        <w:ind w:left="426"/>
        <w:jc w:val="both"/>
        <w:rPr>
          <w:rFonts w:ascii="Times New Roman" w:hAnsi="Times New Roman" w:cs="Times New Roman"/>
          <w:color w:val="000000" w:themeColor="text1"/>
          <w:sz w:val="20"/>
          <w:szCs w:val="20"/>
          <w:lang w:val="de-DE" w:eastAsia="zh-CN"/>
        </w:rPr>
      </w:pPr>
    </w:p>
    <w:p w14:paraId="0BFCB62E" w14:textId="77777777" w:rsidR="00A95B03" w:rsidRPr="001E7730" w:rsidRDefault="00A95B03" w:rsidP="00A95B03">
      <w:pPr>
        <w:snapToGrid w:val="0"/>
        <w:spacing w:after="0" w:line="240" w:lineRule="auto"/>
        <w:ind w:right="600"/>
        <w:rPr>
          <w:rFonts w:ascii="Times New Roman" w:hAnsi="Times New Roman" w:cs="Times New Roman"/>
          <w:color w:val="000000" w:themeColor="text1"/>
          <w:sz w:val="20"/>
          <w:szCs w:val="20"/>
          <w:lang w:eastAsia="zh-CN"/>
        </w:rPr>
      </w:pPr>
      <w:r w:rsidRPr="001E7730">
        <w:rPr>
          <w:rFonts w:ascii="Times New Roman" w:hAnsi="Times New Roman" w:cs="Times New Roman"/>
          <w:color w:val="000000" w:themeColor="text1"/>
          <w:sz w:val="20"/>
          <w:szCs w:val="20"/>
          <w:lang w:val="de-DE" w:eastAsia="zh-CN"/>
        </w:rPr>
        <w:t>12/12/2021</w:t>
      </w:r>
    </w:p>
    <w:p w14:paraId="13E7A83E" w14:textId="392E1117" w:rsidR="001F58DA" w:rsidRDefault="001F58DA" w:rsidP="001F58DA">
      <w:pPr>
        <w:pStyle w:val="ListParagraph"/>
        <w:snapToGrid w:val="0"/>
        <w:spacing w:before="120" w:after="120" w:line="240" w:lineRule="auto"/>
        <w:ind w:left="426"/>
        <w:jc w:val="both"/>
        <w:rPr>
          <w:rFonts w:ascii="Times New Roman" w:hAnsi="Times New Roman" w:cs="Times New Roman"/>
          <w:color w:val="000000" w:themeColor="text1"/>
          <w:sz w:val="20"/>
          <w:szCs w:val="20"/>
          <w:lang w:val="de-DE" w:eastAsia="zh-CN"/>
        </w:rPr>
      </w:pPr>
    </w:p>
    <w:p w14:paraId="37526C88" w14:textId="701A7AB0" w:rsidR="001F58DA" w:rsidRDefault="001F58DA" w:rsidP="001F58DA">
      <w:pPr>
        <w:pStyle w:val="ListParagraph"/>
        <w:snapToGrid w:val="0"/>
        <w:spacing w:before="120" w:after="120" w:line="240" w:lineRule="auto"/>
        <w:ind w:left="426"/>
        <w:jc w:val="both"/>
        <w:rPr>
          <w:rFonts w:ascii="Times New Roman" w:hAnsi="Times New Roman" w:cs="Times New Roman"/>
          <w:color w:val="000000" w:themeColor="text1"/>
          <w:sz w:val="20"/>
          <w:szCs w:val="20"/>
          <w:lang w:val="de-DE" w:eastAsia="zh-CN"/>
        </w:rPr>
      </w:pPr>
    </w:p>
    <w:p w14:paraId="42E1B79C" w14:textId="684DB74F" w:rsidR="001F58DA" w:rsidRDefault="001F58DA" w:rsidP="001F58DA">
      <w:pPr>
        <w:pStyle w:val="ListParagraph"/>
        <w:snapToGrid w:val="0"/>
        <w:spacing w:before="120" w:after="120" w:line="240" w:lineRule="auto"/>
        <w:ind w:left="426"/>
        <w:jc w:val="both"/>
        <w:rPr>
          <w:rFonts w:ascii="Times New Roman" w:hAnsi="Times New Roman" w:cs="Times New Roman"/>
          <w:color w:val="000000" w:themeColor="text1"/>
          <w:sz w:val="20"/>
          <w:szCs w:val="20"/>
          <w:lang w:val="de-DE" w:eastAsia="zh-CN"/>
        </w:rPr>
      </w:pPr>
    </w:p>
    <w:p w14:paraId="087E3129" w14:textId="6C30B51A" w:rsidR="001F58DA" w:rsidRDefault="001F58DA" w:rsidP="001F58DA">
      <w:pPr>
        <w:pStyle w:val="ListParagraph"/>
        <w:snapToGrid w:val="0"/>
        <w:spacing w:before="120" w:after="120" w:line="240" w:lineRule="auto"/>
        <w:ind w:left="426"/>
        <w:jc w:val="both"/>
        <w:rPr>
          <w:rFonts w:ascii="Times New Roman" w:hAnsi="Times New Roman" w:cs="Times New Roman"/>
          <w:color w:val="000000" w:themeColor="text1"/>
          <w:sz w:val="20"/>
          <w:szCs w:val="20"/>
          <w:lang w:val="de-DE" w:eastAsia="zh-CN"/>
        </w:rPr>
      </w:pPr>
    </w:p>
    <w:p w14:paraId="23A0A407" w14:textId="64C16480" w:rsidR="001F58DA" w:rsidRDefault="001F58DA" w:rsidP="001F58DA">
      <w:pPr>
        <w:pStyle w:val="ListParagraph"/>
        <w:snapToGrid w:val="0"/>
        <w:spacing w:before="120" w:after="120" w:line="240" w:lineRule="auto"/>
        <w:ind w:left="426"/>
        <w:jc w:val="both"/>
        <w:rPr>
          <w:rFonts w:ascii="Times New Roman" w:hAnsi="Times New Roman" w:cs="Times New Roman"/>
          <w:color w:val="000000" w:themeColor="text1"/>
          <w:sz w:val="20"/>
          <w:szCs w:val="20"/>
          <w:lang w:val="de-DE" w:eastAsia="zh-CN"/>
        </w:rPr>
      </w:pPr>
    </w:p>
    <w:p w14:paraId="6A397909" w14:textId="39E535BF" w:rsidR="001F58DA" w:rsidRDefault="001F58DA" w:rsidP="001F58DA">
      <w:pPr>
        <w:pStyle w:val="ListParagraph"/>
        <w:snapToGrid w:val="0"/>
        <w:spacing w:before="120" w:after="120" w:line="240" w:lineRule="auto"/>
        <w:ind w:left="426"/>
        <w:jc w:val="both"/>
        <w:rPr>
          <w:rFonts w:ascii="Times New Roman" w:hAnsi="Times New Roman" w:cs="Times New Roman"/>
          <w:color w:val="000000" w:themeColor="text1"/>
          <w:sz w:val="20"/>
          <w:szCs w:val="20"/>
          <w:lang w:val="de-DE" w:eastAsia="zh-CN"/>
        </w:rPr>
      </w:pPr>
    </w:p>
    <w:p w14:paraId="294BB44F" w14:textId="5850FEF5" w:rsidR="001F58DA" w:rsidRDefault="001F58DA" w:rsidP="001F58DA">
      <w:pPr>
        <w:pStyle w:val="ListParagraph"/>
        <w:snapToGrid w:val="0"/>
        <w:spacing w:before="120" w:after="120" w:line="240" w:lineRule="auto"/>
        <w:ind w:left="426"/>
        <w:jc w:val="both"/>
        <w:rPr>
          <w:rFonts w:ascii="Times New Roman" w:hAnsi="Times New Roman" w:cs="Times New Roman"/>
          <w:color w:val="000000" w:themeColor="text1"/>
          <w:sz w:val="20"/>
          <w:szCs w:val="20"/>
          <w:lang w:val="de-DE" w:eastAsia="zh-CN"/>
        </w:rPr>
      </w:pPr>
    </w:p>
    <w:p w14:paraId="3651E90D" w14:textId="7F666EB6" w:rsidR="001F58DA" w:rsidRDefault="001F58DA" w:rsidP="001F58DA">
      <w:pPr>
        <w:pStyle w:val="ListParagraph"/>
        <w:snapToGrid w:val="0"/>
        <w:spacing w:before="120" w:after="120" w:line="240" w:lineRule="auto"/>
        <w:ind w:left="426"/>
        <w:jc w:val="both"/>
        <w:rPr>
          <w:rFonts w:ascii="Times New Roman" w:hAnsi="Times New Roman" w:cs="Times New Roman"/>
          <w:color w:val="000000" w:themeColor="text1"/>
          <w:sz w:val="20"/>
          <w:szCs w:val="20"/>
          <w:lang w:val="de-DE" w:eastAsia="zh-CN"/>
        </w:rPr>
      </w:pPr>
    </w:p>
    <w:p w14:paraId="17B237E7" w14:textId="2B174F18" w:rsidR="001F58DA" w:rsidRDefault="001F58DA" w:rsidP="001F58DA">
      <w:pPr>
        <w:pStyle w:val="ListParagraph"/>
        <w:snapToGrid w:val="0"/>
        <w:spacing w:before="120" w:after="120" w:line="240" w:lineRule="auto"/>
        <w:ind w:left="426"/>
        <w:jc w:val="both"/>
        <w:rPr>
          <w:rFonts w:ascii="Times New Roman" w:hAnsi="Times New Roman" w:cs="Times New Roman"/>
          <w:color w:val="000000" w:themeColor="text1"/>
          <w:sz w:val="20"/>
          <w:szCs w:val="20"/>
          <w:lang w:val="de-DE" w:eastAsia="zh-CN"/>
        </w:rPr>
      </w:pPr>
    </w:p>
    <w:p w14:paraId="38420BB5" w14:textId="58C7FD3D" w:rsidR="001F58DA" w:rsidRDefault="001F58DA" w:rsidP="001F58DA">
      <w:pPr>
        <w:pStyle w:val="ListParagraph"/>
        <w:snapToGrid w:val="0"/>
        <w:spacing w:before="120" w:after="120" w:line="240" w:lineRule="auto"/>
        <w:ind w:left="426"/>
        <w:jc w:val="both"/>
        <w:rPr>
          <w:rFonts w:ascii="Times New Roman" w:hAnsi="Times New Roman" w:cs="Times New Roman"/>
          <w:color w:val="000000" w:themeColor="text1"/>
          <w:sz w:val="20"/>
          <w:szCs w:val="20"/>
          <w:lang w:val="de-DE" w:eastAsia="zh-CN"/>
        </w:rPr>
      </w:pPr>
    </w:p>
    <w:p w14:paraId="0B4AE8E0" w14:textId="53D49970" w:rsidR="001F58DA" w:rsidRDefault="001F58DA" w:rsidP="001F58DA">
      <w:pPr>
        <w:pStyle w:val="ListParagraph"/>
        <w:snapToGrid w:val="0"/>
        <w:spacing w:before="120" w:after="120" w:line="240" w:lineRule="auto"/>
        <w:ind w:left="426"/>
        <w:jc w:val="both"/>
        <w:rPr>
          <w:rFonts w:ascii="Times New Roman" w:hAnsi="Times New Roman" w:cs="Times New Roman"/>
          <w:color w:val="000000" w:themeColor="text1"/>
          <w:sz w:val="20"/>
          <w:szCs w:val="20"/>
          <w:lang w:val="de-DE" w:eastAsia="zh-CN"/>
        </w:rPr>
      </w:pPr>
    </w:p>
    <w:p w14:paraId="1E0F4325" w14:textId="4A8F93AB" w:rsidR="001F58DA" w:rsidRDefault="001F58DA" w:rsidP="001F58DA">
      <w:pPr>
        <w:pStyle w:val="ListParagraph"/>
        <w:snapToGrid w:val="0"/>
        <w:spacing w:before="120" w:after="120" w:line="240" w:lineRule="auto"/>
        <w:ind w:left="426"/>
        <w:jc w:val="both"/>
        <w:rPr>
          <w:rFonts w:ascii="Times New Roman" w:hAnsi="Times New Roman" w:cs="Times New Roman"/>
          <w:color w:val="000000" w:themeColor="text1"/>
          <w:sz w:val="20"/>
          <w:szCs w:val="20"/>
          <w:lang w:val="de-DE" w:eastAsia="zh-CN"/>
        </w:rPr>
      </w:pPr>
    </w:p>
    <w:p w14:paraId="0120EDED" w14:textId="675458AA" w:rsidR="001F58DA" w:rsidRDefault="001F58DA" w:rsidP="001F58DA">
      <w:pPr>
        <w:pStyle w:val="ListParagraph"/>
        <w:snapToGrid w:val="0"/>
        <w:spacing w:before="120" w:after="120" w:line="240" w:lineRule="auto"/>
        <w:ind w:left="426"/>
        <w:jc w:val="both"/>
        <w:rPr>
          <w:rFonts w:ascii="Times New Roman" w:hAnsi="Times New Roman" w:cs="Times New Roman"/>
          <w:color w:val="000000" w:themeColor="text1"/>
          <w:sz w:val="20"/>
          <w:szCs w:val="20"/>
          <w:lang w:val="de-DE" w:eastAsia="zh-CN"/>
        </w:rPr>
      </w:pPr>
    </w:p>
    <w:p w14:paraId="29DA5B1C" w14:textId="38E60EF3" w:rsidR="001F58DA" w:rsidRDefault="001F58DA" w:rsidP="001F58DA">
      <w:pPr>
        <w:pStyle w:val="ListParagraph"/>
        <w:snapToGrid w:val="0"/>
        <w:spacing w:before="120" w:after="120" w:line="240" w:lineRule="auto"/>
        <w:ind w:left="426"/>
        <w:jc w:val="both"/>
        <w:rPr>
          <w:rFonts w:ascii="Times New Roman" w:hAnsi="Times New Roman" w:cs="Times New Roman"/>
          <w:color w:val="000000" w:themeColor="text1"/>
          <w:sz w:val="20"/>
          <w:szCs w:val="20"/>
          <w:lang w:val="de-DE" w:eastAsia="zh-CN"/>
        </w:rPr>
      </w:pPr>
    </w:p>
    <w:p w14:paraId="6CD84895" w14:textId="406560D5" w:rsidR="001F58DA" w:rsidRDefault="001F58DA" w:rsidP="001F58DA">
      <w:pPr>
        <w:pStyle w:val="ListParagraph"/>
        <w:snapToGrid w:val="0"/>
        <w:spacing w:before="120" w:after="120" w:line="240" w:lineRule="auto"/>
        <w:ind w:left="426"/>
        <w:jc w:val="both"/>
        <w:rPr>
          <w:rFonts w:ascii="Times New Roman" w:hAnsi="Times New Roman" w:cs="Times New Roman"/>
          <w:color w:val="000000" w:themeColor="text1"/>
          <w:sz w:val="20"/>
          <w:szCs w:val="20"/>
          <w:lang w:val="de-DE" w:eastAsia="zh-CN"/>
        </w:rPr>
      </w:pPr>
    </w:p>
    <w:p w14:paraId="0C40AA04" w14:textId="27C71EBE" w:rsidR="001F58DA" w:rsidRDefault="001F58DA" w:rsidP="001F58DA">
      <w:pPr>
        <w:pStyle w:val="ListParagraph"/>
        <w:snapToGrid w:val="0"/>
        <w:spacing w:before="120" w:after="120" w:line="240" w:lineRule="auto"/>
        <w:ind w:left="426"/>
        <w:jc w:val="both"/>
        <w:rPr>
          <w:rFonts w:ascii="Times New Roman" w:hAnsi="Times New Roman" w:cs="Times New Roman"/>
          <w:color w:val="000000" w:themeColor="text1"/>
          <w:sz w:val="20"/>
          <w:szCs w:val="20"/>
          <w:lang w:val="de-DE" w:eastAsia="zh-CN"/>
        </w:rPr>
      </w:pPr>
    </w:p>
    <w:p w14:paraId="1CF316D9" w14:textId="34C042AC" w:rsidR="001F58DA" w:rsidRDefault="001F58DA" w:rsidP="001F58DA">
      <w:pPr>
        <w:pStyle w:val="ListParagraph"/>
        <w:snapToGrid w:val="0"/>
        <w:spacing w:before="120" w:after="120" w:line="240" w:lineRule="auto"/>
        <w:ind w:left="426"/>
        <w:jc w:val="both"/>
        <w:rPr>
          <w:rFonts w:ascii="Times New Roman" w:hAnsi="Times New Roman" w:cs="Times New Roman"/>
          <w:color w:val="000000" w:themeColor="text1"/>
          <w:sz w:val="20"/>
          <w:szCs w:val="20"/>
          <w:lang w:val="de-DE" w:eastAsia="zh-CN"/>
        </w:rPr>
      </w:pPr>
    </w:p>
    <w:p w14:paraId="4ECA9108" w14:textId="4C2AC3DC" w:rsidR="001F58DA" w:rsidRDefault="001F58DA" w:rsidP="001F58DA">
      <w:pPr>
        <w:pStyle w:val="ListParagraph"/>
        <w:snapToGrid w:val="0"/>
        <w:spacing w:before="120" w:after="120" w:line="240" w:lineRule="auto"/>
        <w:ind w:left="426"/>
        <w:jc w:val="both"/>
        <w:rPr>
          <w:rFonts w:ascii="Times New Roman" w:hAnsi="Times New Roman" w:cs="Times New Roman"/>
          <w:color w:val="000000" w:themeColor="text1"/>
          <w:sz w:val="20"/>
          <w:szCs w:val="20"/>
          <w:lang w:val="de-DE" w:eastAsia="zh-CN"/>
        </w:rPr>
      </w:pPr>
    </w:p>
    <w:p w14:paraId="1FA8B49A" w14:textId="26253E15" w:rsidR="001F58DA" w:rsidRDefault="001F58DA" w:rsidP="001F58DA">
      <w:pPr>
        <w:pStyle w:val="ListParagraph"/>
        <w:snapToGrid w:val="0"/>
        <w:spacing w:before="120" w:after="120" w:line="240" w:lineRule="auto"/>
        <w:ind w:left="426"/>
        <w:jc w:val="both"/>
        <w:rPr>
          <w:rFonts w:ascii="Times New Roman" w:hAnsi="Times New Roman" w:cs="Times New Roman"/>
          <w:color w:val="000000" w:themeColor="text1"/>
          <w:sz w:val="20"/>
          <w:szCs w:val="20"/>
          <w:lang w:val="de-DE" w:eastAsia="zh-CN"/>
        </w:rPr>
      </w:pPr>
    </w:p>
    <w:p w14:paraId="7DCB5FB3" w14:textId="7E235F71" w:rsidR="001F58DA" w:rsidRDefault="001F58DA" w:rsidP="001F58DA">
      <w:pPr>
        <w:pStyle w:val="ListParagraph"/>
        <w:snapToGrid w:val="0"/>
        <w:spacing w:before="120" w:after="120" w:line="240" w:lineRule="auto"/>
        <w:ind w:left="426"/>
        <w:jc w:val="both"/>
        <w:rPr>
          <w:rFonts w:ascii="Times New Roman" w:hAnsi="Times New Roman" w:cs="Times New Roman"/>
          <w:color w:val="000000" w:themeColor="text1"/>
          <w:sz w:val="20"/>
          <w:szCs w:val="20"/>
          <w:lang w:val="de-DE" w:eastAsia="zh-CN"/>
        </w:rPr>
      </w:pPr>
    </w:p>
    <w:p w14:paraId="558B0202" w14:textId="1E328ED9" w:rsidR="001F58DA" w:rsidRDefault="001F58DA" w:rsidP="009A2DF4">
      <w:pPr>
        <w:snapToGrid w:val="0"/>
        <w:spacing w:before="120" w:after="120" w:line="240" w:lineRule="auto"/>
        <w:jc w:val="both"/>
        <w:rPr>
          <w:rFonts w:ascii="Times New Roman" w:hAnsi="Times New Roman" w:cs="Times New Roman"/>
          <w:color w:val="000000" w:themeColor="text1"/>
          <w:sz w:val="20"/>
          <w:szCs w:val="20"/>
          <w:lang w:val="de-DE" w:eastAsia="zh-CN"/>
        </w:rPr>
      </w:pPr>
    </w:p>
    <w:p w14:paraId="149ED248" w14:textId="2BF5D785" w:rsidR="009A2DF4" w:rsidRDefault="009A2DF4" w:rsidP="009A2DF4">
      <w:pPr>
        <w:snapToGrid w:val="0"/>
        <w:spacing w:before="120" w:after="120" w:line="240" w:lineRule="auto"/>
        <w:jc w:val="both"/>
        <w:rPr>
          <w:rFonts w:ascii="Times New Roman" w:hAnsi="Times New Roman" w:cs="Times New Roman"/>
          <w:color w:val="000000" w:themeColor="text1"/>
          <w:sz w:val="20"/>
          <w:szCs w:val="20"/>
          <w:lang w:val="de-DE" w:eastAsia="zh-CN"/>
        </w:rPr>
      </w:pPr>
    </w:p>
    <w:p w14:paraId="1159C81C" w14:textId="3C5E95E4" w:rsidR="009A2DF4" w:rsidRDefault="009A2DF4" w:rsidP="009A2DF4">
      <w:pPr>
        <w:snapToGrid w:val="0"/>
        <w:spacing w:before="120" w:after="120" w:line="240" w:lineRule="auto"/>
        <w:jc w:val="both"/>
        <w:rPr>
          <w:rFonts w:ascii="Times New Roman" w:hAnsi="Times New Roman" w:cs="Times New Roman"/>
          <w:color w:val="000000" w:themeColor="text1"/>
          <w:sz w:val="20"/>
          <w:szCs w:val="20"/>
          <w:lang w:val="de-DE" w:eastAsia="zh-CN"/>
        </w:rPr>
      </w:pPr>
    </w:p>
    <w:p w14:paraId="13A91CC1" w14:textId="59C0D22E" w:rsidR="009A2DF4" w:rsidRDefault="009A2DF4" w:rsidP="009A2DF4">
      <w:pPr>
        <w:snapToGrid w:val="0"/>
        <w:spacing w:before="120" w:after="120" w:line="240" w:lineRule="auto"/>
        <w:jc w:val="both"/>
        <w:rPr>
          <w:rFonts w:ascii="Times New Roman" w:hAnsi="Times New Roman" w:cs="Times New Roman"/>
          <w:color w:val="000000" w:themeColor="text1"/>
          <w:sz w:val="20"/>
          <w:szCs w:val="20"/>
          <w:lang w:val="de-DE" w:eastAsia="zh-CN"/>
        </w:rPr>
      </w:pPr>
    </w:p>
    <w:p w14:paraId="554C2625" w14:textId="0E2D2F7F" w:rsidR="009A2DF4" w:rsidRDefault="009A2DF4" w:rsidP="009A2DF4">
      <w:pPr>
        <w:snapToGrid w:val="0"/>
        <w:spacing w:before="120" w:after="120" w:line="240" w:lineRule="auto"/>
        <w:jc w:val="both"/>
        <w:rPr>
          <w:rFonts w:ascii="Times New Roman" w:hAnsi="Times New Roman" w:cs="Times New Roman"/>
          <w:color w:val="000000" w:themeColor="text1"/>
          <w:sz w:val="20"/>
          <w:szCs w:val="20"/>
          <w:lang w:val="de-DE" w:eastAsia="zh-CN"/>
        </w:rPr>
      </w:pPr>
    </w:p>
    <w:p w14:paraId="7683D3DB" w14:textId="3A6365A8" w:rsidR="00F677D2" w:rsidRDefault="00F677D2" w:rsidP="009A2DF4">
      <w:pPr>
        <w:snapToGrid w:val="0"/>
        <w:spacing w:before="120" w:after="120" w:line="240" w:lineRule="auto"/>
        <w:jc w:val="both"/>
        <w:rPr>
          <w:rFonts w:ascii="Times New Roman" w:hAnsi="Times New Roman" w:cs="Times New Roman"/>
          <w:color w:val="000000" w:themeColor="text1"/>
          <w:sz w:val="20"/>
          <w:szCs w:val="20"/>
          <w:lang w:val="de-DE" w:eastAsia="zh-CN"/>
        </w:rPr>
      </w:pPr>
    </w:p>
    <w:p w14:paraId="1E159AD3" w14:textId="77777777" w:rsidR="00B65010" w:rsidRDefault="00B65010" w:rsidP="00B65010">
      <w:pPr>
        <w:pStyle w:val="ListParagraph"/>
        <w:numPr>
          <w:ilvl w:val="0"/>
          <w:numId w:val="4"/>
        </w:numPr>
        <w:snapToGrid w:val="0"/>
        <w:spacing w:before="120" w:after="120" w:line="240" w:lineRule="auto"/>
        <w:ind w:left="426" w:hanging="426"/>
        <w:jc w:val="both"/>
        <w:rPr>
          <w:rFonts w:ascii="Times New Roman" w:hAnsi="Times New Roman" w:cs="Times New Roman"/>
          <w:color w:val="000000" w:themeColor="text1"/>
          <w:sz w:val="20"/>
          <w:szCs w:val="20"/>
          <w:lang w:val="de-DE" w:eastAsia="zh-CN"/>
        </w:rPr>
      </w:pPr>
      <w:r w:rsidRPr="00B65010">
        <w:rPr>
          <w:rFonts w:ascii="Times New Roman" w:hAnsi="Times New Roman" w:cs="Times New Roman"/>
          <w:color w:val="000000" w:themeColor="text1"/>
          <w:sz w:val="20"/>
          <w:szCs w:val="20"/>
          <w:lang w:val="de-DE" w:eastAsia="zh-CN"/>
        </w:rPr>
        <w:t>Gazette of India Notification dated 31st Dec., 2009</w:t>
      </w:r>
    </w:p>
    <w:p w14:paraId="37EA15C8" w14:textId="6DCC5B8F" w:rsidR="009A2DF4" w:rsidRPr="00B65010" w:rsidRDefault="009A2DF4" w:rsidP="009A2DF4">
      <w:pPr>
        <w:pStyle w:val="ListParagraph"/>
        <w:numPr>
          <w:ilvl w:val="0"/>
          <w:numId w:val="4"/>
        </w:numPr>
        <w:snapToGrid w:val="0"/>
        <w:spacing w:before="120" w:after="120" w:line="240" w:lineRule="auto"/>
        <w:ind w:left="426" w:hanging="426"/>
        <w:jc w:val="both"/>
        <w:rPr>
          <w:rFonts w:ascii="Times New Roman" w:hAnsi="Times New Roman" w:cs="Times New Roman"/>
          <w:color w:val="000000" w:themeColor="text1"/>
          <w:sz w:val="20"/>
          <w:szCs w:val="20"/>
          <w:lang w:val="de-DE" w:eastAsia="zh-CN"/>
        </w:rPr>
      </w:pPr>
      <w:r w:rsidRPr="00B65010">
        <w:rPr>
          <w:rFonts w:ascii="Times New Roman" w:hAnsi="Times New Roman" w:cs="Times New Roman"/>
          <w:color w:val="000000" w:themeColor="text1"/>
          <w:sz w:val="20"/>
          <w:szCs w:val="20"/>
          <w:lang w:val="de-DE" w:eastAsia="zh-CN"/>
        </w:rPr>
        <w:t>Code of Criminal Procedure (Amendment) Amending Act, 2006 (Act no. 25 of 2006)</w:t>
      </w:r>
    </w:p>
    <w:p w14:paraId="2A527E49" w14:textId="77777777" w:rsidR="009A2DF4" w:rsidRDefault="009A2DF4" w:rsidP="009A2DF4">
      <w:pPr>
        <w:pStyle w:val="ListParagraph"/>
        <w:numPr>
          <w:ilvl w:val="0"/>
          <w:numId w:val="4"/>
        </w:numPr>
        <w:snapToGrid w:val="0"/>
        <w:spacing w:before="120" w:after="120" w:line="240" w:lineRule="auto"/>
        <w:ind w:left="426" w:hanging="426"/>
        <w:jc w:val="both"/>
        <w:rPr>
          <w:rFonts w:ascii="Times New Roman" w:hAnsi="Times New Roman" w:cs="Times New Roman"/>
          <w:color w:val="000000" w:themeColor="text1"/>
          <w:sz w:val="20"/>
          <w:szCs w:val="20"/>
          <w:lang w:val="de-DE" w:eastAsia="zh-CN"/>
        </w:rPr>
      </w:pPr>
      <w:r w:rsidRPr="007763B1">
        <w:rPr>
          <w:rFonts w:ascii="Times New Roman" w:hAnsi="Times New Roman" w:cs="Times New Roman"/>
          <w:color w:val="000000" w:themeColor="text1"/>
          <w:sz w:val="20"/>
          <w:szCs w:val="20"/>
          <w:lang w:val="de-DE" w:eastAsia="zh-CN"/>
        </w:rPr>
        <w:t>Code of Criminal Procedure (Amendment) Act, 2008 (Act no. 5 of 2009)</w:t>
      </w:r>
    </w:p>
    <w:p w14:paraId="39C38E30" w14:textId="77777777" w:rsidR="009A2DF4" w:rsidRDefault="009A2DF4" w:rsidP="009A2DF4">
      <w:pPr>
        <w:pStyle w:val="ListParagraph"/>
        <w:numPr>
          <w:ilvl w:val="0"/>
          <w:numId w:val="4"/>
        </w:numPr>
        <w:snapToGrid w:val="0"/>
        <w:spacing w:before="120" w:after="120" w:line="240" w:lineRule="auto"/>
        <w:ind w:left="426" w:hanging="426"/>
        <w:jc w:val="both"/>
        <w:rPr>
          <w:rFonts w:ascii="Times New Roman" w:hAnsi="Times New Roman" w:cs="Times New Roman"/>
          <w:color w:val="000000" w:themeColor="text1"/>
          <w:sz w:val="20"/>
          <w:szCs w:val="20"/>
          <w:lang w:val="de-DE" w:eastAsia="zh-CN"/>
        </w:rPr>
      </w:pPr>
      <w:r w:rsidRPr="007763B1">
        <w:rPr>
          <w:rFonts w:ascii="Times New Roman" w:hAnsi="Times New Roman" w:cs="Times New Roman"/>
          <w:color w:val="000000" w:themeColor="text1"/>
          <w:sz w:val="20"/>
          <w:szCs w:val="20"/>
          <w:lang w:val="de-DE" w:eastAsia="zh-CN"/>
        </w:rPr>
        <w:t>Gazette of India Notification dated 21st June, 2006</w:t>
      </w:r>
    </w:p>
    <w:p w14:paraId="0C1A1F63" w14:textId="0DA47A90" w:rsidR="007763B1" w:rsidRDefault="007763B1" w:rsidP="007763B1">
      <w:pPr>
        <w:pStyle w:val="ListParagraph"/>
        <w:numPr>
          <w:ilvl w:val="0"/>
          <w:numId w:val="4"/>
        </w:numPr>
        <w:snapToGrid w:val="0"/>
        <w:spacing w:before="120" w:after="120" w:line="240" w:lineRule="auto"/>
        <w:ind w:left="426" w:hanging="426"/>
        <w:jc w:val="both"/>
        <w:rPr>
          <w:rFonts w:ascii="Times New Roman" w:hAnsi="Times New Roman" w:cs="Times New Roman"/>
          <w:color w:val="000000" w:themeColor="text1"/>
          <w:sz w:val="20"/>
          <w:szCs w:val="20"/>
          <w:lang w:val="de-DE" w:eastAsia="zh-CN"/>
        </w:rPr>
      </w:pPr>
      <w:r w:rsidRPr="007763B1">
        <w:rPr>
          <w:rFonts w:ascii="Times New Roman" w:hAnsi="Times New Roman" w:cs="Times New Roman"/>
          <w:color w:val="000000" w:themeColor="text1"/>
          <w:sz w:val="20"/>
          <w:szCs w:val="20"/>
          <w:lang w:val="de-DE" w:eastAsia="zh-CN"/>
        </w:rPr>
        <w:t>Md. Abdul Sufan Laskar v. State of Assam, (Cr. Appeal No. 1343 of 2008) decided on 25th Aug., 2008</w:t>
      </w:r>
    </w:p>
    <w:p w14:paraId="1E19C8C3" w14:textId="77777777" w:rsidR="007763B1" w:rsidRDefault="007763B1" w:rsidP="007763B1">
      <w:pPr>
        <w:pStyle w:val="ListParagraph"/>
        <w:numPr>
          <w:ilvl w:val="0"/>
          <w:numId w:val="4"/>
        </w:numPr>
        <w:snapToGrid w:val="0"/>
        <w:spacing w:before="120" w:after="120" w:line="240" w:lineRule="auto"/>
        <w:ind w:left="426" w:hanging="426"/>
        <w:jc w:val="both"/>
        <w:rPr>
          <w:rFonts w:ascii="Times New Roman" w:hAnsi="Times New Roman" w:cs="Times New Roman"/>
          <w:color w:val="000000" w:themeColor="text1"/>
          <w:sz w:val="20"/>
          <w:szCs w:val="20"/>
          <w:lang w:val="de-DE" w:eastAsia="zh-CN"/>
        </w:rPr>
      </w:pPr>
      <w:r w:rsidRPr="007763B1">
        <w:rPr>
          <w:rFonts w:ascii="Times New Roman" w:hAnsi="Times New Roman" w:cs="Times New Roman"/>
          <w:color w:val="000000" w:themeColor="text1"/>
          <w:sz w:val="20"/>
          <w:szCs w:val="20"/>
          <w:lang w:val="de-DE" w:eastAsia="zh-CN"/>
        </w:rPr>
        <w:t>Pravat Chandra Mohanty v. State of Odisha (Cr. Appeal no. 125 of 2021) decided on 11th Feb., 2021</w:t>
      </w:r>
    </w:p>
    <w:p w14:paraId="598AAD02" w14:textId="77777777" w:rsidR="007763B1" w:rsidRDefault="007763B1" w:rsidP="007763B1">
      <w:pPr>
        <w:pStyle w:val="ListParagraph"/>
        <w:numPr>
          <w:ilvl w:val="0"/>
          <w:numId w:val="4"/>
        </w:numPr>
        <w:snapToGrid w:val="0"/>
        <w:spacing w:before="120" w:after="120" w:line="240" w:lineRule="auto"/>
        <w:ind w:left="426" w:hanging="426"/>
        <w:jc w:val="both"/>
        <w:rPr>
          <w:rFonts w:ascii="Times New Roman" w:hAnsi="Times New Roman" w:cs="Times New Roman"/>
          <w:color w:val="000000" w:themeColor="text1"/>
          <w:sz w:val="20"/>
          <w:szCs w:val="20"/>
          <w:lang w:val="de-DE" w:eastAsia="zh-CN"/>
        </w:rPr>
      </w:pPr>
      <w:r w:rsidRPr="007763B1">
        <w:rPr>
          <w:rFonts w:ascii="Times New Roman" w:hAnsi="Times New Roman" w:cs="Times New Roman"/>
          <w:color w:val="000000" w:themeColor="text1"/>
          <w:sz w:val="20"/>
          <w:szCs w:val="20"/>
          <w:lang w:val="de-DE" w:eastAsia="zh-CN"/>
        </w:rPr>
        <w:t>Prabhat Das &amp; others v. State of Tripura &amp; others reported in 2013 Cr.L.J. 1712</w:t>
      </w:r>
    </w:p>
    <w:p w14:paraId="388759B7" w14:textId="77777777" w:rsidR="007763B1" w:rsidRDefault="007763B1" w:rsidP="007763B1">
      <w:pPr>
        <w:pStyle w:val="ListParagraph"/>
        <w:numPr>
          <w:ilvl w:val="0"/>
          <w:numId w:val="4"/>
        </w:numPr>
        <w:snapToGrid w:val="0"/>
        <w:spacing w:before="120" w:after="120" w:line="240" w:lineRule="auto"/>
        <w:ind w:left="426" w:hanging="426"/>
        <w:jc w:val="both"/>
        <w:rPr>
          <w:rFonts w:ascii="Times New Roman" w:hAnsi="Times New Roman" w:cs="Times New Roman"/>
          <w:color w:val="000000" w:themeColor="text1"/>
          <w:sz w:val="20"/>
          <w:szCs w:val="20"/>
          <w:lang w:val="de-DE" w:eastAsia="zh-CN"/>
        </w:rPr>
      </w:pPr>
      <w:r w:rsidRPr="007763B1">
        <w:rPr>
          <w:rFonts w:ascii="Times New Roman" w:hAnsi="Times New Roman" w:cs="Times New Roman"/>
          <w:color w:val="000000" w:themeColor="text1"/>
          <w:sz w:val="20"/>
          <w:szCs w:val="20"/>
          <w:lang w:val="de-DE" w:eastAsia="zh-CN"/>
        </w:rPr>
        <w:t>Bineesh &amp; another v. State of Kerala and another reported in 2012 Cr.L.J. 4128</w:t>
      </w:r>
    </w:p>
    <w:p w14:paraId="024C1CA8" w14:textId="77777777" w:rsidR="007763B1" w:rsidRDefault="007763B1" w:rsidP="007763B1">
      <w:pPr>
        <w:pStyle w:val="ListParagraph"/>
        <w:numPr>
          <w:ilvl w:val="0"/>
          <w:numId w:val="4"/>
        </w:numPr>
        <w:snapToGrid w:val="0"/>
        <w:spacing w:before="120" w:after="120" w:line="240" w:lineRule="auto"/>
        <w:ind w:left="426" w:hanging="426"/>
        <w:jc w:val="both"/>
        <w:rPr>
          <w:rFonts w:ascii="Times New Roman" w:hAnsi="Times New Roman" w:cs="Times New Roman"/>
          <w:color w:val="000000" w:themeColor="text1"/>
          <w:sz w:val="20"/>
          <w:szCs w:val="20"/>
          <w:lang w:val="de-DE" w:eastAsia="zh-CN"/>
        </w:rPr>
      </w:pPr>
      <w:r w:rsidRPr="007763B1">
        <w:rPr>
          <w:rFonts w:ascii="Times New Roman" w:hAnsi="Times New Roman" w:cs="Times New Roman"/>
          <w:color w:val="000000" w:themeColor="text1"/>
          <w:sz w:val="20"/>
          <w:szCs w:val="20"/>
          <w:lang w:val="de-DE" w:eastAsia="zh-CN"/>
        </w:rPr>
        <w:t>Prabhu Mahto &amp; Ors vs State of Bihar (Cr. Appeal (SJ) No.219 of 2002) decided on 13th Apr., 2017</w:t>
      </w:r>
    </w:p>
    <w:p w14:paraId="5F8FACB4" w14:textId="77777777" w:rsidR="007763B1" w:rsidRDefault="007763B1" w:rsidP="007763B1">
      <w:pPr>
        <w:pStyle w:val="ListParagraph"/>
        <w:numPr>
          <w:ilvl w:val="0"/>
          <w:numId w:val="4"/>
        </w:numPr>
        <w:snapToGrid w:val="0"/>
        <w:spacing w:before="120" w:after="120" w:line="240" w:lineRule="auto"/>
        <w:ind w:left="426" w:hanging="426"/>
        <w:jc w:val="both"/>
        <w:rPr>
          <w:rFonts w:ascii="Times New Roman" w:hAnsi="Times New Roman" w:cs="Times New Roman"/>
          <w:color w:val="000000" w:themeColor="text1"/>
          <w:sz w:val="20"/>
          <w:szCs w:val="20"/>
          <w:lang w:val="de-DE" w:eastAsia="zh-CN"/>
        </w:rPr>
      </w:pPr>
      <w:r w:rsidRPr="007763B1">
        <w:rPr>
          <w:rFonts w:ascii="Times New Roman" w:hAnsi="Times New Roman" w:cs="Times New Roman"/>
          <w:color w:val="000000" w:themeColor="text1"/>
          <w:sz w:val="20"/>
          <w:szCs w:val="20"/>
          <w:lang w:val="de-DE" w:eastAsia="zh-CN"/>
        </w:rPr>
        <w:t>Law Commission of India 237th report (2011)</w:t>
      </w:r>
    </w:p>
    <w:p w14:paraId="5F71922D" w14:textId="4EE919CD" w:rsidR="007763B1" w:rsidRPr="007763B1" w:rsidRDefault="007763B1" w:rsidP="007763B1">
      <w:pPr>
        <w:pStyle w:val="ListParagraph"/>
        <w:numPr>
          <w:ilvl w:val="0"/>
          <w:numId w:val="4"/>
        </w:numPr>
        <w:snapToGrid w:val="0"/>
        <w:spacing w:before="120" w:after="120" w:line="240" w:lineRule="auto"/>
        <w:ind w:left="426" w:hanging="426"/>
        <w:jc w:val="both"/>
        <w:rPr>
          <w:rFonts w:ascii="Times New Roman" w:hAnsi="Times New Roman" w:cs="Times New Roman"/>
          <w:color w:val="000000" w:themeColor="text1"/>
          <w:sz w:val="20"/>
          <w:szCs w:val="20"/>
          <w:lang w:val="de-DE" w:eastAsia="zh-CN"/>
        </w:rPr>
      </w:pPr>
      <w:r w:rsidRPr="007763B1">
        <w:rPr>
          <w:rFonts w:ascii="Times New Roman" w:hAnsi="Times New Roman" w:cs="Times New Roman"/>
          <w:color w:val="000000" w:themeColor="text1"/>
          <w:sz w:val="20"/>
          <w:szCs w:val="20"/>
          <w:lang w:val="de-DE" w:eastAsia="zh-CN"/>
        </w:rPr>
        <w:t>Discussions in Rajya Sabha on the Cr.PC (Amendment) Bill, 2006 on 18th Dec., 2008.</w:t>
      </w:r>
    </w:p>
    <w:p w14:paraId="101A4935" w14:textId="77777777" w:rsidR="007763B1" w:rsidRDefault="007763B1" w:rsidP="001E7730">
      <w:pPr>
        <w:snapToGrid w:val="0"/>
        <w:spacing w:after="0" w:line="240" w:lineRule="auto"/>
        <w:ind w:right="600"/>
        <w:rPr>
          <w:rFonts w:ascii="Times New Roman" w:hAnsi="Times New Roman" w:cs="Times New Roman"/>
          <w:color w:val="000000" w:themeColor="text1"/>
          <w:sz w:val="20"/>
          <w:szCs w:val="20"/>
          <w:lang w:val="de-DE" w:eastAsia="zh-CN"/>
        </w:rPr>
      </w:pPr>
    </w:p>
    <w:sectPr w:rsidR="007763B1" w:rsidSect="00FE2B49">
      <w:type w:val="continuous"/>
      <w:pgSz w:w="11907" w:h="16840"/>
      <w:pgMar w:top="1440" w:right="1440" w:bottom="1440" w:left="1440" w:header="720" w:footer="720" w:gutter="0"/>
      <w:cols w:num="2" w:space="720" w:equalWidth="0">
        <w:col w:w="4301" w:space="425"/>
        <w:col w:w="4301"/>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95701" w14:textId="77777777" w:rsidR="00DD2F8D" w:rsidRDefault="00DD2F8D">
      <w:pPr>
        <w:spacing w:line="240" w:lineRule="auto"/>
      </w:pPr>
      <w:r>
        <w:separator/>
      </w:r>
    </w:p>
  </w:endnote>
  <w:endnote w:type="continuationSeparator" w:id="0">
    <w:p w14:paraId="14CFAB6B" w14:textId="77777777" w:rsidR="00DD2F8D" w:rsidRDefault="00DD2F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16D44" w14:textId="253B7123" w:rsidR="00FE2B49" w:rsidRDefault="009A2DF4">
    <w:pPr>
      <w:pStyle w:val="Footer"/>
    </w:pPr>
    <w:r>
      <w:rPr>
        <w:noProof/>
      </w:rPr>
      <mc:AlternateContent>
        <mc:Choice Requires="wps">
          <w:drawing>
            <wp:anchor distT="0" distB="0" distL="114300" distR="114300" simplePos="0" relativeHeight="251659264" behindDoc="0" locked="0" layoutInCell="1" allowOverlap="1" wp14:anchorId="13D52513" wp14:editId="2A0F3A47">
              <wp:simplePos x="0" y="0"/>
              <wp:positionH relativeFrom="margin">
                <wp:posOffset>2773680</wp:posOffset>
              </wp:positionH>
              <wp:positionV relativeFrom="paragraph">
                <wp:posOffset>152400</wp:posOffset>
              </wp:positionV>
              <wp:extent cx="127635" cy="294640"/>
              <wp:effectExtent l="1905"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B78A00" w14:textId="77777777" w:rsidR="00FE2B49" w:rsidRDefault="00FE2B49">
                          <w:pPr>
                            <w:pStyle w:val="Footer"/>
                          </w:pPr>
                          <w:r>
                            <w:rPr>
                              <w:rFonts w:ascii="Times New Roman" w:hAnsi="Times New Roman" w:cs="Times New Roman"/>
                              <w:sz w:val="20"/>
                              <w:szCs w:val="20"/>
                            </w:rPr>
                            <w:fldChar w:fldCharType="begin"/>
                          </w:r>
                          <w:r w:rsidR="00FD0DBC">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0A6A55">
                            <w:rPr>
                              <w:rFonts w:ascii="Times New Roman" w:hAnsi="Times New Roman" w:cs="Times New Roman"/>
                              <w:noProof/>
                              <w:sz w:val="20"/>
                              <w:szCs w:val="20"/>
                            </w:rPr>
                            <w:t>43</w:t>
                          </w:r>
                          <w:r>
                            <w:rPr>
                              <w:rFonts w:ascii="Times New Roman" w:hAnsi="Times New Roman" w:cs="Times New Roman"/>
                              <w:sz w:val="20"/>
                              <w:szCs w:val="2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D52513" id="_x0000_t202" coordsize="21600,21600" o:spt="202" path="m,l,21600r21600,l21600,xe">
              <v:stroke joinstyle="miter"/>
              <v:path gradientshapeok="t" o:connecttype="rect"/>
            </v:shapetype>
            <v:shape id="Text Box 1" o:spid="_x0000_s1026" type="#_x0000_t202" style="position:absolute;margin-left:218.4pt;margin-top:12pt;width:10.05pt;height:23.2pt;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" filled="f" stroked="f">
              <v:textbox style="mso-fit-shape-to-text:t" inset="0,0,0,0">
                <w:txbxContent>
                  <w:p w14:paraId="1BB78A00" w14:textId="77777777" w:rsidR="00FE2B49" w:rsidRDefault="00FE2B49">
                    <w:pPr>
                      <w:pStyle w:val="Footer"/>
                    </w:pPr>
                    <w:r>
                      <w:rPr>
                        <w:rFonts w:ascii="Times New Roman" w:hAnsi="Times New Roman" w:cs="Times New Roman"/>
                        <w:sz w:val="20"/>
                        <w:szCs w:val="20"/>
                      </w:rPr>
                      <w:fldChar w:fldCharType="begin"/>
                    </w:r>
                    <w:r w:rsidR="00FD0DBC">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0A6A55">
                      <w:rPr>
                        <w:rFonts w:ascii="Times New Roman" w:hAnsi="Times New Roman" w:cs="Times New Roman"/>
                        <w:noProof/>
                        <w:sz w:val="20"/>
                        <w:szCs w:val="20"/>
                      </w:rPr>
                      <w:t>43</w:t>
                    </w:r>
                    <w:r>
                      <w:rPr>
                        <w:rFonts w:ascii="Times New Roman" w:hAnsi="Times New Roman" w:cs="Times New Roman"/>
                        <w:sz w:val="20"/>
                        <w:szCs w:val="20"/>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47B1A" w14:textId="7A489941" w:rsidR="00FE2B49" w:rsidRDefault="009A2DF4">
    <w:pPr>
      <w:pStyle w:val="Footer"/>
    </w:pPr>
    <w:r>
      <w:rPr>
        <w:noProof/>
      </w:rPr>
      <mc:AlternateContent>
        <mc:Choice Requires="wps">
          <w:drawing>
            <wp:anchor distT="0" distB="0" distL="114300" distR="114300" simplePos="0" relativeHeight="251660288" behindDoc="0" locked="0" layoutInCell="1" allowOverlap="1" wp14:anchorId="01FB2B44" wp14:editId="5D6EAF51">
              <wp:simplePos x="0" y="0"/>
              <wp:positionH relativeFrom="margin">
                <wp:posOffset>2773680</wp:posOffset>
              </wp:positionH>
              <wp:positionV relativeFrom="paragraph">
                <wp:posOffset>114300</wp:posOffset>
              </wp:positionV>
              <wp:extent cx="127635" cy="294640"/>
              <wp:effectExtent l="1905"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D3D0C" w14:textId="77777777" w:rsidR="00FE2B49" w:rsidRDefault="00FE2B49">
                          <w:pPr>
                            <w:pStyle w:val="Footer"/>
                          </w:pPr>
                          <w:r>
                            <w:rPr>
                              <w:rFonts w:ascii="Times New Roman" w:hAnsi="Times New Roman" w:cs="Times New Roman"/>
                              <w:sz w:val="20"/>
                              <w:szCs w:val="20"/>
                            </w:rPr>
                            <w:fldChar w:fldCharType="begin"/>
                          </w:r>
                          <w:r w:rsidR="00FD0DBC">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0A6A55">
                            <w:rPr>
                              <w:rFonts w:ascii="Times New Roman" w:hAnsi="Times New Roman" w:cs="Times New Roman"/>
                              <w:noProof/>
                              <w:sz w:val="20"/>
                              <w:szCs w:val="20"/>
                            </w:rPr>
                            <w:t>42</w:t>
                          </w:r>
                          <w:r>
                            <w:rPr>
                              <w:rFonts w:ascii="Times New Roman" w:hAnsi="Times New Roman" w:cs="Times New Roman"/>
                              <w:sz w:val="20"/>
                              <w:szCs w:val="2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FB2B44" id="_x0000_t202" coordsize="21600,21600" o:spt="202" path="m,l,21600r21600,l21600,xe">
              <v:stroke joinstyle="miter"/>
              <v:path gradientshapeok="t" o:connecttype="rect"/>
            </v:shapetype>
            <v:shape id="Text Box 2" o:spid="_x0000_s1027" type="#_x0000_t202" style="position:absolute;margin-left:218.4pt;margin-top:9pt;width:10.05pt;height:23.2pt;z-index:25166028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" filled="f" stroked="f">
              <v:textbox style="mso-fit-shape-to-text:t" inset="0,0,0,0">
                <w:txbxContent>
                  <w:p w14:paraId="0D1D3D0C" w14:textId="77777777" w:rsidR="00FE2B49" w:rsidRDefault="00FE2B49">
                    <w:pPr>
                      <w:pStyle w:val="Footer"/>
                    </w:pPr>
                    <w:r>
                      <w:rPr>
                        <w:rFonts w:ascii="Times New Roman" w:hAnsi="Times New Roman" w:cs="Times New Roman"/>
                        <w:sz w:val="20"/>
                        <w:szCs w:val="20"/>
                      </w:rPr>
                      <w:fldChar w:fldCharType="begin"/>
                    </w:r>
                    <w:r w:rsidR="00FD0DBC">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0A6A55">
                      <w:rPr>
                        <w:rFonts w:ascii="Times New Roman" w:hAnsi="Times New Roman" w:cs="Times New Roman"/>
                        <w:noProof/>
                        <w:sz w:val="20"/>
                        <w:szCs w:val="20"/>
                      </w:rPr>
                      <w:t>42</w:t>
                    </w:r>
                    <w:r>
                      <w:rPr>
                        <w:rFonts w:ascii="Times New Roman" w:hAnsi="Times New Roman" w:cs="Times New Roman"/>
                        <w:sz w:val="20"/>
                        <w:szCs w:val="20"/>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783CB" w14:textId="77777777" w:rsidR="00DD2F8D" w:rsidRDefault="00DD2F8D">
      <w:pPr>
        <w:spacing w:after="0"/>
      </w:pPr>
      <w:r>
        <w:separator/>
      </w:r>
    </w:p>
  </w:footnote>
  <w:footnote w:type="continuationSeparator" w:id="0">
    <w:p w14:paraId="42D49784" w14:textId="77777777" w:rsidR="00DD2F8D" w:rsidRDefault="00DD2F8D">
      <w:pPr>
        <w:spacing w:after="0"/>
      </w:pPr>
      <w:r>
        <w:continuationSeparator/>
      </w:r>
    </w:p>
  </w:footnote>
  <w:footnote w:id="1">
    <w:p w14:paraId="37EBBADB" w14:textId="23BA5417" w:rsidR="00EE77BD" w:rsidRDefault="00EE77BD" w:rsidP="006B75FD">
      <w:pPr>
        <w:pStyle w:val="FootnoteText"/>
        <w:jc w:val="both"/>
      </w:pPr>
      <w:r>
        <w:rPr>
          <w:rStyle w:val="FootnoteReference"/>
        </w:rPr>
        <w:footnoteRef/>
      </w:r>
      <w:r>
        <w:t xml:space="preserve"> </w:t>
      </w:r>
      <w:r w:rsidRPr="0082764A">
        <w:rPr>
          <w:rFonts w:ascii="Times New Roman" w:hAnsi="Times New Roman" w:cs="Times New Roman"/>
          <w:sz w:val="16"/>
          <w:szCs w:val="16"/>
        </w:rPr>
        <w:t xml:space="preserve">Sub-section (2) of Section 1 of the </w:t>
      </w:r>
      <w:proofErr w:type="spellStart"/>
      <w:proofErr w:type="gramStart"/>
      <w:r w:rsidRPr="0082764A">
        <w:rPr>
          <w:rFonts w:ascii="Times New Roman" w:hAnsi="Times New Roman" w:cs="Times New Roman"/>
          <w:sz w:val="16"/>
          <w:szCs w:val="16"/>
        </w:rPr>
        <w:t>Cr.PC</w:t>
      </w:r>
      <w:proofErr w:type="spellEnd"/>
      <w:proofErr w:type="gramEnd"/>
      <w:r w:rsidRPr="0082764A">
        <w:rPr>
          <w:rFonts w:ascii="Times New Roman" w:hAnsi="Times New Roman" w:cs="Times New Roman"/>
          <w:sz w:val="16"/>
          <w:szCs w:val="16"/>
        </w:rPr>
        <w:t xml:space="preserve"> (Amendment) Act, 2005, “(2) Save as otherwise provided in this Act, it shall come into force on such date as the Central Government may, by notification in the Official Gazette, appoint and different dates may be appointed for different provisions of this Act</w:t>
      </w:r>
      <w:r>
        <w:rPr>
          <w:rFonts w:ascii="Times New Roman" w:hAnsi="Times New Roman" w:cs="Times New Roman"/>
          <w:sz w:val="16"/>
          <w:szCs w:val="16"/>
        </w:rPr>
        <w:t>.</w:t>
      </w:r>
      <w:r w:rsidRPr="0082764A">
        <w:rPr>
          <w:rFonts w:ascii="Times New Roman" w:hAnsi="Times New Roman" w:cs="Times New Roman"/>
          <w:sz w:val="16"/>
          <w:szCs w:val="16"/>
        </w:rPr>
        <w:t>”</w:t>
      </w:r>
    </w:p>
  </w:footnote>
  <w:footnote w:id="2">
    <w:p w14:paraId="48444DB6" w14:textId="13A91490" w:rsidR="00D142FD" w:rsidRDefault="00D142FD" w:rsidP="00F677D2">
      <w:pPr>
        <w:pStyle w:val="FootnoteText"/>
        <w:jc w:val="both"/>
      </w:pPr>
      <w:r>
        <w:rPr>
          <w:rStyle w:val="FootnoteReference"/>
        </w:rPr>
        <w:footnoteRef/>
      </w:r>
      <w:r>
        <w:t xml:space="preserve"> </w:t>
      </w:r>
      <w:r w:rsidRPr="002C40D4">
        <w:rPr>
          <w:rFonts w:ascii="Times New Roman" w:hAnsi="Times New Roman" w:cs="Times New Roman"/>
          <w:sz w:val="16"/>
          <w:szCs w:val="16"/>
        </w:rPr>
        <w:t>AIR 2010 SC 2321</w:t>
      </w:r>
    </w:p>
  </w:footnote>
  <w:footnote w:id="3">
    <w:p w14:paraId="7C9C40D9" w14:textId="0101121A" w:rsidR="00D142FD" w:rsidRDefault="00D142FD" w:rsidP="00F677D2">
      <w:pPr>
        <w:pStyle w:val="FootnoteText"/>
        <w:jc w:val="both"/>
      </w:pPr>
      <w:r>
        <w:rPr>
          <w:rStyle w:val="FootnoteReference"/>
        </w:rPr>
        <w:footnoteRef/>
      </w:r>
      <w:r>
        <w:t xml:space="preserve"> </w:t>
      </w:r>
      <w:r w:rsidRPr="002C40D4">
        <w:rPr>
          <w:rFonts w:ascii="Times New Roman" w:hAnsi="Times New Roman" w:cs="Times New Roman"/>
          <w:sz w:val="16"/>
          <w:szCs w:val="16"/>
        </w:rPr>
        <w:t>(</w:t>
      </w:r>
      <w:proofErr w:type="spellStart"/>
      <w:r w:rsidRPr="002C40D4">
        <w:rPr>
          <w:rFonts w:ascii="Times New Roman" w:hAnsi="Times New Roman" w:cs="Times New Roman"/>
          <w:sz w:val="16"/>
          <w:szCs w:val="16"/>
        </w:rPr>
        <w:t>Cr</w:t>
      </w:r>
      <w:r>
        <w:rPr>
          <w:rFonts w:ascii="Times New Roman" w:hAnsi="Times New Roman" w:cs="Times New Roman"/>
          <w:sz w:val="16"/>
          <w:szCs w:val="16"/>
        </w:rPr>
        <w:t>l</w:t>
      </w:r>
      <w:proofErr w:type="spellEnd"/>
      <w:r>
        <w:rPr>
          <w:rFonts w:ascii="Times New Roman" w:hAnsi="Times New Roman" w:cs="Times New Roman"/>
          <w:sz w:val="16"/>
          <w:szCs w:val="16"/>
        </w:rPr>
        <w:t>.</w:t>
      </w:r>
      <w:r w:rsidRPr="002C40D4">
        <w:rPr>
          <w:rFonts w:ascii="Times New Roman" w:hAnsi="Times New Roman" w:cs="Times New Roman"/>
          <w:sz w:val="16"/>
          <w:szCs w:val="16"/>
        </w:rPr>
        <w:t xml:space="preserve"> Appeal No. 1343 of 2008) decided on 25th August, 2008</w:t>
      </w:r>
    </w:p>
  </w:footnote>
  <w:footnote w:id="4">
    <w:p w14:paraId="31DEDB60" w14:textId="5E3B1662" w:rsidR="00D142FD" w:rsidRDefault="00D142FD" w:rsidP="00F677D2">
      <w:pPr>
        <w:pStyle w:val="FootnoteText"/>
        <w:jc w:val="both"/>
      </w:pPr>
      <w:r>
        <w:rPr>
          <w:rStyle w:val="FootnoteReference"/>
        </w:rPr>
        <w:footnoteRef/>
      </w:r>
      <w:r>
        <w:t xml:space="preserve"> </w:t>
      </w:r>
      <w:r w:rsidRPr="002C40D4">
        <w:rPr>
          <w:rFonts w:ascii="Times New Roman" w:hAnsi="Times New Roman" w:cs="Times New Roman"/>
          <w:sz w:val="16"/>
          <w:szCs w:val="16"/>
        </w:rPr>
        <w:t xml:space="preserve">(Cr. Appeal </w:t>
      </w:r>
      <w:r>
        <w:rPr>
          <w:rFonts w:ascii="Times New Roman" w:hAnsi="Times New Roman" w:cs="Times New Roman"/>
          <w:sz w:val="16"/>
          <w:szCs w:val="16"/>
        </w:rPr>
        <w:t>N</w:t>
      </w:r>
      <w:r w:rsidRPr="002C40D4">
        <w:rPr>
          <w:rFonts w:ascii="Times New Roman" w:hAnsi="Times New Roman" w:cs="Times New Roman"/>
          <w:sz w:val="16"/>
          <w:szCs w:val="16"/>
        </w:rPr>
        <w:t>o. 125 of 2021) decided on 11th Feb., 2021</w:t>
      </w:r>
    </w:p>
  </w:footnote>
  <w:footnote w:id="5">
    <w:p w14:paraId="3D7A6CF0" w14:textId="3176C66F" w:rsidR="00D142FD" w:rsidRDefault="00D142FD" w:rsidP="00F677D2">
      <w:pPr>
        <w:pStyle w:val="FootnoteText"/>
        <w:jc w:val="both"/>
      </w:pPr>
      <w:r>
        <w:rPr>
          <w:rStyle w:val="FootnoteReference"/>
        </w:rPr>
        <w:footnoteRef/>
      </w:r>
      <w:r>
        <w:t xml:space="preserve"> </w:t>
      </w:r>
      <w:r w:rsidRPr="002C40D4">
        <w:rPr>
          <w:rFonts w:ascii="Times New Roman" w:hAnsi="Times New Roman" w:cs="Times New Roman"/>
          <w:sz w:val="16"/>
          <w:szCs w:val="16"/>
        </w:rPr>
        <w:t xml:space="preserve">2013 </w:t>
      </w:r>
      <w:proofErr w:type="spellStart"/>
      <w:r w:rsidRPr="002C40D4">
        <w:rPr>
          <w:rFonts w:ascii="Times New Roman" w:hAnsi="Times New Roman" w:cs="Times New Roman"/>
          <w:sz w:val="16"/>
          <w:szCs w:val="16"/>
        </w:rPr>
        <w:t>Cr.L.J</w:t>
      </w:r>
      <w:proofErr w:type="spellEnd"/>
      <w:r w:rsidRPr="002C40D4">
        <w:rPr>
          <w:rFonts w:ascii="Times New Roman" w:hAnsi="Times New Roman" w:cs="Times New Roman"/>
          <w:sz w:val="16"/>
          <w:szCs w:val="16"/>
        </w:rPr>
        <w:t>. 1712</w:t>
      </w:r>
    </w:p>
  </w:footnote>
  <w:footnote w:id="6">
    <w:p w14:paraId="71241C6F" w14:textId="21C242D2" w:rsidR="00D142FD" w:rsidRDefault="00D142FD" w:rsidP="00F677D2">
      <w:pPr>
        <w:pStyle w:val="FootnoteText"/>
        <w:jc w:val="both"/>
      </w:pPr>
      <w:r>
        <w:rPr>
          <w:rStyle w:val="FootnoteReference"/>
        </w:rPr>
        <w:footnoteRef/>
      </w:r>
      <w:r>
        <w:t xml:space="preserve"> </w:t>
      </w:r>
      <w:r w:rsidRPr="002C40D4">
        <w:rPr>
          <w:rFonts w:ascii="Times New Roman" w:hAnsi="Times New Roman" w:cs="Times New Roman"/>
          <w:sz w:val="16"/>
          <w:szCs w:val="16"/>
        </w:rPr>
        <w:t xml:space="preserve">2012 </w:t>
      </w:r>
      <w:proofErr w:type="spellStart"/>
      <w:r w:rsidRPr="002C40D4">
        <w:rPr>
          <w:rFonts w:ascii="Times New Roman" w:hAnsi="Times New Roman" w:cs="Times New Roman"/>
          <w:sz w:val="16"/>
          <w:szCs w:val="16"/>
        </w:rPr>
        <w:t>Cr.L.J</w:t>
      </w:r>
      <w:proofErr w:type="spellEnd"/>
      <w:r w:rsidRPr="002C40D4">
        <w:rPr>
          <w:rFonts w:ascii="Times New Roman" w:hAnsi="Times New Roman" w:cs="Times New Roman"/>
          <w:sz w:val="16"/>
          <w:szCs w:val="16"/>
        </w:rPr>
        <w:t>. 4128</w:t>
      </w:r>
    </w:p>
  </w:footnote>
  <w:footnote w:id="7">
    <w:p w14:paraId="79C16CA9" w14:textId="580D258E" w:rsidR="00D142FD" w:rsidRDefault="00D142FD" w:rsidP="00F677D2">
      <w:pPr>
        <w:pStyle w:val="FootnoteText"/>
        <w:jc w:val="both"/>
      </w:pPr>
      <w:r>
        <w:rPr>
          <w:rStyle w:val="FootnoteReference"/>
        </w:rPr>
        <w:footnoteRef/>
      </w:r>
      <w:r>
        <w:t xml:space="preserve"> </w:t>
      </w:r>
      <w:r w:rsidRPr="002C40D4">
        <w:rPr>
          <w:rFonts w:ascii="Times New Roman" w:hAnsi="Times New Roman" w:cs="Times New Roman"/>
          <w:sz w:val="16"/>
          <w:szCs w:val="16"/>
        </w:rPr>
        <w:t>(</w:t>
      </w:r>
      <w:proofErr w:type="spellStart"/>
      <w:r w:rsidRPr="002C40D4">
        <w:rPr>
          <w:rFonts w:ascii="Times New Roman" w:hAnsi="Times New Roman" w:cs="Times New Roman"/>
          <w:sz w:val="16"/>
          <w:szCs w:val="16"/>
        </w:rPr>
        <w:t>Cr</w:t>
      </w:r>
      <w:r>
        <w:rPr>
          <w:rFonts w:ascii="Times New Roman" w:hAnsi="Times New Roman" w:cs="Times New Roman"/>
          <w:sz w:val="16"/>
          <w:szCs w:val="16"/>
        </w:rPr>
        <w:t>l</w:t>
      </w:r>
      <w:proofErr w:type="spellEnd"/>
      <w:r>
        <w:rPr>
          <w:rFonts w:ascii="Times New Roman" w:hAnsi="Times New Roman" w:cs="Times New Roman"/>
          <w:sz w:val="16"/>
          <w:szCs w:val="16"/>
        </w:rPr>
        <w:t>.</w:t>
      </w:r>
      <w:r w:rsidRPr="002C40D4">
        <w:rPr>
          <w:rFonts w:ascii="Times New Roman" w:hAnsi="Times New Roman" w:cs="Times New Roman"/>
          <w:sz w:val="16"/>
          <w:szCs w:val="16"/>
        </w:rPr>
        <w:t xml:space="preserve"> Appeal (SJ) No.219 of 2002) decided on 13th April,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F4A49" w14:textId="77777777" w:rsidR="00FE2B49" w:rsidRDefault="00FD0DBC">
    <w:pPr>
      <w:pBdr>
        <w:bottom w:val="thinThickMediumGap" w:sz="12" w:space="1" w:color="auto"/>
      </w:pBdr>
      <w:ind w:firstLineChars="200" w:firstLine="400"/>
    </w:pPr>
    <w:r>
      <w:rPr>
        <w:rFonts w:ascii="Times New Roman" w:hAnsi="Times New Roman" w:cs="Times New Roman"/>
        <w:sz w:val="20"/>
        <w:szCs w:val="20"/>
      </w:rPr>
      <w:t>New York Science Journal 20</w:t>
    </w:r>
    <w:r>
      <w:rPr>
        <w:rFonts w:ascii="Times New Roman" w:hAnsi="Times New Roman" w:cs="Times New Roman"/>
        <w:sz w:val="20"/>
        <w:szCs w:val="20"/>
        <w:lang w:eastAsia="zh-CN"/>
      </w:rPr>
      <w:t>21</w:t>
    </w:r>
    <w:r>
      <w:rPr>
        <w:rFonts w:ascii="Times New Roman" w:hAnsi="Times New Roman" w:cs="Times New Roman"/>
        <w:sz w:val="20"/>
        <w:szCs w:val="20"/>
      </w:rPr>
      <w:t>;1</w:t>
    </w:r>
    <w:r>
      <w:rPr>
        <w:rFonts w:ascii="Times New Roman" w:hAnsi="Times New Roman" w:cs="Times New Roman"/>
        <w:sz w:val="20"/>
        <w:szCs w:val="20"/>
        <w:lang w:eastAsia="zh-CN"/>
      </w:rPr>
      <w:t>4</w:t>
    </w:r>
    <w:r>
      <w:rPr>
        <w:rFonts w:ascii="Times New Roman" w:hAnsi="Times New Roman" w:cs="Times New Roman"/>
        <w:sz w:val="20"/>
        <w:szCs w:val="20"/>
      </w:rPr>
      <w:t>(</w:t>
    </w:r>
    <w:r>
      <w:rPr>
        <w:rFonts w:ascii="Times New Roman" w:hAnsi="Times New Roman" w:cs="Times New Roman" w:hint="eastAsia"/>
        <w:sz w:val="20"/>
        <w:szCs w:val="20"/>
        <w:lang w:eastAsia="zh-CN"/>
      </w:rPr>
      <w:t>12</w:t>
    </w:r>
    <w:r>
      <w:rPr>
        <w:rFonts w:ascii="Times New Roman" w:hAnsi="Times New Roman" w:cs="Times New Roman"/>
        <w:sz w:val="20"/>
        <w:szCs w:val="20"/>
      </w:rPr>
      <w:t>)</w:t>
    </w:r>
    <w:r>
      <w:rPr>
        <w:rFonts w:ascii="Times New Roman" w:hAnsi="Times New Roman" w:cs="Times New Roman" w:hint="eastAsia"/>
        <w:sz w:val="20"/>
        <w:szCs w:val="20"/>
        <w:lang w:eastAsia="zh-CN"/>
      </w:rPr>
      <w:t xml:space="preserve">  </w:t>
    </w:r>
    <w:r>
      <w:rPr>
        <w:rFonts w:cs="Times New Roman" w:hint="eastAsia"/>
        <w:sz w:val="20"/>
        <w:szCs w:val="20"/>
        <w:lang w:eastAsia="zh-CN"/>
      </w:rPr>
      <w:t xml:space="preserve">                                   </w:t>
    </w:r>
    <w:hyperlink r:id="rId1" w:history="1">
      <w:r>
        <w:rPr>
          <w:rFonts w:ascii="Times New Roman" w:hAnsi="Times New Roman" w:cs="Times New Roman"/>
          <w:color w:val="0000FF"/>
          <w:sz w:val="20"/>
          <w:szCs w:val="20"/>
          <w:u w:val="single"/>
        </w:rPr>
        <w:t>http://www.sciencepub.net/newyork</w:t>
      </w:r>
    </w:hyperlink>
    <w:r>
      <w:rPr>
        <w:rFonts w:ascii="Times New Roman" w:hAnsi="Times New Roman" w:cs="Times New Roman"/>
        <w:b/>
        <w:i/>
        <w:color w:val="FF0000"/>
        <w:sz w:val="20"/>
        <w:szCs w:val="20"/>
        <w:bdr w:val="single" w:sz="4" w:space="0" w:color="FF0000"/>
      </w:rPr>
      <w:t>NYJ</w:t>
    </w:r>
    <w:r>
      <w:rPr>
        <w:rFonts w:ascii="Times New Roman" w:hAnsi="Times New Roman" w:cs="Times New Roman" w:hint="eastAsia"/>
        <w:sz w:val="20"/>
        <w:szCs w:val="20"/>
        <w:lang w:eastAsia="zh-CN"/>
      </w:rPr>
      <w:t xml:space="preserve"> </w:t>
    </w:r>
    <w:r>
      <w:rPr>
        <w:rFonts w:cs="Times New Roman" w:hint="eastAsia"/>
        <w:sz w:val="20"/>
        <w:szCs w:val="20"/>
        <w:lang w:eastAsia="zh-CN"/>
      </w:rPr>
      <w:t xml:space="preserve">    </w:t>
    </w:r>
    <w:r>
      <w:rPr>
        <w:rFonts w:ascii="Times New Roman" w:hAnsi="Times New Roman" w:cs="Times New Roman" w:hint="eastAsia"/>
        <w:sz w:val="20"/>
        <w:szCs w:val="20"/>
        <w:lang w:eastAsia="zh-C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D64FC" w14:textId="77777777" w:rsidR="00FE2B49" w:rsidRDefault="00FD0DBC">
    <w:pPr>
      <w:pStyle w:val="Header"/>
    </w:pPr>
    <w:r>
      <w:rPr>
        <w:noProof/>
        <w:szCs w:val="20"/>
        <w:lang w:eastAsia="zh-CN"/>
      </w:rPr>
      <w:drawing>
        <wp:inline distT="0" distB="0" distL="114300" distR="114300" wp14:anchorId="72FC1068" wp14:editId="4B0E6310">
          <wp:extent cx="5752465" cy="751205"/>
          <wp:effectExtent l="0" t="0" r="635" b="1079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5752465" cy="7512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3441A"/>
    <w:multiLevelType w:val="multilevel"/>
    <w:tmpl w:val="1903441A"/>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472F1CAD"/>
    <w:multiLevelType w:val="multilevel"/>
    <w:tmpl w:val="1903441A"/>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5F6864F1"/>
    <w:multiLevelType w:val="multilevel"/>
    <w:tmpl w:val="1903441A"/>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66C304FE"/>
    <w:multiLevelType w:val="hybridMultilevel"/>
    <w:tmpl w:val="45089994"/>
    <w:lvl w:ilvl="0" w:tplc="60B69D54">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990"/>
    <w:rsid w:val="00005A15"/>
    <w:rsid w:val="00005A66"/>
    <w:rsid w:val="00010283"/>
    <w:rsid w:val="00010827"/>
    <w:rsid w:val="000168EA"/>
    <w:rsid w:val="00020479"/>
    <w:rsid w:val="0002683D"/>
    <w:rsid w:val="000306C5"/>
    <w:rsid w:val="00032350"/>
    <w:rsid w:val="00033A1A"/>
    <w:rsid w:val="00043AEE"/>
    <w:rsid w:val="000551E1"/>
    <w:rsid w:val="0005654A"/>
    <w:rsid w:val="00056706"/>
    <w:rsid w:val="000576AB"/>
    <w:rsid w:val="00061BB0"/>
    <w:rsid w:val="00073DC8"/>
    <w:rsid w:val="00074625"/>
    <w:rsid w:val="000840B3"/>
    <w:rsid w:val="0009217A"/>
    <w:rsid w:val="0009381C"/>
    <w:rsid w:val="00094938"/>
    <w:rsid w:val="00094BED"/>
    <w:rsid w:val="0009654F"/>
    <w:rsid w:val="00096E61"/>
    <w:rsid w:val="000A13CF"/>
    <w:rsid w:val="000A3CAF"/>
    <w:rsid w:val="000A460D"/>
    <w:rsid w:val="000A4C5F"/>
    <w:rsid w:val="000A64F9"/>
    <w:rsid w:val="000A6A55"/>
    <w:rsid w:val="000B14DE"/>
    <w:rsid w:val="000B2CC2"/>
    <w:rsid w:val="000B557B"/>
    <w:rsid w:val="000B5C26"/>
    <w:rsid w:val="000B7035"/>
    <w:rsid w:val="000B7520"/>
    <w:rsid w:val="000C1AE6"/>
    <w:rsid w:val="000C4181"/>
    <w:rsid w:val="000C5523"/>
    <w:rsid w:val="000C5A6B"/>
    <w:rsid w:val="000D0F9E"/>
    <w:rsid w:val="000D381B"/>
    <w:rsid w:val="000D4622"/>
    <w:rsid w:val="000D55E4"/>
    <w:rsid w:val="000D70CD"/>
    <w:rsid w:val="000E6B66"/>
    <w:rsid w:val="000E75E7"/>
    <w:rsid w:val="000E7D09"/>
    <w:rsid w:val="000F370E"/>
    <w:rsid w:val="000F431C"/>
    <w:rsid w:val="000F4962"/>
    <w:rsid w:val="000F5BAA"/>
    <w:rsid w:val="000F6135"/>
    <w:rsid w:val="000F69CC"/>
    <w:rsid w:val="000F79D9"/>
    <w:rsid w:val="001008CE"/>
    <w:rsid w:val="00101FDE"/>
    <w:rsid w:val="0010468C"/>
    <w:rsid w:val="0010537A"/>
    <w:rsid w:val="00105BA7"/>
    <w:rsid w:val="00110919"/>
    <w:rsid w:val="00115238"/>
    <w:rsid w:val="0011532E"/>
    <w:rsid w:val="00116DCD"/>
    <w:rsid w:val="00125ACA"/>
    <w:rsid w:val="001260D7"/>
    <w:rsid w:val="00127A4C"/>
    <w:rsid w:val="001437C3"/>
    <w:rsid w:val="00144D19"/>
    <w:rsid w:val="00147603"/>
    <w:rsid w:val="001520E4"/>
    <w:rsid w:val="00152A07"/>
    <w:rsid w:val="0015568B"/>
    <w:rsid w:val="001556F2"/>
    <w:rsid w:val="001566A8"/>
    <w:rsid w:val="0015738F"/>
    <w:rsid w:val="00162A11"/>
    <w:rsid w:val="001642AD"/>
    <w:rsid w:val="001649E7"/>
    <w:rsid w:val="00167E41"/>
    <w:rsid w:val="00172C35"/>
    <w:rsid w:val="00176CAD"/>
    <w:rsid w:val="00177ADE"/>
    <w:rsid w:val="0018440B"/>
    <w:rsid w:val="00184BBD"/>
    <w:rsid w:val="00185109"/>
    <w:rsid w:val="001958FF"/>
    <w:rsid w:val="00195D80"/>
    <w:rsid w:val="001A3263"/>
    <w:rsid w:val="001A6C97"/>
    <w:rsid w:val="001B08B2"/>
    <w:rsid w:val="001B0FB8"/>
    <w:rsid w:val="001B672F"/>
    <w:rsid w:val="001B68D7"/>
    <w:rsid w:val="001C51BB"/>
    <w:rsid w:val="001C5B25"/>
    <w:rsid w:val="001D1959"/>
    <w:rsid w:val="001D5859"/>
    <w:rsid w:val="001D6715"/>
    <w:rsid w:val="001E372D"/>
    <w:rsid w:val="001E7730"/>
    <w:rsid w:val="001F0A7C"/>
    <w:rsid w:val="001F0DEB"/>
    <w:rsid w:val="001F4BA7"/>
    <w:rsid w:val="001F58DA"/>
    <w:rsid w:val="002019E0"/>
    <w:rsid w:val="0020411C"/>
    <w:rsid w:val="00206220"/>
    <w:rsid w:val="002113F8"/>
    <w:rsid w:val="002117D4"/>
    <w:rsid w:val="0021182A"/>
    <w:rsid w:val="002128DD"/>
    <w:rsid w:val="002236AB"/>
    <w:rsid w:val="002318CC"/>
    <w:rsid w:val="00231C30"/>
    <w:rsid w:val="00235165"/>
    <w:rsid w:val="00236BFD"/>
    <w:rsid w:val="00240950"/>
    <w:rsid w:val="00241EEA"/>
    <w:rsid w:val="00245901"/>
    <w:rsid w:val="00247808"/>
    <w:rsid w:val="0025721A"/>
    <w:rsid w:val="0025748D"/>
    <w:rsid w:val="0026166E"/>
    <w:rsid w:val="00264599"/>
    <w:rsid w:val="0026606A"/>
    <w:rsid w:val="0027080D"/>
    <w:rsid w:val="0028056C"/>
    <w:rsid w:val="0028665E"/>
    <w:rsid w:val="00286E46"/>
    <w:rsid w:val="0029498F"/>
    <w:rsid w:val="00295115"/>
    <w:rsid w:val="00296A88"/>
    <w:rsid w:val="002A2C2B"/>
    <w:rsid w:val="002A6947"/>
    <w:rsid w:val="002B0579"/>
    <w:rsid w:val="002B05FB"/>
    <w:rsid w:val="002B0C80"/>
    <w:rsid w:val="002B10AC"/>
    <w:rsid w:val="002B3453"/>
    <w:rsid w:val="002B371B"/>
    <w:rsid w:val="002B47FA"/>
    <w:rsid w:val="002B4800"/>
    <w:rsid w:val="002B5F45"/>
    <w:rsid w:val="002C1CC5"/>
    <w:rsid w:val="002C3C82"/>
    <w:rsid w:val="002C5DE1"/>
    <w:rsid w:val="002C729B"/>
    <w:rsid w:val="002D7373"/>
    <w:rsid w:val="002F199B"/>
    <w:rsid w:val="002F2C84"/>
    <w:rsid w:val="002F448E"/>
    <w:rsid w:val="002F5C3B"/>
    <w:rsid w:val="002F638F"/>
    <w:rsid w:val="00300110"/>
    <w:rsid w:val="003106C0"/>
    <w:rsid w:val="00314E5F"/>
    <w:rsid w:val="00316BB0"/>
    <w:rsid w:val="0032499A"/>
    <w:rsid w:val="00333371"/>
    <w:rsid w:val="00333A56"/>
    <w:rsid w:val="003352E4"/>
    <w:rsid w:val="00335BB6"/>
    <w:rsid w:val="00335DFB"/>
    <w:rsid w:val="003368BA"/>
    <w:rsid w:val="00336D50"/>
    <w:rsid w:val="00336FFA"/>
    <w:rsid w:val="00340488"/>
    <w:rsid w:val="0034137D"/>
    <w:rsid w:val="003453FD"/>
    <w:rsid w:val="003475D2"/>
    <w:rsid w:val="00347F7B"/>
    <w:rsid w:val="00354824"/>
    <w:rsid w:val="003632D0"/>
    <w:rsid w:val="00366CDA"/>
    <w:rsid w:val="00370663"/>
    <w:rsid w:val="003730D4"/>
    <w:rsid w:val="003750B8"/>
    <w:rsid w:val="00383051"/>
    <w:rsid w:val="00390EFF"/>
    <w:rsid w:val="00394D06"/>
    <w:rsid w:val="00396D83"/>
    <w:rsid w:val="003A032E"/>
    <w:rsid w:val="003A1F73"/>
    <w:rsid w:val="003A3E8E"/>
    <w:rsid w:val="003A4219"/>
    <w:rsid w:val="003A5C7D"/>
    <w:rsid w:val="003A608C"/>
    <w:rsid w:val="003B2F17"/>
    <w:rsid w:val="003B4A02"/>
    <w:rsid w:val="003B5762"/>
    <w:rsid w:val="003C108E"/>
    <w:rsid w:val="003C1D22"/>
    <w:rsid w:val="003D2A84"/>
    <w:rsid w:val="003D2FBB"/>
    <w:rsid w:val="003D48D7"/>
    <w:rsid w:val="003D535D"/>
    <w:rsid w:val="003D55C7"/>
    <w:rsid w:val="003D6A21"/>
    <w:rsid w:val="003D6DB8"/>
    <w:rsid w:val="003D7C2F"/>
    <w:rsid w:val="003E1E85"/>
    <w:rsid w:val="003E1F33"/>
    <w:rsid w:val="003E2761"/>
    <w:rsid w:val="003E42C2"/>
    <w:rsid w:val="003E64F1"/>
    <w:rsid w:val="003E6643"/>
    <w:rsid w:val="003E7762"/>
    <w:rsid w:val="003E7F2E"/>
    <w:rsid w:val="003F203B"/>
    <w:rsid w:val="00404196"/>
    <w:rsid w:val="00404DE1"/>
    <w:rsid w:val="00405CC4"/>
    <w:rsid w:val="004072D1"/>
    <w:rsid w:val="004113C6"/>
    <w:rsid w:val="00412281"/>
    <w:rsid w:val="004125B2"/>
    <w:rsid w:val="004135E9"/>
    <w:rsid w:val="00413732"/>
    <w:rsid w:val="00413AF1"/>
    <w:rsid w:val="00413B71"/>
    <w:rsid w:val="00413CC6"/>
    <w:rsid w:val="004208B8"/>
    <w:rsid w:val="0042261F"/>
    <w:rsid w:val="00424E3A"/>
    <w:rsid w:val="0042590E"/>
    <w:rsid w:val="00425B87"/>
    <w:rsid w:val="004271A9"/>
    <w:rsid w:val="00434AEE"/>
    <w:rsid w:val="00440511"/>
    <w:rsid w:val="0044076B"/>
    <w:rsid w:val="0044186D"/>
    <w:rsid w:val="0044508A"/>
    <w:rsid w:val="00453F98"/>
    <w:rsid w:val="00460956"/>
    <w:rsid w:val="00460C0E"/>
    <w:rsid w:val="00461215"/>
    <w:rsid w:val="00461C4B"/>
    <w:rsid w:val="004641BD"/>
    <w:rsid w:val="00465D69"/>
    <w:rsid w:val="00467A78"/>
    <w:rsid w:val="00470CA3"/>
    <w:rsid w:val="00473231"/>
    <w:rsid w:val="004751A9"/>
    <w:rsid w:val="004753F8"/>
    <w:rsid w:val="00475E3C"/>
    <w:rsid w:val="004846A3"/>
    <w:rsid w:val="00493374"/>
    <w:rsid w:val="00494B16"/>
    <w:rsid w:val="004974EB"/>
    <w:rsid w:val="00497B9B"/>
    <w:rsid w:val="00497D68"/>
    <w:rsid w:val="004A33F4"/>
    <w:rsid w:val="004A37E7"/>
    <w:rsid w:val="004B0B7F"/>
    <w:rsid w:val="004B38BA"/>
    <w:rsid w:val="004B6D08"/>
    <w:rsid w:val="004C0202"/>
    <w:rsid w:val="004C04E7"/>
    <w:rsid w:val="004C1B34"/>
    <w:rsid w:val="004C1DDB"/>
    <w:rsid w:val="004C5522"/>
    <w:rsid w:val="004C6602"/>
    <w:rsid w:val="004C72C4"/>
    <w:rsid w:val="004D5417"/>
    <w:rsid w:val="004D71A8"/>
    <w:rsid w:val="004D721A"/>
    <w:rsid w:val="004D7A58"/>
    <w:rsid w:val="004D7AA4"/>
    <w:rsid w:val="004E00A3"/>
    <w:rsid w:val="004E2884"/>
    <w:rsid w:val="004E66CF"/>
    <w:rsid w:val="004F3190"/>
    <w:rsid w:val="004F3490"/>
    <w:rsid w:val="004F4F77"/>
    <w:rsid w:val="004F6E4D"/>
    <w:rsid w:val="004F71FB"/>
    <w:rsid w:val="005003BE"/>
    <w:rsid w:val="005023E0"/>
    <w:rsid w:val="0050276E"/>
    <w:rsid w:val="00503EF0"/>
    <w:rsid w:val="00504D7D"/>
    <w:rsid w:val="00505377"/>
    <w:rsid w:val="0051094D"/>
    <w:rsid w:val="00513843"/>
    <w:rsid w:val="00520EE2"/>
    <w:rsid w:val="0052217F"/>
    <w:rsid w:val="005235EF"/>
    <w:rsid w:val="005345BC"/>
    <w:rsid w:val="005405AC"/>
    <w:rsid w:val="00542DB5"/>
    <w:rsid w:val="00544070"/>
    <w:rsid w:val="0054692F"/>
    <w:rsid w:val="00547CC8"/>
    <w:rsid w:val="005534C2"/>
    <w:rsid w:val="00557C3F"/>
    <w:rsid w:val="00560A31"/>
    <w:rsid w:val="00564ABF"/>
    <w:rsid w:val="005660A5"/>
    <w:rsid w:val="00567502"/>
    <w:rsid w:val="005678D0"/>
    <w:rsid w:val="00567984"/>
    <w:rsid w:val="00567B6F"/>
    <w:rsid w:val="0057551E"/>
    <w:rsid w:val="00576225"/>
    <w:rsid w:val="00576F5E"/>
    <w:rsid w:val="0057786B"/>
    <w:rsid w:val="00580E92"/>
    <w:rsid w:val="00585A71"/>
    <w:rsid w:val="005920F0"/>
    <w:rsid w:val="005A066A"/>
    <w:rsid w:val="005A076F"/>
    <w:rsid w:val="005A640C"/>
    <w:rsid w:val="005B39B9"/>
    <w:rsid w:val="005C0DB8"/>
    <w:rsid w:val="005C1966"/>
    <w:rsid w:val="005C2130"/>
    <w:rsid w:val="005C3978"/>
    <w:rsid w:val="005C434B"/>
    <w:rsid w:val="005D6FE1"/>
    <w:rsid w:val="005E2BBF"/>
    <w:rsid w:val="005E3903"/>
    <w:rsid w:val="005E58C1"/>
    <w:rsid w:val="005E6F41"/>
    <w:rsid w:val="005E74AC"/>
    <w:rsid w:val="005F15E4"/>
    <w:rsid w:val="005F2532"/>
    <w:rsid w:val="005F43F5"/>
    <w:rsid w:val="005F4A33"/>
    <w:rsid w:val="005F50AF"/>
    <w:rsid w:val="005F5EE1"/>
    <w:rsid w:val="005F68C0"/>
    <w:rsid w:val="005F6E03"/>
    <w:rsid w:val="005F718A"/>
    <w:rsid w:val="005F7F05"/>
    <w:rsid w:val="00600B6B"/>
    <w:rsid w:val="00600C29"/>
    <w:rsid w:val="006028DB"/>
    <w:rsid w:val="00607434"/>
    <w:rsid w:val="006074F2"/>
    <w:rsid w:val="0061540A"/>
    <w:rsid w:val="00621812"/>
    <w:rsid w:val="0062274F"/>
    <w:rsid w:val="00622990"/>
    <w:rsid w:val="00633E85"/>
    <w:rsid w:val="006375F5"/>
    <w:rsid w:val="00643E44"/>
    <w:rsid w:val="00643E57"/>
    <w:rsid w:val="00645810"/>
    <w:rsid w:val="00651267"/>
    <w:rsid w:val="006545A4"/>
    <w:rsid w:val="00654E73"/>
    <w:rsid w:val="00655BCF"/>
    <w:rsid w:val="00663343"/>
    <w:rsid w:val="006634D5"/>
    <w:rsid w:val="00663F8B"/>
    <w:rsid w:val="00666BA2"/>
    <w:rsid w:val="00667A58"/>
    <w:rsid w:val="00670471"/>
    <w:rsid w:val="00671E6E"/>
    <w:rsid w:val="006725B2"/>
    <w:rsid w:val="006726CD"/>
    <w:rsid w:val="00672CFF"/>
    <w:rsid w:val="00684998"/>
    <w:rsid w:val="00692E83"/>
    <w:rsid w:val="00693C1A"/>
    <w:rsid w:val="006A0BDD"/>
    <w:rsid w:val="006A10C1"/>
    <w:rsid w:val="006A1EAA"/>
    <w:rsid w:val="006A399E"/>
    <w:rsid w:val="006A59E7"/>
    <w:rsid w:val="006A6CA5"/>
    <w:rsid w:val="006A73AC"/>
    <w:rsid w:val="006B030D"/>
    <w:rsid w:val="006B398B"/>
    <w:rsid w:val="006B3E02"/>
    <w:rsid w:val="006B637D"/>
    <w:rsid w:val="006B7406"/>
    <w:rsid w:val="006B75FD"/>
    <w:rsid w:val="006C02AC"/>
    <w:rsid w:val="006C46CB"/>
    <w:rsid w:val="006C58F9"/>
    <w:rsid w:val="006C72B0"/>
    <w:rsid w:val="006C79A2"/>
    <w:rsid w:val="006D023D"/>
    <w:rsid w:val="006D0AD0"/>
    <w:rsid w:val="006D257D"/>
    <w:rsid w:val="006D6874"/>
    <w:rsid w:val="006D7368"/>
    <w:rsid w:val="006E1335"/>
    <w:rsid w:val="006E2372"/>
    <w:rsid w:val="006E3598"/>
    <w:rsid w:val="006E6C9A"/>
    <w:rsid w:val="006F0D38"/>
    <w:rsid w:val="006F1D9F"/>
    <w:rsid w:val="006F286A"/>
    <w:rsid w:val="006F7BF5"/>
    <w:rsid w:val="00703898"/>
    <w:rsid w:val="007059D3"/>
    <w:rsid w:val="00706A04"/>
    <w:rsid w:val="007076FA"/>
    <w:rsid w:val="007078AC"/>
    <w:rsid w:val="007112D7"/>
    <w:rsid w:val="0071590A"/>
    <w:rsid w:val="00720553"/>
    <w:rsid w:val="007244E6"/>
    <w:rsid w:val="00724673"/>
    <w:rsid w:val="00726272"/>
    <w:rsid w:val="007272E2"/>
    <w:rsid w:val="007349B6"/>
    <w:rsid w:val="00750BC8"/>
    <w:rsid w:val="007550F5"/>
    <w:rsid w:val="00756231"/>
    <w:rsid w:val="0076183F"/>
    <w:rsid w:val="007635A8"/>
    <w:rsid w:val="007648F6"/>
    <w:rsid w:val="00766299"/>
    <w:rsid w:val="0077487E"/>
    <w:rsid w:val="007763B1"/>
    <w:rsid w:val="00776AA6"/>
    <w:rsid w:val="00776EBC"/>
    <w:rsid w:val="0078005E"/>
    <w:rsid w:val="00781B9D"/>
    <w:rsid w:val="007870FA"/>
    <w:rsid w:val="007879D9"/>
    <w:rsid w:val="0079221C"/>
    <w:rsid w:val="00794496"/>
    <w:rsid w:val="00794616"/>
    <w:rsid w:val="007957F0"/>
    <w:rsid w:val="007A0903"/>
    <w:rsid w:val="007A1E1F"/>
    <w:rsid w:val="007A6363"/>
    <w:rsid w:val="007B2638"/>
    <w:rsid w:val="007B661C"/>
    <w:rsid w:val="007C159A"/>
    <w:rsid w:val="007C2FD6"/>
    <w:rsid w:val="007C305B"/>
    <w:rsid w:val="007C6E76"/>
    <w:rsid w:val="007C6F9A"/>
    <w:rsid w:val="007C7B85"/>
    <w:rsid w:val="007D0A61"/>
    <w:rsid w:val="007D1AE0"/>
    <w:rsid w:val="007D2332"/>
    <w:rsid w:val="007D68FD"/>
    <w:rsid w:val="007E44C9"/>
    <w:rsid w:val="007E5993"/>
    <w:rsid w:val="007E616B"/>
    <w:rsid w:val="007F16B2"/>
    <w:rsid w:val="007F2284"/>
    <w:rsid w:val="007F4B2D"/>
    <w:rsid w:val="007F67E2"/>
    <w:rsid w:val="007F706C"/>
    <w:rsid w:val="007F72F7"/>
    <w:rsid w:val="00803952"/>
    <w:rsid w:val="00804BAE"/>
    <w:rsid w:val="00807219"/>
    <w:rsid w:val="00812DB8"/>
    <w:rsid w:val="0081303E"/>
    <w:rsid w:val="00815198"/>
    <w:rsid w:val="008161F6"/>
    <w:rsid w:val="0082026D"/>
    <w:rsid w:val="00822A09"/>
    <w:rsid w:val="00823EC8"/>
    <w:rsid w:val="008258C0"/>
    <w:rsid w:val="00825F12"/>
    <w:rsid w:val="0082649C"/>
    <w:rsid w:val="00827373"/>
    <w:rsid w:val="00833112"/>
    <w:rsid w:val="0083359E"/>
    <w:rsid w:val="00833A93"/>
    <w:rsid w:val="0083531A"/>
    <w:rsid w:val="00835BF5"/>
    <w:rsid w:val="00845EC9"/>
    <w:rsid w:val="00846AA4"/>
    <w:rsid w:val="00847FBA"/>
    <w:rsid w:val="00855454"/>
    <w:rsid w:val="00856335"/>
    <w:rsid w:val="00856DB0"/>
    <w:rsid w:val="0086204C"/>
    <w:rsid w:val="008642DA"/>
    <w:rsid w:val="00864909"/>
    <w:rsid w:val="00865EE5"/>
    <w:rsid w:val="00866439"/>
    <w:rsid w:val="00867BF9"/>
    <w:rsid w:val="0087316E"/>
    <w:rsid w:val="00877CFD"/>
    <w:rsid w:val="00877F2F"/>
    <w:rsid w:val="00880939"/>
    <w:rsid w:val="00882DC9"/>
    <w:rsid w:val="00883158"/>
    <w:rsid w:val="00883D83"/>
    <w:rsid w:val="00890A9D"/>
    <w:rsid w:val="00892A86"/>
    <w:rsid w:val="00893B07"/>
    <w:rsid w:val="00895D05"/>
    <w:rsid w:val="008979C0"/>
    <w:rsid w:val="008A07A2"/>
    <w:rsid w:val="008A57B8"/>
    <w:rsid w:val="008A78CB"/>
    <w:rsid w:val="008A7F3B"/>
    <w:rsid w:val="008B1AC1"/>
    <w:rsid w:val="008B2D17"/>
    <w:rsid w:val="008B52E7"/>
    <w:rsid w:val="008C2C4D"/>
    <w:rsid w:val="008C39FB"/>
    <w:rsid w:val="008C443A"/>
    <w:rsid w:val="008C6639"/>
    <w:rsid w:val="008D0972"/>
    <w:rsid w:val="008D3B83"/>
    <w:rsid w:val="008D3C51"/>
    <w:rsid w:val="008D3CEB"/>
    <w:rsid w:val="008E3334"/>
    <w:rsid w:val="008E36C3"/>
    <w:rsid w:val="008E3F38"/>
    <w:rsid w:val="008E536C"/>
    <w:rsid w:val="008F09CC"/>
    <w:rsid w:val="008F1F9C"/>
    <w:rsid w:val="008F3DE0"/>
    <w:rsid w:val="008F4D4B"/>
    <w:rsid w:val="008F6F72"/>
    <w:rsid w:val="008F71E4"/>
    <w:rsid w:val="008F754F"/>
    <w:rsid w:val="0090123F"/>
    <w:rsid w:val="00912A5D"/>
    <w:rsid w:val="00926B4F"/>
    <w:rsid w:val="00927583"/>
    <w:rsid w:val="0093035C"/>
    <w:rsid w:val="00930A28"/>
    <w:rsid w:val="00932E05"/>
    <w:rsid w:val="009335EB"/>
    <w:rsid w:val="0093484D"/>
    <w:rsid w:val="0093635A"/>
    <w:rsid w:val="009370D9"/>
    <w:rsid w:val="009375E3"/>
    <w:rsid w:val="00947231"/>
    <w:rsid w:val="0095052E"/>
    <w:rsid w:val="0095259D"/>
    <w:rsid w:val="00952F9B"/>
    <w:rsid w:val="009608F5"/>
    <w:rsid w:val="00963E40"/>
    <w:rsid w:val="00970A71"/>
    <w:rsid w:val="00973D4D"/>
    <w:rsid w:val="00975581"/>
    <w:rsid w:val="00975D42"/>
    <w:rsid w:val="00981BE0"/>
    <w:rsid w:val="0098687B"/>
    <w:rsid w:val="00994C03"/>
    <w:rsid w:val="009961BF"/>
    <w:rsid w:val="009A2153"/>
    <w:rsid w:val="009A2DF4"/>
    <w:rsid w:val="009A5932"/>
    <w:rsid w:val="009B5790"/>
    <w:rsid w:val="009C59B1"/>
    <w:rsid w:val="009C5C37"/>
    <w:rsid w:val="009C6013"/>
    <w:rsid w:val="009C6F54"/>
    <w:rsid w:val="009E0044"/>
    <w:rsid w:val="009E0139"/>
    <w:rsid w:val="009E2ACB"/>
    <w:rsid w:val="009E43C6"/>
    <w:rsid w:val="009E600D"/>
    <w:rsid w:val="009E7D2B"/>
    <w:rsid w:val="009F256A"/>
    <w:rsid w:val="009F2759"/>
    <w:rsid w:val="009F4BA0"/>
    <w:rsid w:val="009F4BD2"/>
    <w:rsid w:val="009F532A"/>
    <w:rsid w:val="009F6C11"/>
    <w:rsid w:val="009F7D5A"/>
    <w:rsid w:val="00A00B8F"/>
    <w:rsid w:val="00A01F7B"/>
    <w:rsid w:val="00A059AF"/>
    <w:rsid w:val="00A066DF"/>
    <w:rsid w:val="00A11CB1"/>
    <w:rsid w:val="00A131AB"/>
    <w:rsid w:val="00A13740"/>
    <w:rsid w:val="00A1643D"/>
    <w:rsid w:val="00A21471"/>
    <w:rsid w:val="00A225FA"/>
    <w:rsid w:val="00A23DE6"/>
    <w:rsid w:val="00A248BC"/>
    <w:rsid w:val="00A25D09"/>
    <w:rsid w:val="00A27C3E"/>
    <w:rsid w:val="00A351C6"/>
    <w:rsid w:val="00A37983"/>
    <w:rsid w:val="00A4161B"/>
    <w:rsid w:val="00A42803"/>
    <w:rsid w:val="00A4700B"/>
    <w:rsid w:val="00A47AC2"/>
    <w:rsid w:val="00A51C00"/>
    <w:rsid w:val="00A54AD3"/>
    <w:rsid w:val="00A6328C"/>
    <w:rsid w:val="00A643D9"/>
    <w:rsid w:val="00A64A5E"/>
    <w:rsid w:val="00A72ACF"/>
    <w:rsid w:val="00A76630"/>
    <w:rsid w:val="00A76F8C"/>
    <w:rsid w:val="00A77520"/>
    <w:rsid w:val="00A778B2"/>
    <w:rsid w:val="00A8067A"/>
    <w:rsid w:val="00A812AB"/>
    <w:rsid w:val="00A9052B"/>
    <w:rsid w:val="00A91394"/>
    <w:rsid w:val="00A95B03"/>
    <w:rsid w:val="00AA1BDB"/>
    <w:rsid w:val="00AA1CEA"/>
    <w:rsid w:val="00AA3EA2"/>
    <w:rsid w:val="00AA4332"/>
    <w:rsid w:val="00AA45E9"/>
    <w:rsid w:val="00AA4AAC"/>
    <w:rsid w:val="00AB6101"/>
    <w:rsid w:val="00AB713A"/>
    <w:rsid w:val="00AB72CF"/>
    <w:rsid w:val="00AC1B8F"/>
    <w:rsid w:val="00AC50EB"/>
    <w:rsid w:val="00AC6417"/>
    <w:rsid w:val="00AD0C7C"/>
    <w:rsid w:val="00AD101A"/>
    <w:rsid w:val="00AD1E10"/>
    <w:rsid w:val="00AD2376"/>
    <w:rsid w:val="00AD3C92"/>
    <w:rsid w:val="00AE00A4"/>
    <w:rsid w:val="00AE24EC"/>
    <w:rsid w:val="00AE538B"/>
    <w:rsid w:val="00AF2107"/>
    <w:rsid w:val="00AF35CE"/>
    <w:rsid w:val="00AF4DA9"/>
    <w:rsid w:val="00B00686"/>
    <w:rsid w:val="00B046F7"/>
    <w:rsid w:val="00B04A82"/>
    <w:rsid w:val="00B06333"/>
    <w:rsid w:val="00B06628"/>
    <w:rsid w:val="00B10024"/>
    <w:rsid w:val="00B10A7E"/>
    <w:rsid w:val="00B1325D"/>
    <w:rsid w:val="00B16919"/>
    <w:rsid w:val="00B17718"/>
    <w:rsid w:val="00B21EA0"/>
    <w:rsid w:val="00B26DB1"/>
    <w:rsid w:val="00B305BA"/>
    <w:rsid w:val="00B3112D"/>
    <w:rsid w:val="00B33EF8"/>
    <w:rsid w:val="00B37C65"/>
    <w:rsid w:val="00B37FAC"/>
    <w:rsid w:val="00B40FA6"/>
    <w:rsid w:val="00B411FC"/>
    <w:rsid w:val="00B4312A"/>
    <w:rsid w:val="00B44DC9"/>
    <w:rsid w:val="00B542E6"/>
    <w:rsid w:val="00B56FF4"/>
    <w:rsid w:val="00B57841"/>
    <w:rsid w:val="00B57CA0"/>
    <w:rsid w:val="00B604E9"/>
    <w:rsid w:val="00B65010"/>
    <w:rsid w:val="00B66B5E"/>
    <w:rsid w:val="00B700E5"/>
    <w:rsid w:val="00B769D2"/>
    <w:rsid w:val="00B81C2E"/>
    <w:rsid w:val="00B82EE9"/>
    <w:rsid w:val="00B85C57"/>
    <w:rsid w:val="00B9202E"/>
    <w:rsid w:val="00B92D04"/>
    <w:rsid w:val="00B934E0"/>
    <w:rsid w:val="00B93FF6"/>
    <w:rsid w:val="00BA0880"/>
    <w:rsid w:val="00BA4CAE"/>
    <w:rsid w:val="00BA6617"/>
    <w:rsid w:val="00BA77C6"/>
    <w:rsid w:val="00BB154B"/>
    <w:rsid w:val="00BB2069"/>
    <w:rsid w:val="00BB2B47"/>
    <w:rsid w:val="00BB443E"/>
    <w:rsid w:val="00BB6CB5"/>
    <w:rsid w:val="00BB6DB2"/>
    <w:rsid w:val="00BC1A3E"/>
    <w:rsid w:val="00BC3194"/>
    <w:rsid w:val="00BC3567"/>
    <w:rsid w:val="00BC3B89"/>
    <w:rsid w:val="00BC3CF7"/>
    <w:rsid w:val="00BC4D77"/>
    <w:rsid w:val="00BD0FF2"/>
    <w:rsid w:val="00BD2C32"/>
    <w:rsid w:val="00BD3A04"/>
    <w:rsid w:val="00BD433C"/>
    <w:rsid w:val="00BD5D59"/>
    <w:rsid w:val="00BD5FA2"/>
    <w:rsid w:val="00BD7A93"/>
    <w:rsid w:val="00BE2FE2"/>
    <w:rsid w:val="00BE40ED"/>
    <w:rsid w:val="00BF2373"/>
    <w:rsid w:val="00C060BE"/>
    <w:rsid w:val="00C1130C"/>
    <w:rsid w:val="00C12F14"/>
    <w:rsid w:val="00C16248"/>
    <w:rsid w:val="00C17BBA"/>
    <w:rsid w:val="00C22613"/>
    <w:rsid w:val="00C24D1F"/>
    <w:rsid w:val="00C300C0"/>
    <w:rsid w:val="00C30EA9"/>
    <w:rsid w:val="00C33A6B"/>
    <w:rsid w:val="00C34D77"/>
    <w:rsid w:val="00C50180"/>
    <w:rsid w:val="00C51B6E"/>
    <w:rsid w:val="00C554A7"/>
    <w:rsid w:val="00C70AA8"/>
    <w:rsid w:val="00C710C8"/>
    <w:rsid w:val="00C71A28"/>
    <w:rsid w:val="00C74C1B"/>
    <w:rsid w:val="00C76680"/>
    <w:rsid w:val="00C80495"/>
    <w:rsid w:val="00C816A5"/>
    <w:rsid w:val="00C85043"/>
    <w:rsid w:val="00C90ACF"/>
    <w:rsid w:val="00C93045"/>
    <w:rsid w:val="00C936E9"/>
    <w:rsid w:val="00CA05FD"/>
    <w:rsid w:val="00CA378D"/>
    <w:rsid w:val="00CA3A6F"/>
    <w:rsid w:val="00CB0619"/>
    <w:rsid w:val="00CB08C0"/>
    <w:rsid w:val="00CB0B82"/>
    <w:rsid w:val="00CB1EF4"/>
    <w:rsid w:val="00CB3FD0"/>
    <w:rsid w:val="00CB65AC"/>
    <w:rsid w:val="00CC0BC6"/>
    <w:rsid w:val="00CC41DB"/>
    <w:rsid w:val="00CD01B3"/>
    <w:rsid w:val="00CD2D83"/>
    <w:rsid w:val="00CD3310"/>
    <w:rsid w:val="00CE086A"/>
    <w:rsid w:val="00CE0CF1"/>
    <w:rsid w:val="00CE6BDF"/>
    <w:rsid w:val="00CE7F23"/>
    <w:rsid w:val="00CF2583"/>
    <w:rsid w:val="00CF268C"/>
    <w:rsid w:val="00CF2EBF"/>
    <w:rsid w:val="00CF3A67"/>
    <w:rsid w:val="00CF4743"/>
    <w:rsid w:val="00CF4DA4"/>
    <w:rsid w:val="00CF6562"/>
    <w:rsid w:val="00D03C83"/>
    <w:rsid w:val="00D03C85"/>
    <w:rsid w:val="00D04B24"/>
    <w:rsid w:val="00D1064C"/>
    <w:rsid w:val="00D142FD"/>
    <w:rsid w:val="00D15B05"/>
    <w:rsid w:val="00D202BB"/>
    <w:rsid w:val="00D23E96"/>
    <w:rsid w:val="00D326F4"/>
    <w:rsid w:val="00D3347E"/>
    <w:rsid w:val="00D42B52"/>
    <w:rsid w:val="00D43869"/>
    <w:rsid w:val="00D513AA"/>
    <w:rsid w:val="00D5403B"/>
    <w:rsid w:val="00D5497C"/>
    <w:rsid w:val="00D56F90"/>
    <w:rsid w:val="00D65A5F"/>
    <w:rsid w:val="00D66E0C"/>
    <w:rsid w:val="00D72697"/>
    <w:rsid w:val="00D731CA"/>
    <w:rsid w:val="00D73738"/>
    <w:rsid w:val="00D742A6"/>
    <w:rsid w:val="00D7658F"/>
    <w:rsid w:val="00D83712"/>
    <w:rsid w:val="00D903EA"/>
    <w:rsid w:val="00D90942"/>
    <w:rsid w:val="00D952CA"/>
    <w:rsid w:val="00D95CCB"/>
    <w:rsid w:val="00D97221"/>
    <w:rsid w:val="00DA11E7"/>
    <w:rsid w:val="00DA27D5"/>
    <w:rsid w:val="00DA4853"/>
    <w:rsid w:val="00DB08F7"/>
    <w:rsid w:val="00DB711F"/>
    <w:rsid w:val="00DB768B"/>
    <w:rsid w:val="00DC32C9"/>
    <w:rsid w:val="00DC3B62"/>
    <w:rsid w:val="00DC5134"/>
    <w:rsid w:val="00DD2F8D"/>
    <w:rsid w:val="00DD3F62"/>
    <w:rsid w:val="00DD3FC7"/>
    <w:rsid w:val="00DD4234"/>
    <w:rsid w:val="00DE00E6"/>
    <w:rsid w:val="00DE5143"/>
    <w:rsid w:val="00DF06C4"/>
    <w:rsid w:val="00DF399F"/>
    <w:rsid w:val="00DF58FF"/>
    <w:rsid w:val="00E03B26"/>
    <w:rsid w:val="00E04447"/>
    <w:rsid w:val="00E123D3"/>
    <w:rsid w:val="00E14625"/>
    <w:rsid w:val="00E151C7"/>
    <w:rsid w:val="00E16993"/>
    <w:rsid w:val="00E16D01"/>
    <w:rsid w:val="00E17697"/>
    <w:rsid w:val="00E17CB2"/>
    <w:rsid w:val="00E22582"/>
    <w:rsid w:val="00E2356B"/>
    <w:rsid w:val="00E24451"/>
    <w:rsid w:val="00E24722"/>
    <w:rsid w:val="00E2477C"/>
    <w:rsid w:val="00E32C93"/>
    <w:rsid w:val="00E33369"/>
    <w:rsid w:val="00E36645"/>
    <w:rsid w:val="00E404ED"/>
    <w:rsid w:val="00E40A36"/>
    <w:rsid w:val="00E42434"/>
    <w:rsid w:val="00E430BA"/>
    <w:rsid w:val="00E43821"/>
    <w:rsid w:val="00E47CFB"/>
    <w:rsid w:val="00E51F8A"/>
    <w:rsid w:val="00E54E3B"/>
    <w:rsid w:val="00E55017"/>
    <w:rsid w:val="00E551AB"/>
    <w:rsid w:val="00E55D5E"/>
    <w:rsid w:val="00E61D36"/>
    <w:rsid w:val="00E6281A"/>
    <w:rsid w:val="00E64232"/>
    <w:rsid w:val="00E649F0"/>
    <w:rsid w:val="00E67F90"/>
    <w:rsid w:val="00E76969"/>
    <w:rsid w:val="00E8293B"/>
    <w:rsid w:val="00E82A3E"/>
    <w:rsid w:val="00E82C40"/>
    <w:rsid w:val="00E82CFA"/>
    <w:rsid w:val="00E83636"/>
    <w:rsid w:val="00E846FD"/>
    <w:rsid w:val="00E854E1"/>
    <w:rsid w:val="00E93493"/>
    <w:rsid w:val="00E93FE8"/>
    <w:rsid w:val="00E97EEF"/>
    <w:rsid w:val="00EA19F5"/>
    <w:rsid w:val="00EA3E05"/>
    <w:rsid w:val="00EA41A5"/>
    <w:rsid w:val="00EB26D3"/>
    <w:rsid w:val="00EB2D7B"/>
    <w:rsid w:val="00EB3C06"/>
    <w:rsid w:val="00EB43C5"/>
    <w:rsid w:val="00EB4570"/>
    <w:rsid w:val="00EB4D43"/>
    <w:rsid w:val="00EB58A6"/>
    <w:rsid w:val="00EB5FCA"/>
    <w:rsid w:val="00EC668D"/>
    <w:rsid w:val="00ED4984"/>
    <w:rsid w:val="00ED6810"/>
    <w:rsid w:val="00ED6A48"/>
    <w:rsid w:val="00EE43D9"/>
    <w:rsid w:val="00EE4FC0"/>
    <w:rsid w:val="00EE5D45"/>
    <w:rsid w:val="00EE77BD"/>
    <w:rsid w:val="00EF3CB3"/>
    <w:rsid w:val="00EF406C"/>
    <w:rsid w:val="00EF6734"/>
    <w:rsid w:val="00F03541"/>
    <w:rsid w:val="00F06ED2"/>
    <w:rsid w:val="00F07552"/>
    <w:rsid w:val="00F17D4C"/>
    <w:rsid w:val="00F22ED7"/>
    <w:rsid w:val="00F23405"/>
    <w:rsid w:val="00F326FA"/>
    <w:rsid w:val="00F32E27"/>
    <w:rsid w:val="00F37995"/>
    <w:rsid w:val="00F414D2"/>
    <w:rsid w:val="00F41653"/>
    <w:rsid w:val="00F45668"/>
    <w:rsid w:val="00F45C0F"/>
    <w:rsid w:val="00F52B35"/>
    <w:rsid w:val="00F572AA"/>
    <w:rsid w:val="00F646BB"/>
    <w:rsid w:val="00F677D2"/>
    <w:rsid w:val="00F74F39"/>
    <w:rsid w:val="00F76831"/>
    <w:rsid w:val="00F8165E"/>
    <w:rsid w:val="00F82B0E"/>
    <w:rsid w:val="00F82BA5"/>
    <w:rsid w:val="00F8345A"/>
    <w:rsid w:val="00F93B41"/>
    <w:rsid w:val="00F96734"/>
    <w:rsid w:val="00F970D4"/>
    <w:rsid w:val="00FA0956"/>
    <w:rsid w:val="00FA267F"/>
    <w:rsid w:val="00FA5FCA"/>
    <w:rsid w:val="00FA788D"/>
    <w:rsid w:val="00FB054B"/>
    <w:rsid w:val="00FB2868"/>
    <w:rsid w:val="00FB4348"/>
    <w:rsid w:val="00FB67B8"/>
    <w:rsid w:val="00FB680A"/>
    <w:rsid w:val="00FB69A2"/>
    <w:rsid w:val="00FC2591"/>
    <w:rsid w:val="00FC2749"/>
    <w:rsid w:val="00FC4205"/>
    <w:rsid w:val="00FC4B55"/>
    <w:rsid w:val="00FC6A13"/>
    <w:rsid w:val="00FD0DBC"/>
    <w:rsid w:val="00FD0F77"/>
    <w:rsid w:val="00FD1E8C"/>
    <w:rsid w:val="00FD1F47"/>
    <w:rsid w:val="00FD26FA"/>
    <w:rsid w:val="00FD3099"/>
    <w:rsid w:val="00FD41D2"/>
    <w:rsid w:val="00FD7831"/>
    <w:rsid w:val="00FE03E1"/>
    <w:rsid w:val="00FE1193"/>
    <w:rsid w:val="00FE2B49"/>
    <w:rsid w:val="00FE2FC3"/>
    <w:rsid w:val="00FF65FC"/>
    <w:rsid w:val="00FF662A"/>
    <w:rsid w:val="1227325B"/>
    <w:rsid w:val="253315E5"/>
    <w:rsid w:val="6C760B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C91C5B"/>
  <w15:docId w15:val="{B618BB8D-3B94-4C8F-940B-63945D6BC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B49"/>
    <w:pPr>
      <w:spacing w:after="200" w:line="276" w:lineRule="auto"/>
    </w:pPr>
    <w:rPr>
      <w:sz w:val="22"/>
      <w:szCs w:val="22"/>
      <w:lang w:eastAsia="en-US"/>
    </w:rPr>
  </w:style>
  <w:style w:type="paragraph" w:styleId="Heading2">
    <w:name w:val="heading 2"/>
    <w:basedOn w:val="Normal"/>
    <w:next w:val="Normal"/>
    <w:link w:val="Heading2Char"/>
    <w:uiPriority w:val="9"/>
    <w:qFormat/>
    <w:rsid w:val="00FE2B49"/>
    <w:pPr>
      <w:spacing w:before="100" w:beforeAutospacing="1" w:after="100" w:afterAutospacing="1" w:line="240" w:lineRule="auto"/>
      <w:outlineLvl w:val="1"/>
    </w:pPr>
    <w:rPr>
      <w:rFonts w:ascii="Times New Roman" w:eastAsia="Times New Roman" w:hAnsi="Times New Roman" w:cs="Times New Roman"/>
      <w:b/>
      <w:bCs/>
      <w:sz w:val="36"/>
      <w:szCs w:val="36"/>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FE2B49"/>
    <w:pPr>
      <w:tabs>
        <w:tab w:val="left" w:pos="1080"/>
      </w:tabs>
      <w:spacing w:after="0" w:line="240" w:lineRule="auto"/>
      <w:ind w:left="540" w:hanging="540"/>
      <w:jc w:val="both"/>
    </w:pPr>
    <w:rPr>
      <w:rFonts w:ascii="Arial" w:eastAsia="Times New Roman" w:hAnsi="Arial" w:cs="Times New Roman"/>
      <w:sz w:val="24"/>
      <w:szCs w:val="20"/>
      <w:lang w:val="en-GB"/>
    </w:rPr>
  </w:style>
  <w:style w:type="paragraph" w:styleId="Footer">
    <w:name w:val="footer"/>
    <w:basedOn w:val="Normal"/>
    <w:uiPriority w:val="99"/>
    <w:semiHidden/>
    <w:unhideWhenUsed/>
    <w:rsid w:val="00FE2B49"/>
    <w:pPr>
      <w:tabs>
        <w:tab w:val="center" w:pos="4153"/>
        <w:tab w:val="right" w:pos="8306"/>
      </w:tabs>
      <w:snapToGrid w:val="0"/>
    </w:pPr>
    <w:rPr>
      <w:sz w:val="18"/>
    </w:rPr>
  </w:style>
  <w:style w:type="paragraph" w:styleId="Header">
    <w:name w:val="header"/>
    <w:basedOn w:val="Normal"/>
    <w:uiPriority w:val="99"/>
    <w:semiHidden/>
    <w:unhideWhenUsed/>
    <w:rsid w:val="00FE2B49"/>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sz w:val="18"/>
    </w:rPr>
  </w:style>
  <w:style w:type="paragraph" w:styleId="FootnoteText">
    <w:name w:val="footnote text"/>
    <w:basedOn w:val="Normal"/>
    <w:link w:val="FootnoteTextChar"/>
    <w:uiPriority w:val="99"/>
    <w:semiHidden/>
    <w:unhideWhenUsed/>
    <w:qFormat/>
    <w:rsid w:val="00FE2B49"/>
    <w:pPr>
      <w:spacing w:after="0" w:line="240" w:lineRule="auto"/>
    </w:pPr>
    <w:rPr>
      <w:sz w:val="20"/>
      <w:szCs w:val="20"/>
    </w:rPr>
  </w:style>
  <w:style w:type="paragraph" w:styleId="HTMLPreformatted">
    <w:name w:val="HTML Preformatted"/>
    <w:basedOn w:val="Normal"/>
    <w:link w:val="HTMLPreformattedChar"/>
    <w:uiPriority w:val="99"/>
    <w:unhideWhenUsed/>
    <w:qFormat/>
    <w:rsid w:val="00FE2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N" w:eastAsia="en-IN"/>
    </w:rPr>
  </w:style>
  <w:style w:type="paragraph" w:styleId="NormalWeb">
    <w:name w:val="Normal (Web)"/>
    <w:basedOn w:val="Normal"/>
    <w:uiPriority w:val="99"/>
    <w:semiHidden/>
    <w:unhideWhenUsed/>
    <w:qFormat/>
    <w:rsid w:val="00FE2B49"/>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table" w:styleId="TableGrid">
    <w:name w:val="Table Grid"/>
    <w:basedOn w:val="TableNormal"/>
    <w:uiPriority w:val="59"/>
    <w:qFormat/>
    <w:rsid w:val="00FE2B49"/>
    <w:rPr>
      <w:rFonts w:eastAsiaTheme="minorHAnsi"/>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FE2B49"/>
    <w:rPr>
      <w:color w:val="0000FF" w:themeColor="hyperlink"/>
      <w:u w:val="single"/>
    </w:rPr>
  </w:style>
  <w:style w:type="character" w:styleId="FootnoteReference">
    <w:name w:val="footnote reference"/>
    <w:basedOn w:val="DefaultParagraphFont"/>
    <w:uiPriority w:val="99"/>
    <w:semiHidden/>
    <w:unhideWhenUsed/>
    <w:qFormat/>
    <w:rsid w:val="00FE2B49"/>
    <w:rPr>
      <w:vertAlign w:val="superscript"/>
    </w:rPr>
  </w:style>
  <w:style w:type="paragraph" w:styleId="ListParagraph">
    <w:name w:val="List Paragraph"/>
    <w:basedOn w:val="Normal"/>
    <w:uiPriority w:val="34"/>
    <w:qFormat/>
    <w:rsid w:val="00FE2B49"/>
    <w:pPr>
      <w:ind w:left="720"/>
      <w:contextualSpacing/>
    </w:pPr>
  </w:style>
  <w:style w:type="paragraph" w:customStyle="1" w:styleId="Normal1">
    <w:name w:val="Normal1"/>
    <w:qFormat/>
    <w:rsid w:val="00FE2B49"/>
    <w:pPr>
      <w:widowControl w:val="0"/>
      <w:spacing w:line="276" w:lineRule="auto"/>
      <w:contextualSpacing/>
    </w:pPr>
    <w:rPr>
      <w:rFonts w:ascii="Arial" w:eastAsia="Arial" w:hAnsi="Arial" w:cs="Arial"/>
      <w:color w:val="000000"/>
      <w:sz w:val="22"/>
      <w:lang w:eastAsia="en-US"/>
    </w:rPr>
  </w:style>
  <w:style w:type="character" w:customStyle="1" w:styleId="BodyTextIndentChar">
    <w:name w:val="Body Text Indent Char"/>
    <w:basedOn w:val="DefaultParagraphFont"/>
    <w:link w:val="BodyTextIndent"/>
    <w:semiHidden/>
    <w:qFormat/>
    <w:rsid w:val="00FE2B49"/>
    <w:rPr>
      <w:rFonts w:ascii="Arial" w:eastAsia="Times New Roman" w:hAnsi="Arial" w:cs="Times New Roman"/>
      <w:sz w:val="24"/>
      <w:szCs w:val="20"/>
      <w:lang w:val="en-GB"/>
    </w:rPr>
  </w:style>
  <w:style w:type="character" w:customStyle="1" w:styleId="Heading2Char">
    <w:name w:val="Heading 2 Char"/>
    <w:basedOn w:val="DefaultParagraphFont"/>
    <w:link w:val="Heading2"/>
    <w:uiPriority w:val="9"/>
    <w:qFormat/>
    <w:rsid w:val="00FE2B49"/>
    <w:rPr>
      <w:rFonts w:ascii="Times New Roman" w:eastAsia="Times New Roman" w:hAnsi="Times New Roman" w:cs="Times New Roman"/>
      <w:b/>
      <w:bCs/>
      <w:sz w:val="36"/>
      <w:szCs w:val="36"/>
      <w:lang w:val="en-IN" w:eastAsia="en-IN"/>
    </w:rPr>
  </w:style>
  <w:style w:type="character" w:customStyle="1" w:styleId="FootnoteTextChar">
    <w:name w:val="Footnote Text Char"/>
    <w:basedOn w:val="DefaultParagraphFont"/>
    <w:link w:val="FootnoteText"/>
    <w:uiPriority w:val="99"/>
    <w:semiHidden/>
    <w:qFormat/>
    <w:rsid w:val="00FE2B49"/>
    <w:rPr>
      <w:sz w:val="20"/>
      <w:szCs w:val="20"/>
    </w:rPr>
  </w:style>
  <w:style w:type="character" w:customStyle="1" w:styleId="HTMLPreformattedChar">
    <w:name w:val="HTML Preformatted Char"/>
    <w:basedOn w:val="DefaultParagraphFont"/>
    <w:link w:val="HTMLPreformatted"/>
    <w:uiPriority w:val="99"/>
    <w:qFormat/>
    <w:rsid w:val="00FE2B49"/>
    <w:rPr>
      <w:rFonts w:ascii="Courier New" w:eastAsia="Times New Roman" w:hAnsi="Courier New" w:cs="Courier New"/>
      <w:sz w:val="20"/>
      <w:szCs w:val="20"/>
      <w:lang w:val="en-IN" w:eastAsia="en-IN"/>
    </w:rPr>
  </w:style>
  <w:style w:type="character" w:customStyle="1" w:styleId="UnresolvedMention1">
    <w:name w:val="Unresolved Mention1"/>
    <w:basedOn w:val="DefaultParagraphFont"/>
    <w:uiPriority w:val="99"/>
    <w:semiHidden/>
    <w:unhideWhenUsed/>
    <w:qFormat/>
    <w:rsid w:val="00FE2B49"/>
    <w:rPr>
      <w:color w:val="605E5C"/>
      <w:shd w:val="clear" w:color="auto" w:fill="E1DFDD"/>
    </w:rPr>
  </w:style>
  <w:style w:type="paragraph" w:styleId="BalloonText">
    <w:name w:val="Balloon Text"/>
    <w:basedOn w:val="Normal"/>
    <w:link w:val="BalloonTextChar"/>
    <w:uiPriority w:val="99"/>
    <w:semiHidden/>
    <w:unhideWhenUsed/>
    <w:rsid w:val="000A6A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A5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dx.doi.org/10.7537/marsnys141221.06" TargetMode="External"/><Relationship Id="rId4" Type="http://schemas.openxmlformats.org/officeDocument/2006/relationships/styles" Target="styles.xml"/><Relationship Id="rId9" Type="http://schemas.openxmlformats.org/officeDocument/2006/relationships/hyperlink" Target="http://www.sciencepub.net/newyor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EF9CD8A7-D8B7-4085-945C-AA077608923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1649</Words>
  <Characters>9400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Jamshed Ansari</dc:creator>
  <cp:lastModifiedBy>jamshedansari024@gmail.com</cp:lastModifiedBy>
  <cp:revision>10</cp:revision>
  <cp:lastPrinted>2015-06-08T02:54:00Z</cp:lastPrinted>
  <dcterms:created xsi:type="dcterms:W3CDTF">2022-01-14T12:58:00Z</dcterms:created>
  <dcterms:modified xsi:type="dcterms:W3CDTF">2022-01-14T13:15:00Z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36DBE11DAF374D908CFBE05D85420C0A</vt:lpwstr>
  </property>
</Properties>
</file>