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A1" w:rsidRDefault="004B46A1">
      <w:pPr>
        <w:pStyle w:val="NoSpacing"/>
        <w:snapToGrid w:val="0"/>
        <w:jc w:val="center"/>
        <w:rPr>
          <w:rFonts w:ascii="Times New Roman" w:hAnsi="Times New Roman" w:cs="Times New Roman"/>
          <w:b/>
          <w:sz w:val="20"/>
          <w:szCs w:val="20"/>
        </w:rPr>
      </w:pPr>
    </w:p>
    <w:p w:rsidR="004B46A1" w:rsidRDefault="00B62C3E">
      <w:pPr>
        <w:pStyle w:val="NoSpacing"/>
        <w:snapToGrid w:val="0"/>
        <w:jc w:val="center"/>
        <w:rPr>
          <w:rFonts w:ascii="Times New Roman" w:hAnsi="Times New Roman" w:cs="Times New Roman"/>
          <w:b/>
          <w:sz w:val="20"/>
          <w:szCs w:val="20"/>
        </w:rPr>
      </w:pPr>
      <w:r>
        <w:rPr>
          <w:rFonts w:ascii="Times New Roman" w:hAnsi="Times New Roman" w:cs="Times New Roman"/>
          <w:b/>
          <w:sz w:val="20"/>
          <w:szCs w:val="20"/>
        </w:rPr>
        <w:t xml:space="preserve">Analysis of the Proximate Composition and Microbial Load of Chicken as Influenced by Oven Drying </w:t>
      </w:r>
    </w:p>
    <w:p w:rsidR="004B46A1" w:rsidRDefault="004B46A1">
      <w:pPr>
        <w:snapToGrid w:val="0"/>
        <w:jc w:val="center"/>
        <w:rPr>
          <w:sz w:val="20"/>
          <w:szCs w:val="20"/>
          <w:lang w:eastAsia="zh-CN"/>
        </w:rPr>
      </w:pPr>
    </w:p>
    <w:p w:rsidR="004B46A1" w:rsidRDefault="00B62C3E">
      <w:pPr>
        <w:pStyle w:val="NoSpacing"/>
        <w:snapToGrid w:val="0"/>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Oladimeji S. T.,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Azeez, A. A., </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Ezenwogene, R. C.,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Onatola, I. T.,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Ugama, E. E.,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Ate, J. T. and </w:t>
      </w:r>
      <w:r>
        <w:rPr>
          <w:rFonts w:ascii="Times New Roman" w:hAnsi="Times New Roman" w:cs="Times New Roman"/>
          <w:bCs/>
          <w:sz w:val="20"/>
          <w:szCs w:val="20"/>
          <w:vertAlign w:val="superscript"/>
        </w:rPr>
        <w:t>1</w:t>
      </w:r>
      <w:r>
        <w:rPr>
          <w:rFonts w:ascii="Times New Roman" w:hAnsi="Times New Roman" w:cs="Times New Roman"/>
          <w:bCs/>
          <w:sz w:val="20"/>
          <w:szCs w:val="20"/>
        </w:rPr>
        <w:t>Ajekiigbe, D. A.</w:t>
      </w:r>
    </w:p>
    <w:p w:rsidR="004B46A1" w:rsidRDefault="004B46A1">
      <w:pPr>
        <w:pStyle w:val="NoSpacing"/>
        <w:snapToGrid w:val="0"/>
        <w:jc w:val="center"/>
        <w:rPr>
          <w:rFonts w:ascii="Times New Roman" w:hAnsi="Times New Roman" w:cs="Times New Roman"/>
          <w:bCs/>
          <w:sz w:val="20"/>
          <w:szCs w:val="20"/>
        </w:rPr>
      </w:pPr>
    </w:p>
    <w:p w:rsidR="004B46A1" w:rsidRPr="00632F86" w:rsidRDefault="00B62C3E">
      <w:pPr>
        <w:pStyle w:val="NoSpacing"/>
        <w:snapToGrid w:val="0"/>
        <w:jc w:val="center"/>
        <w:rPr>
          <w:rFonts w:ascii="Times New Roman" w:hAnsi="Times New Roman" w:cs="Times New Roman"/>
          <w:bCs/>
          <w:iCs/>
          <w:sz w:val="20"/>
          <w:szCs w:val="20"/>
        </w:rPr>
      </w:pPr>
      <w:r w:rsidRPr="00632F86">
        <w:rPr>
          <w:rFonts w:ascii="Times New Roman" w:hAnsi="Times New Roman" w:cs="Times New Roman"/>
          <w:bCs/>
          <w:iCs/>
          <w:sz w:val="20"/>
          <w:szCs w:val="20"/>
          <w:vertAlign w:val="superscript"/>
        </w:rPr>
        <w:t>1</w:t>
      </w:r>
      <w:r w:rsidRPr="00632F86">
        <w:rPr>
          <w:rFonts w:ascii="Times New Roman" w:hAnsi="Times New Roman" w:cs="Times New Roman"/>
          <w:bCs/>
          <w:iCs/>
          <w:sz w:val="20"/>
          <w:szCs w:val="20"/>
        </w:rPr>
        <w:t xml:space="preserve">Department of Agricultural and Bio-Environmental Engineering, Federal College of Agriculture, Moor Plantation, </w:t>
      </w:r>
      <w:proofErr w:type="spellStart"/>
      <w:r w:rsidRPr="00632F86">
        <w:rPr>
          <w:rFonts w:ascii="Times New Roman" w:hAnsi="Times New Roman" w:cs="Times New Roman"/>
          <w:bCs/>
          <w:iCs/>
          <w:sz w:val="20"/>
          <w:szCs w:val="20"/>
        </w:rPr>
        <w:t>Apata</w:t>
      </w:r>
      <w:proofErr w:type="spellEnd"/>
      <w:r w:rsidRPr="00632F86">
        <w:rPr>
          <w:rFonts w:ascii="Times New Roman" w:hAnsi="Times New Roman" w:cs="Times New Roman"/>
          <w:bCs/>
          <w:iCs/>
          <w:sz w:val="20"/>
          <w:szCs w:val="20"/>
        </w:rPr>
        <w:t>, Ibadan</w:t>
      </w:r>
    </w:p>
    <w:p w:rsidR="004B46A1" w:rsidRPr="00632F86" w:rsidRDefault="00B62C3E">
      <w:pPr>
        <w:pStyle w:val="NoSpacing"/>
        <w:snapToGrid w:val="0"/>
        <w:jc w:val="center"/>
        <w:rPr>
          <w:rFonts w:ascii="Times New Roman" w:hAnsi="Times New Roman" w:cs="Times New Roman"/>
          <w:b/>
          <w:sz w:val="20"/>
          <w:szCs w:val="20"/>
        </w:rPr>
      </w:pPr>
      <w:r w:rsidRPr="00632F86">
        <w:rPr>
          <w:rFonts w:ascii="Times New Roman" w:hAnsi="Times New Roman" w:cs="Times New Roman"/>
          <w:bCs/>
          <w:iCs/>
          <w:sz w:val="20"/>
          <w:szCs w:val="20"/>
          <w:vertAlign w:val="superscript"/>
        </w:rPr>
        <w:t>2</w:t>
      </w:r>
      <w:r w:rsidRPr="00632F86">
        <w:rPr>
          <w:rFonts w:ascii="Times New Roman" w:hAnsi="Times New Roman" w:cs="Times New Roman"/>
          <w:bCs/>
          <w:iCs/>
          <w:sz w:val="20"/>
          <w:szCs w:val="20"/>
        </w:rPr>
        <w:t xml:space="preserve">Department of Agricultural and Bio-Environmental Engineering, Federal College of Agriculture, </w:t>
      </w:r>
      <w:proofErr w:type="spellStart"/>
      <w:r w:rsidRPr="00632F86">
        <w:rPr>
          <w:rFonts w:ascii="Times New Roman" w:hAnsi="Times New Roman" w:cs="Times New Roman"/>
          <w:bCs/>
          <w:iCs/>
          <w:sz w:val="20"/>
          <w:szCs w:val="20"/>
        </w:rPr>
        <w:t>Ishiagu</w:t>
      </w:r>
      <w:proofErr w:type="spellEnd"/>
    </w:p>
    <w:p w:rsidR="004B46A1" w:rsidRDefault="004B46A1">
      <w:pPr>
        <w:snapToGrid w:val="0"/>
        <w:jc w:val="both"/>
        <w:rPr>
          <w:sz w:val="20"/>
          <w:szCs w:val="20"/>
        </w:rPr>
      </w:pPr>
    </w:p>
    <w:p w:rsidR="004B46A1" w:rsidRDefault="00B62C3E">
      <w:pPr>
        <w:snapToGrid w:val="0"/>
        <w:jc w:val="both"/>
        <w:rPr>
          <w:sz w:val="20"/>
          <w:szCs w:val="20"/>
        </w:rPr>
      </w:pPr>
      <w:r>
        <w:rPr>
          <w:b/>
          <w:sz w:val="20"/>
          <w:szCs w:val="20"/>
        </w:rPr>
        <w:t xml:space="preserve">Abstract: </w:t>
      </w:r>
      <w:bookmarkStart w:id="0" w:name="OLE_LINK1"/>
      <w:bookmarkStart w:id="1" w:name="OLE_LINK2"/>
      <w:r>
        <w:rPr>
          <w:sz w:val="20"/>
          <w:szCs w:val="20"/>
        </w:rPr>
        <w:t xml:space="preserve">Meat products undergo changes during drying and storage that changes their quality however, it is essential to minimize these changes while maximizing process efficiency. The effect of oven drying on some quality attributes of meat including sensory properties (like </w:t>
      </w:r>
      <w:proofErr w:type="spellStart"/>
      <w:r>
        <w:rPr>
          <w:sz w:val="20"/>
          <w:szCs w:val="20"/>
        </w:rPr>
        <w:t>colour</w:t>
      </w:r>
      <w:proofErr w:type="spellEnd"/>
      <w:r>
        <w:rPr>
          <w:sz w:val="20"/>
          <w:szCs w:val="20"/>
        </w:rPr>
        <w:t xml:space="preserve">, flavor, taste, texture, tenderness, juiciness and overall acceptability) and physical properties (like cooking loss, pH and water holding capacity) have been reported but there is dearth of information on the degree of influence of oven drying on outstanding quality parameters of meat hence the need for this study. The study was carried out at the Institute of Agriculture Research and Training, Moor Plantation </w:t>
      </w:r>
      <w:proofErr w:type="spellStart"/>
      <w:r>
        <w:rPr>
          <w:sz w:val="20"/>
          <w:szCs w:val="20"/>
        </w:rPr>
        <w:t>Apata</w:t>
      </w:r>
      <w:proofErr w:type="spellEnd"/>
      <w:r>
        <w:rPr>
          <w:sz w:val="20"/>
          <w:szCs w:val="20"/>
        </w:rPr>
        <w:t xml:space="preserve">, Ibadan, Southwest, Oyo State. 10kg of frozen chicken was placed in warm water for about 15 minutes in other to defreeze. After the </w:t>
      </w:r>
      <w:proofErr w:type="spellStart"/>
      <w:r>
        <w:rPr>
          <w:sz w:val="20"/>
          <w:szCs w:val="20"/>
        </w:rPr>
        <w:t>defreezing</w:t>
      </w:r>
      <w:proofErr w:type="spellEnd"/>
      <w:r>
        <w:rPr>
          <w:sz w:val="20"/>
          <w:szCs w:val="20"/>
        </w:rPr>
        <w:t xml:space="preserve">, the chicken was cut into pieces and then cooked for about 45 minutes to soften it. The chicken was deboned and the lean meat was grinded minced using mortar and pestle. The minced chicken meat was poured into a big bowl, then 213.97g of butter was added together with 85.67g of red chili pepper, 44.24g of Nut Meg, 120.06g of Green pepper, 85.33g of Ginger, 350gof corn flour, Onion and garlic powder of 1g, </w:t>
      </w:r>
      <w:proofErr w:type="spellStart"/>
      <w:r>
        <w:rPr>
          <w:sz w:val="20"/>
          <w:szCs w:val="20"/>
        </w:rPr>
        <w:t>Maggi</w:t>
      </w:r>
      <w:proofErr w:type="spellEnd"/>
      <w:r>
        <w:rPr>
          <w:sz w:val="20"/>
          <w:szCs w:val="20"/>
        </w:rPr>
        <w:t xml:space="preserve"> and salt were all added to the minced chicken. Samples were dried in the oven at 70 and 85</w:t>
      </w:r>
      <w:r>
        <w:rPr>
          <w:sz w:val="20"/>
          <w:szCs w:val="20"/>
          <w:vertAlign w:val="superscript"/>
        </w:rPr>
        <w:t>o</w:t>
      </w:r>
      <w:r>
        <w:rPr>
          <w:sz w:val="20"/>
          <w:szCs w:val="20"/>
        </w:rPr>
        <w:t xml:space="preserve">C and the </w:t>
      </w:r>
      <w:r>
        <w:rPr>
          <w:bCs/>
          <w:sz w:val="20"/>
          <w:szCs w:val="20"/>
        </w:rPr>
        <w:t xml:space="preserve">proximate composition determined include crude protein, crude fat, crude </w:t>
      </w:r>
      <w:proofErr w:type="spellStart"/>
      <w:r>
        <w:rPr>
          <w:bCs/>
          <w:sz w:val="20"/>
          <w:szCs w:val="20"/>
        </w:rPr>
        <w:t>fibre</w:t>
      </w:r>
      <w:proofErr w:type="spellEnd"/>
      <w:r>
        <w:rPr>
          <w:bCs/>
          <w:sz w:val="20"/>
          <w:szCs w:val="20"/>
        </w:rPr>
        <w:t xml:space="preserve"> Proximate Product Yield, Lipid oxidation, while the microbial loads of the sausage was also carried out and monitored at day 0, 3, 6, and 9 consecutively. </w:t>
      </w:r>
      <w:r>
        <w:rPr>
          <w:sz w:val="20"/>
          <w:szCs w:val="20"/>
        </w:rPr>
        <w:t xml:space="preserve">The results showed that the oven dried sausage raised the shelf life proximate attributes by increasing the crude protein, crude fat, crude </w:t>
      </w:r>
      <w:proofErr w:type="spellStart"/>
      <w:r>
        <w:rPr>
          <w:sz w:val="20"/>
          <w:szCs w:val="20"/>
        </w:rPr>
        <w:t>fibre</w:t>
      </w:r>
      <w:proofErr w:type="spellEnd"/>
      <w:r>
        <w:rPr>
          <w:sz w:val="20"/>
          <w:szCs w:val="20"/>
        </w:rPr>
        <w:t xml:space="preserve"> and ash content. Samples dried at 70</w:t>
      </w:r>
      <w:r>
        <w:rPr>
          <w:sz w:val="20"/>
          <w:szCs w:val="20"/>
          <w:vertAlign w:val="superscript"/>
        </w:rPr>
        <w:t>o</w:t>
      </w:r>
      <w:r>
        <w:rPr>
          <w:sz w:val="20"/>
          <w:szCs w:val="20"/>
        </w:rPr>
        <w:t>C for 40 minutes, 85</w:t>
      </w:r>
      <w:r>
        <w:rPr>
          <w:sz w:val="20"/>
          <w:szCs w:val="20"/>
          <w:vertAlign w:val="superscript"/>
        </w:rPr>
        <w:t>o</w:t>
      </w:r>
      <w:r>
        <w:rPr>
          <w:sz w:val="20"/>
          <w:szCs w:val="20"/>
        </w:rPr>
        <w:t>C for 50 minutes and 85</w:t>
      </w:r>
      <w:r>
        <w:rPr>
          <w:sz w:val="20"/>
          <w:szCs w:val="20"/>
          <w:vertAlign w:val="superscript"/>
        </w:rPr>
        <w:t>o</w:t>
      </w:r>
      <w:r>
        <w:rPr>
          <w:sz w:val="20"/>
          <w:szCs w:val="20"/>
        </w:rPr>
        <w:t xml:space="preserve">C for 60 minutes gave best chicken quality. </w:t>
      </w:r>
      <w:bookmarkEnd w:id="0"/>
      <w:bookmarkEnd w:id="1"/>
    </w:p>
    <w:p w:rsidR="004B46A1" w:rsidRDefault="00B62C3E">
      <w:pPr>
        <w:jc w:val="both"/>
        <w:rPr>
          <w:color w:val="0000FF"/>
          <w:sz w:val="20"/>
          <w:szCs w:val="20"/>
          <w:lang w:eastAsia="zh-CN"/>
        </w:rPr>
      </w:pPr>
      <w:r>
        <w:rPr>
          <w:sz w:val="20"/>
          <w:szCs w:val="20"/>
        </w:rPr>
        <w:t>[</w:t>
      </w:r>
      <w:proofErr w:type="spellStart"/>
      <w:r>
        <w:rPr>
          <w:bCs/>
          <w:sz w:val="20"/>
          <w:szCs w:val="20"/>
        </w:rPr>
        <w:t>Oladimeji</w:t>
      </w:r>
      <w:proofErr w:type="spellEnd"/>
      <w:r>
        <w:rPr>
          <w:bCs/>
          <w:sz w:val="20"/>
          <w:szCs w:val="20"/>
        </w:rPr>
        <w:t xml:space="preserve"> S. T., </w:t>
      </w:r>
      <w:proofErr w:type="spellStart"/>
      <w:r>
        <w:rPr>
          <w:bCs/>
          <w:sz w:val="20"/>
          <w:szCs w:val="20"/>
        </w:rPr>
        <w:t>Azeez</w:t>
      </w:r>
      <w:proofErr w:type="spellEnd"/>
      <w:r>
        <w:rPr>
          <w:bCs/>
          <w:sz w:val="20"/>
          <w:szCs w:val="20"/>
        </w:rPr>
        <w:t xml:space="preserve">, A. A., </w:t>
      </w:r>
      <w:proofErr w:type="spellStart"/>
      <w:r>
        <w:rPr>
          <w:bCs/>
          <w:sz w:val="20"/>
          <w:szCs w:val="20"/>
        </w:rPr>
        <w:t>Ezenwogene</w:t>
      </w:r>
      <w:proofErr w:type="spellEnd"/>
      <w:r>
        <w:rPr>
          <w:bCs/>
          <w:sz w:val="20"/>
          <w:szCs w:val="20"/>
        </w:rPr>
        <w:t xml:space="preserve">, R. C., </w:t>
      </w:r>
      <w:proofErr w:type="spellStart"/>
      <w:r>
        <w:rPr>
          <w:bCs/>
          <w:sz w:val="20"/>
          <w:szCs w:val="20"/>
        </w:rPr>
        <w:t>Onatola</w:t>
      </w:r>
      <w:proofErr w:type="spellEnd"/>
      <w:r>
        <w:rPr>
          <w:bCs/>
          <w:sz w:val="20"/>
          <w:szCs w:val="20"/>
        </w:rPr>
        <w:t xml:space="preserve">, I. T., </w:t>
      </w:r>
      <w:proofErr w:type="spellStart"/>
      <w:r>
        <w:rPr>
          <w:bCs/>
          <w:sz w:val="20"/>
          <w:szCs w:val="20"/>
        </w:rPr>
        <w:t>Ugama</w:t>
      </w:r>
      <w:proofErr w:type="spellEnd"/>
      <w:r>
        <w:rPr>
          <w:bCs/>
          <w:sz w:val="20"/>
          <w:szCs w:val="20"/>
        </w:rPr>
        <w:t xml:space="preserve">, E. E., Ate, J. T. and </w:t>
      </w:r>
      <w:proofErr w:type="spellStart"/>
      <w:r>
        <w:rPr>
          <w:bCs/>
          <w:sz w:val="20"/>
          <w:szCs w:val="20"/>
        </w:rPr>
        <w:t>Ajekiigbe</w:t>
      </w:r>
      <w:proofErr w:type="spellEnd"/>
      <w:r>
        <w:rPr>
          <w:bCs/>
          <w:sz w:val="20"/>
          <w:szCs w:val="20"/>
        </w:rPr>
        <w:t>, D. A.</w:t>
      </w:r>
      <w:r>
        <w:rPr>
          <w:sz w:val="20"/>
          <w:szCs w:val="20"/>
        </w:rPr>
        <w:t xml:space="preserve"> </w:t>
      </w:r>
      <w:r>
        <w:rPr>
          <w:b/>
          <w:sz w:val="20"/>
          <w:szCs w:val="20"/>
        </w:rPr>
        <w:t>Analysis of the Proximate Composition and Microbial Load of Chicken as Influenced by Oven Drying.</w:t>
      </w:r>
      <w:r>
        <w:rPr>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hint="eastAsia"/>
          <w:bCs/>
          <w:i/>
          <w:sz w:val="20"/>
          <w:szCs w:val="20"/>
          <w:lang w:eastAsia="zh-CN"/>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3</w:t>
      </w:r>
      <w:r>
        <w:rPr>
          <w:sz w:val="20"/>
          <w:szCs w:val="20"/>
        </w:rPr>
        <w:t>):</w:t>
      </w:r>
      <w:r w:rsidR="001271D1">
        <w:rPr>
          <w:rFonts w:hint="eastAsia"/>
          <w:sz w:val="20"/>
          <w:szCs w:val="20"/>
          <w:lang w:eastAsia="zh-CN"/>
        </w:rPr>
        <w:t>28</w:t>
      </w:r>
      <w:r>
        <w:rPr>
          <w:sz w:val="20"/>
          <w:szCs w:val="20"/>
          <w:lang w:eastAsia="zh-CN"/>
        </w:rPr>
        <w:t>-</w:t>
      </w:r>
      <w:r>
        <w:rPr>
          <w:rFonts w:hint="eastAsia"/>
          <w:sz w:val="20"/>
          <w:szCs w:val="20"/>
          <w:lang w:eastAsia="zh-CN"/>
        </w:rPr>
        <w:t>3</w:t>
      </w:r>
      <w:r w:rsidR="001271D1">
        <w:rPr>
          <w:rFonts w:hint="eastAsia"/>
          <w:sz w:val="20"/>
          <w:szCs w:val="20"/>
          <w:lang w:eastAsia="zh-CN"/>
        </w:rPr>
        <w:t>3</w:t>
      </w:r>
      <w:bookmarkStart w:id="2" w:name="_GoBack"/>
      <w:bookmarkEnd w:id="2"/>
      <w:r>
        <w:rPr>
          <w:sz w:val="20"/>
          <w:szCs w:val="20"/>
        </w:rPr>
        <w:t>]</w:t>
      </w:r>
      <w:r>
        <w:rPr>
          <w:sz w:val="20"/>
          <w:szCs w:val="20"/>
          <w:lang w:eastAsia="zh-CN"/>
        </w:rPr>
        <w:t xml:space="preserve"> </w:t>
      </w:r>
      <w:r>
        <w:rPr>
          <w:iCs/>
          <w:sz w:val="20"/>
          <w:szCs w:val="20"/>
          <w:lang w:eastAsia="zh-CN"/>
        </w:rPr>
        <w:t>ISSN 1554-0200(print);ISSN 2375-723X</w:t>
      </w:r>
      <w:r>
        <w:rPr>
          <w:rFonts w:hint="eastAsia"/>
          <w:iCs/>
          <w:sz w:val="20"/>
          <w:szCs w:val="20"/>
          <w:lang w:eastAsia="zh-CN"/>
        </w:rPr>
        <w:t xml:space="preserve"> </w:t>
      </w:r>
      <w:r>
        <w:rPr>
          <w:iCs/>
          <w:sz w:val="20"/>
          <w:szCs w:val="20"/>
          <w:lang w:eastAsia="zh-CN"/>
        </w:rPr>
        <w:t xml:space="preserve">(online) </w:t>
      </w:r>
      <w:hyperlink r:id="rId8" w:history="1">
        <w:r>
          <w:rPr>
            <w:rStyle w:val="Hyperlink"/>
            <w:sz w:val="20"/>
            <w:szCs w:val="20"/>
          </w:rPr>
          <w:t>http://www.sciencepub.net/newyork</w:t>
        </w:r>
      </w:hyperlink>
      <w:r>
        <w:rPr>
          <w:color w:val="0000FF"/>
          <w:sz w:val="20"/>
          <w:szCs w:val="20"/>
          <w:lang w:eastAsia="zh-CN"/>
        </w:rPr>
        <w:t xml:space="preserve">. </w:t>
      </w:r>
      <w:r w:rsidR="002600A7">
        <w:rPr>
          <w:rFonts w:hint="eastAsia"/>
          <w:color w:val="0000FF"/>
          <w:sz w:val="20"/>
          <w:szCs w:val="20"/>
          <w:lang w:eastAsia="zh-CN"/>
        </w:rPr>
        <w:t xml:space="preserve">3. </w:t>
      </w:r>
    </w:p>
    <w:p w:rsidR="004B46A1" w:rsidRDefault="00B62C3E">
      <w:pPr>
        <w:snapToGrid w:val="0"/>
        <w:jc w:val="both"/>
        <w:rPr>
          <w:color w:val="0000FF"/>
          <w:sz w:val="20"/>
          <w:szCs w:val="20"/>
          <w:lang w:eastAsia="zh-CN"/>
        </w:rPr>
      </w:pPr>
      <w:r>
        <w:rPr>
          <w:color w:val="3A42EF"/>
          <w:sz w:val="20"/>
          <w:szCs w:val="20"/>
          <w:u w:val="single"/>
          <w:shd w:val="clear" w:color="auto" w:fill="FFFFFF"/>
        </w:rPr>
        <w:t>doi:</w:t>
      </w:r>
      <w:hyperlink r:id="rId9" w:history="1">
        <w:r>
          <w:rPr>
            <w:rStyle w:val="Hyperlink"/>
            <w:sz w:val="20"/>
            <w:szCs w:val="20"/>
            <w:shd w:val="clear" w:color="auto" w:fill="FFFFFF"/>
          </w:rPr>
          <w:t>10.7537/marsnys150322.03</w:t>
        </w:r>
      </w:hyperlink>
      <w:r>
        <w:rPr>
          <w:rFonts w:hint="eastAsia"/>
          <w:color w:val="0000FF"/>
          <w:sz w:val="20"/>
          <w:szCs w:val="20"/>
          <w:lang w:eastAsia="zh-CN"/>
        </w:rPr>
        <w:t>.</w:t>
      </w:r>
    </w:p>
    <w:p w:rsidR="004B46A1" w:rsidRDefault="004B46A1">
      <w:pPr>
        <w:snapToGrid w:val="0"/>
        <w:jc w:val="both"/>
        <w:rPr>
          <w:color w:val="0000FF"/>
          <w:sz w:val="20"/>
          <w:szCs w:val="20"/>
          <w:lang w:eastAsia="zh-CN"/>
        </w:rPr>
      </w:pPr>
    </w:p>
    <w:p w:rsidR="004B46A1" w:rsidRDefault="00B62C3E">
      <w:pPr>
        <w:snapToGrid w:val="0"/>
        <w:jc w:val="both"/>
        <w:rPr>
          <w:sz w:val="20"/>
          <w:szCs w:val="20"/>
        </w:rPr>
      </w:pPr>
      <w:r>
        <w:rPr>
          <w:b/>
          <w:sz w:val="20"/>
          <w:szCs w:val="20"/>
        </w:rPr>
        <w:t xml:space="preserve">Keywords: </w:t>
      </w:r>
      <w:r>
        <w:rPr>
          <w:sz w:val="20"/>
          <w:szCs w:val="20"/>
        </w:rPr>
        <w:t>Chicken, meat processing, quality, proximate, microbe</w:t>
      </w:r>
    </w:p>
    <w:p w:rsidR="004B46A1" w:rsidRDefault="004B46A1">
      <w:pPr>
        <w:snapToGrid w:val="0"/>
        <w:jc w:val="both"/>
        <w:rPr>
          <w:sz w:val="20"/>
          <w:szCs w:val="20"/>
        </w:rPr>
      </w:pPr>
    </w:p>
    <w:p w:rsidR="004B46A1" w:rsidRDefault="004B46A1">
      <w:pPr>
        <w:snapToGrid w:val="0"/>
        <w:jc w:val="both"/>
        <w:rPr>
          <w:b/>
          <w:sz w:val="20"/>
          <w:szCs w:val="20"/>
          <w:lang w:eastAsia="zh-CN"/>
        </w:rPr>
      </w:pPr>
    </w:p>
    <w:p w:rsidR="00632F86" w:rsidRDefault="00632F86">
      <w:pPr>
        <w:snapToGrid w:val="0"/>
        <w:jc w:val="both"/>
        <w:rPr>
          <w:b/>
          <w:sz w:val="20"/>
          <w:szCs w:val="20"/>
          <w:lang w:eastAsia="zh-CN"/>
        </w:rPr>
        <w:sectPr w:rsidR="00632F86" w:rsidSect="001271D1">
          <w:headerReference w:type="default" r:id="rId10"/>
          <w:footerReference w:type="even" r:id="rId11"/>
          <w:footerReference w:type="default" r:id="rId12"/>
          <w:headerReference w:type="first" r:id="rId13"/>
          <w:footerReference w:type="first" r:id="rId14"/>
          <w:footnotePr>
            <w:pos w:val="beneathText"/>
          </w:footnotePr>
          <w:pgSz w:w="12240" w:h="15840"/>
          <w:pgMar w:top="1440" w:right="1440" w:bottom="1440" w:left="1440" w:header="720" w:footer="720" w:gutter="0"/>
          <w:pgNumType w:start="28"/>
          <w:cols w:space="720"/>
          <w:titlePg/>
          <w:docGrid w:linePitch="360"/>
        </w:sectPr>
      </w:pPr>
    </w:p>
    <w:p w:rsidR="004B46A1" w:rsidRDefault="00B62C3E">
      <w:pPr>
        <w:snapToGrid w:val="0"/>
        <w:jc w:val="both"/>
        <w:rPr>
          <w:b/>
          <w:sz w:val="20"/>
          <w:szCs w:val="20"/>
        </w:rPr>
      </w:pPr>
      <w:r>
        <w:rPr>
          <w:b/>
          <w:sz w:val="20"/>
          <w:szCs w:val="20"/>
        </w:rPr>
        <w:lastRenderedPageBreak/>
        <w:t>1. Introduction</w:t>
      </w:r>
    </w:p>
    <w:p w:rsidR="004B46A1" w:rsidRDefault="00B62C3E" w:rsidP="00632F86">
      <w:pPr>
        <w:snapToGrid w:val="0"/>
        <w:ind w:firstLine="720"/>
        <w:jc w:val="both"/>
        <w:rPr>
          <w:sz w:val="20"/>
          <w:szCs w:val="20"/>
        </w:rPr>
      </w:pPr>
      <w:r>
        <w:rPr>
          <w:sz w:val="20"/>
          <w:szCs w:val="20"/>
        </w:rPr>
        <w:t>One of the most important fundamentals for the development of civilization was food preservation and storage (</w:t>
      </w:r>
      <w:proofErr w:type="spellStart"/>
      <w:r>
        <w:rPr>
          <w:sz w:val="20"/>
          <w:szCs w:val="20"/>
        </w:rPr>
        <w:t>Ogunlade</w:t>
      </w:r>
      <w:proofErr w:type="spellEnd"/>
      <w:r>
        <w:rPr>
          <w:sz w:val="20"/>
          <w:szCs w:val="20"/>
        </w:rPr>
        <w:t xml:space="preserve"> and </w:t>
      </w:r>
      <w:proofErr w:type="spellStart"/>
      <w:r>
        <w:rPr>
          <w:sz w:val="20"/>
          <w:szCs w:val="20"/>
        </w:rPr>
        <w:t>Aremu</w:t>
      </w:r>
      <w:proofErr w:type="spellEnd"/>
      <w:r>
        <w:rPr>
          <w:sz w:val="20"/>
          <w:szCs w:val="20"/>
        </w:rPr>
        <w:t>, 2019; 2020). The transformation of raw materials to stable foods by drying and fermentation was well known in many ancient cultures and used for different foods such as meat. Drying of meat is the oldest method of meat preservation.  Drying is the application of heat to remove the majority of water by evaporation.  Drying can be achieved through the use of solar energy, smoking as in smoke-drying, hot-air drying and freeze-drying achieved by sublimation (</w:t>
      </w:r>
      <w:bookmarkStart w:id="5" w:name="_Hlk98772065"/>
      <w:r>
        <w:rPr>
          <w:sz w:val="20"/>
          <w:szCs w:val="20"/>
        </w:rPr>
        <w:t>Fellows, 2000</w:t>
      </w:r>
      <w:bookmarkEnd w:id="5"/>
      <w:r>
        <w:rPr>
          <w:sz w:val="20"/>
          <w:szCs w:val="20"/>
        </w:rPr>
        <w:t xml:space="preserve">). Meat is nutritious and contains protein of high quality with all the complements of essential and non-essential amino acids needed to build, maintain and repair body tissue and help fight infections and diseases. Mineral iron together with the high quality protein is vital in the formation and maintenance of </w:t>
      </w:r>
      <w:r>
        <w:rPr>
          <w:sz w:val="20"/>
          <w:szCs w:val="20"/>
        </w:rPr>
        <w:lastRenderedPageBreak/>
        <w:t xml:space="preserve">red blood cells and prevention of anemia. Meat is one of the best sources of phosphorus which is essential for muscles, fetal development, lactation, nerves and many organs (Marco et al., 2008). However, despite the nutritional content of meat products, they are highly susceptible to spoilage due to actions of microorganisms which causes spoilage and constitutes health problems for man (FAO, 2010; </w:t>
      </w:r>
      <w:proofErr w:type="spellStart"/>
      <w:r>
        <w:rPr>
          <w:sz w:val="20"/>
          <w:szCs w:val="20"/>
        </w:rPr>
        <w:t>Aremu</w:t>
      </w:r>
      <w:proofErr w:type="spellEnd"/>
      <w:r>
        <w:rPr>
          <w:sz w:val="20"/>
          <w:szCs w:val="20"/>
        </w:rPr>
        <w:t xml:space="preserve"> et al., 2014; 2015). Meat is a highly perishable food item that is readily attacked by bacteria and other micro-organisms, insects, endogenous and exogenous enzymes and chemical reactions.  These bacteria have optimum growth in low acid medium, an available water supply and a warm temperature. This contamination occurs generally during evisceration, dressing, handling and processing. In Nigeria, the slaughter slabs are filthy with stinking odor, poorly equipped, constructed and maintained; the refuse disposal systems are inadequate, temperature, relative </w:t>
      </w:r>
      <w:r>
        <w:rPr>
          <w:sz w:val="20"/>
          <w:szCs w:val="20"/>
        </w:rPr>
        <w:lastRenderedPageBreak/>
        <w:t xml:space="preserve">humidity and sunshine are high and these accelerate microbial, chemical and physical changes of meat exposed for sale in our local markets </w:t>
      </w:r>
      <w:r>
        <w:rPr>
          <w:sz w:val="20"/>
          <w:szCs w:val="20"/>
          <w:rtl/>
        </w:rPr>
        <w:t>﴾</w:t>
      </w:r>
      <w:bookmarkStart w:id="6" w:name="_Hlk98772085"/>
      <w:proofErr w:type="spellStart"/>
      <w:r>
        <w:rPr>
          <w:sz w:val="20"/>
          <w:szCs w:val="20"/>
        </w:rPr>
        <w:t>Okonkwo</w:t>
      </w:r>
      <w:proofErr w:type="spellEnd"/>
      <w:r>
        <w:rPr>
          <w:sz w:val="20"/>
          <w:szCs w:val="20"/>
        </w:rPr>
        <w:t>, 1984</w:t>
      </w:r>
      <w:bookmarkEnd w:id="6"/>
      <w:r>
        <w:rPr>
          <w:sz w:val="20"/>
          <w:szCs w:val="20"/>
          <w:rtl/>
        </w:rPr>
        <w:t>﴿</w:t>
      </w:r>
      <w:r>
        <w:rPr>
          <w:sz w:val="20"/>
          <w:szCs w:val="20"/>
        </w:rPr>
        <w:t>.</w:t>
      </w:r>
    </w:p>
    <w:p w:rsidR="004B46A1" w:rsidRDefault="00B62C3E">
      <w:pPr>
        <w:snapToGrid w:val="0"/>
        <w:ind w:firstLine="720"/>
        <w:jc w:val="both"/>
        <w:rPr>
          <w:sz w:val="20"/>
          <w:szCs w:val="20"/>
        </w:rPr>
      </w:pPr>
      <w:r>
        <w:rPr>
          <w:sz w:val="20"/>
          <w:szCs w:val="20"/>
        </w:rPr>
        <w:t xml:space="preserve">Meat products undergo changes during drying and storage that changes their quality however, it is essential to minimize these changes while maximizing process efficiency (Fellows, 2000). Changes in texture, loss of flavor and aroma, changes in color and nutritional value are the main changes that occur in dried foods. Continuous evaporation and weight losses during meat drying causes shrinkage, the consistency changes from soft to hard. Other biochemical reactions that impact </w:t>
      </w:r>
      <w:proofErr w:type="spellStart"/>
      <w:r>
        <w:rPr>
          <w:sz w:val="20"/>
          <w:szCs w:val="20"/>
        </w:rPr>
        <w:t>organoleptic</w:t>
      </w:r>
      <w:proofErr w:type="spellEnd"/>
      <w:r>
        <w:rPr>
          <w:sz w:val="20"/>
          <w:szCs w:val="20"/>
        </w:rPr>
        <w:t xml:space="preserve"> characteristics to the product also take place. Moreover, meat drying has severe changes on the meat texture caused by aggregation and </w:t>
      </w:r>
      <w:proofErr w:type="spellStart"/>
      <w:r>
        <w:rPr>
          <w:sz w:val="20"/>
          <w:szCs w:val="20"/>
        </w:rPr>
        <w:t>denaturation</w:t>
      </w:r>
      <w:proofErr w:type="spellEnd"/>
      <w:r>
        <w:rPr>
          <w:sz w:val="20"/>
          <w:szCs w:val="20"/>
        </w:rPr>
        <w:t xml:space="preserve">, which lead to toughening of muscle tissue and volatile components are lost from meat when heat is applied. The preservative effect is based on the fact that microbial action, chemical and physical processes and enzymatic action on meat depend greatly on the amount of available moisture content which is drastically reduced during drying depending the method employed. Moisture content of the meat is reduced to such a level that the activities of these deteriorative agents are reduced or halted. Drying could be achieved by hot air drying in ovens, sun-drying or use of other mechanical dryers. As a result, most dried foods have lesser flavor than the original material. </w:t>
      </w:r>
      <w:bookmarkStart w:id="7" w:name="_Hlk98772097"/>
      <w:proofErr w:type="spellStart"/>
      <w:r>
        <w:rPr>
          <w:sz w:val="20"/>
          <w:szCs w:val="20"/>
        </w:rPr>
        <w:t>Okere</w:t>
      </w:r>
      <w:proofErr w:type="spellEnd"/>
      <w:r>
        <w:rPr>
          <w:sz w:val="20"/>
          <w:szCs w:val="20"/>
        </w:rPr>
        <w:t xml:space="preserve"> et al. (2021) </w:t>
      </w:r>
      <w:bookmarkEnd w:id="7"/>
      <w:r>
        <w:rPr>
          <w:sz w:val="20"/>
          <w:szCs w:val="20"/>
        </w:rPr>
        <w:t xml:space="preserve">reported the effect of oven drying on some quality attributes of meat including sensory properties (like </w:t>
      </w:r>
      <w:proofErr w:type="spellStart"/>
      <w:r>
        <w:rPr>
          <w:sz w:val="20"/>
          <w:szCs w:val="20"/>
        </w:rPr>
        <w:t>colour</w:t>
      </w:r>
      <w:proofErr w:type="spellEnd"/>
      <w:r>
        <w:rPr>
          <w:sz w:val="20"/>
          <w:szCs w:val="20"/>
        </w:rPr>
        <w:t>, flavor, taste, texture, tenderness, juiciness and overall acceptability) and physical properties (like cooking loss, pH and water holding capacity). This study therefore investigated the degree of influence of oven drying on outstanding quality parameters of meat.</w:t>
      </w:r>
    </w:p>
    <w:p w:rsidR="004B46A1" w:rsidRDefault="004B46A1">
      <w:pPr>
        <w:snapToGrid w:val="0"/>
        <w:jc w:val="both"/>
        <w:rPr>
          <w:b/>
          <w:sz w:val="20"/>
          <w:szCs w:val="20"/>
        </w:rPr>
      </w:pPr>
    </w:p>
    <w:p w:rsidR="004B46A1" w:rsidRDefault="00B62C3E">
      <w:pPr>
        <w:snapToGrid w:val="0"/>
        <w:jc w:val="both"/>
        <w:rPr>
          <w:b/>
          <w:sz w:val="20"/>
          <w:szCs w:val="20"/>
        </w:rPr>
      </w:pPr>
      <w:r>
        <w:rPr>
          <w:b/>
          <w:sz w:val="20"/>
          <w:szCs w:val="20"/>
        </w:rPr>
        <w:t xml:space="preserve">2. Material and Methods </w:t>
      </w:r>
    </w:p>
    <w:p w:rsidR="004B46A1" w:rsidRDefault="00B62C3E">
      <w:pPr>
        <w:snapToGrid w:val="0"/>
        <w:jc w:val="both"/>
        <w:rPr>
          <w:b/>
          <w:sz w:val="20"/>
          <w:szCs w:val="20"/>
        </w:rPr>
      </w:pPr>
      <w:r>
        <w:rPr>
          <w:b/>
          <w:sz w:val="20"/>
          <w:szCs w:val="20"/>
        </w:rPr>
        <w:t>2.1</w:t>
      </w:r>
      <w:r>
        <w:rPr>
          <w:b/>
          <w:sz w:val="20"/>
          <w:szCs w:val="20"/>
        </w:rPr>
        <w:tab/>
        <w:t xml:space="preserve">Experimental Procedure </w:t>
      </w:r>
    </w:p>
    <w:p w:rsidR="004B46A1" w:rsidRDefault="00B62C3E" w:rsidP="00632F86">
      <w:pPr>
        <w:snapToGrid w:val="0"/>
        <w:ind w:firstLine="720"/>
        <w:jc w:val="both"/>
        <w:rPr>
          <w:sz w:val="20"/>
          <w:szCs w:val="20"/>
          <w:lang w:eastAsia="zh-CN"/>
        </w:rPr>
      </w:pPr>
      <w:r>
        <w:rPr>
          <w:sz w:val="20"/>
          <w:szCs w:val="20"/>
        </w:rPr>
        <w:t xml:space="preserve">The study was carried out at the Institute of Agriculture Research and Training, Moor Plantation </w:t>
      </w:r>
      <w:proofErr w:type="spellStart"/>
      <w:r>
        <w:rPr>
          <w:sz w:val="20"/>
          <w:szCs w:val="20"/>
        </w:rPr>
        <w:t>Apata</w:t>
      </w:r>
      <w:proofErr w:type="spellEnd"/>
      <w:r>
        <w:rPr>
          <w:sz w:val="20"/>
          <w:szCs w:val="20"/>
        </w:rPr>
        <w:t xml:space="preserve">, Ibadan, Southwest, Oyo State. 10kg of frozen chicken was placed in warm water for about 15 minutes in other to defreeze. After the </w:t>
      </w:r>
      <w:proofErr w:type="spellStart"/>
      <w:r>
        <w:rPr>
          <w:sz w:val="20"/>
          <w:szCs w:val="20"/>
        </w:rPr>
        <w:t>defreezing</w:t>
      </w:r>
      <w:proofErr w:type="spellEnd"/>
      <w:r>
        <w:rPr>
          <w:sz w:val="20"/>
          <w:szCs w:val="20"/>
        </w:rPr>
        <w:t xml:space="preserve">, the chicken was cut into pieces and then cooked for about 45 minutes to soften it. The chicken was deboned and the lean meat was grinded minced using mortar and pestle. The minced chicken meat was poured into a big bowl, then 213.97g of butter was added together with 85.67g of red chili pepper, 44.24g of Nut Meg, 120.06g of Green pepper, 85.33g of Ginger, 350gof corn flour, Onion and garlic powder of 1g, </w:t>
      </w:r>
      <w:proofErr w:type="spellStart"/>
      <w:r>
        <w:rPr>
          <w:sz w:val="20"/>
          <w:szCs w:val="20"/>
        </w:rPr>
        <w:t>Maggi</w:t>
      </w:r>
      <w:proofErr w:type="spellEnd"/>
      <w:r>
        <w:rPr>
          <w:sz w:val="20"/>
          <w:szCs w:val="20"/>
        </w:rPr>
        <w:t xml:space="preserve"> and salt were all added to the minced chicken.  Everything was then mixed together in other to achieve uniform </w:t>
      </w:r>
      <w:r>
        <w:rPr>
          <w:sz w:val="20"/>
          <w:szCs w:val="20"/>
        </w:rPr>
        <w:lastRenderedPageBreak/>
        <w:t>paste mixture. It was then stuffed into the prepared casing/collagen (cow intestines). After stuffing the pasty mixture into the casing it was then break into links of diameter 20-22mm.</w:t>
      </w:r>
    </w:p>
    <w:p w:rsidR="00632F86" w:rsidRDefault="00632F86" w:rsidP="00632F86">
      <w:pPr>
        <w:snapToGrid w:val="0"/>
        <w:ind w:firstLine="720"/>
        <w:jc w:val="both"/>
        <w:rPr>
          <w:sz w:val="20"/>
          <w:szCs w:val="20"/>
          <w:lang w:eastAsia="zh-CN"/>
        </w:rPr>
      </w:pPr>
    </w:p>
    <w:p w:rsidR="004B46A1" w:rsidRDefault="00B62C3E">
      <w:pPr>
        <w:snapToGrid w:val="0"/>
        <w:jc w:val="both"/>
        <w:rPr>
          <w:sz w:val="20"/>
          <w:szCs w:val="20"/>
        </w:rPr>
      </w:pPr>
      <w:r>
        <w:rPr>
          <w:b/>
          <w:bCs/>
          <w:sz w:val="20"/>
          <w:szCs w:val="20"/>
        </w:rPr>
        <w:t>2.2</w:t>
      </w:r>
      <w:r>
        <w:rPr>
          <w:b/>
          <w:bCs/>
          <w:sz w:val="20"/>
          <w:szCs w:val="20"/>
        </w:rPr>
        <w:tab/>
        <w:t xml:space="preserve">Sample Treatment: </w:t>
      </w:r>
      <w:r>
        <w:rPr>
          <w:sz w:val="20"/>
          <w:szCs w:val="20"/>
        </w:rPr>
        <w:t xml:space="preserve">The experiment was conducted after storing the samples for 0, 3, 6, and 9 days consecutively. The samples were also dried in the electric oven at varying temperature and time as stated in Table 1. The oven used is a hot air circulation drying machine powered by charcoal with steady hot air flowing in the drying chamber. The hot air circulation dryer is a kind of all-purpose drying equipment, having wide application for the curing and dehydrating of many kinds of materials and products in the food industry, agriculture and sideline production and fishery industries. </w:t>
      </w:r>
    </w:p>
    <w:p w:rsidR="004B46A1" w:rsidRDefault="004B46A1">
      <w:pPr>
        <w:snapToGrid w:val="0"/>
        <w:jc w:val="center"/>
        <w:rPr>
          <w:b/>
          <w:sz w:val="20"/>
          <w:szCs w:val="20"/>
        </w:rPr>
      </w:pPr>
    </w:p>
    <w:p w:rsidR="004B46A1" w:rsidRDefault="00B62C3E">
      <w:pPr>
        <w:snapToGrid w:val="0"/>
        <w:jc w:val="center"/>
        <w:rPr>
          <w:b/>
          <w:sz w:val="20"/>
          <w:szCs w:val="20"/>
        </w:rPr>
      </w:pPr>
      <w:r>
        <w:rPr>
          <w:b/>
          <w:sz w:val="20"/>
          <w:szCs w:val="20"/>
        </w:rPr>
        <w:t>Table 1: Oven Drying Duration</w:t>
      </w:r>
    </w:p>
    <w:tbl>
      <w:tblPr>
        <w:tblStyle w:val="TableGrid"/>
        <w:tblW w:w="4378" w:type="dxa"/>
        <w:jc w:val="center"/>
        <w:tblLook w:val="04A0"/>
      </w:tblPr>
      <w:tblGrid>
        <w:gridCol w:w="1453"/>
        <w:gridCol w:w="1428"/>
        <w:gridCol w:w="1497"/>
      </w:tblGrid>
      <w:tr w:rsidR="004B46A1">
        <w:trPr>
          <w:trHeight w:val="610"/>
          <w:jc w:val="center"/>
        </w:trPr>
        <w:tc>
          <w:tcPr>
            <w:tcW w:w="1453" w:type="dxa"/>
          </w:tcPr>
          <w:p w:rsidR="004B46A1" w:rsidRDefault="00B62C3E">
            <w:pPr>
              <w:snapToGrid w:val="0"/>
              <w:jc w:val="center"/>
              <w:rPr>
                <w:b/>
                <w:bCs/>
                <w:sz w:val="20"/>
                <w:szCs w:val="20"/>
              </w:rPr>
            </w:pPr>
            <w:r>
              <w:rPr>
                <w:b/>
                <w:bCs/>
                <w:sz w:val="20"/>
                <w:szCs w:val="20"/>
              </w:rPr>
              <w:t>Sample treatment</w:t>
            </w:r>
          </w:p>
        </w:tc>
        <w:tc>
          <w:tcPr>
            <w:tcW w:w="1428" w:type="dxa"/>
          </w:tcPr>
          <w:p w:rsidR="004B46A1" w:rsidRDefault="00B62C3E">
            <w:pPr>
              <w:snapToGrid w:val="0"/>
              <w:jc w:val="center"/>
              <w:rPr>
                <w:b/>
                <w:bCs/>
                <w:sz w:val="20"/>
                <w:szCs w:val="20"/>
              </w:rPr>
            </w:pPr>
            <w:r>
              <w:rPr>
                <w:b/>
                <w:bCs/>
                <w:sz w:val="20"/>
                <w:szCs w:val="20"/>
              </w:rPr>
              <w:t>Drying at 70</w:t>
            </w:r>
            <w:r>
              <w:rPr>
                <w:b/>
                <w:bCs/>
                <w:sz w:val="20"/>
                <w:szCs w:val="20"/>
                <w:vertAlign w:val="superscript"/>
              </w:rPr>
              <w:t>o</w:t>
            </w:r>
            <w:r>
              <w:rPr>
                <w:b/>
                <w:bCs/>
                <w:sz w:val="20"/>
                <w:szCs w:val="20"/>
              </w:rPr>
              <w:t>C</w:t>
            </w:r>
          </w:p>
        </w:tc>
        <w:tc>
          <w:tcPr>
            <w:tcW w:w="1497" w:type="dxa"/>
          </w:tcPr>
          <w:p w:rsidR="004B46A1" w:rsidRDefault="00B62C3E">
            <w:pPr>
              <w:snapToGrid w:val="0"/>
              <w:jc w:val="center"/>
              <w:rPr>
                <w:b/>
                <w:bCs/>
                <w:sz w:val="20"/>
                <w:szCs w:val="20"/>
              </w:rPr>
            </w:pPr>
            <w:r>
              <w:rPr>
                <w:b/>
                <w:bCs/>
                <w:sz w:val="20"/>
                <w:szCs w:val="20"/>
              </w:rPr>
              <w:t>Drying at 85</w:t>
            </w:r>
            <w:r>
              <w:rPr>
                <w:b/>
                <w:bCs/>
                <w:sz w:val="20"/>
                <w:szCs w:val="20"/>
                <w:vertAlign w:val="superscript"/>
              </w:rPr>
              <w:t>o</w:t>
            </w:r>
            <w:r>
              <w:rPr>
                <w:b/>
                <w:bCs/>
                <w:sz w:val="20"/>
                <w:szCs w:val="20"/>
              </w:rPr>
              <w:t>C</w:t>
            </w:r>
          </w:p>
        </w:tc>
      </w:tr>
      <w:tr w:rsidR="004B46A1">
        <w:trPr>
          <w:trHeight w:val="391"/>
          <w:jc w:val="center"/>
        </w:trPr>
        <w:tc>
          <w:tcPr>
            <w:tcW w:w="1453" w:type="dxa"/>
          </w:tcPr>
          <w:p w:rsidR="004B46A1" w:rsidRDefault="00B62C3E">
            <w:pPr>
              <w:snapToGrid w:val="0"/>
              <w:jc w:val="center"/>
              <w:rPr>
                <w:sz w:val="20"/>
                <w:szCs w:val="20"/>
              </w:rPr>
            </w:pPr>
            <w:r>
              <w:rPr>
                <w:sz w:val="20"/>
                <w:szCs w:val="20"/>
              </w:rPr>
              <w:t>T</w:t>
            </w:r>
            <w:r>
              <w:rPr>
                <w:sz w:val="20"/>
                <w:szCs w:val="20"/>
                <w:vertAlign w:val="subscript"/>
              </w:rPr>
              <w:t>1</w:t>
            </w:r>
          </w:p>
        </w:tc>
        <w:tc>
          <w:tcPr>
            <w:tcW w:w="1428" w:type="dxa"/>
          </w:tcPr>
          <w:p w:rsidR="004B46A1" w:rsidRDefault="00B62C3E">
            <w:pPr>
              <w:snapToGrid w:val="0"/>
              <w:jc w:val="center"/>
              <w:rPr>
                <w:sz w:val="20"/>
                <w:szCs w:val="20"/>
              </w:rPr>
            </w:pPr>
            <w:r>
              <w:rPr>
                <w:sz w:val="20"/>
                <w:szCs w:val="20"/>
              </w:rPr>
              <w:t>40 minutes</w:t>
            </w:r>
          </w:p>
        </w:tc>
        <w:tc>
          <w:tcPr>
            <w:tcW w:w="1497" w:type="dxa"/>
          </w:tcPr>
          <w:p w:rsidR="004B46A1" w:rsidRDefault="00B62C3E">
            <w:pPr>
              <w:snapToGrid w:val="0"/>
              <w:jc w:val="center"/>
              <w:rPr>
                <w:sz w:val="20"/>
                <w:szCs w:val="20"/>
              </w:rPr>
            </w:pPr>
            <w:r>
              <w:rPr>
                <w:sz w:val="20"/>
                <w:szCs w:val="20"/>
              </w:rPr>
              <w:t>-</w:t>
            </w:r>
          </w:p>
        </w:tc>
      </w:tr>
      <w:tr w:rsidR="004B46A1">
        <w:trPr>
          <w:trHeight w:val="381"/>
          <w:jc w:val="center"/>
        </w:trPr>
        <w:tc>
          <w:tcPr>
            <w:tcW w:w="1453" w:type="dxa"/>
          </w:tcPr>
          <w:p w:rsidR="004B46A1" w:rsidRDefault="00B62C3E">
            <w:pPr>
              <w:snapToGrid w:val="0"/>
              <w:jc w:val="center"/>
              <w:rPr>
                <w:sz w:val="20"/>
                <w:szCs w:val="20"/>
              </w:rPr>
            </w:pPr>
            <w:r>
              <w:rPr>
                <w:sz w:val="20"/>
                <w:szCs w:val="20"/>
              </w:rPr>
              <w:t>T</w:t>
            </w:r>
            <w:r>
              <w:rPr>
                <w:sz w:val="20"/>
                <w:szCs w:val="20"/>
                <w:vertAlign w:val="subscript"/>
              </w:rPr>
              <w:t>2</w:t>
            </w:r>
          </w:p>
        </w:tc>
        <w:tc>
          <w:tcPr>
            <w:tcW w:w="1428" w:type="dxa"/>
          </w:tcPr>
          <w:p w:rsidR="004B46A1" w:rsidRDefault="00B62C3E">
            <w:pPr>
              <w:snapToGrid w:val="0"/>
              <w:jc w:val="center"/>
              <w:rPr>
                <w:sz w:val="20"/>
                <w:szCs w:val="20"/>
              </w:rPr>
            </w:pPr>
            <w:r>
              <w:rPr>
                <w:sz w:val="20"/>
                <w:szCs w:val="20"/>
              </w:rPr>
              <w:t>40 minutes</w:t>
            </w:r>
          </w:p>
        </w:tc>
        <w:tc>
          <w:tcPr>
            <w:tcW w:w="1497" w:type="dxa"/>
          </w:tcPr>
          <w:p w:rsidR="004B46A1" w:rsidRDefault="00B62C3E">
            <w:pPr>
              <w:snapToGrid w:val="0"/>
              <w:jc w:val="center"/>
              <w:rPr>
                <w:sz w:val="20"/>
                <w:szCs w:val="20"/>
              </w:rPr>
            </w:pPr>
            <w:r>
              <w:rPr>
                <w:sz w:val="20"/>
                <w:szCs w:val="20"/>
              </w:rPr>
              <w:t>40 minutes</w:t>
            </w:r>
          </w:p>
        </w:tc>
      </w:tr>
      <w:tr w:rsidR="004B46A1">
        <w:trPr>
          <w:trHeight w:val="391"/>
          <w:jc w:val="center"/>
        </w:trPr>
        <w:tc>
          <w:tcPr>
            <w:tcW w:w="1453" w:type="dxa"/>
          </w:tcPr>
          <w:p w:rsidR="004B46A1" w:rsidRDefault="00B62C3E">
            <w:pPr>
              <w:snapToGrid w:val="0"/>
              <w:jc w:val="center"/>
              <w:rPr>
                <w:sz w:val="20"/>
                <w:szCs w:val="20"/>
              </w:rPr>
            </w:pPr>
            <w:r>
              <w:rPr>
                <w:sz w:val="20"/>
                <w:szCs w:val="20"/>
              </w:rPr>
              <w:t>T</w:t>
            </w:r>
            <w:r>
              <w:rPr>
                <w:sz w:val="20"/>
                <w:szCs w:val="20"/>
                <w:vertAlign w:val="subscript"/>
              </w:rPr>
              <w:t>3</w:t>
            </w:r>
          </w:p>
        </w:tc>
        <w:tc>
          <w:tcPr>
            <w:tcW w:w="1428" w:type="dxa"/>
          </w:tcPr>
          <w:p w:rsidR="004B46A1" w:rsidRDefault="00B62C3E">
            <w:pPr>
              <w:snapToGrid w:val="0"/>
              <w:jc w:val="center"/>
              <w:rPr>
                <w:sz w:val="20"/>
                <w:szCs w:val="20"/>
              </w:rPr>
            </w:pPr>
            <w:r>
              <w:rPr>
                <w:sz w:val="20"/>
                <w:szCs w:val="20"/>
              </w:rPr>
              <w:t>40 minutes</w:t>
            </w:r>
          </w:p>
        </w:tc>
        <w:tc>
          <w:tcPr>
            <w:tcW w:w="1497" w:type="dxa"/>
          </w:tcPr>
          <w:p w:rsidR="004B46A1" w:rsidRDefault="00B62C3E">
            <w:pPr>
              <w:snapToGrid w:val="0"/>
              <w:jc w:val="center"/>
              <w:rPr>
                <w:sz w:val="20"/>
                <w:szCs w:val="20"/>
              </w:rPr>
            </w:pPr>
            <w:r>
              <w:rPr>
                <w:sz w:val="20"/>
                <w:szCs w:val="20"/>
              </w:rPr>
              <w:t>50 minutes</w:t>
            </w:r>
          </w:p>
        </w:tc>
      </w:tr>
      <w:tr w:rsidR="004B46A1">
        <w:trPr>
          <w:trHeight w:val="440"/>
          <w:jc w:val="center"/>
        </w:trPr>
        <w:tc>
          <w:tcPr>
            <w:tcW w:w="1453" w:type="dxa"/>
          </w:tcPr>
          <w:p w:rsidR="004B46A1" w:rsidRDefault="00B62C3E">
            <w:pPr>
              <w:snapToGrid w:val="0"/>
              <w:jc w:val="center"/>
              <w:rPr>
                <w:sz w:val="20"/>
                <w:szCs w:val="20"/>
              </w:rPr>
            </w:pPr>
            <w:r>
              <w:rPr>
                <w:sz w:val="20"/>
                <w:szCs w:val="20"/>
              </w:rPr>
              <w:t>T</w:t>
            </w:r>
            <w:r>
              <w:rPr>
                <w:sz w:val="20"/>
                <w:szCs w:val="20"/>
                <w:vertAlign w:val="subscript"/>
              </w:rPr>
              <w:t>4</w:t>
            </w:r>
          </w:p>
        </w:tc>
        <w:tc>
          <w:tcPr>
            <w:tcW w:w="1428" w:type="dxa"/>
          </w:tcPr>
          <w:p w:rsidR="004B46A1" w:rsidRDefault="00B62C3E">
            <w:pPr>
              <w:snapToGrid w:val="0"/>
              <w:jc w:val="center"/>
              <w:rPr>
                <w:sz w:val="20"/>
                <w:szCs w:val="20"/>
              </w:rPr>
            </w:pPr>
            <w:r>
              <w:rPr>
                <w:sz w:val="20"/>
                <w:szCs w:val="20"/>
              </w:rPr>
              <w:t>40 minutes</w:t>
            </w:r>
          </w:p>
        </w:tc>
        <w:tc>
          <w:tcPr>
            <w:tcW w:w="1497" w:type="dxa"/>
          </w:tcPr>
          <w:p w:rsidR="004B46A1" w:rsidRDefault="00B62C3E">
            <w:pPr>
              <w:snapToGrid w:val="0"/>
              <w:jc w:val="center"/>
              <w:rPr>
                <w:sz w:val="20"/>
                <w:szCs w:val="20"/>
              </w:rPr>
            </w:pPr>
            <w:r>
              <w:rPr>
                <w:sz w:val="20"/>
                <w:szCs w:val="20"/>
              </w:rPr>
              <w:t>60 minutes</w:t>
            </w:r>
          </w:p>
        </w:tc>
      </w:tr>
    </w:tbl>
    <w:p w:rsidR="00632F86" w:rsidRDefault="00632F86">
      <w:pPr>
        <w:snapToGrid w:val="0"/>
        <w:jc w:val="both"/>
        <w:rPr>
          <w:b/>
          <w:sz w:val="20"/>
          <w:szCs w:val="20"/>
          <w:lang w:eastAsia="zh-CN"/>
        </w:rPr>
      </w:pPr>
    </w:p>
    <w:p w:rsidR="004B46A1" w:rsidRDefault="00B62C3E">
      <w:pPr>
        <w:snapToGrid w:val="0"/>
        <w:jc w:val="both"/>
        <w:rPr>
          <w:b/>
          <w:sz w:val="20"/>
          <w:szCs w:val="20"/>
        </w:rPr>
      </w:pPr>
      <w:r>
        <w:rPr>
          <w:b/>
          <w:sz w:val="20"/>
          <w:szCs w:val="20"/>
        </w:rPr>
        <w:t>2.3</w:t>
      </w:r>
      <w:r>
        <w:rPr>
          <w:b/>
          <w:sz w:val="20"/>
          <w:szCs w:val="20"/>
        </w:rPr>
        <w:tab/>
        <w:t xml:space="preserve">Determination of the Proximate Composition </w:t>
      </w:r>
    </w:p>
    <w:p w:rsidR="004B46A1" w:rsidRDefault="00B62C3E" w:rsidP="00632F86">
      <w:pPr>
        <w:snapToGrid w:val="0"/>
        <w:ind w:firstLine="720"/>
        <w:jc w:val="both"/>
        <w:rPr>
          <w:bCs/>
          <w:sz w:val="20"/>
          <w:szCs w:val="20"/>
          <w:lang w:eastAsia="zh-CN"/>
        </w:rPr>
      </w:pPr>
      <w:r>
        <w:rPr>
          <w:bCs/>
          <w:sz w:val="20"/>
          <w:szCs w:val="20"/>
        </w:rPr>
        <w:t xml:space="preserve">The proximate composition determined include crude protein, crude fat, crude </w:t>
      </w:r>
      <w:proofErr w:type="spellStart"/>
      <w:r>
        <w:rPr>
          <w:bCs/>
          <w:sz w:val="20"/>
          <w:szCs w:val="20"/>
        </w:rPr>
        <w:t>fibre</w:t>
      </w:r>
      <w:proofErr w:type="spellEnd"/>
      <w:r>
        <w:rPr>
          <w:bCs/>
          <w:sz w:val="20"/>
          <w:szCs w:val="20"/>
        </w:rPr>
        <w:t xml:space="preserve"> Proximate Product Yield, Lipid oxidation, Microbial loads of the sausage, the test was carried out and monitored as day 0, 3, 6, and 9 consecutively.</w:t>
      </w:r>
    </w:p>
    <w:p w:rsidR="00632F86" w:rsidRDefault="00632F86" w:rsidP="00632F86">
      <w:pPr>
        <w:snapToGrid w:val="0"/>
        <w:ind w:firstLine="720"/>
        <w:jc w:val="both"/>
        <w:rPr>
          <w:bCs/>
          <w:sz w:val="20"/>
          <w:szCs w:val="20"/>
          <w:lang w:eastAsia="zh-CN"/>
        </w:rPr>
      </w:pPr>
    </w:p>
    <w:p w:rsidR="004B46A1" w:rsidRDefault="00B62C3E">
      <w:pPr>
        <w:snapToGrid w:val="0"/>
        <w:jc w:val="both"/>
        <w:rPr>
          <w:rFonts w:eastAsiaTheme="minorEastAsia"/>
          <w:bCs/>
          <w:color w:val="000000" w:themeColor="text1"/>
          <w:sz w:val="20"/>
          <w:szCs w:val="20"/>
          <w:lang w:eastAsia="zh-CN"/>
        </w:rPr>
      </w:pPr>
      <w:r>
        <w:rPr>
          <w:sz w:val="20"/>
          <w:szCs w:val="20"/>
        </w:rPr>
        <w:t>2.3.1</w:t>
      </w:r>
      <w:r>
        <w:rPr>
          <w:sz w:val="20"/>
          <w:szCs w:val="20"/>
        </w:rPr>
        <w:tab/>
      </w:r>
      <w:r>
        <w:rPr>
          <w:rFonts w:eastAsia="PalatinoLinotype-Roman"/>
          <w:b/>
          <w:bCs/>
          <w:color w:val="000000" w:themeColor="text1"/>
          <w:sz w:val="20"/>
          <w:szCs w:val="20"/>
        </w:rPr>
        <w:t xml:space="preserve">Crude Protein: </w:t>
      </w:r>
      <w:r>
        <w:rPr>
          <w:rFonts w:eastAsia="PalatinoLinotype-Roman"/>
          <w:bCs/>
          <w:color w:val="000000" w:themeColor="text1"/>
          <w:sz w:val="20"/>
          <w:szCs w:val="20"/>
        </w:rPr>
        <w:t>this was determined using micro-</w:t>
      </w:r>
      <w:proofErr w:type="spellStart"/>
      <w:r>
        <w:rPr>
          <w:rFonts w:eastAsia="PalatinoLinotype-Roman"/>
          <w:bCs/>
          <w:color w:val="000000" w:themeColor="text1"/>
          <w:sz w:val="20"/>
          <w:szCs w:val="20"/>
        </w:rPr>
        <w:t>Kjeldahl</w:t>
      </w:r>
      <w:proofErr w:type="spellEnd"/>
      <w:r>
        <w:rPr>
          <w:rFonts w:eastAsia="PalatinoLinotype-Roman"/>
          <w:bCs/>
          <w:color w:val="000000" w:themeColor="text1"/>
          <w:sz w:val="20"/>
          <w:szCs w:val="20"/>
        </w:rPr>
        <w:t xml:space="preserve"> method Leroy et al., (2006) and </w:t>
      </w:r>
      <w:bookmarkStart w:id="8" w:name="_Hlk98772124"/>
      <w:proofErr w:type="spellStart"/>
      <w:r>
        <w:rPr>
          <w:rFonts w:eastAsia="PalatinoLinotype-Roman"/>
          <w:bCs/>
          <w:color w:val="000000" w:themeColor="text1"/>
          <w:sz w:val="20"/>
          <w:szCs w:val="20"/>
        </w:rPr>
        <w:t>Famurewa</w:t>
      </w:r>
      <w:proofErr w:type="spellEnd"/>
      <w:r>
        <w:rPr>
          <w:rFonts w:eastAsia="PalatinoLinotype-Roman"/>
          <w:bCs/>
          <w:color w:val="000000" w:themeColor="text1"/>
          <w:sz w:val="20"/>
          <w:szCs w:val="20"/>
        </w:rPr>
        <w:t xml:space="preserve"> et al. (2021).   </w:t>
      </w:r>
      <w:bookmarkEnd w:id="8"/>
      <w:r>
        <w:rPr>
          <w:rFonts w:eastAsia="PalatinoLinotype-Roman"/>
          <w:bCs/>
          <w:color w:val="000000" w:themeColor="text1"/>
          <w:sz w:val="20"/>
          <w:szCs w:val="20"/>
        </w:rPr>
        <w:t xml:space="preserve">Two gram of sample was placed in the </w:t>
      </w:r>
      <w:proofErr w:type="spellStart"/>
      <w:r>
        <w:rPr>
          <w:rFonts w:eastAsia="PalatinoLinotype-Roman"/>
          <w:bCs/>
          <w:color w:val="000000" w:themeColor="text1"/>
          <w:sz w:val="20"/>
          <w:szCs w:val="20"/>
        </w:rPr>
        <w:t>Kjeldahl</w:t>
      </w:r>
      <w:proofErr w:type="spellEnd"/>
      <w:r>
        <w:rPr>
          <w:rFonts w:eastAsia="PalatinoLinotype-Roman"/>
          <w:bCs/>
          <w:color w:val="000000" w:themeColor="text1"/>
          <w:sz w:val="20"/>
          <w:szCs w:val="20"/>
        </w:rPr>
        <w:t xml:space="preserve"> flask. Anhydrous sodium </w:t>
      </w:r>
      <w:proofErr w:type="spellStart"/>
      <w:r>
        <w:rPr>
          <w:rFonts w:eastAsia="PalatinoLinotype-Roman"/>
          <w:bCs/>
          <w:color w:val="000000" w:themeColor="text1"/>
          <w:sz w:val="20"/>
          <w:szCs w:val="20"/>
        </w:rPr>
        <w:t>sulphate</w:t>
      </w:r>
      <w:proofErr w:type="spellEnd"/>
      <w:r>
        <w:rPr>
          <w:rFonts w:eastAsia="PalatinoLinotype-Roman"/>
          <w:bCs/>
          <w:color w:val="000000" w:themeColor="text1"/>
          <w:sz w:val="20"/>
          <w:szCs w:val="20"/>
        </w:rPr>
        <w:t xml:space="preserve"> (5g of </w:t>
      </w:r>
      <w:proofErr w:type="spellStart"/>
      <w:r>
        <w:rPr>
          <w:rFonts w:eastAsia="PalatinoLinotype-Roman"/>
          <w:bCs/>
          <w:color w:val="000000" w:themeColor="text1"/>
          <w:sz w:val="20"/>
          <w:szCs w:val="20"/>
        </w:rPr>
        <w:t>Kjeldahl</w:t>
      </w:r>
      <w:proofErr w:type="spellEnd"/>
      <w:r>
        <w:rPr>
          <w:rFonts w:eastAsia="PalatinoLinotype-Roman"/>
          <w:bCs/>
          <w:color w:val="000000" w:themeColor="text1"/>
          <w:sz w:val="20"/>
          <w:szCs w:val="20"/>
        </w:rPr>
        <w:t xml:space="preserve"> catalyst) was added to the flask and concentrated H</w:t>
      </w:r>
      <w:r>
        <w:rPr>
          <w:rFonts w:eastAsia="PalatinoLinotype-Roman"/>
          <w:bCs/>
          <w:color w:val="000000" w:themeColor="text1"/>
          <w:sz w:val="20"/>
          <w:szCs w:val="20"/>
          <w:vertAlign w:val="subscript"/>
        </w:rPr>
        <w:t>2</w:t>
      </w:r>
      <w:r>
        <w:rPr>
          <w:rFonts w:eastAsia="PalatinoLinotype-Roman"/>
          <w:bCs/>
          <w:color w:val="000000" w:themeColor="text1"/>
          <w:sz w:val="20"/>
          <w:szCs w:val="20"/>
        </w:rPr>
        <w:t xml:space="preserve">SO4 (25ml) was added. The flask was heated in the fume chamber until the sample solution became clear. The sample solution was allowed to cool to room temperature, then transferred into a 250ml volumetric flask and made up to volume with distilled water.  The distillation unit was cleaned, and the apparatus set up. Five milliliters of 2% boric acid solution with few drops of methyl red indicator was introduced into a distillate collector (100ml conical flask). The conical flask was placed under the condenser. Then 5ml of the sample digest was </w:t>
      </w:r>
      <w:proofErr w:type="spellStart"/>
      <w:r>
        <w:rPr>
          <w:rFonts w:eastAsia="PalatinoLinotype-Roman"/>
          <w:bCs/>
          <w:color w:val="000000" w:themeColor="text1"/>
          <w:sz w:val="20"/>
          <w:szCs w:val="20"/>
        </w:rPr>
        <w:t>pipetted</w:t>
      </w:r>
      <w:proofErr w:type="spellEnd"/>
      <w:r>
        <w:rPr>
          <w:rFonts w:eastAsia="PalatinoLinotype-Roman"/>
          <w:bCs/>
          <w:color w:val="000000" w:themeColor="text1"/>
          <w:sz w:val="20"/>
          <w:szCs w:val="20"/>
        </w:rPr>
        <w:t xml:space="preserve"> into the apparatus, and washed down with distilled water. Five milliliters of 60% sodium </w:t>
      </w:r>
      <w:r>
        <w:rPr>
          <w:rFonts w:eastAsia="PalatinoLinotype-Roman"/>
          <w:bCs/>
          <w:color w:val="000000" w:themeColor="text1"/>
          <w:sz w:val="20"/>
          <w:szCs w:val="20"/>
        </w:rPr>
        <w:lastRenderedPageBreak/>
        <w:t>hydroxide solution was added to the digest. The sample was heated until 100ml of distillate was collected in the receiving flask. The content of the receiving flask was titrated with 0.049M H</w:t>
      </w:r>
      <w:r>
        <w:rPr>
          <w:rFonts w:eastAsia="PalatinoLinotype-Roman"/>
          <w:bCs/>
          <w:color w:val="000000" w:themeColor="text1"/>
          <w:sz w:val="20"/>
          <w:szCs w:val="20"/>
          <w:vertAlign w:val="subscript"/>
        </w:rPr>
        <w:t>2</w:t>
      </w:r>
      <w:r>
        <w:rPr>
          <w:rFonts w:eastAsia="PalatinoLinotype-Roman"/>
          <w:bCs/>
          <w:color w:val="000000" w:themeColor="text1"/>
          <w:sz w:val="20"/>
          <w:szCs w:val="20"/>
        </w:rPr>
        <w:t>SO4 to a pink coloured end point. A blank with filter paper was subjected to the same procedure. The crude protein was obtained using Equations 1 - 3:</w:t>
      </w:r>
    </w:p>
    <w:p w:rsidR="00632F86" w:rsidRPr="00632F86" w:rsidRDefault="00632F86">
      <w:pPr>
        <w:snapToGrid w:val="0"/>
        <w:jc w:val="both"/>
        <w:rPr>
          <w:rFonts w:eastAsiaTheme="minorEastAsia"/>
          <w:b/>
          <w:bCs/>
          <w:color w:val="000000" w:themeColor="text1"/>
          <w:sz w:val="20"/>
          <w:szCs w:val="20"/>
          <w:lang w:eastAsia="zh-CN"/>
        </w:rPr>
      </w:pPr>
    </w:p>
    <w:p w:rsidR="004B46A1" w:rsidRDefault="00B62C3E">
      <w:pPr>
        <w:pStyle w:val="ListParagraph"/>
        <w:snapToGrid w:val="0"/>
        <w:spacing w:after="0" w:line="240" w:lineRule="auto"/>
        <w:ind w:left="0"/>
        <w:jc w:val="both"/>
        <w:rPr>
          <w:rFonts w:ascii="Times New Roman" w:eastAsia="PalatinoLinotype-Roman" w:hAnsi="Times New Roman" w:cs="Times New Roman"/>
          <w:bCs/>
          <w:color w:val="000000" w:themeColor="text1"/>
          <w:sz w:val="20"/>
          <w:szCs w:val="20"/>
        </w:rPr>
      </w:pPr>
      <m:oMath>
        <m:r>
          <w:rPr>
            <w:rFonts w:ascii="Cambria Math" w:eastAsia="PalatinoLinotype-Roman" w:hAnsi="Cambria Math" w:cs="Times New Roman"/>
            <w:color w:val="000000" w:themeColor="text1"/>
            <w:sz w:val="20"/>
            <w:szCs w:val="20"/>
          </w:rPr>
          <m:t>% Total Nitrogen=</m:t>
        </m:r>
        <m:f>
          <m:fPr>
            <m:ctrlPr>
              <w:rPr>
                <w:rFonts w:ascii="Cambria Math" w:eastAsia="PalatinoLinotype-Roman" w:hAnsi="Cambria Math" w:cs="Times New Roman"/>
                <w:bCs/>
                <w:i/>
                <w:color w:val="000000" w:themeColor="text1"/>
                <w:sz w:val="20"/>
                <w:szCs w:val="20"/>
                <w:lang w:eastAsia="en-GB"/>
              </w:rPr>
            </m:ctrlPr>
          </m:fPr>
          <m:num>
            <m:d>
              <m:dPr>
                <m:ctrlPr>
                  <w:rPr>
                    <w:rFonts w:ascii="Cambria Math" w:eastAsia="PalatinoLinotype-Roman" w:hAnsi="Cambria Math" w:cs="Times New Roman"/>
                    <w:bCs/>
                    <w:i/>
                    <w:color w:val="000000" w:themeColor="text1"/>
                    <w:sz w:val="20"/>
                    <w:szCs w:val="20"/>
                    <w:lang w:eastAsia="en-GB"/>
                  </w:rPr>
                </m:ctrlPr>
              </m:dPr>
              <m:e>
                <m:r>
                  <w:rPr>
                    <w:rFonts w:ascii="Cambria Math" w:eastAsia="PalatinoLinotype-Roman" w:hAnsi="Cambria Math" w:cs="Times New Roman"/>
                    <w:color w:val="000000" w:themeColor="text1"/>
                    <w:sz w:val="20"/>
                    <w:szCs w:val="20"/>
                  </w:rPr>
                  <m:t>titre-black</m:t>
                </m:r>
              </m:e>
            </m:d>
            <m:r>
              <w:rPr>
                <w:rFonts w:ascii="Cambria Math" w:eastAsia="PalatinoLinotype-Roman" w:hAnsi="Cambria Math" w:cs="Times New Roman"/>
                <w:color w:val="000000" w:themeColor="text1"/>
                <w:sz w:val="20"/>
                <w:szCs w:val="20"/>
              </w:rPr>
              <m:t xml:space="preserve">x normality of acid x </m:t>
            </m:r>
            <m:sSub>
              <m:sSubPr>
                <m:ctrlPr>
                  <w:rPr>
                    <w:rFonts w:ascii="Cambria Math" w:eastAsia="PalatinoLinotype-Roman" w:hAnsi="Cambria Math" w:cs="Times New Roman"/>
                    <w:bCs/>
                    <w:i/>
                    <w:color w:val="000000" w:themeColor="text1"/>
                    <w:sz w:val="20"/>
                    <w:szCs w:val="20"/>
                    <w:lang w:eastAsia="en-GB"/>
                  </w:rPr>
                </m:ctrlPr>
              </m:sSubPr>
              <m:e>
                <m:r>
                  <w:rPr>
                    <w:rFonts w:ascii="Cambria Math" w:eastAsia="PalatinoLinotype-Roman" w:hAnsi="Cambria Math" w:cs="Times New Roman"/>
                    <w:color w:val="000000" w:themeColor="text1"/>
                    <w:sz w:val="20"/>
                    <w:szCs w:val="20"/>
                  </w:rPr>
                  <m:t>N</m:t>
                </m:r>
              </m:e>
              <m:sub>
                <m:r>
                  <w:rPr>
                    <w:rFonts w:ascii="Cambria Math" w:eastAsia="PalatinoLinotype-Roman" w:hAnsi="Cambria Math" w:cs="Times New Roman"/>
                    <w:color w:val="000000" w:themeColor="text1"/>
                    <w:sz w:val="20"/>
                    <w:szCs w:val="20"/>
                  </w:rPr>
                  <m:t>2</m:t>
                </m:r>
              </m:sub>
            </m:sSub>
          </m:num>
          <m:den>
            <m:r>
              <w:rPr>
                <w:rFonts w:ascii="Cambria Math" w:eastAsia="PalatinoLinotype-Roman" w:hAnsi="Cambria Math" w:cs="Times New Roman"/>
                <w:color w:val="000000" w:themeColor="text1"/>
                <w:sz w:val="20"/>
                <w:szCs w:val="20"/>
              </w:rPr>
              <m:t>Weight of sample</m:t>
            </m:r>
          </m:den>
        </m:f>
      </m:oMath>
      <w:r>
        <w:rPr>
          <w:rFonts w:ascii="Times New Roman" w:eastAsia="PalatinoLinotype-Roman" w:hAnsi="Times New Roman" w:cs="Times New Roman"/>
          <w:bCs/>
          <w:color w:val="000000" w:themeColor="text1"/>
          <w:sz w:val="20"/>
          <w:szCs w:val="20"/>
        </w:rPr>
        <w:t xml:space="preserve"> </w:t>
      </w:r>
      <w:r>
        <w:rPr>
          <w:rFonts w:ascii="Times New Roman" w:eastAsia="PalatinoLinotype-Roman" w:hAnsi="Times New Roman" w:cs="Times New Roman"/>
          <w:bCs/>
          <w:color w:val="000000" w:themeColor="text1"/>
          <w:sz w:val="20"/>
          <w:szCs w:val="20"/>
        </w:rPr>
        <w:tab/>
      </w:r>
      <w:r>
        <w:rPr>
          <w:rFonts w:ascii="Times New Roman" w:eastAsia="PalatinoLinotype-Roman" w:hAnsi="Times New Roman" w:cs="Times New Roman"/>
          <w:bCs/>
          <w:color w:val="000000" w:themeColor="text1"/>
          <w:sz w:val="20"/>
          <w:szCs w:val="20"/>
        </w:rPr>
        <w:tab/>
        <w:t>(1)</w:t>
      </w:r>
    </w:p>
    <w:p w:rsidR="004B46A1" w:rsidRDefault="00B62C3E">
      <w:pPr>
        <w:pStyle w:val="ListParagraph"/>
        <w:snapToGrid w:val="0"/>
        <w:spacing w:after="0" w:line="240" w:lineRule="auto"/>
        <w:ind w:left="0"/>
        <w:jc w:val="both"/>
        <w:rPr>
          <w:rFonts w:ascii="Times New Roman" w:eastAsia="PalatinoLinotype-Roman" w:hAnsi="Times New Roman" w:cs="Times New Roman"/>
          <w:bCs/>
          <w:color w:val="000000" w:themeColor="text1"/>
          <w:sz w:val="20"/>
          <w:szCs w:val="20"/>
        </w:rPr>
      </w:pPr>
      <m:oMath>
        <m:r>
          <w:rPr>
            <w:rFonts w:ascii="Cambria Math" w:eastAsia="PalatinoLinotype-Roman" w:hAnsi="Cambria Math" w:cs="Times New Roman"/>
            <w:color w:val="000000" w:themeColor="text1"/>
            <w:sz w:val="20"/>
            <w:szCs w:val="20"/>
          </w:rPr>
          <m:t>Nitrogen factor=6.25</m:t>
        </m:r>
      </m:oMath>
      <w:r>
        <w:rPr>
          <w:rFonts w:ascii="Times New Roman" w:eastAsia="PalatinoLinotype-Roman" w:hAnsi="Times New Roman" w:cs="Times New Roman"/>
          <w:bCs/>
          <w:color w:val="000000" w:themeColor="text1"/>
          <w:sz w:val="20"/>
          <w:szCs w:val="20"/>
        </w:rPr>
        <w:t xml:space="preserve"> </w:t>
      </w:r>
      <w:r>
        <w:rPr>
          <w:rFonts w:ascii="Times New Roman" w:eastAsia="PalatinoLinotype-Roman" w:hAnsi="Times New Roman" w:cs="Times New Roman"/>
          <w:bCs/>
          <w:color w:val="000000" w:themeColor="text1"/>
          <w:sz w:val="20"/>
          <w:szCs w:val="20"/>
        </w:rPr>
        <w:tab/>
      </w:r>
      <w:r>
        <w:rPr>
          <w:rFonts w:ascii="Times New Roman" w:eastAsia="PalatinoLinotype-Roman" w:hAnsi="Times New Roman" w:cs="Times New Roman"/>
          <w:bCs/>
          <w:color w:val="000000" w:themeColor="text1"/>
          <w:sz w:val="20"/>
          <w:szCs w:val="20"/>
        </w:rPr>
        <w:tab/>
      </w:r>
      <w:r>
        <w:rPr>
          <w:rFonts w:ascii="Times New Roman" w:eastAsia="PalatinoLinotype-Roman" w:hAnsi="Times New Roman" w:cs="Times New Roman"/>
          <w:bCs/>
          <w:color w:val="000000" w:themeColor="text1"/>
          <w:sz w:val="20"/>
          <w:szCs w:val="20"/>
        </w:rPr>
        <w:tab/>
        <w:t>(2)</w:t>
      </w:r>
    </w:p>
    <w:p w:rsidR="004B46A1" w:rsidRDefault="00B62C3E">
      <w:pPr>
        <w:pStyle w:val="ListParagraph"/>
        <w:snapToGrid w:val="0"/>
        <w:spacing w:after="0" w:line="240" w:lineRule="auto"/>
        <w:ind w:left="0"/>
        <w:jc w:val="both"/>
        <w:rPr>
          <w:rFonts w:ascii="Times New Roman" w:eastAsiaTheme="minorEastAsia" w:hAnsi="Times New Roman" w:cs="Times New Roman"/>
          <w:bCs/>
          <w:color w:val="000000" w:themeColor="text1"/>
          <w:sz w:val="20"/>
          <w:szCs w:val="20"/>
          <w:lang w:eastAsia="zh-CN"/>
        </w:rPr>
      </w:pPr>
      <m:oMath>
        <m:r>
          <w:rPr>
            <w:rFonts w:ascii="Cambria Math" w:eastAsia="PalatinoLinotype-Roman" w:hAnsi="Cambria Math" w:cs="Times New Roman"/>
            <w:color w:val="000000" w:themeColor="text1"/>
            <w:sz w:val="20"/>
            <w:szCs w:val="20"/>
          </w:rPr>
          <m:t>Crude protein=% total nitrogen x 6.25</m:t>
        </m:r>
      </m:oMath>
      <w:r>
        <w:rPr>
          <w:rFonts w:ascii="Times New Roman" w:eastAsia="PalatinoLinotype-Roman" w:hAnsi="Times New Roman" w:cs="Times New Roman"/>
          <w:bCs/>
          <w:color w:val="000000" w:themeColor="text1"/>
          <w:sz w:val="20"/>
          <w:szCs w:val="20"/>
        </w:rPr>
        <w:t xml:space="preserve"> </w:t>
      </w:r>
      <w:r>
        <w:rPr>
          <w:rFonts w:ascii="Times New Roman" w:eastAsia="宋体" w:hAnsi="Times New Roman" w:cs="Times New Roman" w:hint="eastAsia"/>
          <w:bCs/>
          <w:color w:val="000000" w:themeColor="text1"/>
          <w:sz w:val="20"/>
          <w:szCs w:val="20"/>
          <w:lang w:val="en-US" w:eastAsia="zh-CN"/>
        </w:rPr>
        <w:t xml:space="preserve">       </w:t>
      </w:r>
      <w:r>
        <w:rPr>
          <w:rFonts w:ascii="Times New Roman" w:eastAsia="PalatinoLinotype-Roman" w:hAnsi="Times New Roman" w:cs="Times New Roman"/>
          <w:bCs/>
          <w:color w:val="000000" w:themeColor="text1"/>
          <w:sz w:val="20"/>
          <w:szCs w:val="20"/>
        </w:rPr>
        <w:t>(3)</w:t>
      </w:r>
    </w:p>
    <w:p w:rsidR="00632F86" w:rsidRPr="00632F86" w:rsidRDefault="00632F86">
      <w:pPr>
        <w:pStyle w:val="ListParagraph"/>
        <w:snapToGrid w:val="0"/>
        <w:spacing w:after="0" w:line="240" w:lineRule="auto"/>
        <w:ind w:left="0"/>
        <w:jc w:val="both"/>
        <w:rPr>
          <w:rFonts w:ascii="Times New Roman" w:eastAsiaTheme="minorEastAsia" w:hAnsi="Times New Roman" w:cs="Times New Roman"/>
          <w:b/>
          <w:bCs/>
          <w:color w:val="000000" w:themeColor="text1"/>
          <w:sz w:val="20"/>
          <w:szCs w:val="20"/>
          <w:lang w:eastAsia="zh-CN"/>
        </w:rPr>
      </w:pPr>
    </w:p>
    <w:p w:rsidR="004B46A1" w:rsidRDefault="00B62C3E">
      <w:pPr>
        <w:snapToGrid w:val="0"/>
        <w:jc w:val="both"/>
        <w:rPr>
          <w:b/>
          <w:bCs/>
          <w:sz w:val="20"/>
          <w:szCs w:val="20"/>
        </w:rPr>
      </w:pPr>
      <w:r>
        <w:rPr>
          <w:b/>
          <w:bCs/>
          <w:sz w:val="20"/>
          <w:szCs w:val="20"/>
        </w:rPr>
        <w:t>2.3.2</w:t>
      </w:r>
      <w:r>
        <w:rPr>
          <w:b/>
          <w:bCs/>
          <w:sz w:val="20"/>
          <w:szCs w:val="20"/>
        </w:rPr>
        <w:tab/>
        <w:t>Microbial Analysis</w:t>
      </w:r>
    </w:p>
    <w:p w:rsidR="004B46A1" w:rsidRDefault="00B62C3E" w:rsidP="00632F86">
      <w:pPr>
        <w:snapToGrid w:val="0"/>
        <w:ind w:firstLine="720"/>
        <w:jc w:val="both"/>
        <w:rPr>
          <w:sz w:val="20"/>
          <w:szCs w:val="20"/>
          <w:lang w:eastAsia="zh-CN"/>
        </w:rPr>
      </w:pPr>
      <w:r>
        <w:rPr>
          <w:sz w:val="20"/>
          <w:szCs w:val="20"/>
        </w:rPr>
        <w:t>The determination of the total aerobic count of the coconut oil was performed by the method outlined in the compendium of methods for the microbiological examination of foods, with some modifications (</w:t>
      </w:r>
      <w:bookmarkStart w:id="9" w:name="_Hlk98772142"/>
      <w:r>
        <w:rPr>
          <w:sz w:val="20"/>
          <w:szCs w:val="20"/>
        </w:rPr>
        <w:t xml:space="preserve">APHA, 1992; </w:t>
      </w:r>
      <w:proofErr w:type="spellStart"/>
      <w:r>
        <w:rPr>
          <w:sz w:val="20"/>
          <w:szCs w:val="20"/>
        </w:rPr>
        <w:t>Ndife</w:t>
      </w:r>
      <w:proofErr w:type="spellEnd"/>
      <w:r>
        <w:rPr>
          <w:sz w:val="20"/>
          <w:szCs w:val="20"/>
        </w:rPr>
        <w:t xml:space="preserve"> </w:t>
      </w:r>
      <w:r>
        <w:rPr>
          <w:i/>
          <w:sz w:val="20"/>
          <w:szCs w:val="20"/>
        </w:rPr>
        <w:t xml:space="preserve">et al. </w:t>
      </w:r>
      <w:r>
        <w:rPr>
          <w:sz w:val="20"/>
          <w:szCs w:val="20"/>
        </w:rPr>
        <w:t>2019</w:t>
      </w:r>
      <w:bookmarkEnd w:id="9"/>
      <w:r>
        <w:rPr>
          <w:sz w:val="20"/>
          <w:szCs w:val="20"/>
        </w:rPr>
        <w:t>)</w:t>
      </w:r>
      <w:r w:rsidR="00632F86">
        <w:rPr>
          <w:rFonts w:hint="eastAsia"/>
          <w:sz w:val="20"/>
          <w:szCs w:val="20"/>
          <w:lang w:eastAsia="zh-CN"/>
        </w:rPr>
        <w:t>.</w:t>
      </w:r>
    </w:p>
    <w:p w:rsidR="00632F86" w:rsidRDefault="00632F86" w:rsidP="00632F86">
      <w:pPr>
        <w:snapToGrid w:val="0"/>
        <w:ind w:firstLine="720"/>
        <w:jc w:val="both"/>
        <w:rPr>
          <w:rFonts w:eastAsia="PalatinoLinotype-Roman"/>
          <w:b/>
          <w:bCs/>
          <w:color w:val="000000" w:themeColor="text1"/>
          <w:sz w:val="20"/>
          <w:szCs w:val="20"/>
          <w:u w:val="single"/>
          <w:lang w:eastAsia="zh-CN"/>
        </w:rPr>
      </w:pPr>
    </w:p>
    <w:p w:rsidR="004B46A1" w:rsidRDefault="00B62C3E">
      <w:pPr>
        <w:snapToGrid w:val="0"/>
        <w:jc w:val="both"/>
        <w:rPr>
          <w:b/>
          <w:sz w:val="20"/>
          <w:szCs w:val="20"/>
        </w:rPr>
      </w:pPr>
      <w:r>
        <w:rPr>
          <w:b/>
          <w:sz w:val="20"/>
          <w:szCs w:val="20"/>
        </w:rPr>
        <w:t>2.4</w:t>
      </w:r>
      <w:r>
        <w:rPr>
          <w:b/>
          <w:sz w:val="20"/>
          <w:szCs w:val="20"/>
        </w:rPr>
        <w:tab/>
        <w:t>Statistical Analysis</w:t>
      </w:r>
    </w:p>
    <w:p w:rsidR="004B46A1" w:rsidRDefault="00B62C3E">
      <w:pPr>
        <w:snapToGrid w:val="0"/>
        <w:ind w:firstLine="720"/>
        <w:jc w:val="both"/>
        <w:rPr>
          <w:sz w:val="20"/>
          <w:szCs w:val="20"/>
        </w:rPr>
      </w:pPr>
      <w:r>
        <w:rPr>
          <w:sz w:val="20"/>
          <w:szCs w:val="20"/>
        </w:rPr>
        <w:t xml:space="preserve">Data collected was analyzed using the general linear model procedure available in SAS. The Duncan’s Multiple Range (DMRT) was used to determine the difference among means. </w:t>
      </w:r>
    </w:p>
    <w:p w:rsidR="00632F86" w:rsidRDefault="00632F86">
      <w:pPr>
        <w:snapToGrid w:val="0"/>
        <w:jc w:val="both"/>
        <w:rPr>
          <w:b/>
          <w:sz w:val="20"/>
          <w:szCs w:val="20"/>
          <w:lang w:eastAsia="zh-CN"/>
        </w:rPr>
      </w:pPr>
    </w:p>
    <w:p w:rsidR="004B46A1" w:rsidRDefault="00B62C3E">
      <w:pPr>
        <w:snapToGrid w:val="0"/>
        <w:jc w:val="both"/>
        <w:rPr>
          <w:b/>
          <w:sz w:val="20"/>
          <w:szCs w:val="20"/>
        </w:rPr>
      </w:pPr>
      <w:r>
        <w:rPr>
          <w:b/>
          <w:sz w:val="20"/>
          <w:szCs w:val="20"/>
        </w:rPr>
        <w:t xml:space="preserve">3. Results </w:t>
      </w:r>
    </w:p>
    <w:p w:rsidR="004B46A1" w:rsidRDefault="00B62C3E">
      <w:pPr>
        <w:snapToGrid w:val="0"/>
        <w:jc w:val="both"/>
        <w:rPr>
          <w:b/>
          <w:bCs/>
          <w:sz w:val="20"/>
          <w:szCs w:val="20"/>
        </w:rPr>
      </w:pPr>
      <w:r>
        <w:rPr>
          <w:b/>
          <w:bCs/>
          <w:sz w:val="20"/>
          <w:szCs w:val="20"/>
        </w:rPr>
        <w:t>3.1</w:t>
      </w:r>
      <w:r>
        <w:rPr>
          <w:b/>
          <w:bCs/>
          <w:sz w:val="20"/>
          <w:szCs w:val="20"/>
        </w:rPr>
        <w:tab/>
        <w:t>Effect of oven drying on Proximate composition of chicken sausage</w:t>
      </w:r>
    </w:p>
    <w:p w:rsidR="004B46A1" w:rsidRDefault="00B62C3E" w:rsidP="00632F86">
      <w:pPr>
        <w:snapToGrid w:val="0"/>
        <w:ind w:firstLine="720"/>
        <w:jc w:val="both"/>
        <w:rPr>
          <w:bCs/>
          <w:sz w:val="20"/>
          <w:szCs w:val="20"/>
        </w:rPr>
      </w:pPr>
      <w:r>
        <w:rPr>
          <w:bCs/>
          <w:sz w:val="20"/>
          <w:szCs w:val="20"/>
        </w:rPr>
        <w:t xml:space="preserve">Tables 2 and 3 shows proximate composition of the chicken sausage as affected by oven </w:t>
      </w:r>
      <w:proofErr w:type="spellStart"/>
      <w:r>
        <w:rPr>
          <w:bCs/>
          <w:sz w:val="20"/>
          <w:szCs w:val="20"/>
        </w:rPr>
        <w:t>dryng</w:t>
      </w:r>
      <w:proofErr w:type="spellEnd"/>
      <w:r>
        <w:rPr>
          <w:bCs/>
          <w:sz w:val="20"/>
          <w:szCs w:val="20"/>
        </w:rPr>
        <w:t xml:space="preserve">. A remarkable increase in crude protein, crude fat, crude </w:t>
      </w:r>
      <w:proofErr w:type="spellStart"/>
      <w:r>
        <w:rPr>
          <w:bCs/>
          <w:sz w:val="20"/>
          <w:szCs w:val="20"/>
        </w:rPr>
        <w:t>fibre</w:t>
      </w:r>
      <w:proofErr w:type="spellEnd"/>
      <w:r>
        <w:rPr>
          <w:bCs/>
          <w:sz w:val="20"/>
          <w:szCs w:val="20"/>
        </w:rPr>
        <w:t xml:space="preserve"> and ash was observed when sausage was dried in the hot air oven, the values obtained varies between the treatments which shows that the higher the drying time, the higher the protein content in the sausage. T</w:t>
      </w:r>
      <w:r>
        <w:rPr>
          <w:bCs/>
          <w:sz w:val="20"/>
          <w:szCs w:val="20"/>
          <w:vertAlign w:val="subscript"/>
        </w:rPr>
        <w:t>2</w:t>
      </w:r>
      <w:r>
        <w:rPr>
          <w:bCs/>
          <w:sz w:val="20"/>
          <w:szCs w:val="20"/>
        </w:rPr>
        <w:t>= 18.38</w:t>
      </w:r>
      <w:r>
        <w:rPr>
          <w:bCs/>
          <w:sz w:val="20"/>
          <w:szCs w:val="20"/>
          <w:vertAlign w:val="superscript"/>
        </w:rPr>
        <w:t>b</w:t>
      </w:r>
      <w:r>
        <w:rPr>
          <w:bCs/>
          <w:sz w:val="20"/>
          <w:szCs w:val="20"/>
        </w:rPr>
        <w:t>, T</w:t>
      </w:r>
      <w:r>
        <w:rPr>
          <w:bCs/>
          <w:sz w:val="20"/>
          <w:szCs w:val="20"/>
          <w:vertAlign w:val="subscript"/>
        </w:rPr>
        <w:t>3</w:t>
      </w:r>
      <w:r>
        <w:rPr>
          <w:bCs/>
          <w:sz w:val="20"/>
          <w:szCs w:val="20"/>
        </w:rPr>
        <w:t>= 18.79</w:t>
      </w:r>
      <w:r>
        <w:rPr>
          <w:bCs/>
          <w:sz w:val="20"/>
          <w:szCs w:val="20"/>
          <w:vertAlign w:val="superscript"/>
        </w:rPr>
        <w:t>c</w:t>
      </w:r>
      <w:r>
        <w:rPr>
          <w:bCs/>
          <w:sz w:val="20"/>
          <w:szCs w:val="20"/>
        </w:rPr>
        <w:t>, T</w:t>
      </w:r>
      <w:r>
        <w:rPr>
          <w:bCs/>
          <w:sz w:val="20"/>
          <w:szCs w:val="20"/>
          <w:vertAlign w:val="subscript"/>
        </w:rPr>
        <w:t>4</w:t>
      </w:r>
      <w:r>
        <w:rPr>
          <w:bCs/>
          <w:sz w:val="20"/>
          <w:szCs w:val="20"/>
        </w:rPr>
        <w:t>= 19.00</w:t>
      </w:r>
      <w:r>
        <w:rPr>
          <w:bCs/>
          <w:sz w:val="20"/>
          <w:szCs w:val="20"/>
          <w:vertAlign w:val="superscript"/>
        </w:rPr>
        <w:t>d</w:t>
      </w:r>
      <w:r>
        <w:rPr>
          <w:bCs/>
          <w:sz w:val="20"/>
          <w:szCs w:val="20"/>
        </w:rPr>
        <w:t>. While the moisture is different, the lower the drying time of the sausage the higher the moisture content T</w:t>
      </w:r>
      <w:r>
        <w:rPr>
          <w:bCs/>
          <w:sz w:val="20"/>
          <w:szCs w:val="20"/>
          <w:vertAlign w:val="subscript"/>
        </w:rPr>
        <w:t>1</w:t>
      </w:r>
      <w:r>
        <w:rPr>
          <w:bCs/>
          <w:sz w:val="20"/>
          <w:szCs w:val="20"/>
        </w:rPr>
        <w:t>= 55.40</w:t>
      </w:r>
      <w:r>
        <w:rPr>
          <w:bCs/>
          <w:sz w:val="20"/>
          <w:szCs w:val="20"/>
          <w:vertAlign w:val="superscript"/>
        </w:rPr>
        <w:t>d</w:t>
      </w:r>
      <w:r>
        <w:rPr>
          <w:bCs/>
          <w:sz w:val="20"/>
          <w:szCs w:val="20"/>
        </w:rPr>
        <w:t>, T</w:t>
      </w:r>
      <w:r>
        <w:rPr>
          <w:bCs/>
          <w:sz w:val="20"/>
          <w:szCs w:val="20"/>
          <w:vertAlign w:val="subscript"/>
        </w:rPr>
        <w:t>2</w:t>
      </w:r>
      <w:r>
        <w:rPr>
          <w:bCs/>
          <w:sz w:val="20"/>
          <w:szCs w:val="20"/>
        </w:rPr>
        <w:t>= 55.51</w:t>
      </w:r>
      <w:r>
        <w:rPr>
          <w:bCs/>
          <w:sz w:val="20"/>
          <w:szCs w:val="20"/>
          <w:vertAlign w:val="superscript"/>
        </w:rPr>
        <w:t>c</w:t>
      </w:r>
      <w:r>
        <w:rPr>
          <w:bCs/>
          <w:sz w:val="20"/>
          <w:szCs w:val="20"/>
        </w:rPr>
        <w:t>, T</w:t>
      </w:r>
      <w:r>
        <w:rPr>
          <w:bCs/>
          <w:sz w:val="20"/>
          <w:szCs w:val="20"/>
          <w:vertAlign w:val="subscript"/>
        </w:rPr>
        <w:t>3</w:t>
      </w:r>
      <w:r>
        <w:rPr>
          <w:bCs/>
          <w:sz w:val="20"/>
          <w:szCs w:val="20"/>
        </w:rPr>
        <w:t>= 53.19</w:t>
      </w:r>
      <w:r>
        <w:rPr>
          <w:bCs/>
          <w:sz w:val="20"/>
          <w:szCs w:val="20"/>
          <w:vertAlign w:val="superscript"/>
        </w:rPr>
        <w:t>b</w:t>
      </w:r>
      <w:r>
        <w:rPr>
          <w:bCs/>
          <w:sz w:val="20"/>
          <w:szCs w:val="20"/>
        </w:rPr>
        <w:t>, T</w:t>
      </w:r>
      <w:r>
        <w:rPr>
          <w:bCs/>
          <w:sz w:val="20"/>
          <w:szCs w:val="20"/>
          <w:vertAlign w:val="subscript"/>
        </w:rPr>
        <w:t>4</w:t>
      </w:r>
      <w:r>
        <w:rPr>
          <w:bCs/>
          <w:sz w:val="20"/>
          <w:szCs w:val="20"/>
        </w:rPr>
        <w:t>= 51.85</w:t>
      </w:r>
      <w:r>
        <w:rPr>
          <w:bCs/>
          <w:sz w:val="20"/>
          <w:szCs w:val="20"/>
          <w:vertAlign w:val="superscript"/>
        </w:rPr>
        <w:t>a</w:t>
      </w:r>
      <w:r>
        <w:rPr>
          <w:bCs/>
          <w:sz w:val="20"/>
          <w:szCs w:val="20"/>
        </w:rPr>
        <w:t xml:space="preserve">. Increase in the drying time significantly (p&lt;0.05) affected the crude protein, crude fat, crude </w:t>
      </w:r>
      <w:proofErr w:type="spellStart"/>
      <w:r>
        <w:rPr>
          <w:bCs/>
          <w:sz w:val="20"/>
          <w:szCs w:val="20"/>
        </w:rPr>
        <w:t>fibre</w:t>
      </w:r>
      <w:proofErr w:type="spellEnd"/>
      <w:r>
        <w:rPr>
          <w:bCs/>
          <w:sz w:val="20"/>
          <w:szCs w:val="20"/>
        </w:rPr>
        <w:t xml:space="preserve"> and Ash content of the sausage. This implies that as the drying increases the crude protein, </w:t>
      </w:r>
      <w:r>
        <w:rPr>
          <w:bCs/>
          <w:sz w:val="20"/>
          <w:szCs w:val="20"/>
        </w:rPr>
        <w:lastRenderedPageBreak/>
        <w:t xml:space="preserve">crude fat, crude </w:t>
      </w:r>
      <w:proofErr w:type="spellStart"/>
      <w:r>
        <w:rPr>
          <w:bCs/>
          <w:sz w:val="20"/>
          <w:szCs w:val="20"/>
        </w:rPr>
        <w:t>fibre</w:t>
      </w:r>
      <w:proofErr w:type="spellEnd"/>
      <w:r>
        <w:rPr>
          <w:bCs/>
          <w:sz w:val="20"/>
          <w:szCs w:val="20"/>
        </w:rPr>
        <w:t xml:space="preserve"> increases while the ash content varies.</w:t>
      </w:r>
    </w:p>
    <w:p w:rsidR="004B46A1" w:rsidRDefault="00B62C3E" w:rsidP="00632F86">
      <w:pPr>
        <w:snapToGrid w:val="0"/>
        <w:ind w:firstLine="720"/>
        <w:jc w:val="both"/>
        <w:rPr>
          <w:bCs/>
          <w:sz w:val="20"/>
          <w:szCs w:val="20"/>
          <w:lang w:eastAsia="zh-CN"/>
        </w:rPr>
      </w:pPr>
      <w:r>
        <w:rPr>
          <w:bCs/>
          <w:sz w:val="20"/>
          <w:szCs w:val="20"/>
        </w:rPr>
        <w:t>Crude protein in T</w:t>
      </w:r>
      <w:r>
        <w:rPr>
          <w:bCs/>
          <w:sz w:val="20"/>
          <w:szCs w:val="20"/>
          <w:vertAlign w:val="subscript"/>
        </w:rPr>
        <w:t>4</w:t>
      </w:r>
      <w:r>
        <w:rPr>
          <w:bCs/>
          <w:sz w:val="20"/>
          <w:szCs w:val="20"/>
        </w:rPr>
        <w:t xml:space="preserve"> (51.85) was significantly higher than those in T</w:t>
      </w:r>
      <w:r>
        <w:rPr>
          <w:bCs/>
          <w:sz w:val="20"/>
          <w:szCs w:val="20"/>
          <w:vertAlign w:val="subscript"/>
        </w:rPr>
        <w:t>2</w:t>
      </w:r>
      <w:r>
        <w:rPr>
          <w:bCs/>
          <w:sz w:val="20"/>
          <w:szCs w:val="20"/>
        </w:rPr>
        <w:t xml:space="preserve"> (18.38) and T</w:t>
      </w:r>
      <w:r>
        <w:rPr>
          <w:bCs/>
          <w:sz w:val="20"/>
          <w:szCs w:val="20"/>
          <w:vertAlign w:val="subscript"/>
        </w:rPr>
        <w:t>3</w:t>
      </w:r>
      <w:r>
        <w:rPr>
          <w:bCs/>
          <w:sz w:val="20"/>
          <w:szCs w:val="20"/>
        </w:rPr>
        <w:t xml:space="preserve"> (18.79) but T</w:t>
      </w:r>
      <w:r>
        <w:rPr>
          <w:bCs/>
          <w:sz w:val="20"/>
          <w:szCs w:val="20"/>
          <w:vertAlign w:val="subscript"/>
        </w:rPr>
        <w:t>3</w:t>
      </w:r>
      <w:r>
        <w:rPr>
          <w:bCs/>
          <w:sz w:val="20"/>
          <w:szCs w:val="20"/>
        </w:rPr>
        <w:t xml:space="preserve"> (18.79) was significantly higher than T</w:t>
      </w:r>
      <w:r>
        <w:rPr>
          <w:bCs/>
          <w:sz w:val="20"/>
          <w:szCs w:val="20"/>
          <w:vertAlign w:val="subscript"/>
        </w:rPr>
        <w:t>2</w:t>
      </w:r>
      <w:r>
        <w:rPr>
          <w:bCs/>
          <w:sz w:val="20"/>
          <w:szCs w:val="20"/>
        </w:rPr>
        <w:t xml:space="preserve"> (18.38). Also, crude fat in T4 (20.14) was significantly higher than those in T</w:t>
      </w:r>
      <w:r>
        <w:rPr>
          <w:bCs/>
          <w:sz w:val="20"/>
          <w:szCs w:val="20"/>
          <w:vertAlign w:val="subscript"/>
        </w:rPr>
        <w:t>3</w:t>
      </w:r>
      <w:r>
        <w:rPr>
          <w:bCs/>
          <w:sz w:val="20"/>
          <w:szCs w:val="20"/>
        </w:rPr>
        <w:t xml:space="preserve"> (20.05) and T</w:t>
      </w:r>
      <w:r>
        <w:rPr>
          <w:bCs/>
          <w:sz w:val="20"/>
          <w:szCs w:val="20"/>
          <w:vertAlign w:val="subscript"/>
        </w:rPr>
        <w:t>2</w:t>
      </w:r>
      <w:r>
        <w:rPr>
          <w:bCs/>
          <w:sz w:val="20"/>
          <w:szCs w:val="20"/>
        </w:rPr>
        <w:t xml:space="preserve"> (19.91) But T</w:t>
      </w:r>
      <w:r>
        <w:rPr>
          <w:bCs/>
          <w:sz w:val="20"/>
          <w:szCs w:val="20"/>
          <w:vertAlign w:val="subscript"/>
        </w:rPr>
        <w:t>3</w:t>
      </w:r>
      <w:r>
        <w:rPr>
          <w:bCs/>
          <w:sz w:val="20"/>
          <w:szCs w:val="20"/>
        </w:rPr>
        <w:t xml:space="preserve"> (20.05) was significantly higher than T</w:t>
      </w:r>
      <w:r>
        <w:rPr>
          <w:bCs/>
          <w:sz w:val="20"/>
          <w:szCs w:val="20"/>
          <w:vertAlign w:val="subscript"/>
        </w:rPr>
        <w:t>2</w:t>
      </w:r>
      <w:r>
        <w:rPr>
          <w:bCs/>
          <w:sz w:val="20"/>
          <w:szCs w:val="20"/>
        </w:rPr>
        <w:t xml:space="preserve"> (19.91). Crude </w:t>
      </w:r>
      <w:proofErr w:type="spellStart"/>
      <w:r>
        <w:rPr>
          <w:bCs/>
          <w:sz w:val="20"/>
          <w:szCs w:val="20"/>
        </w:rPr>
        <w:t>fibre</w:t>
      </w:r>
      <w:proofErr w:type="spellEnd"/>
      <w:r>
        <w:rPr>
          <w:bCs/>
          <w:sz w:val="20"/>
          <w:szCs w:val="20"/>
        </w:rPr>
        <w:t xml:space="preserve"> in T</w:t>
      </w:r>
      <w:r>
        <w:rPr>
          <w:bCs/>
          <w:sz w:val="20"/>
          <w:szCs w:val="20"/>
          <w:vertAlign w:val="subscript"/>
        </w:rPr>
        <w:t>4</w:t>
      </w:r>
      <w:r>
        <w:rPr>
          <w:bCs/>
          <w:sz w:val="20"/>
          <w:szCs w:val="20"/>
        </w:rPr>
        <w:t xml:space="preserve"> (0.30) was significantly higher than those in T</w:t>
      </w:r>
      <w:r>
        <w:rPr>
          <w:bCs/>
          <w:sz w:val="20"/>
          <w:szCs w:val="20"/>
          <w:vertAlign w:val="subscript"/>
        </w:rPr>
        <w:t>3</w:t>
      </w:r>
      <w:r>
        <w:rPr>
          <w:bCs/>
          <w:sz w:val="20"/>
          <w:szCs w:val="20"/>
        </w:rPr>
        <w:t xml:space="preserve"> (0.25) and T</w:t>
      </w:r>
      <w:r>
        <w:rPr>
          <w:bCs/>
          <w:sz w:val="20"/>
          <w:szCs w:val="20"/>
          <w:vertAlign w:val="subscript"/>
        </w:rPr>
        <w:t>2</w:t>
      </w:r>
      <w:r>
        <w:rPr>
          <w:bCs/>
          <w:sz w:val="20"/>
          <w:szCs w:val="20"/>
        </w:rPr>
        <w:t xml:space="preserve"> (0.22) but T</w:t>
      </w:r>
      <w:r>
        <w:rPr>
          <w:bCs/>
          <w:sz w:val="20"/>
          <w:szCs w:val="20"/>
          <w:vertAlign w:val="subscript"/>
        </w:rPr>
        <w:t>3</w:t>
      </w:r>
      <w:r>
        <w:rPr>
          <w:bCs/>
          <w:sz w:val="20"/>
          <w:szCs w:val="20"/>
        </w:rPr>
        <w:t xml:space="preserve"> (0.25) was significantly higher than T</w:t>
      </w:r>
      <w:r>
        <w:rPr>
          <w:bCs/>
          <w:sz w:val="20"/>
          <w:szCs w:val="20"/>
          <w:vertAlign w:val="subscript"/>
        </w:rPr>
        <w:t>2</w:t>
      </w:r>
      <w:r>
        <w:rPr>
          <w:bCs/>
          <w:sz w:val="20"/>
          <w:szCs w:val="20"/>
        </w:rPr>
        <w:t xml:space="preserve"> (0.22). Ash content in T</w:t>
      </w:r>
      <w:r>
        <w:rPr>
          <w:bCs/>
          <w:sz w:val="20"/>
          <w:szCs w:val="20"/>
          <w:vertAlign w:val="subscript"/>
        </w:rPr>
        <w:t>4</w:t>
      </w:r>
      <w:r>
        <w:rPr>
          <w:bCs/>
          <w:sz w:val="20"/>
          <w:szCs w:val="20"/>
        </w:rPr>
        <w:t xml:space="preserve"> (2.24) was significantly lower than those in T</w:t>
      </w:r>
      <w:r>
        <w:rPr>
          <w:bCs/>
          <w:sz w:val="20"/>
          <w:szCs w:val="20"/>
          <w:vertAlign w:val="subscript"/>
        </w:rPr>
        <w:t>2</w:t>
      </w:r>
      <w:r>
        <w:rPr>
          <w:bCs/>
          <w:sz w:val="20"/>
          <w:szCs w:val="20"/>
        </w:rPr>
        <w:t xml:space="preserve"> (2.33) and T</w:t>
      </w:r>
      <w:r>
        <w:rPr>
          <w:bCs/>
          <w:sz w:val="20"/>
          <w:szCs w:val="20"/>
          <w:vertAlign w:val="subscript"/>
        </w:rPr>
        <w:t>3</w:t>
      </w:r>
      <w:r>
        <w:rPr>
          <w:bCs/>
          <w:sz w:val="20"/>
          <w:szCs w:val="20"/>
        </w:rPr>
        <w:t xml:space="preserve"> (2.31) but T</w:t>
      </w:r>
      <w:r>
        <w:rPr>
          <w:bCs/>
          <w:sz w:val="20"/>
          <w:szCs w:val="20"/>
          <w:vertAlign w:val="subscript"/>
        </w:rPr>
        <w:t>3</w:t>
      </w:r>
      <w:r>
        <w:rPr>
          <w:bCs/>
          <w:sz w:val="20"/>
          <w:szCs w:val="20"/>
        </w:rPr>
        <w:t xml:space="preserve"> (2.31) was significantly higher than T</w:t>
      </w:r>
      <w:r>
        <w:rPr>
          <w:bCs/>
          <w:sz w:val="20"/>
          <w:szCs w:val="20"/>
          <w:vertAlign w:val="subscript"/>
        </w:rPr>
        <w:t>2</w:t>
      </w:r>
      <w:r>
        <w:rPr>
          <w:bCs/>
          <w:sz w:val="20"/>
          <w:szCs w:val="20"/>
        </w:rPr>
        <w:t xml:space="preserve"> (2.33).</w:t>
      </w:r>
    </w:p>
    <w:p w:rsidR="00632F86" w:rsidRDefault="00632F86">
      <w:pPr>
        <w:snapToGrid w:val="0"/>
        <w:jc w:val="both"/>
        <w:rPr>
          <w:bCs/>
          <w:sz w:val="20"/>
          <w:szCs w:val="20"/>
          <w:lang w:eastAsia="zh-CN"/>
        </w:rPr>
      </w:pPr>
    </w:p>
    <w:p w:rsidR="004B46A1" w:rsidRDefault="00B62C3E">
      <w:pPr>
        <w:snapToGrid w:val="0"/>
        <w:jc w:val="both"/>
        <w:rPr>
          <w:b/>
          <w:bCs/>
          <w:sz w:val="20"/>
          <w:szCs w:val="20"/>
        </w:rPr>
      </w:pPr>
      <w:r>
        <w:rPr>
          <w:b/>
          <w:bCs/>
          <w:sz w:val="20"/>
          <w:szCs w:val="20"/>
        </w:rPr>
        <w:t>Storage days</w:t>
      </w:r>
    </w:p>
    <w:p w:rsidR="004B46A1" w:rsidRDefault="00B62C3E">
      <w:pPr>
        <w:snapToGrid w:val="0"/>
        <w:jc w:val="both"/>
        <w:rPr>
          <w:bCs/>
          <w:sz w:val="20"/>
          <w:szCs w:val="20"/>
          <w:lang w:eastAsia="zh-CN"/>
        </w:rPr>
      </w:pPr>
      <w:r>
        <w:rPr>
          <w:bCs/>
          <w:sz w:val="20"/>
          <w:szCs w:val="20"/>
        </w:rPr>
        <w:t xml:space="preserve">Crude Protein in D0 (18.81) was significantly higher than those in D3 (18.68), D6 (18.46) and D9 (18.26). But D3 (18.68) and D6 (18.46) was significantly higher than D9 (18.26). Crude fat in D0 (20.28) was significantly higher than those in D3 (20.18), D6 (19.88) and D9 (19.70). But D3 (20.18) and D6 (19.88) was significantly higher than D9 (19.70). Crude </w:t>
      </w:r>
      <w:proofErr w:type="spellStart"/>
      <w:r>
        <w:rPr>
          <w:bCs/>
          <w:sz w:val="20"/>
          <w:szCs w:val="20"/>
        </w:rPr>
        <w:t>fibre</w:t>
      </w:r>
      <w:proofErr w:type="spellEnd"/>
      <w:r>
        <w:rPr>
          <w:bCs/>
          <w:sz w:val="20"/>
          <w:szCs w:val="20"/>
        </w:rPr>
        <w:t xml:space="preserve"> in D0 (0.32) was significantly higher than those in D3 (0.26), D6 (0.19) and D9 (0.11). But D3 (0.26) and D6 (0.19) was significantly higher than D9 (0.11). Ash content in D0 (2.24) was significantly higher than those in D3 (2.37), D6 (2.28) and D9 (2.21). But D3 (2.37) and D6 (2.28) was significantly higher than D9 (2.21).</w:t>
      </w:r>
    </w:p>
    <w:p w:rsidR="00632F86" w:rsidRDefault="00632F86">
      <w:pPr>
        <w:snapToGrid w:val="0"/>
        <w:jc w:val="both"/>
        <w:rPr>
          <w:bCs/>
          <w:sz w:val="20"/>
          <w:szCs w:val="20"/>
          <w:lang w:eastAsia="zh-CN"/>
        </w:rPr>
      </w:pPr>
    </w:p>
    <w:p w:rsidR="004B46A1" w:rsidRDefault="00B62C3E">
      <w:pPr>
        <w:snapToGrid w:val="0"/>
        <w:jc w:val="both"/>
        <w:rPr>
          <w:b/>
          <w:bCs/>
          <w:sz w:val="20"/>
          <w:szCs w:val="20"/>
        </w:rPr>
      </w:pPr>
      <w:r>
        <w:rPr>
          <w:b/>
          <w:bCs/>
          <w:sz w:val="20"/>
          <w:szCs w:val="20"/>
        </w:rPr>
        <w:t>3.2</w:t>
      </w:r>
      <w:r>
        <w:rPr>
          <w:b/>
          <w:bCs/>
          <w:sz w:val="20"/>
          <w:szCs w:val="20"/>
        </w:rPr>
        <w:tab/>
        <w:t>Effect of Oven drying on Microbial Content of the Chicken Sausage</w:t>
      </w:r>
    </w:p>
    <w:p w:rsidR="004B46A1" w:rsidRDefault="00B62C3E">
      <w:pPr>
        <w:snapToGrid w:val="0"/>
        <w:ind w:firstLine="720"/>
        <w:jc w:val="both"/>
        <w:rPr>
          <w:sz w:val="20"/>
          <w:szCs w:val="20"/>
        </w:rPr>
      </w:pPr>
      <w:r>
        <w:rPr>
          <w:bCs/>
          <w:sz w:val="20"/>
          <w:szCs w:val="20"/>
        </w:rPr>
        <w:t xml:space="preserve">Microbial load was significantly (p&lt;0.05) reduced as the drying time increases in this order T1 (0.40) &gt; T2 (0.25) &gt; T3 (0.22) &gt;T4 (0.12) as shown in Table 3. Thus, T4 (0.12) had the least significant TBC, TCC, TFC and </w:t>
      </w:r>
      <w:proofErr w:type="spellStart"/>
      <w:r>
        <w:rPr>
          <w:bCs/>
          <w:sz w:val="20"/>
          <w:szCs w:val="20"/>
        </w:rPr>
        <w:t>E.Coli</w:t>
      </w:r>
      <w:proofErr w:type="spellEnd"/>
      <w:r>
        <w:rPr>
          <w:bCs/>
          <w:sz w:val="20"/>
          <w:szCs w:val="20"/>
        </w:rPr>
        <w:t xml:space="preserve">. While the highest microbial load was found in T1 for TBC, TCC, TFC, </w:t>
      </w:r>
      <w:proofErr w:type="spellStart"/>
      <w:r>
        <w:rPr>
          <w:bCs/>
          <w:sz w:val="20"/>
          <w:szCs w:val="20"/>
        </w:rPr>
        <w:t>E.Coli</w:t>
      </w:r>
      <w:proofErr w:type="spellEnd"/>
      <w:r>
        <w:rPr>
          <w:bCs/>
          <w:sz w:val="20"/>
          <w:szCs w:val="20"/>
        </w:rPr>
        <w:t xml:space="preserve"> and S.A The major difference in total bacterial counts between raw and dried sausage samples confirmed raw sausage is primed to spoilage quicker than dried treated one (Libby1975; </w:t>
      </w:r>
      <w:proofErr w:type="spellStart"/>
      <w:r>
        <w:rPr>
          <w:bCs/>
          <w:sz w:val="20"/>
          <w:szCs w:val="20"/>
        </w:rPr>
        <w:t>Maedy</w:t>
      </w:r>
      <w:proofErr w:type="spellEnd"/>
      <w:r>
        <w:rPr>
          <w:bCs/>
          <w:sz w:val="20"/>
          <w:szCs w:val="20"/>
        </w:rPr>
        <w:t xml:space="preserve"> et al, 1997)</w:t>
      </w:r>
      <w:r>
        <w:rPr>
          <w:sz w:val="20"/>
          <w:szCs w:val="20"/>
        </w:rPr>
        <w:t xml:space="preserve">. </w:t>
      </w:r>
    </w:p>
    <w:p w:rsidR="004B46A1" w:rsidRDefault="004B46A1">
      <w:pPr>
        <w:snapToGrid w:val="0"/>
        <w:rPr>
          <w:sz w:val="20"/>
          <w:szCs w:val="20"/>
        </w:rPr>
        <w:sectPr w:rsidR="004B46A1">
          <w:footnotePr>
            <w:pos w:val="beneathText"/>
          </w:footnotePr>
          <w:type w:val="continuous"/>
          <w:pgSz w:w="12240" w:h="15840"/>
          <w:pgMar w:top="1440" w:right="1440" w:bottom="1440" w:left="1440" w:header="720" w:footer="720" w:gutter="0"/>
          <w:cols w:num="2" w:space="576"/>
          <w:docGrid w:linePitch="360"/>
        </w:sect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4B46A1" w:rsidRDefault="00B62C3E">
      <w:pPr>
        <w:snapToGrid w:val="0"/>
        <w:jc w:val="center"/>
        <w:rPr>
          <w:sz w:val="20"/>
          <w:szCs w:val="20"/>
        </w:rPr>
      </w:pPr>
      <w:r>
        <w:rPr>
          <w:b/>
          <w:bCs/>
          <w:sz w:val="20"/>
          <w:szCs w:val="20"/>
        </w:rPr>
        <w:t>Table 2: Proximate Composition of the Chicken Sausage</w:t>
      </w:r>
    </w:p>
    <w:tbl>
      <w:tblPr>
        <w:tblStyle w:val="TableGrid"/>
        <w:tblW w:w="9297" w:type="dxa"/>
        <w:jc w:val="center"/>
        <w:tblLook w:val="04A0"/>
      </w:tblPr>
      <w:tblGrid>
        <w:gridCol w:w="1957"/>
        <w:gridCol w:w="810"/>
        <w:gridCol w:w="817"/>
        <w:gridCol w:w="954"/>
        <w:gridCol w:w="949"/>
        <w:gridCol w:w="954"/>
        <w:gridCol w:w="949"/>
        <w:gridCol w:w="954"/>
        <w:gridCol w:w="953"/>
      </w:tblGrid>
      <w:tr w:rsidR="004B46A1">
        <w:trPr>
          <w:trHeight w:val="90"/>
          <w:jc w:val="center"/>
        </w:trPr>
        <w:tc>
          <w:tcPr>
            <w:tcW w:w="1957" w:type="dxa"/>
          </w:tcPr>
          <w:p w:rsidR="004B46A1" w:rsidRDefault="00B62C3E">
            <w:pPr>
              <w:snapToGrid w:val="0"/>
              <w:jc w:val="center"/>
              <w:rPr>
                <w:b/>
                <w:sz w:val="20"/>
                <w:szCs w:val="20"/>
              </w:rPr>
            </w:pPr>
            <w:r>
              <w:rPr>
                <w:b/>
                <w:sz w:val="20"/>
                <w:szCs w:val="20"/>
              </w:rPr>
              <w:t>Main effect</w:t>
            </w:r>
          </w:p>
        </w:tc>
        <w:tc>
          <w:tcPr>
            <w:tcW w:w="1627" w:type="dxa"/>
            <w:gridSpan w:val="2"/>
          </w:tcPr>
          <w:p w:rsidR="004B46A1" w:rsidRDefault="00B62C3E">
            <w:pPr>
              <w:snapToGrid w:val="0"/>
              <w:jc w:val="center"/>
              <w:rPr>
                <w:b/>
                <w:sz w:val="20"/>
                <w:szCs w:val="20"/>
              </w:rPr>
            </w:pPr>
            <w:r>
              <w:rPr>
                <w:b/>
                <w:sz w:val="20"/>
                <w:szCs w:val="20"/>
              </w:rPr>
              <w:t>Crude protein</w:t>
            </w:r>
          </w:p>
        </w:tc>
        <w:tc>
          <w:tcPr>
            <w:tcW w:w="1903" w:type="dxa"/>
            <w:gridSpan w:val="2"/>
          </w:tcPr>
          <w:p w:rsidR="004B46A1" w:rsidRDefault="00B62C3E">
            <w:pPr>
              <w:snapToGrid w:val="0"/>
              <w:jc w:val="center"/>
              <w:rPr>
                <w:b/>
                <w:sz w:val="20"/>
                <w:szCs w:val="20"/>
              </w:rPr>
            </w:pPr>
            <w:r>
              <w:rPr>
                <w:b/>
                <w:sz w:val="20"/>
                <w:szCs w:val="20"/>
              </w:rPr>
              <w:t>Crude fat</w:t>
            </w:r>
          </w:p>
        </w:tc>
        <w:tc>
          <w:tcPr>
            <w:tcW w:w="1903" w:type="dxa"/>
            <w:gridSpan w:val="2"/>
          </w:tcPr>
          <w:p w:rsidR="004B46A1" w:rsidRDefault="00B62C3E">
            <w:pPr>
              <w:snapToGrid w:val="0"/>
              <w:jc w:val="center"/>
              <w:rPr>
                <w:b/>
                <w:sz w:val="20"/>
                <w:szCs w:val="20"/>
              </w:rPr>
            </w:pPr>
            <w:r>
              <w:rPr>
                <w:b/>
                <w:sz w:val="20"/>
                <w:szCs w:val="20"/>
              </w:rPr>
              <w:t xml:space="preserve">Crude </w:t>
            </w:r>
            <w:proofErr w:type="spellStart"/>
            <w:r>
              <w:rPr>
                <w:b/>
                <w:sz w:val="20"/>
                <w:szCs w:val="20"/>
              </w:rPr>
              <w:t>fiber</w:t>
            </w:r>
            <w:proofErr w:type="spellEnd"/>
          </w:p>
        </w:tc>
        <w:tc>
          <w:tcPr>
            <w:tcW w:w="1907" w:type="dxa"/>
            <w:gridSpan w:val="2"/>
          </w:tcPr>
          <w:p w:rsidR="004B46A1" w:rsidRDefault="00B62C3E">
            <w:pPr>
              <w:snapToGrid w:val="0"/>
              <w:jc w:val="center"/>
              <w:rPr>
                <w:b/>
                <w:sz w:val="20"/>
                <w:szCs w:val="20"/>
              </w:rPr>
            </w:pPr>
            <w:r>
              <w:rPr>
                <w:b/>
                <w:sz w:val="20"/>
                <w:szCs w:val="20"/>
              </w:rPr>
              <w:t>Ash</w:t>
            </w:r>
          </w:p>
        </w:tc>
      </w:tr>
      <w:tr w:rsidR="004B46A1">
        <w:trPr>
          <w:trHeight w:val="90"/>
          <w:jc w:val="center"/>
        </w:trPr>
        <w:tc>
          <w:tcPr>
            <w:tcW w:w="1957" w:type="dxa"/>
          </w:tcPr>
          <w:p w:rsidR="004B46A1" w:rsidRDefault="00B62C3E">
            <w:pPr>
              <w:snapToGrid w:val="0"/>
              <w:jc w:val="center"/>
              <w:rPr>
                <w:bCs/>
                <w:i/>
                <w:iCs/>
                <w:sz w:val="20"/>
                <w:szCs w:val="20"/>
              </w:rPr>
            </w:pPr>
            <w:r>
              <w:rPr>
                <w:bCs/>
                <w:i/>
                <w:iCs/>
                <w:sz w:val="20"/>
                <w:szCs w:val="20"/>
              </w:rPr>
              <w:t>Treatment</w:t>
            </w:r>
          </w:p>
        </w:tc>
        <w:tc>
          <w:tcPr>
            <w:tcW w:w="810" w:type="dxa"/>
          </w:tcPr>
          <w:p w:rsidR="004B46A1" w:rsidRDefault="00B62C3E">
            <w:pPr>
              <w:snapToGrid w:val="0"/>
              <w:jc w:val="center"/>
              <w:rPr>
                <w:bCs/>
                <w:i/>
                <w:iCs/>
                <w:sz w:val="20"/>
                <w:szCs w:val="20"/>
              </w:rPr>
            </w:pPr>
            <w:r>
              <w:rPr>
                <w:bCs/>
                <w:i/>
                <w:iCs/>
                <w:sz w:val="20"/>
                <w:szCs w:val="20"/>
              </w:rPr>
              <w:t>Mean</w:t>
            </w:r>
          </w:p>
        </w:tc>
        <w:tc>
          <w:tcPr>
            <w:tcW w:w="817" w:type="dxa"/>
          </w:tcPr>
          <w:p w:rsidR="004B46A1" w:rsidRDefault="00B62C3E">
            <w:pPr>
              <w:snapToGrid w:val="0"/>
              <w:jc w:val="center"/>
              <w:rPr>
                <w:bCs/>
                <w:i/>
                <w:iCs/>
                <w:sz w:val="20"/>
                <w:szCs w:val="20"/>
              </w:rPr>
            </w:pPr>
            <w:r>
              <w:rPr>
                <w:bCs/>
                <w:i/>
                <w:iCs/>
                <w:sz w:val="20"/>
                <w:szCs w:val="20"/>
              </w:rPr>
              <w:t>SE</w:t>
            </w:r>
          </w:p>
        </w:tc>
        <w:tc>
          <w:tcPr>
            <w:tcW w:w="954" w:type="dxa"/>
          </w:tcPr>
          <w:p w:rsidR="004B46A1" w:rsidRDefault="00B62C3E">
            <w:pPr>
              <w:snapToGrid w:val="0"/>
              <w:jc w:val="center"/>
              <w:rPr>
                <w:bCs/>
                <w:i/>
                <w:iCs/>
                <w:sz w:val="20"/>
                <w:szCs w:val="20"/>
              </w:rPr>
            </w:pPr>
            <w:r>
              <w:rPr>
                <w:bCs/>
                <w:i/>
                <w:iCs/>
                <w:sz w:val="20"/>
                <w:szCs w:val="20"/>
              </w:rPr>
              <w:t>Mean</w:t>
            </w:r>
          </w:p>
        </w:tc>
        <w:tc>
          <w:tcPr>
            <w:tcW w:w="949" w:type="dxa"/>
          </w:tcPr>
          <w:p w:rsidR="004B46A1" w:rsidRDefault="00B62C3E">
            <w:pPr>
              <w:snapToGrid w:val="0"/>
              <w:jc w:val="center"/>
              <w:rPr>
                <w:bCs/>
                <w:i/>
                <w:iCs/>
                <w:sz w:val="20"/>
                <w:szCs w:val="20"/>
              </w:rPr>
            </w:pPr>
            <w:r>
              <w:rPr>
                <w:bCs/>
                <w:i/>
                <w:iCs/>
                <w:sz w:val="20"/>
                <w:szCs w:val="20"/>
              </w:rPr>
              <w:t>SE</w:t>
            </w:r>
          </w:p>
        </w:tc>
        <w:tc>
          <w:tcPr>
            <w:tcW w:w="954" w:type="dxa"/>
          </w:tcPr>
          <w:p w:rsidR="004B46A1" w:rsidRDefault="00B62C3E">
            <w:pPr>
              <w:snapToGrid w:val="0"/>
              <w:jc w:val="center"/>
              <w:rPr>
                <w:bCs/>
                <w:i/>
                <w:iCs/>
                <w:sz w:val="20"/>
                <w:szCs w:val="20"/>
              </w:rPr>
            </w:pPr>
            <w:r>
              <w:rPr>
                <w:bCs/>
                <w:i/>
                <w:iCs/>
                <w:sz w:val="20"/>
                <w:szCs w:val="20"/>
              </w:rPr>
              <w:t>Mean</w:t>
            </w:r>
          </w:p>
        </w:tc>
        <w:tc>
          <w:tcPr>
            <w:tcW w:w="949" w:type="dxa"/>
          </w:tcPr>
          <w:p w:rsidR="004B46A1" w:rsidRDefault="00B62C3E">
            <w:pPr>
              <w:snapToGrid w:val="0"/>
              <w:jc w:val="center"/>
              <w:rPr>
                <w:bCs/>
                <w:i/>
                <w:iCs/>
                <w:sz w:val="20"/>
                <w:szCs w:val="20"/>
              </w:rPr>
            </w:pPr>
            <w:r>
              <w:rPr>
                <w:bCs/>
                <w:i/>
                <w:iCs/>
                <w:sz w:val="20"/>
                <w:szCs w:val="20"/>
              </w:rPr>
              <w:t>SE</w:t>
            </w:r>
          </w:p>
        </w:tc>
        <w:tc>
          <w:tcPr>
            <w:tcW w:w="954" w:type="dxa"/>
          </w:tcPr>
          <w:p w:rsidR="004B46A1" w:rsidRDefault="00B62C3E">
            <w:pPr>
              <w:snapToGrid w:val="0"/>
              <w:jc w:val="center"/>
              <w:rPr>
                <w:bCs/>
                <w:i/>
                <w:iCs/>
                <w:sz w:val="20"/>
                <w:szCs w:val="20"/>
              </w:rPr>
            </w:pPr>
            <w:r>
              <w:rPr>
                <w:bCs/>
                <w:i/>
                <w:iCs/>
                <w:sz w:val="20"/>
                <w:szCs w:val="20"/>
              </w:rPr>
              <w:t>Mean</w:t>
            </w:r>
          </w:p>
        </w:tc>
        <w:tc>
          <w:tcPr>
            <w:tcW w:w="953" w:type="dxa"/>
          </w:tcPr>
          <w:p w:rsidR="004B46A1" w:rsidRDefault="00B62C3E">
            <w:pPr>
              <w:snapToGrid w:val="0"/>
              <w:jc w:val="center"/>
              <w:rPr>
                <w:bCs/>
                <w:i/>
                <w:iCs/>
                <w:sz w:val="20"/>
                <w:szCs w:val="20"/>
              </w:rPr>
            </w:pPr>
            <w:r>
              <w:rPr>
                <w:bCs/>
                <w:i/>
                <w:iCs/>
                <w:sz w:val="20"/>
                <w:szCs w:val="20"/>
              </w:rPr>
              <w:t>SE</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w:t>
            </w:r>
            <w:r>
              <w:rPr>
                <w:bCs/>
                <w:sz w:val="20"/>
                <w:szCs w:val="20"/>
                <w:vertAlign w:val="subscript"/>
              </w:rPr>
              <w:t>1</w:t>
            </w:r>
          </w:p>
        </w:tc>
        <w:tc>
          <w:tcPr>
            <w:tcW w:w="810" w:type="dxa"/>
          </w:tcPr>
          <w:p w:rsidR="004B46A1" w:rsidRDefault="00B62C3E">
            <w:pPr>
              <w:snapToGrid w:val="0"/>
              <w:jc w:val="center"/>
              <w:rPr>
                <w:bCs/>
                <w:sz w:val="20"/>
                <w:szCs w:val="20"/>
              </w:rPr>
            </w:pPr>
            <w:r>
              <w:rPr>
                <w:bCs/>
                <w:sz w:val="20"/>
                <w:szCs w:val="20"/>
              </w:rPr>
              <w:t>18.02</w:t>
            </w:r>
            <w:r>
              <w:rPr>
                <w:bCs/>
                <w:sz w:val="20"/>
                <w:szCs w:val="20"/>
                <w:vertAlign w:val="superscript"/>
              </w:rPr>
              <w:t>a</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19.94</w:t>
            </w:r>
            <w:r>
              <w:rPr>
                <w:bCs/>
                <w:sz w:val="20"/>
                <w:szCs w:val="20"/>
                <w:vertAlign w:val="superscript"/>
              </w:rPr>
              <w:t>b</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0.12</w:t>
            </w:r>
            <w:r>
              <w:rPr>
                <w:bCs/>
                <w:sz w:val="20"/>
                <w:szCs w:val="20"/>
                <w:vertAlign w:val="superscript"/>
              </w:rPr>
              <w:t>a</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2.39</w:t>
            </w:r>
            <w:r>
              <w:rPr>
                <w:bCs/>
                <w:sz w:val="20"/>
                <w:szCs w:val="20"/>
                <w:vertAlign w:val="superscript"/>
              </w:rPr>
              <w:t>a</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w:t>
            </w:r>
            <w:r>
              <w:rPr>
                <w:bCs/>
                <w:sz w:val="20"/>
                <w:szCs w:val="20"/>
                <w:vertAlign w:val="subscript"/>
              </w:rPr>
              <w:t>2</w:t>
            </w:r>
          </w:p>
        </w:tc>
        <w:tc>
          <w:tcPr>
            <w:tcW w:w="810" w:type="dxa"/>
          </w:tcPr>
          <w:p w:rsidR="004B46A1" w:rsidRDefault="00B62C3E">
            <w:pPr>
              <w:tabs>
                <w:tab w:val="left" w:pos="2115"/>
                <w:tab w:val="left" w:pos="3600"/>
                <w:tab w:val="left" w:pos="4995"/>
                <w:tab w:val="left" w:pos="6015"/>
              </w:tabs>
              <w:snapToGrid w:val="0"/>
              <w:jc w:val="center"/>
              <w:rPr>
                <w:sz w:val="20"/>
                <w:szCs w:val="20"/>
              </w:rPr>
            </w:pPr>
            <w:r>
              <w:rPr>
                <w:bCs/>
                <w:sz w:val="20"/>
                <w:szCs w:val="20"/>
              </w:rPr>
              <w:t>18.38</w:t>
            </w:r>
            <w:r>
              <w:rPr>
                <w:bCs/>
                <w:sz w:val="20"/>
                <w:szCs w:val="20"/>
                <w:vertAlign w:val="superscript"/>
              </w:rPr>
              <w:t>b</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19.91</w:t>
            </w:r>
            <w:r>
              <w:rPr>
                <w:bCs/>
                <w:sz w:val="20"/>
                <w:szCs w:val="20"/>
                <w:vertAlign w:val="superscript"/>
              </w:rPr>
              <w:t>a</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0.22</w:t>
            </w:r>
            <w:r>
              <w:rPr>
                <w:bCs/>
                <w:sz w:val="20"/>
                <w:szCs w:val="20"/>
                <w:vertAlign w:val="superscript"/>
              </w:rPr>
              <w:t>b</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2.33</w:t>
            </w:r>
            <w:r>
              <w:rPr>
                <w:bCs/>
                <w:sz w:val="20"/>
                <w:szCs w:val="20"/>
                <w:vertAlign w:val="superscript"/>
              </w:rPr>
              <w:t>c</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w:t>
            </w:r>
            <w:r>
              <w:rPr>
                <w:bCs/>
                <w:sz w:val="20"/>
                <w:szCs w:val="20"/>
                <w:vertAlign w:val="subscript"/>
              </w:rPr>
              <w:t>3</w:t>
            </w:r>
          </w:p>
        </w:tc>
        <w:tc>
          <w:tcPr>
            <w:tcW w:w="810" w:type="dxa"/>
          </w:tcPr>
          <w:p w:rsidR="004B46A1" w:rsidRDefault="00B62C3E">
            <w:pPr>
              <w:snapToGrid w:val="0"/>
              <w:jc w:val="center"/>
              <w:rPr>
                <w:bCs/>
                <w:sz w:val="20"/>
                <w:szCs w:val="20"/>
              </w:rPr>
            </w:pPr>
            <w:r>
              <w:rPr>
                <w:bCs/>
                <w:sz w:val="20"/>
                <w:szCs w:val="20"/>
              </w:rPr>
              <w:t>18.79</w:t>
            </w:r>
            <w:r>
              <w:rPr>
                <w:bCs/>
                <w:sz w:val="20"/>
                <w:szCs w:val="20"/>
                <w:vertAlign w:val="superscript"/>
              </w:rPr>
              <w:t>c</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20.05</w:t>
            </w:r>
            <w:r>
              <w:rPr>
                <w:bCs/>
                <w:sz w:val="20"/>
                <w:szCs w:val="20"/>
                <w:vertAlign w:val="superscript"/>
              </w:rPr>
              <w:t>c</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0.25</w:t>
            </w:r>
            <w:r>
              <w:rPr>
                <w:bCs/>
                <w:sz w:val="20"/>
                <w:szCs w:val="20"/>
                <w:vertAlign w:val="superscript"/>
              </w:rPr>
              <w:t>c</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2.31</w:t>
            </w:r>
            <w:r>
              <w:rPr>
                <w:bCs/>
                <w:sz w:val="20"/>
                <w:szCs w:val="20"/>
                <w:vertAlign w:val="superscript"/>
              </w:rPr>
              <w:t>b</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w:t>
            </w:r>
            <w:r>
              <w:rPr>
                <w:bCs/>
                <w:sz w:val="20"/>
                <w:szCs w:val="20"/>
                <w:vertAlign w:val="subscript"/>
              </w:rPr>
              <w:t>4</w:t>
            </w:r>
          </w:p>
        </w:tc>
        <w:tc>
          <w:tcPr>
            <w:tcW w:w="810" w:type="dxa"/>
          </w:tcPr>
          <w:p w:rsidR="004B46A1" w:rsidRDefault="00B62C3E">
            <w:pPr>
              <w:snapToGrid w:val="0"/>
              <w:jc w:val="center"/>
              <w:rPr>
                <w:bCs/>
                <w:sz w:val="20"/>
                <w:szCs w:val="20"/>
              </w:rPr>
            </w:pPr>
            <w:r>
              <w:rPr>
                <w:bCs/>
                <w:sz w:val="20"/>
                <w:szCs w:val="20"/>
              </w:rPr>
              <w:t>19</w:t>
            </w:r>
            <w:r>
              <w:rPr>
                <w:bCs/>
                <w:sz w:val="20"/>
                <w:szCs w:val="20"/>
                <w:vertAlign w:val="superscript"/>
              </w:rPr>
              <w:t>a</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20.14</w:t>
            </w:r>
            <w:r>
              <w:rPr>
                <w:bCs/>
                <w:sz w:val="20"/>
                <w:szCs w:val="20"/>
                <w:vertAlign w:val="superscript"/>
              </w:rPr>
              <w:t>d</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0.30</w:t>
            </w:r>
            <w:r>
              <w:rPr>
                <w:bCs/>
                <w:sz w:val="20"/>
                <w:szCs w:val="20"/>
                <w:vertAlign w:val="superscript"/>
              </w:rPr>
              <w:t>d</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2.24</w:t>
            </w:r>
            <w:r>
              <w:rPr>
                <w:bCs/>
                <w:sz w:val="20"/>
                <w:szCs w:val="20"/>
                <w:vertAlign w:val="superscript"/>
              </w:rPr>
              <w:t>a</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9297" w:type="dxa"/>
            <w:gridSpan w:val="9"/>
          </w:tcPr>
          <w:p w:rsidR="004B46A1" w:rsidRDefault="00B62C3E">
            <w:pPr>
              <w:snapToGrid w:val="0"/>
              <w:jc w:val="center"/>
              <w:rPr>
                <w:b/>
                <w:sz w:val="20"/>
                <w:szCs w:val="20"/>
              </w:rPr>
            </w:pPr>
            <w:r>
              <w:rPr>
                <w:b/>
                <w:sz w:val="20"/>
                <w:szCs w:val="20"/>
              </w:rPr>
              <w:t>Storage Days</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0</w:t>
            </w:r>
          </w:p>
        </w:tc>
        <w:tc>
          <w:tcPr>
            <w:tcW w:w="810" w:type="dxa"/>
          </w:tcPr>
          <w:p w:rsidR="004B46A1" w:rsidRDefault="00B62C3E">
            <w:pPr>
              <w:snapToGrid w:val="0"/>
              <w:jc w:val="center"/>
              <w:rPr>
                <w:bCs/>
                <w:sz w:val="20"/>
                <w:szCs w:val="20"/>
              </w:rPr>
            </w:pPr>
            <w:r>
              <w:rPr>
                <w:bCs/>
                <w:sz w:val="20"/>
                <w:szCs w:val="20"/>
              </w:rPr>
              <w:t>18.81</w:t>
            </w:r>
            <w:r>
              <w:rPr>
                <w:bCs/>
                <w:sz w:val="20"/>
                <w:szCs w:val="20"/>
                <w:vertAlign w:val="superscript"/>
              </w:rPr>
              <w:t>d</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20.28</w:t>
            </w:r>
            <w:r>
              <w:rPr>
                <w:bCs/>
                <w:sz w:val="20"/>
                <w:szCs w:val="20"/>
                <w:vertAlign w:val="superscript"/>
              </w:rPr>
              <w:t>d</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0.32</w:t>
            </w:r>
            <w:r>
              <w:rPr>
                <w:bCs/>
                <w:sz w:val="20"/>
                <w:szCs w:val="20"/>
                <w:vertAlign w:val="superscript"/>
              </w:rPr>
              <w:t>d</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2.42</w:t>
            </w:r>
            <w:r>
              <w:rPr>
                <w:bCs/>
                <w:sz w:val="20"/>
                <w:szCs w:val="20"/>
                <w:vertAlign w:val="superscript"/>
              </w:rPr>
              <w:t>d</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3</w:t>
            </w:r>
          </w:p>
        </w:tc>
        <w:tc>
          <w:tcPr>
            <w:tcW w:w="810" w:type="dxa"/>
          </w:tcPr>
          <w:p w:rsidR="004B46A1" w:rsidRDefault="00B62C3E">
            <w:pPr>
              <w:snapToGrid w:val="0"/>
              <w:jc w:val="center"/>
              <w:rPr>
                <w:bCs/>
                <w:sz w:val="20"/>
                <w:szCs w:val="20"/>
              </w:rPr>
            </w:pPr>
            <w:r>
              <w:rPr>
                <w:bCs/>
                <w:sz w:val="20"/>
                <w:szCs w:val="20"/>
              </w:rPr>
              <w:t>18.68</w:t>
            </w:r>
            <w:r>
              <w:rPr>
                <w:bCs/>
                <w:sz w:val="20"/>
                <w:szCs w:val="20"/>
                <w:vertAlign w:val="superscript"/>
              </w:rPr>
              <w:t>c</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20.18</w:t>
            </w:r>
            <w:r>
              <w:rPr>
                <w:bCs/>
                <w:sz w:val="20"/>
                <w:szCs w:val="20"/>
                <w:vertAlign w:val="superscript"/>
              </w:rPr>
              <w:t>c</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0.26</w:t>
            </w:r>
            <w:r>
              <w:rPr>
                <w:bCs/>
                <w:sz w:val="20"/>
                <w:szCs w:val="20"/>
                <w:vertAlign w:val="superscript"/>
              </w:rPr>
              <w:t>c</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2.37</w:t>
            </w:r>
            <w:r>
              <w:rPr>
                <w:bCs/>
                <w:sz w:val="20"/>
                <w:szCs w:val="20"/>
                <w:vertAlign w:val="superscript"/>
              </w:rPr>
              <w:t>c</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6</w:t>
            </w:r>
          </w:p>
        </w:tc>
        <w:tc>
          <w:tcPr>
            <w:tcW w:w="810" w:type="dxa"/>
          </w:tcPr>
          <w:p w:rsidR="004B46A1" w:rsidRDefault="00B62C3E">
            <w:pPr>
              <w:snapToGrid w:val="0"/>
              <w:jc w:val="center"/>
              <w:rPr>
                <w:bCs/>
                <w:sz w:val="20"/>
                <w:szCs w:val="20"/>
              </w:rPr>
            </w:pPr>
            <w:r>
              <w:rPr>
                <w:bCs/>
                <w:sz w:val="20"/>
                <w:szCs w:val="20"/>
              </w:rPr>
              <w:t>18.46</w:t>
            </w:r>
            <w:r>
              <w:rPr>
                <w:bCs/>
                <w:sz w:val="20"/>
                <w:szCs w:val="20"/>
                <w:vertAlign w:val="superscript"/>
              </w:rPr>
              <w:t>b</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19.88</w:t>
            </w:r>
            <w:r>
              <w:rPr>
                <w:bCs/>
                <w:sz w:val="20"/>
                <w:szCs w:val="20"/>
                <w:vertAlign w:val="superscript"/>
              </w:rPr>
              <w:t>b</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0.19</w:t>
            </w:r>
            <w:r>
              <w:rPr>
                <w:bCs/>
                <w:sz w:val="20"/>
                <w:szCs w:val="20"/>
                <w:vertAlign w:val="superscript"/>
              </w:rPr>
              <w:t>b</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2.28</w:t>
            </w:r>
            <w:r>
              <w:rPr>
                <w:bCs/>
                <w:sz w:val="20"/>
                <w:szCs w:val="20"/>
                <w:vertAlign w:val="superscript"/>
              </w:rPr>
              <w:t>b</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9</w:t>
            </w:r>
          </w:p>
        </w:tc>
        <w:tc>
          <w:tcPr>
            <w:tcW w:w="810" w:type="dxa"/>
          </w:tcPr>
          <w:p w:rsidR="004B46A1" w:rsidRDefault="00B62C3E">
            <w:pPr>
              <w:snapToGrid w:val="0"/>
              <w:jc w:val="center"/>
              <w:rPr>
                <w:bCs/>
                <w:sz w:val="20"/>
                <w:szCs w:val="20"/>
              </w:rPr>
            </w:pPr>
            <w:r>
              <w:rPr>
                <w:bCs/>
                <w:sz w:val="20"/>
                <w:szCs w:val="20"/>
              </w:rPr>
              <w:t>18.26</w:t>
            </w:r>
            <w:r>
              <w:rPr>
                <w:bCs/>
                <w:sz w:val="20"/>
                <w:szCs w:val="20"/>
                <w:vertAlign w:val="superscript"/>
              </w:rPr>
              <w:t>a</w:t>
            </w:r>
          </w:p>
        </w:tc>
        <w:tc>
          <w:tcPr>
            <w:tcW w:w="817" w:type="dxa"/>
          </w:tcPr>
          <w:p w:rsidR="004B46A1" w:rsidRDefault="00B62C3E">
            <w:pPr>
              <w:snapToGrid w:val="0"/>
              <w:jc w:val="center"/>
              <w:rPr>
                <w:bCs/>
                <w:sz w:val="20"/>
                <w:szCs w:val="20"/>
              </w:rPr>
            </w:pPr>
            <w:r>
              <w:rPr>
                <w:bCs/>
                <w:sz w:val="20"/>
                <w:szCs w:val="20"/>
              </w:rPr>
              <w:t>0.02</w:t>
            </w:r>
          </w:p>
        </w:tc>
        <w:tc>
          <w:tcPr>
            <w:tcW w:w="954" w:type="dxa"/>
          </w:tcPr>
          <w:p w:rsidR="004B46A1" w:rsidRDefault="00B62C3E">
            <w:pPr>
              <w:snapToGrid w:val="0"/>
              <w:jc w:val="center"/>
              <w:rPr>
                <w:bCs/>
                <w:sz w:val="20"/>
                <w:szCs w:val="20"/>
              </w:rPr>
            </w:pPr>
            <w:r>
              <w:rPr>
                <w:bCs/>
                <w:sz w:val="20"/>
                <w:szCs w:val="20"/>
              </w:rPr>
              <w:t>19.70</w:t>
            </w:r>
            <w:r>
              <w:rPr>
                <w:bCs/>
                <w:sz w:val="20"/>
                <w:szCs w:val="20"/>
                <w:vertAlign w:val="superscript"/>
              </w:rPr>
              <w:t>a</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0.11</w:t>
            </w:r>
            <w:r>
              <w:rPr>
                <w:bCs/>
                <w:sz w:val="20"/>
                <w:szCs w:val="20"/>
                <w:vertAlign w:val="superscript"/>
              </w:rPr>
              <w:t>a</w:t>
            </w:r>
          </w:p>
        </w:tc>
        <w:tc>
          <w:tcPr>
            <w:tcW w:w="949" w:type="dxa"/>
          </w:tcPr>
          <w:p w:rsidR="004B46A1" w:rsidRDefault="00B62C3E">
            <w:pPr>
              <w:snapToGrid w:val="0"/>
              <w:jc w:val="center"/>
              <w:rPr>
                <w:bCs/>
                <w:sz w:val="20"/>
                <w:szCs w:val="20"/>
              </w:rPr>
            </w:pPr>
            <w:r>
              <w:rPr>
                <w:bCs/>
                <w:sz w:val="20"/>
                <w:szCs w:val="20"/>
              </w:rPr>
              <w:t>0.01</w:t>
            </w:r>
          </w:p>
        </w:tc>
        <w:tc>
          <w:tcPr>
            <w:tcW w:w="954" w:type="dxa"/>
          </w:tcPr>
          <w:p w:rsidR="004B46A1" w:rsidRDefault="00B62C3E">
            <w:pPr>
              <w:snapToGrid w:val="0"/>
              <w:jc w:val="center"/>
              <w:rPr>
                <w:bCs/>
                <w:sz w:val="20"/>
                <w:szCs w:val="20"/>
              </w:rPr>
            </w:pPr>
            <w:r>
              <w:rPr>
                <w:bCs/>
                <w:sz w:val="20"/>
                <w:szCs w:val="20"/>
              </w:rPr>
              <w:t>2.21</w:t>
            </w:r>
            <w:r>
              <w:rPr>
                <w:bCs/>
                <w:sz w:val="20"/>
                <w:szCs w:val="20"/>
                <w:vertAlign w:val="superscript"/>
              </w:rPr>
              <w:t>a</w:t>
            </w:r>
          </w:p>
        </w:tc>
        <w:tc>
          <w:tcPr>
            <w:tcW w:w="953" w:type="dxa"/>
          </w:tcPr>
          <w:p w:rsidR="004B46A1" w:rsidRDefault="00B62C3E">
            <w:pPr>
              <w:snapToGrid w:val="0"/>
              <w:jc w:val="center"/>
              <w:rPr>
                <w:bCs/>
                <w:sz w:val="20"/>
                <w:szCs w:val="20"/>
              </w:rPr>
            </w:pPr>
            <w:r>
              <w:rPr>
                <w:bCs/>
                <w:sz w:val="20"/>
                <w:szCs w:val="20"/>
              </w:rPr>
              <w:t>0.01</w:t>
            </w:r>
          </w:p>
        </w:tc>
      </w:tr>
      <w:tr w:rsidR="004B46A1">
        <w:trPr>
          <w:trHeight w:val="90"/>
          <w:jc w:val="center"/>
        </w:trPr>
        <w:tc>
          <w:tcPr>
            <w:tcW w:w="9297" w:type="dxa"/>
            <w:gridSpan w:val="9"/>
          </w:tcPr>
          <w:p w:rsidR="004B46A1" w:rsidRDefault="00B62C3E">
            <w:pPr>
              <w:snapToGrid w:val="0"/>
              <w:jc w:val="center"/>
              <w:rPr>
                <w:bCs/>
                <w:sz w:val="20"/>
                <w:szCs w:val="20"/>
              </w:rPr>
            </w:pPr>
            <w:r>
              <w:rPr>
                <w:sz w:val="20"/>
                <w:szCs w:val="20"/>
              </w:rPr>
              <w:t>P – Values</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Treatments</w:t>
            </w:r>
          </w:p>
        </w:tc>
        <w:tc>
          <w:tcPr>
            <w:tcW w:w="1627" w:type="dxa"/>
            <w:gridSpan w:val="2"/>
          </w:tcPr>
          <w:p w:rsidR="004B46A1" w:rsidRDefault="00B62C3E">
            <w:pPr>
              <w:snapToGrid w:val="0"/>
              <w:jc w:val="center"/>
              <w:rPr>
                <w:bCs/>
                <w:sz w:val="20"/>
                <w:szCs w:val="20"/>
              </w:rPr>
            </w:pPr>
            <w:r>
              <w:rPr>
                <w:bCs/>
                <w:sz w:val="20"/>
                <w:szCs w:val="20"/>
              </w:rPr>
              <w:t>0.000</w:t>
            </w:r>
          </w:p>
        </w:tc>
        <w:tc>
          <w:tcPr>
            <w:tcW w:w="1903" w:type="dxa"/>
            <w:gridSpan w:val="2"/>
          </w:tcPr>
          <w:p w:rsidR="004B46A1" w:rsidRDefault="00B62C3E">
            <w:pPr>
              <w:snapToGrid w:val="0"/>
              <w:jc w:val="center"/>
              <w:rPr>
                <w:bCs/>
                <w:sz w:val="20"/>
                <w:szCs w:val="20"/>
              </w:rPr>
            </w:pPr>
            <w:r>
              <w:rPr>
                <w:bCs/>
                <w:sz w:val="20"/>
                <w:szCs w:val="20"/>
              </w:rPr>
              <w:t>0.000</w:t>
            </w:r>
          </w:p>
        </w:tc>
        <w:tc>
          <w:tcPr>
            <w:tcW w:w="1903" w:type="dxa"/>
            <w:gridSpan w:val="2"/>
          </w:tcPr>
          <w:p w:rsidR="004B46A1" w:rsidRDefault="00B62C3E">
            <w:pPr>
              <w:snapToGrid w:val="0"/>
              <w:jc w:val="center"/>
              <w:rPr>
                <w:bCs/>
                <w:sz w:val="20"/>
                <w:szCs w:val="20"/>
              </w:rPr>
            </w:pPr>
            <w:r>
              <w:rPr>
                <w:bCs/>
                <w:sz w:val="20"/>
                <w:szCs w:val="20"/>
              </w:rPr>
              <w:t>0.000</w:t>
            </w:r>
          </w:p>
        </w:tc>
        <w:tc>
          <w:tcPr>
            <w:tcW w:w="1907" w:type="dxa"/>
            <w:gridSpan w:val="2"/>
          </w:tcPr>
          <w:p w:rsidR="004B46A1" w:rsidRDefault="00B62C3E">
            <w:pPr>
              <w:snapToGrid w:val="0"/>
              <w:jc w:val="center"/>
              <w:rPr>
                <w:bCs/>
                <w:sz w:val="20"/>
                <w:szCs w:val="20"/>
              </w:rPr>
            </w:pPr>
            <w:r>
              <w:rPr>
                <w:bCs/>
                <w:sz w:val="20"/>
                <w:szCs w:val="20"/>
              </w:rPr>
              <w:t>0.000</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Storage days</w:t>
            </w:r>
          </w:p>
        </w:tc>
        <w:tc>
          <w:tcPr>
            <w:tcW w:w="1627" w:type="dxa"/>
            <w:gridSpan w:val="2"/>
          </w:tcPr>
          <w:p w:rsidR="004B46A1" w:rsidRDefault="00B62C3E">
            <w:pPr>
              <w:snapToGrid w:val="0"/>
              <w:jc w:val="center"/>
              <w:rPr>
                <w:bCs/>
                <w:sz w:val="20"/>
                <w:szCs w:val="20"/>
              </w:rPr>
            </w:pPr>
            <w:r>
              <w:rPr>
                <w:bCs/>
                <w:sz w:val="20"/>
                <w:szCs w:val="20"/>
              </w:rPr>
              <w:t>0.00</w:t>
            </w:r>
          </w:p>
        </w:tc>
        <w:tc>
          <w:tcPr>
            <w:tcW w:w="1903" w:type="dxa"/>
            <w:gridSpan w:val="2"/>
          </w:tcPr>
          <w:p w:rsidR="004B46A1" w:rsidRDefault="00B62C3E">
            <w:pPr>
              <w:snapToGrid w:val="0"/>
              <w:jc w:val="center"/>
              <w:rPr>
                <w:bCs/>
                <w:sz w:val="20"/>
                <w:szCs w:val="20"/>
              </w:rPr>
            </w:pPr>
            <w:r>
              <w:rPr>
                <w:bCs/>
                <w:sz w:val="20"/>
                <w:szCs w:val="20"/>
              </w:rPr>
              <w:t>0.000</w:t>
            </w:r>
          </w:p>
        </w:tc>
        <w:tc>
          <w:tcPr>
            <w:tcW w:w="1903" w:type="dxa"/>
            <w:gridSpan w:val="2"/>
          </w:tcPr>
          <w:p w:rsidR="004B46A1" w:rsidRDefault="00B62C3E">
            <w:pPr>
              <w:snapToGrid w:val="0"/>
              <w:jc w:val="center"/>
              <w:rPr>
                <w:bCs/>
                <w:sz w:val="20"/>
                <w:szCs w:val="20"/>
              </w:rPr>
            </w:pPr>
            <w:r>
              <w:rPr>
                <w:bCs/>
                <w:sz w:val="20"/>
                <w:szCs w:val="20"/>
              </w:rPr>
              <w:t>0.000</w:t>
            </w:r>
          </w:p>
        </w:tc>
        <w:tc>
          <w:tcPr>
            <w:tcW w:w="1907" w:type="dxa"/>
            <w:gridSpan w:val="2"/>
          </w:tcPr>
          <w:p w:rsidR="004B46A1" w:rsidRDefault="00B62C3E">
            <w:pPr>
              <w:snapToGrid w:val="0"/>
              <w:jc w:val="center"/>
              <w:rPr>
                <w:bCs/>
                <w:sz w:val="20"/>
                <w:szCs w:val="20"/>
              </w:rPr>
            </w:pPr>
            <w:r>
              <w:rPr>
                <w:bCs/>
                <w:sz w:val="20"/>
                <w:szCs w:val="20"/>
              </w:rPr>
              <w:t>0.000</w:t>
            </w:r>
          </w:p>
        </w:tc>
      </w:tr>
      <w:tr w:rsidR="004B46A1">
        <w:trPr>
          <w:trHeight w:val="90"/>
          <w:jc w:val="center"/>
        </w:trPr>
        <w:tc>
          <w:tcPr>
            <w:tcW w:w="1957" w:type="dxa"/>
          </w:tcPr>
          <w:p w:rsidR="004B46A1" w:rsidRDefault="00B62C3E">
            <w:pPr>
              <w:snapToGrid w:val="0"/>
              <w:jc w:val="center"/>
              <w:rPr>
                <w:bCs/>
                <w:sz w:val="20"/>
                <w:szCs w:val="20"/>
              </w:rPr>
            </w:pPr>
            <w:r>
              <w:rPr>
                <w:bCs/>
                <w:sz w:val="20"/>
                <w:szCs w:val="20"/>
              </w:rPr>
              <w:t>Treatment * Storage</w:t>
            </w:r>
          </w:p>
        </w:tc>
        <w:tc>
          <w:tcPr>
            <w:tcW w:w="1627" w:type="dxa"/>
            <w:gridSpan w:val="2"/>
          </w:tcPr>
          <w:p w:rsidR="004B46A1" w:rsidRDefault="00B62C3E">
            <w:pPr>
              <w:snapToGrid w:val="0"/>
              <w:jc w:val="center"/>
              <w:rPr>
                <w:bCs/>
                <w:sz w:val="20"/>
                <w:szCs w:val="20"/>
              </w:rPr>
            </w:pPr>
            <w:r>
              <w:rPr>
                <w:bCs/>
                <w:sz w:val="20"/>
                <w:szCs w:val="20"/>
              </w:rPr>
              <w:t>0.392</w:t>
            </w:r>
          </w:p>
        </w:tc>
        <w:tc>
          <w:tcPr>
            <w:tcW w:w="1903" w:type="dxa"/>
            <w:gridSpan w:val="2"/>
          </w:tcPr>
          <w:p w:rsidR="004B46A1" w:rsidRDefault="00B62C3E">
            <w:pPr>
              <w:snapToGrid w:val="0"/>
              <w:jc w:val="center"/>
              <w:rPr>
                <w:bCs/>
                <w:sz w:val="20"/>
                <w:szCs w:val="20"/>
              </w:rPr>
            </w:pPr>
            <w:r>
              <w:rPr>
                <w:bCs/>
                <w:sz w:val="20"/>
                <w:szCs w:val="20"/>
              </w:rPr>
              <w:t>0.000</w:t>
            </w:r>
          </w:p>
        </w:tc>
        <w:tc>
          <w:tcPr>
            <w:tcW w:w="1903" w:type="dxa"/>
            <w:gridSpan w:val="2"/>
          </w:tcPr>
          <w:p w:rsidR="004B46A1" w:rsidRDefault="00B62C3E">
            <w:pPr>
              <w:snapToGrid w:val="0"/>
              <w:jc w:val="center"/>
              <w:rPr>
                <w:bCs/>
                <w:sz w:val="20"/>
                <w:szCs w:val="20"/>
              </w:rPr>
            </w:pPr>
            <w:r>
              <w:rPr>
                <w:bCs/>
                <w:sz w:val="20"/>
                <w:szCs w:val="20"/>
              </w:rPr>
              <w:t>0.001</w:t>
            </w:r>
          </w:p>
        </w:tc>
        <w:tc>
          <w:tcPr>
            <w:tcW w:w="1907" w:type="dxa"/>
            <w:gridSpan w:val="2"/>
          </w:tcPr>
          <w:p w:rsidR="004B46A1" w:rsidRDefault="00B62C3E">
            <w:pPr>
              <w:snapToGrid w:val="0"/>
              <w:jc w:val="center"/>
              <w:rPr>
                <w:bCs/>
                <w:sz w:val="20"/>
                <w:szCs w:val="20"/>
              </w:rPr>
            </w:pPr>
            <w:r>
              <w:rPr>
                <w:bCs/>
                <w:sz w:val="20"/>
                <w:szCs w:val="20"/>
              </w:rPr>
              <w:t>0.761</w:t>
            </w:r>
          </w:p>
        </w:tc>
      </w:tr>
    </w:tbl>
    <w:p w:rsidR="004B46A1" w:rsidRDefault="00B62C3E">
      <w:pPr>
        <w:tabs>
          <w:tab w:val="left" w:pos="2115"/>
          <w:tab w:val="left" w:pos="3600"/>
          <w:tab w:val="left" w:pos="4995"/>
          <w:tab w:val="left" w:pos="6480"/>
          <w:tab w:val="right" w:pos="9026"/>
        </w:tabs>
        <w:snapToGrid w:val="0"/>
        <w:jc w:val="center"/>
        <w:rPr>
          <w:i/>
          <w:iCs/>
          <w:sz w:val="20"/>
          <w:szCs w:val="20"/>
        </w:rPr>
      </w:pPr>
      <w:proofErr w:type="spellStart"/>
      <w:r>
        <w:rPr>
          <w:i/>
          <w:iCs/>
          <w:sz w:val="20"/>
          <w:szCs w:val="20"/>
        </w:rPr>
        <w:t>abcd</w:t>
      </w:r>
      <w:proofErr w:type="spellEnd"/>
      <w:r>
        <w:rPr>
          <w:i/>
          <w:iCs/>
          <w:sz w:val="20"/>
          <w:szCs w:val="20"/>
        </w:rPr>
        <w:t xml:space="preserve"> means in the same column (within a main effect) with different superscript differs significantly (p&lt;0.005)</w:t>
      </w: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4B46A1" w:rsidRDefault="00B62C3E">
      <w:pPr>
        <w:snapToGrid w:val="0"/>
        <w:jc w:val="center"/>
        <w:rPr>
          <w:sz w:val="20"/>
          <w:szCs w:val="20"/>
        </w:rPr>
      </w:pPr>
      <w:r>
        <w:rPr>
          <w:b/>
          <w:bCs/>
          <w:sz w:val="20"/>
          <w:szCs w:val="20"/>
        </w:rPr>
        <w:t>Table 2: Proximate Composition of the Chicken Sausage</w:t>
      </w:r>
    </w:p>
    <w:tbl>
      <w:tblPr>
        <w:tblStyle w:val="TableGrid"/>
        <w:tblW w:w="9350" w:type="dxa"/>
        <w:jc w:val="center"/>
        <w:tblLook w:val="04A0"/>
      </w:tblPr>
      <w:tblGrid>
        <w:gridCol w:w="1643"/>
        <w:gridCol w:w="961"/>
        <w:gridCol w:w="1003"/>
        <w:gridCol w:w="960"/>
        <w:gridCol w:w="953"/>
        <w:gridCol w:w="960"/>
        <w:gridCol w:w="953"/>
        <w:gridCol w:w="960"/>
        <w:gridCol w:w="957"/>
      </w:tblGrid>
      <w:tr w:rsidR="004B46A1">
        <w:trPr>
          <w:trHeight w:val="623"/>
          <w:jc w:val="center"/>
        </w:trPr>
        <w:tc>
          <w:tcPr>
            <w:tcW w:w="1501" w:type="dxa"/>
          </w:tcPr>
          <w:p w:rsidR="004B46A1" w:rsidRDefault="00B62C3E">
            <w:pPr>
              <w:snapToGrid w:val="0"/>
              <w:jc w:val="center"/>
              <w:rPr>
                <w:b/>
                <w:sz w:val="20"/>
                <w:szCs w:val="20"/>
              </w:rPr>
            </w:pPr>
            <w:r>
              <w:rPr>
                <w:b/>
                <w:sz w:val="20"/>
                <w:szCs w:val="20"/>
              </w:rPr>
              <w:t>Main effect</w:t>
            </w:r>
          </w:p>
        </w:tc>
        <w:tc>
          <w:tcPr>
            <w:tcW w:w="1795" w:type="dxa"/>
            <w:gridSpan w:val="2"/>
          </w:tcPr>
          <w:p w:rsidR="004B46A1" w:rsidRDefault="00B62C3E">
            <w:pPr>
              <w:snapToGrid w:val="0"/>
              <w:jc w:val="center"/>
              <w:rPr>
                <w:b/>
                <w:sz w:val="20"/>
                <w:szCs w:val="20"/>
              </w:rPr>
            </w:pPr>
            <w:r>
              <w:rPr>
                <w:b/>
                <w:sz w:val="20"/>
                <w:szCs w:val="20"/>
              </w:rPr>
              <w:t xml:space="preserve">Moisture </w:t>
            </w:r>
          </w:p>
        </w:tc>
        <w:tc>
          <w:tcPr>
            <w:tcW w:w="1749" w:type="dxa"/>
            <w:gridSpan w:val="2"/>
          </w:tcPr>
          <w:p w:rsidR="004B46A1" w:rsidRDefault="00B62C3E">
            <w:pPr>
              <w:snapToGrid w:val="0"/>
              <w:jc w:val="center"/>
              <w:rPr>
                <w:b/>
                <w:sz w:val="20"/>
                <w:szCs w:val="20"/>
              </w:rPr>
            </w:pPr>
            <w:r>
              <w:rPr>
                <w:b/>
                <w:sz w:val="20"/>
                <w:szCs w:val="20"/>
              </w:rPr>
              <w:t>CHO</w:t>
            </w:r>
          </w:p>
        </w:tc>
        <w:tc>
          <w:tcPr>
            <w:tcW w:w="1749" w:type="dxa"/>
            <w:gridSpan w:val="2"/>
          </w:tcPr>
          <w:p w:rsidR="004B46A1" w:rsidRDefault="00B62C3E">
            <w:pPr>
              <w:snapToGrid w:val="0"/>
              <w:jc w:val="center"/>
              <w:rPr>
                <w:b/>
                <w:sz w:val="20"/>
                <w:szCs w:val="20"/>
              </w:rPr>
            </w:pPr>
            <w:r>
              <w:rPr>
                <w:b/>
                <w:sz w:val="20"/>
                <w:szCs w:val="20"/>
              </w:rPr>
              <w:t>Lipid Ox</w:t>
            </w:r>
          </w:p>
        </w:tc>
        <w:tc>
          <w:tcPr>
            <w:tcW w:w="1753" w:type="dxa"/>
            <w:gridSpan w:val="2"/>
          </w:tcPr>
          <w:p w:rsidR="004B46A1" w:rsidRDefault="00B62C3E">
            <w:pPr>
              <w:snapToGrid w:val="0"/>
              <w:jc w:val="center"/>
              <w:rPr>
                <w:b/>
                <w:sz w:val="20"/>
                <w:szCs w:val="20"/>
              </w:rPr>
            </w:pPr>
            <w:r>
              <w:rPr>
                <w:b/>
                <w:sz w:val="20"/>
                <w:szCs w:val="20"/>
              </w:rPr>
              <w:t>Cholesterol</w:t>
            </w:r>
          </w:p>
        </w:tc>
      </w:tr>
      <w:tr w:rsidR="004B46A1">
        <w:trPr>
          <w:trHeight w:val="245"/>
          <w:jc w:val="center"/>
        </w:trPr>
        <w:tc>
          <w:tcPr>
            <w:tcW w:w="1501" w:type="dxa"/>
          </w:tcPr>
          <w:p w:rsidR="004B46A1" w:rsidRDefault="00B62C3E">
            <w:pPr>
              <w:snapToGrid w:val="0"/>
              <w:jc w:val="center"/>
              <w:rPr>
                <w:bCs/>
                <w:i/>
                <w:iCs/>
                <w:sz w:val="20"/>
                <w:szCs w:val="20"/>
              </w:rPr>
            </w:pPr>
            <w:r>
              <w:rPr>
                <w:bCs/>
                <w:i/>
                <w:iCs/>
                <w:sz w:val="20"/>
                <w:szCs w:val="20"/>
              </w:rPr>
              <w:t>Treatment</w:t>
            </w:r>
          </w:p>
        </w:tc>
        <w:tc>
          <w:tcPr>
            <w:tcW w:w="878" w:type="dxa"/>
          </w:tcPr>
          <w:p w:rsidR="004B46A1" w:rsidRDefault="00B62C3E">
            <w:pPr>
              <w:snapToGrid w:val="0"/>
              <w:jc w:val="center"/>
              <w:rPr>
                <w:bCs/>
                <w:i/>
                <w:iCs/>
                <w:sz w:val="20"/>
                <w:szCs w:val="20"/>
              </w:rPr>
            </w:pPr>
            <w:r>
              <w:rPr>
                <w:bCs/>
                <w:i/>
                <w:iCs/>
                <w:sz w:val="20"/>
                <w:szCs w:val="20"/>
              </w:rPr>
              <w:t>Mean</w:t>
            </w:r>
          </w:p>
        </w:tc>
        <w:tc>
          <w:tcPr>
            <w:tcW w:w="917" w:type="dxa"/>
          </w:tcPr>
          <w:p w:rsidR="004B46A1" w:rsidRDefault="00B62C3E">
            <w:pPr>
              <w:snapToGrid w:val="0"/>
              <w:jc w:val="center"/>
              <w:rPr>
                <w:bCs/>
                <w:i/>
                <w:iCs/>
                <w:sz w:val="20"/>
                <w:szCs w:val="20"/>
              </w:rPr>
            </w:pPr>
            <w:r>
              <w:rPr>
                <w:bCs/>
                <w:i/>
                <w:iCs/>
                <w:sz w:val="20"/>
                <w:szCs w:val="20"/>
              </w:rPr>
              <w:t>SE</w:t>
            </w:r>
          </w:p>
        </w:tc>
        <w:tc>
          <w:tcPr>
            <w:tcW w:w="878" w:type="dxa"/>
          </w:tcPr>
          <w:p w:rsidR="004B46A1" w:rsidRDefault="00B62C3E">
            <w:pPr>
              <w:snapToGrid w:val="0"/>
              <w:jc w:val="center"/>
              <w:rPr>
                <w:bCs/>
                <w:i/>
                <w:iCs/>
                <w:sz w:val="20"/>
                <w:szCs w:val="20"/>
              </w:rPr>
            </w:pPr>
            <w:r>
              <w:rPr>
                <w:bCs/>
                <w:i/>
                <w:iCs/>
                <w:sz w:val="20"/>
                <w:szCs w:val="20"/>
              </w:rPr>
              <w:t>Mean</w:t>
            </w:r>
          </w:p>
        </w:tc>
        <w:tc>
          <w:tcPr>
            <w:tcW w:w="871" w:type="dxa"/>
          </w:tcPr>
          <w:p w:rsidR="004B46A1" w:rsidRDefault="00B62C3E">
            <w:pPr>
              <w:snapToGrid w:val="0"/>
              <w:jc w:val="center"/>
              <w:rPr>
                <w:bCs/>
                <w:i/>
                <w:iCs/>
                <w:sz w:val="20"/>
                <w:szCs w:val="20"/>
              </w:rPr>
            </w:pPr>
            <w:r>
              <w:rPr>
                <w:bCs/>
                <w:i/>
                <w:iCs/>
                <w:sz w:val="20"/>
                <w:szCs w:val="20"/>
              </w:rPr>
              <w:t>SE</w:t>
            </w:r>
          </w:p>
        </w:tc>
        <w:tc>
          <w:tcPr>
            <w:tcW w:w="878" w:type="dxa"/>
          </w:tcPr>
          <w:p w:rsidR="004B46A1" w:rsidRDefault="00B62C3E">
            <w:pPr>
              <w:snapToGrid w:val="0"/>
              <w:jc w:val="center"/>
              <w:rPr>
                <w:bCs/>
                <w:i/>
                <w:iCs/>
                <w:sz w:val="20"/>
                <w:szCs w:val="20"/>
              </w:rPr>
            </w:pPr>
            <w:r>
              <w:rPr>
                <w:bCs/>
                <w:i/>
                <w:iCs/>
                <w:sz w:val="20"/>
                <w:szCs w:val="20"/>
              </w:rPr>
              <w:t>Mean</w:t>
            </w:r>
          </w:p>
        </w:tc>
        <w:tc>
          <w:tcPr>
            <w:tcW w:w="871" w:type="dxa"/>
          </w:tcPr>
          <w:p w:rsidR="004B46A1" w:rsidRDefault="00B62C3E">
            <w:pPr>
              <w:snapToGrid w:val="0"/>
              <w:jc w:val="center"/>
              <w:rPr>
                <w:bCs/>
                <w:i/>
                <w:iCs/>
                <w:sz w:val="20"/>
                <w:szCs w:val="20"/>
              </w:rPr>
            </w:pPr>
            <w:r>
              <w:rPr>
                <w:bCs/>
                <w:i/>
                <w:iCs/>
                <w:sz w:val="20"/>
                <w:szCs w:val="20"/>
              </w:rPr>
              <w:t>SE</w:t>
            </w:r>
          </w:p>
        </w:tc>
        <w:tc>
          <w:tcPr>
            <w:tcW w:w="878" w:type="dxa"/>
          </w:tcPr>
          <w:p w:rsidR="004B46A1" w:rsidRDefault="00B62C3E">
            <w:pPr>
              <w:snapToGrid w:val="0"/>
              <w:jc w:val="center"/>
              <w:rPr>
                <w:bCs/>
                <w:i/>
                <w:iCs/>
                <w:sz w:val="20"/>
                <w:szCs w:val="20"/>
              </w:rPr>
            </w:pPr>
            <w:r>
              <w:rPr>
                <w:bCs/>
                <w:i/>
                <w:iCs/>
                <w:sz w:val="20"/>
                <w:szCs w:val="20"/>
              </w:rPr>
              <w:t>Mean</w:t>
            </w:r>
          </w:p>
        </w:tc>
        <w:tc>
          <w:tcPr>
            <w:tcW w:w="875" w:type="dxa"/>
          </w:tcPr>
          <w:p w:rsidR="004B46A1" w:rsidRDefault="00B62C3E">
            <w:pPr>
              <w:snapToGrid w:val="0"/>
              <w:jc w:val="center"/>
              <w:rPr>
                <w:bCs/>
                <w:i/>
                <w:iCs/>
                <w:sz w:val="20"/>
                <w:szCs w:val="20"/>
              </w:rPr>
            </w:pPr>
            <w:r>
              <w:rPr>
                <w:bCs/>
                <w:i/>
                <w:iCs/>
                <w:sz w:val="20"/>
                <w:szCs w:val="20"/>
              </w:rPr>
              <w:t>SE</w:t>
            </w:r>
          </w:p>
        </w:tc>
      </w:tr>
      <w:tr w:rsidR="004B46A1">
        <w:trPr>
          <w:trHeight w:val="365"/>
          <w:jc w:val="center"/>
        </w:trPr>
        <w:tc>
          <w:tcPr>
            <w:tcW w:w="1501" w:type="dxa"/>
          </w:tcPr>
          <w:p w:rsidR="004B46A1" w:rsidRDefault="00B62C3E">
            <w:pPr>
              <w:snapToGrid w:val="0"/>
              <w:jc w:val="center"/>
              <w:rPr>
                <w:bCs/>
                <w:sz w:val="20"/>
                <w:szCs w:val="20"/>
              </w:rPr>
            </w:pPr>
            <w:r>
              <w:rPr>
                <w:bCs/>
                <w:sz w:val="20"/>
                <w:szCs w:val="20"/>
              </w:rPr>
              <w:t>T</w:t>
            </w:r>
            <w:r>
              <w:rPr>
                <w:bCs/>
                <w:sz w:val="20"/>
                <w:szCs w:val="20"/>
                <w:vertAlign w:val="subscript"/>
              </w:rPr>
              <w:t>1</w:t>
            </w:r>
          </w:p>
        </w:tc>
        <w:tc>
          <w:tcPr>
            <w:tcW w:w="878" w:type="dxa"/>
          </w:tcPr>
          <w:p w:rsidR="004B46A1" w:rsidRDefault="00B62C3E">
            <w:pPr>
              <w:snapToGrid w:val="0"/>
              <w:jc w:val="center"/>
              <w:rPr>
                <w:bCs/>
                <w:sz w:val="20"/>
                <w:szCs w:val="20"/>
              </w:rPr>
            </w:pPr>
            <w:r>
              <w:rPr>
                <w:sz w:val="20"/>
                <w:szCs w:val="20"/>
              </w:rPr>
              <w:t>55.40</w:t>
            </w:r>
            <w:r>
              <w:rPr>
                <w:sz w:val="20"/>
                <w:szCs w:val="20"/>
                <w:vertAlign w:val="superscript"/>
              </w:rPr>
              <w:t>d</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95.58</w:t>
            </w:r>
            <w:r>
              <w:rPr>
                <w:sz w:val="20"/>
                <w:szCs w:val="20"/>
                <w:vertAlign w:val="superscript"/>
              </w:rPr>
              <w:t>d</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6.92</w:t>
            </w:r>
            <w:r>
              <w:rPr>
                <w:sz w:val="20"/>
                <w:szCs w:val="20"/>
                <w:vertAlign w:val="superscript"/>
              </w:rPr>
              <w:t>d</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72.33</w:t>
            </w:r>
            <w:r>
              <w:rPr>
                <w:sz w:val="20"/>
                <w:szCs w:val="20"/>
                <w:vertAlign w:val="superscript"/>
              </w:rPr>
              <w:t>b</w:t>
            </w:r>
          </w:p>
        </w:tc>
        <w:tc>
          <w:tcPr>
            <w:tcW w:w="875" w:type="dxa"/>
          </w:tcPr>
          <w:p w:rsidR="004B46A1" w:rsidRDefault="00B62C3E">
            <w:pPr>
              <w:snapToGrid w:val="0"/>
              <w:jc w:val="center"/>
              <w:rPr>
                <w:bCs/>
                <w:sz w:val="20"/>
                <w:szCs w:val="20"/>
              </w:rPr>
            </w:pPr>
            <w:r>
              <w:rPr>
                <w:bCs/>
                <w:sz w:val="20"/>
                <w:szCs w:val="20"/>
              </w:rPr>
              <w:t>0.01</w:t>
            </w:r>
          </w:p>
        </w:tc>
      </w:tr>
      <w:tr w:rsidR="004B46A1">
        <w:trPr>
          <w:trHeight w:val="375"/>
          <w:jc w:val="center"/>
        </w:trPr>
        <w:tc>
          <w:tcPr>
            <w:tcW w:w="1501" w:type="dxa"/>
          </w:tcPr>
          <w:p w:rsidR="004B46A1" w:rsidRDefault="00B62C3E">
            <w:pPr>
              <w:snapToGrid w:val="0"/>
              <w:jc w:val="center"/>
              <w:rPr>
                <w:bCs/>
                <w:sz w:val="20"/>
                <w:szCs w:val="20"/>
              </w:rPr>
            </w:pPr>
            <w:r>
              <w:rPr>
                <w:bCs/>
                <w:sz w:val="20"/>
                <w:szCs w:val="20"/>
              </w:rPr>
              <w:t>T</w:t>
            </w:r>
            <w:r>
              <w:rPr>
                <w:bCs/>
                <w:sz w:val="20"/>
                <w:szCs w:val="20"/>
                <w:vertAlign w:val="subscript"/>
              </w:rPr>
              <w:t>2</w:t>
            </w:r>
          </w:p>
        </w:tc>
        <w:tc>
          <w:tcPr>
            <w:tcW w:w="878" w:type="dxa"/>
          </w:tcPr>
          <w:p w:rsidR="004B46A1" w:rsidRDefault="00B62C3E">
            <w:pPr>
              <w:tabs>
                <w:tab w:val="left" w:pos="2115"/>
                <w:tab w:val="left" w:pos="3600"/>
                <w:tab w:val="left" w:pos="4995"/>
                <w:tab w:val="left" w:pos="6015"/>
              </w:tabs>
              <w:snapToGrid w:val="0"/>
              <w:jc w:val="center"/>
              <w:rPr>
                <w:sz w:val="20"/>
                <w:szCs w:val="20"/>
              </w:rPr>
            </w:pPr>
            <w:r>
              <w:rPr>
                <w:sz w:val="20"/>
                <w:szCs w:val="20"/>
              </w:rPr>
              <w:t>55.51</w:t>
            </w:r>
            <w:r>
              <w:rPr>
                <w:sz w:val="20"/>
                <w:szCs w:val="20"/>
                <w:vertAlign w:val="superscript"/>
              </w:rPr>
              <w:t>c</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95.10</w:t>
            </w:r>
            <w:r>
              <w:rPr>
                <w:sz w:val="20"/>
                <w:szCs w:val="20"/>
                <w:vertAlign w:val="superscript"/>
              </w:rPr>
              <w:t>c</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6.61</w:t>
            </w:r>
            <w:r>
              <w:rPr>
                <w:sz w:val="20"/>
                <w:szCs w:val="20"/>
                <w:vertAlign w:val="superscript"/>
              </w:rPr>
              <w:t>c</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69.71</w:t>
            </w:r>
            <w:r>
              <w:rPr>
                <w:sz w:val="20"/>
                <w:szCs w:val="20"/>
                <w:vertAlign w:val="superscript"/>
              </w:rPr>
              <w:t>a</w:t>
            </w:r>
          </w:p>
        </w:tc>
        <w:tc>
          <w:tcPr>
            <w:tcW w:w="875" w:type="dxa"/>
          </w:tcPr>
          <w:p w:rsidR="004B46A1" w:rsidRDefault="00B62C3E">
            <w:pPr>
              <w:snapToGrid w:val="0"/>
              <w:jc w:val="center"/>
              <w:rPr>
                <w:bCs/>
                <w:sz w:val="20"/>
                <w:szCs w:val="20"/>
              </w:rPr>
            </w:pPr>
            <w:r>
              <w:rPr>
                <w:bCs/>
                <w:sz w:val="20"/>
                <w:szCs w:val="20"/>
              </w:rPr>
              <w:t>0.01</w:t>
            </w:r>
          </w:p>
        </w:tc>
      </w:tr>
      <w:tr w:rsidR="004B46A1">
        <w:trPr>
          <w:trHeight w:val="375"/>
          <w:jc w:val="center"/>
        </w:trPr>
        <w:tc>
          <w:tcPr>
            <w:tcW w:w="1501" w:type="dxa"/>
          </w:tcPr>
          <w:p w:rsidR="004B46A1" w:rsidRDefault="00B62C3E">
            <w:pPr>
              <w:snapToGrid w:val="0"/>
              <w:jc w:val="center"/>
              <w:rPr>
                <w:bCs/>
                <w:sz w:val="20"/>
                <w:szCs w:val="20"/>
              </w:rPr>
            </w:pPr>
            <w:r>
              <w:rPr>
                <w:bCs/>
                <w:sz w:val="20"/>
                <w:szCs w:val="20"/>
              </w:rPr>
              <w:t>T</w:t>
            </w:r>
            <w:r>
              <w:rPr>
                <w:bCs/>
                <w:sz w:val="20"/>
                <w:szCs w:val="20"/>
                <w:vertAlign w:val="subscript"/>
              </w:rPr>
              <w:t>3</w:t>
            </w:r>
          </w:p>
        </w:tc>
        <w:tc>
          <w:tcPr>
            <w:tcW w:w="878" w:type="dxa"/>
          </w:tcPr>
          <w:p w:rsidR="004B46A1" w:rsidRDefault="00B62C3E">
            <w:pPr>
              <w:snapToGrid w:val="0"/>
              <w:jc w:val="center"/>
              <w:rPr>
                <w:bCs/>
                <w:sz w:val="20"/>
                <w:szCs w:val="20"/>
              </w:rPr>
            </w:pPr>
            <w:r>
              <w:rPr>
                <w:sz w:val="20"/>
                <w:szCs w:val="20"/>
              </w:rPr>
              <w:t>53.19</w:t>
            </w:r>
            <w:r>
              <w:rPr>
                <w:sz w:val="20"/>
                <w:szCs w:val="20"/>
                <w:vertAlign w:val="superscript"/>
              </w:rPr>
              <w:t>b</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94.39</w:t>
            </w:r>
            <w:r>
              <w:rPr>
                <w:sz w:val="20"/>
                <w:szCs w:val="20"/>
                <w:vertAlign w:val="superscript"/>
              </w:rPr>
              <w:t>a</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 xml:space="preserve">  6.38</w:t>
            </w:r>
            <w:r>
              <w:rPr>
                <w:sz w:val="20"/>
                <w:szCs w:val="20"/>
                <w:vertAlign w:val="superscript"/>
              </w:rPr>
              <w:t>a</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73.75</w:t>
            </w:r>
            <w:r>
              <w:rPr>
                <w:sz w:val="20"/>
                <w:szCs w:val="20"/>
                <w:vertAlign w:val="superscript"/>
              </w:rPr>
              <w:t>c</w:t>
            </w:r>
          </w:p>
        </w:tc>
        <w:tc>
          <w:tcPr>
            <w:tcW w:w="875" w:type="dxa"/>
          </w:tcPr>
          <w:p w:rsidR="004B46A1" w:rsidRDefault="00B62C3E">
            <w:pPr>
              <w:snapToGrid w:val="0"/>
              <w:jc w:val="center"/>
              <w:rPr>
                <w:bCs/>
                <w:sz w:val="20"/>
                <w:szCs w:val="20"/>
              </w:rPr>
            </w:pPr>
            <w:r>
              <w:rPr>
                <w:bCs/>
                <w:sz w:val="20"/>
                <w:szCs w:val="20"/>
              </w:rPr>
              <w:t>0.01</w:t>
            </w:r>
          </w:p>
        </w:tc>
      </w:tr>
      <w:tr w:rsidR="004B46A1">
        <w:trPr>
          <w:trHeight w:val="200"/>
          <w:jc w:val="center"/>
        </w:trPr>
        <w:tc>
          <w:tcPr>
            <w:tcW w:w="1501" w:type="dxa"/>
          </w:tcPr>
          <w:p w:rsidR="004B46A1" w:rsidRDefault="00B62C3E">
            <w:pPr>
              <w:snapToGrid w:val="0"/>
              <w:jc w:val="center"/>
              <w:rPr>
                <w:bCs/>
                <w:sz w:val="20"/>
                <w:szCs w:val="20"/>
              </w:rPr>
            </w:pPr>
            <w:r>
              <w:rPr>
                <w:bCs/>
                <w:sz w:val="20"/>
                <w:szCs w:val="20"/>
              </w:rPr>
              <w:t>T</w:t>
            </w:r>
            <w:r>
              <w:rPr>
                <w:bCs/>
                <w:sz w:val="20"/>
                <w:szCs w:val="20"/>
                <w:vertAlign w:val="subscript"/>
              </w:rPr>
              <w:t>4</w:t>
            </w:r>
          </w:p>
        </w:tc>
        <w:tc>
          <w:tcPr>
            <w:tcW w:w="878" w:type="dxa"/>
          </w:tcPr>
          <w:p w:rsidR="004B46A1" w:rsidRDefault="00B62C3E">
            <w:pPr>
              <w:snapToGrid w:val="0"/>
              <w:jc w:val="center"/>
              <w:rPr>
                <w:bCs/>
                <w:sz w:val="20"/>
                <w:szCs w:val="20"/>
              </w:rPr>
            </w:pPr>
            <w:r>
              <w:rPr>
                <w:sz w:val="20"/>
                <w:szCs w:val="20"/>
              </w:rPr>
              <w:t>51.85</w:t>
            </w:r>
            <w:r>
              <w:rPr>
                <w:sz w:val="20"/>
                <w:szCs w:val="20"/>
                <w:vertAlign w:val="superscript"/>
              </w:rPr>
              <w:t>a</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94.39</w:t>
            </w:r>
            <w:r>
              <w:rPr>
                <w:sz w:val="20"/>
                <w:szCs w:val="20"/>
                <w:vertAlign w:val="superscript"/>
              </w:rPr>
              <w:t>a</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6.38</w:t>
            </w:r>
            <w:r>
              <w:rPr>
                <w:sz w:val="20"/>
                <w:szCs w:val="20"/>
                <w:vertAlign w:val="superscript"/>
              </w:rPr>
              <w:t>a</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73.75</w:t>
            </w:r>
            <w:r>
              <w:rPr>
                <w:sz w:val="20"/>
                <w:szCs w:val="20"/>
                <w:vertAlign w:val="superscript"/>
              </w:rPr>
              <w:t>c</w:t>
            </w:r>
          </w:p>
        </w:tc>
        <w:tc>
          <w:tcPr>
            <w:tcW w:w="875" w:type="dxa"/>
          </w:tcPr>
          <w:p w:rsidR="004B46A1" w:rsidRDefault="00B62C3E">
            <w:pPr>
              <w:snapToGrid w:val="0"/>
              <w:jc w:val="center"/>
              <w:rPr>
                <w:bCs/>
                <w:sz w:val="20"/>
                <w:szCs w:val="20"/>
              </w:rPr>
            </w:pPr>
            <w:r>
              <w:rPr>
                <w:bCs/>
                <w:sz w:val="20"/>
                <w:szCs w:val="20"/>
              </w:rPr>
              <w:t>0.01</w:t>
            </w:r>
          </w:p>
        </w:tc>
      </w:tr>
      <w:tr w:rsidR="004B46A1">
        <w:trPr>
          <w:trHeight w:val="205"/>
          <w:jc w:val="center"/>
        </w:trPr>
        <w:tc>
          <w:tcPr>
            <w:tcW w:w="8547" w:type="dxa"/>
            <w:gridSpan w:val="9"/>
          </w:tcPr>
          <w:p w:rsidR="004B46A1" w:rsidRDefault="00B62C3E">
            <w:pPr>
              <w:snapToGrid w:val="0"/>
              <w:jc w:val="center"/>
              <w:rPr>
                <w:b/>
                <w:sz w:val="20"/>
                <w:szCs w:val="20"/>
              </w:rPr>
            </w:pPr>
            <w:r>
              <w:rPr>
                <w:b/>
                <w:sz w:val="20"/>
                <w:szCs w:val="20"/>
              </w:rPr>
              <w:t>Storage Days</w:t>
            </w:r>
          </w:p>
        </w:tc>
      </w:tr>
      <w:tr w:rsidR="004B46A1">
        <w:trPr>
          <w:trHeight w:val="375"/>
          <w:jc w:val="center"/>
        </w:trPr>
        <w:tc>
          <w:tcPr>
            <w:tcW w:w="1501" w:type="dxa"/>
          </w:tcPr>
          <w:p w:rsidR="004B46A1" w:rsidRDefault="00B62C3E">
            <w:pPr>
              <w:snapToGrid w:val="0"/>
              <w:jc w:val="center"/>
              <w:rPr>
                <w:bCs/>
                <w:sz w:val="20"/>
                <w:szCs w:val="20"/>
              </w:rPr>
            </w:pPr>
            <w:r>
              <w:rPr>
                <w:bCs/>
                <w:sz w:val="20"/>
                <w:szCs w:val="20"/>
              </w:rPr>
              <w:t>0</w:t>
            </w:r>
          </w:p>
        </w:tc>
        <w:tc>
          <w:tcPr>
            <w:tcW w:w="878" w:type="dxa"/>
          </w:tcPr>
          <w:p w:rsidR="004B46A1" w:rsidRDefault="00B62C3E">
            <w:pPr>
              <w:snapToGrid w:val="0"/>
              <w:jc w:val="center"/>
              <w:rPr>
                <w:bCs/>
                <w:sz w:val="20"/>
                <w:szCs w:val="20"/>
              </w:rPr>
            </w:pPr>
            <w:r>
              <w:rPr>
                <w:sz w:val="20"/>
                <w:szCs w:val="20"/>
              </w:rPr>
              <w:t>52.03</w:t>
            </w:r>
            <w:r>
              <w:rPr>
                <w:sz w:val="20"/>
                <w:szCs w:val="20"/>
                <w:vertAlign w:val="superscript"/>
              </w:rPr>
              <w:t>a</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93.88</w:t>
            </w:r>
            <w:r>
              <w:rPr>
                <w:sz w:val="20"/>
                <w:szCs w:val="20"/>
                <w:vertAlign w:val="superscript"/>
              </w:rPr>
              <w:t>a</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6.51</w:t>
            </w:r>
            <w:r>
              <w:rPr>
                <w:sz w:val="20"/>
                <w:szCs w:val="20"/>
                <w:vertAlign w:val="superscript"/>
              </w:rPr>
              <w:t>b</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73.08</w:t>
            </w:r>
            <w:r>
              <w:rPr>
                <w:sz w:val="20"/>
                <w:szCs w:val="20"/>
                <w:vertAlign w:val="superscript"/>
              </w:rPr>
              <w:t>d</w:t>
            </w:r>
          </w:p>
        </w:tc>
        <w:tc>
          <w:tcPr>
            <w:tcW w:w="875" w:type="dxa"/>
          </w:tcPr>
          <w:p w:rsidR="004B46A1" w:rsidRDefault="00B62C3E">
            <w:pPr>
              <w:snapToGrid w:val="0"/>
              <w:jc w:val="center"/>
              <w:rPr>
                <w:bCs/>
                <w:sz w:val="20"/>
                <w:szCs w:val="20"/>
              </w:rPr>
            </w:pPr>
            <w:r>
              <w:rPr>
                <w:bCs/>
                <w:sz w:val="20"/>
                <w:szCs w:val="20"/>
              </w:rPr>
              <w:t>0.01</w:t>
            </w:r>
          </w:p>
        </w:tc>
      </w:tr>
      <w:tr w:rsidR="004B46A1">
        <w:trPr>
          <w:trHeight w:val="365"/>
          <w:jc w:val="center"/>
        </w:trPr>
        <w:tc>
          <w:tcPr>
            <w:tcW w:w="1501" w:type="dxa"/>
          </w:tcPr>
          <w:p w:rsidR="004B46A1" w:rsidRDefault="00B62C3E">
            <w:pPr>
              <w:snapToGrid w:val="0"/>
              <w:jc w:val="center"/>
              <w:rPr>
                <w:bCs/>
                <w:sz w:val="20"/>
                <w:szCs w:val="20"/>
              </w:rPr>
            </w:pPr>
            <w:r>
              <w:rPr>
                <w:bCs/>
                <w:sz w:val="20"/>
                <w:szCs w:val="20"/>
              </w:rPr>
              <w:t>3</w:t>
            </w:r>
          </w:p>
        </w:tc>
        <w:tc>
          <w:tcPr>
            <w:tcW w:w="878" w:type="dxa"/>
          </w:tcPr>
          <w:p w:rsidR="004B46A1" w:rsidRDefault="00B62C3E">
            <w:pPr>
              <w:snapToGrid w:val="0"/>
              <w:jc w:val="center"/>
              <w:rPr>
                <w:bCs/>
                <w:sz w:val="20"/>
                <w:szCs w:val="20"/>
              </w:rPr>
            </w:pPr>
            <w:r>
              <w:rPr>
                <w:sz w:val="20"/>
                <w:szCs w:val="20"/>
              </w:rPr>
              <w:t>52.77</w:t>
            </w:r>
            <w:r>
              <w:rPr>
                <w:sz w:val="20"/>
                <w:szCs w:val="20"/>
                <w:vertAlign w:val="superscript"/>
              </w:rPr>
              <w:t>b</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94.28</w:t>
            </w:r>
            <w:r>
              <w:rPr>
                <w:sz w:val="20"/>
                <w:szCs w:val="20"/>
                <w:vertAlign w:val="superscript"/>
              </w:rPr>
              <w:t>b</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7.18</w:t>
            </w:r>
            <w:r>
              <w:rPr>
                <w:sz w:val="20"/>
                <w:szCs w:val="20"/>
                <w:vertAlign w:val="superscript"/>
              </w:rPr>
              <w:t>c</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73.04</w:t>
            </w:r>
            <w:r>
              <w:rPr>
                <w:sz w:val="20"/>
                <w:szCs w:val="20"/>
                <w:vertAlign w:val="superscript"/>
              </w:rPr>
              <w:t>c</w:t>
            </w:r>
          </w:p>
        </w:tc>
        <w:tc>
          <w:tcPr>
            <w:tcW w:w="875" w:type="dxa"/>
          </w:tcPr>
          <w:p w:rsidR="004B46A1" w:rsidRDefault="00B62C3E">
            <w:pPr>
              <w:snapToGrid w:val="0"/>
              <w:jc w:val="center"/>
              <w:rPr>
                <w:bCs/>
                <w:sz w:val="20"/>
                <w:szCs w:val="20"/>
              </w:rPr>
            </w:pPr>
            <w:r>
              <w:rPr>
                <w:bCs/>
                <w:sz w:val="20"/>
                <w:szCs w:val="20"/>
              </w:rPr>
              <w:t>0.01</w:t>
            </w:r>
          </w:p>
        </w:tc>
      </w:tr>
      <w:tr w:rsidR="004B46A1">
        <w:trPr>
          <w:trHeight w:val="365"/>
          <w:jc w:val="center"/>
        </w:trPr>
        <w:tc>
          <w:tcPr>
            <w:tcW w:w="1501" w:type="dxa"/>
          </w:tcPr>
          <w:p w:rsidR="004B46A1" w:rsidRDefault="00B62C3E">
            <w:pPr>
              <w:snapToGrid w:val="0"/>
              <w:jc w:val="center"/>
              <w:rPr>
                <w:bCs/>
                <w:sz w:val="20"/>
                <w:szCs w:val="20"/>
              </w:rPr>
            </w:pPr>
            <w:r>
              <w:rPr>
                <w:bCs/>
                <w:sz w:val="20"/>
                <w:szCs w:val="20"/>
              </w:rPr>
              <w:t>6</w:t>
            </w:r>
          </w:p>
        </w:tc>
        <w:tc>
          <w:tcPr>
            <w:tcW w:w="878" w:type="dxa"/>
          </w:tcPr>
          <w:p w:rsidR="004B46A1" w:rsidRDefault="00B62C3E">
            <w:pPr>
              <w:snapToGrid w:val="0"/>
              <w:jc w:val="center"/>
              <w:rPr>
                <w:bCs/>
                <w:sz w:val="20"/>
                <w:szCs w:val="20"/>
              </w:rPr>
            </w:pPr>
            <w:r>
              <w:rPr>
                <w:sz w:val="20"/>
                <w:szCs w:val="20"/>
              </w:rPr>
              <w:t>54.13</w:t>
            </w:r>
            <w:r>
              <w:rPr>
                <w:sz w:val="20"/>
                <w:szCs w:val="20"/>
                <w:vertAlign w:val="superscript"/>
              </w:rPr>
              <w:t>c</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95.51</w:t>
            </w:r>
            <w:r>
              <w:rPr>
                <w:sz w:val="20"/>
                <w:szCs w:val="20"/>
                <w:vertAlign w:val="superscript"/>
              </w:rPr>
              <w:t>c</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6.35</w:t>
            </w:r>
            <w:r>
              <w:rPr>
                <w:sz w:val="20"/>
                <w:szCs w:val="20"/>
                <w:vertAlign w:val="superscript"/>
              </w:rPr>
              <w:t>ab</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72.83</w:t>
            </w:r>
            <w:r>
              <w:rPr>
                <w:sz w:val="20"/>
                <w:szCs w:val="20"/>
                <w:vertAlign w:val="superscript"/>
              </w:rPr>
              <w:t>b</w:t>
            </w:r>
          </w:p>
        </w:tc>
        <w:tc>
          <w:tcPr>
            <w:tcW w:w="875" w:type="dxa"/>
          </w:tcPr>
          <w:p w:rsidR="004B46A1" w:rsidRDefault="00B62C3E">
            <w:pPr>
              <w:snapToGrid w:val="0"/>
              <w:jc w:val="center"/>
              <w:rPr>
                <w:bCs/>
                <w:sz w:val="20"/>
                <w:szCs w:val="20"/>
              </w:rPr>
            </w:pPr>
            <w:r>
              <w:rPr>
                <w:bCs/>
                <w:sz w:val="20"/>
                <w:szCs w:val="20"/>
              </w:rPr>
              <w:t>0.01</w:t>
            </w:r>
          </w:p>
        </w:tc>
      </w:tr>
      <w:tr w:rsidR="004B46A1">
        <w:trPr>
          <w:trHeight w:val="365"/>
          <w:jc w:val="center"/>
        </w:trPr>
        <w:tc>
          <w:tcPr>
            <w:tcW w:w="1501" w:type="dxa"/>
          </w:tcPr>
          <w:p w:rsidR="004B46A1" w:rsidRDefault="00B62C3E">
            <w:pPr>
              <w:snapToGrid w:val="0"/>
              <w:jc w:val="center"/>
              <w:rPr>
                <w:bCs/>
                <w:sz w:val="20"/>
                <w:szCs w:val="20"/>
              </w:rPr>
            </w:pPr>
            <w:r>
              <w:rPr>
                <w:bCs/>
                <w:sz w:val="20"/>
                <w:szCs w:val="20"/>
              </w:rPr>
              <w:t>9</w:t>
            </w:r>
          </w:p>
        </w:tc>
        <w:tc>
          <w:tcPr>
            <w:tcW w:w="878" w:type="dxa"/>
          </w:tcPr>
          <w:p w:rsidR="004B46A1" w:rsidRDefault="00B62C3E">
            <w:pPr>
              <w:snapToGrid w:val="0"/>
              <w:jc w:val="center"/>
              <w:rPr>
                <w:bCs/>
                <w:sz w:val="20"/>
                <w:szCs w:val="20"/>
              </w:rPr>
            </w:pPr>
            <w:r>
              <w:rPr>
                <w:sz w:val="20"/>
                <w:szCs w:val="20"/>
              </w:rPr>
              <w:t>56.02</w:t>
            </w:r>
            <w:r>
              <w:rPr>
                <w:sz w:val="20"/>
                <w:szCs w:val="20"/>
                <w:vertAlign w:val="superscript"/>
              </w:rPr>
              <w:t>d</w:t>
            </w:r>
          </w:p>
        </w:tc>
        <w:tc>
          <w:tcPr>
            <w:tcW w:w="917"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95.94</w:t>
            </w:r>
            <w:r>
              <w:rPr>
                <w:sz w:val="20"/>
                <w:szCs w:val="20"/>
                <w:vertAlign w:val="superscript"/>
              </w:rPr>
              <w:t>d</w:t>
            </w:r>
          </w:p>
        </w:tc>
        <w:tc>
          <w:tcPr>
            <w:tcW w:w="871" w:type="dxa"/>
          </w:tcPr>
          <w:p w:rsidR="004B46A1" w:rsidRDefault="00B62C3E">
            <w:pPr>
              <w:snapToGrid w:val="0"/>
              <w:jc w:val="center"/>
              <w:rPr>
                <w:bCs/>
                <w:sz w:val="20"/>
                <w:szCs w:val="20"/>
              </w:rPr>
            </w:pPr>
            <w:r>
              <w:rPr>
                <w:bCs/>
                <w:sz w:val="20"/>
                <w:szCs w:val="20"/>
              </w:rPr>
              <w:t>0.03</w:t>
            </w:r>
          </w:p>
        </w:tc>
        <w:tc>
          <w:tcPr>
            <w:tcW w:w="878" w:type="dxa"/>
          </w:tcPr>
          <w:p w:rsidR="004B46A1" w:rsidRDefault="00B62C3E">
            <w:pPr>
              <w:snapToGrid w:val="0"/>
              <w:jc w:val="center"/>
              <w:rPr>
                <w:bCs/>
                <w:sz w:val="20"/>
                <w:szCs w:val="20"/>
              </w:rPr>
            </w:pPr>
            <w:r>
              <w:rPr>
                <w:sz w:val="20"/>
                <w:szCs w:val="20"/>
              </w:rPr>
              <w:t>6.32</w:t>
            </w:r>
            <w:r>
              <w:rPr>
                <w:sz w:val="20"/>
                <w:szCs w:val="20"/>
                <w:vertAlign w:val="superscript"/>
              </w:rPr>
              <w:t>ab</w:t>
            </w:r>
          </w:p>
        </w:tc>
        <w:tc>
          <w:tcPr>
            <w:tcW w:w="871" w:type="dxa"/>
          </w:tcPr>
          <w:p w:rsidR="004B46A1" w:rsidRDefault="00B62C3E">
            <w:pPr>
              <w:snapToGrid w:val="0"/>
              <w:jc w:val="center"/>
              <w:rPr>
                <w:bCs/>
                <w:sz w:val="20"/>
                <w:szCs w:val="20"/>
              </w:rPr>
            </w:pPr>
            <w:r>
              <w:rPr>
                <w:bCs/>
                <w:sz w:val="20"/>
                <w:szCs w:val="20"/>
              </w:rPr>
              <w:t>0.01</w:t>
            </w:r>
          </w:p>
        </w:tc>
        <w:tc>
          <w:tcPr>
            <w:tcW w:w="878" w:type="dxa"/>
          </w:tcPr>
          <w:p w:rsidR="004B46A1" w:rsidRDefault="00B62C3E">
            <w:pPr>
              <w:snapToGrid w:val="0"/>
              <w:jc w:val="center"/>
              <w:rPr>
                <w:bCs/>
                <w:sz w:val="20"/>
                <w:szCs w:val="20"/>
              </w:rPr>
            </w:pPr>
            <w:r>
              <w:rPr>
                <w:sz w:val="20"/>
                <w:szCs w:val="20"/>
              </w:rPr>
              <w:t>72.80</w:t>
            </w:r>
            <w:r>
              <w:rPr>
                <w:sz w:val="20"/>
                <w:szCs w:val="20"/>
                <w:vertAlign w:val="superscript"/>
              </w:rPr>
              <w:t>a</w:t>
            </w:r>
          </w:p>
        </w:tc>
        <w:tc>
          <w:tcPr>
            <w:tcW w:w="875" w:type="dxa"/>
          </w:tcPr>
          <w:p w:rsidR="004B46A1" w:rsidRDefault="00B62C3E">
            <w:pPr>
              <w:snapToGrid w:val="0"/>
              <w:jc w:val="center"/>
              <w:rPr>
                <w:bCs/>
                <w:sz w:val="20"/>
                <w:szCs w:val="20"/>
              </w:rPr>
            </w:pPr>
            <w:r>
              <w:rPr>
                <w:bCs/>
                <w:sz w:val="20"/>
                <w:szCs w:val="20"/>
              </w:rPr>
              <w:t>0.01</w:t>
            </w:r>
          </w:p>
        </w:tc>
      </w:tr>
    </w:tbl>
    <w:p w:rsidR="004B46A1" w:rsidRDefault="004B46A1">
      <w:pPr>
        <w:snapToGrid w:val="0"/>
        <w:jc w:val="both"/>
        <w:rPr>
          <w:sz w:val="20"/>
          <w:szCs w:val="20"/>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632F86" w:rsidRDefault="00632F86">
      <w:pPr>
        <w:snapToGrid w:val="0"/>
        <w:jc w:val="center"/>
        <w:rPr>
          <w:b/>
          <w:bCs/>
          <w:sz w:val="20"/>
          <w:szCs w:val="20"/>
          <w:lang w:eastAsia="zh-CN"/>
        </w:rPr>
      </w:pPr>
    </w:p>
    <w:p w:rsidR="004B46A1" w:rsidRDefault="00B62C3E">
      <w:pPr>
        <w:snapToGrid w:val="0"/>
        <w:jc w:val="center"/>
        <w:rPr>
          <w:b/>
          <w:bCs/>
          <w:sz w:val="20"/>
          <w:szCs w:val="20"/>
        </w:rPr>
      </w:pPr>
      <w:r>
        <w:rPr>
          <w:b/>
          <w:bCs/>
          <w:sz w:val="20"/>
          <w:szCs w:val="20"/>
        </w:rPr>
        <w:t>Table 3: Microbial Analysis of the Chicken Sausage</w:t>
      </w:r>
    </w:p>
    <w:p w:rsidR="004B46A1" w:rsidRDefault="00B62C3E">
      <w:pPr>
        <w:snapToGrid w:val="0"/>
        <w:jc w:val="center"/>
        <w:rPr>
          <w:sz w:val="20"/>
          <w:szCs w:val="20"/>
        </w:rPr>
      </w:pPr>
      <w:r>
        <w:rPr>
          <w:noProof/>
          <w:sz w:val="20"/>
          <w:szCs w:val="20"/>
          <w:lang w:eastAsia="zh-CN"/>
        </w:rPr>
        <w:drawing>
          <wp:inline distT="0" distB="0" distL="0" distR="0">
            <wp:extent cx="5858510" cy="48145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5858510" cy="4814570"/>
                    </a:xfrm>
                    <a:prstGeom prst="rect">
                      <a:avLst/>
                    </a:prstGeom>
                  </pic:spPr>
                </pic:pic>
              </a:graphicData>
            </a:graphic>
          </wp:inline>
        </w:drawing>
      </w:r>
    </w:p>
    <w:p w:rsidR="004B46A1" w:rsidRDefault="00B62C3E">
      <w:pPr>
        <w:snapToGrid w:val="0"/>
        <w:jc w:val="center"/>
        <w:rPr>
          <w:sz w:val="20"/>
          <w:szCs w:val="20"/>
        </w:rPr>
      </w:pPr>
      <w:proofErr w:type="spellStart"/>
      <w:r>
        <w:rPr>
          <w:i/>
          <w:iCs/>
          <w:sz w:val="20"/>
          <w:szCs w:val="20"/>
        </w:rPr>
        <w:t>abcd</w:t>
      </w:r>
      <w:proofErr w:type="spellEnd"/>
      <w:r>
        <w:rPr>
          <w:i/>
          <w:iCs/>
          <w:sz w:val="20"/>
          <w:szCs w:val="20"/>
        </w:rPr>
        <w:t xml:space="preserve"> means in the same column (within a main effect) with different superscript differs significantly (p&lt;0.005)</w:t>
      </w:r>
    </w:p>
    <w:p w:rsidR="004B46A1" w:rsidRDefault="004B46A1">
      <w:pPr>
        <w:snapToGrid w:val="0"/>
        <w:jc w:val="both"/>
        <w:rPr>
          <w:sz w:val="20"/>
          <w:szCs w:val="20"/>
        </w:rPr>
      </w:pPr>
    </w:p>
    <w:p w:rsidR="004B46A1" w:rsidRDefault="004B46A1">
      <w:pPr>
        <w:snapToGrid w:val="0"/>
        <w:ind w:firstLine="720"/>
        <w:jc w:val="both"/>
        <w:rPr>
          <w:sz w:val="20"/>
          <w:szCs w:val="20"/>
          <w:lang w:eastAsia="zh-CN"/>
        </w:rPr>
      </w:pPr>
    </w:p>
    <w:p w:rsidR="00632F86" w:rsidRDefault="00632F86">
      <w:pPr>
        <w:snapToGrid w:val="0"/>
        <w:ind w:firstLine="720"/>
        <w:jc w:val="both"/>
        <w:rPr>
          <w:sz w:val="20"/>
          <w:szCs w:val="20"/>
          <w:lang w:eastAsia="zh-CN"/>
        </w:rPr>
        <w:sectPr w:rsidR="00632F86">
          <w:footnotePr>
            <w:pos w:val="beneathText"/>
          </w:footnotePr>
          <w:type w:val="continuous"/>
          <w:pgSz w:w="12240" w:h="15840"/>
          <w:pgMar w:top="1440" w:right="1440" w:bottom="1440" w:left="1440" w:header="720" w:footer="720" w:gutter="0"/>
          <w:cols w:space="576"/>
          <w:docGrid w:linePitch="360"/>
        </w:sectPr>
      </w:pPr>
    </w:p>
    <w:p w:rsidR="004B46A1" w:rsidRDefault="00B62C3E">
      <w:pPr>
        <w:tabs>
          <w:tab w:val="left" w:pos="2115"/>
          <w:tab w:val="left" w:pos="3600"/>
          <w:tab w:val="left" w:pos="4995"/>
          <w:tab w:val="left" w:pos="6480"/>
          <w:tab w:val="right" w:pos="9026"/>
        </w:tabs>
        <w:snapToGrid w:val="0"/>
        <w:jc w:val="both"/>
        <w:rPr>
          <w:b/>
          <w:bCs/>
          <w:sz w:val="20"/>
          <w:szCs w:val="20"/>
        </w:rPr>
      </w:pPr>
      <w:r>
        <w:rPr>
          <w:b/>
          <w:bCs/>
          <w:sz w:val="20"/>
          <w:szCs w:val="20"/>
        </w:rPr>
        <w:lastRenderedPageBreak/>
        <w:t>4.0 Conclusion</w:t>
      </w:r>
    </w:p>
    <w:p w:rsidR="004B46A1" w:rsidRDefault="00B62C3E" w:rsidP="00632F86">
      <w:pPr>
        <w:snapToGrid w:val="0"/>
        <w:ind w:firstLine="720"/>
        <w:jc w:val="both"/>
        <w:rPr>
          <w:sz w:val="20"/>
          <w:szCs w:val="20"/>
          <w:lang w:eastAsia="zh-CN"/>
        </w:rPr>
      </w:pPr>
      <w:r>
        <w:rPr>
          <w:sz w:val="20"/>
          <w:szCs w:val="20"/>
        </w:rPr>
        <w:t xml:space="preserve">The effect of oven drying on the proximate composition and microbial content of chicken was investigated. The results showed that the oven dried sausage raised the shelf life proximate attributes by increasing the crude protein, crude fat, crude </w:t>
      </w:r>
      <w:proofErr w:type="spellStart"/>
      <w:r>
        <w:rPr>
          <w:sz w:val="20"/>
          <w:szCs w:val="20"/>
        </w:rPr>
        <w:t>fibre</w:t>
      </w:r>
      <w:proofErr w:type="spellEnd"/>
      <w:r>
        <w:rPr>
          <w:sz w:val="20"/>
          <w:szCs w:val="20"/>
        </w:rPr>
        <w:t xml:space="preserve"> and ash content. Samples dried at 70</w:t>
      </w:r>
      <w:r>
        <w:rPr>
          <w:sz w:val="20"/>
          <w:szCs w:val="20"/>
          <w:vertAlign w:val="superscript"/>
        </w:rPr>
        <w:t>o</w:t>
      </w:r>
      <w:r>
        <w:rPr>
          <w:sz w:val="20"/>
          <w:szCs w:val="20"/>
        </w:rPr>
        <w:t>C for 40 minutes, 85</w:t>
      </w:r>
      <w:r>
        <w:rPr>
          <w:sz w:val="20"/>
          <w:szCs w:val="20"/>
          <w:vertAlign w:val="superscript"/>
        </w:rPr>
        <w:t>o</w:t>
      </w:r>
      <w:r>
        <w:rPr>
          <w:sz w:val="20"/>
          <w:szCs w:val="20"/>
        </w:rPr>
        <w:t>C for 50 minutes and 85</w:t>
      </w:r>
      <w:r>
        <w:rPr>
          <w:sz w:val="20"/>
          <w:szCs w:val="20"/>
          <w:vertAlign w:val="superscript"/>
        </w:rPr>
        <w:t>o</w:t>
      </w:r>
      <w:r>
        <w:rPr>
          <w:sz w:val="20"/>
          <w:szCs w:val="20"/>
        </w:rPr>
        <w:t>C for 60 minutes gave best chicken quality</w:t>
      </w:r>
    </w:p>
    <w:p w:rsidR="00632F86" w:rsidRDefault="00632F86">
      <w:pPr>
        <w:snapToGrid w:val="0"/>
        <w:jc w:val="both"/>
        <w:rPr>
          <w:b/>
          <w:sz w:val="20"/>
          <w:szCs w:val="20"/>
          <w:lang w:eastAsia="zh-CN"/>
        </w:rPr>
      </w:pPr>
    </w:p>
    <w:p w:rsidR="004B46A1" w:rsidRDefault="00B62C3E">
      <w:pPr>
        <w:snapToGrid w:val="0"/>
        <w:jc w:val="both"/>
        <w:rPr>
          <w:b/>
          <w:sz w:val="20"/>
          <w:szCs w:val="20"/>
        </w:rPr>
      </w:pPr>
      <w:r>
        <w:rPr>
          <w:b/>
          <w:sz w:val="20"/>
          <w:szCs w:val="20"/>
        </w:rPr>
        <w:t xml:space="preserve">Acknowledgements: </w:t>
      </w:r>
    </w:p>
    <w:p w:rsidR="004B46A1" w:rsidRDefault="00B62C3E">
      <w:pPr>
        <w:snapToGrid w:val="0"/>
        <w:ind w:firstLine="720"/>
        <w:jc w:val="both"/>
        <w:rPr>
          <w:sz w:val="20"/>
          <w:szCs w:val="20"/>
          <w:lang w:eastAsia="zh-CN"/>
        </w:rPr>
      </w:pPr>
      <w:r>
        <w:rPr>
          <w:sz w:val="20"/>
          <w:szCs w:val="20"/>
        </w:rPr>
        <w:t xml:space="preserve">Authors are grateful to the Management of Federal College of Agriculture, Moor plantation, </w:t>
      </w:r>
      <w:proofErr w:type="spellStart"/>
      <w:r>
        <w:rPr>
          <w:sz w:val="20"/>
          <w:szCs w:val="20"/>
        </w:rPr>
        <w:t>Apata</w:t>
      </w:r>
      <w:proofErr w:type="spellEnd"/>
      <w:r>
        <w:rPr>
          <w:sz w:val="20"/>
          <w:szCs w:val="20"/>
        </w:rPr>
        <w:t xml:space="preserve">, Ibadan for giving access to the laboratory and other facilities </w:t>
      </w:r>
    </w:p>
    <w:p w:rsidR="00FF265D" w:rsidRDefault="00FF265D">
      <w:pPr>
        <w:snapToGrid w:val="0"/>
        <w:ind w:firstLine="720"/>
        <w:jc w:val="both"/>
        <w:rPr>
          <w:sz w:val="20"/>
          <w:szCs w:val="20"/>
          <w:lang w:eastAsia="zh-CN"/>
        </w:rPr>
      </w:pPr>
    </w:p>
    <w:p w:rsidR="00FF265D" w:rsidRDefault="00FF265D">
      <w:pPr>
        <w:snapToGrid w:val="0"/>
        <w:ind w:firstLine="720"/>
        <w:jc w:val="both"/>
        <w:rPr>
          <w:sz w:val="20"/>
          <w:szCs w:val="20"/>
          <w:lang w:eastAsia="zh-CN"/>
        </w:rPr>
      </w:pPr>
    </w:p>
    <w:p w:rsidR="00FF265D" w:rsidRDefault="00FF265D">
      <w:pPr>
        <w:snapToGrid w:val="0"/>
        <w:ind w:firstLine="720"/>
        <w:jc w:val="both"/>
        <w:rPr>
          <w:sz w:val="20"/>
          <w:szCs w:val="20"/>
          <w:lang w:eastAsia="zh-CN"/>
        </w:rPr>
      </w:pPr>
    </w:p>
    <w:p w:rsidR="004B46A1" w:rsidRDefault="00B62C3E">
      <w:pPr>
        <w:snapToGrid w:val="0"/>
        <w:jc w:val="both"/>
        <w:rPr>
          <w:b/>
          <w:sz w:val="20"/>
          <w:szCs w:val="20"/>
        </w:rPr>
      </w:pPr>
      <w:r>
        <w:rPr>
          <w:b/>
          <w:sz w:val="20"/>
          <w:szCs w:val="20"/>
        </w:rPr>
        <w:lastRenderedPageBreak/>
        <w:t>Corresponding Author:</w:t>
      </w:r>
    </w:p>
    <w:p w:rsidR="004B46A1" w:rsidRDefault="00B62C3E">
      <w:pPr>
        <w:snapToGrid w:val="0"/>
        <w:jc w:val="both"/>
        <w:rPr>
          <w:sz w:val="20"/>
          <w:szCs w:val="20"/>
        </w:rPr>
      </w:pPr>
      <w:proofErr w:type="spellStart"/>
      <w:r>
        <w:rPr>
          <w:sz w:val="20"/>
          <w:szCs w:val="20"/>
        </w:rPr>
        <w:t>Engr</w:t>
      </w:r>
      <w:proofErr w:type="spellEnd"/>
      <w:r>
        <w:rPr>
          <w:sz w:val="20"/>
          <w:szCs w:val="20"/>
        </w:rPr>
        <w:t xml:space="preserve"> </w:t>
      </w:r>
      <w:proofErr w:type="spellStart"/>
      <w:r>
        <w:rPr>
          <w:sz w:val="20"/>
          <w:szCs w:val="20"/>
        </w:rPr>
        <w:t>Oladimeji</w:t>
      </w:r>
      <w:proofErr w:type="spellEnd"/>
      <w:r>
        <w:rPr>
          <w:sz w:val="20"/>
          <w:szCs w:val="20"/>
        </w:rPr>
        <w:t>, S. T.</w:t>
      </w:r>
    </w:p>
    <w:p w:rsidR="004B46A1" w:rsidRDefault="00B62C3E">
      <w:pPr>
        <w:snapToGrid w:val="0"/>
        <w:jc w:val="both"/>
        <w:rPr>
          <w:bCs/>
          <w:i/>
          <w:iCs/>
          <w:sz w:val="20"/>
          <w:szCs w:val="20"/>
        </w:rPr>
      </w:pPr>
      <w:r>
        <w:rPr>
          <w:bCs/>
          <w:i/>
          <w:iCs/>
          <w:sz w:val="20"/>
          <w:szCs w:val="20"/>
        </w:rPr>
        <w:t>Department of Agricultural and Bio-Environmental Engineering</w:t>
      </w:r>
    </w:p>
    <w:p w:rsidR="004B46A1" w:rsidRDefault="00B62C3E">
      <w:pPr>
        <w:snapToGrid w:val="0"/>
        <w:jc w:val="both"/>
        <w:rPr>
          <w:bCs/>
          <w:i/>
          <w:iCs/>
          <w:sz w:val="20"/>
          <w:szCs w:val="20"/>
        </w:rPr>
      </w:pPr>
      <w:r>
        <w:rPr>
          <w:bCs/>
          <w:i/>
          <w:iCs/>
          <w:sz w:val="20"/>
          <w:szCs w:val="20"/>
        </w:rPr>
        <w:t>Federal College of Agriculture</w:t>
      </w:r>
    </w:p>
    <w:p w:rsidR="004B46A1" w:rsidRDefault="00B62C3E">
      <w:pPr>
        <w:snapToGrid w:val="0"/>
        <w:jc w:val="both"/>
        <w:rPr>
          <w:bCs/>
          <w:i/>
          <w:iCs/>
          <w:sz w:val="20"/>
          <w:szCs w:val="20"/>
        </w:rPr>
      </w:pPr>
      <w:r>
        <w:rPr>
          <w:bCs/>
          <w:i/>
          <w:iCs/>
          <w:sz w:val="20"/>
          <w:szCs w:val="20"/>
        </w:rPr>
        <w:t xml:space="preserve">Moor Plantation </w:t>
      </w:r>
    </w:p>
    <w:p w:rsidR="004B46A1" w:rsidRDefault="00B62C3E">
      <w:pPr>
        <w:snapToGrid w:val="0"/>
        <w:jc w:val="both"/>
        <w:rPr>
          <w:sz w:val="20"/>
          <w:szCs w:val="20"/>
        </w:rPr>
      </w:pPr>
      <w:proofErr w:type="spellStart"/>
      <w:r>
        <w:rPr>
          <w:bCs/>
          <w:i/>
          <w:iCs/>
          <w:sz w:val="20"/>
          <w:szCs w:val="20"/>
        </w:rPr>
        <w:t>Apata</w:t>
      </w:r>
      <w:proofErr w:type="spellEnd"/>
      <w:r>
        <w:rPr>
          <w:bCs/>
          <w:i/>
          <w:iCs/>
          <w:sz w:val="20"/>
          <w:szCs w:val="20"/>
        </w:rPr>
        <w:t>, Ibadan.</w:t>
      </w:r>
      <w:r>
        <w:rPr>
          <w:sz w:val="20"/>
          <w:szCs w:val="20"/>
        </w:rPr>
        <w:t xml:space="preserve"> </w:t>
      </w:r>
    </w:p>
    <w:p w:rsidR="004B46A1" w:rsidRDefault="004B46A1">
      <w:pPr>
        <w:snapToGrid w:val="0"/>
        <w:jc w:val="both"/>
        <w:rPr>
          <w:sz w:val="20"/>
          <w:szCs w:val="20"/>
        </w:rPr>
      </w:pPr>
    </w:p>
    <w:p w:rsidR="004B46A1" w:rsidRDefault="00B62C3E">
      <w:pPr>
        <w:snapToGrid w:val="0"/>
        <w:jc w:val="both"/>
        <w:rPr>
          <w:b/>
          <w:sz w:val="20"/>
          <w:szCs w:val="20"/>
        </w:rPr>
      </w:pPr>
      <w:r>
        <w:rPr>
          <w:b/>
          <w:sz w:val="20"/>
          <w:szCs w:val="20"/>
        </w:rPr>
        <w:t>References</w:t>
      </w:r>
    </w:p>
    <w:p w:rsidR="004B46A1" w:rsidRDefault="00B62C3E" w:rsidP="00374E6B">
      <w:pPr>
        <w:pStyle w:val="ListParagraph"/>
        <w:numPr>
          <w:ilvl w:val="0"/>
          <w:numId w:val="1"/>
        </w:numPr>
        <w:snapToGrid w:val="0"/>
        <w:spacing w:after="0" w:line="240" w:lineRule="auto"/>
        <w:ind w:left="566" w:hanging="566"/>
        <w:jc w:val="both"/>
        <w:rPr>
          <w:rFonts w:ascii="Times New Roman" w:hAnsi="Times New Roman" w:cs="Times New Roman"/>
          <w:sz w:val="20"/>
          <w:szCs w:val="20"/>
          <w:lang w:val="en-US"/>
        </w:rPr>
      </w:pPr>
      <w:r>
        <w:rPr>
          <w:rFonts w:ascii="Times New Roman" w:hAnsi="Times New Roman" w:cs="Times New Roman"/>
          <w:sz w:val="20"/>
          <w:szCs w:val="20"/>
        </w:rPr>
        <w:t xml:space="preserve">APHA (1992). Compendium of methods for the microbiological examination of foods. 4th Ed. American Public Health Association, Washington, D.C. U.S.A.; 1992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Aremu</w:t>
      </w:r>
      <w:proofErr w:type="spellEnd"/>
      <w:r>
        <w:rPr>
          <w:rFonts w:ascii="Times New Roman" w:hAnsi="Times New Roman" w:cs="Times New Roman"/>
          <w:sz w:val="20"/>
          <w:szCs w:val="20"/>
        </w:rPr>
        <w:t xml:space="preserve">, A. K., </w:t>
      </w:r>
      <w:proofErr w:type="spellStart"/>
      <w:r>
        <w:rPr>
          <w:rFonts w:ascii="Times New Roman" w:hAnsi="Times New Roman" w:cs="Times New Roman"/>
          <w:sz w:val="20"/>
          <w:szCs w:val="20"/>
        </w:rPr>
        <w:t>Ademuwagun</w:t>
      </w:r>
      <w:proofErr w:type="spellEnd"/>
      <w:r>
        <w:rPr>
          <w:rFonts w:ascii="Times New Roman" w:hAnsi="Times New Roman" w:cs="Times New Roman"/>
          <w:sz w:val="20"/>
          <w:szCs w:val="20"/>
        </w:rPr>
        <w:t xml:space="preserve">, A. A. and </w:t>
      </w:r>
      <w:proofErr w:type="spellStart"/>
      <w:r>
        <w:rPr>
          <w:rFonts w:ascii="Times New Roman" w:hAnsi="Times New Roman" w:cs="Times New Roman"/>
          <w:sz w:val="20"/>
          <w:szCs w:val="20"/>
        </w:rPr>
        <w:t>Ogunlade</w:t>
      </w:r>
      <w:proofErr w:type="spellEnd"/>
      <w:r>
        <w:rPr>
          <w:rFonts w:ascii="Times New Roman" w:hAnsi="Times New Roman" w:cs="Times New Roman"/>
          <w:sz w:val="20"/>
          <w:szCs w:val="20"/>
        </w:rPr>
        <w:t>, C. A. (2014). Effects of Moisture Content and Loading Orientation on Some Mechanical Properties of African Oil Bean Seeds (</w:t>
      </w:r>
      <w:proofErr w:type="spellStart"/>
      <w:r>
        <w:rPr>
          <w:rFonts w:ascii="Times New Roman" w:hAnsi="Times New Roman" w:cs="Times New Roman"/>
          <w:i/>
          <w:sz w:val="20"/>
          <w:szCs w:val="20"/>
        </w:rPr>
        <w:t>Pentaclethra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macrophylla</w:t>
      </w:r>
      <w:proofErr w:type="spellEnd"/>
      <w:r>
        <w:rPr>
          <w:rFonts w:ascii="Times New Roman" w:hAnsi="Times New Roman" w:cs="Times New Roman"/>
          <w:i/>
          <w:sz w:val="20"/>
          <w:szCs w:val="20"/>
        </w:rPr>
        <w:t xml:space="preserve"> </w:t>
      </w:r>
      <w:proofErr w:type="spellStart"/>
      <w:r>
        <w:rPr>
          <w:rFonts w:ascii="Times New Roman" w:hAnsi="Times New Roman" w:cs="Times New Roman"/>
          <w:sz w:val="20"/>
          <w:szCs w:val="20"/>
        </w:rPr>
        <w:t>Benth</w:t>
      </w:r>
      <w:proofErr w:type="spellEnd"/>
      <w:r>
        <w:rPr>
          <w:rFonts w:ascii="Times New Roman" w:hAnsi="Times New Roman" w:cs="Times New Roman"/>
          <w:sz w:val="20"/>
          <w:szCs w:val="20"/>
        </w:rPr>
        <w:t xml:space="preserve">). </w:t>
      </w:r>
      <w:r>
        <w:rPr>
          <w:rFonts w:ascii="Times New Roman" w:hAnsi="Times New Roman" w:cs="Times New Roman"/>
          <w:i/>
          <w:sz w:val="20"/>
          <w:szCs w:val="20"/>
        </w:rPr>
        <w:lastRenderedPageBreak/>
        <w:t xml:space="preserve">African Journal of Agricultural Research </w:t>
      </w:r>
      <w:r>
        <w:rPr>
          <w:rFonts w:ascii="Times New Roman" w:hAnsi="Times New Roman" w:cs="Times New Roman"/>
          <w:sz w:val="20"/>
          <w:szCs w:val="20"/>
        </w:rPr>
        <w:t xml:space="preserve">Vol. 9(49): PP 3504-3510. Also available online at </w:t>
      </w:r>
      <w:hyperlink r:id="rId16" w:history="1">
        <w:r>
          <w:rPr>
            <w:rStyle w:val="Hyperlink"/>
            <w:rFonts w:ascii="Times New Roman" w:hAnsi="Times New Roman" w:cs="Times New Roman"/>
            <w:sz w:val="20"/>
            <w:szCs w:val="20"/>
          </w:rPr>
          <w:t>http://www.academicjournals.org/AJAR</w:t>
        </w:r>
      </w:hyperlink>
      <w:r>
        <w:rPr>
          <w:rFonts w:ascii="Times New Roman" w:hAnsi="Times New Roman" w:cs="Times New Roman"/>
          <w:sz w:val="20"/>
          <w:szCs w:val="20"/>
        </w:rPr>
        <w:t xml:space="preserve">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Aremu</w:t>
      </w:r>
      <w:proofErr w:type="spellEnd"/>
      <w:r>
        <w:rPr>
          <w:rFonts w:ascii="Times New Roman" w:hAnsi="Times New Roman" w:cs="Times New Roman"/>
          <w:sz w:val="20"/>
          <w:szCs w:val="20"/>
        </w:rPr>
        <w:t xml:space="preserve">, D. O., </w:t>
      </w:r>
      <w:proofErr w:type="spellStart"/>
      <w:r>
        <w:rPr>
          <w:rFonts w:ascii="Times New Roman" w:hAnsi="Times New Roman" w:cs="Times New Roman"/>
          <w:sz w:val="20"/>
          <w:szCs w:val="20"/>
        </w:rPr>
        <w:t>Babajide</w:t>
      </w:r>
      <w:proofErr w:type="spellEnd"/>
      <w:r>
        <w:rPr>
          <w:rFonts w:ascii="Times New Roman" w:hAnsi="Times New Roman" w:cs="Times New Roman"/>
          <w:sz w:val="20"/>
          <w:szCs w:val="20"/>
        </w:rPr>
        <w:t xml:space="preserve">, N. A., </w:t>
      </w:r>
      <w:proofErr w:type="spellStart"/>
      <w:r>
        <w:rPr>
          <w:rFonts w:ascii="Times New Roman" w:hAnsi="Times New Roman" w:cs="Times New Roman"/>
          <w:sz w:val="20"/>
          <w:szCs w:val="20"/>
        </w:rPr>
        <w:t>Ogunlade</w:t>
      </w:r>
      <w:proofErr w:type="spellEnd"/>
      <w:r>
        <w:rPr>
          <w:rFonts w:ascii="Times New Roman" w:hAnsi="Times New Roman" w:cs="Times New Roman"/>
          <w:sz w:val="20"/>
          <w:szCs w:val="20"/>
        </w:rPr>
        <w:t xml:space="preserve">, C. A., </w:t>
      </w:r>
      <w:proofErr w:type="spellStart"/>
      <w:r>
        <w:rPr>
          <w:rFonts w:ascii="Times New Roman" w:hAnsi="Times New Roman" w:cs="Times New Roman"/>
          <w:sz w:val="20"/>
          <w:szCs w:val="20"/>
        </w:rPr>
        <w:t>Oyeniran</w:t>
      </w:r>
      <w:proofErr w:type="spellEnd"/>
      <w:r>
        <w:rPr>
          <w:rFonts w:ascii="Times New Roman" w:hAnsi="Times New Roman" w:cs="Times New Roman"/>
          <w:sz w:val="20"/>
          <w:szCs w:val="20"/>
        </w:rPr>
        <w:t xml:space="preserve">, T and </w:t>
      </w:r>
      <w:proofErr w:type="spellStart"/>
      <w:r>
        <w:rPr>
          <w:rFonts w:ascii="Times New Roman" w:hAnsi="Times New Roman" w:cs="Times New Roman"/>
          <w:sz w:val="20"/>
          <w:szCs w:val="20"/>
        </w:rPr>
        <w:t>Kadiri</w:t>
      </w:r>
      <w:proofErr w:type="spellEnd"/>
      <w:r>
        <w:rPr>
          <w:rFonts w:ascii="Times New Roman" w:hAnsi="Times New Roman" w:cs="Times New Roman"/>
          <w:sz w:val="20"/>
          <w:szCs w:val="20"/>
        </w:rPr>
        <w:t>, A. O (2015). Effects of storage media and duration on nutritional qualities of cowpea (</w:t>
      </w:r>
      <w:proofErr w:type="spellStart"/>
      <w:r>
        <w:rPr>
          <w:rFonts w:ascii="Times New Roman" w:hAnsi="Times New Roman" w:cs="Times New Roman"/>
          <w:i/>
          <w:sz w:val="20"/>
          <w:szCs w:val="20"/>
        </w:rPr>
        <w:t>Vigna</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unguiculata</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L. </w:t>
      </w:r>
      <w:proofErr w:type="spellStart"/>
      <w:r>
        <w:rPr>
          <w:rFonts w:ascii="Times New Roman" w:hAnsi="Times New Roman" w:cs="Times New Roman"/>
          <w:sz w:val="20"/>
          <w:szCs w:val="20"/>
        </w:rPr>
        <w:t>Walp</w:t>
      </w:r>
      <w:proofErr w:type="spellEnd"/>
      <w:r>
        <w:rPr>
          <w:rFonts w:ascii="Times New Roman" w:hAnsi="Times New Roman" w:cs="Times New Roman"/>
          <w:sz w:val="20"/>
          <w:szCs w:val="20"/>
        </w:rPr>
        <w:t xml:space="preserve">). </w:t>
      </w:r>
      <w:r>
        <w:rPr>
          <w:rFonts w:ascii="Times New Roman" w:hAnsi="Times New Roman" w:cs="Times New Roman"/>
          <w:i/>
          <w:sz w:val="20"/>
          <w:szCs w:val="20"/>
        </w:rPr>
        <w:t>IOSR Journal of Agriculture and Veterinary Science (IOSR_JAVS),</w:t>
      </w:r>
      <w:r>
        <w:rPr>
          <w:rFonts w:ascii="Times New Roman" w:hAnsi="Times New Roman" w:cs="Times New Roman"/>
          <w:sz w:val="20"/>
          <w:szCs w:val="20"/>
        </w:rPr>
        <w:t xml:space="preserve"> Vol. 8, Issue 2, Version 1: PP 60-65</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lang w:val="en-US"/>
        </w:rPr>
      </w:pPr>
      <w:proofErr w:type="spellStart"/>
      <w:r>
        <w:rPr>
          <w:rFonts w:ascii="Times New Roman" w:hAnsi="Times New Roman" w:cs="Times New Roman"/>
          <w:color w:val="000000" w:themeColor="text1"/>
          <w:sz w:val="20"/>
          <w:szCs w:val="20"/>
        </w:rPr>
        <w:t>Famurewa</w:t>
      </w:r>
      <w:proofErr w:type="spellEnd"/>
      <w:r>
        <w:rPr>
          <w:rFonts w:ascii="Times New Roman" w:hAnsi="Times New Roman" w:cs="Times New Roman"/>
          <w:color w:val="000000" w:themeColor="text1"/>
          <w:sz w:val="20"/>
          <w:szCs w:val="20"/>
        </w:rPr>
        <w:t xml:space="preserve">, J. A. V., </w:t>
      </w:r>
      <w:proofErr w:type="spellStart"/>
      <w:r>
        <w:rPr>
          <w:rFonts w:ascii="Times New Roman" w:hAnsi="Times New Roman" w:cs="Times New Roman"/>
          <w:color w:val="000000" w:themeColor="text1"/>
          <w:sz w:val="20"/>
          <w:szCs w:val="20"/>
        </w:rPr>
        <w:t>Jaiyeoba</w:t>
      </w:r>
      <w:proofErr w:type="spellEnd"/>
      <w:r>
        <w:rPr>
          <w:rFonts w:ascii="Times New Roman" w:hAnsi="Times New Roman" w:cs="Times New Roman"/>
          <w:color w:val="000000" w:themeColor="text1"/>
          <w:sz w:val="20"/>
          <w:szCs w:val="20"/>
        </w:rPr>
        <w:t xml:space="preserve">, K. F., </w:t>
      </w:r>
      <w:proofErr w:type="spellStart"/>
      <w:r>
        <w:rPr>
          <w:rFonts w:ascii="Times New Roman" w:hAnsi="Times New Roman" w:cs="Times New Roman"/>
          <w:color w:val="000000" w:themeColor="text1"/>
          <w:sz w:val="20"/>
          <w:szCs w:val="20"/>
        </w:rPr>
        <w:t>Ogunlade</w:t>
      </w:r>
      <w:proofErr w:type="spellEnd"/>
      <w:r>
        <w:rPr>
          <w:rFonts w:ascii="Times New Roman" w:hAnsi="Times New Roman" w:cs="Times New Roman"/>
          <w:color w:val="000000" w:themeColor="text1"/>
          <w:sz w:val="20"/>
          <w:szCs w:val="20"/>
        </w:rPr>
        <w:t xml:space="preserve">, C. A. and </w:t>
      </w:r>
      <w:proofErr w:type="spellStart"/>
      <w:r>
        <w:rPr>
          <w:rFonts w:ascii="Times New Roman" w:hAnsi="Times New Roman" w:cs="Times New Roman"/>
          <w:color w:val="000000" w:themeColor="text1"/>
          <w:sz w:val="20"/>
          <w:szCs w:val="20"/>
        </w:rPr>
        <w:t>Ayeni</w:t>
      </w:r>
      <w:proofErr w:type="spellEnd"/>
      <w:r>
        <w:rPr>
          <w:rFonts w:ascii="Times New Roman" w:hAnsi="Times New Roman" w:cs="Times New Roman"/>
          <w:color w:val="000000" w:themeColor="text1"/>
          <w:sz w:val="20"/>
          <w:szCs w:val="20"/>
        </w:rPr>
        <w:t xml:space="preserve">, O. B. (2021). </w:t>
      </w:r>
      <w:r>
        <w:rPr>
          <w:rFonts w:ascii="Times New Roman" w:hAnsi="Times New Roman" w:cs="Times New Roman"/>
          <w:sz w:val="20"/>
          <w:szCs w:val="20"/>
        </w:rPr>
        <w:t xml:space="preserve">Effect of extraction methods on yield and quality characteristics of coconut (Coco </w:t>
      </w:r>
      <w:proofErr w:type="spellStart"/>
      <w:r>
        <w:rPr>
          <w:rFonts w:ascii="Times New Roman" w:hAnsi="Times New Roman" w:cs="Times New Roman"/>
          <w:sz w:val="20"/>
          <w:szCs w:val="20"/>
        </w:rPr>
        <w:t>nucifera</w:t>
      </w:r>
      <w:proofErr w:type="spellEnd"/>
      <w:r>
        <w:rPr>
          <w:rFonts w:ascii="Times New Roman" w:hAnsi="Times New Roman" w:cs="Times New Roman"/>
          <w:sz w:val="20"/>
          <w:szCs w:val="20"/>
        </w:rPr>
        <w:t xml:space="preserve"> L) oil. </w:t>
      </w:r>
      <w:proofErr w:type="spellStart"/>
      <w:r>
        <w:rPr>
          <w:rFonts w:ascii="Times New Roman" w:hAnsi="Times New Roman" w:cs="Times New Roman"/>
          <w:sz w:val="20"/>
          <w:szCs w:val="20"/>
          <w:shd w:val="clear" w:color="auto" w:fill="FFFFFF"/>
        </w:rPr>
        <w:t>AgricEngInt</w:t>
      </w:r>
      <w:proofErr w:type="spellEnd"/>
      <w:r>
        <w:rPr>
          <w:rFonts w:ascii="Times New Roman" w:hAnsi="Times New Roman" w:cs="Times New Roman"/>
          <w:sz w:val="20"/>
          <w:szCs w:val="20"/>
          <w:shd w:val="clear" w:color="auto" w:fill="FFFFFF"/>
        </w:rPr>
        <w:t xml:space="preserve">: CIGR Journal Open access at </w:t>
      </w:r>
      <w:hyperlink r:id="rId17" w:history="1">
        <w:r>
          <w:rPr>
            <w:rStyle w:val="Hyperlink"/>
            <w:rFonts w:ascii="Times New Roman" w:hAnsi="Times New Roman" w:cs="Times New Roman"/>
            <w:sz w:val="20"/>
            <w:szCs w:val="20"/>
            <w:shd w:val="clear" w:color="auto" w:fill="FFFFFF"/>
          </w:rPr>
          <w:t>http://www.cigrjournal.org</w:t>
        </w:r>
      </w:hyperlink>
      <w:r>
        <w:rPr>
          <w:rFonts w:ascii="Times New Roman" w:hAnsi="Times New Roman" w:cs="Times New Roman"/>
          <w:sz w:val="20"/>
          <w:szCs w:val="20"/>
          <w:shd w:val="clear" w:color="auto" w:fill="FFFFFF"/>
        </w:rPr>
        <w:t xml:space="preserve">, 23 (3): 251 – 260. </w:t>
      </w:r>
      <w:hyperlink r:id="rId18" w:history="1">
        <w:r>
          <w:rPr>
            <w:rStyle w:val="Hyperlink"/>
            <w:rFonts w:ascii="Times New Roman" w:hAnsi="Times New Roman" w:cs="Times New Roman"/>
            <w:sz w:val="20"/>
            <w:szCs w:val="20"/>
          </w:rPr>
          <w:t>https://cigrjournal.org/index.php/Ejounral/article/view/6679/3707</w:t>
        </w:r>
      </w:hyperlink>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lang w:val="en-US"/>
        </w:rPr>
      </w:pPr>
      <w:r>
        <w:rPr>
          <w:rFonts w:ascii="Times New Roman" w:hAnsi="Times New Roman" w:cs="Times New Roman"/>
          <w:sz w:val="20"/>
          <w:szCs w:val="20"/>
        </w:rPr>
        <w:t>FAO. (2010). Meat processing technology for small – to – medium scale producers. Food and Agricultural Organization of the United Nations, Regional Office for Asia and Pacific; 2007.</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lang w:val="en-US"/>
        </w:rPr>
      </w:pPr>
      <w:r>
        <w:rPr>
          <w:rFonts w:ascii="Times New Roman" w:hAnsi="Times New Roman" w:cs="Times New Roman"/>
          <w:sz w:val="20"/>
          <w:szCs w:val="20"/>
        </w:rPr>
        <w:t xml:space="preserve">Fellows, P. J. (2000). Food Processing Technology, Principles and Practice. </w:t>
      </w:r>
      <w:proofErr w:type="spellStart"/>
      <w:r>
        <w:rPr>
          <w:rFonts w:ascii="Times New Roman" w:hAnsi="Times New Roman" w:cs="Times New Roman"/>
          <w:sz w:val="20"/>
          <w:szCs w:val="20"/>
        </w:rPr>
        <w:t>Woodhead</w:t>
      </w:r>
      <w:proofErr w:type="spellEnd"/>
      <w:r>
        <w:rPr>
          <w:rFonts w:ascii="Times New Roman" w:hAnsi="Times New Roman" w:cs="Times New Roman"/>
          <w:sz w:val="20"/>
          <w:szCs w:val="20"/>
        </w:rPr>
        <w:t xml:space="preserve"> Publishing Ltd, Cambridge. pp: 45-50.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r>
        <w:rPr>
          <w:rFonts w:ascii="Times New Roman" w:hAnsi="Times New Roman" w:cs="Times New Roman"/>
          <w:sz w:val="20"/>
          <w:szCs w:val="20"/>
        </w:rPr>
        <w:t xml:space="preserve">Leroy F, </w:t>
      </w:r>
      <w:proofErr w:type="spellStart"/>
      <w:r>
        <w:rPr>
          <w:rFonts w:ascii="Times New Roman" w:hAnsi="Times New Roman" w:cs="Times New Roman"/>
          <w:sz w:val="20"/>
          <w:szCs w:val="20"/>
        </w:rPr>
        <w:t>Verluyten</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Vuyst</w:t>
      </w:r>
      <w:proofErr w:type="spellEnd"/>
      <w:r>
        <w:rPr>
          <w:rFonts w:ascii="Times New Roman" w:hAnsi="Times New Roman" w:cs="Times New Roman"/>
          <w:sz w:val="20"/>
          <w:szCs w:val="20"/>
        </w:rPr>
        <w:t xml:space="preserve"> LD. (2006). Functional meat starter cultures for improved sausage fermentation. Inter J Food Micro 2006; 106: 270-85.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r>
        <w:rPr>
          <w:rFonts w:ascii="Times New Roman" w:hAnsi="Times New Roman" w:cs="Times New Roman"/>
          <w:sz w:val="20"/>
          <w:szCs w:val="20"/>
        </w:rPr>
        <w:t xml:space="preserve">Marco A, Navarro JL, Flores M. (2008). The sensory quality of dry fermented sausages as affected by fermentation stage and curing agents. Eur. Food Res </w:t>
      </w:r>
      <w:proofErr w:type="spellStart"/>
      <w:r>
        <w:rPr>
          <w:rFonts w:ascii="Times New Roman" w:hAnsi="Times New Roman" w:cs="Times New Roman"/>
          <w:sz w:val="20"/>
          <w:szCs w:val="20"/>
        </w:rPr>
        <w:t>Technol</w:t>
      </w:r>
      <w:proofErr w:type="spellEnd"/>
      <w:r>
        <w:rPr>
          <w:rFonts w:ascii="Times New Roman" w:hAnsi="Times New Roman" w:cs="Times New Roman"/>
          <w:sz w:val="20"/>
          <w:szCs w:val="20"/>
        </w:rPr>
        <w:t xml:space="preserve"> 2008; 226: 449-58. McBride NT, Hogan SA, Kerry JP. Comparative addition of rosemary extract and additives on </w:t>
      </w:r>
      <w:proofErr w:type="spellStart"/>
      <w:r>
        <w:rPr>
          <w:rFonts w:ascii="Times New Roman" w:hAnsi="Times New Roman" w:cs="Times New Roman"/>
          <w:sz w:val="20"/>
          <w:szCs w:val="20"/>
        </w:rPr>
        <w:t>sen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sory</w:t>
      </w:r>
      <w:proofErr w:type="spellEnd"/>
      <w:r>
        <w:rPr>
          <w:rFonts w:ascii="Times New Roman" w:hAnsi="Times New Roman" w:cs="Times New Roman"/>
          <w:sz w:val="20"/>
          <w:szCs w:val="20"/>
        </w:rPr>
        <w:t xml:space="preserve"> and antioxidant </w:t>
      </w:r>
      <w:r>
        <w:rPr>
          <w:rFonts w:ascii="Times New Roman" w:hAnsi="Times New Roman" w:cs="Times New Roman"/>
          <w:sz w:val="20"/>
          <w:szCs w:val="20"/>
        </w:rPr>
        <w:lastRenderedPageBreak/>
        <w:t xml:space="preserve">properties of retail packaged beef. Inter J Food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Technol</w:t>
      </w:r>
      <w:proofErr w:type="spellEnd"/>
      <w:r>
        <w:rPr>
          <w:rFonts w:ascii="Times New Roman" w:hAnsi="Times New Roman" w:cs="Times New Roman"/>
          <w:sz w:val="20"/>
          <w:szCs w:val="20"/>
        </w:rPr>
        <w:t xml:space="preserve"> 2007; 42: 1201-7.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Ndife</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Obot</w:t>
      </w:r>
      <w:proofErr w:type="spellEnd"/>
      <w:r>
        <w:rPr>
          <w:rFonts w:ascii="Times New Roman" w:hAnsi="Times New Roman" w:cs="Times New Roman"/>
          <w:sz w:val="20"/>
          <w:szCs w:val="20"/>
        </w:rPr>
        <w:t xml:space="preserve">, D. and </w:t>
      </w:r>
      <w:proofErr w:type="spellStart"/>
      <w:r>
        <w:rPr>
          <w:rFonts w:ascii="Times New Roman" w:hAnsi="Times New Roman" w:cs="Times New Roman"/>
          <w:sz w:val="20"/>
          <w:szCs w:val="20"/>
        </w:rPr>
        <w:t>Kuyik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Abasiekong</w:t>
      </w:r>
      <w:proofErr w:type="spellEnd"/>
      <w:r>
        <w:rPr>
          <w:rFonts w:ascii="Times New Roman" w:hAnsi="Times New Roman" w:cs="Times New Roman"/>
          <w:sz w:val="20"/>
          <w:szCs w:val="20"/>
        </w:rPr>
        <w:t xml:space="preserve"> (2019). Quality Evaluation of Coconut (</w:t>
      </w:r>
      <w:proofErr w:type="spellStart"/>
      <w:r>
        <w:rPr>
          <w:rFonts w:ascii="Times New Roman" w:hAnsi="Times New Roman" w:cs="Times New Roman"/>
          <w:sz w:val="20"/>
          <w:szCs w:val="20"/>
        </w:rPr>
        <w:t>Cocos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nucifera</w:t>
      </w:r>
      <w:proofErr w:type="spellEnd"/>
      <w:r>
        <w:rPr>
          <w:rFonts w:ascii="Times New Roman" w:hAnsi="Times New Roman" w:cs="Times New Roman"/>
          <w:sz w:val="20"/>
          <w:szCs w:val="20"/>
        </w:rPr>
        <w:t xml:space="preserve"> L) Oils Produced by Different Extraction Methods. Asian Food Science Journal 8(4): 1-10.</w:t>
      </w:r>
    </w:p>
    <w:p w:rsidR="004B46A1" w:rsidRDefault="00B62C3E" w:rsidP="00374E6B">
      <w:pPr>
        <w:pStyle w:val="ListParagraph"/>
        <w:numPr>
          <w:ilvl w:val="0"/>
          <w:numId w:val="1"/>
        </w:numPr>
        <w:snapToGrid w:val="0"/>
        <w:spacing w:after="0" w:line="240" w:lineRule="auto"/>
        <w:ind w:leftChars="86" w:left="772" w:hanging="566"/>
        <w:jc w:val="both"/>
        <w:rPr>
          <w:rStyle w:val="Hyperlink"/>
          <w:rFonts w:ascii="Times New Roman" w:hAnsi="Times New Roman" w:cs="Times New Roman"/>
          <w:sz w:val="20"/>
          <w:szCs w:val="20"/>
        </w:rPr>
      </w:pPr>
      <w:proofErr w:type="spellStart"/>
      <w:r>
        <w:rPr>
          <w:rFonts w:ascii="Times New Roman" w:hAnsi="Times New Roman" w:cs="Times New Roman"/>
          <w:sz w:val="20"/>
          <w:szCs w:val="20"/>
        </w:rPr>
        <w:t>Ogunlade</w:t>
      </w:r>
      <w:proofErr w:type="spellEnd"/>
      <w:r>
        <w:rPr>
          <w:rFonts w:ascii="Times New Roman" w:hAnsi="Times New Roman" w:cs="Times New Roman"/>
          <w:sz w:val="20"/>
          <w:szCs w:val="20"/>
        </w:rPr>
        <w:t xml:space="preserve">, C. A. and </w:t>
      </w:r>
      <w:proofErr w:type="spellStart"/>
      <w:r>
        <w:rPr>
          <w:rFonts w:ascii="Times New Roman" w:hAnsi="Times New Roman" w:cs="Times New Roman"/>
          <w:sz w:val="20"/>
          <w:szCs w:val="20"/>
        </w:rPr>
        <w:t>Aremu</w:t>
      </w:r>
      <w:proofErr w:type="spellEnd"/>
      <w:r>
        <w:rPr>
          <w:rFonts w:ascii="Times New Roman" w:hAnsi="Times New Roman" w:cs="Times New Roman"/>
          <w:sz w:val="20"/>
          <w:szCs w:val="20"/>
        </w:rPr>
        <w:t>, A. K. (2019). Influence of Processing Conditions on Yield and Quality of Mechanically Expressed African Oil Bean (</w:t>
      </w:r>
      <w:proofErr w:type="spellStart"/>
      <w:r>
        <w:rPr>
          <w:rFonts w:ascii="Times New Roman" w:hAnsi="Times New Roman" w:cs="Times New Roman"/>
          <w:i/>
          <w:sz w:val="20"/>
          <w:szCs w:val="20"/>
        </w:rPr>
        <w:t>Pentaclethra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macrophylla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Benth</w:t>
      </w:r>
      <w:proofErr w:type="spellEnd"/>
      <w:r>
        <w:rPr>
          <w:rFonts w:ascii="Times New Roman" w:hAnsi="Times New Roman" w:cs="Times New Roman"/>
          <w:sz w:val="20"/>
          <w:szCs w:val="20"/>
        </w:rPr>
        <w:t xml:space="preserve">) Kernels: A Response Surface Approach. Journal of Food Process Engineering, John Wiley. 42 (2): 1-9. </w:t>
      </w:r>
      <w:hyperlink r:id="rId19" w:history="1">
        <w:r>
          <w:rPr>
            <w:rStyle w:val="Hyperlink"/>
            <w:rFonts w:ascii="Times New Roman" w:hAnsi="Times New Roman" w:cs="Times New Roman"/>
            <w:sz w:val="20"/>
            <w:szCs w:val="20"/>
          </w:rPr>
          <w:t>https://doi.org/10.1111/jfpe.12967</w:t>
        </w:r>
      </w:hyperlink>
      <w:r>
        <w:rPr>
          <w:rFonts w:ascii="Times New Roman" w:hAnsi="Times New Roman" w:cs="Times New Roman"/>
          <w:sz w:val="20"/>
          <w:szCs w:val="20"/>
        </w:rPr>
        <w:t xml:space="preserve"> and  </w:t>
      </w:r>
      <w:hyperlink r:id="rId20" w:history="1">
        <w:r>
          <w:rPr>
            <w:rStyle w:val="Hyperlink"/>
            <w:rFonts w:ascii="Times New Roman" w:hAnsi="Times New Roman" w:cs="Times New Roman"/>
            <w:sz w:val="20"/>
            <w:szCs w:val="20"/>
          </w:rPr>
          <w:t>https://onlinelibrary.wiley.com/doi/pdf/10.1111/jfpe.12967</w:t>
        </w:r>
      </w:hyperlink>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Ogunlade</w:t>
      </w:r>
      <w:proofErr w:type="spellEnd"/>
      <w:r>
        <w:rPr>
          <w:rFonts w:ascii="Times New Roman" w:hAnsi="Times New Roman" w:cs="Times New Roman"/>
          <w:sz w:val="20"/>
          <w:szCs w:val="20"/>
        </w:rPr>
        <w:t xml:space="preserve">, C. A. and </w:t>
      </w:r>
      <w:proofErr w:type="spellStart"/>
      <w:r>
        <w:rPr>
          <w:rFonts w:ascii="Times New Roman" w:hAnsi="Times New Roman" w:cs="Times New Roman"/>
          <w:sz w:val="20"/>
          <w:szCs w:val="20"/>
        </w:rPr>
        <w:t>Aremu</w:t>
      </w:r>
      <w:proofErr w:type="spellEnd"/>
      <w:r>
        <w:rPr>
          <w:rFonts w:ascii="Times New Roman" w:hAnsi="Times New Roman" w:cs="Times New Roman"/>
          <w:sz w:val="20"/>
          <w:szCs w:val="20"/>
        </w:rPr>
        <w:t xml:space="preserve">, A. K. (2020). </w:t>
      </w:r>
      <w:r>
        <w:rPr>
          <w:rFonts w:ascii="Times New Roman" w:hAnsi="Times New Roman" w:cs="Times New Roman"/>
          <w:sz w:val="20"/>
          <w:szCs w:val="20"/>
          <w:lang w:val="en-US"/>
        </w:rPr>
        <w:t xml:space="preserve">Modeling and </w:t>
      </w:r>
      <w:proofErr w:type="spellStart"/>
      <w:r>
        <w:rPr>
          <w:rFonts w:ascii="Times New Roman" w:hAnsi="Times New Roman" w:cs="Times New Roman"/>
          <w:sz w:val="20"/>
          <w:szCs w:val="20"/>
          <w:lang w:val="en-US"/>
        </w:rPr>
        <w:t>optimisation</w:t>
      </w:r>
      <w:proofErr w:type="spellEnd"/>
      <w:r>
        <w:rPr>
          <w:rFonts w:ascii="Times New Roman" w:hAnsi="Times New Roman" w:cs="Times New Roman"/>
          <w:sz w:val="20"/>
          <w:szCs w:val="20"/>
          <w:lang w:val="en-US"/>
        </w:rPr>
        <w:t xml:space="preserve"> of oil recovery and throughput capacity in mechanically expressing oil from African oil bean (</w:t>
      </w:r>
      <w:proofErr w:type="spellStart"/>
      <w:r>
        <w:rPr>
          <w:rFonts w:ascii="Times New Roman" w:hAnsi="Times New Roman" w:cs="Times New Roman"/>
          <w:i/>
          <w:iCs/>
          <w:sz w:val="20"/>
          <w:szCs w:val="20"/>
          <w:lang w:val="en-US"/>
        </w:rPr>
        <w:t>Pentaclethra</w:t>
      </w:r>
      <w:proofErr w:type="spellEnd"/>
      <w:r>
        <w:rPr>
          <w:rFonts w:ascii="Times New Roman" w:hAnsi="Times New Roman" w:cs="Times New Roman"/>
          <w:i/>
          <w:iCs/>
          <w:sz w:val="20"/>
          <w:szCs w:val="20"/>
          <w:lang w:val="en-US"/>
        </w:rPr>
        <w:t xml:space="preserve"> </w:t>
      </w:r>
      <w:proofErr w:type="spellStart"/>
      <w:r>
        <w:rPr>
          <w:rFonts w:ascii="Times New Roman" w:hAnsi="Times New Roman" w:cs="Times New Roman"/>
          <w:i/>
          <w:iCs/>
          <w:sz w:val="20"/>
          <w:szCs w:val="20"/>
          <w:lang w:val="en-US"/>
        </w:rPr>
        <w:t>macrophylla</w:t>
      </w:r>
      <w:proofErr w:type="spellEnd"/>
      <w:r>
        <w:rPr>
          <w:rFonts w:ascii="Times New Roman" w:hAnsi="Times New Roman" w:cs="Times New Roman"/>
          <w:sz w:val="20"/>
          <w:szCs w:val="20"/>
          <w:lang w:val="en-US"/>
        </w:rPr>
        <w:t> </w:t>
      </w:r>
      <w:proofErr w:type="spellStart"/>
      <w:r>
        <w:rPr>
          <w:rFonts w:ascii="Times New Roman" w:hAnsi="Times New Roman" w:cs="Times New Roman"/>
          <w:sz w:val="20"/>
          <w:szCs w:val="20"/>
          <w:lang w:val="en-US"/>
        </w:rPr>
        <w:t>Benth</w:t>
      </w:r>
      <w:proofErr w:type="spellEnd"/>
      <w:r>
        <w:rPr>
          <w:rFonts w:ascii="Times New Roman" w:hAnsi="Times New Roman" w:cs="Times New Roman"/>
          <w:sz w:val="20"/>
          <w:szCs w:val="20"/>
          <w:lang w:val="en-US"/>
        </w:rPr>
        <w:t>) kernels.</w:t>
      </w:r>
      <w:r>
        <w:rPr>
          <w:rFonts w:ascii="Times New Roman" w:hAnsi="Times New Roman" w:cs="Times New Roman"/>
          <w:color w:val="333333"/>
          <w:sz w:val="20"/>
          <w:szCs w:val="20"/>
          <w:lang w:val="en-US"/>
        </w:rPr>
        <w:t xml:space="preserve"> </w:t>
      </w:r>
      <w:hyperlink r:id="rId21" w:history="1">
        <w:r>
          <w:rPr>
            <w:rStyle w:val="Hyperlink"/>
            <w:rFonts w:ascii="Times New Roman" w:hAnsi="Times New Roman" w:cs="Times New Roman"/>
            <w:i/>
            <w:iCs/>
            <w:color w:val="0061A9"/>
            <w:sz w:val="20"/>
            <w:szCs w:val="20"/>
            <w:shd w:val="clear" w:color="auto" w:fill="FCFCFC"/>
          </w:rPr>
          <w:t>Journal of Food Science and Technology</w:t>
        </w:r>
      </w:hyperlink>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CFCFC"/>
        </w:rPr>
        <w:t> </w:t>
      </w:r>
      <w:r>
        <w:rPr>
          <w:rFonts w:ascii="Times New Roman" w:hAnsi="Times New Roman" w:cs="Times New Roman"/>
          <w:sz w:val="20"/>
          <w:szCs w:val="20"/>
          <w:shd w:val="clear" w:color="auto" w:fill="FCFCFC"/>
        </w:rPr>
        <w:t xml:space="preserve">Springer Science, </w:t>
      </w:r>
      <w:r>
        <w:rPr>
          <w:rFonts w:ascii="Times New Roman" w:hAnsi="Times New Roman" w:cs="Times New Roman"/>
          <w:i/>
          <w:iCs/>
          <w:sz w:val="20"/>
          <w:szCs w:val="20"/>
          <w:shd w:val="clear" w:color="auto" w:fill="FCFCFC"/>
        </w:rPr>
        <w:t xml:space="preserve">J Food </w:t>
      </w:r>
      <w:proofErr w:type="spellStart"/>
      <w:r>
        <w:rPr>
          <w:rFonts w:ascii="Times New Roman" w:hAnsi="Times New Roman" w:cs="Times New Roman"/>
          <w:i/>
          <w:iCs/>
          <w:sz w:val="20"/>
          <w:szCs w:val="20"/>
          <w:shd w:val="clear" w:color="auto" w:fill="FCFCFC"/>
        </w:rPr>
        <w:t>Sci</w:t>
      </w:r>
      <w:proofErr w:type="spellEnd"/>
      <w:r>
        <w:rPr>
          <w:rFonts w:ascii="Times New Roman" w:hAnsi="Times New Roman" w:cs="Times New Roman"/>
          <w:i/>
          <w:iCs/>
          <w:sz w:val="20"/>
          <w:szCs w:val="20"/>
          <w:shd w:val="clear" w:color="auto" w:fill="FCFCFC"/>
        </w:rPr>
        <w:t xml:space="preserve"> </w:t>
      </w:r>
      <w:proofErr w:type="spellStart"/>
      <w:r>
        <w:rPr>
          <w:rFonts w:ascii="Times New Roman" w:hAnsi="Times New Roman" w:cs="Times New Roman"/>
          <w:i/>
          <w:iCs/>
          <w:sz w:val="20"/>
          <w:szCs w:val="20"/>
          <w:shd w:val="clear" w:color="auto" w:fill="FCFCFC"/>
        </w:rPr>
        <w:t>Technol</w:t>
      </w:r>
      <w:proofErr w:type="spellEnd"/>
      <w:r>
        <w:rPr>
          <w:rFonts w:ascii="Times New Roman" w:hAnsi="Times New Roman" w:cs="Times New Roman"/>
          <w:sz w:val="20"/>
          <w:szCs w:val="20"/>
          <w:shd w:val="clear" w:color="auto" w:fill="FCFCFC"/>
        </w:rPr>
        <w:t> (2020).</w:t>
      </w:r>
      <w:hyperlink r:id="rId22" w:history="1">
        <w:r>
          <w:rPr>
            <w:rStyle w:val="Hyperlink"/>
            <w:rFonts w:ascii="Times New Roman" w:hAnsi="Times New Roman" w:cs="Times New Roman"/>
            <w:sz w:val="20"/>
            <w:szCs w:val="20"/>
            <w:shd w:val="clear" w:color="auto" w:fill="FCFCFC"/>
          </w:rPr>
          <w:t>https://doi.org/10.1007/s13197-020-04435-0</w:t>
        </w:r>
      </w:hyperlink>
      <w:r>
        <w:rPr>
          <w:rFonts w:ascii="Times New Roman" w:hAnsi="Times New Roman" w:cs="Times New Roman"/>
          <w:color w:val="333333"/>
          <w:sz w:val="20"/>
          <w:szCs w:val="20"/>
          <w:shd w:val="clear" w:color="auto" w:fill="FCFCFC"/>
        </w:rPr>
        <w:t xml:space="preserve">. </w:t>
      </w:r>
      <w:hyperlink r:id="rId23" w:history="1">
        <w:r>
          <w:rPr>
            <w:rStyle w:val="Hyperlink"/>
            <w:rFonts w:ascii="Times New Roman" w:hAnsi="Times New Roman" w:cs="Times New Roman"/>
            <w:sz w:val="20"/>
            <w:szCs w:val="20"/>
          </w:rPr>
          <w:t>http://link.springer.com/article/10.1007/s13197-020-04435-0</w:t>
        </w:r>
      </w:hyperlink>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Okere</w:t>
      </w:r>
      <w:proofErr w:type="spellEnd"/>
      <w:r>
        <w:rPr>
          <w:rFonts w:ascii="Times New Roman" w:hAnsi="Times New Roman" w:cs="Times New Roman"/>
          <w:sz w:val="20"/>
          <w:szCs w:val="20"/>
        </w:rPr>
        <w:t xml:space="preserve">, I. A., </w:t>
      </w:r>
      <w:proofErr w:type="spellStart"/>
      <w:r>
        <w:rPr>
          <w:rFonts w:ascii="Times New Roman" w:hAnsi="Times New Roman" w:cs="Times New Roman"/>
          <w:sz w:val="20"/>
          <w:szCs w:val="20"/>
        </w:rPr>
        <w:t>Oladimeji</w:t>
      </w:r>
      <w:proofErr w:type="spellEnd"/>
      <w:r>
        <w:rPr>
          <w:rFonts w:ascii="Times New Roman" w:hAnsi="Times New Roman" w:cs="Times New Roman"/>
          <w:sz w:val="20"/>
          <w:szCs w:val="20"/>
        </w:rPr>
        <w:t xml:space="preserve">, S. T., </w:t>
      </w:r>
      <w:proofErr w:type="spellStart"/>
      <w:r>
        <w:rPr>
          <w:rFonts w:ascii="Times New Roman" w:hAnsi="Times New Roman" w:cs="Times New Roman"/>
          <w:sz w:val="20"/>
          <w:szCs w:val="20"/>
        </w:rPr>
        <w:t>Azeez</w:t>
      </w:r>
      <w:proofErr w:type="spellEnd"/>
      <w:r>
        <w:rPr>
          <w:rFonts w:ascii="Times New Roman" w:hAnsi="Times New Roman" w:cs="Times New Roman"/>
          <w:sz w:val="20"/>
          <w:szCs w:val="20"/>
        </w:rPr>
        <w:t xml:space="preserve">, A. A., </w:t>
      </w:r>
      <w:proofErr w:type="spellStart"/>
      <w:r>
        <w:rPr>
          <w:rFonts w:ascii="Times New Roman" w:hAnsi="Times New Roman" w:cs="Times New Roman"/>
          <w:sz w:val="20"/>
          <w:szCs w:val="20"/>
        </w:rPr>
        <w:t>Onatola</w:t>
      </w:r>
      <w:proofErr w:type="spellEnd"/>
      <w:r>
        <w:rPr>
          <w:rFonts w:ascii="Times New Roman" w:hAnsi="Times New Roman" w:cs="Times New Roman"/>
          <w:sz w:val="20"/>
          <w:szCs w:val="20"/>
        </w:rPr>
        <w:t xml:space="preserve">, I. T., </w:t>
      </w:r>
      <w:proofErr w:type="spellStart"/>
      <w:r>
        <w:rPr>
          <w:rFonts w:ascii="Times New Roman" w:hAnsi="Times New Roman" w:cs="Times New Roman"/>
          <w:sz w:val="20"/>
          <w:szCs w:val="20"/>
        </w:rPr>
        <w:t>Tulagha</w:t>
      </w:r>
      <w:proofErr w:type="spellEnd"/>
      <w:r>
        <w:rPr>
          <w:rFonts w:ascii="Times New Roman" w:hAnsi="Times New Roman" w:cs="Times New Roman"/>
          <w:sz w:val="20"/>
          <w:szCs w:val="20"/>
        </w:rPr>
        <w:t xml:space="preserve">, I. and </w:t>
      </w:r>
      <w:proofErr w:type="spellStart"/>
      <w:r>
        <w:rPr>
          <w:rFonts w:ascii="Times New Roman" w:hAnsi="Times New Roman" w:cs="Times New Roman"/>
          <w:sz w:val="20"/>
          <w:szCs w:val="20"/>
        </w:rPr>
        <w:t>Jaiyeoba</w:t>
      </w:r>
      <w:proofErr w:type="spellEnd"/>
      <w:r>
        <w:rPr>
          <w:rFonts w:ascii="Times New Roman" w:hAnsi="Times New Roman" w:cs="Times New Roman"/>
          <w:sz w:val="20"/>
          <w:szCs w:val="20"/>
        </w:rPr>
        <w:t xml:space="preserve">, K. F. (2021). Effect of Oven Drying on Selected Quality Composition of Chicken. New York Science Journal, 14 (10): 27 – 30. </w:t>
      </w:r>
      <w:hyperlink r:id="rId24" w:history="1">
        <w:r>
          <w:rPr>
            <w:rStyle w:val="Hyperlink"/>
            <w:rFonts w:ascii="Times New Roman" w:hAnsi="Times New Roman" w:cs="Times New Roman"/>
            <w:sz w:val="20"/>
            <w:szCs w:val="20"/>
          </w:rPr>
          <w:t>http://www.sciencepub.net/newyork/nys141021/05_37483nys141021_27_30.pdf</w:t>
        </w:r>
      </w:hyperlink>
      <w:r>
        <w:rPr>
          <w:rFonts w:ascii="Times New Roman" w:hAnsi="Times New Roman" w:cs="Times New Roman"/>
          <w:sz w:val="20"/>
          <w:szCs w:val="20"/>
        </w:rPr>
        <w:t xml:space="preserve"> </w:t>
      </w:r>
    </w:p>
    <w:p w:rsidR="004B46A1" w:rsidRDefault="00B62C3E" w:rsidP="00374E6B">
      <w:pPr>
        <w:pStyle w:val="ListParagraph"/>
        <w:numPr>
          <w:ilvl w:val="0"/>
          <w:numId w:val="1"/>
        </w:numPr>
        <w:snapToGrid w:val="0"/>
        <w:spacing w:after="0" w:line="240" w:lineRule="auto"/>
        <w:ind w:leftChars="86" w:left="772" w:hanging="566"/>
        <w:jc w:val="both"/>
        <w:rPr>
          <w:rFonts w:ascii="Times New Roman" w:hAnsi="Times New Roman" w:cs="Times New Roman"/>
          <w:sz w:val="20"/>
          <w:szCs w:val="20"/>
        </w:rPr>
      </w:pPr>
      <w:proofErr w:type="spellStart"/>
      <w:r>
        <w:rPr>
          <w:rFonts w:ascii="Times New Roman" w:hAnsi="Times New Roman" w:cs="Times New Roman"/>
          <w:sz w:val="20"/>
          <w:szCs w:val="20"/>
        </w:rPr>
        <w:t>Okonkwo</w:t>
      </w:r>
      <w:proofErr w:type="spellEnd"/>
      <w:r>
        <w:rPr>
          <w:rFonts w:ascii="Times New Roman" w:hAnsi="Times New Roman" w:cs="Times New Roman"/>
          <w:sz w:val="20"/>
          <w:szCs w:val="20"/>
        </w:rPr>
        <w:t xml:space="preserve">, T. M. (1984). Studies on the commercial production, consumption and quality of hot-smoked meat (Banda, </w:t>
      </w:r>
      <w:proofErr w:type="spellStart"/>
      <w:r>
        <w:rPr>
          <w:rFonts w:ascii="Times New Roman" w:hAnsi="Times New Roman" w:cs="Times New Roman"/>
          <w:sz w:val="20"/>
          <w:szCs w:val="20"/>
        </w:rPr>
        <w:t>Anu-Okpo</w:t>
      </w:r>
      <w:proofErr w:type="spellEnd"/>
      <w:r>
        <w:rPr>
          <w:rFonts w:ascii="Times New Roman" w:hAnsi="Times New Roman" w:cs="Times New Roman"/>
          <w:sz w:val="20"/>
          <w:szCs w:val="20"/>
        </w:rPr>
        <w:t xml:space="preserve">) in Nigeria. M. Sc Thesis, University of Nigeria, </w:t>
      </w:r>
      <w:proofErr w:type="spellStart"/>
      <w:r>
        <w:rPr>
          <w:rFonts w:ascii="Times New Roman" w:hAnsi="Times New Roman" w:cs="Times New Roman"/>
          <w:sz w:val="20"/>
          <w:szCs w:val="20"/>
        </w:rPr>
        <w:t>Nsukka</w:t>
      </w:r>
      <w:proofErr w:type="spellEnd"/>
      <w:r>
        <w:rPr>
          <w:rFonts w:ascii="Times New Roman" w:hAnsi="Times New Roman" w:cs="Times New Roman"/>
          <w:sz w:val="20"/>
          <w:szCs w:val="20"/>
        </w:rPr>
        <w:t xml:space="preserve">. </w:t>
      </w:r>
    </w:p>
    <w:p w:rsidR="004B46A1" w:rsidRDefault="004B46A1">
      <w:pPr>
        <w:snapToGrid w:val="0"/>
        <w:jc w:val="both"/>
        <w:rPr>
          <w:sz w:val="20"/>
          <w:szCs w:val="20"/>
        </w:rPr>
        <w:sectPr w:rsidR="004B46A1">
          <w:footnotePr>
            <w:pos w:val="beneathText"/>
          </w:footnotePr>
          <w:type w:val="continuous"/>
          <w:pgSz w:w="12240" w:h="15840"/>
          <w:pgMar w:top="1440" w:right="1440" w:bottom="1440" w:left="1440" w:header="720" w:footer="720" w:gutter="0"/>
          <w:cols w:num="2" w:space="576"/>
          <w:docGrid w:linePitch="360"/>
        </w:sectPr>
      </w:pPr>
    </w:p>
    <w:p w:rsidR="004B46A1" w:rsidRDefault="004B46A1">
      <w:pPr>
        <w:snapToGrid w:val="0"/>
        <w:jc w:val="both"/>
        <w:rPr>
          <w:sz w:val="20"/>
          <w:szCs w:val="20"/>
        </w:rPr>
      </w:pPr>
    </w:p>
    <w:p w:rsidR="004B46A1" w:rsidRDefault="004B46A1">
      <w:pPr>
        <w:snapToGrid w:val="0"/>
        <w:jc w:val="both"/>
        <w:rPr>
          <w:sz w:val="20"/>
          <w:szCs w:val="20"/>
          <w:lang w:eastAsia="zh-CN"/>
        </w:rPr>
      </w:pPr>
    </w:p>
    <w:p w:rsidR="00632F86" w:rsidRDefault="00632F86">
      <w:pPr>
        <w:snapToGrid w:val="0"/>
        <w:jc w:val="both"/>
        <w:rPr>
          <w:sz w:val="20"/>
          <w:szCs w:val="20"/>
          <w:lang w:eastAsia="zh-CN"/>
        </w:rPr>
      </w:pPr>
      <w:r>
        <w:rPr>
          <w:rFonts w:hint="eastAsia"/>
          <w:sz w:val="20"/>
          <w:szCs w:val="20"/>
          <w:lang w:eastAsia="zh-CN"/>
        </w:rPr>
        <w:t>3/1/2022</w:t>
      </w:r>
    </w:p>
    <w:p w:rsidR="00632F86" w:rsidRDefault="00632F86">
      <w:pPr>
        <w:snapToGrid w:val="0"/>
        <w:jc w:val="both"/>
        <w:rPr>
          <w:sz w:val="20"/>
          <w:szCs w:val="20"/>
          <w:lang w:eastAsia="zh-CN"/>
        </w:rPr>
      </w:pPr>
    </w:p>
    <w:p w:rsidR="004B46A1" w:rsidRDefault="004B46A1">
      <w:pPr>
        <w:snapToGrid w:val="0"/>
        <w:rPr>
          <w:rFonts w:eastAsia="微软雅黑"/>
          <w:color w:val="FFFFFF"/>
          <w:sz w:val="20"/>
          <w:szCs w:val="20"/>
          <w:shd w:val="clear" w:color="auto" w:fill="E8F0F8"/>
          <w:lang w:eastAsia="zh-CN"/>
        </w:rPr>
      </w:pPr>
    </w:p>
    <w:sectPr w:rsidR="004B46A1" w:rsidSect="004B46A1">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24" w:rsidRDefault="00002D24">
      <w:r>
        <w:separator/>
      </w:r>
    </w:p>
  </w:endnote>
  <w:endnote w:type="continuationSeparator" w:id="0">
    <w:p w:rsidR="00002D24" w:rsidRDefault="00002D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微软雅黑"/>
    <w:charset w:val="86"/>
    <w:family w:val="auto"/>
    <w:pitch w:val="default"/>
    <w:sig w:usb0="00000000" w:usb1="38CF7CFA" w:usb2="00000016" w:usb3="00000000" w:csb0="0004000F" w:csb1="00000000"/>
  </w:font>
  <w:font w:name="PalatinoLinotype-Roman">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1" w:rsidRDefault="003C73D5">
    <w:pPr>
      <w:pStyle w:val="Footer"/>
      <w:framePr w:wrap="around" w:vAnchor="text" w:hAnchor="margin" w:xAlign="center" w:y="1"/>
      <w:rPr>
        <w:rStyle w:val="PageNumber"/>
      </w:rPr>
    </w:pPr>
    <w:r>
      <w:rPr>
        <w:rStyle w:val="PageNumber"/>
      </w:rPr>
      <w:fldChar w:fldCharType="begin"/>
    </w:r>
    <w:r w:rsidR="00B62C3E">
      <w:rPr>
        <w:rStyle w:val="PageNumber"/>
      </w:rPr>
      <w:instrText xml:space="preserve">PAGE  </w:instrText>
    </w:r>
    <w:r>
      <w:rPr>
        <w:rStyle w:val="PageNumber"/>
      </w:rPr>
      <w:fldChar w:fldCharType="end"/>
    </w:r>
  </w:p>
  <w:p w:rsidR="004B46A1" w:rsidRDefault="004B46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1" w:rsidRDefault="003C73D5">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B46A1" w:rsidRDefault="003C73D5">
                <w:pPr>
                  <w:pStyle w:val="Footer"/>
                  <w:rPr>
                    <w:rStyle w:val="PageNumber"/>
                    <w:sz w:val="20"/>
                    <w:szCs w:val="20"/>
                  </w:rPr>
                </w:pPr>
                <w:r>
                  <w:rPr>
                    <w:rStyle w:val="PageNumber"/>
                    <w:sz w:val="20"/>
                    <w:szCs w:val="20"/>
                  </w:rPr>
                  <w:fldChar w:fldCharType="begin"/>
                </w:r>
                <w:r w:rsidR="00B62C3E">
                  <w:rPr>
                    <w:rStyle w:val="PageNumber"/>
                    <w:sz w:val="20"/>
                    <w:szCs w:val="20"/>
                  </w:rPr>
                  <w:instrText xml:space="preserve">PAGE  </w:instrText>
                </w:r>
                <w:r>
                  <w:rPr>
                    <w:rStyle w:val="PageNumber"/>
                    <w:sz w:val="20"/>
                    <w:szCs w:val="20"/>
                  </w:rPr>
                  <w:fldChar w:fldCharType="separate"/>
                </w:r>
                <w:r w:rsidR="00C64322">
                  <w:rPr>
                    <w:rStyle w:val="PageNumber"/>
                    <w:noProof/>
                    <w:sz w:val="20"/>
                    <w:szCs w:val="20"/>
                  </w:rPr>
                  <w:t>29</w:t>
                </w:r>
                <w:r>
                  <w:rPr>
                    <w:rStyle w:val="PageNumber"/>
                    <w:sz w:val="20"/>
                    <w:szCs w:val="20"/>
                  </w:rPr>
                  <w:fldChar w:fldCharType="end"/>
                </w:r>
              </w:p>
            </w:txbxContent>
          </v:textbox>
          <w10:wrap anchorx="margin"/>
        </v:shape>
      </w:pict>
    </w:r>
    <w:hyperlink r:id="rId1" w:history="1">
      <w:r w:rsidR="00B62C3E">
        <w:rPr>
          <w:rStyle w:val="Hyperlink"/>
          <w:rFonts w:cs="Calibri"/>
          <w:sz w:val="20"/>
          <w:szCs w:val="20"/>
        </w:rPr>
        <w:t>http://www.sciencepub.net</w:t>
      </w:r>
      <w:r w:rsidR="00B62C3E">
        <w:rPr>
          <w:rStyle w:val="Hyperlink"/>
          <w:sz w:val="20"/>
          <w:szCs w:val="20"/>
        </w:rPr>
        <w:t>/newyork</w:t>
      </w:r>
    </w:hyperlink>
    <w:r w:rsidR="00B62C3E">
      <w:rPr>
        <w:bCs/>
        <w:sz w:val="20"/>
      </w:rPr>
      <w:t xml:space="preserve">                        </w:t>
    </w:r>
    <w:r w:rsidR="00B62C3E">
      <w:rPr>
        <w:bCs/>
        <w:sz w:val="20"/>
      </w:rPr>
      <w:tab/>
    </w:r>
    <w:r w:rsidR="00B62C3E">
      <w:rPr>
        <w:bCs/>
        <w:sz w:val="20"/>
      </w:rPr>
      <w:tab/>
    </w:r>
    <w:r w:rsidR="00B62C3E">
      <w:rPr>
        <w:bCs/>
        <w:sz w:val="20"/>
      </w:rPr>
      <w:tab/>
      <w:t xml:space="preserve">                   </w:t>
    </w:r>
    <w:bookmarkStart w:id="3" w:name="OLE_LINK12"/>
    <w:bookmarkStart w:id="4" w:name="OLE_LINK13"/>
    <w:r>
      <w:rPr>
        <w:bCs/>
        <w:sz w:val="20"/>
      </w:rPr>
      <w:fldChar w:fldCharType="begin"/>
    </w:r>
    <w:r w:rsidR="00B62C3E">
      <w:rPr>
        <w:bCs/>
        <w:sz w:val="20"/>
      </w:rPr>
      <w:instrText xml:space="preserve"> HYPERLINK "mailto:newyorksci@gmail.com" </w:instrText>
    </w:r>
    <w:r>
      <w:rPr>
        <w:bCs/>
        <w:sz w:val="20"/>
      </w:rPr>
      <w:fldChar w:fldCharType="separate"/>
    </w:r>
    <w:r w:rsidR="00B62C3E">
      <w:rPr>
        <w:rStyle w:val="Hyperlink"/>
        <w:bCs/>
        <w:sz w:val="20"/>
      </w:rPr>
      <w:t>newyorksci@gmail.com</w:t>
    </w:r>
    <w:bookmarkEnd w:id="3"/>
    <w:bookmarkEnd w:id="4"/>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1" w:rsidRDefault="003C73D5">
    <w:pPr>
      <w:pStyle w:val="Footer"/>
    </w:pPr>
    <w:r>
      <w:pict>
        <v:shapetype id="_x0000_t202" coordsize="21600,21600" o:spt="202" path="m,l,21600r21600,l21600,xe">
          <v:stroke joinstyle="miter"/>
          <v:path gradientshapeok="t" o:connecttype="rect"/>
        </v:shapetype>
        <v:shape id="_x0000_s2050" type="#_x0000_t202" style="position:absolute;margin-left:229pt;margin-top:6.75pt;width:2in;height:2in;z-index:251660288;mso-wrap-style:none;mso-position-horizontal-relative:margin" filled="f" stroked="f">
          <v:textbox style="mso-fit-shape-to-text:t" inset="0,0,0,0">
            <w:txbxContent>
              <w:p w:rsidR="004B46A1" w:rsidRDefault="003C73D5">
                <w:pPr>
                  <w:pStyle w:val="Footer"/>
                </w:pPr>
                <w:r>
                  <w:rPr>
                    <w:sz w:val="20"/>
                    <w:szCs w:val="20"/>
                  </w:rPr>
                  <w:fldChar w:fldCharType="begin"/>
                </w:r>
                <w:r w:rsidR="00B62C3E">
                  <w:rPr>
                    <w:sz w:val="20"/>
                    <w:szCs w:val="20"/>
                  </w:rPr>
                  <w:instrText xml:space="preserve"> PAGE  \* MERGEFORMAT </w:instrText>
                </w:r>
                <w:r>
                  <w:rPr>
                    <w:sz w:val="20"/>
                    <w:szCs w:val="20"/>
                  </w:rPr>
                  <w:fldChar w:fldCharType="separate"/>
                </w:r>
                <w:r w:rsidR="00C64322">
                  <w:rPr>
                    <w:noProof/>
                    <w:sz w:val="20"/>
                    <w:szCs w:val="20"/>
                  </w:rPr>
                  <w:t>28</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24" w:rsidRDefault="00002D24">
      <w:r>
        <w:separator/>
      </w:r>
    </w:p>
  </w:footnote>
  <w:footnote w:type="continuationSeparator" w:id="0">
    <w:p w:rsidR="00002D24" w:rsidRDefault="00002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1" w:rsidRDefault="00B62C3E">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w:t>
    </w:r>
    <w:r w:rsidR="00C64322">
      <w:rPr>
        <w:rFonts w:hint="eastAsia"/>
        <w:sz w:val="20"/>
        <w:szCs w:val="20"/>
        <w:lang w:eastAsia="zh-CN"/>
      </w:rPr>
      <w:t>2</w:t>
    </w:r>
    <w:r>
      <w:rPr>
        <w:sz w:val="20"/>
        <w:szCs w:val="20"/>
      </w:rPr>
      <w:t>;1</w:t>
    </w:r>
    <w:r>
      <w:rPr>
        <w:rFonts w:hint="eastAsia"/>
        <w:sz w:val="20"/>
        <w:szCs w:val="20"/>
        <w:lang w:eastAsia="zh-CN"/>
      </w:rPr>
      <w:t>5</w:t>
    </w:r>
    <w:r>
      <w:rPr>
        <w:sz w:val="20"/>
        <w:szCs w:val="20"/>
      </w:rPr>
      <w:t>(</w:t>
    </w:r>
    <w:r>
      <w:rPr>
        <w:rFonts w:hint="eastAsia"/>
        <w:sz w:val="20"/>
        <w:szCs w:val="20"/>
        <w:lang w:eastAsia="zh-CN"/>
      </w:rPr>
      <w:t>3</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rFonts w:hint="eastAsia"/>
        <w:lang w:eastAsia="zh-CN"/>
      </w:rPr>
      <w:t xml:space="preserve">   </w:t>
    </w:r>
    <w:r>
      <w:rPr>
        <w:b/>
        <w:i/>
        <w:color w:val="FF0000"/>
        <w:sz w:val="20"/>
        <w:szCs w:val="20"/>
        <w:bdr w:val="single" w:sz="4" w:space="0" w:color="FF0000"/>
      </w:rPr>
      <w:t>NYJ</w:t>
    </w:r>
    <w:r>
      <w:rPr>
        <w:rFonts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1" w:rsidRDefault="00B62C3E">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4AAD1"/>
    <w:multiLevelType w:val="multilevel"/>
    <w:tmpl w:val="4BE4AAD1"/>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hdrShapeDefaults>
    <o:shapedefaults v:ext="edit" spidmax="10242"/>
    <o:shapelayout v:ext="edit">
      <o:idmap v:ext="edit" data="2"/>
    </o:shapelayout>
  </w:hdrShapeDefaults>
  <w:footnotePr>
    <w:pos w:val="beneathText"/>
    <w:footnote w:id="-1"/>
    <w:footnote w:id="0"/>
  </w:footnotePr>
  <w:endnotePr>
    <w:endnote w:id="-1"/>
    <w:endnote w:id="0"/>
  </w:endnotePr>
  <w:compat>
    <w:doNotExpandShiftReturn/>
    <w:doNotWrapTextWithPunct/>
    <w:doNotUseEastAsianBreakRules/>
    <w:useFELayout/>
    <w:doNotUseIndentAsNumberingTabStop/>
  </w:compat>
  <w:rsids>
    <w:rsidRoot w:val="005C72BB"/>
    <w:rsid w:val="00002D24"/>
    <w:rsid w:val="001271D1"/>
    <w:rsid w:val="00155C19"/>
    <w:rsid w:val="002600A7"/>
    <w:rsid w:val="00374E6B"/>
    <w:rsid w:val="003C73D5"/>
    <w:rsid w:val="004326B4"/>
    <w:rsid w:val="004B46A1"/>
    <w:rsid w:val="005C72BB"/>
    <w:rsid w:val="00632F86"/>
    <w:rsid w:val="00743667"/>
    <w:rsid w:val="008221F6"/>
    <w:rsid w:val="008B7A43"/>
    <w:rsid w:val="009B65E2"/>
    <w:rsid w:val="00A013C0"/>
    <w:rsid w:val="00B62C3E"/>
    <w:rsid w:val="00C64322"/>
    <w:rsid w:val="00D56138"/>
    <w:rsid w:val="00E701F5"/>
    <w:rsid w:val="00ED2A14"/>
    <w:rsid w:val="00F1165E"/>
    <w:rsid w:val="00FE3C31"/>
    <w:rsid w:val="00FF265D"/>
    <w:rsid w:val="0FDD0B72"/>
    <w:rsid w:val="41C02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A1"/>
    <w:pPr>
      <w:suppressAutoHyphens/>
    </w:pPr>
    <w:rPr>
      <w:sz w:val="24"/>
      <w:szCs w:val="24"/>
      <w:lang w:eastAsia="ar-SA"/>
    </w:rPr>
  </w:style>
  <w:style w:type="paragraph" w:styleId="Heading1">
    <w:name w:val="heading 1"/>
    <w:basedOn w:val="Normal"/>
    <w:next w:val="Normal"/>
    <w:link w:val="Heading1Char"/>
    <w:uiPriority w:val="9"/>
    <w:qFormat/>
    <w:rsid w:val="004B46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46A1"/>
    <w:pPr>
      <w:tabs>
        <w:tab w:val="center" w:pos="4320"/>
        <w:tab w:val="right" w:pos="8640"/>
      </w:tabs>
    </w:pPr>
    <w:rPr>
      <w:sz w:val="32"/>
    </w:rPr>
  </w:style>
  <w:style w:type="paragraph" w:styleId="Header">
    <w:name w:val="header"/>
    <w:basedOn w:val="Normal"/>
    <w:next w:val="Heading1"/>
    <w:link w:val="HeaderChar"/>
    <w:qFormat/>
    <w:rsid w:val="004B46A1"/>
    <w:pPr>
      <w:tabs>
        <w:tab w:val="center" w:pos="4320"/>
        <w:tab w:val="right" w:pos="8640"/>
      </w:tabs>
    </w:pPr>
  </w:style>
  <w:style w:type="table" w:styleId="TableGrid">
    <w:name w:val="Table Grid"/>
    <w:basedOn w:val="TableNormal"/>
    <w:uiPriority w:val="59"/>
    <w:qFormat/>
    <w:rsid w:val="004B46A1"/>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B46A1"/>
  </w:style>
  <w:style w:type="character" w:styleId="Hyperlink">
    <w:name w:val="Hyperlink"/>
    <w:basedOn w:val="DefaultParagraphFont"/>
    <w:rsid w:val="004B46A1"/>
    <w:rPr>
      <w:color w:val="0000FF"/>
      <w:u w:val="single"/>
    </w:rPr>
  </w:style>
  <w:style w:type="character" w:customStyle="1" w:styleId="HeaderChar">
    <w:name w:val="Header Char"/>
    <w:basedOn w:val="DefaultParagraphFont"/>
    <w:link w:val="Header"/>
    <w:qFormat/>
    <w:rsid w:val="004B46A1"/>
    <w:rPr>
      <w:rFonts w:ascii="Times New Roman" w:eastAsia="宋体" w:hAnsi="Times New Roman" w:cs="Times New Roman"/>
      <w:sz w:val="24"/>
      <w:szCs w:val="24"/>
      <w:lang w:eastAsia="ar-SA"/>
    </w:rPr>
  </w:style>
  <w:style w:type="character" w:customStyle="1" w:styleId="FooterChar">
    <w:name w:val="Footer Char"/>
    <w:basedOn w:val="DefaultParagraphFont"/>
    <w:link w:val="Footer"/>
    <w:qFormat/>
    <w:rsid w:val="004B46A1"/>
    <w:rPr>
      <w:rFonts w:ascii="Times New Roman" w:eastAsia="宋体" w:hAnsi="Times New Roman" w:cs="Times New Roman"/>
      <w:sz w:val="32"/>
      <w:szCs w:val="24"/>
      <w:lang w:eastAsia="ar-SA"/>
    </w:rPr>
  </w:style>
  <w:style w:type="character" w:customStyle="1" w:styleId="Heading1Char">
    <w:name w:val="Heading 1 Char"/>
    <w:basedOn w:val="DefaultParagraphFont"/>
    <w:link w:val="Heading1"/>
    <w:uiPriority w:val="9"/>
    <w:qFormat/>
    <w:rsid w:val="004B46A1"/>
    <w:rPr>
      <w:rFonts w:asciiTheme="majorHAnsi" w:eastAsiaTheme="majorEastAsia" w:hAnsiTheme="majorHAnsi" w:cstheme="majorBidi"/>
      <w:color w:val="2F5496" w:themeColor="accent1" w:themeShade="BF"/>
      <w:sz w:val="32"/>
      <w:szCs w:val="32"/>
      <w:lang w:eastAsia="ar-SA"/>
    </w:rPr>
  </w:style>
  <w:style w:type="paragraph" w:styleId="NoSpacing">
    <w:name w:val="No Spacing"/>
    <w:uiPriority w:val="1"/>
    <w:qFormat/>
    <w:rsid w:val="004B46A1"/>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4B46A1"/>
    <w:pPr>
      <w:suppressAutoHyphens w:val="0"/>
      <w:spacing w:after="200" w:line="276" w:lineRule="auto"/>
      <w:ind w:left="720"/>
      <w:contextualSpacing/>
    </w:pPr>
    <w:rPr>
      <w:rFonts w:asciiTheme="minorHAnsi" w:eastAsiaTheme="minorHAnsi" w:hAnsiTheme="minorHAnsi" w:cstheme="minorBidi"/>
      <w:sz w:val="22"/>
      <w:szCs w:val="22"/>
      <w:lang w:val="en-GB" w:eastAsia="en-US"/>
    </w:rPr>
  </w:style>
  <w:style w:type="paragraph" w:styleId="BalloonText">
    <w:name w:val="Balloon Text"/>
    <w:basedOn w:val="Normal"/>
    <w:link w:val="BalloonTextChar"/>
    <w:uiPriority w:val="99"/>
    <w:semiHidden/>
    <w:unhideWhenUsed/>
    <w:rsid w:val="00632F86"/>
    <w:rPr>
      <w:rFonts w:ascii="Tahoma" w:hAnsi="Tahoma" w:cs="Tahoma"/>
      <w:sz w:val="16"/>
      <w:szCs w:val="16"/>
    </w:rPr>
  </w:style>
  <w:style w:type="character" w:customStyle="1" w:styleId="BalloonTextChar">
    <w:name w:val="Balloon Text Char"/>
    <w:basedOn w:val="DefaultParagraphFont"/>
    <w:link w:val="BalloonText"/>
    <w:uiPriority w:val="99"/>
    <w:semiHidden/>
    <w:rsid w:val="00632F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hyperlink" Target="https://cigrjournal.org/index.php/Ejounral/article/view/6679/37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journal/1319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igrjournal.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ademicjournals.org/AJAR" TargetMode="External"/><Relationship Id="rId20" Type="http://schemas.openxmlformats.org/officeDocument/2006/relationships/hyperlink" Target="https://onlinelibrary.wiley.com/doi/pdf/10.1111/jfpe.129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pub.net/newyork/nys141021/05_37483nys141021_27_30.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link.springer.com/article/10.1007/s13197-020-04435-0" TargetMode="External"/><Relationship Id="rId10" Type="http://schemas.openxmlformats.org/officeDocument/2006/relationships/header" Target="header1.xml"/><Relationship Id="rId19" Type="http://schemas.openxmlformats.org/officeDocument/2006/relationships/hyperlink" Target="https://doi.org/10.1111/jfpe.12967" TargetMode="External"/><Relationship Id="rId4" Type="http://schemas.openxmlformats.org/officeDocument/2006/relationships/settings" Target="settings.xml"/><Relationship Id="rId9" Type="http://schemas.openxmlformats.org/officeDocument/2006/relationships/hyperlink" Target="http://www.dx.doi.org/10.7537/marsnys150322.03" TargetMode="External"/><Relationship Id="rId14" Type="http://schemas.openxmlformats.org/officeDocument/2006/relationships/footer" Target="footer3.xml"/><Relationship Id="rId22" Type="http://schemas.openxmlformats.org/officeDocument/2006/relationships/hyperlink" Target="https://doi.org/10.1007/s13197-020-04435-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2935</Words>
  <Characters>16735</Characters>
  <Application>Microsoft Office Word</Application>
  <DocSecurity>0</DocSecurity>
  <Lines>139</Lines>
  <Paragraphs>39</Paragraphs>
  <ScaleCrop>false</ScaleCrop>
  <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Administrator</cp:lastModifiedBy>
  <cp:revision>10</cp:revision>
  <cp:lastPrinted>2022-04-07T06:05:00Z</cp:lastPrinted>
  <dcterms:created xsi:type="dcterms:W3CDTF">2022-03-31T03:09:00Z</dcterms:created>
  <dcterms:modified xsi:type="dcterms:W3CDTF">2022-04-09T01:56:00Z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9506360AC3274A86AD3C1CD64EB2D3BE</vt:lpwstr>
  </property>
</Properties>
</file>