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195" w:rsidRPr="007B6195" w:rsidRDefault="007B6195" w:rsidP="007B6195">
      <w:pPr>
        <w:jc w:val="center"/>
        <w:rPr>
          <w:rFonts w:hint="eastAsia"/>
          <w:b/>
          <w:sz w:val="20"/>
          <w:szCs w:val="20"/>
          <w:lang w:eastAsia="zh-CN"/>
        </w:rPr>
      </w:pPr>
      <w:r w:rsidRPr="007B6195">
        <w:rPr>
          <w:b/>
          <w:sz w:val="20"/>
          <w:szCs w:val="20"/>
        </w:rPr>
        <w:drawing>
          <wp:inline distT="0" distB="0" distL="114300" distR="114300">
            <wp:extent cx="5943600" cy="776242"/>
            <wp:effectExtent l="1905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7" cstate="print"/>
                    <a:stretch>
                      <a:fillRect/>
                    </a:stretch>
                  </pic:blipFill>
                  <pic:spPr>
                    <a:xfrm>
                      <a:off x="0" y="0"/>
                      <a:ext cx="5943600" cy="776242"/>
                    </a:xfrm>
                    <a:prstGeom prst="rect">
                      <a:avLst/>
                    </a:prstGeom>
                    <a:noFill/>
                    <a:ln>
                      <a:noFill/>
                    </a:ln>
                  </pic:spPr>
                </pic:pic>
              </a:graphicData>
            </a:graphic>
          </wp:inline>
        </w:drawing>
      </w:r>
    </w:p>
    <w:p w:rsidR="007B6195" w:rsidRPr="007B6195" w:rsidRDefault="007B6195" w:rsidP="007B6195">
      <w:pPr>
        <w:jc w:val="center"/>
        <w:rPr>
          <w:rFonts w:hint="eastAsia"/>
          <w:b/>
          <w:sz w:val="20"/>
          <w:szCs w:val="20"/>
          <w:lang w:eastAsia="zh-CN"/>
        </w:rPr>
      </w:pPr>
    </w:p>
    <w:p w:rsidR="007B6195" w:rsidRPr="007B6195" w:rsidRDefault="007B6195" w:rsidP="007B6195">
      <w:pPr>
        <w:jc w:val="center"/>
        <w:rPr>
          <w:rFonts w:hint="eastAsia"/>
          <w:b/>
          <w:sz w:val="20"/>
          <w:szCs w:val="20"/>
          <w:lang w:eastAsia="zh-CN"/>
        </w:rPr>
      </w:pPr>
    </w:p>
    <w:p w:rsidR="00471E57" w:rsidRPr="007B6195" w:rsidRDefault="004330E9" w:rsidP="007B6195">
      <w:pPr>
        <w:jc w:val="center"/>
        <w:rPr>
          <w:b/>
          <w:sz w:val="20"/>
          <w:szCs w:val="20"/>
        </w:rPr>
      </w:pPr>
      <w:r w:rsidRPr="007B6195">
        <w:rPr>
          <w:b/>
          <w:sz w:val="20"/>
          <w:szCs w:val="20"/>
        </w:rPr>
        <w:t>Study on the Effects of Particle Size Characteristics on Compaction Parameters of Fine Grained Soils</w:t>
      </w:r>
    </w:p>
    <w:p w:rsidR="00480715" w:rsidRPr="007B6195" w:rsidRDefault="00480715" w:rsidP="007B6195">
      <w:pPr>
        <w:jc w:val="center"/>
        <w:rPr>
          <w:sz w:val="20"/>
          <w:szCs w:val="20"/>
          <w:lang w:eastAsia="zh-CN"/>
        </w:rPr>
      </w:pPr>
    </w:p>
    <w:p w:rsidR="00471E57" w:rsidRPr="007B6195" w:rsidRDefault="004330E9" w:rsidP="007B6195">
      <w:pPr>
        <w:pStyle w:val="ListParagraph"/>
        <w:ind w:left="0"/>
        <w:jc w:val="center"/>
        <w:rPr>
          <w:sz w:val="20"/>
          <w:szCs w:val="20"/>
        </w:rPr>
      </w:pPr>
      <w:r w:rsidRPr="007B6195">
        <w:rPr>
          <w:sz w:val="20"/>
          <w:szCs w:val="20"/>
        </w:rPr>
        <w:t>A.A. Ojo</w:t>
      </w:r>
      <w:r w:rsidR="00471E57" w:rsidRPr="007B6195">
        <w:rPr>
          <w:sz w:val="20"/>
          <w:szCs w:val="20"/>
        </w:rPr>
        <w:t xml:space="preserve">, </w:t>
      </w:r>
      <w:r w:rsidRPr="007B6195">
        <w:rPr>
          <w:sz w:val="20"/>
          <w:szCs w:val="20"/>
        </w:rPr>
        <w:t>A.F. Alasia</w:t>
      </w:r>
      <w:r w:rsidR="00456753" w:rsidRPr="007B6195">
        <w:rPr>
          <w:sz w:val="20"/>
          <w:szCs w:val="20"/>
        </w:rPr>
        <w:t>,</w:t>
      </w:r>
      <w:r w:rsidR="006E6ACB" w:rsidRPr="007B6195">
        <w:rPr>
          <w:sz w:val="20"/>
          <w:szCs w:val="20"/>
        </w:rPr>
        <w:t xml:space="preserve"> </w:t>
      </w:r>
      <w:r w:rsidRPr="007B6195">
        <w:rPr>
          <w:sz w:val="20"/>
          <w:szCs w:val="20"/>
        </w:rPr>
        <w:t>M.O. Olarewaju, G.O. Adunoye</w:t>
      </w:r>
    </w:p>
    <w:p w:rsidR="00471E57" w:rsidRPr="007B6195" w:rsidRDefault="00471E57" w:rsidP="007B6195">
      <w:pPr>
        <w:jc w:val="center"/>
        <w:rPr>
          <w:sz w:val="20"/>
          <w:szCs w:val="20"/>
        </w:rPr>
      </w:pPr>
    </w:p>
    <w:p w:rsidR="00471E57" w:rsidRPr="007B6195" w:rsidRDefault="00593132" w:rsidP="007B6195">
      <w:pPr>
        <w:jc w:val="center"/>
        <w:rPr>
          <w:sz w:val="20"/>
          <w:szCs w:val="20"/>
        </w:rPr>
      </w:pPr>
      <w:r w:rsidRPr="007B6195">
        <w:rPr>
          <w:sz w:val="20"/>
          <w:szCs w:val="20"/>
          <w:vertAlign w:val="superscript"/>
        </w:rPr>
        <w:t>1.</w:t>
      </w:r>
      <w:r w:rsidR="00471E57" w:rsidRPr="007B6195">
        <w:rPr>
          <w:sz w:val="20"/>
          <w:szCs w:val="20"/>
        </w:rPr>
        <w:t xml:space="preserve"> Department of </w:t>
      </w:r>
      <w:r w:rsidR="004330E9" w:rsidRPr="007B6195">
        <w:rPr>
          <w:sz w:val="20"/>
          <w:szCs w:val="20"/>
        </w:rPr>
        <w:t>Civil Engineering, Obafemi Awolowo University, Ile-Ife, Nigeria</w:t>
      </w:r>
    </w:p>
    <w:p w:rsidR="00471E57" w:rsidRPr="007B6195" w:rsidRDefault="00A51405" w:rsidP="007B6195">
      <w:pPr>
        <w:jc w:val="center"/>
        <w:rPr>
          <w:sz w:val="20"/>
          <w:szCs w:val="20"/>
        </w:rPr>
      </w:pPr>
      <w:r w:rsidRPr="007B6195">
        <w:rPr>
          <w:rStyle w:val="Hyperlink"/>
          <w:sz w:val="20"/>
          <w:szCs w:val="20"/>
        </w:rPr>
        <w:t>kayadunoye@yahoo.com</w:t>
      </w:r>
    </w:p>
    <w:p w:rsidR="001817C7" w:rsidRPr="007B6195" w:rsidRDefault="001817C7" w:rsidP="007B6195">
      <w:pPr>
        <w:jc w:val="both"/>
        <w:rPr>
          <w:sz w:val="20"/>
          <w:szCs w:val="20"/>
        </w:rPr>
      </w:pPr>
    </w:p>
    <w:p w:rsidR="005D1DA6" w:rsidRPr="007B6195" w:rsidRDefault="00471E57" w:rsidP="007B6195">
      <w:pPr>
        <w:jc w:val="both"/>
        <w:rPr>
          <w:sz w:val="20"/>
          <w:szCs w:val="20"/>
        </w:rPr>
      </w:pPr>
      <w:r w:rsidRPr="007B6195">
        <w:rPr>
          <w:b/>
          <w:sz w:val="20"/>
          <w:szCs w:val="20"/>
        </w:rPr>
        <w:t xml:space="preserve">Abstract: </w:t>
      </w:r>
      <w:bookmarkStart w:id="0" w:name="OLE_LINK1"/>
      <w:bookmarkStart w:id="1" w:name="OLE_LINK2"/>
      <w:r w:rsidR="003345F7" w:rsidRPr="007B6195">
        <w:rPr>
          <w:sz w:val="20"/>
          <w:szCs w:val="20"/>
        </w:rPr>
        <w:t>Because of the importance of compaction of soil in civil engineering construction works - road construction, foundation, embankments, dams, etc – there has been continuous attempt to study the relationships between easily-determined soil properties and compaction parameters. This study therefore investigated the relationship between particle size characteristics and compaction parameters of fine-grained soils used as fill materials. This was with a view to developing models that could be used for easy and fast determination of compaction parameters of soil. To achieve the aim of the study, lateritic soil samples were obtained from selected locations. Preliminary, particle size analysis and compaction tests were conducted on the soil samples, using standard procedure. Particle size characteristics (effective sizes – D</w:t>
      </w:r>
      <w:r w:rsidR="003345F7" w:rsidRPr="007B6195">
        <w:rPr>
          <w:sz w:val="20"/>
          <w:szCs w:val="20"/>
          <w:vertAlign w:val="subscript"/>
        </w:rPr>
        <w:t>10</w:t>
      </w:r>
      <w:r w:rsidR="003345F7" w:rsidRPr="007B6195">
        <w:rPr>
          <w:sz w:val="20"/>
          <w:szCs w:val="20"/>
        </w:rPr>
        <w:t>, D</w:t>
      </w:r>
      <w:r w:rsidR="003345F7" w:rsidRPr="007B6195">
        <w:rPr>
          <w:sz w:val="20"/>
          <w:szCs w:val="20"/>
          <w:vertAlign w:val="subscript"/>
        </w:rPr>
        <w:t>30</w:t>
      </w:r>
      <w:r w:rsidR="003345F7" w:rsidRPr="007B6195">
        <w:rPr>
          <w:sz w:val="20"/>
          <w:szCs w:val="20"/>
        </w:rPr>
        <w:t>, D</w:t>
      </w:r>
      <w:r w:rsidR="003345F7" w:rsidRPr="007B6195">
        <w:rPr>
          <w:sz w:val="20"/>
          <w:szCs w:val="20"/>
          <w:vertAlign w:val="subscript"/>
        </w:rPr>
        <w:t>60</w:t>
      </w:r>
      <w:r w:rsidR="003345F7" w:rsidRPr="007B6195">
        <w:rPr>
          <w:sz w:val="20"/>
          <w:szCs w:val="20"/>
        </w:rPr>
        <w:t>; coefficient of curvature, C</w:t>
      </w:r>
      <w:r w:rsidR="003345F7" w:rsidRPr="007B6195">
        <w:rPr>
          <w:sz w:val="20"/>
          <w:szCs w:val="20"/>
          <w:vertAlign w:val="subscript"/>
        </w:rPr>
        <w:t>c</w:t>
      </w:r>
      <w:r w:rsidR="003345F7" w:rsidRPr="007B6195">
        <w:rPr>
          <w:sz w:val="20"/>
          <w:szCs w:val="20"/>
        </w:rPr>
        <w:t xml:space="preserve"> and coefficient of uniformity, C</w:t>
      </w:r>
      <w:r w:rsidR="003345F7" w:rsidRPr="007B6195">
        <w:rPr>
          <w:sz w:val="20"/>
          <w:szCs w:val="20"/>
          <w:vertAlign w:val="subscript"/>
        </w:rPr>
        <w:t>u</w:t>
      </w:r>
      <w:r w:rsidR="003345F7" w:rsidRPr="007B6195">
        <w:rPr>
          <w:sz w:val="20"/>
          <w:szCs w:val="20"/>
        </w:rPr>
        <w:t>) were determined from the particle size distribution curves. Using Microsoft Excel and Xuru’s Regression tools, the laboratory test results were used to develop relationships between compaction parameters (optimum moisture content and maximum dry density) and particle size characteristics. Results showed that the optimum moisture content ranged between 6.7 % and 27 %, while the maximum dry density ranged between 1560 kN/m</w:t>
      </w:r>
      <w:r w:rsidR="003345F7" w:rsidRPr="007B6195">
        <w:rPr>
          <w:sz w:val="20"/>
          <w:szCs w:val="20"/>
          <w:vertAlign w:val="superscript"/>
        </w:rPr>
        <w:t>3</w:t>
      </w:r>
      <w:r w:rsidR="003345F7" w:rsidRPr="007B6195">
        <w:rPr>
          <w:sz w:val="20"/>
          <w:szCs w:val="20"/>
        </w:rPr>
        <w:t xml:space="preserve"> and 2260 kN/m</w:t>
      </w:r>
      <w:r w:rsidR="003345F7" w:rsidRPr="007B6195">
        <w:rPr>
          <w:sz w:val="20"/>
          <w:szCs w:val="20"/>
          <w:vertAlign w:val="superscript"/>
        </w:rPr>
        <w:t>3</w:t>
      </w:r>
      <w:r w:rsidR="003345F7" w:rsidRPr="007B6195">
        <w:rPr>
          <w:sz w:val="20"/>
          <w:szCs w:val="20"/>
        </w:rPr>
        <w:t>. The results of regression analysis showed that the combination of D</w:t>
      </w:r>
      <w:r w:rsidR="003345F7" w:rsidRPr="007B6195">
        <w:rPr>
          <w:sz w:val="20"/>
          <w:szCs w:val="20"/>
          <w:vertAlign w:val="subscript"/>
        </w:rPr>
        <w:t>30</w:t>
      </w:r>
      <w:r w:rsidR="003345F7" w:rsidRPr="007B6195">
        <w:rPr>
          <w:sz w:val="20"/>
          <w:szCs w:val="20"/>
        </w:rPr>
        <w:t xml:space="preserve"> and C</w:t>
      </w:r>
      <w:r w:rsidR="003345F7" w:rsidRPr="007B6195">
        <w:rPr>
          <w:sz w:val="20"/>
          <w:szCs w:val="20"/>
          <w:vertAlign w:val="subscript"/>
        </w:rPr>
        <w:t>u</w:t>
      </w:r>
      <w:r w:rsidR="003345F7" w:rsidRPr="007B6195">
        <w:rPr>
          <w:sz w:val="20"/>
          <w:szCs w:val="20"/>
        </w:rPr>
        <w:t xml:space="preserve"> has a strong correlation with maximum dry density (R</w:t>
      </w:r>
      <w:r w:rsidR="003345F7" w:rsidRPr="007B6195">
        <w:rPr>
          <w:sz w:val="20"/>
          <w:szCs w:val="20"/>
          <w:vertAlign w:val="superscript"/>
        </w:rPr>
        <w:t>2</w:t>
      </w:r>
      <w:r w:rsidR="003345F7" w:rsidRPr="007B6195">
        <w:rPr>
          <w:sz w:val="20"/>
          <w:szCs w:val="20"/>
        </w:rPr>
        <w:t xml:space="preserve"> = 0.90; while the combination of D</w:t>
      </w:r>
      <w:r w:rsidR="003345F7" w:rsidRPr="007B6195">
        <w:rPr>
          <w:sz w:val="20"/>
          <w:szCs w:val="20"/>
          <w:vertAlign w:val="subscript"/>
        </w:rPr>
        <w:t>30</w:t>
      </w:r>
      <w:r w:rsidR="003345F7" w:rsidRPr="007B6195">
        <w:rPr>
          <w:sz w:val="20"/>
          <w:szCs w:val="20"/>
        </w:rPr>
        <w:t xml:space="preserve"> and D</w:t>
      </w:r>
      <w:r w:rsidR="003345F7" w:rsidRPr="007B6195">
        <w:rPr>
          <w:sz w:val="20"/>
          <w:szCs w:val="20"/>
          <w:vertAlign w:val="subscript"/>
        </w:rPr>
        <w:t>60</w:t>
      </w:r>
      <w:r w:rsidR="003345F7" w:rsidRPr="007B6195">
        <w:rPr>
          <w:sz w:val="20"/>
          <w:szCs w:val="20"/>
        </w:rPr>
        <w:t xml:space="preserve"> showed a fair correlation with optimum moisture content (R</w:t>
      </w:r>
      <w:r w:rsidR="003345F7" w:rsidRPr="007B6195">
        <w:rPr>
          <w:sz w:val="20"/>
          <w:szCs w:val="20"/>
          <w:vertAlign w:val="superscript"/>
        </w:rPr>
        <w:t>2</w:t>
      </w:r>
      <w:r w:rsidR="003345F7" w:rsidRPr="007B6195">
        <w:rPr>
          <w:sz w:val="20"/>
          <w:szCs w:val="20"/>
        </w:rPr>
        <w:t xml:space="preserve"> = 0.43). The study concluded that D</w:t>
      </w:r>
      <w:r w:rsidR="003345F7" w:rsidRPr="007B6195">
        <w:rPr>
          <w:sz w:val="20"/>
          <w:szCs w:val="20"/>
          <w:vertAlign w:val="subscript"/>
        </w:rPr>
        <w:t>30</w:t>
      </w:r>
      <w:r w:rsidR="003345F7" w:rsidRPr="007B6195">
        <w:rPr>
          <w:sz w:val="20"/>
          <w:szCs w:val="20"/>
        </w:rPr>
        <w:t xml:space="preserve"> and C</w:t>
      </w:r>
      <w:r w:rsidR="003345F7" w:rsidRPr="007B6195">
        <w:rPr>
          <w:sz w:val="20"/>
          <w:szCs w:val="20"/>
          <w:vertAlign w:val="subscript"/>
        </w:rPr>
        <w:t>u</w:t>
      </w:r>
      <w:r w:rsidR="003345F7" w:rsidRPr="007B6195">
        <w:rPr>
          <w:sz w:val="20"/>
          <w:szCs w:val="20"/>
        </w:rPr>
        <w:t xml:space="preserve"> could be used to estimate the maximum dry density of the soils, by applying the developed equation.</w:t>
      </w:r>
      <w:r w:rsidRPr="007B6195">
        <w:rPr>
          <w:sz w:val="20"/>
          <w:szCs w:val="20"/>
        </w:rPr>
        <w:t xml:space="preserve"> </w:t>
      </w:r>
      <w:bookmarkEnd w:id="0"/>
      <w:bookmarkEnd w:id="1"/>
    </w:p>
    <w:p w:rsidR="003246A8" w:rsidRPr="007B6195" w:rsidRDefault="003246A8" w:rsidP="007B6195">
      <w:pPr>
        <w:jc w:val="both"/>
        <w:rPr>
          <w:rFonts w:eastAsia="Times New Roman"/>
          <w:color w:val="0000FF"/>
          <w:sz w:val="20"/>
          <w:szCs w:val="20"/>
          <w:u w:val="single"/>
          <w:lang w:eastAsia="zh-CN"/>
        </w:rPr>
      </w:pPr>
      <w:r w:rsidRPr="007B6195">
        <w:rPr>
          <w:sz w:val="20"/>
          <w:szCs w:val="20"/>
        </w:rPr>
        <w:t>[</w:t>
      </w:r>
      <w:r w:rsidR="003345F7" w:rsidRPr="007B6195">
        <w:rPr>
          <w:sz w:val="20"/>
          <w:szCs w:val="20"/>
        </w:rPr>
        <w:t xml:space="preserve">Ojo, </w:t>
      </w:r>
      <w:r w:rsidR="00145C39" w:rsidRPr="007B6195">
        <w:rPr>
          <w:sz w:val="20"/>
          <w:szCs w:val="20"/>
        </w:rPr>
        <w:t>A.A</w:t>
      </w:r>
      <w:r w:rsidR="003345F7" w:rsidRPr="007B6195">
        <w:rPr>
          <w:sz w:val="20"/>
          <w:szCs w:val="20"/>
        </w:rPr>
        <w:t>., Alasia, A.F., Olarewaju, M.O., Adunoye, G.O.</w:t>
      </w:r>
      <w:r w:rsidRPr="007B6195">
        <w:rPr>
          <w:sz w:val="20"/>
          <w:szCs w:val="20"/>
        </w:rPr>
        <w:t xml:space="preserve"> </w:t>
      </w:r>
      <w:r w:rsidR="003345F7" w:rsidRPr="007B6195">
        <w:rPr>
          <w:b/>
          <w:sz w:val="20"/>
          <w:szCs w:val="20"/>
        </w:rPr>
        <w:t xml:space="preserve">Study on the Effects of Particle Size Characteristics </w:t>
      </w:r>
      <w:r w:rsidR="00063049" w:rsidRPr="007B6195">
        <w:rPr>
          <w:b/>
          <w:sz w:val="20"/>
          <w:szCs w:val="20"/>
        </w:rPr>
        <w:t>on Compaction Parameters of Fine Grained Soils</w:t>
      </w:r>
      <w:r w:rsidRPr="007B6195">
        <w:rPr>
          <w:b/>
          <w:sz w:val="20"/>
          <w:szCs w:val="20"/>
        </w:rPr>
        <w:t>.</w:t>
      </w:r>
      <w:r w:rsidRPr="007B6195">
        <w:rPr>
          <w:sz w:val="20"/>
          <w:szCs w:val="20"/>
        </w:rPr>
        <w:t xml:space="preserve"> </w:t>
      </w:r>
      <w:r w:rsidR="007B6195" w:rsidRPr="007B6195">
        <w:rPr>
          <w:rFonts w:eastAsia="Times New Roman"/>
          <w:bCs/>
          <w:i/>
          <w:sz w:val="20"/>
          <w:szCs w:val="20"/>
        </w:rPr>
        <w:t>N Y Sci J</w:t>
      </w:r>
      <w:r w:rsidR="007B6195" w:rsidRPr="007B6195">
        <w:rPr>
          <w:rFonts w:hint="eastAsia"/>
          <w:bCs/>
          <w:i/>
          <w:sz w:val="20"/>
          <w:szCs w:val="20"/>
          <w:lang w:eastAsia="zh-CN"/>
        </w:rPr>
        <w:t xml:space="preserve"> </w:t>
      </w:r>
      <w:r w:rsidR="007B6195" w:rsidRPr="007B6195">
        <w:rPr>
          <w:sz w:val="20"/>
          <w:szCs w:val="20"/>
        </w:rPr>
        <w:t>20</w:t>
      </w:r>
      <w:r w:rsidR="007B6195" w:rsidRPr="007B6195">
        <w:rPr>
          <w:sz w:val="20"/>
          <w:szCs w:val="20"/>
          <w:lang w:eastAsia="zh-CN"/>
        </w:rPr>
        <w:t>22</w:t>
      </w:r>
      <w:r w:rsidR="007B6195" w:rsidRPr="007B6195">
        <w:rPr>
          <w:sz w:val="20"/>
          <w:szCs w:val="20"/>
        </w:rPr>
        <w:t>;1</w:t>
      </w:r>
      <w:r w:rsidR="007B6195" w:rsidRPr="007B6195">
        <w:rPr>
          <w:sz w:val="20"/>
          <w:szCs w:val="20"/>
          <w:lang w:eastAsia="zh-CN"/>
        </w:rPr>
        <w:t>5</w:t>
      </w:r>
      <w:r w:rsidR="007B6195" w:rsidRPr="007B6195">
        <w:rPr>
          <w:iCs/>
          <w:sz w:val="20"/>
          <w:szCs w:val="20"/>
          <w:lang w:eastAsia="zh-CN"/>
        </w:rPr>
        <w:t>(</w:t>
      </w:r>
      <w:r w:rsidR="007B6195" w:rsidRPr="007B6195">
        <w:rPr>
          <w:rFonts w:hint="eastAsia"/>
          <w:iCs/>
          <w:sz w:val="20"/>
          <w:szCs w:val="20"/>
          <w:lang w:eastAsia="zh-CN"/>
        </w:rPr>
        <w:t>3</w:t>
      </w:r>
      <w:r w:rsidR="007B6195" w:rsidRPr="007B6195">
        <w:rPr>
          <w:sz w:val="20"/>
          <w:szCs w:val="20"/>
        </w:rPr>
        <w:t>):</w:t>
      </w:r>
      <w:r w:rsidR="007B6195" w:rsidRPr="007B6195">
        <w:rPr>
          <w:rFonts w:hint="eastAsia"/>
          <w:sz w:val="20"/>
          <w:szCs w:val="20"/>
          <w:lang w:eastAsia="zh-CN"/>
        </w:rPr>
        <w:t>34</w:t>
      </w:r>
      <w:r w:rsidR="007B6195" w:rsidRPr="007B6195">
        <w:rPr>
          <w:sz w:val="20"/>
          <w:szCs w:val="20"/>
          <w:lang w:eastAsia="zh-CN"/>
        </w:rPr>
        <w:t>-</w:t>
      </w:r>
      <w:r w:rsidR="007B6195">
        <w:rPr>
          <w:rFonts w:hint="eastAsia"/>
          <w:sz w:val="20"/>
          <w:szCs w:val="20"/>
          <w:lang w:eastAsia="zh-CN"/>
        </w:rPr>
        <w:t>40</w:t>
      </w:r>
      <w:r w:rsidR="007B6195" w:rsidRPr="007B6195">
        <w:rPr>
          <w:sz w:val="20"/>
          <w:szCs w:val="20"/>
        </w:rPr>
        <w:t>]</w:t>
      </w:r>
      <w:r w:rsidR="007B6195" w:rsidRPr="007B6195">
        <w:rPr>
          <w:sz w:val="20"/>
          <w:szCs w:val="20"/>
          <w:lang w:eastAsia="zh-CN"/>
        </w:rPr>
        <w:t xml:space="preserve"> </w:t>
      </w:r>
      <w:r w:rsidR="007B6195" w:rsidRPr="007B6195">
        <w:rPr>
          <w:iCs/>
          <w:sz w:val="20"/>
          <w:szCs w:val="20"/>
          <w:lang w:eastAsia="zh-CN"/>
        </w:rPr>
        <w:t>ISSN 1554-0200(print);ISSN 2375-723X</w:t>
      </w:r>
      <w:r w:rsidR="007B6195" w:rsidRPr="007B6195">
        <w:rPr>
          <w:rFonts w:hint="eastAsia"/>
          <w:iCs/>
          <w:sz w:val="20"/>
          <w:szCs w:val="20"/>
          <w:lang w:eastAsia="zh-CN"/>
        </w:rPr>
        <w:t xml:space="preserve"> </w:t>
      </w:r>
      <w:r w:rsidR="007B6195" w:rsidRPr="007B6195">
        <w:rPr>
          <w:iCs/>
          <w:sz w:val="20"/>
          <w:szCs w:val="20"/>
          <w:lang w:eastAsia="zh-CN"/>
        </w:rPr>
        <w:t xml:space="preserve">(online) </w:t>
      </w:r>
      <w:hyperlink r:id="rId8" w:history="1">
        <w:r w:rsidR="007B6195" w:rsidRPr="007B6195">
          <w:rPr>
            <w:rStyle w:val="Hyperlink"/>
            <w:sz w:val="20"/>
            <w:szCs w:val="20"/>
          </w:rPr>
          <w:t>http://www.sciencepub.net/newyork</w:t>
        </w:r>
      </w:hyperlink>
      <w:r w:rsidR="007B6195" w:rsidRPr="007B6195">
        <w:rPr>
          <w:color w:val="0000FF"/>
          <w:sz w:val="20"/>
          <w:szCs w:val="20"/>
          <w:lang w:eastAsia="zh-CN"/>
        </w:rPr>
        <w:t xml:space="preserve">. </w:t>
      </w:r>
      <w:r w:rsidR="007B6195" w:rsidRPr="007B6195">
        <w:rPr>
          <w:rFonts w:hint="eastAsia"/>
          <w:color w:val="0000FF"/>
          <w:sz w:val="20"/>
          <w:szCs w:val="20"/>
          <w:lang w:eastAsia="zh-CN"/>
        </w:rPr>
        <w:t xml:space="preserve">3. </w:t>
      </w:r>
      <w:r w:rsidR="007B6195" w:rsidRPr="007B6195">
        <w:rPr>
          <w:color w:val="3A42EF"/>
          <w:sz w:val="20"/>
          <w:szCs w:val="20"/>
          <w:u w:val="single"/>
          <w:shd w:val="clear" w:color="auto" w:fill="FFFFFF"/>
        </w:rPr>
        <w:t>doi:</w:t>
      </w:r>
      <w:hyperlink r:id="rId9" w:history="1">
        <w:r w:rsidR="007B6195" w:rsidRPr="007B6195">
          <w:rPr>
            <w:rStyle w:val="Hyperlink"/>
            <w:sz w:val="20"/>
            <w:szCs w:val="20"/>
            <w:shd w:val="clear" w:color="auto" w:fill="FFFFFF"/>
          </w:rPr>
          <w:t>10.7537/marsnys150322.0</w:t>
        </w:r>
        <w:r w:rsidR="007B6195" w:rsidRPr="007B6195">
          <w:rPr>
            <w:rStyle w:val="Hyperlink"/>
            <w:rFonts w:hint="eastAsia"/>
            <w:sz w:val="20"/>
            <w:szCs w:val="20"/>
            <w:shd w:val="clear" w:color="auto" w:fill="FFFFFF"/>
            <w:lang w:eastAsia="zh-CN"/>
          </w:rPr>
          <w:t>4</w:t>
        </w:r>
      </w:hyperlink>
    </w:p>
    <w:p w:rsidR="001817C7" w:rsidRPr="007B6195" w:rsidRDefault="001817C7" w:rsidP="007B6195">
      <w:pPr>
        <w:jc w:val="both"/>
        <w:rPr>
          <w:sz w:val="20"/>
          <w:szCs w:val="20"/>
        </w:rPr>
      </w:pPr>
    </w:p>
    <w:p w:rsidR="001817C7" w:rsidRPr="007B6195" w:rsidRDefault="001817C7" w:rsidP="007B6195">
      <w:pPr>
        <w:jc w:val="both"/>
        <w:rPr>
          <w:sz w:val="20"/>
          <w:szCs w:val="20"/>
        </w:rPr>
      </w:pPr>
      <w:r w:rsidRPr="007B6195">
        <w:rPr>
          <w:b/>
          <w:sz w:val="20"/>
          <w:szCs w:val="20"/>
        </w:rPr>
        <w:t xml:space="preserve">Keywords: </w:t>
      </w:r>
      <w:r w:rsidR="00494C81" w:rsidRPr="007B6195">
        <w:rPr>
          <w:sz w:val="20"/>
          <w:szCs w:val="20"/>
        </w:rPr>
        <w:t>Compaction, dry density, effective size, particle size, uniformity coefficient</w:t>
      </w:r>
    </w:p>
    <w:p w:rsidR="001817C7" w:rsidRPr="007B6195" w:rsidRDefault="001817C7" w:rsidP="007B6195">
      <w:pPr>
        <w:jc w:val="both"/>
        <w:rPr>
          <w:sz w:val="20"/>
          <w:szCs w:val="20"/>
        </w:rPr>
      </w:pPr>
    </w:p>
    <w:p w:rsidR="002F20CD" w:rsidRPr="007B6195" w:rsidRDefault="002F20CD" w:rsidP="007B6195">
      <w:pPr>
        <w:jc w:val="both"/>
        <w:rPr>
          <w:rFonts w:hint="eastAsia"/>
          <w:b/>
          <w:sz w:val="20"/>
          <w:szCs w:val="20"/>
          <w:lang w:eastAsia="zh-CN"/>
        </w:rPr>
      </w:pPr>
    </w:p>
    <w:p w:rsidR="007B6195" w:rsidRPr="007B6195" w:rsidRDefault="007B6195" w:rsidP="007B6195">
      <w:pPr>
        <w:jc w:val="both"/>
        <w:rPr>
          <w:rFonts w:hint="eastAsia"/>
          <w:b/>
          <w:sz w:val="20"/>
          <w:szCs w:val="20"/>
          <w:lang w:eastAsia="zh-CN"/>
        </w:rPr>
        <w:sectPr w:rsidR="007B6195" w:rsidRPr="007B6195" w:rsidSect="007B6195">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34"/>
          <w:cols w:space="720"/>
          <w:docGrid w:linePitch="360"/>
        </w:sectPr>
      </w:pPr>
    </w:p>
    <w:p w:rsidR="00471E57" w:rsidRPr="007B6195" w:rsidRDefault="00471E57" w:rsidP="007B6195">
      <w:pPr>
        <w:jc w:val="both"/>
        <w:rPr>
          <w:b/>
          <w:sz w:val="20"/>
          <w:szCs w:val="20"/>
        </w:rPr>
      </w:pPr>
      <w:r w:rsidRPr="007B6195">
        <w:rPr>
          <w:b/>
          <w:sz w:val="20"/>
          <w:szCs w:val="20"/>
        </w:rPr>
        <w:lastRenderedPageBreak/>
        <w:t>1. Introduction</w:t>
      </w:r>
    </w:p>
    <w:p w:rsidR="00EA326C" w:rsidRPr="007B6195" w:rsidRDefault="00EA326C" w:rsidP="007B6195">
      <w:pPr>
        <w:pStyle w:val="Default"/>
        <w:ind w:firstLine="720"/>
        <w:jc w:val="both"/>
        <w:rPr>
          <w:sz w:val="20"/>
          <w:szCs w:val="20"/>
        </w:rPr>
      </w:pPr>
      <w:r w:rsidRPr="007B6195">
        <w:rPr>
          <w:sz w:val="20"/>
          <w:szCs w:val="20"/>
        </w:rPr>
        <w:t xml:space="preserve">Soil is generally categorised as either coarse-grained (gravel and sand) or fined-grained (clay and silt). The characteristics of the coarse grained material are mostly controlled by grain size as well as grain size distribution, and sometimes by particle shape; while the characteristics of fine-grained soil are also governed by clay mineral as well as water content (Peterson, 1946). </w:t>
      </w:r>
    </w:p>
    <w:p w:rsidR="00EA326C" w:rsidRPr="007B6195" w:rsidRDefault="00EA326C" w:rsidP="007B6195">
      <w:pPr>
        <w:pStyle w:val="Default"/>
        <w:ind w:firstLine="720"/>
        <w:jc w:val="both"/>
        <w:rPr>
          <w:sz w:val="20"/>
          <w:szCs w:val="20"/>
        </w:rPr>
      </w:pPr>
      <w:r w:rsidRPr="007B6195">
        <w:rPr>
          <w:sz w:val="20"/>
          <w:szCs w:val="20"/>
        </w:rPr>
        <w:t>Some soils contain a wide range of particle size (referred</w:t>
      </w:r>
      <w:r w:rsidR="00CD064C" w:rsidRPr="007B6195">
        <w:rPr>
          <w:sz w:val="20"/>
          <w:szCs w:val="20"/>
        </w:rPr>
        <w:t xml:space="preserve"> to</w:t>
      </w:r>
      <w:r w:rsidRPr="007B6195">
        <w:rPr>
          <w:sz w:val="20"/>
          <w:szCs w:val="20"/>
        </w:rPr>
        <w:t xml:space="preserve"> as well graded) while others formed by several particle sizes (referred to as gap-graded) and a narrow range of particle size (referred to as uniform graded). The structural arrangement of the particles may be loose, medium dense or dense, depending on the packing of the material. According to Worku and Shiferaw (2004), particle sizes provide quantitative data on the range of sizes of particles and the relative proportions, by weight, of each size. From </w:t>
      </w:r>
      <w:r w:rsidRPr="007B6195">
        <w:rPr>
          <w:bCs/>
          <w:sz w:val="20"/>
          <w:szCs w:val="20"/>
        </w:rPr>
        <w:lastRenderedPageBreak/>
        <w:t xml:space="preserve">particle sizes, </w:t>
      </w:r>
      <w:r w:rsidRPr="007B6195">
        <w:rPr>
          <w:sz w:val="20"/>
          <w:szCs w:val="20"/>
        </w:rPr>
        <w:t xml:space="preserve">it is possible to tell whether the soil consists of predominantly gravel, sand, silt or clay sizes and to a limited extent which of these size ranges is likely to control the engineering properties. The sizes of the soil particles, especially in granular soils, have some effect on the engineering behaviour of a given soil (Masih, 2000). </w:t>
      </w:r>
    </w:p>
    <w:p w:rsidR="00EA326C" w:rsidRPr="007B6195" w:rsidRDefault="00EA326C" w:rsidP="007B6195">
      <w:pPr>
        <w:pStyle w:val="Default"/>
        <w:ind w:firstLine="720"/>
        <w:jc w:val="both"/>
        <w:rPr>
          <w:sz w:val="20"/>
          <w:szCs w:val="20"/>
        </w:rPr>
      </w:pPr>
      <w:r w:rsidRPr="007B6195">
        <w:rPr>
          <w:sz w:val="20"/>
          <w:szCs w:val="20"/>
        </w:rPr>
        <w:t>Compaction of soil is a process of densifying the soil by application of stress which causes expulsion of air in the interstices of soil mass. Compaction of soil is one of the important geotechnical engineering applications in the development of infrastructure projects - construction of roads, flyovers retaining structures and many land reclamation works (</w:t>
      </w:r>
      <w:r w:rsidRPr="007B6195">
        <w:rPr>
          <w:bCs/>
          <w:sz w:val="20"/>
          <w:szCs w:val="20"/>
        </w:rPr>
        <w:t>Ratnam and Prasad, 2019)</w:t>
      </w:r>
      <w:r w:rsidRPr="007B6195">
        <w:rPr>
          <w:sz w:val="20"/>
          <w:szCs w:val="20"/>
        </w:rPr>
        <w:t xml:space="preserve">. As a matter of fact, compaction of soil has applications in almost every field of civil engineering involving soil. The strength and durability of the foundation strata are dependent on the quality of compaction i.e., method of </w:t>
      </w:r>
      <w:r w:rsidRPr="007B6195">
        <w:rPr>
          <w:sz w:val="20"/>
          <w:szCs w:val="20"/>
        </w:rPr>
        <w:lastRenderedPageBreak/>
        <w:t xml:space="preserve">compaction and the characteristics of the soils used. This means that compaction properties play a big role in deciding strength and durability of foundation material, fill material, etc. It is therefore essential to assess the suitability of soils with respect to the compaction parameters.  The compaction parameters of a soil as obtained from a laboratory compaction test are maximum dry density (MDD) and optimum moisture content (OMC). It has been observed that these compaction </w:t>
      </w:r>
      <w:r w:rsidR="00CD064C" w:rsidRPr="007B6195">
        <w:rPr>
          <w:sz w:val="20"/>
          <w:szCs w:val="20"/>
        </w:rPr>
        <w:t>parameters</w:t>
      </w:r>
      <w:r w:rsidRPr="007B6195">
        <w:rPr>
          <w:sz w:val="20"/>
          <w:szCs w:val="20"/>
        </w:rPr>
        <w:t xml:space="preserve"> depend on the nature of soil</w:t>
      </w:r>
      <w:r w:rsidR="00B810A8" w:rsidRPr="007B6195">
        <w:rPr>
          <w:sz w:val="20"/>
          <w:szCs w:val="20"/>
        </w:rPr>
        <w:t>,</w:t>
      </w:r>
      <w:r w:rsidRPr="007B6195">
        <w:rPr>
          <w:sz w:val="20"/>
          <w:szCs w:val="20"/>
        </w:rPr>
        <w:t xml:space="preserve"> including grain size distribution and plasticity characteristics (Kumar </w:t>
      </w:r>
      <w:r w:rsidRPr="007B6195">
        <w:rPr>
          <w:i/>
          <w:sz w:val="20"/>
          <w:szCs w:val="20"/>
        </w:rPr>
        <w:t>et. al</w:t>
      </w:r>
      <w:r w:rsidRPr="007B6195">
        <w:rPr>
          <w:sz w:val="20"/>
          <w:szCs w:val="20"/>
        </w:rPr>
        <w:t>, 2018).</w:t>
      </w:r>
    </w:p>
    <w:p w:rsidR="00EA326C" w:rsidRPr="007B6195" w:rsidRDefault="00EA326C" w:rsidP="007B6195">
      <w:pPr>
        <w:autoSpaceDE w:val="0"/>
        <w:autoSpaceDN w:val="0"/>
        <w:adjustRightInd w:val="0"/>
        <w:ind w:firstLine="720"/>
        <w:jc w:val="both"/>
        <w:rPr>
          <w:color w:val="000000"/>
          <w:sz w:val="20"/>
          <w:szCs w:val="20"/>
        </w:rPr>
      </w:pPr>
      <w:r w:rsidRPr="007B6195">
        <w:rPr>
          <w:color w:val="000000"/>
          <w:sz w:val="20"/>
          <w:szCs w:val="20"/>
        </w:rPr>
        <w:t>Thus, for a civil engineer, it is very essential to know the compaction p</w:t>
      </w:r>
      <w:r w:rsidR="00B810A8" w:rsidRPr="007B6195">
        <w:rPr>
          <w:color w:val="000000"/>
          <w:sz w:val="20"/>
          <w:szCs w:val="20"/>
        </w:rPr>
        <w:t>arameters</w:t>
      </w:r>
      <w:r w:rsidRPr="007B6195">
        <w:rPr>
          <w:color w:val="000000"/>
          <w:sz w:val="20"/>
          <w:szCs w:val="20"/>
        </w:rPr>
        <w:t xml:space="preserve"> of natural soils, and thereby assess their suitability. In such situations, to obtain compaction p</w:t>
      </w:r>
      <w:r w:rsidR="00B810A8" w:rsidRPr="007B6195">
        <w:rPr>
          <w:color w:val="000000"/>
          <w:sz w:val="20"/>
          <w:szCs w:val="20"/>
        </w:rPr>
        <w:t>arameters</w:t>
      </w:r>
      <w:r w:rsidRPr="007B6195">
        <w:rPr>
          <w:color w:val="000000"/>
          <w:sz w:val="20"/>
          <w:szCs w:val="20"/>
        </w:rPr>
        <w:t>, one has to carry out a laboratory compaction test. But laboratory compaction test requires sufficient time and effort. For a preliminary assessment of the suitability of soils required for large project, it is desirable to develop correlations of compaction properties with simple physical or index properties, which are obtained through simple tests known as index tests. Correlations making use of index properties can be quite useful (AASHTO, 2003).</w:t>
      </w:r>
    </w:p>
    <w:p w:rsidR="00EA326C" w:rsidRPr="007B6195" w:rsidRDefault="00EA326C" w:rsidP="007B6195">
      <w:pPr>
        <w:autoSpaceDE w:val="0"/>
        <w:autoSpaceDN w:val="0"/>
        <w:adjustRightInd w:val="0"/>
        <w:ind w:firstLine="720"/>
        <w:jc w:val="both"/>
        <w:rPr>
          <w:sz w:val="20"/>
          <w:szCs w:val="20"/>
        </w:rPr>
      </w:pPr>
      <w:r w:rsidRPr="007B6195">
        <w:rPr>
          <w:sz w:val="20"/>
          <w:szCs w:val="20"/>
        </w:rPr>
        <w:t>There is therefore a growing research interest on the prediction of soil properties using mainly grain size distributions, void ratios, and soil particle characteristics (Marquette University, 2000). Studies have been done in the past to establish relationships between the compaction p</w:t>
      </w:r>
      <w:r w:rsidR="00B810A8" w:rsidRPr="007B6195">
        <w:rPr>
          <w:sz w:val="20"/>
          <w:szCs w:val="20"/>
        </w:rPr>
        <w:t>arameters</w:t>
      </w:r>
      <w:r w:rsidRPr="007B6195">
        <w:rPr>
          <w:sz w:val="20"/>
          <w:szCs w:val="20"/>
        </w:rPr>
        <w:t xml:space="preserve"> and simple soil properties like the grain-size distribution. The objective has been to predict the compaction </w:t>
      </w:r>
      <w:r w:rsidR="00B810A8" w:rsidRPr="007B6195">
        <w:rPr>
          <w:sz w:val="20"/>
          <w:szCs w:val="20"/>
        </w:rPr>
        <w:t>parameters</w:t>
      </w:r>
      <w:r w:rsidRPr="007B6195">
        <w:rPr>
          <w:sz w:val="20"/>
          <w:szCs w:val="20"/>
        </w:rPr>
        <w:t xml:space="preserve"> for quick applications, without the need to perform laborious compaction tests.</w:t>
      </w:r>
    </w:p>
    <w:p w:rsidR="00EA326C" w:rsidRPr="007B6195" w:rsidRDefault="00EA326C" w:rsidP="007B6195">
      <w:pPr>
        <w:autoSpaceDE w:val="0"/>
        <w:autoSpaceDN w:val="0"/>
        <w:adjustRightInd w:val="0"/>
        <w:ind w:firstLine="720"/>
        <w:jc w:val="both"/>
        <w:rPr>
          <w:color w:val="000000"/>
          <w:sz w:val="20"/>
          <w:szCs w:val="20"/>
        </w:rPr>
      </w:pPr>
      <w:r w:rsidRPr="007B6195">
        <w:rPr>
          <w:iCs/>
          <w:sz w:val="20"/>
          <w:szCs w:val="20"/>
        </w:rPr>
        <w:t xml:space="preserve">Worku and </w:t>
      </w:r>
      <w:r w:rsidRPr="007B6195">
        <w:rPr>
          <w:bCs/>
          <w:sz w:val="20"/>
          <w:szCs w:val="20"/>
        </w:rPr>
        <w:t xml:space="preserve">Shiferaw (2004) predicted the MDD of granular fill materials using </w:t>
      </w:r>
      <w:r w:rsidRPr="007B6195">
        <w:rPr>
          <w:iCs/>
          <w:sz w:val="20"/>
          <w:szCs w:val="20"/>
        </w:rPr>
        <w:t>the specific gravity and the gradation coefficients that characterised the grain size distribution of the soil samples. They observed that, for the tested samples, a strong correlation existed between the MDD and the specific gravity; while there was a weak correlation between the MDD and the gradation coefficients (C</w:t>
      </w:r>
      <w:r w:rsidRPr="007B6195">
        <w:rPr>
          <w:iCs/>
          <w:sz w:val="20"/>
          <w:szCs w:val="20"/>
          <w:vertAlign w:val="subscript"/>
        </w:rPr>
        <w:t>c</w:t>
      </w:r>
      <w:r w:rsidRPr="007B6195">
        <w:rPr>
          <w:iCs/>
          <w:sz w:val="20"/>
          <w:szCs w:val="20"/>
        </w:rPr>
        <w:t xml:space="preserve"> and C</w:t>
      </w:r>
      <w:r w:rsidRPr="007B6195">
        <w:rPr>
          <w:iCs/>
          <w:sz w:val="20"/>
          <w:szCs w:val="20"/>
          <w:vertAlign w:val="subscript"/>
        </w:rPr>
        <w:t>u</w:t>
      </w:r>
      <w:r w:rsidRPr="007B6195">
        <w:rPr>
          <w:iCs/>
          <w:sz w:val="20"/>
          <w:szCs w:val="20"/>
        </w:rPr>
        <w:t xml:space="preserve">) </w:t>
      </w:r>
      <w:r w:rsidRPr="007B6195">
        <w:rPr>
          <w:sz w:val="20"/>
          <w:szCs w:val="20"/>
        </w:rPr>
        <w:t xml:space="preserve">is </w:t>
      </w:r>
      <w:r w:rsidRPr="007B6195">
        <w:rPr>
          <w:iCs/>
          <w:sz w:val="20"/>
          <w:szCs w:val="20"/>
        </w:rPr>
        <w:t>weak. They also observed that, a test on a soil of relatively high solid density showed that the developed relation looses its power of prediction when applied on soils of specific gravity beyond the range studied.</w:t>
      </w:r>
    </w:p>
    <w:p w:rsidR="00EA326C" w:rsidRPr="007B6195" w:rsidRDefault="00EA326C" w:rsidP="007B6195">
      <w:pPr>
        <w:autoSpaceDE w:val="0"/>
        <w:autoSpaceDN w:val="0"/>
        <w:adjustRightInd w:val="0"/>
        <w:ind w:firstLine="720"/>
        <w:jc w:val="both"/>
        <w:rPr>
          <w:sz w:val="20"/>
          <w:szCs w:val="20"/>
        </w:rPr>
      </w:pPr>
      <w:r w:rsidRPr="007B6195">
        <w:rPr>
          <w:sz w:val="20"/>
          <w:szCs w:val="20"/>
        </w:rPr>
        <w:t xml:space="preserve">Mujtaba </w:t>
      </w:r>
      <w:r w:rsidRPr="007B6195">
        <w:rPr>
          <w:i/>
          <w:sz w:val="20"/>
          <w:szCs w:val="20"/>
        </w:rPr>
        <w:t>et al</w:t>
      </w:r>
      <w:r w:rsidRPr="007B6195">
        <w:rPr>
          <w:sz w:val="20"/>
          <w:szCs w:val="20"/>
        </w:rPr>
        <w:t xml:space="preserve"> (2013) developed a predictive model between gradation characteristics, compaction</w:t>
      </w:r>
    </w:p>
    <w:p w:rsidR="00EA326C" w:rsidRPr="007B6195" w:rsidRDefault="00EA326C" w:rsidP="007B6195">
      <w:pPr>
        <w:autoSpaceDE w:val="0"/>
        <w:autoSpaceDN w:val="0"/>
        <w:adjustRightInd w:val="0"/>
        <w:jc w:val="both"/>
        <w:rPr>
          <w:color w:val="000000"/>
          <w:sz w:val="20"/>
          <w:szCs w:val="20"/>
        </w:rPr>
      </w:pPr>
      <w:r w:rsidRPr="007B6195">
        <w:rPr>
          <w:sz w:val="20"/>
          <w:szCs w:val="20"/>
        </w:rPr>
        <w:t xml:space="preserve">energy (CE), and compaction parameters (MDD and OMC) of sandy soils. The multiple regression analyses carried out on the experimental data yielded a </w:t>
      </w:r>
      <w:r w:rsidRPr="007B6195">
        <w:rPr>
          <w:sz w:val="20"/>
          <w:szCs w:val="20"/>
        </w:rPr>
        <w:lastRenderedPageBreak/>
        <w:t>predictive model to express compaction parameters in terms of C</w:t>
      </w:r>
      <w:r w:rsidRPr="007B6195">
        <w:rPr>
          <w:sz w:val="20"/>
          <w:szCs w:val="20"/>
          <w:vertAlign w:val="subscript"/>
        </w:rPr>
        <w:t>u</w:t>
      </w:r>
      <w:r w:rsidRPr="007B6195">
        <w:rPr>
          <w:sz w:val="20"/>
          <w:szCs w:val="20"/>
        </w:rPr>
        <w:t xml:space="preserve"> and CE. After validating the developed models, they observed that, the variation between experimental and predicted values of MDD is within the +-5 % confidence interval, and that of the OMC is within +-3.0. They concluded that the proposed models are useful for quick estimation of MDD and OMC without performing the laboratory compaction tests.</w:t>
      </w:r>
    </w:p>
    <w:p w:rsidR="00EA326C" w:rsidRPr="007B6195" w:rsidRDefault="00EA326C" w:rsidP="007B6195">
      <w:pPr>
        <w:pStyle w:val="Default"/>
        <w:ind w:firstLine="720"/>
        <w:jc w:val="both"/>
        <w:rPr>
          <w:sz w:val="20"/>
          <w:szCs w:val="20"/>
        </w:rPr>
      </w:pPr>
      <w:r w:rsidRPr="007B6195">
        <w:rPr>
          <w:sz w:val="20"/>
          <w:szCs w:val="20"/>
        </w:rPr>
        <w:t xml:space="preserve">Kumar </w:t>
      </w:r>
      <w:r w:rsidRPr="007B6195">
        <w:rPr>
          <w:i/>
          <w:sz w:val="20"/>
          <w:szCs w:val="20"/>
        </w:rPr>
        <w:t>et al</w:t>
      </w:r>
      <w:r w:rsidRPr="007B6195">
        <w:rPr>
          <w:sz w:val="20"/>
          <w:szCs w:val="20"/>
        </w:rPr>
        <w:t xml:space="preserve"> (2018) employed gradation and plasticity characteristics (i.e. grain size distribution and plasticity index) to predict the compaction parameters of red soils. They concluded, among others, that the models developed by multi linear regression analysis (MLRA) for correlating OMC and MDD values with gradation have shown strong relationships. </w:t>
      </w:r>
    </w:p>
    <w:p w:rsidR="00471E57" w:rsidRPr="007B6195" w:rsidRDefault="00EA326C" w:rsidP="007B6195">
      <w:pPr>
        <w:ind w:firstLine="720"/>
        <w:jc w:val="both"/>
        <w:rPr>
          <w:sz w:val="20"/>
          <w:szCs w:val="20"/>
        </w:rPr>
      </w:pPr>
      <w:r w:rsidRPr="007B6195">
        <w:rPr>
          <w:sz w:val="20"/>
          <w:szCs w:val="20"/>
        </w:rPr>
        <w:t xml:space="preserve">The purpose of compacting earth fills such as earthen dams, embankments in highway, railway and canal constructions is to produce a soil mass that will result in increasing the strength and stability apart from reducing the permeability. For preliminary design and assessment, correlations with simple index properties have been attempted by various investigators. Though many a researcher focused on developing empirical correlations between basic properties and compaction </w:t>
      </w:r>
      <w:r w:rsidR="00B810A8" w:rsidRPr="007B6195">
        <w:rPr>
          <w:sz w:val="20"/>
          <w:szCs w:val="20"/>
        </w:rPr>
        <w:t>parameters</w:t>
      </w:r>
      <w:r w:rsidRPr="007B6195">
        <w:rPr>
          <w:sz w:val="20"/>
          <w:szCs w:val="20"/>
        </w:rPr>
        <w:t xml:space="preserve">, it has not yet been possible to bring out the functional relationships in a unified and coherent manner. This study therefore seeks to add to the body of knowledge on the development of relationships between particle characteristics and compaction parameters of soils. This work presents the concluding part of a study reported earlier (Adunoye </w:t>
      </w:r>
      <w:r w:rsidRPr="007B6195">
        <w:rPr>
          <w:i/>
          <w:sz w:val="20"/>
          <w:szCs w:val="20"/>
        </w:rPr>
        <w:t>et al</w:t>
      </w:r>
      <w:r w:rsidRPr="007B6195">
        <w:rPr>
          <w:sz w:val="20"/>
          <w:szCs w:val="20"/>
        </w:rPr>
        <w:t>, 2020). The specific objectives were to: (i) characterize selected soil samples; (ii) determine the compaction parameters of the soil samples; and (iii) develop quantitative relationships between particle size characteristics and compaction parameters.</w:t>
      </w:r>
      <w:r w:rsidR="00471E57" w:rsidRPr="007B6195">
        <w:rPr>
          <w:sz w:val="20"/>
          <w:szCs w:val="20"/>
        </w:rPr>
        <w:t xml:space="preserve"> </w:t>
      </w:r>
    </w:p>
    <w:p w:rsidR="00EA326C" w:rsidRPr="007B6195" w:rsidRDefault="00EA326C" w:rsidP="007B6195">
      <w:pPr>
        <w:ind w:firstLine="720"/>
        <w:jc w:val="both"/>
        <w:rPr>
          <w:sz w:val="20"/>
          <w:szCs w:val="20"/>
        </w:rPr>
      </w:pPr>
    </w:p>
    <w:p w:rsidR="00EA326C" w:rsidRPr="007B6195" w:rsidRDefault="00EA326C" w:rsidP="007B6195">
      <w:pPr>
        <w:jc w:val="both"/>
        <w:rPr>
          <w:b/>
          <w:sz w:val="20"/>
          <w:szCs w:val="20"/>
        </w:rPr>
      </w:pPr>
      <w:r w:rsidRPr="007B6195">
        <w:rPr>
          <w:b/>
          <w:sz w:val="20"/>
          <w:szCs w:val="20"/>
        </w:rPr>
        <w:t>Description and geology of the study area</w:t>
      </w:r>
    </w:p>
    <w:p w:rsidR="00471E57" w:rsidRPr="007B6195" w:rsidRDefault="00F544A3" w:rsidP="007B6195">
      <w:pPr>
        <w:ind w:firstLine="720"/>
        <w:jc w:val="both"/>
        <w:rPr>
          <w:sz w:val="20"/>
          <w:szCs w:val="20"/>
        </w:rPr>
      </w:pPr>
      <w:r w:rsidRPr="007B6195">
        <w:rPr>
          <w:sz w:val="20"/>
          <w:szCs w:val="20"/>
        </w:rPr>
        <w:t xml:space="preserve">The study area is the Obafemi Awolowo University (OAU) campus, Ile-Ife, Southwestern Nigeria (Figure 1). Ile –Ife lies between Latitudes 7°28’0’’N and 7°45’0’’N and Longitudes 4°30’0’’E and 4°34’0’’E. The OAU campus is located within the Ife-Ilesha Schist Belt. The campus falls within the Basement Complex area of Nigeria (Durotoye, 1983). The rock types are primarily made up of Gneisses and Mica Schists into which some minor granitic and basic rocks have intruded (Boesse, 1989; Adunoye </w:t>
      </w:r>
      <w:r w:rsidRPr="007B6195">
        <w:rPr>
          <w:i/>
          <w:sz w:val="20"/>
          <w:szCs w:val="20"/>
        </w:rPr>
        <w:t>et al</w:t>
      </w:r>
      <w:r w:rsidRPr="007B6195">
        <w:rPr>
          <w:sz w:val="20"/>
          <w:szCs w:val="20"/>
        </w:rPr>
        <w:t>, 2018). Figure 2 is the geological map of OAU, Ile-Ife.</w:t>
      </w:r>
    </w:p>
    <w:p w:rsidR="007B6195" w:rsidRPr="007B6195" w:rsidRDefault="007B6195" w:rsidP="007B6195">
      <w:pPr>
        <w:ind w:firstLine="720"/>
        <w:jc w:val="both"/>
        <w:rPr>
          <w:rFonts w:hint="eastAsia"/>
          <w:sz w:val="20"/>
          <w:szCs w:val="20"/>
          <w:lang w:eastAsia="zh-CN"/>
        </w:rPr>
      </w:pPr>
    </w:p>
    <w:p w:rsidR="007B6195" w:rsidRPr="007B6195" w:rsidRDefault="007B6195" w:rsidP="007B6195">
      <w:pPr>
        <w:ind w:firstLine="720"/>
        <w:jc w:val="center"/>
        <w:rPr>
          <w:sz w:val="20"/>
          <w:szCs w:val="20"/>
        </w:rPr>
        <w:sectPr w:rsidR="007B6195" w:rsidRPr="007B6195" w:rsidSect="009746E0">
          <w:footnotePr>
            <w:pos w:val="beneathText"/>
          </w:footnotePr>
          <w:type w:val="continuous"/>
          <w:pgSz w:w="12240" w:h="15840" w:code="1"/>
          <w:pgMar w:top="1440" w:right="1440" w:bottom="1440" w:left="1440" w:header="720" w:footer="720" w:gutter="0"/>
          <w:cols w:num="2" w:space="576"/>
          <w:docGrid w:linePitch="360"/>
        </w:sectPr>
      </w:pPr>
    </w:p>
    <w:p w:rsidR="007B6772" w:rsidRPr="007B6195" w:rsidRDefault="007B6772" w:rsidP="007B6195">
      <w:pPr>
        <w:jc w:val="center"/>
        <w:rPr>
          <w:sz w:val="20"/>
          <w:szCs w:val="20"/>
        </w:rPr>
      </w:pPr>
      <w:r w:rsidRPr="007B6195">
        <w:rPr>
          <w:noProof/>
          <w:sz w:val="20"/>
          <w:szCs w:val="20"/>
          <w:lang w:eastAsia="zh-CN"/>
        </w:rPr>
        <w:lastRenderedPageBreak/>
        <w:drawing>
          <wp:inline distT="0" distB="0" distL="0" distR="0">
            <wp:extent cx="4648200" cy="3177407"/>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03060" cy="3214908"/>
                    </a:xfrm>
                    <a:prstGeom prst="rect">
                      <a:avLst/>
                    </a:prstGeom>
                    <a:noFill/>
                    <a:ln>
                      <a:noFill/>
                    </a:ln>
                  </pic:spPr>
                </pic:pic>
              </a:graphicData>
            </a:graphic>
          </wp:inline>
        </w:drawing>
      </w:r>
    </w:p>
    <w:p w:rsidR="00EB51F4" w:rsidRPr="007B6195" w:rsidRDefault="00FD3F74" w:rsidP="007B6195">
      <w:pPr>
        <w:ind w:left="720" w:hanging="720"/>
        <w:jc w:val="center"/>
        <w:rPr>
          <w:sz w:val="20"/>
          <w:szCs w:val="20"/>
        </w:rPr>
      </w:pPr>
      <w:r w:rsidRPr="007B6195">
        <w:rPr>
          <w:sz w:val="20"/>
          <w:szCs w:val="20"/>
        </w:rPr>
        <w:t>Figure 1: Map of Obafemi Awolowo Unuversity campus (OAU, 2015)</w:t>
      </w:r>
    </w:p>
    <w:p w:rsidR="00CC5F34" w:rsidRPr="007B6195" w:rsidRDefault="00CC5F34" w:rsidP="007B6195">
      <w:pPr>
        <w:ind w:left="1800" w:hanging="1800"/>
        <w:jc w:val="both"/>
        <w:rPr>
          <w:sz w:val="20"/>
          <w:szCs w:val="20"/>
        </w:rPr>
      </w:pPr>
    </w:p>
    <w:p w:rsidR="00471E57" w:rsidRPr="007B6195" w:rsidRDefault="00471E57" w:rsidP="007B6195">
      <w:pPr>
        <w:jc w:val="both"/>
        <w:rPr>
          <w:b/>
          <w:sz w:val="20"/>
          <w:szCs w:val="20"/>
        </w:rPr>
      </w:pPr>
      <w:r w:rsidRPr="007B6195">
        <w:rPr>
          <w:b/>
          <w:sz w:val="20"/>
          <w:szCs w:val="20"/>
        </w:rPr>
        <w:t xml:space="preserve">2. Material and Methods </w:t>
      </w:r>
    </w:p>
    <w:p w:rsidR="00CC5F34" w:rsidRPr="007B6195" w:rsidRDefault="00CC5F34" w:rsidP="007B6195">
      <w:pPr>
        <w:autoSpaceDE w:val="0"/>
        <w:autoSpaceDN w:val="0"/>
        <w:adjustRightInd w:val="0"/>
        <w:jc w:val="both"/>
        <w:rPr>
          <w:b/>
          <w:color w:val="000000"/>
          <w:sz w:val="20"/>
          <w:szCs w:val="20"/>
        </w:rPr>
      </w:pPr>
      <w:r w:rsidRPr="007B6195">
        <w:rPr>
          <w:b/>
          <w:color w:val="000000"/>
          <w:sz w:val="20"/>
          <w:szCs w:val="20"/>
        </w:rPr>
        <w:t>Soil sampling</w:t>
      </w:r>
    </w:p>
    <w:p w:rsidR="00471E57" w:rsidRPr="007B6195" w:rsidRDefault="00CC5F34" w:rsidP="007B6195">
      <w:pPr>
        <w:ind w:firstLine="720"/>
        <w:jc w:val="both"/>
        <w:rPr>
          <w:sz w:val="20"/>
          <w:szCs w:val="20"/>
        </w:rPr>
      </w:pPr>
      <w:r w:rsidRPr="007B6195">
        <w:rPr>
          <w:sz w:val="20"/>
          <w:szCs w:val="20"/>
        </w:rPr>
        <w:t xml:space="preserve">Lateritic soil is the main material used in this study. Ten sample points were identified in the study area; and in each of the identified sampling points, test pits were dug and excavated with the aid of digger and shovel. Samples were collected at a depth ranging between 0.3 m and 0.6 m (Adunoye </w:t>
      </w:r>
      <w:r w:rsidRPr="007B6195">
        <w:rPr>
          <w:i/>
          <w:sz w:val="20"/>
          <w:szCs w:val="20"/>
        </w:rPr>
        <w:t>et al.</w:t>
      </w:r>
      <w:r w:rsidRPr="007B6195">
        <w:rPr>
          <w:sz w:val="20"/>
          <w:szCs w:val="20"/>
        </w:rPr>
        <w:t>, 2020). 20 - 25 kg of each sample was collected into a nylon, sealed and immediately taken to the Geotechnical Laboratory of the Department of Civil Engineering, Obafemi Awolowo University (OAU), Ile-Ife, for analyses.</w:t>
      </w:r>
    </w:p>
    <w:p w:rsidR="00900D33" w:rsidRPr="007B6195" w:rsidRDefault="00900D33" w:rsidP="007B6195">
      <w:pPr>
        <w:ind w:firstLine="720"/>
        <w:jc w:val="both"/>
        <w:rPr>
          <w:sz w:val="20"/>
          <w:szCs w:val="20"/>
        </w:rPr>
      </w:pPr>
    </w:p>
    <w:p w:rsidR="00900D33" w:rsidRPr="007B6195" w:rsidRDefault="00900D33" w:rsidP="007B6195">
      <w:pPr>
        <w:ind w:firstLine="720"/>
        <w:jc w:val="center"/>
        <w:rPr>
          <w:sz w:val="20"/>
          <w:szCs w:val="20"/>
          <w:lang w:eastAsia="zh-CN"/>
        </w:rPr>
      </w:pPr>
      <w:r w:rsidRPr="007B6195">
        <w:rPr>
          <w:noProof/>
          <w:sz w:val="20"/>
          <w:szCs w:val="20"/>
          <w:lang w:eastAsia="zh-CN"/>
        </w:rPr>
        <w:drawing>
          <wp:inline distT="0" distB="0" distL="0" distR="0">
            <wp:extent cx="3895725" cy="3162395"/>
            <wp:effectExtent l="19050" t="0" r="9525" b="0"/>
            <wp:docPr id="5" name="Picture 1" descr="C:\Users\GOD'S OWN ENTERPRISE\Documents\My Works\School\My PhD\Thesis &amp; Presentation\Thesis\My task2-Digitised locations\geology_No_sa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D'S OWN ENTERPRISE\Documents\My Works\School\My PhD\Thesis &amp; Presentation\Thesis\My task2-Digitised locations\geology_No_sample.jpg"/>
                    <pic:cNvPicPr>
                      <a:picLocks noChangeAspect="1" noChangeArrowheads="1"/>
                    </pic:cNvPicPr>
                  </pic:nvPicPr>
                  <pic:blipFill>
                    <a:blip r:embed="rId14" cstate="print"/>
                    <a:srcRect/>
                    <a:stretch>
                      <a:fillRect/>
                    </a:stretch>
                  </pic:blipFill>
                  <pic:spPr bwMode="auto">
                    <a:xfrm flipV="1">
                      <a:off x="0" y="0"/>
                      <a:ext cx="3915951" cy="3178814"/>
                    </a:xfrm>
                    <a:prstGeom prst="rect">
                      <a:avLst/>
                    </a:prstGeom>
                    <a:noFill/>
                    <a:ln w="9525">
                      <a:noFill/>
                      <a:miter lim="800000"/>
                      <a:headEnd/>
                      <a:tailEnd/>
                    </a:ln>
                  </pic:spPr>
                </pic:pic>
              </a:graphicData>
            </a:graphic>
          </wp:inline>
        </w:drawing>
      </w:r>
    </w:p>
    <w:p w:rsidR="00471E57" w:rsidRPr="007B6195" w:rsidRDefault="00900D33" w:rsidP="007B6195">
      <w:pPr>
        <w:ind w:left="810" w:hanging="810"/>
        <w:jc w:val="center"/>
        <w:rPr>
          <w:sz w:val="20"/>
          <w:szCs w:val="20"/>
        </w:rPr>
      </w:pPr>
      <w:r w:rsidRPr="007B6195">
        <w:rPr>
          <w:sz w:val="20"/>
          <w:szCs w:val="20"/>
        </w:rPr>
        <w:t>Figure 2: Geological map of Obafemi Awolowo University, Ile-Ife (After Boesse, 1989)</w:t>
      </w:r>
    </w:p>
    <w:p w:rsidR="00F840BC" w:rsidRPr="007B6195" w:rsidRDefault="00F840BC" w:rsidP="007B6195">
      <w:pPr>
        <w:ind w:left="810" w:hanging="810"/>
        <w:jc w:val="both"/>
        <w:rPr>
          <w:rFonts w:hint="eastAsia"/>
          <w:sz w:val="20"/>
          <w:szCs w:val="20"/>
          <w:lang w:eastAsia="zh-CN"/>
        </w:rPr>
      </w:pPr>
    </w:p>
    <w:p w:rsidR="007B6195" w:rsidRPr="007B6195" w:rsidRDefault="007B6195" w:rsidP="007B6195">
      <w:pPr>
        <w:ind w:left="810" w:hanging="810"/>
        <w:jc w:val="both"/>
        <w:rPr>
          <w:rFonts w:hint="eastAsia"/>
          <w:sz w:val="20"/>
          <w:szCs w:val="20"/>
          <w:lang w:eastAsia="zh-CN"/>
        </w:rPr>
      </w:pPr>
    </w:p>
    <w:p w:rsidR="00407852" w:rsidRPr="007B6195" w:rsidRDefault="00407852" w:rsidP="007B6195">
      <w:pPr>
        <w:pStyle w:val="Default"/>
        <w:jc w:val="both"/>
        <w:rPr>
          <w:color w:val="auto"/>
          <w:sz w:val="20"/>
          <w:szCs w:val="20"/>
        </w:rPr>
      </w:pPr>
      <w:r w:rsidRPr="007B6195">
        <w:rPr>
          <w:b/>
          <w:sz w:val="20"/>
          <w:szCs w:val="20"/>
        </w:rPr>
        <w:t>Laboratory analyses</w:t>
      </w:r>
    </w:p>
    <w:p w:rsidR="00407852" w:rsidRPr="007B6195" w:rsidRDefault="00407852" w:rsidP="007B6195">
      <w:pPr>
        <w:autoSpaceDE w:val="0"/>
        <w:autoSpaceDN w:val="0"/>
        <w:adjustRightInd w:val="0"/>
        <w:ind w:firstLine="720"/>
        <w:jc w:val="both"/>
        <w:rPr>
          <w:color w:val="000000"/>
          <w:sz w:val="20"/>
          <w:szCs w:val="20"/>
        </w:rPr>
      </w:pPr>
      <w:r w:rsidRPr="007B6195">
        <w:rPr>
          <w:sz w:val="20"/>
          <w:szCs w:val="20"/>
        </w:rPr>
        <w:t xml:space="preserve">Samples were prepared for laboratory analyses by air-drying and grinding to pass 2 mm sieve. Thereafter particle size analysis and compaction tests were conducted on the soil samples. The tests were carried out in accordance with British standard code of practice (BS 1377:1990). Standard Proctor method was used for the compaction. </w:t>
      </w:r>
      <w:r w:rsidRPr="007B6195">
        <w:rPr>
          <w:color w:val="000000"/>
          <w:sz w:val="20"/>
          <w:szCs w:val="20"/>
        </w:rPr>
        <w:t>From the particle size distribution curves (generated from the particle size analysis), coefficient of uniformity (C</w:t>
      </w:r>
      <w:r w:rsidRPr="007B6195">
        <w:rPr>
          <w:color w:val="000000"/>
          <w:sz w:val="20"/>
          <w:szCs w:val="20"/>
          <w:vertAlign w:val="subscript"/>
        </w:rPr>
        <w:t>u</w:t>
      </w:r>
      <w:r w:rsidRPr="007B6195">
        <w:rPr>
          <w:color w:val="000000"/>
          <w:sz w:val="20"/>
          <w:szCs w:val="20"/>
        </w:rPr>
        <w:t>) and coefficient of gradation (C</w:t>
      </w:r>
      <w:r w:rsidRPr="007B6195">
        <w:rPr>
          <w:color w:val="000000"/>
          <w:sz w:val="20"/>
          <w:szCs w:val="20"/>
          <w:vertAlign w:val="subscript"/>
        </w:rPr>
        <w:t>c</w:t>
      </w:r>
      <w:r w:rsidRPr="007B6195">
        <w:rPr>
          <w:color w:val="000000"/>
          <w:sz w:val="20"/>
          <w:szCs w:val="20"/>
        </w:rPr>
        <w:t>) were determined using equations 1 and 2 respectively.</w:t>
      </w:r>
    </w:p>
    <w:p w:rsidR="00407852" w:rsidRPr="007B6195" w:rsidRDefault="00407852" w:rsidP="007B6195">
      <w:pPr>
        <w:autoSpaceDE w:val="0"/>
        <w:autoSpaceDN w:val="0"/>
        <w:adjustRightInd w:val="0"/>
        <w:jc w:val="both"/>
        <w:rPr>
          <w:color w:val="000000"/>
          <w:sz w:val="20"/>
          <w:szCs w:val="20"/>
        </w:rPr>
      </w:pPr>
    </w:p>
    <w:p w:rsidR="00407852" w:rsidRPr="007B6195" w:rsidRDefault="00357310" w:rsidP="007B6195">
      <w:pPr>
        <w:autoSpaceDE w:val="0"/>
        <w:autoSpaceDN w:val="0"/>
        <w:adjustRightInd w:val="0"/>
        <w:jc w:val="both"/>
        <w:rPr>
          <w:color w:val="000000"/>
          <w:sz w:val="20"/>
          <w:szCs w:val="20"/>
        </w:rPr>
      </w:pPr>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u</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60</m:t>
                </m:r>
              </m:sub>
            </m:sSub>
          </m:num>
          <m:den>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10</m:t>
                </m:r>
              </m:sub>
            </m:sSub>
          </m:den>
        </m:f>
        <m:r>
          <w:rPr>
            <w:rFonts w:ascii="Cambria Math" w:hAnsi="Cambria Math"/>
            <w:sz w:val="20"/>
            <w:szCs w:val="20"/>
          </w:rPr>
          <m:t xml:space="preserve">   </m:t>
        </m:r>
      </m:oMath>
      <w:r w:rsidR="00407852" w:rsidRPr="007B6195">
        <w:rPr>
          <w:sz w:val="20"/>
          <w:szCs w:val="20"/>
        </w:rPr>
        <w:tab/>
      </w:r>
      <w:r w:rsidR="00BF6829" w:rsidRPr="007B6195">
        <w:rPr>
          <w:sz w:val="20"/>
          <w:szCs w:val="20"/>
        </w:rPr>
        <w:t xml:space="preserve">                            </w:t>
      </w:r>
      <w:r w:rsidR="00407852" w:rsidRPr="007B6195">
        <w:rPr>
          <w:sz w:val="20"/>
          <w:szCs w:val="20"/>
        </w:rPr>
        <w:tab/>
      </w:r>
      <w:r w:rsidR="00407852" w:rsidRPr="007B6195">
        <w:rPr>
          <w:sz w:val="20"/>
          <w:szCs w:val="20"/>
        </w:rPr>
        <w:tab/>
        <w:t>(1)</w:t>
      </w:r>
    </w:p>
    <w:p w:rsidR="00407852" w:rsidRPr="007B6195" w:rsidRDefault="00357310" w:rsidP="007B6195">
      <w:pPr>
        <w:autoSpaceDE w:val="0"/>
        <w:autoSpaceDN w:val="0"/>
        <w:adjustRightInd w:val="0"/>
        <w:jc w:val="both"/>
        <w:rPr>
          <w:color w:val="000000"/>
          <w:sz w:val="20"/>
          <w:szCs w:val="20"/>
        </w:rPr>
      </w:pPr>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C</m:t>
            </m:r>
          </m:sub>
        </m:sSub>
        <m:r>
          <w:rPr>
            <w:rFonts w:ascii="Cambria Math" w:hAnsi="Cambria Math"/>
            <w:sz w:val="20"/>
            <w:szCs w:val="20"/>
          </w:rPr>
          <m:t>=</m:t>
        </m:r>
        <m:f>
          <m:fPr>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D</m:t>
                </m:r>
              </m:e>
              <m:sub>
                <m:r>
                  <w:rPr>
                    <w:rFonts w:ascii="Cambria Math" w:hAnsi="Cambria Math"/>
                    <w:sz w:val="20"/>
                    <w:szCs w:val="20"/>
                  </w:rPr>
                  <m:t>30</m:t>
                </m:r>
              </m:sub>
              <m:sup>
                <m:r>
                  <w:rPr>
                    <w:rFonts w:ascii="Cambria Math" w:hAnsi="Cambria Math"/>
                    <w:sz w:val="20"/>
                    <w:szCs w:val="20"/>
                  </w:rPr>
                  <m:t>2</m:t>
                </m:r>
              </m:sup>
            </m:sSubSup>
          </m:num>
          <m:den>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60</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10</m:t>
                </m:r>
              </m:sub>
            </m:sSub>
          </m:den>
        </m:f>
      </m:oMath>
      <w:r w:rsidR="00407852" w:rsidRPr="007B6195">
        <w:rPr>
          <w:sz w:val="20"/>
          <w:szCs w:val="20"/>
        </w:rPr>
        <w:tab/>
      </w:r>
      <w:r w:rsidR="00407852" w:rsidRPr="007B6195">
        <w:rPr>
          <w:sz w:val="20"/>
          <w:szCs w:val="20"/>
        </w:rPr>
        <w:tab/>
      </w:r>
      <w:r w:rsidR="00407852" w:rsidRPr="007B6195">
        <w:rPr>
          <w:sz w:val="20"/>
          <w:szCs w:val="20"/>
        </w:rPr>
        <w:tab/>
      </w:r>
      <w:r w:rsidR="00BF6829" w:rsidRPr="007B6195">
        <w:rPr>
          <w:sz w:val="20"/>
          <w:szCs w:val="20"/>
        </w:rPr>
        <w:tab/>
      </w:r>
      <w:r w:rsidR="00407852" w:rsidRPr="007B6195">
        <w:rPr>
          <w:sz w:val="20"/>
          <w:szCs w:val="20"/>
        </w:rPr>
        <w:t>(2)</w:t>
      </w:r>
    </w:p>
    <w:p w:rsidR="006807BB" w:rsidRPr="007B6195" w:rsidRDefault="006807BB" w:rsidP="007B6195">
      <w:pPr>
        <w:autoSpaceDE w:val="0"/>
        <w:autoSpaceDN w:val="0"/>
        <w:adjustRightInd w:val="0"/>
        <w:jc w:val="both"/>
        <w:rPr>
          <w:sz w:val="20"/>
          <w:szCs w:val="20"/>
        </w:rPr>
      </w:pPr>
    </w:p>
    <w:p w:rsidR="00407852" w:rsidRPr="007B6195" w:rsidRDefault="00407852" w:rsidP="007B6195">
      <w:pPr>
        <w:autoSpaceDE w:val="0"/>
        <w:autoSpaceDN w:val="0"/>
        <w:adjustRightInd w:val="0"/>
        <w:jc w:val="both"/>
        <w:rPr>
          <w:sz w:val="20"/>
          <w:szCs w:val="20"/>
        </w:rPr>
      </w:pPr>
      <w:r w:rsidRPr="007B6195">
        <w:rPr>
          <w:sz w:val="20"/>
          <w:szCs w:val="20"/>
        </w:rPr>
        <w:t xml:space="preserve">Where, </w:t>
      </w:r>
      <w:r w:rsidRPr="007B6195">
        <w:rPr>
          <w:i/>
          <w:sz w:val="20"/>
          <w:szCs w:val="20"/>
        </w:rPr>
        <w:t>C</w:t>
      </w:r>
      <w:r w:rsidRPr="007B6195">
        <w:rPr>
          <w:i/>
          <w:sz w:val="20"/>
          <w:szCs w:val="20"/>
          <w:vertAlign w:val="subscript"/>
        </w:rPr>
        <w:t>u</w:t>
      </w:r>
      <w:r w:rsidRPr="007B6195">
        <w:rPr>
          <w:sz w:val="20"/>
          <w:szCs w:val="20"/>
        </w:rPr>
        <w:t xml:space="preserve"> = coefficient of uniformity</w:t>
      </w:r>
    </w:p>
    <w:p w:rsidR="00407852" w:rsidRPr="007B6195" w:rsidRDefault="006807BB" w:rsidP="007B6195">
      <w:pPr>
        <w:autoSpaceDE w:val="0"/>
        <w:autoSpaceDN w:val="0"/>
        <w:adjustRightInd w:val="0"/>
        <w:jc w:val="both"/>
        <w:rPr>
          <w:sz w:val="20"/>
          <w:szCs w:val="20"/>
        </w:rPr>
      </w:pPr>
      <w:r w:rsidRPr="007B6195">
        <w:rPr>
          <w:sz w:val="20"/>
          <w:szCs w:val="20"/>
        </w:rPr>
        <w:t xml:space="preserve">             </w:t>
      </w:r>
      <w:r w:rsidR="00407852" w:rsidRPr="007B6195">
        <w:rPr>
          <w:i/>
          <w:sz w:val="20"/>
          <w:szCs w:val="20"/>
        </w:rPr>
        <w:t>C</w:t>
      </w:r>
      <w:r w:rsidR="00407852" w:rsidRPr="007B6195">
        <w:rPr>
          <w:i/>
          <w:sz w:val="20"/>
          <w:szCs w:val="20"/>
          <w:vertAlign w:val="subscript"/>
        </w:rPr>
        <w:t>c</w:t>
      </w:r>
      <w:r w:rsidR="00407852" w:rsidRPr="007B6195">
        <w:rPr>
          <w:sz w:val="20"/>
          <w:szCs w:val="20"/>
        </w:rPr>
        <w:t xml:space="preserve"> = coefficient of gradation</w:t>
      </w:r>
    </w:p>
    <w:p w:rsidR="00407852" w:rsidRPr="007B6195" w:rsidRDefault="006807BB" w:rsidP="007B6195">
      <w:pPr>
        <w:autoSpaceDE w:val="0"/>
        <w:autoSpaceDN w:val="0"/>
        <w:adjustRightInd w:val="0"/>
        <w:jc w:val="both"/>
        <w:rPr>
          <w:sz w:val="20"/>
          <w:szCs w:val="20"/>
        </w:rPr>
      </w:pPr>
      <w:r w:rsidRPr="007B6195">
        <w:rPr>
          <w:i/>
          <w:iCs/>
          <w:sz w:val="20"/>
          <w:szCs w:val="20"/>
        </w:rPr>
        <w:t xml:space="preserve">             </w:t>
      </w:r>
      <w:r w:rsidR="00407852" w:rsidRPr="007B6195">
        <w:rPr>
          <w:i/>
          <w:iCs/>
          <w:sz w:val="20"/>
          <w:szCs w:val="20"/>
        </w:rPr>
        <w:t>D</w:t>
      </w:r>
      <w:r w:rsidR="00407852" w:rsidRPr="007B6195">
        <w:rPr>
          <w:sz w:val="20"/>
          <w:szCs w:val="20"/>
          <w:vertAlign w:val="subscript"/>
        </w:rPr>
        <w:t>10</w:t>
      </w:r>
      <w:r w:rsidR="00407852" w:rsidRPr="007B6195">
        <w:rPr>
          <w:sz w:val="20"/>
          <w:szCs w:val="20"/>
        </w:rPr>
        <w:t xml:space="preserve"> = diameter corresponding to 10 % ﬁner</w:t>
      </w:r>
    </w:p>
    <w:p w:rsidR="00407852" w:rsidRPr="007B6195" w:rsidRDefault="006807BB" w:rsidP="007B6195">
      <w:pPr>
        <w:autoSpaceDE w:val="0"/>
        <w:autoSpaceDN w:val="0"/>
        <w:adjustRightInd w:val="0"/>
        <w:jc w:val="both"/>
        <w:rPr>
          <w:sz w:val="20"/>
          <w:szCs w:val="20"/>
        </w:rPr>
      </w:pPr>
      <w:r w:rsidRPr="007B6195">
        <w:rPr>
          <w:i/>
          <w:iCs/>
          <w:sz w:val="20"/>
          <w:szCs w:val="20"/>
        </w:rPr>
        <w:t xml:space="preserve">             </w:t>
      </w:r>
      <w:r w:rsidR="00407852" w:rsidRPr="007B6195">
        <w:rPr>
          <w:i/>
          <w:iCs/>
          <w:sz w:val="20"/>
          <w:szCs w:val="20"/>
        </w:rPr>
        <w:t>D</w:t>
      </w:r>
      <w:r w:rsidR="00407852" w:rsidRPr="007B6195">
        <w:rPr>
          <w:i/>
          <w:iCs/>
          <w:sz w:val="20"/>
          <w:szCs w:val="20"/>
          <w:vertAlign w:val="subscript"/>
        </w:rPr>
        <w:t>3</w:t>
      </w:r>
      <w:r w:rsidR="00407852" w:rsidRPr="007B6195">
        <w:rPr>
          <w:sz w:val="20"/>
          <w:szCs w:val="20"/>
          <w:vertAlign w:val="subscript"/>
        </w:rPr>
        <w:t>0</w:t>
      </w:r>
      <w:r w:rsidR="00407852" w:rsidRPr="007B6195">
        <w:rPr>
          <w:sz w:val="20"/>
          <w:szCs w:val="20"/>
        </w:rPr>
        <w:t xml:space="preserve"> = diameter corresponding to 30 % ﬁner</w:t>
      </w:r>
    </w:p>
    <w:p w:rsidR="00407852" w:rsidRPr="007B6195" w:rsidRDefault="006807BB" w:rsidP="007B6195">
      <w:pPr>
        <w:autoSpaceDE w:val="0"/>
        <w:autoSpaceDN w:val="0"/>
        <w:adjustRightInd w:val="0"/>
        <w:jc w:val="both"/>
        <w:rPr>
          <w:sz w:val="20"/>
          <w:szCs w:val="20"/>
        </w:rPr>
      </w:pPr>
      <w:r w:rsidRPr="007B6195">
        <w:rPr>
          <w:i/>
          <w:iCs/>
          <w:sz w:val="20"/>
          <w:szCs w:val="20"/>
        </w:rPr>
        <w:t xml:space="preserve">             </w:t>
      </w:r>
      <w:r w:rsidR="00407852" w:rsidRPr="007B6195">
        <w:rPr>
          <w:i/>
          <w:iCs/>
          <w:sz w:val="20"/>
          <w:szCs w:val="20"/>
        </w:rPr>
        <w:t>D</w:t>
      </w:r>
      <w:r w:rsidR="00407852" w:rsidRPr="007B6195">
        <w:rPr>
          <w:sz w:val="20"/>
          <w:szCs w:val="20"/>
          <w:vertAlign w:val="subscript"/>
        </w:rPr>
        <w:t>60</w:t>
      </w:r>
      <w:r w:rsidR="00407852" w:rsidRPr="007B6195">
        <w:rPr>
          <w:sz w:val="20"/>
          <w:szCs w:val="20"/>
        </w:rPr>
        <w:t xml:space="preserve"> = diameter corresponding to 60 % ﬁner</w:t>
      </w:r>
    </w:p>
    <w:p w:rsidR="00407852" w:rsidRPr="007B6195" w:rsidRDefault="00407852" w:rsidP="007B6195">
      <w:pPr>
        <w:autoSpaceDE w:val="0"/>
        <w:autoSpaceDN w:val="0"/>
        <w:adjustRightInd w:val="0"/>
        <w:jc w:val="both"/>
        <w:rPr>
          <w:b/>
          <w:bCs/>
          <w:color w:val="000000"/>
          <w:sz w:val="20"/>
          <w:szCs w:val="20"/>
        </w:rPr>
      </w:pPr>
    </w:p>
    <w:p w:rsidR="00407852" w:rsidRPr="007B6195" w:rsidRDefault="00407852" w:rsidP="007B6195">
      <w:pPr>
        <w:autoSpaceDE w:val="0"/>
        <w:autoSpaceDN w:val="0"/>
        <w:adjustRightInd w:val="0"/>
        <w:jc w:val="both"/>
        <w:rPr>
          <w:b/>
          <w:sz w:val="20"/>
          <w:szCs w:val="20"/>
        </w:rPr>
      </w:pPr>
      <w:r w:rsidRPr="007B6195">
        <w:rPr>
          <w:b/>
          <w:sz w:val="20"/>
          <w:szCs w:val="20"/>
        </w:rPr>
        <w:t>Relating compaction parameters and particle size characteristics</w:t>
      </w:r>
    </w:p>
    <w:p w:rsidR="00F840BC" w:rsidRPr="007B6195" w:rsidRDefault="00407852" w:rsidP="007B6195">
      <w:pPr>
        <w:ind w:firstLine="720"/>
        <w:jc w:val="both"/>
        <w:rPr>
          <w:sz w:val="20"/>
          <w:szCs w:val="20"/>
        </w:rPr>
      </w:pPr>
      <w:r w:rsidRPr="007B6195">
        <w:rPr>
          <w:sz w:val="20"/>
          <w:szCs w:val="20"/>
        </w:rPr>
        <w:t>Variations of compaction parameters (OMC and MDD) and particle size characteristics (C</w:t>
      </w:r>
      <w:r w:rsidRPr="007B6195">
        <w:rPr>
          <w:sz w:val="20"/>
          <w:szCs w:val="20"/>
          <w:vertAlign w:val="subscript"/>
        </w:rPr>
        <w:t>u</w:t>
      </w:r>
      <w:r w:rsidRPr="007B6195">
        <w:rPr>
          <w:sz w:val="20"/>
          <w:szCs w:val="20"/>
        </w:rPr>
        <w:t xml:space="preserve"> and C</w:t>
      </w:r>
      <w:r w:rsidRPr="007B6195">
        <w:rPr>
          <w:sz w:val="20"/>
          <w:szCs w:val="20"/>
          <w:vertAlign w:val="subscript"/>
        </w:rPr>
        <w:t>c</w:t>
      </w:r>
      <w:r w:rsidRPr="007B6195">
        <w:rPr>
          <w:sz w:val="20"/>
          <w:szCs w:val="20"/>
        </w:rPr>
        <w:t>) were studied, using excel tool. Also, using Xuru’s regression tools (2020), relationships (equations) were developed between the following properties of the soil samples: (i) OMC and particle size characteristics, and (ii) MDD and particle size characteristics.</w:t>
      </w:r>
    </w:p>
    <w:p w:rsidR="003E4617" w:rsidRPr="007B6195" w:rsidRDefault="003E4617" w:rsidP="007B6195">
      <w:pPr>
        <w:ind w:firstLine="720"/>
        <w:jc w:val="both"/>
        <w:rPr>
          <w:sz w:val="20"/>
          <w:szCs w:val="20"/>
          <w:lang w:eastAsia="zh-CN"/>
        </w:rPr>
      </w:pPr>
    </w:p>
    <w:p w:rsidR="00471E57" w:rsidRPr="007B6195" w:rsidRDefault="001D59DE" w:rsidP="007B6195">
      <w:pPr>
        <w:jc w:val="both"/>
        <w:rPr>
          <w:b/>
          <w:sz w:val="20"/>
          <w:szCs w:val="20"/>
        </w:rPr>
      </w:pPr>
      <w:r w:rsidRPr="007B6195">
        <w:rPr>
          <w:b/>
          <w:sz w:val="20"/>
          <w:szCs w:val="20"/>
        </w:rPr>
        <w:t>3</w:t>
      </w:r>
      <w:r w:rsidR="00471E57" w:rsidRPr="007B6195">
        <w:rPr>
          <w:b/>
          <w:sz w:val="20"/>
          <w:szCs w:val="20"/>
        </w:rPr>
        <w:t xml:space="preserve">. </w:t>
      </w:r>
      <w:r w:rsidR="003E4617" w:rsidRPr="007B6195">
        <w:rPr>
          <w:b/>
          <w:sz w:val="20"/>
          <w:szCs w:val="20"/>
        </w:rPr>
        <w:t xml:space="preserve">Results and </w:t>
      </w:r>
      <w:r w:rsidR="00471E57" w:rsidRPr="007B6195">
        <w:rPr>
          <w:b/>
          <w:sz w:val="20"/>
          <w:szCs w:val="20"/>
        </w:rPr>
        <w:t xml:space="preserve">Discussion </w:t>
      </w:r>
    </w:p>
    <w:p w:rsidR="00E67F09" w:rsidRPr="007B6195" w:rsidRDefault="00E67F09" w:rsidP="007B6195">
      <w:pPr>
        <w:autoSpaceDE w:val="0"/>
        <w:autoSpaceDN w:val="0"/>
        <w:adjustRightInd w:val="0"/>
        <w:ind w:firstLine="720"/>
        <w:jc w:val="both"/>
        <w:rPr>
          <w:color w:val="000000"/>
          <w:sz w:val="20"/>
          <w:szCs w:val="20"/>
        </w:rPr>
      </w:pPr>
      <w:r w:rsidRPr="007B6195">
        <w:rPr>
          <w:color w:val="000000"/>
          <w:sz w:val="20"/>
          <w:szCs w:val="20"/>
        </w:rPr>
        <w:t>Results of laboratory tests and analyses on the soil samples are presented in Table 1.</w:t>
      </w:r>
    </w:p>
    <w:p w:rsidR="00E67F09" w:rsidRPr="007B6195" w:rsidRDefault="00E67F09" w:rsidP="007B6195">
      <w:pPr>
        <w:autoSpaceDE w:val="0"/>
        <w:autoSpaceDN w:val="0"/>
        <w:adjustRightInd w:val="0"/>
        <w:jc w:val="both"/>
        <w:rPr>
          <w:color w:val="000000"/>
          <w:sz w:val="20"/>
          <w:szCs w:val="20"/>
        </w:rPr>
      </w:pPr>
    </w:p>
    <w:p w:rsidR="00E67F09" w:rsidRPr="007B6195" w:rsidRDefault="00E67F09" w:rsidP="007B6195">
      <w:pPr>
        <w:autoSpaceDE w:val="0"/>
        <w:autoSpaceDN w:val="0"/>
        <w:adjustRightInd w:val="0"/>
        <w:jc w:val="both"/>
        <w:rPr>
          <w:b/>
          <w:color w:val="000000"/>
          <w:sz w:val="20"/>
          <w:szCs w:val="20"/>
        </w:rPr>
      </w:pPr>
      <w:r w:rsidRPr="007B6195">
        <w:rPr>
          <w:b/>
          <w:color w:val="000000"/>
          <w:sz w:val="20"/>
          <w:szCs w:val="20"/>
        </w:rPr>
        <w:t>Compaction test results</w:t>
      </w:r>
    </w:p>
    <w:p w:rsidR="003E4617" w:rsidRPr="007B6195" w:rsidRDefault="00E67F09" w:rsidP="007B6195">
      <w:pPr>
        <w:ind w:firstLine="720"/>
        <w:jc w:val="both"/>
        <w:rPr>
          <w:color w:val="000000"/>
          <w:sz w:val="20"/>
          <w:szCs w:val="20"/>
        </w:rPr>
      </w:pPr>
      <w:r w:rsidRPr="007B6195">
        <w:rPr>
          <w:color w:val="000000"/>
          <w:sz w:val="20"/>
          <w:szCs w:val="20"/>
        </w:rPr>
        <w:t xml:space="preserve">As presented by Adunoye </w:t>
      </w:r>
      <w:r w:rsidRPr="007B6195">
        <w:rPr>
          <w:i/>
          <w:color w:val="000000"/>
          <w:sz w:val="20"/>
          <w:szCs w:val="20"/>
        </w:rPr>
        <w:t>et al.</w:t>
      </w:r>
      <w:r w:rsidRPr="007B6195">
        <w:rPr>
          <w:color w:val="000000"/>
          <w:sz w:val="20"/>
          <w:szCs w:val="20"/>
        </w:rPr>
        <w:t xml:space="preserve"> (2020), the results of the compaction tests (Table 1), values of OMC ranged from 6.7 % (sample L3) to 27 % (sample L1). The values of MDD also ranged from 1560 kN/m</w:t>
      </w:r>
      <w:r w:rsidRPr="007B6195">
        <w:rPr>
          <w:color w:val="000000"/>
          <w:sz w:val="20"/>
          <w:szCs w:val="20"/>
          <w:vertAlign w:val="superscript"/>
        </w:rPr>
        <w:t>3</w:t>
      </w:r>
      <w:r w:rsidRPr="007B6195">
        <w:rPr>
          <w:color w:val="000000"/>
          <w:sz w:val="20"/>
          <w:szCs w:val="20"/>
        </w:rPr>
        <w:t xml:space="preserve"> (sample L8) to 2260 kN/m</w:t>
      </w:r>
      <w:r w:rsidRPr="007B6195">
        <w:rPr>
          <w:color w:val="000000"/>
          <w:sz w:val="20"/>
          <w:szCs w:val="20"/>
          <w:vertAlign w:val="superscript"/>
        </w:rPr>
        <w:t>3</w:t>
      </w:r>
      <w:r w:rsidRPr="007B6195">
        <w:rPr>
          <w:color w:val="000000"/>
          <w:sz w:val="20"/>
          <w:szCs w:val="20"/>
        </w:rPr>
        <w:t xml:space="preserve"> (sample L10). With the results of the compaction test, the soils could be said to fall between silty clay and sandy clay (O’Flaherty 1988; Bello and Adegoke, 2010; Adunoye and Agbede, 2013).</w:t>
      </w:r>
    </w:p>
    <w:p w:rsidR="004906A4" w:rsidRPr="007B6195" w:rsidRDefault="004906A4" w:rsidP="007B6195">
      <w:pPr>
        <w:jc w:val="both"/>
        <w:rPr>
          <w:color w:val="000000"/>
          <w:sz w:val="20"/>
          <w:szCs w:val="20"/>
        </w:rPr>
      </w:pPr>
    </w:p>
    <w:p w:rsidR="00E52EA0" w:rsidRPr="007B6195" w:rsidRDefault="004906A4" w:rsidP="007B6195">
      <w:pPr>
        <w:jc w:val="both"/>
        <w:rPr>
          <w:sz w:val="20"/>
          <w:szCs w:val="20"/>
        </w:rPr>
      </w:pPr>
      <w:r w:rsidRPr="007B6195">
        <w:rPr>
          <w:color w:val="000000"/>
          <w:sz w:val="20"/>
          <w:szCs w:val="20"/>
        </w:rPr>
        <w:t xml:space="preserve">Table 1: Particle size characteristics and compaction parameters of soil samples (Adunoye </w:t>
      </w:r>
      <w:r w:rsidRPr="007B6195">
        <w:rPr>
          <w:i/>
          <w:color w:val="000000"/>
          <w:sz w:val="20"/>
          <w:szCs w:val="20"/>
        </w:rPr>
        <w:t>et al,</w:t>
      </w:r>
      <w:r w:rsidRPr="007B6195">
        <w:rPr>
          <w:color w:val="000000"/>
          <w:sz w:val="20"/>
          <w:szCs w:val="20"/>
        </w:rPr>
        <w:t xml:space="preserve"> 2020)</w:t>
      </w:r>
    </w:p>
    <w:tbl>
      <w:tblPr>
        <w:tblW w:w="5000" w:type="pct"/>
        <w:tblLook w:val="04A0"/>
      </w:tblPr>
      <w:tblGrid>
        <w:gridCol w:w="1384"/>
        <w:gridCol w:w="1071"/>
        <w:gridCol w:w="1147"/>
        <w:gridCol w:w="1034"/>
        <w:gridCol w:w="1111"/>
        <w:gridCol w:w="1034"/>
        <w:gridCol w:w="1569"/>
        <w:gridCol w:w="1226"/>
      </w:tblGrid>
      <w:tr w:rsidR="00430600" w:rsidRPr="007B6195" w:rsidTr="007B6195">
        <w:trPr>
          <w:trHeight w:val="540"/>
        </w:trPr>
        <w:tc>
          <w:tcPr>
            <w:tcW w:w="723" w:type="pct"/>
            <w:tcBorders>
              <w:top w:val="single" w:sz="8" w:space="0" w:color="auto"/>
              <w:left w:val="nil"/>
              <w:bottom w:val="single" w:sz="8" w:space="0" w:color="auto"/>
              <w:right w:val="nil"/>
            </w:tcBorders>
            <w:shd w:val="clear" w:color="auto" w:fill="auto"/>
            <w:vAlign w:val="center"/>
            <w:hideMark/>
          </w:tcPr>
          <w:p w:rsidR="00430600" w:rsidRPr="007B6195" w:rsidRDefault="00430600" w:rsidP="007B6195">
            <w:pPr>
              <w:suppressAutoHyphens w:val="0"/>
              <w:jc w:val="center"/>
              <w:rPr>
                <w:rFonts w:eastAsia="Times New Roman"/>
                <w:b/>
                <w:bCs/>
                <w:color w:val="000000"/>
                <w:sz w:val="20"/>
                <w:szCs w:val="20"/>
                <w:lang w:eastAsia="en-US"/>
              </w:rPr>
            </w:pPr>
            <w:r w:rsidRPr="007B6195">
              <w:rPr>
                <w:rFonts w:eastAsia="Times New Roman"/>
                <w:b/>
                <w:bCs/>
                <w:color w:val="000000"/>
                <w:sz w:val="20"/>
                <w:szCs w:val="20"/>
                <w:lang w:eastAsia="en-US"/>
              </w:rPr>
              <w:t>Sample ID</w:t>
            </w:r>
          </w:p>
        </w:tc>
        <w:tc>
          <w:tcPr>
            <w:tcW w:w="559" w:type="pct"/>
            <w:tcBorders>
              <w:top w:val="single" w:sz="8" w:space="0" w:color="auto"/>
              <w:left w:val="nil"/>
              <w:bottom w:val="single" w:sz="8" w:space="0" w:color="auto"/>
              <w:right w:val="nil"/>
            </w:tcBorders>
            <w:shd w:val="clear" w:color="auto" w:fill="auto"/>
            <w:vAlign w:val="center"/>
            <w:hideMark/>
          </w:tcPr>
          <w:p w:rsidR="00430600" w:rsidRPr="007B6195" w:rsidRDefault="00430600" w:rsidP="007B6195">
            <w:pPr>
              <w:suppressAutoHyphens w:val="0"/>
              <w:jc w:val="center"/>
              <w:rPr>
                <w:rFonts w:eastAsia="Times New Roman"/>
                <w:b/>
                <w:bCs/>
                <w:color w:val="000000"/>
                <w:sz w:val="20"/>
                <w:szCs w:val="20"/>
                <w:lang w:eastAsia="en-US"/>
              </w:rPr>
            </w:pPr>
            <w:r w:rsidRPr="007B6195">
              <w:rPr>
                <w:rFonts w:eastAsia="Times New Roman"/>
                <w:b/>
                <w:bCs/>
                <w:color w:val="000000"/>
                <w:sz w:val="20"/>
                <w:szCs w:val="20"/>
                <w:lang w:eastAsia="en-US"/>
              </w:rPr>
              <w:t>D</w:t>
            </w:r>
            <w:r w:rsidRPr="007B6195">
              <w:rPr>
                <w:rFonts w:eastAsia="Times New Roman"/>
                <w:b/>
                <w:bCs/>
                <w:color w:val="000000"/>
                <w:sz w:val="20"/>
                <w:szCs w:val="20"/>
                <w:vertAlign w:val="subscript"/>
                <w:lang w:eastAsia="en-US"/>
              </w:rPr>
              <w:t>10</w:t>
            </w:r>
          </w:p>
        </w:tc>
        <w:tc>
          <w:tcPr>
            <w:tcW w:w="599" w:type="pct"/>
            <w:tcBorders>
              <w:top w:val="single" w:sz="8" w:space="0" w:color="auto"/>
              <w:left w:val="nil"/>
              <w:bottom w:val="single" w:sz="8" w:space="0" w:color="auto"/>
              <w:right w:val="nil"/>
            </w:tcBorders>
            <w:shd w:val="clear" w:color="auto" w:fill="auto"/>
            <w:vAlign w:val="center"/>
            <w:hideMark/>
          </w:tcPr>
          <w:p w:rsidR="00430600" w:rsidRPr="007B6195" w:rsidRDefault="00430600" w:rsidP="007B6195">
            <w:pPr>
              <w:suppressAutoHyphens w:val="0"/>
              <w:jc w:val="center"/>
              <w:rPr>
                <w:rFonts w:eastAsia="Times New Roman"/>
                <w:b/>
                <w:bCs/>
                <w:color w:val="000000"/>
                <w:sz w:val="20"/>
                <w:szCs w:val="20"/>
                <w:lang w:eastAsia="en-US"/>
              </w:rPr>
            </w:pPr>
            <w:r w:rsidRPr="007B6195">
              <w:rPr>
                <w:rFonts w:eastAsia="Times New Roman"/>
                <w:b/>
                <w:bCs/>
                <w:color w:val="000000"/>
                <w:sz w:val="20"/>
                <w:szCs w:val="20"/>
                <w:lang w:eastAsia="en-US"/>
              </w:rPr>
              <w:t>D</w:t>
            </w:r>
            <w:r w:rsidRPr="007B6195">
              <w:rPr>
                <w:rFonts w:eastAsia="Times New Roman"/>
                <w:b/>
                <w:bCs/>
                <w:color w:val="000000"/>
                <w:sz w:val="20"/>
                <w:szCs w:val="20"/>
                <w:vertAlign w:val="subscript"/>
                <w:lang w:eastAsia="en-US"/>
              </w:rPr>
              <w:t>30</w:t>
            </w:r>
          </w:p>
        </w:tc>
        <w:tc>
          <w:tcPr>
            <w:tcW w:w="540" w:type="pct"/>
            <w:tcBorders>
              <w:top w:val="single" w:sz="8" w:space="0" w:color="auto"/>
              <w:left w:val="nil"/>
              <w:bottom w:val="single" w:sz="8" w:space="0" w:color="auto"/>
              <w:right w:val="nil"/>
            </w:tcBorders>
            <w:shd w:val="clear" w:color="auto" w:fill="auto"/>
            <w:vAlign w:val="center"/>
            <w:hideMark/>
          </w:tcPr>
          <w:p w:rsidR="00430600" w:rsidRPr="007B6195" w:rsidRDefault="00430600" w:rsidP="007B6195">
            <w:pPr>
              <w:suppressAutoHyphens w:val="0"/>
              <w:jc w:val="center"/>
              <w:rPr>
                <w:rFonts w:eastAsia="Times New Roman"/>
                <w:b/>
                <w:bCs/>
                <w:color w:val="000000"/>
                <w:sz w:val="20"/>
                <w:szCs w:val="20"/>
                <w:lang w:eastAsia="en-US"/>
              </w:rPr>
            </w:pPr>
            <w:r w:rsidRPr="007B6195">
              <w:rPr>
                <w:rFonts w:eastAsia="Times New Roman"/>
                <w:b/>
                <w:bCs/>
                <w:color w:val="000000"/>
                <w:sz w:val="20"/>
                <w:szCs w:val="20"/>
                <w:lang w:eastAsia="en-US"/>
              </w:rPr>
              <w:t>D</w:t>
            </w:r>
            <w:r w:rsidRPr="007B6195">
              <w:rPr>
                <w:rFonts w:eastAsia="Times New Roman"/>
                <w:b/>
                <w:bCs/>
                <w:color w:val="000000"/>
                <w:sz w:val="20"/>
                <w:szCs w:val="20"/>
                <w:vertAlign w:val="subscript"/>
                <w:lang w:eastAsia="en-US"/>
              </w:rPr>
              <w:t>60</w:t>
            </w:r>
          </w:p>
        </w:tc>
        <w:tc>
          <w:tcPr>
            <w:tcW w:w="580" w:type="pct"/>
            <w:tcBorders>
              <w:top w:val="single" w:sz="8" w:space="0" w:color="auto"/>
              <w:left w:val="nil"/>
              <w:bottom w:val="single" w:sz="8" w:space="0" w:color="auto"/>
              <w:right w:val="nil"/>
            </w:tcBorders>
            <w:shd w:val="clear" w:color="auto" w:fill="auto"/>
            <w:vAlign w:val="center"/>
            <w:hideMark/>
          </w:tcPr>
          <w:p w:rsidR="00430600" w:rsidRPr="007B6195" w:rsidRDefault="00430600" w:rsidP="007B6195">
            <w:pPr>
              <w:suppressAutoHyphens w:val="0"/>
              <w:jc w:val="center"/>
              <w:rPr>
                <w:rFonts w:eastAsia="Times New Roman"/>
                <w:b/>
                <w:bCs/>
                <w:color w:val="000000"/>
                <w:sz w:val="20"/>
                <w:szCs w:val="20"/>
                <w:lang w:eastAsia="en-US"/>
              </w:rPr>
            </w:pPr>
            <w:r w:rsidRPr="007B6195">
              <w:rPr>
                <w:rFonts w:eastAsia="Times New Roman"/>
                <w:b/>
                <w:bCs/>
                <w:color w:val="000000"/>
                <w:sz w:val="20"/>
                <w:szCs w:val="20"/>
                <w:lang w:eastAsia="en-US"/>
              </w:rPr>
              <w:t>C</w:t>
            </w:r>
            <w:r w:rsidRPr="007B6195">
              <w:rPr>
                <w:rFonts w:eastAsia="Times New Roman"/>
                <w:b/>
                <w:bCs/>
                <w:color w:val="000000"/>
                <w:sz w:val="20"/>
                <w:szCs w:val="20"/>
                <w:vertAlign w:val="subscript"/>
                <w:lang w:eastAsia="en-US"/>
              </w:rPr>
              <w:t>u</w:t>
            </w:r>
          </w:p>
        </w:tc>
        <w:tc>
          <w:tcPr>
            <w:tcW w:w="540" w:type="pct"/>
            <w:tcBorders>
              <w:top w:val="single" w:sz="8" w:space="0" w:color="auto"/>
              <w:left w:val="nil"/>
              <w:bottom w:val="single" w:sz="8" w:space="0" w:color="auto"/>
              <w:right w:val="nil"/>
            </w:tcBorders>
            <w:shd w:val="clear" w:color="auto" w:fill="auto"/>
            <w:vAlign w:val="center"/>
            <w:hideMark/>
          </w:tcPr>
          <w:p w:rsidR="00430600" w:rsidRPr="007B6195" w:rsidRDefault="00430600" w:rsidP="007B6195">
            <w:pPr>
              <w:suppressAutoHyphens w:val="0"/>
              <w:jc w:val="center"/>
              <w:rPr>
                <w:rFonts w:eastAsia="Times New Roman"/>
                <w:b/>
                <w:bCs/>
                <w:color w:val="000000"/>
                <w:sz w:val="20"/>
                <w:szCs w:val="20"/>
                <w:lang w:eastAsia="en-US"/>
              </w:rPr>
            </w:pPr>
            <w:r w:rsidRPr="007B6195">
              <w:rPr>
                <w:rFonts w:eastAsia="Times New Roman"/>
                <w:b/>
                <w:bCs/>
                <w:color w:val="000000"/>
                <w:sz w:val="20"/>
                <w:szCs w:val="20"/>
                <w:lang w:eastAsia="en-US"/>
              </w:rPr>
              <w:t>C</w:t>
            </w:r>
            <w:r w:rsidRPr="007B6195">
              <w:rPr>
                <w:rFonts w:eastAsia="Times New Roman"/>
                <w:b/>
                <w:bCs/>
                <w:color w:val="000000"/>
                <w:sz w:val="20"/>
                <w:szCs w:val="20"/>
                <w:vertAlign w:val="subscript"/>
                <w:lang w:eastAsia="en-US"/>
              </w:rPr>
              <w:t>c</w:t>
            </w:r>
          </w:p>
        </w:tc>
        <w:tc>
          <w:tcPr>
            <w:tcW w:w="819" w:type="pct"/>
            <w:tcBorders>
              <w:top w:val="single" w:sz="8" w:space="0" w:color="auto"/>
              <w:left w:val="nil"/>
              <w:bottom w:val="single" w:sz="8" w:space="0" w:color="auto"/>
              <w:right w:val="nil"/>
            </w:tcBorders>
            <w:shd w:val="clear" w:color="auto" w:fill="auto"/>
            <w:vAlign w:val="center"/>
            <w:hideMark/>
          </w:tcPr>
          <w:p w:rsidR="00430600" w:rsidRPr="007B6195" w:rsidRDefault="00430600" w:rsidP="007B6195">
            <w:pPr>
              <w:suppressAutoHyphens w:val="0"/>
              <w:jc w:val="center"/>
              <w:rPr>
                <w:rFonts w:eastAsia="Times New Roman"/>
                <w:b/>
                <w:bCs/>
                <w:color w:val="000000"/>
                <w:sz w:val="20"/>
                <w:szCs w:val="20"/>
                <w:lang w:eastAsia="en-US"/>
              </w:rPr>
            </w:pPr>
            <w:r w:rsidRPr="007B6195">
              <w:rPr>
                <w:rFonts w:eastAsia="Times New Roman"/>
                <w:b/>
                <w:bCs/>
                <w:color w:val="000000"/>
                <w:sz w:val="20"/>
                <w:szCs w:val="20"/>
                <w:lang w:eastAsia="en-US"/>
              </w:rPr>
              <w:t>MDD (kN/m</w:t>
            </w:r>
            <w:r w:rsidRPr="007B6195">
              <w:rPr>
                <w:rFonts w:eastAsia="Times New Roman"/>
                <w:b/>
                <w:bCs/>
                <w:color w:val="000000"/>
                <w:sz w:val="20"/>
                <w:szCs w:val="20"/>
                <w:vertAlign w:val="superscript"/>
                <w:lang w:eastAsia="en-US"/>
              </w:rPr>
              <w:t>3</w:t>
            </w:r>
            <w:r w:rsidRPr="007B6195">
              <w:rPr>
                <w:rFonts w:eastAsia="Times New Roman"/>
                <w:b/>
                <w:bCs/>
                <w:color w:val="000000"/>
                <w:sz w:val="20"/>
                <w:szCs w:val="20"/>
                <w:lang w:eastAsia="en-US"/>
              </w:rPr>
              <w:t>)</w:t>
            </w:r>
          </w:p>
        </w:tc>
        <w:tc>
          <w:tcPr>
            <w:tcW w:w="640" w:type="pct"/>
            <w:tcBorders>
              <w:top w:val="single" w:sz="8" w:space="0" w:color="auto"/>
              <w:left w:val="nil"/>
              <w:bottom w:val="single" w:sz="8" w:space="0" w:color="auto"/>
              <w:right w:val="nil"/>
            </w:tcBorders>
            <w:shd w:val="clear" w:color="auto" w:fill="auto"/>
            <w:vAlign w:val="center"/>
            <w:hideMark/>
          </w:tcPr>
          <w:p w:rsidR="00430600" w:rsidRPr="007B6195" w:rsidRDefault="00430600" w:rsidP="007B6195">
            <w:pPr>
              <w:suppressAutoHyphens w:val="0"/>
              <w:jc w:val="center"/>
              <w:rPr>
                <w:rFonts w:eastAsia="Times New Roman"/>
                <w:b/>
                <w:bCs/>
                <w:color w:val="000000"/>
                <w:sz w:val="20"/>
                <w:szCs w:val="20"/>
                <w:lang w:eastAsia="en-US"/>
              </w:rPr>
            </w:pPr>
            <w:r w:rsidRPr="007B6195">
              <w:rPr>
                <w:rFonts w:eastAsia="Times New Roman"/>
                <w:b/>
                <w:bCs/>
                <w:color w:val="000000"/>
                <w:sz w:val="20"/>
                <w:szCs w:val="20"/>
                <w:lang w:eastAsia="en-US"/>
              </w:rPr>
              <w:t>OMC (%)</w:t>
            </w:r>
          </w:p>
        </w:tc>
      </w:tr>
      <w:tr w:rsidR="00430600" w:rsidRPr="007B6195" w:rsidTr="007B6195">
        <w:trPr>
          <w:trHeight w:val="300"/>
        </w:trPr>
        <w:tc>
          <w:tcPr>
            <w:tcW w:w="723" w:type="pct"/>
            <w:tcBorders>
              <w:top w:val="nil"/>
              <w:left w:val="nil"/>
              <w:bottom w:val="nil"/>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L1</w:t>
            </w:r>
          </w:p>
        </w:tc>
        <w:tc>
          <w:tcPr>
            <w:tcW w:w="559" w:type="pct"/>
            <w:tcBorders>
              <w:top w:val="nil"/>
              <w:left w:val="nil"/>
              <w:bottom w:val="nil"/>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0.5</w:t>
            </w:r>
          </w:p>
        </w:tc>
        <w:tc>
          <w:tcPr>
            <w:tcW w:w="599" w:type="pct"/>
            <w:tcBorders>
              <w:top w:val="nil"/>
              <w:left w:val="nil"/>
              <w:bottom w:val="nil"/>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1.8</w:t>
            </w:r>
          </w:p>
        </w:tc>
        <w:tc>
          <w:tcPr>
            <w:tcW w:w="540" w:type="pct"/>
            <w:tcBorders>
              <w:top w:val="nil"/>
              <w:left w:val="nil"/>
              <w:bottom w:val="nil"/>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5</w:t>
            </w:r>
          </w:p>
        </w:tc>
        <w:tc>
          <w:tcPr>
            <w:tcW w:w="580" w:type="pct"/>
            <w:tcBorders>
              <w:top w:val="nil"/>
              <w:left w:val="nil"/>
              <w:bottom w:val="nil"/>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10</w:t>
            </w:r>
          </w:p>
        </w:tc>
        <w:tc>
          <w:tcPr>
            <w:tcW w:w="540" w:type="pct"/>
            <w:tcBorders>
              <w:top w:val="nil"/>
              <w:left w:val="nil"/>
              <w:bottom w:val="nil"/>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1.3</w:t>
            </w:r>
          </w:p>
        </w:tc>
        <w:tc>
          <w:tcPr>
            <w:tcW w:w="819" w:type="pct"/>
            <w:tcBorders>
              <w:top w:val="nil"/>
              <w:left w:val="nil"/>
              <w:bottom w:val="nil"/>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1570</w:t>
            </w:r>
          </w:p>
        </w:tc>
        <w:tc>
          <w:tcPr>
            <w:tcW w:w="640" w:type="pct"/>
            <w:tcBorders>
              <w:top w:val="nil"/>
              <w:left w:val="nil"/>
              <w:bottom w:val="nil"/>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27</w:t>
            </w:r>
          </w:p>
        </w:tc>
      </w:tr>
      <w:tr w:rsidR="00430600" w:rsidRPr="007B6195" w:rsidTr="007B6195">
        <w:trPr>
          <w:trHeight w:val="300"/>
        </w:trPr>
        <w:tc>
          <w:tcPr>
            <w:tcW w:w="723" w:type="pct"/>
            <w:tcBorders>
              <w:top w:val="nil"/>
              <w:left w:val="nil"/>
              <w:bottom w:val="nil"/>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L2</w:t>
            </w:r>
          </w:p>
        </w:tc>
        <w:tc>
          <w:tcPr>
            <w:tcW w:w="559" w:type="pct"/>
            <w:tcBorders>
              <w:top w:val="nil"/>
              <w:left w:val="nil"/>
              <w:bottom w:val="nil"/>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1.1</w:t>
            </w:r>
          </w:p>
        </w:tc>
        <w:tc>
          <w:tcPr>
            <w:tcW w:w="599" w:type="pct"/>
            <w:tcBorders>
              <w:top w:val="nil"/>
              <w:left w:val="nil"/>
              <w:bottom w:val="nil"/>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2</w:t>
            </w:r>
          </w:p>
        </w:tc>
        <w:tc>
          <w:tcPr>
            <w:tcW w:w="540" w:type="pct"/>
            <w:tcBorders>
              <w:top w:val="nil"/>
              <w:left w:val="nil"/>
              <w:bottom w:val="nil"/>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4</w:t>
            </w:r>
          </w:p>
        </w:tc>
        <w:tc>
          <w:tcPr>
            <w:tcW w:w="580" w:type="pct"/>
            <w:tcBorders>
              <w:top w:val="nil"/>
              <w:left w:val="nil"/>
              <w:bottom w:val="nil"/>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3.64</w:t>
            </w:r>
          </w:p>
        </w:tc>
        <w:tc>
          <w:tcPr>
            <w:tcW w:w="540" w:type="pct"/>
            <w:tcBorders>
              <w:top w:val="nil"/>
              <w:left w:val="nil"/>
              <w:bottom w:val="nil"/>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0.91</w:t>
            </w:r>
          </w:p>
        </w:tc>
        <w:tc>
          <w:tcPr>
            <w:tcW w:w="819" w:type="pct"/>
            <w:tcBorders>
              <w:top w:val="nil"/>
              <w:left w:val="nil"/>
              <w:bottom w:val="nil"/>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1722</w:t>
            </w:r>
          </w:p>
        </w:tc>
        <w:tc>
          <w:tcPr>
            <w:tcW w:w="640" w:type="pct"/>
            <w:tcBorders>
              <w:top w:val="nil"/>
              <w:left w:val="nil"/>
              <w:bottom w:val="nil"/>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22</w:t>
            </w:r>
          </w:p>
        </w:tc>
      </w:tr>
      <w:tr w:rsidR="00430600" w:rsidRPr="007B6195" w:rsidTr="007B6195">
        <w:trPr>
          <w:trHeight w:val="300"/>
        </w:trPr>
        <w:tc>
          <w:tcPr>
            <w:tcW w:w="723" w:type="pct"/>
            <w:tcBorders>
              <w:top w:val="nil"/>
              <w:left w:val="nil"/>
              <w:bottom w:val="nil"/>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L3</w:t>
            </w:r>
          </w:p>
        </w:tc>
        <w:tc>
          <w:tcPr>
            <w:tcW w:w="559" w:type="pct"/>
            <w:tcBorders>
              <w:top w:val="nil"/>
              <w:left w:val="nil"/>
              <w:bottom w:val="nil"/>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0.43</w:t>
            </w:r>
          </w:p>
        </w:tc>
        <w:tc>
          <w:tcPr>
            <w:tcW w:w="599" w:type="pct"/>
            <w:tcBorders>
              <w:top w:val="nil"/>
              <w:left w:val="nil"/>
              <w:bottom w:val="nil"/>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1.2</w:t>
            </w:r>
          </w:p>
        </w:tc>
        <w:tc>
          <w:tcPr>
            <w:tcW w:w="540" w:type="pct"/>
            <w:tcBorders>
              <w:top w:val="nil"/>
              <w:left w:val="nil"/>
              <w:bottom w:val="nil"/>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2.36</w:t>
            </w:r>
          </w:p>
        </w:tc>
        <w:tc>
          <w:tcPr>
            <w:tcW w:w="580" w:type="pct"/>
            <w:tcBorders>
              <w:top w:val="nil"/>
              <w:left w:val="nil"/>
              <w:bottom w:val="nil"/>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5.55</w:t>
            </w:r>
          </w:p>
        </w:tc>
        <w:tc>
          <w:tcPr>
            <w:tcW w:w="540" w:type="pct"/>
            <w:tcBorders>
              <w:top w:val="nil"/>
              <w:left w:val="nil"/>
              <w:bottom w:val="nil"/>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1.44</w:t>
            </w:r>
          </w:p>
        </w:tc>
        <w:tc>
          <w:tcPr>
            <w:tcW w:w="819" w:type="pct"/>
            <w:tcBorders>
              <w:top w:val="nil"/>
              <w:left w:val="nil"/>
              <w:bottom w:val="nil"/>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1850</w:t>
            </w:r>
          </w:p>
        </w:tc>
        <w:tc>
          <w:tcPr>
            <w:tcW w:w="640" w:type="pct"/>
            <w:tcBorders>
              <w:top w:val="nil"/>
              <w:left w:val="nil"/>
              <w:bottom w:val="nil"/>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6.7</w:t>
            </w:r>
          </w:p>
        </w:tc>
      </w:tr>
      <w:tr w:rsidR="00430600" w:rsidRPr="007B6195" w:rsidTr="007B6195">
        <w:trPr>
          <w:trHeight w:val="300"/>
        </w:trPr>
        <w:tc>
          <w:tcPr>
            <w:tcW w:w="723" w:type="pct"/>
            <w:tcBorders>
              <w:top w:val="nil"/>
              <w:left w:val="nil"/>
              <w:bottom w:val="nil"/>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L4</w:t>
            </w:r>
          </w:p>
        </w:tc>
        <w:tc>
          <w:tcPr>
            <w:tcW w:w="559" w:type="pct"/>
            <w:tcBorders>
              <w:top w:val="nil"/>
              <w:left w:val="nil"/>
              <w:bottom w:val="nil"/>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0.21</w:t>
            </w:r>
          </w:p>
        </w:tc>
        <w:tc>
          <w:tcPr>
            <w:tcW w:w="599" w:type="pct"/>
            <w:tcBorders>
              <w:top w:val="nil"/>
              <w:left w:val="nil"/>
              <w:bottom w:val="nil"/>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1.2</w:t>
            </w:r>
          </w:p>
        </w:tc>
        <w:tc>
          <w:tcPr>
            <w:tcW w:w="540" w:type="pct"/>
            <w:tcBorders>
              <w:top w:val="nil"/>
              <w:left w:val="nil"/>
              <w:bottom w:val="nil"/>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2.5</w:t>
            </w:r>
          </w:p>
        </w:tc>
        <w:tc>
          <w:tcPr>
            <w:tcW w:w="580" w:type="pct"/>
            <w:tcBorders>
              <w:top w:val="nil"/>
              <w:left w:val="nil"/>
              <w:bottom w:val="nil"/>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11.79</w:t>
            </w:r>
          </w:p>
        </w:tc>
        <w:tc>
          <w:tcPr>
            <w:tcW w:w="540" w:type="pct"/>
            <w:tcBorders>
              <w:top w:val="nil"/>
              <w:left w:val="nil"/>
              <w:bottom w:val="nil"/>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2.72</w:t>
            </w:r>
          </w:p>
        </w:tc>
        <w:tc>
          <w:tcPr>
            <w:tcW w:w="819" w:type="pct"/>
            <w:tcBorders>
              <w:top w:val="nil"/>
              <w:left w:val="nil"/>
              <w:bottom w:val="nil"/>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1680</w:t>
            </w:r>
          </w:p>
        </w:tc>
        <w:tc>
          <w:tcPr>
            <w:tcW w:w="640" w:type="pct"/>
            <w:tcBorders>
              <w:top w:val="nil"/>
              <w:left w:val="nil"/>
              <w:bottom w:val="nil"/>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15.5</w:t>
            </w:r>
          </w:p>
        </w:tc>
      </w:tr>
      <w:tr w:rsidR="00430600" w:rsidRPr="007B6195" w:rsidTr="007B6195">
        <w:trPr>
          <w:trHeight w:val="300"/>
        </w:trPr>
        <w:tc>
          <w:tcPr>
            <w:tcW w:w="723" w:type="pct"/>
            <w:tcBorders>
              <w:top w:val="nil"/>
              <w:left w:val="nil"/>
              <w:bottom w:val="nil"/>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L5</w:t>
            </w:r>
          </w:p>
        </w:tc>
        <w:tc>
          <w:tcPr>
            <w:tcW w:w="559" w:type="pct"/>
            <w:tcBorders>
              <w:top w:val="nil"/>
              <w:left w:val="nil"/>
              <w:bottom w:val="nil"/>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0.38</w:t>
            </w:r>
          </w:p>
        </w:tc>
        <w:tc>
          <w:tcPr>
            <w:tcW w:w="599" w:type="pct"/>
            <w:tcBorders>
              <w:top w:val="nil"/>
              <w:left w:val="nil"/>
              <w:bottom w:val="nil"/>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1</w:t>
            </w:r>
          </w:p>
        </w:tc>
        <w:tc>
          <w:tcPr>
            <w:tcW w:w="540" w:type="pct"/>
            <w:tcBorders>
              <w:top w:val="nil"/>
              <w:left w:val="nil"/>
              <w:bottom w:val="nil"/>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1.8</w:t>
            </w:r>
          </w:p>
        </w:tc>
        <w:tc>
          <w:tcPr>
            <w:tcW w:w="580" w:type="pct"/>
            <w:tcBorders>
              <w:top w:val="nil"/>
              <w:left w:val="nil"/>
              <w:bottom w:val="nil"/>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4.74</w:t>
            </w:r>
          </w:p>
        </w:tc>
        <w:tc>
          <w:tcPr>
            <w:tcW w:w="540" w:type="pct"/>
            <w:tcBorders>
              <w:top w:val="nil"/>
              <w:left w:val="nil"/>
              <w:bottom w:val="nil"/>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1.46</w:t>
            </w:r>
          </w:p>
        </w:tc>
        <w:tc>
          <w:tcPr>
            <w:tcW w:w="819" w:type="pct"/>
            <w:tcBorders>
              <w:top w:val="nil"/>
              <w:left w:val="nil"/>
              <w:bottom w:val="nil"/>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1900</w:t>
            </w:r>
          </w:p>
        </w:tc>
        <w:tc>
          <w:tcPr>
            <w:tcW w:w="640" w:type="pct"/>
            <w:tcBorders>
              <w:top w:val="nil"/>
              <w:left w:val="nil"/>
              <w:bottom w:val="nil"/>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13.8</w:t>
            </w:r>
          </w:p>
        </w:tc>
      </w:tr>
      <w:tr w:rsidR="00430600" w:rsidRPr="007B6195" w:rsidTr="007B6195">
        <w:trPr>
          <w:trHeight w:val="300"/>
        </w:trPr>
        <w:tc>
          <w:tcPr>
            <w:tcW w:w="723" w:type="pct"/>
            <w:tcBorders>
              <w:top w:val="nil"/>
              <w:left w:val="nil"/>
              <w:bottom w:val="nil"/>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L6</w:t>
            </w:r>
          </w:p>
        </w:tc>
        <w:tc>
          <w:tcPr>
            <w:tcW w:w="559" w:type="pct"/>
            <w:tcBorders>
              <w:top w:val="nil"/>
              <w:left w:val="nil"/>
              <w:bottom w:val="nil"/>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0.35</w:t>
            </w:r>
          </w:p>
        </w:tc>
        <w:tc>
          <w:tcPr>
            <w:tcW w:w="599" w:type="pct"/>
            <w:tcBorders>
              <w:top w:val="nil"/>
              <w:left w:val="nil"/>
              <w:bottom w:val="nil"/>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1.2</w:t>
            </w:r>
          </w:p>
        </w:tc>
        <w:tc>
          <w:tcPr>
            <w:tcW w:w="540" w:type="pct"/>
            <w:tcBorders>
              <w:top w:val="nil"/>
              <w:left w:val="nil"/>
              <w:bottom w:val="nil"/>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3</w:t>
            </w:r>
          </w:p>
        </w:tc>
        <w:tc>
          <w:tcPr>
            <w:tcW w:w="580" w:type="pct"/>
            <w:tcBorders>
              <w:top w:val="nil"/>
              <w:left w:val="nil"/>
              <w:bottom w:val="nil"/>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8.57</w:t>
            </w:r>
          </w:p>
        </w:tc>
        <w:tc>
          <w:tcPr>
            <w:tcW w:w="540" w:type="pct"/>
            <w:tcBorders>
              <w:top w:val="nil"/>
              <w:left w:val="nil"/>
              <w:bottom w:val="nil"/>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1.37</w:t>
            </w:r>
          </w:p>
        </w:tc>
        <w:tc>
          <w:tcPr>
            <w:tcW w:w="819" w:type="pct"/>
            <w:tcBorders>
              <w:top w:val="nil"/>
              <w:left w:val="nil"/>
              <w:bottom w:val="nil"/>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1620</w:t>
            </w:r>
          </w:p>
        </w:tc>
        <w:tc>
          <w:tcPr>
            <w:tcW w:w="640" w:type="pct"/>
            <w:tcBorders>
              <w:top w:val="nil"/>
              <w:left w:val="nil"/>
              <w:bottom w:val="nil"/>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35</w:t>
            </w:r>
          </w:p>
        </w:tc>
      </w:tr>
      <w:tr w:rsidR="00430600" w:rsidRPr="007B6195" w:rsidTr="007B6195">
        <w:trPr>
          <w:trHeight w:val="300"/>
        </w:trPr>
        <w:tc>
          <w:tcPr>
            <w:tcW w:w="723" w:type="pct"/>
            <w:tcBorders>
              <w:top w:val="nil"/>
              <w:left w:val="nil"/>
              <w:bottom w:val="nil"/>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L7</w:t>
            </w:r>
          </w:p>
        </w:tc>
        <w:tc>
          <w:tcPr>
            <w:tcW w:w="559" w:type="pct"/>
            <w:tcBorders>
              <w:top w:val="nil"/>
              <w:left w:val="nil"/>
              <w:bottom w:val="nil"/>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0.28</w:t>
            </w:r>
          </w:p>
        </w:tc>
        <w:tc>
          <w:tcPr>
            <w:tcW w:w="599" w:type="pct"/>
            <w:tcBorders>
              <w:top w:val="nil"/>
              <w:left w:val="nil"/>
              <w:bottom w:val="nil"/>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1.42</w:t>
            </w:r>
          </w:p>
        </w:tc>
        <w:tc>
          <w:tcPr>
            <w:tcW w:w="540" w:type="pct"/>
            <w:tcBorders>
              <w:top w:val="nil"/>
              <w:left w:val="nil"/>
              <w:bottom w:val="nil"/>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2.5</w:t>
            </w:r>
          </w:p>
        </w:tc>
        <w:tc>
          <w:tcPr>
            <w:tcW w:w="580" w:type="pct"/>
            <w:tcBorders>
              <w:top w:val="nil"/>
              <w:left w:val="nil"/>
              <w:bottom w:val="nil"/>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8.93</w:t>
            </w:r>
          </w:p>
        </w:tc>
        <w:tc>
          <w:tcPr>
            <w:tcW w:w="540" w:type="pct"/>
            <w:tcBorders>
              <w:top w:val="nil"/>
              <w:left w:val="nil"/>
              <w:bottom w:val="nil"/>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2.88</w:t>
            </w:r>
          </w:p>
        </w:tc>
        <w:tc>
          <w:tcPr>
            <w:tcW w:w="819" w:type="pct"/>
            <w:tcBorders>
              <w:top w:val="nil"/>
              <w:left w:val="nil"/>
              <w:bottom w:val="nil"/>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1630</w:t>
            </w:r>
          </w:p>
        </w:tc>
        <w:tc>
          <w:tcPr>
            <w:tcW w:w="640" w:type="pct"/>
            <w:tcBorders>
              <w:top w:val="nil"/>
              <w:left w:val="nil"/>
              <w:bottom w:val="nil"/>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16.1</w:t>
            </w:r>
          </w:p>
        </w:tc>
      </w:tr>
      <w:tr w:rsidR="00430600" w:rsidRPr="007B6195" w:rsidTr="007B6195">
        <w:trPr>
          <w:trHeight w:val="300"/>
        </w:trPr>
        <w:tc>
          <w:tcPr>
            <w:tcW w:w="723" w:type="pct"/>
            <w:tcBorders>
              <w:top w:val="nil"/>
              <w:left w:val="nil"/>
              <w:bottom w:val="nil"/>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L8</w:t>
            </w:r>
          </w:p>
        </w:tc>
        <w:tc>
          <w:tcPr>
            <w:tcW w:w="559" w:type="pct"/>
            <w:tcBorders>
              <w:top w:val="nil"/>
              <w:left w:val="nil"/>
              <w:bottom w:val="nil"/>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0.71</w:t>
            </w:r>
          </w:p>
        </w:tc>
        <w:tc>
          <w:tcPr>
            <w:tcW w:w="599" w:type="pct"/>
            <w:tcBorders>
              <w:top w:val="nil"/>
              <w:left w:val="nil"/>
              <w:bottom w:val="nil"/>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2.12</w:t>
            </w:r>
          </w:p>
        </w:tc>
        <w:tc>
          <w:tcPr>
            <w:tcW w:w="540" w:type="pct"/>
            <w:tcBorders>
              <w:top w:val="nil"/>
              <w:left w:val="nil"/>
              <w:bottom w:val="nil"/>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3.9</w:t>
            </w:r>
          </w:p>
        </w:tc>
        <w:tc>
          <w:tcPr>
            <w:tcW w:w="580" w:type="pct"/>
            <w:tcBorders>
              <w:top w:val="nil"/>
              <w:left w:val="nil"/>
              <w:bottom w:val="nil"/>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5.49</w:t>
            </w:r>
          </w:p>
        </w:tc>
        <w:tc>
          <w:tcPr>
            <w:tcW w:w="540" w:type="pct"/>
            <w:tcBorders>
              <w:top w:val="nil"/>
              <w:left w:val="nil"/>
              <w:bottom w:val="nil"/>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1.62</w:t>
            </w:r>
          </w:p>
        </w:tc>
        <w:tc>
          <w:tcPr>
            <w:tcW w:w="819" w:type="pct"/>
            <w:tcBorders>
              <w:top w:val="nil"/>
              <w:left w:val="nil"/>
              <w:bottom w:val="nil"/>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1560</w:t>
            </w:r>
          </w:p>
        </w:tc>
        <w:tc>
          <w:tcPr>
            <w:tcW w:w="640" w:type="pct"/>
            <w:tcBorders>
              <w:top w:val="nil"/>
              <w:left w:val="nil"/>
              <w:bottom w:val="nil"/>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17.25</w:t>
            </w:r>
          </w:p>
        </w:tc>
      </w:tr>
      <w:tr w:rsidR="00430600" w:rsidRPr="007B6195" w:rsidTr="007B6195">
        <w:trPr>
          <w:trHeight w:val="300"/>
        </w:trPr>
        <w:tc>
          <w:tcPr>
            <w:tcW w:w="723" w:type="pct"/>
            <w:tcBorders>
              <w:top w:val="nil"/>
              <w:left w:val="nil"/>
              <w:bottom w:val="nil"/>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L9</w:t>
            </w:r>
          </w:p>
        </w:tc>
        <w:tc>
          <w:tcPr>
            <w:tcW w:w="559" w:type="pct"/>
            <w:tcBorders>
              <w:top w:val="nil"/>
              <w:left w:val="nil"/>
              <w:bottom w:val="nil"/>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0.23</w:t>
            </w:r>
          </w:p>
        </w:tc>
        <w:tc>
          <w:tcPr>
            <w:tcW w:w="599" w:type="pct"/>
            <w:tcBorders>
              <w:top w:val="nil"/>
              <w:left w:val="nil"/>
              <w:bottom w:val="nil"/>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1.2</w:t>
            </w:r>
          </w:p>
        </w:tc>
        <w:tc>
          <w:tcPr>
            <w:tcW w:w="540" w:type="pct"/>
            <w:tcBorders>
              <w:top w:val="nil"/>
              <w:left w:val="nil"/>
              <w:bottom w:val="nil"/>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1.95</w:t>
            </w:r>
          </w:p>
        </w:tc>
        <w:tc>
          <w:tcPr>
            <w:tcW w:w="580" w:type="pct"/>
            <w:tcBorders>
              <w:top w:val="nil"/>
              <w:left w:val="nil"/>
              <w:bottom w:val="nil"/>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8.48</w:t>
            </w:r>
          </w:p>
        </w:tc>
        <w:tc>
          <w:tcPr>
            <w:tcW w:w="540" w:type="pct"/>
            <w:tcBorders>
              <w:top w:val="nil"/>
              <w:left w:val="nil"/>
              <w:bottom w:val="nil"/>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3.21</w:t>
            </w:r>
          </w:p>
        </w:tc>
        <w:tc>
          <w:tcPr>
            <w:tcW w:w="819" w:type="pct"/>
            <w:tcBorders>
              <w:top w:val="nil"/>
              <w:left w:val="nil"/>
              <w:bottom w:val="nil"/>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1740</w:t>
            </w:r>
          </w:p>
        </w:tc>
        <w:tc>
          <w:tcPr>
            <w:tcW w:w="640" w:type="pct"/>
            <w:tcBorders>
              <w:top w:val="nil"/>
              <w:left w:val="nil"/>
              <w:bottom w:val="nil"/>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18.5</w:t>
            </w:r>
          </w:p>
        </w:tc>
      </w:tr>
      <w:tr w:rsidR="00430600" w:rsidRPr="007B6195" w:rsidTr="007B6195">
        <w:trPr>
          <w:trHeight w:val="315"/>
        </w:trPr>
        <w:tc>
          <w:tcPr>
            <w:tcW w:w="723" w:type="pct"/>
            <w:tcBorders>
              <w:top w:val="nil"/>
              <w:left w:val="nil"/>
              <w:bottom w:val="single" w:sz="8" w:space="0" w:color="auto"/>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L10</w:t>
            </w:r>
          </w:p>
        </w:tc>
        <w:tc>
          <w:tcPr>
            <w:tcW w:w="559" w:type="pct"/>
            <w:tcBorders>
              <w:top w:val="nil"/>
              <w:left w:val="nil"/>
              <w:bottom w:val="single" w:sz="8" w:space="0" w:color="auto"/>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0.29</w:t>
            </w:r>
          </w:p>
        </w:tc>
        <w:tc>
          <w:tcPr>
            <w:tcW w:w="599" w:type="pct"/>
            <w:tcBorders>
              <w:top w:val="nil"/>
              <w:left w:val="nil"/>
              <w:bottom w:val="single" w:sz="8" w:space="0" w:color="auto"/>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0.72</w:t>
            </w:r>
          </w:p>
        </w:tc>
        <w:tc>
          <w:tcPr>
            <w:tcW w:w="540" w:type="pct"/>
            <w:tcBorders>
              <w:top w:val="nil"/>
              <w:left w:val="nil"/>
              <w:bottom w:val="single" w:sz="8" w:space="0" w:color="auto"/>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2.7</w:t>
            </w:r>
          </w:p>
        </w:tc>
        <w:tc>
          <w:tcPr>
            <w:tcW w:w="580" w:type="pct"/>
            <w:tcBorders>
              <w:top w:val="nil"/>
              <w:left w:val="nil"/>
              <w:bottom w:val="single" w:sz="8" w:space="0" w:color="auto"/>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9.31</w:t>
            </w:r>
          </w:p>
        </w:tc>
        <w:tc>
          <w:tcPr>
            <w:tcW w:w="540" w:type="pct"/>
            <w:tcBorders>
              <w:top w:val="nil"/>
              <w:left w:val="nil"/>
              <w:bottom w:val="single" w:sz="8" w:space="0" w:color="auto"/>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0.66</w:t>
            </w:r>
          </w:p>
        </w:tc>
        <w:tc>
          <w:tcPr>
            <w:tcW w:w="819" w:type="pct"/>
            <w:tcBorders>
              <w:top w:val="nil"/>
              <w:left w:val="nil"/>
              <w:bottom w:val="single" w:sz="8" w:space="0" w:color="auto"/>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2260</w:t>
            </w:r>
          </w:p>
        </w:tc>
        <w:tc>
          <w:tcPr>
            <w:tcW w:w="640" w:type="pct"/>
            <w:tcBorders>
              <w:top w:val="nil"/>
              <w:left w:val="nil"/>
              <w:bottom w:val="single" w:sz="8" w:space="0" w:color="auto"/>
              <w:right w:val="nil"/>
            </w:tcBorders>
            <w:shd w:val="clear" w:color="auto" w:fill="auto"/>
            <w:vAlign w:val="center"/>
            <w:hideMark/>
          </w:tcPr>
          <w:p w:rsidR="00430600" w:rsidRPr="007B6195" w:rsidRDefault="00430600" w:rsidP="007B6195">
            <w:pPr>
              <w:suppressAutoHyphens w:val="0"/>
              <w:jc w:val="center"/>
              <w:rPr>
                <w:rFonts w:eastAsia="Times New Roman"/>
                <w:color w:val="000000"/>
                <w:sz w:val="20"/>
                <w:szCs w:val="20"/>
                <w:lang w:eastAsia="en-US"/>
              </w:rPr>
            </w:pPr>
            <w:r w:rsidRPr="007B6195">
              <w:rPr>
                <w:rFonts w:eastAsia="Times New Roman"/>
                <w:color w:val="000000"/>
                <w:sz w:val="20"/>
                <w:szCs w:val="20"/>
                <w:lang w:eastAsia="en-US"/>
              </w:rPr>
              <w:t>15.6</w:t>
            </w:r>
          </w:p>
        </w:tc>
      </w:tr>
    </w:tbl>
    <w:p w:rsidR="00092518" w:rsidRPr="007B6195" w:rsidRDefault="00092518" w:rsidP="007B6195">
      <w:pPr>
        <w:jc w:val="both"/>
        <w:rPr>
          <w:sz w:val="20"/>
          <w:szCs w:val="20"/>
        </w:rPr>
      </w:pPr>
    </w:p>
    <w:p w:rsidR="004906A4" w:rsidRPr="007B6195" w:rsidRDefault="004906A4" w:rsidP="007B6195">
      <w:pPr>
        <w:autoSpaceDE w:val="0"/>
        <w:autoSpaceDN w:val="0"/>
        <w:adjustRightInd w:val="0"/>
        <w:jc w:val="both"/>
        <w:rPr>
          <w:b/>
          <w:sz w:val="20"/>
          <w:szCs w:val="20"/>
        </w:rPr>
      </w:pPr>
      <w:r w:rsidRPr="007B6195">
        <w:rPr>
          <w:b/>
          <w:sz w:val="20"/>
          <w:szCs w:val="20"/>
        </w:rPr>
        <w:t>Particle size analysis</w:t>
      </w:r>
    </w:p>
    <w:p w:rsidR="004906A4" w:rsidRPr="007B6195" w:rsidRDefault="004906A4" w:rsidP="007B6195">
      <w:pPr>
        <w:autoSpaceDE w:val="0"/>
        <w:autoSpaceDN w:val="0"/>
        <w:adjustRightInd w:val="0"/>
        <w:ind w:firstLine="720"/>
        <w:jc w:val="both"/>
        <w:rPr>
          <w:b/>
          <w:sz w:val="20"/>
          <w:szCs w:val="20"/>
        </w:rPr>
      </w:pPr>
      <w:r w:rsidRPr="007B6195">
        <w:rPr>
          <w:sz w:val="20"/>
          <w:szCs w:val="20"/>
        </w:rPr>
        <w:t>The particle size characteristics of the soil samples (see Table 1) have the following values: D</w:t>
      </w:r>
      <w:r w:rsidRPr="007B6195">
        <w:rPr>
          <w:sz w:val="20"/>
          <w:szCs w:val="20"/>
          <w:vertAlign w:val="subscript"/>
        </w:rPr>
        <w:t>10</w:t>
      </w:r>
      <w:r w:rsidRPr="007B6195">
        <w:rPr>
          <w:sz w:val="20"/>
          <w:szCs w:val="20"/>
        </w:rPr>
        <w:t xml:space="preserve"> ranged between 0.212 (L4) to 1.10 (L2); D</w:t>
      </w:r>
      <w:r w:rsidRPr="007B6195">
        <w:rPr>
          <w:sz w:val="20"/>
          <w:szCs w:val="20"/>
          <w:vertAlign w:val="subscript"/>
        </w:rPr>
        <w:t>30</w:t>
      </w:r>
      <w:r w:rsidRPr="007B6195">
        <w:rPr>
          <w:sz w:val="20"/>
          <w:szCs w:val="20"/>
        </w:rPr>
        <w:t xml:space="preserve"> ranged between 0.72 (L10) to 2,12 (L8); D</w:t>
      </w:r>
      <w:r w:rsidRPr="007B6195">
        <w:rPr>
          <w:sz w:val="20"/>
          <w:szCs w:val="20"/>
          <w:vertAlign w:val="subscript"/>
        </w:rPr>
        <w:t>60</w:t>
      </w:r>
      <w:r w:rsidRPr="007B6195">
        <w:rPr>
          <w:sz w:val="20"/>
          <w:szCs w:val="20"/>
        </w:rPr>
        <w:t xml:space="preserve"> ranged between 1.80 (L5) to 5.0 (L1); C</w:t>
      </w:r>
      <w:r w:rsidRPr="007B6195">
        <w:rPr>
          <w:sz w:val="20"/>
          <w:szCs w:val="20"/>
          <w:vertAlign w:val="subscript"/>
        </w:rPr>
        <w:t>u</w:t>
      </w:r>
      <w:r w:rsidRPr="007B6195">
        <w:rPr>
          <w:sz w:val="20"/>
          <w:szCs w:val="20"/>
        </w:rPr>
        <w:t xml:space="preserve"> ranged between 4.74 (L5) and 11.79 (L4); C</w:t>
      </w:r>
      <w:r w:rsidRPr="007B6195">
        <w:rPr>
          <w:sz w:val="20"/>
          <w:szCs w:val="20"/>
          <w:vertAlign w:val="subscript"/>
        </w:rPr>
        <w:t>c</w:t>
      </w:r>
      <w:r w:rsidRPr="007B6195">
        <w:rPr>
          <w:sz w:val="20"/>
          <w:szCs w:val="20"/>
        </w:rPr>
        <w:t xml:space="preserve"> ranged between 0.66 (L10) and 3.21 (L9).</w:t>
      </w:r>
      <w:r w:rsidRPr="007B6195">
        <w:rPr>
          <w:b/>
          <w:sz w:val="20"/>
          <w:szCs w:val="20"/>
        </w:rPr>
        <w:t xml:space="preserve"> </w:t>
      </w:r>
      <w:r w:rsidRPr="007B6195">
        <w:rPr>
          <w:sz w:val="20"/>
          <w:szCs w:val="20"/>
        </w:rPr>
        <w:t>According to Ismail (2008), C</w:t>
      </w:r>
      <w:r w:rsidRPr="007B6195">
        <w:rPr>
          <w:sz w:val="20"/>
          <w:szCs w:val="20"/>
          <w:vertAlign w:val="subscript"/>
        </w:rPr>
        <w:t>u</w:t>
      </w:r>
      <w:r w:rsidRPr="007B6195">
        <w:rPr>
          <w:sz w:val="20"/>
          <w:szCs w:val="20"/>
        </w:rPr>
        <w:t xml:space="preserve"> &lt; 3 indicates a uniform soil and C</w:t>
      </w:r>
      <w:r w:rsidRPr="007B6195">
        <w:rPr>
          <w:sz w:val="20"/>
          <w:szCs w:val="20"/>
          <w:vertAlign w:val="subscript"/>
        </w:rPr>
        <w:t>u</w:t>
      </w:r>
      <w:r w:rsidRPr="007B6195">
        <w:rPr>
          <w:sz w:val="20"/>
          <w:szCs w:val="20"/>
        </w:rPr>
        <w:t xml:space="preserve"> &gt; 5 indicates a well-graded soil.  Also, most well-graded soils </w:t>
      </w:r>
      <w:r w:rsidRPr="007B6195">
        <w:rPr>
          <w:sz w:val="20"/>
          <w:szCs w:val="20"/>
        </w:rPr>
        <w:lastRenderedPageBreak/>
        <w:t>will have grading curves that are mainly flat or slightly concave, giving values of C</w:t>
      </w:r>
      <w:r w:rsidRPr="007B6195">
        <w:rPr>
          <w:sz w:val="20"/>
          <w:szCs w:val="20"/>
          <w:vertAlign w:val="subscript"/>
        </w:rPr>
        <w:t>c</w:t>
      </w:r>
      <w:r w:rsidRPr="007B6195">
        <w:rPr>
          <w:sz w:val="20"/>
          <w:szCs w:val="20"/>
        </w:rPr>
        <w:t xml:space="preserve"> between 0.5 and 2.0. C</w:t>
      </w:r>
      <w:r w:rsidRPr="007B6195">
        <w:rPr>
          <w:sz w:val="20"/>
          <w:szCs w:val="20"/>
          <w:vertAlign w:val="subscript"/>
        </w:rPr>
        <w:t>c</w:t>
      </w:r>
      <w:r w:rsidRPr="007B6195">
        <w:rPr>
          <w:sz w:val="20"/>
          <w:szCs w:val="20"/>
        </w:rPr>
        <w:t xml:space="preserve"> &lt;0.1 indicates a possible gap-graded soil (Ismail, 2008). Therefore, it could be concluded that majority (80 %) of the soil samples are well-graded. Meyerhof (1963) observed that well graded soils form a denser packing and thus have higher dry density as compared to gap and uniform graded soils because in well graded soils, the finer particles fill the void formed by coarse particles resulting in a more compacted material, and providing more interlocking within the material. This further confirms the fact that the soils are good subgrade material.</w:t>
      </w:r>
    </w:p>
    <w:p w:rsidR="004906A4" w:rsidRPr="007B6195" w:rsidRDefault="004906A4" w:rsidP="007B6195">
      <w:pPr>
        <w:autoSpaceDE w:val="0"/>
        <w:autoSpaceDN w:val="0"/>
        <w:adjustRightInd w:val="0"/>
        <w:jc w:val="both"/>
        <w:rPr>
          <w:b/>
          <w:sz w:val="20"/>
          <w:szCs w:val="20"/>
        </w:rPr>
      </w:pPr>
    </w:p>
    <w:p w:rsidR="004906A4" w:rsidRPr="007B6195" w:rsidRDefault="004906A4" w:rsidP="007B6195">
      <w:pPr>
        <w:autoSpaceDE w:val="0"/>
        <w:autoSpaceDN w:val="0"/>
        <w:adjustRightInd w:val="0"/>
        <w:jc w:val="both"/>
        <w:rPr>
          <w:b/>
          <w:bCs/>
          <w:color w:val="000000"/>
          <w:sz w:val="20"/>
          <w:szCs w:val="20"/>
        </w:rPr>
      </w:pPr>
      <w:r w:rsidRPr="007B6195">
        <w:rPr>
          <w:b/>
          <w:bCs/>
          <w:color w:val="000000"/>
          <w:sz w:val="20"/>
          <w:szCs w:val="20"/>
        </w:rPr>
        <w:t>Effect of particle size characteristics on optimum moisture content (OMC)</w:t>
      </w:r>
    </w:p>
    <w:p w:rsidR="004906A4" w:rsidRPr="007B6195" w:rsidRDefault="004906A4" w:rsidP="007B6195">
      <w:pPr>
        <w:autoSpaceDE w:val="0"/>
        <w:autoSpaceDN w:val="0"/>
        <w:adjustRightInd w:val="0"/>
        <w:ind w:firstLine="720"/>
        <w:jc w:val="both"/>
        <w:rPr>
          <w:b/>
          <w:bCs/>
          <w:color w:val="000000"/>
          <w:sz w:val="20"/>
          <w:szCs w:val="20"/>
        </w:rPr>
      </w:pPr>
      <w:r w:rsidRPr="007B6195">
        <w:rPr>
          <w:sz w:val="20"/>
          <w:szCs w:val="20"/>
        </w:rPr>
        <w:t xml:space="preserve">Figures 3 and 4 show the variations of compaction parameters – OMC and MDD – with particle size characteristics, respectively. It was observed that none of the particle size characteristics singularly gave a predicable relationship with either OMC or MDD of the soils. Consequently, a trial of the combined effects of the particle size characteristics and multiple regression analysis gave the following mathematical equations: </w:t>
      </w:r>
    </w:p>
    <w:p w:rsidR="004906A4" w:rsidRPr="007B6195" w:rsidRDefault="004906A4" w:rsidP="007B6195">
      <w:pPr>
        <w:tabs>
          <w:tab w:val="left" w:pos="1080"/>
        </w:tabs>
        <w:autoSpaceDE w:val="0"/>
        <w:autoSpaceDN w:val="0"/>
        <w:adjustRightInd w:val="0"/>
        <w:jc w:val="both"/>
        <w:rPr>
          <w:rFonts w:hint="eastAsia"/>
          <w:b/>
          <w:bCs/>
          <w:color w:val="000000"/>
          <w:sz w:val="20"/>
          <w:szCs w:val="20"/>
          <w:lang w:eastAsia="zh-CN"/>
        </w:rPr>
      </w:pPr>
    </w:p>
    <w:p w:rsidR="004906A4" w:rsidRPr="007B6195" w:rsidRDefault="004906A4" w:rsidP="007B6195">
      <w:pPr>
        <w:jc w:val="both"/>
        <w:rPr>
          <w:rFonts w:eastAsia="Times New Roman"/>
          <w:color w:val="000000"/>
          <w:sz w:val="20"/>
          <w:szCs w:val="20"/>
        </w:rPr>
      </w:pPr>
      <w:r w:rsidRPr="007B6195">
        <w:rPr>
          <w:rFonts w:eastAsia="Times New Roman"/>
          <w:color w:val="000000"/>
          <w:sz w:val="20"/>
          <w:szCs w:val="20"/>
        </w:rPr>
        <w:t>OMC = -22.923D</w:t>
      </w:r>
      <w:r w:rsidRPr="007B6195">
        <w:rPr>
          <w:rFonts w:eastAsia="Times New Roman"/>
          <w:color w:val="000000"/>
          <w:sz w:val="20"/>
          <w:szCs w:val="20"/>
          <w:vertAlign w:val="subscript"/>
        </w:rPr>
        <w:t>30</w:t>
      </w:r>
      <w:r w:rsidRPr="007B6195">
        <w:rPr>
          <w:rFonts w:eastAsia="Times New Roman"/>
          <w:color w:val="000000"/>
          <w:sz w:val="20"/>
          <w:szCs w:val="20"/>
          <w:vertAlign w:val="superscript"/>
        </w:rPr>
        <w:t>2</w:t>
      </w:r>
      <w:r w:rsidRPr="007B6195">
        <w:rPr>
          <w:rFonts w:eastAsia="Times New Roman"/>
          <w:color w:val="000000"/>
          <w:sz w:val="20"/>
          <w:szCs w:val="20"/>
        </w:rPr>
        <w:t xml:space="preserve"> + 8.18D</w:t>
      </w:r>
      <w:r w:rsidRPr="007B6195">
        <w:rPr>
          <w:rFonts w:eastAsia="Times New Roman"/>
          <w:color w:val="000000"/>
          <w:sz w:val="20"/>
          <w:szCs w:val="20"/>
          <w:vertAlign w:val="subscript"/>
        </w:rPr>
        <w:t>30</w:t>
      </w:r>
      <w:r w:rsidRPr="007B6195">
        <w:rPr>
          <w:rFonts w:eastAsia="Times New Roman"/>
          <w:color w:val="000000"/>
          <w:sz w:val="20"/>
          <w:szCs w:val="20"/>
        </w:rPr>
        <w:t>D</w:t>
      </w:r>
      <w:r w:rsidRPr="007B6195">
        <w:rPr>
          <w:rFonts w:eastAsia="Times New Roman"/>
          <w:color w:val="000000"/>
          <w:sz w:val="20"/>
          <w:szCs w:val="20"/>
          <w:vertAlign w:val="subscript"/>
        </w:rPr>
        <w:t>60</w:t>
      </w:r>
      <w:r w:rsidRPr="007B6195">
        <w:rPr>
          <w:rFonts w:eastAsia="Times New Roman"/>
          <w:color w:val="000000"/>
          <w:sz w:val="20"/>
          <w:szCs w:val="20"/>
        </w:rPr>
        <w:t xml:space="preserve"> - 3.40D</w:t>
      </w:r>
      <w:r w:rsidRPr="007B6195">
        <w:rPr>
          <w:rFonts w:eastAsia="Times New Roman"/>
          <w:color w:val="000000"/>
          <w:sz w:val="20"/>
          <w:szCs w:val="20"/>
          <w:vertAlign w:val="subscript"/>
        </w:rPr>
        <w:t>60</w:t>
      </w:r>
      <w:r w:rsidRPr="007B6195">
        <w:rPr>
          <w:rFonts w:eastAsia="Times New Roman"/>
          <w:color w:val="000000"/>
          <w:sz w:val="20"/>
          <w:szCs w:val="20"/>
          <w:vertAlign w:val="superscript"/>
        </w:rPr>
        <w:t>2</w:t>
      </w:r>
      <w:r w:rsidRPr="007B6195">
        <w:rPr>
          <w:rFonts w:eastAsia="Times New Roman"/>
          <w:color w:val="000000"/>
          <w:sz w:val="20"/>
          <w:szCs w:val="20"/>
        </w:rPr>
        <w:t xml:space="preserve"> + 31.51D</w:t>
      </w:r>
      <w:r w:rsidRPr="007B6195">
        <w:rPr>
          <w:rFonts w:eastAsia="Times New Roman"/>
          <w:color w:val="000000"/>
          <w:sz w:val="20"/>
          <w:szCs w:val="20"/>
          <w:vertAlign w:val="subscript"/>
        </w:rPr>
        <w:t>30</w:t>
      </w:r>
      <w:r w:rsidRPr="007B6195">
        <w:rPr>
          <w:rFonts w:eastAsia="Times New Roman"/>
          <w:color w:val="000000"/>
          <w:sz w:val="20"/>
          <w:szCs w:val="20"/>
        </w:rPr>
        <w:t xml:space="preserve"> + 18.16D</w:t>
      </w:r>
      <w:r w:rsidRPr="007B6195">
        <w:rPr>
          <w:rFonts w:eastAsia="Times New Roman"/>
          <w:color w:val="000000"/>
          <w:sz w:val="20"/>
          <w:szCs w:val="20"/>
          <w:vertAlign w:val="subscript"/>
        </w:rPr>
        <w:t>60</w:t>
      </w:r>
      <w:r w:rsidRPr="007B6195">
        <w:rPr>
          <w:rFonts w:eastAsia="Times New Roman"/>
          <w:color w:val="000000"/>
          <w:sz w:val="20"/>
          <w:szCs w:val="20"/>
        </w:rPr>
        <w:t xml:space="preserve"> - 33.82       (R</w:t>
      </w:r>
      <w:r w:rsidRPr="007B6195">
        <w:rPr>
          <w:rFonts w:eastAsia="Times New Roman"/>
          <w:color w:val="000000"/>
          <w:sz w:val="20"/>
          <w:szCs w:val="20"/>
          <w:vertAlign w:val="superscript"/>
        </w:rPr>
        <w:t>2</w:t>
      </w:r>
      <w:r w:rsidRPr="007B6195">
        <w:rPr>
          <w:rFonts w:eastAsia="Times New Roman"/>
          <w:color w:val="000000"/>
          <w:sz w:val="20"/>
          <w:szCs w:val="20"/>
        </w:rPr>
        <w:t xml:space="preserve"> = 0.43)           (3)</w:t>
      </w:r>
    </w:p>
    <w:p w:rsidR="004906A4" w:rsidRPr="007B6195" w:rsidRDefault="004906A4" w:rsidP="007B6195">
      <w:pPr>
        <w:jc w:val="both"/>
        <w:rPr>
          <w:rFonts w:eastAsia="Times New Roman"/>
          <w:color w:val="000000"/>
          <w:sz w:val="20"/>
          <w:szCs w:val="20"/>
        </w:rPr>
      </w:pPr>
      <w:r w:rsidRPr="007B6195">
        <w:rPr>
          <w:rFonts w:eastAsia="Times New Roman"/>
          <w:color w:val="000000"/>
          <w:sz w:val="20"/>
          <w:szCs w:val="20"/>
        </w:rPr>
        <w:t>MDD = 610.01D</w:t>
      </w:r>
      <w:r w:rsidRPr="007B6195">
        <w:rPr>
          <w:rFonts w:eastAsia="Times New Roman"/>
          <w:color w:val="000000"/>
          <w:sz w:val="20"/>
          <w:szCs w:val="20"/>
          <w:vertAlign w:val="subscript"/>
        </w:rPr>
        <w:t>30</w:t>
      </w:r>
      <w:r w:rsidRPr="007B6195">
        <w:rPr>
          <w:rFonts w:eastAsia="Times New Roman"/>
          <w:color w:val="000000"/>
          <w:sz w:val="20"/>
          <w:szCs w:val="20"/>
          <w:vertAlign w:val="superscript"/>
        </w:rPr>
        <w:t>2</w:t>
      </w:r>
      <w:r w:rsidRPr="007B6195">
        <w:rPr>
          <w:rFonts w:eastAsia="Times New Roman"/>
          <w:color w:val="000000"/>
          <w:sz w:val="20"/>
          <w:szCs w:val="20"/>
        </w:rPr>
        <w:t xml:space="preserve"> - 2.37D30C</w:t>
      </w:r>
      <w:r w:rsidRPr="007B6195">
        <w:rPr>
          <w:rFonts w:eastAsia="Times New Roman"/>
          <w:color w:val="000000"/>
          <w:sz w:val="20"/>
          <w:szCs w:val="20"/>
          <w:vertAlign w:val="subscript"/>
        </w:rPr>
        <w:t>u</w:t>
      </w:r>
      <w:r w:rsidRPr="007B6195">
        <w:rPr>
          <w:rFonts w:eastAsia="Times New Roman"/>
          <w:color w:val="000000"/>
          <w:sz w:val="20"/>
          <w:szCs w:val="20"/>
        </w:rPr>
        <w:t xml:space="preserve"> + 2.81C</w:t>
      </w:r>
      <w:r w:rsidRPr="007B6195">
        <w:rPr>
          <w:rFonts w:eastAsia="Times New Roman"/>
          <w:color w:val="000000"/>
          <w:sz w:val="20"/>
          <w:szCs w:val="20"/>
          <w:vertAlign w:val="subscript"/>
        </w:rPr>
        <w:t>u</w:t>
      </w:r>
      <w:r w:rsidRPr="007B6195">
        <w:rPr>
          <w:rFonts w:eastAsia="Times New Roman"/>
          <w:color w:val="000000"/>
          <w:sz w:val="20"/>
          <w:szCs w:val="20"/>
          <w:vertAlign w:val="superscript"/>
        </w:rPr>
        <w:t>2</w:t>
      </w:r>
      <w:r w:rsidRPr="007B6195">
        <w:rPr>
          <w:rFonts w:eastAsia="Times New Roman"/>
          <w:color w:val="000000"/>
          <w:sz w:val="20"/>
          <w:szCs w:val="20"/>
        </w:rPr>
        <w:t xml:space="preserve"> - 2157.84D</w:t>
      </w:r>
      <w:r w:rsidRPr="007B6195">
        <w:rPr>
          <w:rFonts w:eastAsia="Times New Roman"/>
          <w:color w:val="000000"/>
          <w:sz w:val="20"/>
          <w:szCs w:val="20"/>
          <w:vertAlign w:val="subscript"/>
        </w:rPr>
        <w:t>30</w:t>
      </w:r>
      <w:r w:rsidRPr="007B6195">
        <w:rPr>
          <w:rFonts w:eastAsia="Times New Roman"/>
          <w:color w:val="000000"/>
          <w:sz w:val="20"/>
          <w:szCs w:val="20"/>
        </w:rPr>
        <w:t xml:space="preserve"> - 54.08C</w:t>
      </w:r>
      <w:r w:rsidRPr="007B6195">
        <w:rPr>
          <w:rFonts w:eastAsia="Times New Roman"/>
          <w:color w:val="000000"/>
          <w:sz w:val="20"/>
          <w:szCs w:val="20"/>
          <w:vertAlign w:val="subscript"/>
        </w:rPr>
        <w:t>u</w:t>
      </w:r>
      <w:r w:rsidRPr="007B6195">
        <w:rPr>
          <w:rFonts w:eastAsia="Times New Roman"/>
          <w:color w:val="000000"/>
          <w:sz w:val="20"/>
          <w:szCs w:val="20"/>
        </w:rPr>
        <w:t xml:space="preserve"> + 3717.12    (R</w:t>
      </w:r>
      <w:r w:rsidRPr="007B6195">
        <w:rPr>
          <w:rFonts w:eastAsia="Times New Roman"/>
          <w:color w:val="000000"/>
          <w:sz w:val="20"/>
          <w:szCs w:val="20"/>
          <w:vertAlign w:val="superscript"/>
        </w:rPr>
        <w:t>2</w:t>
      </w:r>
      <w:r w:rsidRPr="007B6195">
        <w:rPr>
          <w:rFonts w:eastAsia="Times New Roman"/>
          <w:color w:val="000000"/>
          <w:sz w:val="20"/>
          <w:szCs w:val="20"/>
        </w:rPr>
        <w:t xml:space="preserve"> = 0.90)        (4)</w:t>
      </w:r>
    </w:p>
    <w:p w:rsidR="004906A4" w:rsidRPr="007B6195" w:rsidRDefault="004906A4" w:rsidP="007B6195">
      <w:pPr>
        <w:autoSpaceDE w:val="0"/>
        <w:autoSpaceDN w:val="0"/>
        <w:adjustRightInd w:val="0"/>
        <w:jc w:val="both"/>
        <w:rPr>
          <w:b/>
          <w:bCs/>
          <w:color w:val="000000"/>
          <w:sz w:val="20"/>
          <w:szCs w:val="20"/>
        </w:rPr>
      </w:pPr>
    </w:p>
    <w:p w:rsidR="004906A4" w:rsidRPr="007B6195" w:rsidRDefault="004906A4" w:rsidP="007B6195">
      <w:pPr>
        <w:autoSpaceDE w:val="0"/>
        <w:autoSpaceDN w:val="0"/>
        <w:adjustRightInd w:val="0"/>
        <w:jc w:val="center"/>
        <w:rPr>
          <w:sz w:val="20"/>
          <w:szCs w:val="20"/>
        </w:rPr>
      </w:pPr>
      <w:r w:rsidRPr="007B6195">
        <w:rPr>
          <w:noProof/>
          <w:sz w:val="20"/>
          <w:szCs w:val="20"/>
          <w:lang w:eastAsia="zh-CN"/>
        </w:rPr>
        <w:drawing>
          <wp:inline distT="0" distB="0" distL="0" distR="0">
            <wp:extent cx="3924300" cy="2438400"/>
            <wp:effectExtent l="19050" t="0" r="1905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906A4" w:rsidRPr="007B6195" w:rsidRDefault="004906A4" w:rsidP="007B6195">
      <w:pPr>
        <w:autoSpaceDE w:val="0"/>
        <w:autoSpaceDN w:val="0"/>
        <w:adjustRightInd w:val="0"/>
        <w:ind w:left="180" w:hanging="180"/>
        <w:jc w:val="both"/>
        <w:rPr>
          <w:sz w:val="20"/>
          <w:szCs w:val="20"/>
        </w:rPr>
      </w:pPr>
      <w:r w:rsidRPr="007B6195">
        <w:rPr>
          <w:b/>
          <w:sz w:val="20"/>
          <w:szCs w:val="20"/>
        </w:rPr>
        <w:t xml:space="preserve"> </w:t>
      </w:r>
      <w:r w:rsidR="00AF552E" w:rsidRPr="007B6195">
        <w:rPr>
          <w:b/>
          <w:sz w:val="20"/>
          <w:szCs w:val="20"/>
        </w:rPr>
        <w:t xml:space="preserve">   </w:t>
      </w:r>
      <w:r w:rsidRPr="007B6195">
        <w:rPr>
          <w:sz w:val="20"/>
          <w:szCs w:val="20"/>
        </w:rPr>
        <w:t>Figure 3: Variation of optimum moisture content with particle size characteristics</w:t>
      </w:r>
    </w:p>
    <w:p w:rsidR="004906A4" w:rsidRPr="007B6195" w:rsidRDefault="004906A4" w:rsidP="007B6195">
      <w:pPr>
        <w:autoSpaceDE w:val="0"/>
        <w:autoSpaceDN w:val="0"/>
        <w:adjustRightInd w:val="0"/>
        <w:jc w:val="both"/>
        <w:rPr>
          <w:color w:val="000000"/>
          <w:sz w:val="20"/>
          <w:szCs w:val="20"/>
        </w:rPr>
      </w:pPr>
      <w:r w:rsidRPr="007B6195">
        <w:rPr>
          <w:color w:val="000000"/>
          <w:sz w:val="20"/>
          <w:szCs w:val="20"/>
        </w:rPr>
        <w:t xml:space="preserve"> </w:t>
      </w:r>
    </w:p>
    <w:p w:rsidR="004906A4" w:rsidRPr="007B6195" w:rsidRDefault="004906A4" w:rsidP="007B6195">
      <w:pPr>
        <w:autoSpaceDE w:val="0"/>
        <w:autoSpaceDN w:val="0"/>
        <w:adjustRightInd w:val="0"/>
        <w:jc w:val="center"/>
        <w:rPr>
          <w:sz w:val="20"/>
          <w:szCs w:val="20"/>
        </w:rPr>
      </w:pPr>
      <w:r w:rsidRPr="007B6195">
        <w:rPr>
          <w:noProof/>
          <w:sz w:val="20"/>
          <w:szCs w:val="20"/>
          <w:lang w:eastAsia="zh-CN"/>
        </w:rPr>
        <w:drawing>
          <wp:inline distT="0" distB="0" distL="0" distR="0">
            <wp:extent cx="3943350" cy="2800350"/>
            <wp:effectExtent l="19050" t="0" r="1905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906A4" w:rsidRPr="007B6195" w:rsidRDefault="004906A4" w:rsidP="007B6195">
      <w:pPr>
        <w:autoSpaceDE w:val="0"/>
        <w:autoSpaceDN w:val="0"/>
        <w:adjustRightInd w:val="0"/>
        <w:jc w:val="both"/>
        <w:rPr>
          <w:sz w:val="20"/>
          <w:szCs w:val="20"/>
        </w:rPr>
      </w:pPr>
      <w:r w:rsidRPr="007B6195">
        <w:rPr>
          <w:sz w:val="20"/>
          <w:szCs w:val="20"/>
        </w:rPr>
        <w:t xml:space="preserve">Figure 4: Variation of maximum dry density with particle size characteristics </w:t>
      </w:r>
    </w:p>
    <w:p w:rsidR="007B6195" w:rsidRDefault="007B6195" w:rsidP="007B6195">
      <w:pPr>
        <w:autoSpaceDE w:val="0"/>
        <w:autoSpaceDN w:val="0"/>
        <w:adjustRightInd w:val="0"/>
        <w:jc w:val="both"/>
        <w:rPr>
          <w:rFonts w:hint="eastAsia"/>
          <w:sz w:val="20"/>
          <w:szCs w:val="20"/>
          <w:lang w:eastAsia="zh-CN"/>
        </w:rPr>
      </w:pPr>
    </w:p>
    <w:p w:rsidR="007B6195" w:rsidRDefault="007B6195" w:rsidP="007B6195">
      <w:pPr>
        <w:autoSpaceDE w:val="0"/>
        <w:autoSpaceDN w:val="0"/>
        <w:adjustRightInd w:val="0"/>
        <w:jc w:val="both"/>
        <w:rPr>
          <w:rFonts w:hint="eastAsia"/>
          <w:sz w:val="20"/>
          <w:szCs w:val="20"/>
          <w:lang w:eastAsia="zh-CN"/>
        </w:rPr>
      </w:pPr>
    </w:p>
    <w:p w:rsidR="007B6195" w:rsidRPr="007B6195" w:rsidRDefault="007B6195" w:rsidP="007B6195">
      <w:pPr>
        <w:autoSpaceDE w:val="0"/>
        <w:autoSpaceDN w:val="0"/>
        <w:adjustRightInd w:val="0"/>
        <w:jc w:val="both"/>
        <w:rPr>
          <w:rFonts w:hint="eastAsia"/>
          <w:sz w:val="20"/>
          <w:szCs w:val="20"/>
          <w:lang w:eastAsia="zh-CN"/>
        </w:rPr>
        <w:sectPr w:rsidR="007B6195" w:rsidRPr="007B6195" w:rsidSect="007B6195">
          <w:footnotePr>
            <w:pos w:val="beneathText"/>
          </w:footnotePr>
          <w:type w:val="continuous"/>
          <w:pgSz w:w="12240" w:h="15840" w:code="1"/>
          <w:pgMar w:top="1440" w:right="1440" w:bottom="1440" w:left="1440" w:header="720" w:footer="720" w:gutter="0"/>
          <w:cols w:space="576"/>
          <w:docGrid w:linePitch="360"/>
        </w:sectPr>
      </w:pPr>
    </w:p>
    <w:p w:rsidR="004906A4" w:rsidRPr="007B6195" w:rsidRDefault="004906A4" w:rsidP="007B6195">
      <w:pPr>
        <w:ind w:firstLine="720"/>
        <w:jc w:val="both"/>
        <w:rPr>
          <w:b/>
          <w:sz w:val="20"/>
          <w:szCs w:val="20"/>
        </w:rPr>
      </w:pPr>
      <w:r w:rsidRPr="007B6195">
        <w:rPr>
          <w:sz w:val="20"/>
          <w:szCs w:val="20"/>
        </w:rPr>
        <w:lastRenderedPageBreak/>
        <w:t>From the values of coefficients of determination (R</w:t>
      </w:r>
      <w:r w:rsidRPr="007B6195">
        <w:rPr>
          <w:sz w:val="20"/>
          <w:szCs w:val="20"/>
          <w:vertAlign w:val="superscript"/>
        </w:rPr>
        <w:t>2</w:t>
      </w:r>
      <w:r w:rsidRPr="007B6195">
        <w:rPr>
          <w:sz w:val="20"/>
          <w:szCs w:val="20"/>
        </w:rPr>
        <w:t>) in the generated equations, it could be said that the combination of D</w:t>
      </w:r>
      <w:r w:rsidRPr="007B6195">
        <w:rPr>
          <w:sz w:val="20"/>
          <w:szCs w:val="20"/>
          <w:vertAlign w:val="subscript"/>
        </w:rPr>
        <w:t>30</w:t>
      </w:r>
      <w:r w:rsidRPr="007B6195">
        <w:rPr>
          <w:sz w:val="20"/>
          <w:szCs w:val="20"/>
        </w:rPr>
        <w:t xml:space="preserve"> and D</w:t>
      </w:r>
      <w:r w:rsidRPr="007B6195">
        <w:rPr>
          <w:sz w:val="20"/>
          <w:szCs w:val="20"/>
          <w:vertAlign w:val="subscript"/>
        </w:rPr>
        <w:t>60</w:t>
      </w:r>
      <w:r w:rsidRPr="007B6195">
        <w:rPr>
          <w:sz w:val="20"/>
          <w:szCs w:val="20"/>
        </w:rPr>
        <w:t xml:space="preserve"> has a fair correlation with OMC; while the combination of D</w:t>
      </w:r>
      <w:r w:rsidRPr="007B6195">
        <w:rPr>
          <w:sz w:val="20"/>
          <w:szCs w:val="20"/>
          <w:vertAlign w:val="subscript"/>
        </w:rPr>
        <w:t>30</w:t>
      </w:r>
      <w:r w:rsidRPr="007B6195">
        <w:rPr>
          <w:sz w:val="20"/>
          <w:szCs w:val="20"/>
        </w:rPr>
        <w:t xml:space="preserve"> and C</w:t>
      </w:r>
      <w:r w:rsidRPr="007B6195">
        <w:rPr>
          <w:sz w:val="20"/>
          <w:szCs w:val="20"/>
          <w:vertAlign w:val="subscript"/>
        </w:rPr>
        <w:t>u</w:t>
      </w:r>
      <w:r w:rsidRPr="007B6195">
        <w:rPr>
          <w:sz w:val="20"/>
          <w:szCs w:val="20"/>
        </w:rPr>
        <w:t xml:space="preserve"> has a strong correlation with MDD (Shahin </w:t>
      </w:r>
      <w:r w:rsidRPr="007B6195">
        <w:rPr>
          <w:i/>
          <w:sz w:val="20"/>
          <w:szCs w:val="20"/>
        </w:rPr>
        <w:t>et al.</w:t>
      </w:r>
      <w:r w:rsidRPr="007B6195">
        <w:rPr>
          <w:sz w:val="20"/>
          <w:szCs w:val="20"/>
        </w:rPr>
        <w:t>. 2009).</w:t>
      </w:r>
    </w:p>
    <w:p w:rsidR="008318CF" w:rsidRPr="007B6195" w:rsidRDefault="008318CF" w:rsidP="007B6195">
      <w:pPr>
        <w:jc w:val="both"/>
        <w:rPr>
          <w:b/>
          <w:sz w:val="20"/>
          <w:szCs w:val="20"/>
        </w:rPr>
      </w:pPr>
    </w:p>
    <w:p w:rsidR="001D59DE" w:rsidRPr="007B6195" w:rsidRDefault="001D59DE" w:rsidP="007B6195">
      <w:pPr>
        <w:jc w:val="both"/>
        <w:rPr>
          <w:b/>
          <w:sz w:val="20"/>
          <w:szCs w:val="20"/>
        </w:rPr>
      </w:pPr>
      <w:r w:rsidRPr="007B6195">
        <w:rPr>
          <w:b/>
          <w:sz w:val="20"/>
          <w:szCs w:val="20"/>
        </w:rPr>
        <w:t xml:space="preserve">4. Conclusion </w:t>
      </w:r>
    </w:p>
    <w:p w:rsidR="001D59DE" w:rsidRPr="007B6195" w:rsidRDefault="001D59DE" w:rsidP="007B6195">
      <w:pPr>
        <w:ind w:firstLine="720"/>
        <w:jc w:val="both"/>
        <w:rPr>
          <w:sz w:val="20"/>
          <w:szCs w:val="20"/>
        </w:rPr>
      </w:pPr>
      <w:r w:rsidRPr="007B6195">
        <w:rPr>
          <w:sz w:val="20"/>
          <w:szCs w:val="20"/>
        </w:rPr>
        <w:t xml:space="preserve">Relationships between compaction parameters (OMC and MDD) of selected soil samples had been studied. </w:t>
      </w:r>
      <w:r w:rsidRPr="007B6195">
        <w:rPr>
          <w:color w:val="000000"/>
          <w:sz w:val="20"/>
          <w:szCs w:val="20"/>
        </w:rPr>
        <w:t xml:space="preserve">The following conclusions are made in relation to the set objectives: (i) none of the particle size characteristics singularly had a good relationship with the compaction parameters; and (ii) only </w:t>
      </w:r>
      <w:r w:rsidRPr="007B6195">
        <w:rPr>
          <w:sz w:val="20"/>
          <w:szCs w:val="20"/>
        </w:rPr>
        <w:t>the combination of D</w:t>
      </w:r>
      <w:r w:rsidRPr="007B6195">
        <w:rPr>
          <w:sz w:val="20"/>
          <w:szCs w:val="20"/>
          <w:vertAlign w:val="subscript"/>
        </w:rPr>
        <w:t>30</w:t>
      </w:r>
      <w:r w:rsidRPr="007B6195">
        <w:rPr>
          <w:sz w:val="20"/>
          <w:szCs w:val="20"/>
        </w:rPr>
        <w:t xml:space="preserve"> and C</w:t>
      </w:r>
      <w:r w:rsidRPr="007B6195">
        <w:rPr>
          <w:sz w:val="20"/>
          <w:szCs w:val="20"/>
          <w:vertAlign w:val="subscript"/>
        </w:rPr>
        <w:t>u</w:t>
      </w:r>
      <w:r w:rsidRPr="007B6195">
        <w:rPr>
          <w:sz w:val="20"/>
          <w:szCs w:val="20"/>
        </w:rPr>
        <w:t xml:space="preserve"> has a strong correlation with maximum dry density.</w:t>
      </w:r>
    </w:p>
    <w:p w:rsidR="00CF1F81" w:rsidRPr="007B6195" w:rsidRDefault="00CF1F81" w:rsidP="007B6195">
      <w:pPr>
        <w:ind w:firstLine="720"/>
        <w:jc w:val="both"/>
        <w:rPr>
          <w:sz w:val="20"/>
          <w:szCs w:val="20"/>
        </w:rPr>
      </w:pPr>
    </w:p>
    <w:p w:rsidR="00CF1F81" w:rsidRPr="007B6195" w:rsidRDefault="00CF1F81" w:rsidP="007B6195">
      <w:pPr>
        <w:jc w:val="both"/>
        <w:rPr>
          <w:b/>
          <w:sz w:val="20"/>
          <w:szCs w:val="20"/>
        </w:rPr>
      </w:pPr>
      <w:r w:rsidRPr="007B6195">
        <w:rPr>
          <w:b/>
          <w:sz w:val="20"/>
          <w:szCs w:val="20"/>
        </w:rPr>
        <w:t xml:space="preserve">Acknowledgements: </w:t>
      </w:r>
    </w:p>
    <w:p w:rsidR="00CF1F81" w:rsidRPr="007B6195" w:rsidRDefault="00CF1F81" w:rsidP="007B6195">
      <w:pPr>
        <w:ind w:firstLine="720"/>
        <w:jc w:val="both"/>
        <w:rPr>
          <w:sz w:val="20"/>
          <w:szCs w:val="20"/>
        </w:rPr>
      </w:pPr>
      <w:r w:rsidRPr="007B6195">
        <w:rPr>
          <w:sz w:val="20"/>
          <w:szCs w:val="20"/>
        </w:rPr>
        <w:t>The authors acknowledge and appreciate the effort and support of Mr. T. Y. Olasupo of the Geotechnical Engineering Laboratory, Department of Civil Engineering, Obafemi Awolowo University, Ile-Ife, during the laboratory work of the study from which this paper was written.</w:t>
      </w:r>
    </w:p>
    <w:p w:rsidR="00FB5B6A" w:rsidRPr="007B6195" w:rsidRDefault="00FB5B6A" w:rsidP="007B6195">
      <w:pPr>
        <w:jc w:val="both"/>
        <w:rPr>
          <w:sz w:val="20"/>
          <w:szCs w:val="20"/>
        </w:rPr>
      </w:pPr>
    </w:p>
    <w:p w:rsidR="00471E57" w:rsidRPr="007B6195" w:rsidRDefault="00471E57" w:rsidP="007B6195">
      <w:pPr>
        <w:jc w:val="both"/>
        <w:rPr>
          <w:b/>
          <w:sz w:val="20"/>
          <w:szCs w:val="20"/>
        </w:rPr>
      </w:pPr>
      <w:r w:rsidRPr="007B6195">
        <w:rPr>
          <w:b/>
          <w:sz w:val="20"/>
          <w:szCs w:val="20"/>
        </w:rPr>
        <w:t>Corresponding Author:</w:t>
      </w:r>
    </w:p>
    <w:p w:rsidR="0049143E" w:rsidRPr="007B6195" w:rsidRDefault="00471E57" w:rsidP="007B6195">
      <w:pPr>
        <w:jc w:val="both"/>
        <w:rPr>
          <w:sz w:val="20"/>
          <w:szCs w:val="20"/>
        </w:rPr>
      </w:pPr>
      <w:r w:rsidRPr="007B6195">
        <w:rPr>
          <w:sz w:val="20"/>
          <w:szCs w:val="20"/>
        </w:rPr>
        <w:t>D</w:t>
      </w:r>
      <w:r w:rsidR="0049143E" w:rsidRPr="007B6195">
        <w:rPr>
          <w:sz w:val="20"/>
          <w:szCs w:val="20"/>
        </w:rPr>
        <w:t xml:space="preserve">r. </w:t>
      </w:r>
      <w:r w:rsidR="00894396" w:rsidRPr="007B6195">
        <w:rPr>
          <w:sz w:val="20"/>
          <w:szCs w:val="20"/>
        </w:rPr>
        <w:t>G, O. Adunoye</w:t>
      </w:r>
      <w:r w:rsidRPr="007B6195">
        <w:rPr>
          <w:sz w:val="20"/>
          <w:szCs w:val="20"/>
        </w:rPr>
        <w:t xml:space="preserve"> </w:t>
      </w:r>
    </w:p>
    <w:p w:rsidR="0049143E" w:rsidRPr="007B6195" w:rsidRDefault="0049143E" w:rsidP="007B6195">
      <w:pPr>
        <w:jc w:val="both"/>
        <w:rPr>
          <w:sz w:val="20"/>
          <w:szCs w:val="20"/>
        </w:rPr>
      </w:pPr>
      <w:r w:rsidRPr="007B6195">
        <w:rPr>
          <w:sz w:val="20"/>
          <w:szCs w:val="20"/>
        </w:rPr>
        <w:t xml:space="preserve">Department of </w:t>
      </w:r>
      <w:r w:rsidR="00894396" w:rsidRPr="007B6195">
        <w:rPr>
          <w:sz w:val="20"/>
          <w:szCs w:val="20"/>
        </w:rPr>
        <w:t>Civil Engineering</w:t>
      </w:r>
      <w:r w:rsidR="00471E57" w:rsidRPr="007B6195">
        <w:rPr>
          <w:sz w:val="20"/>
          <w:szCs w:val="20"/>
        </w:rPr>
        <w:t xml:space="preserve"> </w:t>
      </w:r>
    </w:p>
    <w:p w:rsidR="0049143E" w:rsidRPr="007B6195" w:rsidRDefault="00894396" w:rsidP="007B6195">
      <w:pPr>
        <w:jc w:val="both"/>
        <w:rPr>
          <w:sz w:val="20"/>
          <w:szCs w:val="20"/>
        </w:rPr>
      </w:pPr>
      <w:r w:rsidRPr="007B6195">
        <w:rPr>
          <w:sz w:val="20"/>
          <w:szCs w:val="20"/>
        </w:rPr>
        <w:t>Obafemi Awolowo University</w:t>
      </w:r>
      <w:r w:rsidR="00471E57" w:rsidRPr="007B6195">
        <w:rPr>
          <w:sz w:val="20"/>
          <w:szCs w:val="20"/>
        </w:rPr>
        <w:t xml:space="preserve"> </w:t>
      </w:r>
    </w:p>
    <w:p w:rsidR="0049143E" w:rsidRPr="007B6195" w:rsidRDefault="00894396" w:rsidP="007B6195">
      <w:pPr>
        <w:jc w:val="both"/>
        <w:rPr>
          <w:sz w:val="20"/>
          <w:szCs w:val="20"/>
          <w:lang w:eastAsia="zh-CN"/>
        </w:rPr>
      </w:pPr>
      <w:r w:rsidRPr="007B6195">
        <w:rPr>
          <w:sz w:val="20"/>
          <w:szCs w:val="20"/>
        </w:rPr>
        <w:t>Ile-Ife, Nigeria</w:t>
      </w:r>
      <w:r w:rsidR="00471E57" w:rsidRPr="007B6195">
        <w:rPr>
          <w:sz w:val="20"/>
          <w:szCs w:val="20"/>
        </w:rPr>
        <w:t xml:space="preserve"> </w:t>
      </w:r>
    </w:p>
    <w:p w:rsidR="00997A8E" w:rsidRPr="007B6195" w:rsidRDefault="00997A8E" w:rsidP="007B6195">
      <w:pPr>
        <w:jc w:val="both"/>
        <w:rPr>
          <w:sz w:val="20"/>
          <w:szCs w:val="20"/>
          <w:lang w:eastAsia="zh-CN"/>
        </w:rPr>
      </w:pPr>
      <w:r w:rsidRPr="007B6195">
        <w:rPr>
          <w:sz w:val="20"/>
          <w:szCs w:val="20"/>
          <w:lang w:eastAsia="zh-CN"/>
        </w:rPr>
        <w:t xml:space="preserve">Telephone: </w:t>
      </w:r>
      <w:r w:rsidR="00894396" w:rsidRPr="007B6195">
        <w:rPr>
          <w:sz w:val="20"/>
          <w:szCs w:val="20"/>
          <w:lang w:eastAsia="zh-CN"/>
        </w:rPr>
        <w:t>+234 803 357 9586</w:t>
      </w:r>
    </w:p>
    <w:p w:rsidR="00471E57" w:rsidRPr="007B6195" w:rsidRDefault="00471E57" w:rsidP="007B6195">
      <w:pPr>
        <w:jc w:val="both"/>
        <w:rPr>
          <w:sz w:val="20"/>
          <w:szCs w:val="20"/>
        </w:rPr>
      </w:pPr>
      <w:r w:rsidRPr="007B6195">
        <w:rPr>
          <w:sz w:val="20"/>
          <w:szCs w:val="20"/>
        </w:rPr>
        <w:t xml:space="preserve">E-mail: </w:t>
      </w:r>
      <w:hyperlink r:id="rId17" w:history="1">
        <w:r w:rsidR="00DC211E" w:rsidRPr="007B6195">
          <w:rPr>
            <w:rStyle w:val="Hyperlink"/>
            <w:sz w:val="20"/>
            <w:szCs w:val="20"/>
          </w:rPr>
          <w:t>kayadunoye@yahoo.com</w:t>
        </w:r>
      </w:hyperlink>
      <w:r w:rsidRPr="007B6195">
        <w:rPr>
          <w:sz w:val="20"/>
          <w:szCs w:val="20"/>
        </w:rPr>
        <w:t xml:space="preserve"> </w:t>
      </w:r>
    </w:p>
    <w:p w:rsidR="00471E57" w:rsidRPr="007B6195" w:rsidRDefault="00471E57" w:rsidP="007B6195">
      <w:pPr>
        <w:jc w:val="both"/>
        <w:rPr>
          <w:sz w:val="20"/>
          <w:szCs w:val="20"/>
        </w:rPr>
      </w:pPr>
    </w:p>
    <w:p w:rsidR="00471E57" w:rsidRPr="007B6195" w:rsidRDefault="00471E57" w:rsidP="007B6195">
      <w:pPr>
        <w:jc w:val="both"/>
        <w:rPr>
          <w:b/>
          <w:sz w:val="20"/>
          <w:szCs w:val="20"/>
        </w:rPr>
      </w:pPr>
      <w:r w:rsidRPr="007B6195">
        <w:rPr>
          <w:b/>
          <w:sz w:val="20"/>
          <w:szCs w:val="20"/>
        </w:rPr>
        <w:t>References</w:t>
      </w:r>
    </w:p>
    <w:p w:rsidR="008B5ED3" w:rsidRPr="007B6195" w:rsidRDefault="008B5ED3" w:rsidP="007B6195">
      <w:pPr>
        <w:pStyle w:val="ListParagraph"/>
        <w:numPr>
          <w:ilvl w:val="0"/>
          <w:numId w:val="7"/>
        </w:numPr>
        <w:autoSpaceDE w:val="0"/>
        <w:autoSpaceDN w:val="0"/>
        <w:adjustRightInd w:val="0"/>
        <w:ind w:left="426"/>
        <w:jc w:val="both"/>
        <w:rPr>
          <w:sz w:val="20"/>
          <w:szCs w:val="20"/>
        </w:rPr>
      </w:pPr>
      <w:r w:rsidRPr="007B6195">
        <w:rPr>
          <w:sz w:val="20"/>
          <w:szCs w:val="20"/>
        </w:rPr>
        <w:t xml:space="preserve">AASHTO (2003), </w:t>
      </w:r>
      <w:r w:rsidRPr="007B6195">
        <w:rPr>
          <w:i/>
          <w:iCs/>
          <w:sz w:val="20"/>
          <w:szCs w:val="20"/>
        </w:rPr>
        <w:t>American Association of State Highway and Transportation Officials, User Benefit Analysis for Highways</w:t>
      </w:r>
      <w:r w:rsidRPr="007B6195">
        <w:rPr>
          <w:sz w:val="20"/>
          <w:szCs w:val="20"/>
        </w:rPr>
        <w:t xml:space="preserve">. </w:t>
      </w:r>
    </w:p>
    <w:p w:rsidR="008B5ED3" w:rsidRPr="007B6195" w:rsidRDefault="008B5ED3" w:rsidP="007B6195">
      <w:pPr>
        <w:pStyle w:val="ListParagraph"/>
        <w:numPr>
          <w:ilvl w:val="0"/>
          <w:numId w:val="7"/>
        </w:numPr>
        <w:autoSpaceDE w:val="0"/>
        <w:autoSpaceDN w:val="0"/>
        <w:adjustRightInd w:val="0"/>
        <w:ind w:left="426"/>
        <w:jc w:val="both"/>
        <w:rPr>
          <w:color w:val="000000"/>
          <w:sz w:val="20"/>
          <w:szCs w:val="20"/>
        </w:rPr>
      </w:pPr>
      <w:r w:rsidRPr="007B6195">
        <w:rPr>
          <w:color w:val="000000"/>
          <w:sz w:val="20"/>
          <w:szCs w:val="20"/>
        </w:rPr>
        <w:t>Adunoye, G. O. and Agbede, O. A. (2013) Geotechnical ev</w:t>
      </w:r>
      <w:bookmarkStart w:id="17" w:name="_GoBack"/>
      <w:bookmarkEnd w:id="17"/>
      <w:r w:rsidRPr="007B6195">
        <w:rPr>
          <w:color w:val="000000"/>
          <w:sz w:val="20"/>
          <w:szCs w:val="20"/>
        </w:rPr>
        <w:t xml:space="preserve">aluation of Opa dam, Obafemi Awolowo University, Ile-Ife, Nigeria. The International Journal of Engineering and Science 2(2), 160 – 165. </w:t>
      </w:r>
    </w:p>
    <w:p w:rsidR="008B5ED3" w:rsidRPr="007B6195" w:rsidRDefault="008B5ED3" w:rsidP="007B6195">
      <w:pPr>
        <w:pStyle w:val="ListParagraph"/>
        <w:numPr>
          <w:ilvl w:val="0"/>
          <w:numId w:val="7"/>
        </w:numPr>
        <w:autoSpaceDE w:val="0"/>
        <w:autoSpaceDN w:val="0"/>
        <w:adjustRightInd w:val="0"/>
        <w:ind w:left="426"/>
        <w:jc w:val="both"/>
        <w:rPr>
          <w:bCs/>
          <w:iCs/>
          <w:sz w:val="20"/>
          <w:szCs w:val="20"/>
        </w:rPr>
      </w:pPr>
      <w:r w:rsidRPr="007B6195">
        <w:rPr>
          <w:sz w:val="20"/>
          <w:szCs w:val="20"/>
        </w:rPr>
        <w:t>Adunoye, G.</w:t>
      </w:r>
      <w:r w:rsidRPr="007B6195">
        <w:rPr>
          <w:sz w:val="20"/>
          <w:szCs w:val="20"/>
        </w:rPr>
        <w:tab/>
        <w:t xml:space="preserve"> O., Badmus, A. B., Sagbele, S. A. (2018). </w:t>
      </w:r>
      <w:r w:rsidRPr="007B6195">
        <w:rPr>
          <w:bCs/>
          <w:sz w:val="20"/>
          <w:szCs w:val="20"/>
        </w:rPr>
        <w:t>Experimental Investigation of the Influence of Gradation Parameters on Atterberg Limits of Soil</w:t>
      </w:r>
      <w:r w:rsidRPr="007B6195">
        <w:rPr>
          <w:sz w:val="20"/>
          <w:szCs w:val="20"/>
        </w:rPr>
        <w:t xml:space="preserve">. </w:t>
      </w:r>
      <w:r w:rsidRPr="007B6195">
        <w:rPr>
          <w:bCs/>
          <w:iCs/>
          <w:sz w:val="20"/>
          <w:szCs w:val="20"/>
        </w:rPr>
        <w:t>Archives of Current Research International, 15(4): 1-6.</w:t>
      </w:r>
    </w:p>
    <w:p w:rsidR="008B5ED3" w:rsidRPr="007B6195" w:rsidRDefault="008B5ED3" w:rsidP="007B6195">
      <w:pPr>
        <w:pStyle w:val="ListParagraph"/>
        <w:numPr>
          <w:ilvl w:val="0"/>
          <w:numId w:val="7"/>
        </w:numPr>
        <w:autoSpaceDE w:val="0"/>
        <w:autoSpaceDN w:val="0"/>
        <w:adjustRightInd w:val="0"/>
        <w:ind w:left="426"/>
        <w:jc w:val="both"/>
        <w:rPr>
          <w:bCs/>
          <w:iCs/>
          <w:sz w:val="20"/>
          <w:szCs w:val="20"/>
        </w:rPr>
      </w:pPr>
      <w:r w:rsidRPr="007B6195">
        <w:rPr>
          <w:bCs/>
          <w:color w:val="000000"/>
          <w:sz w:val="20"/>
          <w:szCs w:val="20"/>
        </w:rPr>
        <w:t>Adunoye, G. O., Ojo, A. A., Alasia, A. F., Olarewaju, M. O. (2020). A study on the correlation potential of compaction compaction characteristics and Atterberg limits of selected lateritic soils. International Journal of Physical Research, 8(1): 22-26.</w:t>
      </w:r>
    </w:p>
    <w:p w:rsidR="008B5ED3" w:rsidRPr="007B6195" w:rsidRDefault="008B5ED3" w:rsidP="007B6195">
      <w:pPr>
        <w:pStyle w:val="ListParagraph"/>
        <w:numPr>
          <w:ilvl w:val="0"/>
          <w:numId w:val="7"/>
        </w:numPr>
        <w:autoSpaceDE w:val="0"/>
        <w:autoSpaceDN w:val="0"/>
        <w:adjustRightInd w:val="0"/>
        <w:ind w:left="426"/>
        <w:jc w:val="both"/>
        <w:rPr>
          <w:color w:val="000000"/>
          <w:sz w:val="20"/>
          <w:szCs w:val="20"/>
        </w:rPr>
      </w:pPr>
      <w:r w:rsidRPr="007B6195">
        <w:rPr>
          <w:color w:val="000000"/>
          <w:sz w:val="20"/>
          <w:szCs w:val="20"/>
        </w:rPr>
        <w:t xml:space="preserve">Bello A. A. and Adegoke C. W. (2010) Evaluation of geotechnical properties of Ilesha </w:t>
      </w:r>
      <w:r w:rsidRPr="007B6195">
        <w:rPr>
          <w:color w:val="000000"/>
          <w:sz w:val="20"/>
          <w:szCs w:val="20"/>
        </w:rPr>
        <w:lastRenderedPageBreak/>
        <w:t xml:space="preserve">East Southwest Nigeria’s lateritic soil. Pacific Journal of Science and Technology 11(2), 617-624. </w:t>
      </w:r>
    </w:p>
    <w:p w:rsidR="008B5ED3" w:rsidRPr="007B6195" w:rsidRDefault="008B5ED3" w:rsidP="007B6195">
      <w:pPr>
        <w:pStyle w:val="ListParagraph"/>
        <w:numPr>
          <w:ilvl w:val="0"/>
          <w:numId w:val="7"/>
        </w:numPr>
        <w:autoSpaceDE w:val="0"/>
        <w:autoSpaceDN w:val="0"/>
        <w:adjustRightInd w:val="0"/>
        <w:ind w:left="426"/>
        <w:jc w:val="both"/>
        <w:rPr>
          <w:sz w:val="20"/>
          <w:szCs w:val="20"/>
        </w:rPr>
      </w:pPr>
      <w:r w:rsidRPr="007B6195">
        <w:rPr>
          <w:sz w:val="20"/>
          <w:szCs w:val="20"/>
        </w:rPr>
        <w:t>Boesse, J. M. (1989). A Geological map of the Obafemi Awolowo University Campus (Unpublished), Department of Geology, Obafemi Awolowo University, Ile-Ife.</w:t>
      </w:r>
    </w:p>
    <w:p w:rsidR="008B5ED3" w:rsidRPr="007B6195" w:rsidRDefault="008B5ED3" w:rsidP="007B6195">
      <w:pPr>
        <w:pStyle w:val="ListParagraph"/>
        <w:numPr>
          <w:ilvl w:val="0"/>
          <w:numId w:val="7"/>
        </w:numPr>
        <w:autoSpaceDE w:val="0"/>
        <w:autoSpaceDN w:val="0"/>
        <w:adjustRightInd w:val="0"/>
        <w:ind w:left="426"/>
        <w:jc w:val="both"/>
        <w:rPr>
          <w:color w:val="000000"/>
          <w:sz w:val="20"/>
          <w:szCs w:val="20"/>
        </w:rPr>
      </w:pPr>
      <w:r w:rsidRPr="007B6195">
        <w:rPr>
          <w:color w:val="000000"/>
          <w:sz w:val="20"/>
          <w:szCs w:val="20"/>
        </w:rPr>
        <w:t xml:space="preserve">British Standard (1990). Methods of test for soils for civil engineering properties. London, UK: British Standard Institution. </w:t>
      </w:r>
    </w:p>
    <w:p w:rsidR="008B5ED3" w:rsidRPr="007B6195" w:rsidRDefault="008B5ED3" w:rsidP="007B6195">
      <w:pPr>
        <w:pStyle w:val="ListParagraph"/>
        <w:numPr>
          <w:ilvl w:val="0"/>
          <w:numId w:val="7"/>
        </w:numPr>
        <w:autoSpaceDE w:val="0"/>
        <w:autoSpaceDN w:val="0"/>
        <w:adjustRightInd w:val="0"/>
        <w:ind w:left="426"/>
        <w:jc w:val="both"/>
        <w:rPr>
          <w:color w:val="000000"/>
          <w:sz w:val="20"/>
          <w:szCs w:val="20"/>
        </w:rPr>
      </w:pPr>
      <w:r w:rsidRPr="007B6195">
        <w:rPr>
          <w:rFonts w:eastAsia="CMR9"/>
          <w:sz w:val="20"/>
          <w:szCs w:val="20"/>
        </w:rPr>
        <w:t>Durotoye, A.B. (1983). Quarternary Sediments in Nigeria. Edited by Kogbe C.A.</w:t>
      </w:r>
    </w:p>
    <w:p w:rsidR="008B5ED3" w:rsidRPr="007B6195" w:rsidRDefault="008B5ED3" w:rsidP="007B6195">
      <w:pPr>
        <w:pStyle w:val="ListParagraph"/>
        <w:numPr>
          <w:ilvl w:val="0"/>
          <w:numId w:val="7"/>
        </w:numPr>
        <w:autoSpaceDE w:val="0"/>
        <w:autoSpaceDN w:val="0"/>
        <w:adjustRightInd w:val="0"/>
        <w:ind w:left="426"/>
        <w:jc w:val="both"/>
        <w:rPr>
          <w:color w:val="000000"/>
          <w:sz w:val="20"/>
          <w:szCs w:val="20"/>
        </w:rPr>
      </w:pPr>
      <w:r w:rsidRPr="007B6195">
        <w:rPr>
          <w:color w:val="000000"/>
          <w:sz w:val="20"/>
          <w:szCs w:val="20"/>
        </w:rPr>
        <w:t xml:space="preserve">Federal Ministry of Works and Housing (1997). Nigerian General Specification for Roads and Bridges (Revised Edition) 2, 137-275. </w:t>
      </w:r>
    </w:p>
    <w:p w:rsidR="008B5ED3" w:rsidRPr="007B6195" w:rsidRDefault="008B5ED3" w:rsidP="007B6195">
      <w:pPr>
        <w:pStyle w:val="Default"/>
        <w:numPr>
          <w:ilvl w:val="0"/>
          <w:numId w:val="7"/>
        </w:numPr>
        <w:ind w:left="426"/>
        <w:jc w:val="both"/>
        <w:rPr>
          <w:sz w:val="20"/>
          <w:szCs w:val="20"/>
        </w:rPr>
      </w:pPr>
      <w:r w:rsidRPr="007B6195">
        <w:rPr>
          <w:sz w:val="20"/>
          <w:szCs w:val="20"/>
        </w:rPr>
        <w:t xml:space="preserve">Ismail, M. M. (2008). Mathematical correlations between the effective diameters of soil and other properties. </w:t>
      </w:r>
      <w:r w:rsidRPr="007B6195">
        <w:rPr>
          <w:i/>
          <w:iCs/>
          <w:sz w:val="20"/>
          <w:szCs w:val="20"/>
        </w:rPr>
        <w:t>Eng.&amp; Technology</w:t>
      </w:r>
      <w:r w:rsidRPr="007B6195">
        <w:rPr>
          <w:sz w:val="20"/>
          <w:szCs w:val="20"/>
        </w:rPr>
        <w:t>, 26(10): 1274-1281.</w:t>
      </w:r>
    </w:p>
    <w:p w:rsidR="008B5ED3" w:rsidRPr="007B6195" w:rsidRDefault="008B5ED3" w:rsidP="007B6195">
      <w:pPr>
        <w:pStyle w:val="Default"/>
        <w:numPr>
          <w:ilvl w:val="0"/>
          <w:numId w:val="7"/>
        </w:numPr>
        <w:ind w:left="426"/>
        <w:jc w:val="both"/>
        <w:rPr>
          <w:sz w:val="20"/>
          <w:szCs w:val="20"/>
        </w:rPr>
      </w:pPr>
      <w:r w:rsidRPr="007B6195">
        <w:rPr>
          <w:sz w:val="20"/>
          <w:szCs w:val="20"/>
        </w:rPr>
        <w:t>Kumar, C. V., Satyanarayana, P. V. V. and Satyanarayana, B. (2018). Prediction of Compaction Characteristics Gradation and Plasticity Characteristics of Red Soil. SSRG-International Journal of Civil Engineering, 5(12): 22-26.</w:t>
      </w:r>
    </w:p>
    <w:p w:rsidR="008B5ED3" w:rsidRPr="007B6195" w:rsidRDefault="008B5ED3" w:rsidP="007B6195">
      <w:pPr>
        <w:pStyle w:val="ListParagraph"/>
        <w:numPr>
          <w:ilvl w:val="0"/>
          <w:numId w:val="7"/>
        </w:numPr>
        <w:autoSpaceDE w:val="0"/>
        <w:autoSpaceDN w:val="0"/>
        <w:adjustRightInd w:val="0"/>
        <w:ind w:left="426"/>
        <w:jc w:val="both"/>
        <w:rPr>
          <w:sz w:val="20"/>
          <w:szCs w:val="20"/>
        </w:rPr>
      </w:pPr>
      <w:r w:rsidRPr="007B6195">
        <w:rPr>
          <w:sz w:val="20"/>
          <w:szCs w:val="20"/>
        </w:rPr>
        <w:t>Marquette University, Department of Civil and Environmental Engineering (2000). "</w:t>
      </w:r>
      <w:r w:rsidRPr="007B6195">
        <w:rPr>
          <w:i/>
          <w:iCs/>
          <w:sz w:val="20"/>
          <w:szCs w:val="20"/>
        </w:rPr>
        <w:t>CEEN 043- Behavior ,and Properties of Engineering Materials: Statistical Analysis and Quality Control R~iew Notes".</w:t>
      </w:r>
    </w:p>
    <w:p w:rsidR="008B5ED3" w:rsidRPr="007B6195" w:rsidRDefault="008B5ED3" w:rsidP="007B6195">
      <w:pPr>
        <w:pStyle w:val="ListParagraph"/>
        <w:numPr>
          <w:ilvl w:val="0"/>
          <w:numId w:val="7"/>
        </w:numPr>
        <w:autoSpaceDE w:val="0"/>
        <w:autoSpaceDN w:val="0"/>
        <w:adjustRightInd w:val="0"/>
        <w:ind w:left="426"/>
        <w:jc w:val="both"/>
        <w:rPr>
          <w:sz w:val="20"/>
          <w:szCs w:val="20"/>
        </w:rPr>
      </w:pPr>
      <w:r w:rsidRPr="007B6195">
        <w:rPr>
          <w:sz w:val="20"/>
          <w:szCs w:val="20"/>
        </w:rPr>
        <w:t xml:space="preserve">Masih, R. (2000), </w:t>
      </w:r>
      <w:r w:rsidRPr="007B6195">
        <w:rPr>
          <w:i/>
          <w:iCs/>
          <w:sz w:val="20"/>
          <w:szCs w:val="20"/>
        </w:rPr>
        <w:t>"Formula to Get Desired Density</w:t>
      </w:r>
      <w:r w:rsidRPr="007B6195">
        <w:rPr>
          <w:sz w:val="20"/>
          <w:szCs w:val="20"/>
        </w:rPr>
        <w:t>", Journal of Geotechnical and Geoenvirorunental Engineering, ASCE, Volume 126, Issue 12, pp 1145-1150.</w:t>
      </w:r>
    </w:p>
    <w:p w:rsidR="008B5ED3" w:rsidRPr="007B6195" w:rsidRDefault="008B5ED3" w:rsidP="007B6195">
      <w:pPr>
        <w:pStyle w:val="ListParagraph"/>
        <w:numPr>
          <w:ilvl w:val="0"/>
          <w:numId w:val="7"/>
        </w:numPr>
        <w:autoSpaceDE w:val="0"/>
        <w:autoSpaceDN w:val="0"/>
        <w:adjustRightInd w:val="0"/>
        <w:ind w:left="426"/>
        <w:jc w:val="both"/>
        <w:rPr>
          <w:sz w:val="20"/>
          <w:szCs w:val="20"/>
        </w:rPr>
      </w:pPr>
      <w:r w:rsidRPr="007B6195">
        <w:rPr>
          <w:sz w:val="20"/>
          <w:szCs w:val="20"/>
        </w:rPr>
        <w:t xml:space="preserve">Meyerhof, G. G. (1963). Some recent research on the bearing capacity of foundations. Canadian Geotech. Journal 1(1): 16. </w:t>
      </w:r>
    </w:p>
    <w:p w:rsidR="008B5ED3" w:rsidRPr="007B6195" w:rsidRDefault="008B5ED3" w:rsidP="007B6195">
      <w:pPr>
        <w:pStyle w:val="ListParagraph"/>
        <w:numPr>
          <w:ilvl w:val="0"/>
          <w:numId w:val="7"/>
        </w:numPr>
        <w:autoSpaceDE w:val="0"/>
        <w:autoSpaceDN w:val="0"/>
        <w:adjustRightInd w:val="0"/>
        <w:ind w:left="426"/>
        <w:jc w:val="both"/>
        <w:rPr>
          <w:sz w:val="20"/>
          <w:szCs w:val="20"/>
        </w:rPr>
      </w:pPr>
      <w:r w:rsidRPr="007B6195">
        <w:rPr>
          <w:color w:val="000000"/>
          <w:sz w:val="20"/>
          <w:szCs w:val="20"/>
        </w:rPr>
        <w:t>Mujtaba, H., Farooq, K., Sivakugan, N., Das, B.M. (2013). Correlation between gradational parameters and compaction characteristics of any soils. International JOUrnal of Geotechnical Engineering 7, 4, 395-401. DOI:10.1179/1938636213Z.00000000045.</w:t>
      </w:r>
    </w:p>
    <w:p w:rsidR="008B5ED3" w:rsidRPr="007B6195" w:rsidRDefault="008B5ED3" w:rsidP="007B6195">
      <w:pPr>
        <w:pStyle w:val="ListParagraph"/>
        <w:numPr>
          <w:ilvl w:val="0"/>
          <w:numId w:val="7"/>
        </w:numPr>
        <w:autoSpaceDE w:val="0"/>
        <w:autoSpaceDN w:val="0"/>
        <w:adjustRightInd w:val="0"/>
        <w:ind w:left="426"/>
        <w:jc w:val="both"/>
        <w:rPr>
          <w:color w:val="000000"/>
          <w:sz w:val="20"/>
          <w:szCs w:val="20"/>
        </w:rPr>
      </w:pPr>
      <w:r w:rsidRPr="007B6195">
        <w:rPr>
          <w:sz w:val="20"/>
          <w:szCs w:val="20"/>
        </w:rPr>
        <w:t>Obafemi Awolowo University, Ile-Ife (2015). Map of Obafemi Awolowo University, Ile-Ife.</w:t>
      </w:r>
    </w:p>
    <w:p w:rsidR="008B5ED3" w:rsidRPr="007B6195" w:rsidRDefault="008B5ED3" w:rsidP="007B6195">
      <w:pPr>
        <w:pStyle w:val="ListParagraph"/>
        <w:numPr>
          <w:ilvl w:val="0"/>
          <w:numId w:val="7"/>
        </w:numPr>
        <w:autoSpaceDE w:val="0"/>
        <w:autoSpaceDN w:val="0"/>
        <w:adjustRightInd w:val="0"/>
        <w:ind w:left="426"/>
        <w:jc w:val="both"/>
        <w:rPr>
          <w:color w:val="000000"/>
          <w:sz w:val="20"/>
          <w:szCs w:val="20"/>
        </w:rPr>
      </w:pPr>
      <w:r w:rsidRPr="007B6195">
        <w:rPr>
          <w:color w:val="000000"/>
          <w:sz w:val="20"/>
          <w:szCs w:val="20"/>
        </w:rPr>
        <w:t xml:space="preserve">O’Flaherty CA (1988) Highway engineering 2. Edward Arnold Publishers, London, UK. </w:t>
      </w:r>
    </w:p>
    <w:p w:rsidR="008B5ED3" w:rsidRPr="007B6195" w:rsidRDefault="008B5ED3" w:rsidP="007B6195">
      <w:pPr>
        <w:pStyle w:val="ListParagraph"/>
        <w:numPr>
          <w:ilvl w:val="0"/>
          <w:numId w:val="7"/>
        </w:numPr>
        <w:autoSpaceDE w:val="0"/>
        <w:autoSpaceDN w:val="0"/>
        <w:adjustRightInd w:val="0"/>
        <w:ind w:left="426"/>
        <w:jc w:val="both"/>
        <w:rPr>
          <w:sz w:val="20"/>
          <w:szCs w:val="20"/>
        </w:rPr>
      </w:pPr>
      <w:r w:rsidRPr="007B6195">
        <w:rPr>
          <w:sz w:val="20"/>
          <w:szCs w:val="20"/>
        </w:rPr>
        <w:t xml:space="preserve">Peterson, J. B. (1946). The role of clay minerals in the formation of soil structure. Soil Science 61:247-256. </w:t>
      </w:r>
    </w:p>
    <w:p w:rsidR="008B5ED3" w:rsidRPr="007B6195" w:rsidRDefault="008B5ED3" w:rsidP="007B6195">
      <w:pPr>
        <w:pStyle w:val="Default"/>
        <w:numPr>
          <w:ilvl w:val="0"/>
          <w:numId w:val="7"/>
        </w:numPr>
        <w:ind w:left="426"/>
        <w:jc w:val="both"/>
        <w:rPr>
          <w:sz w:val="20"/>
          <w:szCs w:val="20"/>
        </w:rPr>
      </w:pPr>
      <w:r w:rsidRPr="007B6195">
        <w:rPr>
          <w:bCs/>
          <w:sz w:val="20"/>
          <w:szCs w:val="20"/>
        </w:rPr>
        <w:t xml:space="preserve">Ratnam, U. V. and Prasad, K. N. (2019). Prediction of Compaction and Compressibility Characteristics of Compacted Soils. </w:t>
      </w:r>
      <w:r w:rsidRPr="007B6195">
        <w:rPr>
          <w:sz w:val="20"/>
          <w:szCs w:val="20"/>
        </w:rPr>
        <w:t xml:space="preserve">International Journal of Applied Engineering Research, 14(3): 621-632. </w:t>
      </w:r>
      <w:r w:rsidRPr="007B6195">
        <w:rPr>
          <w:b/>
          <w:bCs/>
          <w:sz w:val="20"/>
          <w:szCs w:val="20"/>
        </w:rPr>
        <w:t xml:space="preserve"> </w:t>
      </w:r>
    </w:p>
    <w:p w:rsidR="008B5ED3" w:rsidRPr="007B6195" w:rsidRDefault="008B5ED3" w:rsidP="007B6195">
      <w:pPr>
        <w:pStyle w:val="ListParagraph"/>
        <w:numPr>
          <w:ilvl w:val="0"/>
          <w:numId w:val="7"/>
        </w:numPr>
        <w:autoSpaceDE w:val="0"/>
        <w:autoSpaceDN w:val="0"/>
        <w:adjustRightInd w:val="0"/>
        <w:ind w:left="426"/>
        <w:jc w:val="both"/>
        <w:rPr>
          <w:color w:val="000000"/>
          <w:sz w:val="20"/>
          <w:szCs w:val="20"/>
        </w:rPr>
      </w:pPr>
      <w:r w:rsidRPr="007B6195">
        <w:rPr>
          <w:color w:val="000000"/>
          <w:sz w:val="20"/>
          <w:szCs w:val="20"/>
        </w:rPr>
        <w:lastRenderedPageBreak/>
        <w:t xml:space="preserve">Shahin,  M. A., Jaksa, M. B. and Maier, H. R. (2009). Recent Advances and Future Challenges for Artificial Neural Systems in Geotechnical Engineering Applications. Advances in Artificial Neural Systems 2009, 1-9, https://doi.org/10.1155/2009/308239. </w:t>
      </w:r>
    </w:p>
    <w:p w:rsidR="008B5ED3" w:rsidRPr="007B6195" w:rsidRDefault="008B5ED3" w:rsidP="007B6195">
      <w:pPr>
        <w:pStyle w:val="ListParagraph"/>
        <w:numPr>
          <w:ilvl w:val="0"/>
          <w:numId w:val="7"/>
        </w:numPr>
        <w:autoSpaceDE w:val="0"/>
        <w:autoSpaceDN w:val="0"/>
        <w:adjustRightInd w:val="0"/>
        <w:ind w:left="426"/>
        <w:jc w:val="both"/>
        <w:rPr>
          <w:bCs/>
          <w:sz w:val="20"/>
          <w:szCs w:val="20"/>
        </w:rPr>
      </w:pPr>
      <w:r w:rsidRPr="007B6195">
        <w:rPr>
          <w:bCs/>
          <w:sz w:val="20"/>
          <w:szCs w:val="20"/>
        </w:rPr>
        <w:lastRenderedPageBreak/>
        <w:t>Worku and Shiferaw (2004). Prediction of Maximum Dry Density of Local Granular Fills, Journal of EEA, Vol. 21, 59-70.</w:t>
      </w:r>
    </w:p>
    <w:p w:rsidR="00471E57" w:rsidRPr="007B6195" w:rsidRDefault="008B5ED3" w:rsidP="007B6195">
      <w:pPr>
        <w:pStyle w:val="ListParagraph"/>
        <w:numPr>
          <w:ilvl w:val="0"/>
          <w:numId w:val="7"/>
        </w:numPr>
        <w:ind w:left="426"/>
        <w:jc w:val="both"/>
        <w:rPr>
          <w:sz w:val="20"/>
          <w:szCs w:val="20"/>
        </w:rPr>
      </w:pPr>
      <w:r w:rsidRPr="007B6195">
        <w:rPr>
          <w:color w:val="000000"/>
          <w:sz w:val="20"/>
          <w:szCs w:val="20"/>
        </w:rPr>
        <w:t>Xuru’s regression tools. Available: http://www.xuru.org. Accessed on 10 October 2020.</w:t>
      </w:r>
    </w:p>
    <w:p w:rsidR="002F20CD" w:rsidRPr="007B6195" w:rsidRDefault="002F20CD" w:rsidP="007B6195">
      <w:pPr>
        <w:jc w:val="both"/>
        <w:rPr>
          <w:sz w:val="20"/>
          <w:szCs w:val="20"/>
        </w:rPr>
        <w:sectPr w:rsidR="002F20CD" w:rsidRPr="007B6195" w:rsidSect="009746E0">
          <w:footnotePr>
            <w:pos w:val="beneathText"/>
          </w:footnotePr>
          <w:type w:val="continuous"/>
          <w:pgSz w:w="12240" w:h="15840" w:code="1"/>
          <w:pgMar w:top="1440" w:right="1440" w:bottom="1440" w:left="1440" w:header="720" w:footer="720" w:gutter="0"/>
          <w:cols w:num="2" w:space="576"/>
          <w:docGrid w:linePitch="360"/>
        </w:sectPr>
      </w:pPr>
    </w:p>
    <w:p w:rsidR="004D0467" w:rsidRPr="007B6195" w:rsidRDefault="004D0467" w:rsidP="007B6195">
      <w:pPr>
        <w:jc w:val="both"/>
        <w:rPr>
          <w:sz w:val="20"/>
          <w:szCs w:val="20"/>
        </w:rPr>
      </w:pPr>
    </w:p>
    <w:p w:rsidR="00B3167C" w:rsidRPr="007B6195" w:rsidRDefault="00B3167C" w:rsidP="007B6195">
      <w:pPr>
        <w:jc w:val="both"/>
        <w:rPr>
          <w:sz w:val="20"/>
          <w:szCs w:val="20"/>
        </w:rPr>
      </w:pPr>
    </w:p>
    <w:p w:rsidR="00EB51F4" w:rsidRPr="007B6195" w:rsidRDefault="00EB51F4" w:rsidP="007B6195">
      <w:pPr>
        <w:jc w:val="both"/>
        <w:rPr>
          <w:sz w:val="20"/>
          <w:szCs w:val="20"/>
        </w:rPr>
      </w:pPr>
    </w:p>
    <w:p w:rsidR="00EB51F4" w:rsidRPr="007B6195" w:rsidRDefault="00EB51F4" w:rsidP="007B6195">
      <w:pPr>
        <w:jc w:val="both"/>
        <w:rPr>
          <w:sz w:val="20"/>
          <w:szCs w:val="20"/>
        </w:rPr>
      </w:pPr>
    </w:p>
    <w:p w:rsidR="004D0467" w:rsidRPr="007B6195" w:rsidRDefault="00304786" w:rsidP="007B6195">
      <w:pPr>
        <w:jc w:val="both"/>
        <w:rPr>
          <w:sz w:val="20"/>
          <w:szCs w:val="20"/>
        </w:rPr>
      </w:pPr>
      <w:r w:rsidRPr="007B6195">
        <w:rPr>
          <w:sz w:val="20"/>
          <w:szCs w:val="20"/>
          <w:lang w:eastAsia="zh-CN"/>
        </w:rPr>
        <w:t>x/x/2020</w:t>
      </w:r>
    </w:p>
    <w:sectPr w:rsidR="004D0467" w:rsidRPr="007B6195" w:rsidSect="009746E0">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D03" w:rsidRDefault="00162D03">
      <w:r>
        <w:separator/>
      </w:r>
    </w:p>
  </w:endnote>
  <w:endnote w:type="continuationSeparator" w:id="0">
    <w:p w:rsidR="00162D03" w:rsidRDefault="00162D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MR9">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357310"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67C" w:rsidRPr="00B3167C" w:rsidRDefault="00357310"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B3167C" w:rsidRPr="00B3167C">
      <w:rPr>
        <w:rStyle w:val="PageNumber"/>
        <w:sz w:val="20"/>
        <w:szCs w:val="20"/>
      </w:rPr>
      <w:instrText xml:space="preserve">PAGE  </w:instrText>
    </w:r>
    <w:r w:rsidRPr="00B3167C">
      <w:rPr>
        <w:rStyle w:val="PageNumber"/>
        <w:sz w:val="20"/>
        <w:szCs w:val="20"/>
      </w:rPr>
      <w:fldChar w:fldCharType="separate"/>
    </w:r>
    <w:r w:rsidR="007B6195">
      <w:rPr>
        <w:rStyle w:val="PageNumber"/>
        <w:noProof/>
        <w:sz w:val="20"/>
        <w:szCs w:val="20"/>
      </w:rPr>
      <w:t>34</w:t>
    </w:r>
    <w:r w:rsidRPr="00B3167C">
      <w:rPr>
        <w:rStyle w:val="PageNumber"/>
        <w:sz w:val="20"/>
        <w:szCs w:val="20"/>
      </w:rPr>
      <w:fldChar w:fldCharType="end"/>
    </w:r>
  </w:p>
  <w:p w:rsidR="00471E57" w:rsidRDefault="00357310" w:rsidP="006E6ACB">
    <w:pPr>
      <w:jc w:val="center"/>
      <w:rPr>
        <w:lang w:eastAsia="zh-CN"/>
      </w:rPr>
    </w:pPr>
    <w:hyperlink r:id="rId1" w:history="1">
      <w:r w:rsidR="003246A8">
        <w:rPr>
          <w:rStyle w:val="Hyperlink"/>
          <w:rFonts w:cs="Calibri"/>
          <w:sz w:val="20"/>
          <w:szCs w:val="20"/>
        </w:rPr>
        <w:t>http://www.sciencepub.net</w:t>
      </w:r>
      <w:r w:rsidR="003246A8">
        <w:rPr>
          <w:rStyle w:val="Hyperlink"/>
          <w:sz w:val="20"/>
          <w:szCs w:val="20"/>
        </w:rPr>
        <w:t>/newyork</w:t>
      </w:r>
    </w:hyperlink>
    <w:r w:rsidR="003246A8">
      <w:rPr>
        <w:bCs/>
        <w:sz w:val="20"/>
      </w:rPr>
      <w:t xml:space="preserve">                        </w:t>
    </w:r>
    <w:r w:rsidR="003246A8">
      <w:rPr>
        <w:bCs/>
        <w:sz w:val="20"/>
      </w:rPr>
      <w:tab/>
    </w:r>
    <w:r w:rsidR="003246A8">
      <w:rPr>
        <w:bCs/>
        <w:sz w:val="20"/>
      </w:rPr>
      <w:tab/>
    </w:r>
    <w:r w:rsidR="003246A8">
      <w:rPr>
        <w:bCs/>
        <w:sz w:val="20"/>
      </w:rPr>
      <w:tab/>
      <w:t xml:space="preserve">                   </w:t>
    </w:r>
    <w:bookmarkStart w:id="15" w:name="OLE_LINK13"/>
    <w:bookmarkStart w:id="16" w:name="OLE_LINK12"/>
    <w:r>
      <w:rPr>
        <w:bCs/>
        <w:sz w:val="20"/>
      </w:rPr>
      <w:fldChar w:fldCharType="begin"/>
    </w:r>
    <w:r w:rsidR="003246A8">
      <w:rPr>
        <w:bCs/>
        <w:sz w:val="20"/>
      </w:rPr>
      <w:instrText xml:space="preserve"> HYPERLINK "mailto:newyorksci@gmail.com" </w:instrText>
    </w:r>
    <w:r>
      <w:rPr>
        <w:bCs/>
        <w:sz w:val="20"/>
      </w:rPr>
      <w:fldChar w:fldCharType="separate"/>
    </w:r>
    <w:r w:rsidR="003246A8">
      <w:rPr>
        <w:rStyle w:val="Hyperlink"/>
        <w:bCs/>
        <w:sz w:val="20"/>
      </w:rPr>
      <w:t>newyorksci@gmail.com</w:t>
    </w:r>
    <w:bookmarkEnd w:id="15"/>
    <w:bookmarkEnd w:id="16"/>
    <w:r>
      <w:rPr>
        <w:bCs/>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D03" w:rsidRDefault="00162D03">
      <w:r>
        <w:separator/>
      </w:r>
    </w:p>
  </w:footnote>
  <w:footnote w:type="continuationSeparator" w:id="0">
    <w:p w:rsidR="00162D03" w:rsidRDefault="00162D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6A8" w:rsidRPr="004101AC" w:rsidRDefault="003246A8" w:rsidP="003246A8">
    <w:pPr>
      <w:pBdr>
        <w:bottom w:val="thinThickMediumGap" w:sz="12" w:space="1" w:color="auto"/>
      </w:pBdr>
      <w:jc w:val="center"/>
      <w:rPr>
        <w:iCs/>
        <w:sz w:val="20"/>
      </w:rPr>
    </w:pPr>
    <w:bookmarkStart w:id="2" w:name="_Hlk302678399"/>
    <w:bookmarkStart w:id="3" w:name="OLE_LINK3"/>
    <w:bookmarkStart w:id="4" w:name="OLE_LINK4"/>
    <w:bookmarkStart w:id="5" w:name="_Hlk302678401"/>
    <w:bookmarkStart w:id="6" w:name="OLE_LINK5"/>
    <w:bookmarkStart w:id="7" w:name="OLE_LINK6"/>
    <w:bookmarkStart w:id="8" w:name="OLE_LINK7"/>
    <w:bookmarkStart w:id="9" w:name="OLE_LINK8"/>
    <w:bookmarkStart w:id="10" w:name="OLE_LINK9"/>
    <w:bookmarkStart w:id="11" w:name="_Hlk313407873"/>
    <w:bookmarkStart w:id="12" w:name="OLE_LINK10"/>
    <w:bookmarkStart w:id="13" w:name="OLE_LINK11"/>
    <w:bookmarkStart w:id="14" w:name="_Hlk313407879"/>
    <w:r>
      <w:rPr>
        <w:sz w:val="20"/>
      </w:rPr>
      <w:t>New York Science Journal 20</w:t>
    </w:r>
    <w:r w:rsidR="00BA4DAA">
      <w:rPr>
        <w:rFonts w:hint="eastAsia"/>
        <w:sz w:val="20"/>
        <w:lang w:eastAsia="zh-CN"/>
      </w:rPr>
      <w:t>2</w:t>
    </w:r>
    <w:r w:rsidR="009746E0">
      <w:rPr>
        <w:rFonts w:hint="eastAsia"/>
        <w:sz w:val="20"/>
        <w:lang w:eastAsia="zh-CN"/>
      </w:rPr>
      <w:t>2</w:t>
    </w:r>
    <w:r w:rsidRPr="004101AC">
      <w:rPr>
        <w:sz w:val="20"/>
      </w:rPr>
      <w:t>;</w:t>
    </w:r>
    <w:r w:rsidR="0082375D">
      <w:rPr>
        <w:sz w:val="20"/>
      </w:rPr>
      <w:t>1</w:t>
    </w:r>
    <w:r w:rsidR="009746E0">
      <w:rPr>
        <w:rFonts w:hint="eastAsia"/>
        <w:sz w:val="20"/>
        <w:lang w:eastAsia="zh-CN"/>
      </w:rPr>
      <w:t>5</w:t>
    </w:r>
    <w:r w:rsidRPr="004101AC">
      <w:rPr>
        <w:sz w:val="20"/>
      </w:rPr>
      <w:t>(</w:t>
    </w:r>
    <w:r w:rsidR="009746E0">
      <w:rPr>
        <w:rFonts w:hint="eastAsia"/>
        <w:sz w:val="20"/>
        <w:lang w:eastAsia="zh-CN"/>
      </w:rPr>
      <w:t>3</w:t>
    </w:r>
    <w:r w:rsidRPr="004101AC">
      <w:rPr>
        <w:sz w:val="20"/>
      </w:rPr>
      <w:t>)</w:t>
    </w:r>
    <w:r w:rsidRPr="004101AC">
      <w:rPr>
        <w:iCs/>
        <w:sz w:val="20"/>
      </w:rPr>
      <w:t xml:space="preserve">                                                </w:t>
    </w:r>
    <w:hyperlink r:id="rId1" w:history="1">
      <w:r w:rsidRPr="004101AC">
        <w:rPr>
          <w:rStyle w:val="Hyperlink"/>
          <w:sz w:val="20"/>
        </w:rPr>
        <w:t>http://www.sciencepub.net/newyork</w:t>
      </w:r>
    </w:hyperlink>
    <w:bookmarkEnd w:id="2"/>
    <w:bookmarkEnd w:id="3"/>
    <w:bookmarkEnd w:id="4"/>
    <w:bookmarkEnd w:id="5"/>
    <w:bookmarkEnd w:id="6"/>
    <w:bookmarkEnd w:id="7"/>
    <w:bookmarkEnd w:id="8"/>
  </w:p>
  <w:bookmarkEnd w:id="9"/>
  <w:bookmarkEnd w:id="10"/>
  <w:bookmarkEnd w:id="11"/>
  <w:bookmarkEnd w:id="12"/>
  <w:bookmarkEnd w:id="13"/>
  <w:bookmarkEnd w:id="14"/>
  <w:p w:rsidR="003246A8" w:rsidRPr="00606CD7" w:rsidRDefault="003246A8" w:rsidP="003246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CA4C3C"/>
    <w:multiLevelType w:val="hybridMultilevel"/>
    <w:tmpl w:val="E04A01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69E25EF"/>
    <w:multiLevelType w:val="hybridMultilevel"/>
    <w:tmpl w:val="4FA87616"/>
    <w:lvl w:ilvl="0" w:tplc="B7C461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2314588"/>
    <w:multiLevelType w:val="hybridMultilevel"/>
    <w:tmpl w:val="5B205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1266"/>
  </w:hdrShapeDefaults>
  <w:footnotePr>
    <w:pos w:val="beneathText"/>
    <w:footnote w:id="-1"/>
    <w:footnote w:id="0"/>
  </w:footnotePr>
  <w:endnotePr>
    <w:endnote w:id="-1"/>
    <w:endnote w:id="0"/>
  </w:endnotePr>
  <w:compat>
    <w:useFELayout/>
  </w:compat>
  <w:rsids>
    <w:rsidRoot w:val="009459B3"/>
    <w:rsid w:val="00000358"/>
    <w:rsid w:val="00003656"/>
    <w:rsid w:val="00005C8E"/>
    <w:rsid w:val="000075A2"/>
    <w:rsid w:val="00011438"/>
    <w:rsid w:val="00012408"/>
    <w:rsid w:val="0006091F"/>
    <w:rsid w:val="00063049"/>
    <w:rsid w:val="00080CE9"/>
    <w:rsid w:val="000827B7"/>
    <w:rsid w:val="000844D7"/>
    <w:rsid w:val="00086790"/>
    <w:rsid w:val="00090A06"/>
    <w:rsid w:val="00092518"/>
    <w:rsid w:val="000A0250"/>
    <w:rsid w:val="000A3F90"/>
    <w:rsid w:val="00145C39"/>
    <w:rsid w:val="00162D03"/>
    <w:rsid w:val="001817C7"/>
    <w:rsid w:val="00183764"/>
    <w:rsid w:val="001964D0"/>
    <w:rsid w:val="001A0CD7"/>
    <w:rsid w:val="001B41B8"/>
    <w:rsid w:val="001B650D"/>
    <w:rsid w:val="001C3D42"/>
    <w:rsid w:val="001D59DE"/>
    <w:rsid w:val="001F2DCC"/>
    <w:rsid w:val="00205E97"/>
    <w:rsid w:val="00227125"/>
    <w:rsid w:val="00245C21"/>
    <w:rsid w:val="002721F1"/>
    <w:rsid w:val="00282FA1"/>
    <w:rsid w:val="002B5613"/>
    <w:rsid w:val="002C41EA"/>
    <w:rsid w:val="002D3558"/>
    <w:rsid w:val="002D589A"/>
    <w:rsid w:val="002F20CD"/>
    <w:rsid w:val="002F49EF"/>
    <w:rsid w:val="00301F95"/>
    <w:rsid w:val="00304786"/>
    <w:rsid w:val="00314F95"/>
    <w:rsid w:val="00322FAB"/>
    <w:rsid w:val="003246A8"/>
    <w:rsid w:val="003345F7"/>
    <w:rsid w:val="0033644C"/>
    <w:rsid w:val="00345581"/>
    <w:rsid w:val="003455DF"/>
    <w:rsid w:val="0034702D"/>
    <w:rsid w:val="003532E9"/>
    <w:rsid w:val="00357310"/>
    <w:rsid w:val="00363EB1"/>
    <w:rsid w:val="003679A0"/>
    <w:rsid w:val="00394B65"/>
    <w:rsid w:val="003A5900"/>
    <w:rsid w:val="003A785E"/>
    <w:rsid w:val="003B55FF"/>
    <w:rsid w:val="003B651F"/>
    <w:rsid w:val="003C0116"/>
    <w:rsid w:val="003C4C28"/>
    <w:rsid w:val="003E4617"/>
    <w:rsid w:val="00407852"/>
    <w:rsid w:val="00430600"/>
    <w:rsid w:val="004330E9"/>
    <w:rsid w:val="0043645D"/>
    <w:rsid w:val="0043735C"/>
    <w:rsid w:val="00454A59"/>
    <w:rsid w:val="00456753"/>
    <w:rsid w:val="00460430"/>
    <w:rsid w:val="00471E57"/>
    <w:rsid w:val="00480715"/>
    <w:rsid w:val="004906A4"/>
    <w:rsid w:val="0049143E"/>
    <w:rsid w:val="00494C81"/>
    <w:rsid w:val="004C35C4"/>
    <w:rsid w:val="004C7E2A"/>
    <w:rsid w:val="004D01D3"/>
    <w:rsid w:val="004D0467"/>
    <w:rsid w:val="004E7309"/>
    <w:rsid w:val="004F4AFB"/>
    <w:rsid w:val="0051752F"/>
    <w:rsid w:val="00520D1A"/>
    <w:rsid w:val="0052512B"/>
    <w:rsid w:val="00553F9B"/>
    <w:rsid w:val="005660A1"/>
    <w:rsid w:val="00593132"/>
    <w:rsid w:val="005A21B0"/>
    <w:rsid w:val="005A5E42"/>
    <w:rsid w:val="005C2F35"/>
    <w:rsid w:val="005D1DA6"/>
    <w:rsid w:val="005E45E2"/>
    <w:rsid w:val="005F5E04"/>
    <w:rsid w:val="006443E5"/>
    <w:rsid w:val="0065209A"/>
    <w:rsid w:val="006552A3"/>
    <w:rsid w:val="00657995"/>
    <w:rsid w:val="006807BB"/>
    <w:rsid w:val="006B505A"/>
    <w:rsid w:val="006B5399"/>
    <w:rsid w:val="006D573E"/>
    <w:rsid w:val="006D5C2E"/>
    <w:rsid w:val="006E6ACB"/>
    <w:rsid w:val="006E7156"/>
    <w:rsid w:val="006F1706"/>
    <w:rsid w:val="006F2E84"/>
    <w:rsid w:val="006F6A70"/>
    <w:rsid w:val="00744442"/>
    <w:rsid w:val="007725E7"/>
    <w:rsid w:val="0078317C"/>
    <w:rsid w:val="0078507E"/>
    <w:rsid w:val="007937C1"/>
    <w:rsid w:val="007B4963"/>
    <w:rsid w:val="007B5907"/>
    <w:rsid w:val="007B6195"/>
    <w:rsid w:val="007B6772"/>
    <w:rsid w:val="007D3D09"/>
    <w:rsid w:val="007D746F"/>
    <w:rsid w:val="007F763B"/>
    <w:rsid w:val="00807F63"/>
    <w:rsid w:val="008131CF"/>
    <w:rsid w:val="00814FA7"/>
    <w:rsid w:val="008233D0"/>
    <w:rsid w:val="0082375D"/>
    <w:rsid w:val="00825A67"/>
    <w:rsid w:val="00825AF5"/>
    <w:rsid w:val="008318CF"/>
    <w:rsid w:val="00834F99"/>
    <w:rsid w:val="0085007D"/>
    <w:rsid w:val="00875C08"/>
    <w:rsid w:val="00894396"/>
    <w:rsid w:val="008A20AC"/>
    <w:rsid w:val="008A67B6"/>
    <w:rsid w:val="008B5ED3"/>
    <w:rsid w:val="008D3729"/>
    <w:rsid w:val="008F5B15"/>
    <w:rsid w:val="00900D33"/>
    <w:rsid w:val="0091208A"/>
    <w:rsid w:val="00914558"/>
    <w:rsid w:val="00925EBB"/>
    <w:rsid w:val="00935CF7"/>
    <w:rsid w:val="0094140D"/>
    <w:rsid w:val="009459B3"/>
    <w:rsid w:val="00952EB8"/>
    <w:rsid w:val="009746E0"/>
    <w:rsid w:val="00987FF3"/>
    <w:rsid w:val="00997A8E"/>
    <w:rsid w:val="009A1AF3"/>
    <w:rsid w:val="009A3681"/>
    <w:rsid w:val="009A7F78"/>
    <w:rsid w:val="009B6004"/>
    <w:rsid w:val="009F4AB8"/>
    <w:rsid w:val="00A1557F"/>
    <w:rsid w:val="00A3476D"/>
    <w:rsid w:val="00A51405"/>
    <w:rsid w:val="00A64A97"/>
    <w:rsid w:val="00AB1446"/>
    <w:rsid w:val="00AF552E"/>
    <w:rsid w:val="00B06DF9"/>
    <w:rsid w:val="00B3167C"/>
    <w:rsid w:val="00B3625C"/>
    <w:rsid w:val="00B36B45"/>
    <w:rsid w:val="00B53398"/>
    <w:rsid w:val="00B60543"/>
    <w:rsid w:val="00B60E8D"/>
    <w:rsid w:val="00B80C0E"/>
    <w:rsid w:val="00B810A8"/>
    <w:rsid w:val="00B918AE"/>
    <w:rsid w:val="00B91961"/>
    <w:rsid w:val="00B93D94"/>
    <w:rsid w:val="00B94E19"/>
    <w:rsid w:val="00BA4DAA"/>
    <w:rsid w:val="00BD2A8D"/>
    <w:rsid w:val="00BD4FCC"/>
    <w:rsid w:val="00BF38E1"/>
    <w:rsid w:val="00BF6579"/>
    <w:rsid w:val="00BF6829"/>
    <w:rsid w:val="00BF7716"/>
    <w:rsid w:val="00C0761F"/>
    <w:rsid w:val="00C101C9"/>
    <w:rsid w:val="00C400EA"/>
    <w:rsid w:val="00C44596"/>
    <w:rsid w:val="00C60D61"/>
    <w:rsid w:val="00C92003"/>
    <w:rsid w:val="00CC4387"/>
    <w:rsid w:val="00CC5F34"/>
    <w:rsid w:val="00CC7C6D"/>
    <w:rsid w:val="00CD064C"/>
    <w:rsid w:val="00CE7B2F"/>
    <w:rsid w:val="00CF1F81"/>
    <w:rsid w:val="00CF24FB"/>
    <w:rsid w:val="00CF6616"/>
    <w:rsid w:val="00D04C27"/>
    <w:rsid w:val="00D13147"/>
    <w:rsid w:val="00D26F2E"/>
    <w:rsid w:val="00D3777A"/>
    <w:rsid w:val="00D56002"/>
    <w:rsid w:val="00D778C9"/>
    <w:rsid w:val="00D868B0"/>
    <w:rsid w:val="00DC211E"/>
    <w:rsid w:val="00DF6507"/>
    <w:rsid w:val="00DF7353"/>
    <w:rsid w:val="00E015B9"/>
    <w:rsid w:val="00E330B8"/>
    <w:rsid w:val="00E34501"/>
    <w:rsid w:val="00E34DBD"/>
    <w:rsid w:val="00E52EA0"/>
    <w:rsid w:val="00E57761"/>
    <w:rsid w:val="00E617EB"/>
    <w:rsid w:val="00E67F09"/>
    <w:rsid w:val="00E73E1D"/>
    <w:rsid w:val="00EA326C"/>
    <w:rsid w:val="00EB51F4"/>
    <w:rsid w:val="00EB5543"/>
    <w:rsid w:val="00EC565A"/>
    <w:rsid w:val="00EC5C53"/>
    <w:rsid w:val="00ED4441"/>
    <w:rsid w:val="00ED4A29"/>
    <w:rsid w:val="00ED4ED9"/>
    <w:rsid w:val="00EE1CEE"/>
    <w:rsid w:val="00EE1F4B"/>
    <w:rsid w:val="00EE7047"/>
    <w:rsid w:val="00F02C87"/>
    <w:rsid w:val="00F03305"/>
    <w:rsid w:val="00F2228B"/>
    <w:rsid w:val="00F503BF"/>
    <w:rsid w:val="00F544A3"/>
    <w:rsid w:val="00F62573"/>
    <w:rsid w:val="00F83A62"/>
    <w:rsid w:val="00F840BC"/>
    <w:rsid w:val="00FA6D77"/>
    <w:rsid w:val="00FB5B6A"/>
    <w:rsid w:val="00FC4906"/>
    <w:rsid w:val="00FD3F74"/>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CC7C6D"/>
    <w:pPr>
      <w:keepNext/>
      <w:numPr>
        <w:numId w:val="1"/>
      </w:numPr>
      <w:outlineLvl w:val="0"/>
    </w:pPr>
    <w:rPr>
      <w:b/>
      <w:bCs/>
      <w:sz w:val="32"/>
    </w:rPr>
  </w:style>
  <w:style w:type="paragraph" w:styleId="Heading2">
    <w:name w:val="heading 2"/>
    <w:basedOn w:val="Normal"/>
    <w:next w:val="Normal"/>
    <w:qFormat/>
    <w:rsid w:val="00CC7C6D"/>
    <w:pPr>
      <w:keepNext/>
      <w:numPr>
        <w:ilvl w:val="1"/>
        <w:numId w:val="1"/>
      </w:numPr>
      <w:jc w:val="both"/>
      <w:outlineLvl w:val="1"/>
    </w:pPr>
    <w:rPr>
      <w:b/>
      <w:sz w:val="28"/>
    </w:rPr>
  </w:style>
  <w:style w:type="paragraph" w:styleId="Heading3">
    <w:name w:val="heading 3"/>
    <w:basedOn w:val="Normal"/>
    <w:next w:val="Normal"/>
    <w:qFormat/>
    <w:rsid w:val="00CC7C6D"/>
    <w:pPr>
      <w:keepNext/>
      <w:numPr>
        <w:ilvl w:val="2"/>
        <w:numId w:val="1"/>
      </w:numPr>
      <w:spacing w:line="360" w:lineRule="auto"/>
      <w:jc w:val="both"/>
      <w:outlineLvl w:val="2"/>
    </w:pPr>
    <w:rPr>
      <w:b/>
      <w:bCs/>
    </w:rPr>
  </w:style>
  <w:style w:type="paragraph" w:styleId="Heading6">
    <w:name w:val="heading 6"/>
    <w:basedOn w:val="Normal"/>
    <w:next w:val="Normal"/>
    <w:qFormat/>
    <w:rsid w:val="00CC7C6D"/>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CC7C6D"/>
  </w:style>
  <w:style w:type="character" w:customStyle="1" w:styleId="WW-Absatz-Standardschriftart">
    <w:name w:val="WW-Absatz-Standardschriftart"/>
    <w:rsid w:val="00CC7C6D"/>
  </w:style>
  <w:style w:type="character" w:customStyle="1" w:styleId="WW-Absatz-Standardschriftart1">
    <w:name w:val="WW-Absatz-Standardschriftart1"/>
    <w:rsid w:val="00CC7C6D"/>
  </w:style>
  <w:style w:type="character" w:customStyle="1" w:styleId="WW-Absatz-Standardschriftart11">
    <w:name w:val="WW-Absatz-Standardschriftart11"/>
    <w:rsid w:val="00CC7C6D"/>
  </w:style>
  <w:style w:type="character" w:customStyle="1" w:styleId="WW-Absatz-Standardschriftart111">
    <w:name w:val="WW-Absatz-Standardschriftart111"/>
    <w:rsid w:val="00CC7C6D"/>
  </w:style>
  <w:style w:type="character" w:customStyle="1" w:styleId="WW-Absatz-Standardschriftart1111">
    <w:name w:val="WW-Absatz-Standardschriftart1111"/>
    <w:rsid w:val="00CC7C6D"/>
  </w:style>
  <w:style w:type="character" w:customStyle="1" w:styleId="WW-Absatz-Standardschriftart11111">
    <w:name w:val="WW-Absatz-Standardschriftart11111"/>
    <w:rsid w:val="00CC7C6D"/>
  </w:style>
  <w:style w:type="character" w:customStyle="1" w:styleId="WW-Absatz-Standardschriftart111111">
    <w:name w:val="WW-Absatz-Standardschriftart111111"/>
    <w:rsid w:val="00CC7C6D"/>
  </w:style>
  <w:style w:type="character" w:customStyle="1" w:styleId="WW-Absatz-Standardschriftart1111111">
    <w:name w:val="WW-Absatz-Standardschriftart1111111"/>
    <w:rsid w:val="00CC7C6D"/>
  </w:style>
  <w:style w:type="character" w:customStyle="1" w:styleId="WW-Absatz-Standardschriftart11111111">
    <w:name w:val="WW-Absatz-Standardschriftart11111111"/>
    <w:rsid w:val="00CC7C6D"/>
  </w:style>
  <w:style w:type="character" w:customStyle="1" w:styleId="WW-Absatz-Standardschriftart111111111">
    <w:name w:val="WW-Absatz-Standardschriftart111111111"/>
    <w:rsid w:val="00CC7C6D"/>
  </w:style>
  <w:style w:type="character" w:customStyle="1" w:styleId="WW-Absatz-Standardschriftart1111111111">
    <w:name w:val="WW-Absatz-Standardschriftart1111111111"/>
    <w:rsid w:val="00CC7C6D"/>
  </w:style>
  <w:style w:type="character" w:customStyle="1" w:styleId="WW-Absatz-Standardschriftart11111111111">
    <w:name w:val="WW-Absatz-Standardschriftart11111111111"/>
    <w:rsid w:val="00CC7C6D"/>
  </w:style>
  <w:style w:type="character" w:customStyle="1" w:styleId="WW-Absatz-Standardschriftart111111111111">
    <w:name w:val="WW-Absatz-Standardschriftart111111111111"/>
    <w:rsid w:val="00CC7C6D"/>
  </w:style>
  <w:style w:type="character" w:customStyle="1" w:styleId="WW-Absatz-Standardschriftart1111111111111">
    <w:name w:val="WW-Absatz-Standardschriftart1111111111111"/>
    <w:rsid w:val="00CC7C6D"/>
  </w:style>
  <w:style w:type="character" w:customStyle="1" w:styleId="WW-Absatz-Standardschriftart11111111111111">
    <w:name w:val="WW-Absatz-Standardschriftart11111111111111"/>
    <w:rsid w:val="00CC7C6D"/>
  </w:style>
  <w:style w:type="character" w:customStyle="1" w:styleId="WW-Absatz-Standardschriftart111111111111111">
    <w:name w:val="WW-Absatz-Standardschriftart111111111111111"/>
    <w:rsid w:val="00CC7C6D"/>
  </w:style>
  <w:style w:type="character" w:customStyle="1" w:styleId="WW-Absatz-Standardschriftart1111111111111111">
    <w:name w:val="WW-Absatz-Standardschriftart1111111111111111"/>
    <w:rsid w:val="00CC7C6D"/>
  </w:style>
  <w:style w:type="character" w:customStyle="1" w:styleId="WW8Num1z0">
    <w:name w:val="WW8Num1z0"/>
    <w:rsid w:val="00CC7C6D"/>
    <w:rPr>
      <w:rFonts w:ascii="Symbol" w:eastAsia="Times New Roman" w:hAnsi="Symbol" w:cs="Times New Roman"/>
    </w:rPr>
  </w:style>
  <w:style w:type="character" w:customStyle="1" w:styleId="WW8Num1z1">
    <w:name w:val="WW8Num1z1"/>
    <w:rsid w:val="00CC7C6D"/>
    <w:rPr>
      <w:rFonts w:ascii="Courier New" w:hAnsi="Courier New" w:cs="Courier New"/>
    </w:rPr>
  </w:style>
  <w:style w:type="character" w:customStyle="1" w:styleId="WW8Num1z2">
    <w:name w:val="WW8Num1z2"/>
    <w:rsid w:val="00CC7C6D"/>
    <w:rPr>
      <w:rFonts w:ascii="Wingdings" w:hAnsi="Wingdings"/>
    </w:rPr>
  </w:style>
  <w:style w:type="character" w:customStyle="1" w:styleId="WW8Num1z3">
    <w:name w:val="WW8Num1z3"/>
    <w:rsid w:val="00CC7C6D"/>
    <w:rPr>
      <w:rFonts w:ascii="Symbol" w:hAnsi="Symbol"/>
    </w:rPr>
  </w:style>
  <w:style w:type="character" w:styleId="PageNumber">
    <w:name w:val="page number"/>
    <w:basedOn w:val="DefaultParagraphFont"/>
    <w:rsid w:val="00CC7C6D"/>
  </w:style>
  <w:style w:type="character" w:styleId="Hyperlink">
    <w:name w:val="Hyperlink"/>
    <w:basedOn w:val="DefaultParagraphFont"/>
    <w:rsid w:val="00CC7C6D"/>
    <w:rPr>
      <w:color w:val="0000FF"/>
      <w:u w:val="single"/>
    </w:rPr>
  </w:style>
  <w:style w:type="character" w:styleId="FollowedHyperlink">
    <w:name w:val="FollowedHyperlink"/>
    <w:basedOn w:val="DefaultParagraphFont"/>
    <w:rsid w:val="00CC7C6D"/>
    <w:rPr>
      <w:color w:val="800080"/>
      <w:u w:val="single"/>
    </w:rPr>
  </w:style>
  <w:style w:type="character" w:customStyle="1" w:styleId="NumberingSymbols">
    <w:name w:val="Numbering Symbols"/>
    <w:rsid w:val="00CC7C6D"/>
  </w:style>
  <w:style w:type="paragraph" w:customStyle="1" w:styleId="Heading">
    <w:name w:val="Heading"/>
    <w:basedOn w:val="Normal"/>
    <w:next w:val="BodyText"/>
    <w:rsid w:val="00CC7C6D"/>
    <w:pPr>
      <w:keepNext/>
      <w:spacing w:before="240" w:after="120"/>
    </w:pPr>
    <w:rPr>
      <w:rFonts w:ascii="Nimbus Sans L" w:eastAsia="DejaVu Sans" w:hAnsi="Nimbus Sans L" w:cs="DejaVu Sans"/>
      <w:sz w:val="28"/>
      <w:szCs w:val="28"/>
    </w:rPr>
  </w:style>
  <w:style w:type="paragraph" w:styleId="BodyText">
    <w:name w:val="Body Text"/>
    <w:basedOn w:val="Normal"/>
    <w:rsid w:val="00CC7C6D"/>
    <w:pPr>
      <w:spacing w:line="360" w:lineRule="auto"/>
    </w:pPr>
  </w:style>
  <w:style w:type="paragraph" w:styleId="List">
    <w:name w:val="List"/>
    <w:basedOn w:val="BodyText"/>
    <w:rsid w:val="00CC7C6D"/>
  </w:style>
  <w:style w:type="paragraph" w:styleId="Caption">
    <w:name w:val="caption"/>
    <w:basedOn w:val="Normal"/>
    <w:qFormat/>
    <w:rsid w:val="00CC7C6D"/>
    <w:pPr>
      <w:suppressLineNumbers/>
      <w:spacing w:before="120" w:after="120"/>
    </w:pPr>
    <w:rPr>
      <w:i/>
      <w:iCs/>
    </w:rPr>
  </w:style>
  <w:style w:type="paragraph" w:customStyle="1" w:styleId="Index">
    <w:name w:val="Index"/>
    <w:basedOn w:val="Normal"/>
    <w:rsid w:val="00CC7C6D"/>
    <w:pPr>
      <w:suppressLineNumbers/>
    </w:pPr>
  </w:style>
  <w:style w:type="paragraph" w:styleId="Header">
    <w:name w:val="header"/>
    <w:basedOn w:val="Normal"/>
    <w:next w:val="Heading1"/>
    <w:link w:val="HeaderChar"/>
    <w:rsid w:val="00CC7C6D"/>
    <w:pPr>
      <w:tabs>
        <w:tab w:val="center" w:pos="4320"/>
        <w:tab w:val="right" w:pos="8640"/>
      </w:tabs>
    </w:pPr>
  </w:style>
  <w:style w:type="paragraph" w:styleId="BodyTextIndent3">
    <w:name w:val="Body Text Indent 3"/>
    <w:basedOn w:val="Normal"/>
    <w:rsid w:val="00CC7C6D"/>
    <w:pPr>
      <w:spacing w:line="360" w:lineRule="auto"/>
      <w:ind w:firstLine="720"/>
      <w:jc w:val="both"/>
    </w:pPr>
    <w:rPr>
      <w:b/>
      <w:bCs/>
    </w:rPr>
  </w:style>
  <w:style w:type="paragraph" w:styleId="BodyTextIndent">
    <w:name w:val="Body Text Indent"/>
    <w:basedOn w:val="Normal"/>
    <w:rsid w:val="00CC7C6D"/>
    <w:pPr>
      <w:ind w:left="540" w:hanging="720"/>
      <w:jc w:val="both"/>
    </w:pPr>
  </w:style>
  <w:style w:type="paragraph" w:styleId="BodyTextIndent2">
    <w:name w:val="Body Text Indent 2"/>
    <w:basedOn w:val="Normal"/>
    <w:rsid w:val="00CC7C6D"/>
    <w:pPr>
      <w:spacing w:line="360" w:lineRule="auto"/>
      <w:ind w:firstLine="720"/>
      <w:jc w:val="both"/>
    </w:pPr>
  </w:style>
  <w:style w:type="paragraph" w:styleId="BodyText2">
    <w:name w:val="Body Text 2"/>
    <w:basedOn w:val="Normal"/>
    <w:rsid w:val="00CC7C6D"/>
    <w:pPr>
      <w:spacing w:line="360" w:lineRule="auto"/>
      <w:jc w:val="both"/>
    </w:pPr>
  </w:style>
  <w:style w:type="paragraph" w:styleId="Footer">
    <w:name w:val="footer"/>
    <w:basedOn w:val="Normal"/>
    <w:rsid w:val="00CC7C6D"/>
    <w:pPr>
      <w:tabs>
        <w:tab w:val="center" w:pos="4320"/>
        <w:tab w:val="right" w:pos="8640"/>
      </w:tabs>
    </w:pPr>
    <w:rPr>
      <w:sz w:val="32"/>
    </w:rPr>
  </w:style>
  <w:style w:type="paragraph" w:customStyle="1" w:styleId="TableContents">
    <w:name w:val="Table Contents"/>
    <w:basedOn w:val="Normal"/>
    <w:rsid w:val="00CC7C6D"/>
    <w:pPr>
      <w:suppressLineNumbers/>
    </w:pPr>
  </w:style>
  <w:style w:type="paragraph" w:customStyle="1" w:styleId="TableHeading">
    <w:name w:val="Table Heading"/>
    <w:basedOn w:val="TableContents"/>
    <w:rsid w:val="00CC7C6D"/>
    <w:pPr>
      <w:jc w:val="center"/>
    </w:pPr>
    <w:rPr>
      <w:b/>
      <w:bCs/>
    </w:rPr>
  </w:style>
  <w:style w:type="paragraph" w:customStyle="1" w:styleId="Framecontents">
    <w:name w:val="Frame contents"/>
    <w:basedOn w:val="BodyText"/>
    <w:rsid w:val="00CC7C6D"/>
  </w:style>
  <w:style w:type="paragraph" w:customStyle="1" w:styleId="Text">
    <w:name w:val="Text"/>
    <w:basedOn w:val="Normal"/>
    <w:rsid w:val="00CC7C6D"/>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D778C9"/>
    <w:rPr>
      <w:sz w:val="24"/>
      <w:szCs w:val="24"/>
      <w:lang w:eastAsia="ar-SA"/>
    </w:rPr>
  </w:style>
  <w:style w:type="paragraph" w:styleId="ListParagraph">
    <w:name w:val="List Paragraph"/>
    <w:basedOn w:val="Normal"/>
    <w:uiPriority w:val="34"/>
    <w:qFormat/>
    <w:rsid w:val="004330E9"/>
    <w:pPr>
      <w:ind w:left="720"/>
      <w:contextualSpacing/>
    </w:pPr>
  </w:style>
  <w:style w:type="paragraph" w:customStyle="1" w:styleId="Default">
    <w:name w:val="Default"/>
    <w:rsid w:val="00EA326C"/>
    <w:pPr>
      <w:autoSpaceDE w:val="0"/>
      <w:autoSpaceDN w:val="0"/>
      <w:adjustRightInd w:val="0"/>
    </w:pPr>
    <w:rPr>
      <w:rFonts w:eastAsiaTheme="minorHAnsi"/>
      <w:color w:val="000000"/>
      <w:sz w:val="24"/>
      <w:szCs w:val="24"/>
      <w:lang w:eastAsia="en-US"/>
    </w:rPr>
  </w:style>
  <w:style w:type="paragraph" w:styleId="BalloonText">
    <w:name w:val="Balloon Text"/>
    <w:basedOn w:val="Normal"/>
    <w:link w:val="BalloonTextChar"/>
    <w:uiPriority w:val="99"/>
    <w:semiHidden/>
    <w:unhideWhenUsed/>
    <w:rsid w:val="007B6195"/>
    <w:rPr>
      <w:rFonts w:ascii="Tahoma" w:hAnsi="Tahoma" w:cs="Tahoma"/>
      <w:sz w:val="16"/>
      <w:szCs w:val="16"/>
    </w:rPr>
  </w:style>
  <w:style w:type="character" w:customStyle="1" w:styleId="BalloonTextChar">
    <w:name w:val="Balloon Text Char"/>
    <w:basedOn w:val="DefaultParagraphFont"/>
    <w:link w:val="BalloonText"/>
    <w:uiPriority w:val="99"/>
    <w:semiHidden/>
    <w:rsid w:val="007B6195"/>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354624875">
      <w:bodyDiv w:val="1"/>
      <w:marLeft w:val="0"/>
      <w:marRight w:val="0"/>
      <w:marTop w:val="0"/>
      <w:marBottom w:val="0"/>
      <w:divBdr>
        <w:top w:val="none" w:sz="0" w:space="0" w:color="auto"/>
        <w:left w:val="none" w:sz="0" w:space="0" w:color="auto"/>
        <w:bottom w:val="none" w:sz="0" w:space="0" w:color="auto"/>
        <w:right w:val="none" w:sz="0" w:space="0" w:color="auto"/>
      </w:divBdr>
    </w:div>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mailto:kayadunoye@yahoo.com" TargetMode="External"/><Relationship Id="rId2" Type="http://schemas.openxmlformats.org/officeDocument/2006/relationships/styles" Target="styles.xml"/><Relationship Id="rId16" Type="http://schemas.openxmlformats.org/officeDocument/2006/relationships/chart" Target="charts/chart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x.doi.org/10.7537/marsnys150322.03" TargetMode="External"/><Relationship Id="rId14"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Olukayode%20Adunoye\Documents\School\Project%20Students\2014-2015\Relationship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Olukayode%20Adunoye\Documents\School\Project%20Students\2014-2015\Relationship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20456204098863592"/>
          <c:y val="6.6805217243528114E-2"/>
          <c:w val="0.52068215262977191"/>
          <c:h val="0.54746360392001359"/>
        </c:manualLayout>
      </c:layout>
      <c:lineChart>
        <c:grouping val="standard"/>
        <c:ser>
          <c:idx val="3"/>
          <c:order val="0"/>
          <c:tx>
            <c:strRef>
              <c:f>'OMC and PSD'!$B$5</c:f>
              <c:strCache>
                <c:ptCount val="1"/>
                <c:pt idx="0">
                  <c:v>D10</c:v>
                </c:pt>
              </c:strCache>
            </c:strRef>
          </c:tx>
          <c:spPr>
            <a:ln w="15875">
              <a:solidFill>
                <a:srgbClr val="0070C0"/>
              </a:solidFill>
            </a:ln>
          </c:spPr>
          <c:cat>
            <c:numRef>
              <c:f>'OMC and PSD'!$A$6:$A$15</c:f>
              <c:numCache>
                <c:formatCode>General</c:formatCode>
                <c:ptCount val="10"/>
                <c:pt idx="0">
                  <c:v>27</c:v>
                </c:pt>
                <c:pt idx="1">
                  <c:v>22</c:v>
                </c:pt>
                <c:pt idx="2">
                  <c:v>6.7</c:v>
                </c:pt>
                <c:pt idx="3">
                  <c:v>15.55</c:v>
                </c:pt>
                <c:pt idx="4">
                  <c:v>13.8</c:v>
                </c:pt>
                <c:pt idx="5">
                  <c:v>35</c:v>
                </c:pt>
                <c:pt idx="6">
                  <c:v>16.110000000000028</c:v>
                </c:pt>
                <c:pt idx="7">
                  <c:v>17.25</c:v>
                </c:pt>
                <c:pt idx="8">
                  <c:v>18.579999999999988</c:v>
                </c:pt>
                <c:pt idx="9">
                  <c:v>15.65</c:v>
                </c:pt>
              </c:numCache>
            </c:numRef>
          </c:cat>
          <c:val>
            <c:numRef>
              <c:f>'OMC and PSD'!$B$6:$B$15</c:f>
              <c:numCache>
                <c:formatCode>General</c:formatCode>
                <c:ptCount val="10"/>
                <c:pt idx="0">
                  <c:v>0.5</c:v>
                </c:pt>
                <c:pt idx="1">
                  <c:v>1.1000000000000001</c:v>
                </c:pt>
                <c:pt idx="2">
                  <c:v>0.42500000000000032</c:v>
                </c:pt>
                <c:pt idx="3">
                  <c:v>0.21200000000000022</c:v>
                </c:pt>
                <c:pt idx="4">
                  <c:v>0.3800000000000005</c:v>
                </c:pt>
                <c:pt idx="5">
                  <c:v>0.35000000000000031</c:v>
                </c:pt>
                <c:pt idx="6">
                  <c:v>0.28000000000000008</c:v>
                </c:pt>
                <c:pt idx="7">
                  <c:v>0.71000000000000063</c:v>
                </c:pt>
                <c:pt idx="8">
                  <c:v>0.23</c:v>
                </c:pt>
                <c:pt idx="9">
                  <c:v>0.29000000000000031</c:v>
                </c:pt>
              </c:numCache>
            </c:numRef>
          </c:val>
        </c:ser>
        <c:ser>
          <c:idx val="0"/>
          <c:order val="1"/>
          <c:tx>
            <c:strRef>
              <c:f>'OMC and PSD'!$C$5</c:f>
              <c:strCache>
                <c:ptCount val="1"/>
                <c:pt idx="0">
                  <c:v>D30</c:v>
                </c:pt>
              </c:strCache>
            </c:strRef>
          </c:tx>
          <c:cat>
            <c:numRef>
              <c:f>'OMC and PSD'!$A$6:$A$15</c:f>
              <c:numCache>
                <c:formatCode>General</c:formatCode>
                <c:ptCount val="10"/>
                <c:pt idx="0">
                  <c:v>27</c:v>
                </c:pt>
                <c:pt idx="1">
                  <c:v>22</c:v>
                </c:pt>
                <c:pt idx="2">
                  <c:v>6.7</c:v>
                </c:pt>
                <c:pt idx="3">
                  <c:v>15.55</c:v>
                </c:pt>
                <c:pt idx="4">
                  <c:v>13.8</c:v>
                </c:pt>
                <c:pt idx="5">
                  <c:v>35</c:v>
                </c:pt>
                <c:pt idx="6">
                  <c:v>16.110000000000028</c:v>
                </c:pt>
                <c:pt idx="7">
                  <c:v>17.25</c:v>
                </c:pt>
                <c:pt idx="8">
                  <c:v>18.579999999999988</c:v>
                </c:pt>
                <c:pt idx="9">
                  <c:v>15.65</c:v>
                </c:pt>
              </c:numCache>
            </c:numRef>
          </c:cat>
          <c:val>
            <c:numRef>
              <c:f>'OMC and PSD'!$C$6:$C$15</c:f>
              <c:numCache>
                <c:formatCode>General</c:formatCode>
                <c:ptCount val="10"/>
                <c:pt idx="0">
                  <c:v>1.8</c:v>
                </c:pt>
                <c:pt idx="1">
                  <c:v>2</c:v>
                </c:pt>
                <c:pt idx="2">
                  <c:v>1.2</c:v>
                </c:pt>
                <c:pt idx="3">
                  <c:v>1.2</c:v>
                </c:pt>
                <c:pt idx="4">
                  <c:v>1</c:v>
                </c:pt>
                <c:pt idx="5">
                  <c:v>1.2</c:v>
                </c:pt>
                <c:pt idx="6">
                  <c:v>1.42</c:v>
                </c:pt>
                <c:pt idx="7">
                  <c:v>2.12</c:v>
                </c:pt>
                <c:pt idx="8">
                  <c:v>1.2</c:v>
                </c:pt>
                <c:pt idx="9">
                  <c:v>0.72000000000000064</c:v>
                </c:pt>
              </c:numCache>
            </c:numRef>
          </c:val>
        </c:ser>
        <c:ser>
          <c:idx val="1"/>
          <c:order val="2"/>
          <c:tx>
            <c:strRef>
              <c:f>'OMC and PSD'!$D$5</c:f>
              <c:strCache>
                <c:ptCount val="1"/>
                <c:pt idx="0">
                  <c:v>D60</c:v>
                </c:pt>
              </c:strCache>
            </c:strRef>
          </c:tx>
          <c:cat>
            <c:numRef>
              <c:f>'OMC and PSD'!$A$6:$A$15</c:f>
              <c:numCache>
                <c:formatCode>General</c:formatCode>
                <c:ptCount val="10"/>
                <c:pt idx="0">
                  <c:v>27</c:v>
                </c:pt>
                <c:pt idx="1">
                  <c:v>22</c:v>
                </c:pt>
                <c:pt idx="2">
                  <c:v>6.7</c:v>
                </c:pt>
                <c:pt idx="3">
                  <c:v>15.55</c:v>
                </c:pt>
                <c:pt idx="4">
                  <c:v>13.8</c:v>
                </c:pt>
                <c:pt idx="5">
                  <c:v>35</c:v>
                </c:pt>
                <c:pt idx="6">
                  <c:v>16.110000000000028</c:v>
                </c:pt>
                <c:pt idx="7">
                  <c:v>17.25</c:v>
                </c:pt>
                <c:pt idx="8">
                  <c:v>18.579999999999988</c:v>
                </c:pt>
                <c:pt idx="9">
                  <c:v>15.65</c:v>
                </c:pt>
              </c:numCache>
            </c:numRef>
          </c:cat>
          <c:val>
            <c:numRef>
              <c:f>'OMC and PSD'!$D$6:$D$15</c:f>
              <c:numCache>
                <c:formatCode>General</c:formatCode>
                <c:ptCount val="10"/>
                <c:pt idx="0">
                  <c:v>5</c:v>
                </c:pt>
                <c:pt idx="1">
                  <c:v>4</c:v>
                </c:pt>
                <c:pt idx="2">
                  <c:v>2.36</c:v>
                </c:pt>
                <c:pt idx="3">
                  <c:v>2.5</c:v>
                </c:pt>
                <c:pt idx="4">
                  <c:v>1.8</c:v>
                </c:pt>
                <c:pt idx="5">
                  <c:v>3</c:v>
                </c:pt>
                <c:pt idx="6">
                  <c:v>2.5</c:v>
                </c:pt>
                <c:pt idx="7">
                  <c:v>3.9</c:v>
                </c:pt>
                <c:pt idx="8">
                  <c:v>1.9500000000000008</c:v>
                </c:pt>
                <c:pt idx="9">
                  <c:v>2.7</c:v>
                </c:pt>
              </c:numCache>
            </c:numRef>
          </c:val>
        </c:ser>
        <c:ser>
          <c:idx val="2"/>
          <c:order val="3"/>
          <c:tx>
            <c:strRef>
              <c:f>'OMC and PSD'!$E$5</c:f>
              <c:strCache>
                <c:ptCount val="1"/>
                <c:pt idx="0">
                  <c:v>Cu</c:v>
                </c:pt>
              </c:strCache>
            </c:strRef>
          </c:tx>
          <c:cat>
            <c:numRef>
              <c:f>'OMC and PSD'!$A$6:$A$15</c:f>
              <c:numCache>
                <c:formatCode>General</c:formatCode>
                <c:ptCount val="10"/>
                <c:pt idx="0">
                  <c:v>27</c:v>
                </c:pt>
                <c:pt idx="1">
                  <c:v>22</c:v>
                </c:pt>
                <c:pt idx="2">
                  <c:v>6.7</c:v>
                </c:pt>
                <c:pt idx="3">
                  <c:v>15.55</c:v>
                </c:pt>
                <c:pt idx="4">
                  <c:v>13.8</c:v>
                </c:pt>
                <c:pt idx="5">
                  <c:v>35</c:v>
                </c:pt>
                <c:pt idx="6">
                  <c:v>16.110000000000028</c:v>
                </c:pt>
                <c:pt idx="7">
                  <c:v>17.25</c:v>
                </c:pt>
                <c:pt idx="8">
                  <c:v>18.579999999999988</c:v>
                </c:pt>
                <c:pt idx="9">
                  <c:v>15.65</c:v>
                </c:pt>
              </c:numCache>
            </c:numRef>
          </c:cat>
          <c:val>
            <c:numRef>
              <c:f>'OMC and PSD'!$E$6:$E$15</c:f>
              <c:numCache>
                <c:formatCode>General</c:formatCode>
                <c:ptCount val="10"/>
                <c:pt idx="0">
                  <c:v>10</c:v>
                </c:pt>
                <c:pt idx="1">
                  <c:v>3.64</c:v>
                </c:pt>
                <c:pt idx="2">
                  <c:v>5.55</c:v>
                </c:pt>
                <c:pt idx="3">
                  <c:v>11.79</c:v>
                </c:pt>
                <c:pt idx="4">
                  <c:v>4.74</c:v>
                </c:pt>
                <c:pt idx="5">
                  <c:v>8.57</c:v>
                </c:pt>
                <c:pt idx="6">
                  <c:v>8.93</c:v>
                </c:pt>
                <c:pt idx="7">
                  <c:v>5.49</c:v>
                </c:pt>
                <c:pt idx="8">
                  <c:v>8.48</c:v>
                </c:pt>
                <c:pt idx="9">
                  <c:v>9.31</c:v>
                </c:pt>
              </c:numCache>
            </c:numRef>
          </c:val>
        </c:ser>
        <c:ser>
          <c:idx val="4"/>
          <c:order val="4"/>
          <c:tx>
            <c:strRef>
              <c:f>'OMC and PSD'!$F$5</c:f>
              <c:strCache>
                <c:ptCount val="1"/>
                <c:pt idx="0">
                  <c:v>Cc</c:v>
                </c:pt>
              </c:strCache>
            </c:strRef>
          </c:tx>
          <c:cat>
            <c:numRef>
              <c:f>'OMC and PSD'!$A$6:$A$15</c:f>
              <c:numCache>
                <c:formatCode>General</c:formatCode>
                <c:ptCount val="10"/>
                <c:pt idx="0">
                  <c:v>27</c:v>
                </c:pt>
                <c:pt idx="1">
                  <c:v>22</c:v>
                </c:pt>
                <c:pt idx="2">
                  <c:v>6.7</c:v>
                </c:pt>
                <c:pt idx="3">
                  <c:v>15.55</c:v>
                </c:pt>
                <c:pt idx="4">
                  <c:v>13.8</c:v>
                </c:pt>
                <c:pt idx="5">
                  <c:v>35</c:v>
                </c:pt>
                <c:pt idx="6">
                  <c:v>16.110000000000028</c:v>
                </c:pt>
                <c:pt idx="7">
                  <c:v>17.25</c:v>
                </c:pt>
                <c:pt idx="8">
                  <c:v>18.579999999999988</c:v>
                </c:pt>
                <c:pt idx="9">
                  <c:v>15.65</c:v>
                </c:pt>
              </c:numCache>
            </c:numRef>
          </c:cat>
          <c:val>
            <c:numRef>
              <c:f>'OMC and PSD'!$F$6:$F$15</c:f>
              <c:numCache>
                <c:formatCode>General</c:formatCode>
                <c:ptCount val="10"/>
                <c:pt idx="0">
                  <c:v>1.3</c:v>
                </c:pt>
                <c:pt idx="1">
                  <c:v>0.91</c:v>
                </c:pt>
                <c:pt idx="2">
                  <c:v>1.44</c:v>
                </c:pt>
                <c:pt idx="3">
                  <c:v>2.72</c:v>
                </c:pt>
                <c:pt idx="4">
                  <c:v>1.46</c:v>
                </c:pt>
                <c:pt idx="5">
                  <c:v>1.37</c:v>
                </c:pt>
                <c:pt idx="6">
                  <c:v>2.88</c:v>
                </c:pt>
                <c:pt idx="7">
                  <c:v>1.62</c:v>
                </c:pt>
                <c:pt idx="8">
                  <c:v>3.21</c:v>
                </c:pt>
                <c:pt idx="9">
                  <c:v>0.66000000000000114</c:v>
                </c:pt>
              </c:numCache>
            </c:numRef>
          </c:val>
        </c:ser>
        <c:marker val="1"/>
        <c:axId val="80951552"/>
        <c:axId val="125257216"/>
      </c:lineChart>
      <c:catAx>
        <c:axId val="80951552"/>
        <c:scaling>
          <c:orientation val="minMax"/>
        </c:scaling>
        <c:axPos val="b"/>
        <c:title>
          <c:tx>
            <c:rich>
              <a:bodyPr/>
              <a:lstStyle/>
              <a:p>
                <a:pPr>
                  <a:defRPr/>
                </a:pPr>
                <a:r>
                  <a:rPr lang="en-US"/>
                  <a:t>OMC (%)</a:t>
                </a:r>
                <a:endParaRPr lang="en-US" baseline="-25000"/>
              </a:p>
            </c:rich>
          </c:tx>
          <c:layout>
            <c:manualLayout>
              <c:xMode val="edge"/>
              <c:yMode val="edge"/>
              <c:x val="0.32853754391812134"/>
              <c:y val="0.83970337112707061"/>
            </c:manualLayout>
          </c:layout>
        </c:title>
        <c:numFmt formatCode="General" sourceLinked="1"/>
        <c:majorTickMark val="none"/>
        <c:tickLblPos val="nextTo"/>
        <c:crossAx val="125257216"/>
        <c:crosses val="autoZero"/>
        <c:lblAlgn val="ctr"/>
        <c:lblOffset val="100"/>
        <c:tickLblSkip val="1"/>
      </c:catAx>
      <c:valAx>
        <c:axId val="125257216"/>
        <c:scaling>
          <c:orientation val="minMax"/>
        </c:scaling>
        <c:axPos val="l"/>
        <c:title>
          <c:tx>
            <c:rich>
              <a:bodyPr/>
              <a:lstStyle/>
              <a:p>
                <a:pPr>
                  <a:defRPr/>
                </a:pPr>
                <a:r>
                  <a:rPr lang="en-US"/>
                  <a:t>Particle size characteristics</a:t>
                </a:r>
              </a:p>
            </c:rich>
          </c:tx>
        </c:title>
        <c:numFmt formatCode="General" sourceLinked="1"/>
        <c:tickLblPos val="nextTo"/>
        <c:crossAx val="80951552"/>
        <c:crosses val="autoZero"/>
        <c:crossBetween val="between"/>
      </c:valAx>
      <c:spPr>
        <a:noFill/>
      </c:spPr>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autoTitleDeleted val="1"/>
    <c:plotArea>
      <c:layout>
        <c:manualLayout>
          <c:layoutTarget val="inner"/>
          <c:xMode val="edge"/>
          <c:yMode val="edge"/>
          <c:x val="0.20781270689470671"/>
          <c:y val="8.5623015428038504E-2"/>
          <c:w val="0.58863313658072924"/>
          <c:h val="0.55431046978801157"/>
        </c:manualLayout>
      </c:layout>
      <c:lineChart>
        <c:grouping val="standard"/>
        <c:ser>
          <c:idx val="3"/>
          <c:order val="0"/>
          <c:tx>
            <c:strRef>
              <c:f>'MDD and PSD '!$B$5</c:f>
              <c:strCache>
                <c:ptCount val="1"/>
                <c:pt idx="0">
                  <c:v>D10</c:v>
                </c:pt>
              </c:strCache>
            </c:strRef>
          </c:tx>
          <c:spPr>
            <a:ln w="15875">
              <a:solidFill>
                <a:srgbClr val="0070C0"/>
              </a:solidFill>
            </a:ln>
          </c:spPr>
          <c:cat>
            <c:numRef>
              <c:f>'MDD and PSD '!$A$6:$A$15</c:f>
              <c:numCache>
                <c:formatCode>General</c:formatCode>
                <c:ptCount val="10"/>
                <c:pt idx="0">
                  <c:v>1570</c:v>
                </c:pt>
                <c:pt idx="1">
                  <c:v>1722</c:v>
                </c:pt>
                <c:pt idx="2">
                  <c:v>1850</c:v>
                </c:pt>
                <c:pt idx="3">
                  <c:v>1680</c:v>
                </c:pt>
                <c:pt idx="4">
                  <c:v>1900</c:v>
                </c:pt>
                <c:pt idx="5">
                  <c:v>1620</c:v>
                </c:pt>
                <c:pt idx="6">
                  <c:v>1630</c:v>
                </c:pt>
                <c:pt idx="7">
                  <c:v>1560</c:v>
                </c:pt>
                <c:pt idx="8">
                  <c:v>1740</c:v>
                </c:pt>
                <c:pt idx="9">
                  <c:v>2260</c:v>
                </c:pt>
              </c:numCache>
            </c:numRef>
          </c:cat>
          <c:val>
            <c:numRef>
              <c:f>'MDD and PSD '!$B$6:$B$15</c:f>
              <c:numCache>
                <c:formatCode>General</c:formatCode>
                <c:ptCount val="10"/>
                <c:pt idx="0">
                  <c:v>0.5</c:v>
                </c:pt>
                <c:pt idx="1">
                  <c:v>1.1000000000000001</c:v>
                </c:pt>
                <c:pt idx="2">
                  <c:v>0.42500000000000032</c:v>
                </c:pt>
                <c:pt idx="3">
                  <c:v>0.21200000000000022</c:v>
                </c:pt>
                <c:pt idx="4">
                  <c:v>0.3800000000000005</c:v>
                </c:pt>
                <c:pt idx="5">
                  <c:v>0.35000000000000031</c:v>
                </c:pt>
                <c:pt idx="6">
                  <c:v>0.28000000000000008</c:v>
                </c:pt>
                <c:pt idx="7">
                  <c:v>0.71000000000000063</c:v>
                </c:pt>
                <c:pt idx="8">
                  <c:v>0.23</c:v>
                </c:pt>
                <c:pt idx="9">
                  <c:v>0.29000000000000031</c:v>
                </c:pt>
              </c:numCache>
            </c:numRef>
          </c:val>
        </c:ser>
        <c:ser>
          <c:idx val="0"/>
          <c:order val="1"/>
          <c:tx>
            <c:strRef>
              <c:f>'MDD and PSD '!$C$5</c:f>
              <c:strCache>
                <c:ptCount val="1"/>
                <c:pt idx="0">
                  <c:v>D30</c:v>
                </c:pt>
              </c:strCache>
            </c:strRef>
          </c:tx>
          <c:cat>
            <c:numRef>
              <c:f>'MDD and PSD '!$A$6:$A$15</c:f>
              <c:numCache>
                <c:formatCode>General</c:formatCode>
                <c:ptCount val="10"/>
                <c:pt idx="0">
                  <c:v>1570</c:v>
                </c:pt>
                <c:pt idx="1">
                  <c:v>1722</c:v>
                </c:pt>
                <c:pt idx="2">
                  <c:v>1850</c:v>
                </c:pt>
                <c:pt idx="3">
                  <c:v>1680</c:v>
                </c:pt>
                <c:pt idx="4">
                  <c:v>1900</c:v>
                </c:pt>
                <c:pt idx="5">
                  <c:v>1620</c:v>
                </c:pt>
                <c:pt idx="6">
                  <c:v>1630</c:v>
                </c:pt>
                <c:pt idx="7">
                  <c:v>1560</c:v>
                </c:pt>
                <c:pt idx="8">
                  <c:v>1740</c:v>
                </c:pt>
                <c:pt idx="9">
                  <c:v>2260</c:v>
                </c:pt>
              </c:numCache>
            </c:numRef>
          </c:cat>
          <c:val>
            <c:numRef>
              <c:f>'MDD and PSD '!$C$6:$C$15</c:f>
              <c:numCache>
                <c:formatCode>General</c:formatCode>
                <c:ptCount val="10"/>
                <c:pt idx="0">
                  <c:v>1.8</c:v>
                </c:pt>
                <c:pt idx="1">
                  <c:v>2</c:v>
                </c:pt>
                <c:pt idx="2">
                  <c:v>1.2</c:v>
                </c:pt>
                <c:pt idx="3">
                  <c:v>1.2</c:v>
                </c:pt>
                <c:pt idx="4">
                  <c:v>1</c:v>
                </c:pt>
                <c:pt idx="5">
                  <c:v>1.2</c:v>
                </c:pt>
                <c:pt idx="6">
                  <c:v>1.42</c:v>
                </c:pt>
                <c:pt idx="7">
                  <c:v>2.12</c:v>
                </c:pt>
                <c:pt idx="8">
                  <c:v>1.2</c:v>
                </c:pt>
                <c:pt idx="9">
                  <c:v>0.72000000000000064</c:v>
                </c:pt>
              </c:numCache>
            </c:numRef>
          </c:val>
        </c:ser>
        <c:ser>
          <c:idx val="1"/>
          <c:order val="2"/>
          <c:tx>
            <c:strRef>
              <c:f>'MDD and PSD '!$D$5</c:f>
              <c:strCache>
                <c:ptCount val="1"/>
                <c:pt idx="0">
                  <c:v>D60</c:v>
                </c:pt>
              </c:strCache>
            </c:strRef>
          </c:tx>
          <c:cat>
            <c:numRef>
              <c:f>'MDD and PSD '!$A$6:$A$15</c:f>
              <c:numCache>
                <c:formatCode>General</c:formatCode>
                <c:ptCount val="10"/>
                <c:pt idx="0">
                  <c:v>1570</c:v>
                </c:pt>
                <c:pt idx="1">
                  <c:v>1722</c:v>
                </c:pt>
                <c:pt idx="2">
                  <c:v>1850</c:v>
                </c:pt>
                <c:pt idx="3">
                  <c:v>1680</c:v>
                </c:pt>
                <c:pt idx="4">
                  <c:v>1900</c:v>
                </c:pt>
                <c:pt idx="5">
                  <c:v>1620</c:v>
                </c:pt>
                <c:pt idx="6">
                  <c:v>1630</c:v>
                </c:pt>
                <c:pt idx="7">
                  <c:v>1560</c:v>
                </c:pt>
                <c:pt idx="8">
                  <c:v>1740</c:v>
                </c:pt>
                <c:pt idx="9">
                  <c:v>2260</c:v>
                </c:pt>
              </c:numCache>
            </c:numRef>
          </c:cat>
          <c:val>
            <c:numRef>
              <c:f>'MDD and PSD '!$D$6:$D$15</c:f>
              <c:numCache>
                <c:formatCode>General</c:formatCode>
                <c:ptCount val="10"/>
                <c:pt idx="0">
                  <c:v>5</c:v>
                </c:pt>
                <c:pt idx="1">
                  <c:v>4</c:v>
                </c:pt>
                <c:pt idx="2">
                  <c:v>2.36</c:v>
                </c:pt>
                <c:pt idx="3">
                  <c:v>2.5</c:v>
                </c:pt>
                <c:pt idx="4">
                  <c:v>1.8</c:v>
                </c:pt>
                <c:pt idx="5">
                  <c:v>3</c:v>
                </c:pt>
                <c:pt idx="6">
                  <c:v>2.5</c:v>
                </c:pt>
                <c:pt idx="7">
                  <c:v>3.9</c:v>
                </c:pt>
                <c:pt idx="8">
                  <c:v>1.9500000000000017</c:v>
                </c:pt>
                <c:pt idx="9">
                  <c:v>2.7</c:v>
                </c:pt>
              </c:numCache>
            </c:numRef>
          </c:val>
        </c:ser>
        <c:ser>
          <c:idx val="2"/>
          <c:order val="3"/>
          <c:tx>
            <c:strRef>
              <c:f>'MDD and PSD '!$E$5</c:f>
              <c:strCache>
                <c:ptCount val="1"/>
                <c:pt idx="0">
                  <c:v>Cu</c:v>
                </c:pt>
              </c:strCache>
            </c:strRef>
          </c:tx>
          <c:cat>
            <c:numRef>
              <c:f>'MDD and PSD '!$A$6:$A$15</c:f>
              <c:numCache>
                <c:formatCode>General</c:formatCode>
                <c:ptCount val="10"/>
                <c:pt idx="0">
                  <c:v>1570</c:v>
                </c:pt>
                <c:pt idx="1">
                  <c:v>1722</c:v>
                </c:pt>
                <c:pt idx="2">
                  <c:v>1850</c:v>
                </c:pt>
                <c:pt idx="3">
                  <c:v>1680</c:v>
                </c:pt>
                <c:pt idx="4">
                  <c:v>1900</c:v>
                </c:pt>
                <c:pt idx="5">
                  <c:v>1620</c:v>
                </c:pt>
                <c:pt idx="6">
                  <c:v>1630</c:v>
                </c:pt>
                <c:pt idx="7">
                  <c:v>1560</c:v>
                </c:pt>
                <c:pt idx="8">
                  <c:v>1740</c:v>
                </c:pt>
                <c:pt idx="9">
                  <c:v>2260</c:v>
                </c:pt>
              </c:numCache>
            </c:numRef>
          </c:cat>
          <c:val>
            <c:numRef>
              <c:f>'MDD and PSD '!$E$6:$E$15</c:f>
              <c:numCache>
                <c:formatCode>General</c:formatCode>
                <c:ptCount val="10"/>
                <c:pt idx="0">
                  <c:v>10</c:v>
                </c:pt>
                <c:pt idx="1">
                  <c:v>3.64</c:v>
                </c:pt>
                <c:pt idx="2">
                  <c:v>5.55</c:v>
                </c:pt>
                <c:pt idx="3">
                  <c:v>11.79</c:v>
                </c:pt>
                <c:pt idx="4">
                  <c:v>4.74</c:v>
                </c:pt>
                <c:pt idx="5">
                  <c:v>8.57</c:v>
                </c:pt>
                <c:pt idx="6">
                  <c:v>8.93</c:v>
                </c:pt>
                <c:pt idx="7">
                  <c:v>5.49</c:v>
                </c:pt>
                <c:pt idx="8">
                  <c:v>8.48</c:v>
                </c:pt>
                <c:pt idx="9">
                  <c:v>9.31</c:v>
                </c:pt>
              </c:numCache>
            </c:numRef>
          </c:val>
        </c:ser>
        <c:ser>
          <c:idx val="4"/>
          <c:order val="4"/>
          <c:tx>
            <c:strRef>
              <c:f>'MDD and PSD '!$F$5</c:f>
              <c:strCache>
                <c:ptCount val="1"/>
                <c:pt idx="0">
                  <c:v>Cc</c:v>
                </c:pt>
              </c:strCache>
            </c:strRef>
          </c:tx>
          <c:cat>
            <c:numRef>
              <c:f>'MDD and PSD '!$A$6:$A$15</c:f>
              <c:numCache>
                <c:formatCode>General</c:formatCode>
                <c:ptCount val="10"/>
                <c:pt idx="0">
                  <c:v>1570</c:v>
                </c:pt>
                <c:pt idx="1">
                  <c:v>1722</c:v>
                </c:pt>
                <c:pt idx="2">
                  <c:v>1850</c:v>
                </c:pt>
                <c:pt idx="3">
                  <c:v>1680</c:v>
                </c:pt>
                <c:pt idx="4">
                  <c:v>1900</c:v>
                </c:pt>
                <c:pt idx="5">
                  <c:v>1620</c:v>
                </c:pt>
                <c:pt idx="6">
                  <c:v>1630</c:v>
                </c:pt>
                <c:pt idx="7">
                  <c:v>1560</c:v>
                </c:pt>
                <c:pt idx="8">
                  <c:v>1740</c:v>
                </c:pt>
                <c:pt idx="9">
                  <c:v>2260</c:v>
                </c:pt>
              </c:numCache>
            </c:numRef>
          </c:cat>
          <c:val>
            <c:numRef>
              <c:f>'MDD and PSD '!$F$6:$F$15</c:f>
              <c:numCache>
                <c:formatCode>General</c:formatCode>
                <c:ptCount val="10"/>
                <c:pt idx="0">
                  <c:v>1.3</c:v>
                </c:pt>
                <c:pt idx="1">
                  <c:v>0.91</c:v>
                </c:pt>
                <c:pt idx="2">
                  <c:v>1.44</c:v>
                </c:pt>
                <c:pt idx="3">
                  <c:v>2.72</c:v>
                </c:pt>
                <c:pt idx="4">
                  <c:v>1.46</c:v>
                </c:pt>
                <c:pt idx="5">
                  <c:v>1.37</c:v>
                </c:pt>
                <c:pt idx="6">
                  <c:v>2.88</c:v>
                </c:pt>
                <c:pt idx="7">
                  <c:v>1.62</c:v>
                </c:pt>
                <c:pt idx="8">
                  <c:v>3.21</c:v>
                </c:pt>
                <c:pt idx="9">
                  <c:v>0.66000000000000114</c:v>
                </c:pt>
              </c:numCache>
            </c:numRef>
          </c:val>
        </c:ser>
        <c:marker val="1"/>
        <c:axId val="128063744"/>
        <c:axId val="128150912"/>
      </c:lineChart>
      <c:catAx>
        <c:axId val="128063744"/>
        <c:scaling>
          <c:orientation val="minMax"/>
        </c:scaling>
        <c:axPos val="b"/>
        <c:title>
          <c:tx>
            <c:rich>
              <a:bodyPr/>
              <a:lstStyle/>
              <a:p>
                <a:pPr>
                  <a:defRPr/>
                </a:pPr>
                <a:r>
                  <a:rPr lang="en-US"/>
                  <a:t>MDD (kN/m</a:t>
                </a:r>
                <a:r>
                  <a:rPr lang="en-US" baseline="30000"/>
                  <a:t>3</a:t>
                </a:r>
                <a:r>
                  <a:rPr lang="en-US"/>
                  <a:t>)</a:t>
                </a:r>
                <a:endParaRPr lang="en-US" baseline="-25000"/>
              </a:p>
            </c:rich>
          </c:tx>
          <c:layout>
            <c:manualLayout>
              <c:xMode val="edge"/>
              <c:yMode val="edge"/>
              <c:x val="0.28010226832674284"/>
              <c:y val="0.89262907852484485"/>
            </c:manualLayout>
          </c:layout>
        </c:title>
        <c:numFmt formatCode="General" sourceLinked="1"/>
        <c:majorTickMark val="none"/>
        <c:tickLblPos val="nextTo"/>
        <c:crossAx val="128150912"/>
        <c:crosses val="autoZero"/>
        <c:lblAlgn val="ctr"/>
        <c:lblOffset val="100"/>
        <c:tickLblSkip val="1"/>
      </c:catAx>
      <c:valAx>
        <c:axId val="128150912"/>
        <c:scaling>
          <c:orientation val="minMax"/>
        </c:scaling>
        <c:axPos val="l"/>
        <c:title>
          <c:tx>
            <c:rich>
              <a:bodyPr/>
              <a:lstStyle/>
              <a:p>
                <a:pPr>
                  <a:defRPr/>
                </a:pPr>
                <a:r>
                  <a:rPr lang="en-US"/>
                  <a:t>Particle size characteristics</a:t>
                </a:r>
              </a:p>
            </c:rich>
          </c:tx>
          <c:layout>
            <c:manualLayout>
              <c:xMode val="edge"/>
              <c:yMode val="edge"/>
              <c:x val="9.2144667127390008E-3"/>
              <c:y val="0.14132969398276421"/>
            </c:manualLayout>
          </c:layout>
        </c:title>
        <c:numFmt formatCode="General" sourceLinked="1"/>
        <c:tickLblPos val="nextTo"/>
        <c:crossAx val="128063744"/>
        <c:crosses val="autoZero"/>
        <c:crossBetween val="between"/>
      </c:valAx>
      <c:spPr>
        <a:noFill/>
      </c:spPr>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2878</Words>
  <Characters>16406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19246</CharactersWithSpaces>
  <SharedDoc>false</SharedDoc>
  <HLinks>
    <vt:vector size="42" baseType="variant">
      <vt:variant>
        <vt:i4>852021</vt:i4>
      </vt:variant>
      <vt:variant>
        <vt:i4>15</vt:i4>
      </vt:variant>
      <vt:variant>
        <vt:i4>0</vt:i4>
      </vt:variant>
      <vt:variant>
        <vt:i4>5</vt:i4>
      </vt:variant>
      <vt:variant>
        <vt:lpwstr>mailto:geetakh@gmail.com</vt:lpwstr>
      </vt:variant>
      <vt:variant>
        <vt:lpwstr/>
      </vt:variant>
      <vt:variant>
        <vt:i4>786501</vt:i4>
      </vt:variant>
      <vt:variant>
        <vt:i4>6</vt:i4>
      </vt:variant>
      <vt:variant>
        <vt:i4>0</vt:i4>
      </vt:variant>
      <vt:variant>
        <vt:i4>5</vt:i4>
      </vt:variant>
      <vt:variant>
        <vt:lpwstr>http://www.dx.doi.org/10.7537/marsnys09xx16xx</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852021</vt:i4>
      </vt:variant>
      <vt:variant>
        <vt:i4>0</vt:i4>
      </vt:variant>
      <vt:variant>
        <vt:i4>0</vt:i4>
      </vt:variant>
      <vt:variant>
        <vt:i4>5</vt:i4>
      </vt:variant>
      <vt:variant>
        <vt:lpwstr>mailto:geetakh@gmail.com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2008-06-25T09:46:00Z</cp:lastPrinted>
  <dcterms:created xsi:type="dcterms:W3CDTF">2022-04-01T23:53:00Z</dcterms:created>
  <dcterms:modified xsi:type="dcterms:W3CDTF">2022-04-09T02:04:00Z</dcterms:modified>
</cp:coreProperties>
</file>