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44" w:rsidRPr="00A73B62" w:rsidRDefault="00DF6A44">
      <w:pPr>
        <w:autoSpaceDE w:val="0"/>
        <w:autoSpaceDN w:val="0"/>
        <w:adjustRightInd w:val="0"/>
        <w:spacing w:after="0" w:line="240" w:lineRule="auto"/>
        <w:jc w:val="center"/>
        <w:rPr>
          <w:rFonts w:ascii="Times New Roman" w:hAnsi="Times New Roman" w:cs="Times New Roman"/>
          <w:b/>
          <w:bCs/>
          <w:color w:val="000000"/>
          <w:sz w:val="20"/>
          <w:szCs w:val="20"/>
          <w:lang w:bidi="ar-EG"/>
        </w:rPr>
      </w:pPr>
    </w:p>
    <w:p w:rsidR="00A73B62" w:rsidRDefault="00A73B62">
      <w:pPr>
        <w:autoSpaceDE w:val="0"/>
        <w:autoSpaceDN w:val="0"/>
        <w:adjustRightInd w:val="0"/>
        <w:spacing w:after="0" w:line="240" w:lineRule="auto"/>
        <w:jc w:val="center"/>
        <w:rPr>
          <w:rFonts w:ascii="Times New Roman" w:hAnsi="Times New Roman" w:cs="Times New Roman" w:hint="eastAsia"/>
          <w:b/>
          <w:bCs/>
          <w:color w:val="000000"/>
          <w:sz w:val="20"/>
          <w:szCs w:val="20"/>
          <w:lang w:eastAsia="zh-CN"/>
        </w:rPr>
      </w:pPr>
    </w:p>
    <w:p w:rsidR="00DF6A44" w:rsidRPr="00A73B62" w:rsidRDefault="00B0692F">
      <w:pPr>
        <w:autoSpaceDE w:val="0"/>
        <w:autoSpaceDN w:val="0"/>
        <w:adjustRightInd w:val="0"/>
        <w:spacing w:after="0" w:line="240" w:lineRule="auto"/>
        <w:jc w:val="center"/>
        <w:rPr>
          <w:rFonts w:ascii="Times New Roman" w:hAnsi="Times New Roman" w:cs="Times New Roman"/>
          <w:b/>
          <w:bCs/>
          <w:color w:val="000000"/>
          <w:sz w:val="20"/>
          <w:szCs w:val="20"/>
        </w:rPr>
      </w:pPr>
      <w:r w:rsidRPr="00A73B62">
        <w:rPr>
          <w:rFonts w:ascii="Times New Roman" w:hAnsi="Times New Roman" w:cs="Times New Roman"/>
          <w:b/>
          <w:bCs/>
          <w:color w:val="000000"/>
          <w:sz w:val="20"/>
          <w:szCs w:val="20"/>
        </w:rPr>
        <w:t>Study of the Quality</w:t>
      </w:r>
      <w:r w:rsidRPr="00A73B62">
        <w:rPr>
          <w:rFonts w:ascii="Times New Roman" w:hAnsi="Times New Roman" w:cs="Times New Roman"/>
          <w:b/>
          <w:bCs/>
          <w:color w:val="000000"/>
          <w:sz w:val="20"/>
          <w:szCs w:val="20"/>
          <w:rtl/>
        </w:rPr>
        <w:t xml:space="preserve"> </w:t>
      </w:r>
      <w:r w:rsidRPr="00A73B62">
        <w:rPr>
          <w:rFonts w:ascii="Times New Roman" w:hAnsi="Times New Roman" w:cs="Times New Roman"/>
          <w:b/>
          <w:bCs/>
          <w:color w:val="000000"/>
          <w:sz w:val="20"/>
          <w:szCs w:val="20"/>
        </w:rPr>
        <w:t>of Life in Egyptian University Students with IBS</w:t>
      </w:r>
    </w:p>
    <w:p w:rsidR="00DF6A44" w:rsidRPr="00A73B62" w:rsidRDefault="00DF6A44">
      <w:pPr>
        <w:spacing w:after="0" w:line="240" w:lineRule="auto"/>
        <w:jc w:val="center"/>
        <w:rPr>
          <w:rFonts w:ascii="Times New Roman" w:hAnsi="Times New Roman" w:cs="Times New Roman"/>
          <w:sz w:val="20"/>
          <w:szCs w:val="20"/>
        </w:rPr>
      </w:pPr>
    </w:p>
    <w:p w:rsidR="00DF6A44" w:rsidRPr="00A73B62" w:rsidRDefault="00B0692F">
      <w:pPr>
        <w:spacing w:after="0" w:line="240" w:lineRule="auto"/>
        <w:ind w:right="-43"/>
        <w:jc w:val="center"/>
        <w:rPr>
          <w:rFonts w:ascii="Times New Roman" w:hAnsi="Times New Roman" w:cs="Times New Roman"/>
          <w:color w:val="000000"/>
          <w:sz w:val="20"/>
          <w:szCs w:val="20"/>
          <w:vertAlign w:val="superscript"/>
        </w:rPr>
      </w:pPr>
      <w:r w:rsidRPr="00A73B62">
        <w:rPr>
          <w:rFonts w:ascii="Times New Roman" w:hAnsi="Times New Roman" w:cs="Times New Roman"/>
          <w:color w:val="000000"/>
          <w:sz w:val="20"/>
          <w:szCs w:val="20"/>
        </w:rPr>
        <w:t>Nancy A. Ahmed (CA) MD</w:t>
      </w:r>
      <w:r w:rsidRPr="00A73B62">
        <w:rPr>
          <w:rFonts w:ascii="Times New Roman" w:hAnsi="Times New Roman" w:cs="Times New Roman"/>
          <w:color w:val="000000"/>
          <w:sz w:val="20"/>
          <w:szCs w:val="20"/>
          <w:vertAlign w:val="superscript"/>
        </w:rPr>
        <w:t>1</w:t>
      </w:r>
      <w:r w:rsidRPr="00A73B62">
        <w:rPr>
          <w:rFonts w:ascii="Times New Roman" w:hAnsi="Times New Roman" w:cs="Times New Roman"/>
          <w:color w:val="000000"/>
          <w:sz w:val="20"/>
          <w:szCs w:val="20"/>
        </w:rPr>
        <w:t>; Hala S. El Wakil, MD</w:t>
      </w:r>
      <w:r w:rsidRPr="00A73B62">
        <w:rPr>
          <w:rFonts w:ascii="Times New Roman" w:hAnsi="Times New Roman" w:cs="Times New Roman"/>
          <w:color w:val="000000"/>
          <w:sz w:val="20"/>
          <w:szCs w:val="20"/>
          <w:vertAlign w:val="superscript"/>
        </w:rPr>
        <w:t>2</w:t>
      </w:r>
      <w:r w:rsidRPr="00A73B62">
        <w:rPr>
          <w:rFonts w:ascii="Times New Roman" w:hAnsi="Times New Roman" w:cs="Times New Roman"/>
          <w:color w:val="000000"/>
          <w:sz w:val="20"/>
          <w:szCs w:val="20"/>
        </w:rPr>
        <w:t>; Ramy H. Agwa, MSc</w:t>
      </w:r>
      <w:r w:rsidRPr="00A73B62">
        <w:rPr>
          <w:rFonts w:ascii="Times New Roman" w:hAnsi="Times New Roman" w:cs="Times New Roman"/>
          <w:color w:val="000000"/>
          <w:sz w:val="20"/>
          <w:szCs w:val="20"/>
          <w:vertAlign w:val="superscript"/>
        </w:rPr>
        <w:t>3</w:t>
      </w:r>
      <w:r w:rsidRPr="00A73B62">
        <w:rPr>
          <w:rFonts w:ascii="Times New Roman" w:hAnsi="Times New Roman" w:cs="Times New Roman"/>
          <w:color w:val="000000"/>
          <w:sz w:val="20"/>
          <w:szCs w:val="20"/>
        </w:rPr>
        <w:t>; and Mohamed H. Ahmed, MBBCh</w:t>
      </w:r>
      <w:r w:rsidRPr="00A73B62">
        <w:rPr>
          <w:rFonts w:ascii="Times New Roman" w:hAnsi="Times New Roman" w:cs="Times New Roman"/>
          <w:color w:val="000000"/>
          <w:sz w:val="20"/>
          <w:szCs w:val="20"/>
          <w:vertAlign w:val="superscript"/>
        </w:rPr>
        <w:t>4</w:t>
      </w:r>
    </w:p>
    <w:p w:rsidR="00DF6A44" w:rsidRPr="00A73B62" w:rsidRDefault="00DF6A44">
      <w:pPr>
        <w:spacing w:after="0" w:line="240" w:lineRule="auto"/>
        <w:ind w:right="-43"/>
        <w:jc w:val="center"/>
        <w:rPr>
          <w:rFonts w:ascii="Times New Roman" w:hAnsi="Times New Roman" w:cs="Times New Roman"/>
          <w:color w:val="000000"/>
          <w:sz w:val="20"/>
          <w:szCs w:val="20"/>
          <w:vertAlign w:val="superscript"/>
        </w:rPr>
      </w:pPr>
    </w:p>
    <w:p w:rsidR="00DF6A44" w:rsidRPr="00A73B62" w:rsidRDefault="00B0692F">
      <w:pPr>
        <w:spacing w:after="0" w:line="240" w:lineRule="auto"/>
        <w:ind w:right="-43"/>
        <w:jc w:val="center"/>
        <w:rPr>
          <w:rFonts w:ascii="Times New Roman" w:hAnsi="Times New Roman" w:cs="Times New Roman"/>
          <w:sz w:val="20"/>
          <w:szCs w:val="20"/>
        </w:rPr>
      </w:pPr>
      <w:r w:rsidRPr="00A73B62">
        <w:rPr>
          <w:rFonts w:ascii="Times New Roman" w:hAnsi="Times New Roman" w:cs="Times New Roman"/>
          <w:sz w:val="20"/>
          <w:szCs w:val="20"/>
          <w:vertAlign w:val="superscript"/>
        </w:rPr>
        <w:t>1</w:t>
      </w:r>
      <w:r w:rsidRPr="00A73B62">
        <w:rPr>
          <w:rFonts w:ascii="Times New Roman" w:hAnsi="Times New Roman" w:cs="Times New Roman"/>
          <w:sz w:val="20"/>
          <w:szCs w:val="20"/>
        </w:rPr>
        <w:t xml:space="preserve">Professor of </w:t>
      </w:r>
      <w:r w:rsidRPr="00A73B62">
        <w:rPr>
          <w:rFonts w:ascii="Times New Roman" w:hAnsi="Times New Roman" w:cs="Times New Roman"/>
          <w:sz w:val="20"/>
          <w:szCs w:val="20"/>
        </w:rPr>
        <w:t>Hepatology and Gastroenterology, Faculty of Medicine Mansoura University, Egypt</w:t>
      </w:r>
    </w:p>
    <w:p w:rsidR="00DF6A44" w:rsidRPr="00A73B62" w:rsidRDefault="00B0692F">
      <w:pPr>
        <w:spacing w:after="0" w:line="240" w:lineRule="auto"/>
        <w:ind w:right="-43"/>
        <w:jc w:val="center"/>
        <w:rPr>
          <w:rFonts w:ascii="Times New Roman" w:hAnsi="Times New Roman" w:cs="Times New Roman"/>
          <w:sz w:val="20"/>
          <w:szCs w:val="20"/>
        </w:rPr>
      </w:pPr>
      <w:r w:rsidRPr="00A73B62">
        <w:rPr>
          <w:rFonts w:ascii="Times New Roman" w:hAnsi="Times New Roman" w:cs="Times New Roman"/>
          <w:sz w:val="20"/>
          <w:szCs w:val="20"/>
          <w:vertAlign w:val="superscript"/>
        </w:rPr>
        <w:t>2</w:t>
      </w:r>
      <w:r w:rsidRPr="00A73B62">
        <w:rPr>
          <w:rFonts w:ascii="Times New Roman" w:hAnsi="Times New Roman" w:cs="Times New Roman"/>
          <w:sz w:val="20"/>
          <w:szCs w:val="20"/>
        </w:rPr>
        <w:t>Professor of Internal Medicine, Faculty of Medicine Alexandria University, Egypt</w:t>
      </w:r>
    </w:p>
    <w:p w:rsidR="00DF6A44" w:rsidRPr="00A73B62" w:rsidRDefault="00B0692F">
      <w:pPr>
        <w:spacing w:after="0" w:line="240" w:lineRule="auto"/>
        <w:ind w:right="-43"/>
        <w:jc w:val="center"/>
        <w:rPr>
          <w:rFonts w:ascii="Times New Roman" w:hAnsi="Times New Roman" w:cs="Times New Roman"/>
          <w:sz w:val="20"/>
          <w:szCs w:val="20"/>
        </w:rPr>
      </w:pPr>
      <w:r w:rsidRPr="00A73B62">
        <w:rPr>
          <w:rFonts w:ascii="Times New Roman" w:hAnsi="Times New Roman" w:cs="Times New Roman"/>
          <w:sz w:val="20"/>
          <w:szCs w:val="20"/>
          <w:vertAlign w:val="superscript"/>
        </w:rPr>
        <w:t>3</w:t>
      </w:r>
      <w:r w:rsidRPr="00A73B62">
        <w:rPr>
          <w:rFonts w:ascii="Times New Roman" w:hAnsi="Times New Roman" w:cs="Times New Roman"/>
          <w:sz w:val="20"/>
          <w:szCs w:val="20"/>
        </w:rPr>
        <w:t>Lecturer of Hepatology and Gastroenterology, Faculty of Medicine Mansoura University, Egypt</w:t>
      </w:r>
    </w:p>
    <w:p w:rsidR="00DF6A44" w:rsidRPr="00A73B62" w:rsidRDefault="00B0692F">
      <w:pPr>
        <w:spacing w:after="0" w:line="240" w:lineRule="auto"/>
        <w:ind w:right="-43"/>
        <w:jc w:val="center"/>
        <w:rPr>
          <w:rFonts w:ascii="Times New Roman" w:hAnsi="Times New Roman" w:cs="Times New Roman"/>
          <w:sz w:val="20"/>
          <w:szCs w:val="20"/>
        </w:rPr>
      </w:pPr>
      <w:r w:rsidRPr="00A73B62">
        <w:rPr>
          <w:rFonts w:ascii="Times New Roman" w:hAnsi="Times New Roman" w:cs="Times New Roman"/>
          <w:sz w:val="20"/>
          <w:szCs w:val="20"/>
          <w:vertAlign w:val="superscript"/>
        </w:rPr>
        <w:t>4</w:t>
      </w:r>
      <w:r w:rsidRPr="00A73B62">
        <w:rPr>
          <w:rFonts w:ascii="Times New Roman" w:hAnsi="Times New Roman" w:cs="Times New Roman"/>
          <w:sz w:val="20"/>
          <w:szCs w:val="20"/>
        </w:rPr>
        <w:t>Resident of Internal Medicine, Ministry of Health Port Said, Egypt</w:t>
      </w:r>
    </w:p>
    <w:p w:rsidR="00DF6A44" w:rsidRPr="00A73B62" w:rsidRDefault="00B0692F">
      <w:pPr>
        <w:spacing w:after="0" w:line="240" w:lineRule="auto"/>
        <w:ind w:right="-43"/>
        <w:jc w:val="center"/>
        <w:rPr>
          <w:rFonts w:ascii="Times New Roman" w:hAnsi="Times New Roman" w:cs="Times New Roman"/>
          <w:b/>
          <w:bCs/>
          <w:color w:val="000000"/>
          <w:sz w:val="20"/>
          <w:szCs w:val="20"/>
        </w:rPr>
      </w:pPr>
      <w:r w:rsidRPr="00A73B62">
        <w:rPr>
          <w:rFonts w:ascii="Times New Roman" w:hAnsi="Times New Roman" w:cs="Times New Roman"/>
          <w:sz w:val="20"/>
          <w:szCs w:val="20"/>
        </w:rPr>
        <w:t xml:space="preserve">E-mail: </w:t>
      </w:r>
      <w:hyperlink r:id="rId9" w:history="1">
        <w:r w:rsidRPr="00A73B62">
          <w:rPr>
            <w:rStyle w:val="Hyperlink"/>
            <w:rFonts w:ascii="Times New Roman" w:hAnsi="Times New Roman" w:cs="Times New Roman"/>
            <w:sz w:val="20"/>
            <w:szCs w:val="20"/>
          </w:rPr>
          <w:t>nanna@mans.edu.eg</w:t>
        </w:r>
      </w:hyperlink>
    </w:p>
    <w:p w:rsidR="00DF6A44" w:rsidRPr="00A73B62" w:rsidRDefault="00DF6A44">
      <w:pPr>
        <w:autoSpaceDE w:val="0"/>
        <w:autoSpaceDN w:val="0"/>
        <w:adjustRightInd w:val="0"/>
        <w:spacing w:after="0" w:line="240" w:lineRule="auto"/>
        <w:rPr>
          <w:rFonts w:ascii="Times New Roman" w:hAnsi="Times New Roman" w:cs="Times New Roman"/>
          <w:b/>
          <w:bCs/>
          <w:color w:val="000000"/>
          <w:sz w:val="20"/>
          <w:szCs w:val="20"/>
        </w:rPr>
      </w:pPr>
    </w:p>
    <w:p w:rsidR="00DF6A44" w:rsidRPr="00A73B62" w:rsidRDefault="00B0692F">
      <w:pPr>
        <w:autoSpaceDE w:val="0"/>
        <w:autoSpaceDN w:val="0"/>
        <w:adjustRightInd w:val="0"/>
        <w:spacing w:after="0" w:line="240" w:lineRule="auto"/>
        <w:jc w:val="both"/>
        <w:rPr>
          <w:rFonts w:ascii="Times New Roman" w:hAnsi="Times New Roman" w:cs="Times New Roman"/>
          <w:b/>
          <w:bCs/>
          <w:color w:val="000000"/>
          <w:sz w:val="20"/>
          <w:szCs w:val="20"/>
        </w:rPr>
      </w:pPr>
      <w:r w:rsidRPr="00A73B62">
        <w:rPr>
          <w:rFonts w:ascii="Times New Roman" w:hAnsi="Times New Roman" w:cs="Times New Roman"/>
          <w:b/>
          <w:bCs/>
          <w:color w:val="000000"/>
          <w:sz w:val="20"/>
          <w:szCs w:val="20"/>
        </w:rPr>
        <w:t xml:space="preserve">Abstract: Background/ Purpose: </w:t>
      </w:r>
      <w:r w:rsidRPr="00A73B62">
        <w:rPr>
          <w:rFonts w:ascii="Times New Roman" w:hAnsi="Times New Roman" w:cs="Times New Roman"/>
          <w:color w:val="000000"/>
          <w:sz w:val="20"/>
          <w:szCs w:val="20"/>
        </w:rPr>
        <w:t>T</w:t>
      </w:r>
      <w:r w:rsidRPr="00A73B62">
        <w:rPr>
          <w:rFonts w:ascii="Times New Roman" w:hAnsi="Times New Roman" w:cs="Times New Roman"/>
          <w:sz w:val="20"/>
          <w:szCs w:val="20"/>
        </w:rPr>
        <w:t>he assessment of QoL grew, yet little attention had been given to QoL of university stude</w:t>
      </w:r>
      <w:r w:rsidRPr="00A73B62">
        <w:rPr>
          <w:rFonts w:ascii="Times New Roman" w:hAnsi="Times New Roman" w:cs="Times New Roman"/>
          <w:sz w:val="20"/>
          <w:szCs w:val="20"/>
        </w:rPr>
        <w:t xml:space="preserve">nts. We aimed to study quality of life in different Egyptian university students, find the prevalence of irritable bowel syndrome among university students and the relation of IBS to QoL. </w:t>
      </w:r>
      <w:r w:rsidRPr="00A73B62">
        <w:rPr>
          <w:rFonts w:ascii="Times New Roman" w:hAnsi="Times New Roman" w:cs="Times New Roman"/>
          <w:b/>
          <w:bCs/>
          <w:color w:val="000000"/>
          <w:sz w:val="20"/>
          <w:szCs w:val="20"/>
        </w:rPr>
        <w:t xml:space="preserve">Methods: </w:t>
      </w:r>
      <w:r w:rsidRPr="00A73B62">
        <w:rPr>
          <w:rFonts w:ascii="Times New Roman" w:hAnsi="Times New Roman" w:cs="Times New Roman"/>
          <w:sz w:val="20"/>
          <w:szCs w:val="20"/>
        </w:rPr>
        <w:t>656 students were included in the study 82 from each facult</w:t>
      </w:r>
      <w:r w:rsidRPr="00A73B62">
        <w:rPr>
          <w:rFonts w:ascii="Times New Roman" w:hAnsi="Times New Roman" w:cs="Times New Roman"/>
          <w:sz w:val="20"/>
          <w:szCs w:val="20"/>
        </w:rPr>
        <w:t>y; two questionnaires (quality of life and ROME IV) were handed over to students of Faculties of Medicine and Education in Mansoura, Alexandria, Port Said and Assiut Universities.</w:t>
      </w:r>
      <w:r w:rsidRPr="00A73B62">
        <w:rPr>
          <w:rFonts w:ascii="Times New Roman" w:hAnsi="Times New Roman" w:cs="Times New Roman"/>
          <w:sz w:val="20"/>
          <w:szCs w:val="20"/>
          <w:lang w:eastAsia="zh-CN"/>
        </w:rPr>
        <w:t xml:space="preserve"> </w:t>
      </w:r>
      <w:r w:rsidRPr="00A73B62">
        <w:rPr>
          <w:rFonts w:ascii="Times New Roman" w:hAnsi="Times New Roman" w:cs="Times New Roman"/>
          <w:b/>
          <w:bCs/>
          <w:color w:val="000000"/>
          <w:sz w:val="20"/>
          <w:szCs w:val="20"/>
        </w:rPr>
        <w:t>Results:</w:t>
      </w:r>
      <w:r w:rsidRPr="00A73B62">
        <w:rPr>
          <w:rFonts w:ascii="Times New Roman" w:hAnsi="Times New Roman" w:cs="Times New Roman"/>
          <w:sz w:val="20"/>
          <w:szCs w:val="20"/>
        </w:rPr>
        <w:t xml:space="preserve"> Only 365 students completed the questionnaire, Medical students had</w:t>
      </w:r>
      <w:r w:rsidRPr="00A73B62">
        <w:rPr>
          <w:rFonts w:ascii="Times New Roman" w:hAnsi="Times New Roman" w:cs="Times New Roman"/>
          <w:sz w:val="20"/>
          <w:szCs w:val="20"/>
        </w:rPr>
        <w:t xml:space="preserve"> significantly lower QoL than students in Faculty of Education (median score of QoL in medical students = 127 vs 152 in non-medical students). Male students (median score of QoL = 142) had higher QoL than female students (median score of QoL = 134). Younge</w:t>
      </w:r>
      <w:r w:rsidRPr="00A73B62">
        <w:rPr>
          <w:rFonts w:ascii="Times New Roman" w:hAnsi="Times New Roman" w:cs="Times New Roman"/>
          <w:sz w:val="20"/>
          <w:szCs w:val="20"/>
        </w:rPr>
        <w:t xml:space="preserve">r students had higher QoL scores in all dimensions than older students (median score of QoL = 147 vs 129). Only 40 students had IBS (11%). </w:t>
      </w:r>
      <w:r w:rsidRPr="00A73B62">
        <w:rPr>
          <w:rFonts w:ascii="Times New Roman" w:hAnsi="Times New Roman" w:cs="Times New Roman"/>
          <w:b/>
          <w:bCs/>
          <w:color w:val="000000"/>
          <w:sz w:val="20"/>
          <w:szCs w:val="20"/>
        </w:rPr>
        <w:t xml:space="preserve">Conclusion: </w:t>
      </w:r>
      <w:r w:rsidRPr="00A73B62">
        <w:rPr>
          <w:rFonts w:ascii="Times New Roman" w:hAnsi="Times New Roman" w:cs="Times New Roman"/>
          <w:sz w:val="20"/>
          <w:szCs w:val="20"/>
        </w:rPr>
        <w:t>Medical students had significantly lower QoL than non-medical students. Male and younger students had sig</w:t>
      </w:r>
      <w:r w:rsidRPr="00A73B62">
        <w:rPr>
          <w:rFonts w:ascii="Times New Roman" w:hAnsi="Times New Roman" w:cs="Times New Roman"/>
          <w:sz w:val="20"/>
          <w:szCs w:val="20"/>
        </w:rPr>
        <w:t xml:space="preserve">nificantly higher QoL than female and older students respectively. Prevalence of IBS among students was 11%. </w:t>
      </w:r>
    </w:p>
    <w:p w:rsidR="00DF6A44" w:rsidRPr="00A73B62" w:rsidRDefault="00B0692F">
      <w:pPr>
        <w:tabs>
          <w:tab w:val="right" w:pos="9645"/>
        </w:tabs>
        <w:autoSpaceDE w:val="0"/>
        <w:autoSpaceDN w:val="0"/>
        <w:spacing w:after="0" w:line="240" w:lineRule="auto"/>
        <w:jc w:val="both"/>
        <w:rPr>
          <w:rFonts w:ascii="Times New Roman" w:eastAsia="宋体" w:hAnsi="Times New Roman" w:cs="Times New Roman"/>
          <w:sz w:val="20"/>
          <w:szCs w:val="20"/>
          <w:lang w:eastAsia="zh-CN"/>
        </w:rPr>
      </w:pPr>
      <w:r w:rsidRPr="00A73B62">
        <w:rPr>
          <w:rFonts w:ascii="Times New Roman" w:hAnsi="Times New Roman" w:cs="Times New Roman"/>
          <w:color w:val="000000"/>
          <w:sz w:val="20"/>
          <w:szCs w:val="20"/>
        </w:rPr>
        <w:t>[Nancy A. Ahmed, Hala S. El Wakil, Ramy H. Agwa, and Mohamed H. Ahmed</w:t>
      </w:r>
      <w:r w:rsidRPr="00A73B62">
        <w:rPr>
          <w:rFonts w:ascii="Times New Roman" w:hAnsi="Times New Roman" w:cs="Times New Roman"/>
          <w:b/>
          <w:bCs/>
          <w:color w:val="000000"/>
          <w:sz w:val="20"/>
          <w:szCs w:val="20"/>
        </w:rPr>
        <w:t>. Study of the Quality</w:t>
      </w:r>
      <w:r w:rsidRPr="00A73B62">
        <w:rPr>
          <w:rFonts w:ascii="Times New Roman" w:hAnsi="Times New Roman" w:cs="Times New Roman"/>
          <w:b/>
          <w:bCs/>
          <w:color w:val="000000"/>
          <w:sz w:val="20"/>
          <w:szCs w:val="20"/>
          <w:rtl/>
        </w:rPr>
        <w:t xml:space="preserve"> </w:t>
      </w:r>
      <w:r w:rsidRPr="00A73B62">
        <w:rPr>
          <w:rFonts w:ascii="Times New Roman" w:hAnsi="Times New Roman" w:cs="Times New Roman"/>
          <w:b/>
          <w:bCs/>
          <w:color w:val="000000"/>
          <w:sz w:val="20"/>
          <w:szCs w:val="20"/>
        </w:rPr>
        <w:t>of Life in Egyptian University Students with IBS</w:t>
      </w:r>
      <w:r w:rsidRPr="00A73B62">
        <w:rPr>
          <w:rFonts w:ascii="Times New Roman" w:eastAsia="Calibri" w:hAnsi="Times New Roman" w:cs="Times New Roman"/>
          <w:bCs/>
          <w:i/>
          <w:sz w:val="20"/>
          <w:szCs w:val="20"/>
        </w:rPr>
        <w:t xml:space="preserve"> N Y Sci J</w:t>
      </w:r>
      <w:r w:rsidRPr="00A73B62">
        <w:rPr>
          <w:rFonts w:ascii="Times New Roman" w:eastAsia="Calibri" w:hAnsi="Times New Roman" w:cs="Times New Roman"/>
          <w:bCs/>
          <w:sz w:val="20"/>
          <w:szCs w:val="20"/>
        </w:rPr>
        <w:t xml:space="preserve"> </w:t>
      </w:r>
      <w:r w:rsidRPr="00A73B62">
        <w:rPr>
          <w:rFonts w:ascii="Times New Roman" w:eastAsia="Calibri" w:hAnsi="Times New Roman" w:cs="Times New Roman"/>
          <w:sz w:val="20"/>
          <w:szCs w:val="20"/>
        </w:rPr>
        <w:t>2021;14(</w:t>
      </w:r>
      <w:r w:rsidRPr="00A73B62">
        <w:rPr>
          <w:rFonts w:ascii="Times New Roman" w:eastAsia="宋体" w:hAnsi="Times New Roman" w:cs="Times New Roman" w:hint="eastAsia"/>
          <w:sz w:val="20"/>
          <w:szCs w:val="20"/>
          <w:lang w:eastAsia="zh-CN"/>
        </w:rPr>
        <w:t>5</w:t>
      </w:r>
      <w:r w:rsidRPr="00A73B62">
        <w:rPr>
          <w:rFonts w:ascii="Times New Roman" w:eastAsia="Calibri" w:hAnsi="Times New Roman" w:cs="Times New Roman"/>
          <w:sz w:val="20"/>
          <w:szCs w:val="20"/>
        </w:rPr>
        <w:t>):</w:t>
      </w:r>
      <w:r w:rsidRPr="00A73B62">
        <w:rPr>
          <w:rFonts w:ascii="Times New Roman" w:eastAsia="宋体" w:hAnsi="Times New Roman" w:cs="Times New Roman" w:hint="eastAsia"/>
          <w:sz w:val="20"/>
          <w:szCs w:val="20"/>
          <w:lang w:eastAsia="zh-CN"/>
        </w:rPr>
        <w:t>10</w:t>
      </w:r>
      <w:r w:rsidRPr="00A73B62">
        <w:rPr>
          <w:rFonts w:ascii="Times New Roman" w:eastAsia="Calibri" w:hAnsi="Times New Roman" w:cs="Times New Roman"/>
          <w:color w:val="000000"/>
          <w:sz w:val="20"/>
          <w:szCs w:val="20"/>
        </w:rPr>
        <w:t>-</w:t>
      </w:r>
      <w:r w:rsidRPr="00A73B62">
        <w:rPr>
          <w:rFonts w:ascii="Times New Roman" w:eastAsia="宋体" w:hAnsi="Times New Roman" w:cs="Times New Roman" w:hint="eastAsia"/>
          <w:color w:val="000000"/>
          <w:sz w:val="20"/>
          <w:szCs w:val="20"/>
          <w:lang w:eastAsia="zh-CN"/>
        </w:rPr>
        <w:t>1</w:t>
      </w:r>
      <w:r w:rsidR="00A73B62">
        <w:rPr>
          <w:rFonts w:ascii="Times New Roman" w:eastAsia="宋体" w:hAnsi="Times New Roman" w:cs="Times New Roman" w:hint="eastAsia"/>
          <w:color w:val="000000"/>
          <w:sz w:val="20"/>
          <w:szCs w:val="20"/>
          <w:lang w:eastAsia="zh-CN"/>
        </w:rPr>
        <w:t>8</w:t>
      </w:r>
      <w:r w:rsidRPr="00A73B62">
        <w:rPr>
          <w:rFonts w:ascii="Times New Roman" w:eastAsia="Calibri" w:hAnsi="Times New Roman" w:cs="Times New Roman"/>
          <w:sz w:val="20"/>
          <w:szCs w:val="20"/>
        </w:rPr>
        <w:t xml:space="preserve">]. </w:t>
      </w:r>
      <w:r w:rsidRPr="00A73B62">
        <w:rPr>
          <w:rFonts w:ascii="Times New Roman" w:eastAsia="Calibri" w:hAnsi="Times New Roman" w:cs="Times New Roman"/>
          <w:iCs/>
          <w:color w:val="000000"/>
          <w:sz w:val="20"/>
          <w:szCs w:val="20"/>
        </w:rPr>
        <w:t>ISSN 1554-0200 (print); ISSN 2375-723X (online)</w:t>
      </w:r>
      <w:r w:rsidRPr="00A73B62">
        <w:rPr>
          <w:rFonts w:ascii="Times New Roman" w:eastAsia="Calibri" w:hAnsi="Times New Roman" w:cs="Times New Roman"/>
          <w:sz w:val="20"/>
          <w:szCs w:val="20"/>
        </w:rPr>
        <w:t xml:space="preserve">. </w:t>
      </w:r>
      <w:hyperlink r:id="rId10" w:history="1">
        <w:r w:rsidRPr="00A73B62">
          <w:rPr>
            <w:rFonts w:ascii="Times New Roman" w:eastAsia="Calibri" w:hAnsi="Times New Roman" w:cs="Times New Roman"/>
            <w:color w:val="0000FF"/>
            <w:sz w:val="20"/>
            <w:szCs w:val="20"/>
            <w:u w:val="single"/>
          </w:rPr>
          <w:t>http://www.sciencepub.net/newyork</w:t>
        </w:r>
      </w:hyperlink>
      <w:r w:rsidRPr="00A73B62">
        <w:rPr>
          <w:rFonts w:ascii="Times New Roman" w:eastAsia="宋体" w:hAnsi="Times New Roman" w:cs="Times New Roman" w:hint="eastAsia"/>
          <w:color w:val="0000FF"/>
          <w:sz w:val="20"/>
          <w:szCs w:val="20"/>
          <w:lang w:eastAsia="zh-CN"/>
        </w:rPr>
        <w:t xml:space="preserve">  </w:t>
      </w:r>
      <w:r w:rsidRPr="00A73B62">
        <w:rPr>
          <w:rFonts w:ascii="Times New Roman" w:hAnsi="Times New Roman" w:cs="Times New Roman" w:hint="eastAsia"/>
          <w:sz w:val="20"/>
          <w:szCs w:val="20"/>
          <w:lang w:eastAsia="zh-CN"/>
        </w:rPr>
        <w:t>3</w:t>
      </w:r>
      <w:r w:rsidRPr="00A73B62">
        <w:rPr>
          <w:rFonts w:ascii="Times New Roman" w:hAnsi="Times New Roman" w:cs="Times New Roman"/>
          <w:color w:val="0000FF"/>
          <w:sz w:val="20"/>
          <w:szCs w:val="20"/>
        </w:rPr>
        <w:t>.</w:t>
      </w:r>
      <w:r w:rsidRPr="00A73B62">
        <w:rPr>
          <w:rFonts w:ascii="Times New Roman" w:hAnsi="Times New Roman" w:cs="Times New Roman"/>
          <w:color w:val="0000FF"/>
          <w:sz w:val="20"/>
          <w:szCs w:val="20"/>
          <w:lang w:eastAsia="zh-CN"/>
        </w:rPr>
        <w:t xml:space="preserve"> </w:t>
      </w:r>
      <w:r w:rsidRPr="00A73B62">
        <w:rPr>
          <w:rFonts w:ascii="Times New Roman" w:hAnsi="Times New Roman" w:cs="Times New Roman"/>
          <w:color w:val="3A42EF"/>
          <w:sz w:val="20"/>
          <w:szCs w:val="20"/>
          <w:u w:val="single"/>
          <w:shd w:val="clear" w:color="auto" w:fill="FFFFFF"/>
        </w:rPr>
        <w:t>doi:</w:t>
      </w:r>
      <w:hyperlink r:id="rId11" w:history="1">
        <w:r w:rsidRPr="00A73B62">
          <w:rPr>
            <w:rStyle w:val="Hyperlink"/>
            <w:rFonts w:ascii="Times New Roman" w:hAnsi="Times New Roman" w:cs="Times New Roman"/>
            <w:sz w:val="20"/>
            <w:szCs w:val="20"/>
            <w:shd w:val="clear" w:color="auto" w:fill="FFFFFF"/>
          </w:rPr>
          <w:t>10.7537/marsnys150522.03</w:t>
        </w:r>
      </w:hyperlink>
      <w:r w:rsidRPr="00A73B62">
        <w:rPr>
          <w:rFonts w:ascii="Times New Roman" w:hAnsi="Times New Roman" w:cs="Times New Roman"/>
          <w:color w:val="0000FF"/>
          <w:sz w:val="20"/>
          <w:szCs w:val="20"/>
          <w:lang w:eastAsia="zh-CN"/>
        </w:rPr>
        <w:t>.</w:t>
      </w:r>
    </w:p>
    <w:p w:rsidR="00DF6A44" w:rsidRPr="00A73B62" w:rsidRDefault="00DF6A44">
      <w:pPr>
        <w:spacing w:after="0" w:line="240" w:lineRule="auto"/>
        <w:ind w:right="-43"/>
        <w:rPr>
          <w:rFonts w:ascii="Times New Roman" w:hAnsi="Times New Roman" w:cs="Times New Roman"/>
          <w:b/>
          <w:bCs/>
          <w:color w:val="000000"/>
          <w:sz w:val="20"/>
          <w:szCs w:val="20"/>
        </w:rPr>
      </w:pPr>
    </w:p>
    <w:p w:rsidR="00DF6A44" w:rsidRPr="00A73B62" w:rsidRDefault="00B0692F">
      <w:pPr>
        <w:spacing w:after="0" w:line="240" w:lineRule="auto"/>
        <w:jc w:val="both"/>
        <w:rPr>
          <w:rFonts w:ascii="Times New Roman" w:hAnsi="Times New Roman" w:cs="Times New Roman"/>
          <w:sz w:val="20"/>
          <w:szCs w:val="20"/>
        </w:rPr>
      </w:pPr>
      <w:r w:rsidRPr="00A73B62">
        <w:rPr>
          <w:rFonts w:ascii="Times New Roman" w:hAnsi="Times New Roman" w:cs="Times New Roman"/>
          <w:b/>
          <w:bCs/>
          <w:color w:val="000000"/>
          <w:sz w:val="20"/>
          <w:szCs w:val="20"/>
        </w:rPr>
        <w:t>Key words</w:t>
      </w:r>
      <w:r w:rsidRPr="00A73B62">
        <w:rPr>
          <w:rFonts w:ascii="Times New Roman" w:hAnsi="Times New Roman" w:cs="Times New Roman"/>
          <w:sz w:val="20"/>
          <w:szCs w:val="20"/>
        </w:rPr>
        <w:t>: QoL &amp; IBS.</w:t>
      </w:r>
    </w:p>
    <w:p w:rsidR="00DF6A44" w:rsidRDefault="00DF6A44">
      <w:pPr>
        <w:spacing w:after="0" w:line="240" w:lineRule="auto"/>
        <w:jc w:val="both"/>
        <w:rPr>
          <w:rFonts w:ascii="Times New Roman" w:hAnsi="Times New Roman" w:cs="Times New Roman" w:hint="eastAsia"/>
          <w:sz w:val="20"/>
          <w:szCs w:val="20"/>
          <w:lang w:eastAsia="zh-CN"/>
        </w:rPr>
      </w:pPr>
    </w:p>
    <w:p w:rsidR="00A73B62" w:rsidRDefault="00A73B62">
      <w:pPr>
        <w:spacing w:after="0" w:line="240" w:lineRule="auto"/>
        <w:jc w:val="both"/>
        <w:rPr>
          <w:rFonts w:ascii="Times New Roman" w:hAnsi="Times New Roman" w:cs="Times New Roman" w:hint="eastAsia"/>
          <w:sz w:val="20"/>
          <w:szCs w:val="20"/>
          <w:lang w:eastAsia="zh-CN"/>
        </w:rPr>
      </w:pPr>
    </w:p>
    <w:p w:rsidR="00A73B62" w:rsidRPr="00A73B62" w:rsidRDefault="00A73B62">
      <w:pPr>
        <w:spacing w:after="0" w:line="240" w:lineRule="auto"/>
        <w:jc w:val="both"/>
        <w:rPr>
          <w:rFonts w:ascii="Times New Roman" w:hAnsi="Times New Roman" w:cs="Times New Roman" w:hint="eastAsia"/>
          <w:sz w:val="20"/>
          <w:szCs w:val="20"/>
          <w:lang w:eastAsia="zh-CN"/>
        </w:rPr>
      </w:pPr>
    </w:p>
    <w:p w:rsidR="00DF6A44" w:rsidRDefault="00DF6A44">
      <w:pPr>
        <w:spacing w:after="0" w:line="240" w:lineRule="auto"/>
        <w:jc w:val="both"/>
        <w:rPr>
          <w:rFonts w:ascii="Times New Roman" w:hAnsi="Times New Roman" w:cs="Times New Roman" w:hint="eastAsia"/>
          <w:sz w:val="20"/>
          <w:szCs w:val="20"/>
          <w:lang w:eastAsia="zh-CN"/>
        </w:rPr>
      </w:pPr>
    </w:p>
    <w:p w:rsidR="00A73B62" w:rsidRPr="00A73B62" w:rsidRDefault="00A73B62">
      <w:pPr>
        <w:spacing w:after="0" w:line="240" w:lineRule="auto"/>
        <w:jc w:val="both"/>
        <w:rPr>
          <w:rFonts w:ascii="Times New Roman" w:hAnsi="Times New Roman" w:cs="Times New Roman" w:hint="eastAsia"/>
          <w:sz w:val="20"/>
          <w:szCs w:val="20"/>
          <w:lang w:eastAsia="zh-CN"/>
        </w:rPr>
        <w:sectPr w:rsidR="00A73B62" w:rsidRPr="00A73B62">
          <w:headerReference w:type="default" r:id="rId12"/>
          <w:footerReference w:type="default" r:id="rId13"/>
          <w:headerReference w:type="first" r:id="rId14"/>
          <w:footerReference w:type="first" r:id="rId15"/>
          <w:pgSz w:w="12240" w:h="15840"/>
          <w:pgMar w:top="1440" w:right="1440" w:bottom="1440" w:left="1440" w:header="720" w:footer="720" w:gutter="0"/>
          <w:pgNumType w:start="10"/>
          <w:cols w:space="720"/>
          <w:titlePg/>
          <w:docGrid w:linePitch="360"/>
        </w:sectPr>
      </w:pPr>
    </w:p>
    <w:p w:rsidR="00DF6A44" w:rsidRPr="00A73B62" w:rsidRDefault="00B0692F">
      <w:pPr>
        <w:spacing w:after="0" w:line="240" w:lineRule="auto"/>
        <w:jc w:val="both"/>
        <w:rPr>
          <w:rFonts w:ascii="Times New Roman" w:hAnsi="Times New Roman" w:cs="Times New Roman"/>
          <w:b/>
          <w:bCs/>
          <w:sz w:val="20"/>
          <w:szCs w:val="20"/>
        </w:rPr>
      </w:pPr>
      <w:r w:rsidRPr="00A73B62">
        <w:rPr>
          <w:rFonts w:ascii="Times New Roman" w:hAnsi="Times New Roman" w:cs="Times New Roman"/>
          <w:sz w:val="20"/>
          <w:szCs w:val="20"/>
        </w:rPr>
        <w:lastRenderedPageBreak/>
        <w:t xml:space="preserve">1. </w:t>
      </w:r>
      <w:r w:rsidRPr="00A73B62">
        <w:rPr>
          <w:rFonts w:ascii="Times New Roman" w:hAnsi="Times New Roman" w:cs="Times New Roman"/>
          <w:b/>
          <w:bCs/>
          <w:sz w:val="20"/>
          <w:szCs w:val="20"/>
        </w:rPr>
        <w:t>Introduction:</w:t>
      </w:r>
    </w:p>
    <w:p w:rsidR="00DF6A44" w:rsidRPr="00A73B62" w:rsidRDefault="00B0692F">
      <w:pPr>
        <w:autoSpaceDE w:val="0"/>
        <w:autoSpaceDN w:val="0"/>
        <w:adjustRightInd w:val="0"/>
        <w:spacing w:after="0" w:line="240" w:lineRule="auto"/>
        <w:jc w:val="both"/>
        <w:rPr>
          <w:rFonts w:ascii="Times New Roman" w:hAnsi="Times New Roman" w:cs="Times New Roman"/>
          <w:b/>
          <w:bCs/>
          <w:sz w:val="20"/>
          <w:szCs w:val="20"/>
        </w:rPr>
      </w:pPr>
      <w:r w:rsidRPr="00A73B62">
        <w:rPr>
          <w:rFonts w:ascii="Times New Roman" w:hAnsi="Times New Roman" w:cs="Times New Roman"/>
          <w:sz w:val="20"/>
          <w:szCs w:val="20"/>
        </w:rPr>
        <w:t xml:space="preserve">       From the 70s, the assessment of QoL grew, yet little attention has been given to QoL of university students during their educational process, which is recognized as a high-stress period. Factors such as anxiety can lead to poor academi</w:t>
      </w:r>
      <w:r w:rsidRPr="00A73B62">
        <w:rPr>
          <w:rFonts w:ascii="Times New Roman" w:hAnsi="Times New Roman" w:cs="Times New Roman"/>
          <w:sz w:val="20"/>
          <w:szCs w:val="20"/>
        </w:rPr>
        <w:t xml:space="preserve">c performance and illness </w:t>
      </w:r>
      <w:r w:rsidRPr="00A73B62">
        <w:rPr>
          <w:rFonts w:ascii="Times New Roman" w:eastAsia="Calibri" w:hAnsi="Times New Roman" w:cs="Times New Roman"/>
          <w:b/>
          <w:bCs/>
          <w:sz w:val="20"/>
          <w:szCs w:val="20"/>
          <w:vertAlign w:val="superscript"/>
          <w:lang w:bidi="ar-EG"/>
        </w:rPr>
        <w:t>1</w:t>
      </w:r>
      <w:r w:rsidRPr="00A73B62">
        <w:rPr>
          <w:rFonts w:ascii="Times New Roman" w:eastAsia="Calibri" w:hAnsi="Times New Roman" w:cs="Times New Roman"/>
          <w:b/>
          <w:bCs/>
          <w:sz w:val="20"/>
          <w:szCs w:val="20"/>
          <w:lang w:bidi="ar-EG"/>
        </w:rPr>
        <w:t xml:space="preserve">. </w:t>
      </w:r>
      <w:r w:rsidRPr="00A73B62">
        <w:rPr>
          <w:rFonts w:ascii="Times New Roman" w:hAnsi="Times New Roman" w:cs="Times New Roman"/>
          <w:sz w:val="20"/>
          <w:szCs w:val="20"/>
        </w:rPr>
        <w:t>IBS is considered one of the most important stress-related diseases and the most prevalent disorder of gut-brain interaction</w:t>
      </w:r>
      <w:r w:rsidRPr="00A73B62">
        <w:rPr>
          <w:rFonts w:ascii="Times New Roman" w:eastAsia="Calibri" w:hAnsi="Times New Roman" w:cs="Times New Roman"/>
          <w:b/>
          <w:bCs/>
          <w:sz w:val="20"/>
          <w:szCs w:val="20"/>
          <w:vertAlign w:val="superscript"/>
          <w:lang w:bidi="ar-EG"/>
        </w:rPr>
        <w:t>2</w:t>
      </w:r>
      <w:r w:rsidRPr="00A73B62">
        <w:rPr>
          <w:rFonts w:ascii="Times New Roman" w:hAnsi="Times New Roman" w:cs="Times New Roman"/>
          <w:b/>
          <w:bCs/>
          <w:sz w:val="20"/>
          <w:szCs w:val="20"/>
        </w:rPr>
        <w:t xml:space="preserve">. </w:t>
      </w:r>
      <w:r w:rsidRPr="00A73B62">
        <w:rPr>
          <w:rFonts w:ascii="Times New Roman" w:hAnsi="Times New Roman" w:cs="Times New Roman"/>
          <w:sz w:val="20"/>
          <w:szCs w:val="20"/>
        </w:rPr>
        <w:t xml:space="preserve">The impact of IBS on QoL and the individual’s functioning has been studied through various </w:t>
      </w:r>
      <w:r w:rsidRPr="00A73B62">
        <w:rPr>
          <w:rFonts w:ascii="Times New Roman" w:hAnsi="Times New Roman" w:cs="Times New Roman"/>
          <w:sz w:val="20"/>
          <w:szCs w:val="20"/>
        </w:rPr>
        <w:t>disease-specific instruments that are now available and widely used in clinical trials. They are used to measure changes in QoL in patients with IBS especially after treatment in order to individualize a proper therapeutic strategy</w:t>
      </w:r>
      <w:r w:rsidRPr="00A73B62">
        <w:rPr>
          <w:rFonts w:ascii="Times New Roman" w:eastAsia="Calibri" w:hAnsi="Times New Roman" w:cs="Times New Roman"/>
          <w:b/>
          <w:bCs/>
          <w:sz w:val="20"/>
          <w:szCs w:val="20"/>
          <w:vertAlign w:val="superscript"/>
          <w:lang w:bidi="ar-EG"/>
        </w:rPr>
        <w:t>3</w:t>
      </w:r>
      <w:r w:rsidRPr="00A73B62">
        <w:rPr>
          <w:rFonts w:ascii="Times New Roman" w:hAnsi="Times New Roman" w:cs="Times New Roman"/>
          <w:b/>
          <w:bCs/>
          <w:sz w:val="20"/>
          <w:szCs w:val="20"/>
        </w:rPr>
        <w:t>.</w:t>
      </w:r>
      <w:r w:rsidRPr="00A73B62">
        <w:rPr>
          <w:rFonts w:ascii="Times New Roman" w:hAnsi="Times New Roman" w:cs="Times New Roman"/>
          <w:sz w:val="20"/>
          <w:szCs w:val="20"/>
        </w:rPr>
        <w:t xml:space="preserve"> It is suggested that I</w:t>
      </w:r>
      <w:r w:rsidRPr="00A73B62">
        <w:rPr>
          <w:rFonts w:ascii="Times New Roman" w:hAnsi="Times New Roman" w:cs="Times New Roman"/>
          <w:sz w:val="20"/>
          <w:szCs w:val="20"/>
        </w:rPr>
        <w:t>BS interferes with the physical aspects of QoL including daily activities and work productivity and aggravates patients’ psychological burden if comorbid depression is present. Thus QoL level of those individuals could be significantly reduced</w:t>
      </w:r>
      <w:r w:rsidRPr="00A73B62">
        <w:rPr>
          <w:rFonts w:ascii="Times New Roman" w:eastAsia="Calibri" w:hAnsi="Times New Roman" w:cs="Times New Roman"/>
          <w:b/>
          <w:bCs/>
          <w:sz w:val="20"/>
          <w:szCs w:val="20"/>
          <w:vertAlign w:val="superscript"/>
          <w:lang w:bidi="ar-EG"/>
        </w:rPr>
        <w:t>4</w:t>
      </w:r>
      <w:r w:rsidRPr="00A73B62">
        <w:rPr>
          <w:rFonts w:ascii="Times New Roman" w:hAnsi="Times New Roman" w:cs="Times New Roman"/>
          <w:b/>
          <w:bCs/>
          <w:sz w:val="20"/>
          <w:szCs w:val="20"/>
        </w:rPr>
        <w:t>.</w:t>
      </w:r>
    </w:p>
    <w:p w:rsidR="00DF6A44" w:rsidRPr="00A73B62" w:rsidRDefault="00DF6A44">
      <w:pPr>
        <w:spacing w:after="0" w:line="240" w:lineRule="auto"/>
        <w:jc w:val="both"/>
        <w:rPr>
          <w:rFonts w:ascii="Times New Roman" w:hAnsi="Times New Roman" w:cs="Times New Roman"/>
          <w:b/>
          <w:bCs/>
          <w:sz w:val="20"/>
          <w:szCs w:val="20"/>
        </w:rPr>
      </w:pPr>
    </w:p>
    <w:p w:rsidR="00DF6A44" w:rsidRPr="00A73B62" w:rsidRDefault="00B0692F">
      <w:pPr>
        <w:spacing w:after="0" w:line="240" w:lineRule="auto"/>
        <w:jc w:val="both"/>
        <w:rPr>
          <w:rFonts w:ascii="Times New Roman" w:hAnsi="Times New Roman" w:cs="Times New Roman"/>
          <w:b/>
          <w:bCs/>
          <w:sz w:val="20"/>
          <w:szCs w:val="20"/>
        </w:rPr>
      </w:pPr>
      <w:r w:rsidRPr="00A73B62">
        <w:rPr>
          <w:rFonts w:ascii="Times New Roman" w:hAnsi="Times New Roman" w:cs="Times New Roman"/>
          <w:b/>
          <w:bCs/>
          <w:sz w:val="20"/>
          <w:szCs w:val="20"/>
        </w:rPr>
        <w:t>2. Method</w:t>
      </w:r>
      <w:r w:rsidRPr="00A73B62">
        <w:rPr>
          <w:rFonts w:ascii="Times New Roman" w:hAnsi="Times New Roman" w:cs="Times New Roman"/>
          <w:b/>
          <w:bCs/>
          <w:sz w:val="20"/>
          <w:szCs w:val="20"/>
        </w:rPr>
        <w:t>s:</w:t>
      </w:r>
    </w:p>
    <w:p w:rsidR="00DF6A44" w:rsidRPr="00A73B62" w:rsidRDefault="00B0692F">
      <w:pPr>
        <w:spacing w:after="0" w:line="240" w:lineRule="auto"/>
        <w:jc w:val="both"/>
        <w:rPr>
          <w:rFonts w:ascii="Times New Roman" w:hAnsi="Times New Roman" w:cs="Times New Roman"/>
          <w:b/>
          <w:bCs/>
          <w:sz w:val="20"/>
          <w:szCs w:val="20"/>
        </w:rPr>
      </w:pPr>
      <w:r w:rsidRPr="00A73B62">
        <w:rPr>
          <w:rFonts w:ascii="Times New Roman" w:hAnsi="Times New Roman" w:cs="Times New Roman"/>
          <w:b/>
          <w:bCs/>
          <w:sz w:val="20"/>
          <w:szCs w:val="20"/>
        </w:rPr>
        <w:t>Design:</w:t>
      </w:r>
    </w:p>
    <w:p w:rsidR="00DF6A44" w:rsidRDefault="00B0692F">
      <w:pPr>
        <w:spacing w:after="0" w:line="240" w:lineRule="auto"/>
        <w:jc w:val="both"/>
        <w:rPr>
          <w:rFonts w:ascii="Times New Roman" w:hAnsi="Times New Roman" w:cs="Times New Roman" w:hint="eastAsia"/>
          <w:sz w:val="20"/>
          <w:szCs w:val="20"/>
          <w:lang w:eastAsia="zh-CN"/>
        </w:rPr>
      </w:pPr>
      <w:r w:rsidRPr="00A73B62">
        <w:rPr>
          <w:rFonts w:ascii="Times New Roman" w:hAnsi="Times New Roman" w:cs="Times New Roman"/>
          <w:b/>
          <w:bCs/>
          <w:sz w:val="20"/>
          <w:szCs w:val="20"/>
        </w:rPr>
        <w:t xml:space="preserve">      </w:t>
      </w:r>
      <w:r w:rsidRPr="00A73B62">
        <w:rPr>
          <w:rFonts w:ascii="Times New Roman" w:hAnsi="Times New Roman" w:cs="Times New Roman"/>
          <w:sz w:val="20"/>
          <w:szCs w:val="20"/>
        </w:rPr>
        <w:t>This is a Cross-sectional study.</w:t>
      </w:r>
    </w:p>
    <w:p w:rsidR="00F67147" w:rsidRPr="00A73B62" w:rsidRDefault="00F67147">
      <w:pPr>
        <w:spacing w:after="0" w:line="240" w:lineRule="auto"/>
        <w:jc w:val="both"/>
        <w:rPr>
          <w:rFonts w:ascii="Times New Roman" w:hAnsi="Times New Roman" w:cs="Times New Roman" w:hint="eastAsia"/>
          <w:b/>
          <w:bCs/>
          <w:sz w:val="20"/>
          <w:szCs w:val="20"/>
          <w:lang w:eastAsia="zh-CN"/>
        </w:rPr>
      </w:pPr>
    </w:p>
    <w:p w:rsidR="00DF6A44" w:rsidRPr="00A73B62" w:rsidRDefault="00B0692F">
      <w:pPr>
        <w:spacing w:after="0" w:line="240" w:lineRule="auto"/>
        <w:jc w:val="both"/>
        <w:rPr>
          <w:rFonts w:ascii="Times New Roman" w:hAnsi="Times New Roman" w:cs="Times New Roman"/>
          <w:b/>
          <w:bCs/>
          <w:sz w:val="20"/>
          <w:szCs w:val="20"/>
        </w:rPr>
      </w:pPr>
      <w:r w:rsidRPr="00A73B62">
        <w:rPr>
          <w:rFonts w:ascii="Times New Roman" w:hAnsi="Times New Roman" w:cs="Times New Roman"/>
          <w:b/>
          <w:bCs/>
          <w:sz w:val="20"/>
          <w:szCs w:val="20"/>
        </w:rPr>
        <w:t>Setting:</w:t>
      </w:r>
    </w:p>
    <w:p w:rsidR="00DF6A44" w:rsidRPr="00A73B62" w:rsidRDefault="00B0692F">
      <w:pPr>
        <w:spacing w:after="0" w:line="240" w:lineRule="auto"/>
        <w:jc w:val="both"/>
        <w:rPr>
          <w:rFonts w:ascii="Times New Roman" w:hAnsi="Times New Roman" w:cs="Times New Roman"/>
          <w:sz w:val="20"/>
          <w:szCs w:val="20"/>
        </w:rPr>
      </w:pPr>
      <w:r w:rsidRPr="00A73B62">
        <w:rPr>
          <w:rFonts w:ascii="Times New Roman" w:hAnsi="Times New Roman" w:cs="Times New Roman"/>
          <w:b/>
          <w:bCs/>
          <w:sz w:val="20"/>
          <w:szCs w:val="20"/>
        </w:rPr>
        <w:t xml:space="preserve">      </w:t>
      </w:r>
      <w:r w:rsidRPr="00A73B62">
        <w:rPr>
          <w:rFonts w:ascii="Times New Roman" w:hAnsi="Times New Roman" w:cs="Times New Roman"/>
          <w:sz w:val="20"/>
          <w:szCs w:val="20"/>
        </w:rPr>
        <w:t xml:space="preserve">Faculties of Medicine and Education in Mansoura, Alexandria, Port Said and Assiut Universities during one-year period starting from April 2020. </w:t>
      </w:r>
    </w:p>
    <w:p w:rsidR="00DF6A44" w:rsidRDefault="00B0692F">
      <w:pPr>
        <w:spacing w:after="0" w:line="240" w:lineRule="auto"/>
        <w:jc w:val="both"/>
        <w:rPr>
          <w:rFonts w:ascii="Times New Roman" w:hAnsi="Times New Roman" w:cs="Times New Roman" w:hint="eastAsia"/>
          <w:sz w:val="20"/>
          <w:szCs w:val="20"/>
          <w:lang w:eastAsia="zh-CN"/>
        </w:rPr>
      </w:pPr>
      <w:r w:rsidRPr="00A73B62">
        <w:rPr>
          <w:rFonts w:ascii="Times New Roman" w:hAnsi="Times New Roman" w:cs="Times New Roman"/>
          <w:sz w:val="20"/>
          <w:szCs w:val="20"/>
        </w:rPr>
        <w:t xml:space="preserve">       The whole study design was approved by the Institutional review board (IRB), Faculty of Medicine, Mansoura University with code number MS.19.05.632. Completing the questionnaire considered as acceptance to share in the study.</w:t>
      </w:r>
    </w:p>
    <w:p w:rsidR="00F67147" w:rsidRPr="00A73B62" w:rsidRDefault="00F67147">
      <w:pPr>
        <w:spacing w:after="0" w:line="240" w:lineRule="auto"/>
        <w:jc w:val="both"/>
        <w:rPr>
          <w:rFonts w:ascii="Times New Roman" w:hAnsi="Times New Roman" w:cs="Times New Roman" w:hint="eastAsia"/>
          <w:sz w:val="20"/>
          <w:szCs w:val="20"/>
          <w:lang w:eastAsia="zh-CN"/>
        </w:rPr>
      </w:pPr>
    </w:p>
    <w:p w:rsidR="00DF6A44" w:rsidRPr="00A73B62" w:rsidRDefault="00B0692F">
      <w:pPr>
        <w:spacing w:after="0" w:line="240" w:lineRule="auto"/>
        <w:jc w:val="both"/>
        <w:rPr>
          <w:rFonts w:ascii="Times New Roman" w:hAnsi="Times New Roman" w:cs="Times New Roman"/>
          <w:b/>
          <w:bCs/>
          <w:sz w:val="20"/>
          <w:szCs w:val="20"/>
        </w:rPr>
      </w:pPr>
      <w:r w:rsidRPr="00A73B62">
        <w:rPr>
          <w:rFonts w:ascii="Times New Roman" w:hAnsi="Times New Roman" w:cs="Times New Roman"/>
          <w:b/>
          <w:bCs/>
          <w:sz w:val="20"/>
          <w:szCs w:val="20"/>
        </w:rPr>
        <w:t>Study Population:</w:t>
      </w:r>
    </w:p>
    <w:p w:rsidR="00DF6A44" w:rsidRDefault="00B0692F">
      <w:pPr>
        <w:spacing w:after="0" w:line="240" w:lineRule="auto"/>
        <w:jc w:val="both"/>
        <w:rPr>
          <w:rFonts w:ascii="Times New Roman" w:hAnsi="Times New Roman" w:cs="Times New Roman" w:hint="eastAsia"/>
          <w:b/>
          <w:bCs/>
          <w:sz w:val="20"/>
          <w:szCs w:val="20"/>
          <w:lang w:eastAsia="zh-CN"/>
        </w:rPr>
      </w:pPr>
      <w:r w:rsidRPr="00A73B62">
        <w:rPr>
          <w:rFonts w:ascii="Times New Roman" w:hAnsi="Times New Roman" w:cs="Times New Roman"/>
          <w:sz w:val="20"/>
          <w:szCs w:val="20"/>
        </w:rPr>
        <w:t xml:space="preserve">     </w:t>
      </w:r>
      <w:r w:rsidRPr="00A73B62">
        <w:rPr>
          <w:rFonts w:ascii="Times New Roman" w:hAnsi="Times New Roman" w:cs="Times New Roman"/>
          <w:sz w:val="20"/>
          <w:szCs w:val="20"/>
        </w:rPr>
        <w:t xml:space="preserve">  656 students were included in the study 82 from each faculty, two questionnaires (quality of life and ROME IV) were handed over to students of Faculties of Medicine and Education in Mansoura, Alexandria, </w:t>
      </w:r>
      <w:r w:rsidRPr="00A73B62">
        <w:rPr>
          <w:rFonts w:ascii="Times New Roman" w:hAnsi="Times New Roman" w:cs="Times New Roman"/>
          <w:sz w:val="20"/>
          <w:szCs w:val="20"/>
        </w:rPr>
        <w:lastRenderedPageBreak/>
        <w:t>Port Said and Assiut Universities. All students we</w:t>
      </w:r>
      <w:r w:rsidRPr="00A73B62">
        <w:rPr>
          <w:rFonts w:ascii="Times New Roman" w:hAnsi="Times New Roman" w:cs="Times New Roman"/>
          <w:sz w:val="20"/>
          <w:szCs w:val="20"/>
        </w:rPr>
        <w:t>re asked to fill out a Qol questionnaire and fill out an IBS questionnaire (only if they were suffering from a recurrent abdominal pain) after writing their personal data and 2 scoring systems were put to determine the QoL level and to detect students with</w:t>
      </w:r>
      <w:r w:rsidRPr="00A73B62">
        <w:rPr>
          <w:rFonts w:ascii="Times New Roman" w:hAnsi="Times New Roman" w:cs="Times New Roman"/>
          <w:sz w:val="20"/>
          <w:szCs w:val="20"/>
        </w:rPr>
        <w:t xml:space="preserve"> IBS. The quality of life questionnaire consists of 100 items, with the following choices: yes, to some extent and no (or rarely happens), where yes = 2 points, to some extent = 1 point and no = 0 points. The scores were calculated to determine the level o</w:t>
      </w:r>
      <w:r w:rsidRPr="00A73B62">
        <w:rPr>
          <w:rFonts w:ascii="Times New Roman" w:hAnsi="Times New Roman" w:cs="Times New Roman"/>
          <w:sz w:val="20"/>
          <w:szCs w:val="20"/>
        </w:rPr>
        <w:t>f quality of life, ranging from 0 to 200, where 0-50 points reflect low, 51-100 points reflect moderate, 101-150 points reflect good, and 151-200 points reflect high quality of life</w:t>
      </w:r>
      <w:r w:rsidRPr="00A73B62">
        <w:rPr>
          <w:rFonts w:ascii="Times New Roman" w:eastAsia="Calibri" w:hAnsi="Times New Roman" w:cs="Times New Roman"/>
          <w:b/>
          <w:bCs/>
          <w:sz w:val="20"/>
          <w:szCs w:val="20"/>
          <w:vertAlign w:val="superscript"/>
          <w:lang w:bidi="ar-EG"/>
        </w:rPr>
        <w:t>5</w:t>
      </w:r>
      <w:r w:rsidRPr="00A73B62">
        <w:rPr>
          <w:rFonts w:ascii="Times New Roman" w:hAnsi="Times New Roman" w:cs="Times New Roman"/>
          <w:b/>
          <w:bCs/>
          <w:sz w:val="20"/>
          <w:szCs w:val="20"/>
        </w:rPr>
        <w:t>.</w:t>
      </w:r>
      <w:r w:rsidRPr="00A73B62">
        <w:rPr>
          <w:rFonts w:ascii="Times New Roman" w:hAnsi="Times New Roman" w:cs="Times New Roman"/>
          <w:sz w:val="20"/>
          <w:szCs w:val="20"/>
        </w:rPr>
        <w:t xml:space="preserve"> Students who reported having recurrent abdominal pain were asked to answ</w:t>
      </w:r>
      <w:r w:rsidRPr="00A73B62">
        <w:rPr>
          <w:rFonts w:ascii="Times New Roman" w:hAnsi="Times New Roman" w:cs="Times New Roman"/>
          <w:sz w:val="20"/>
          <w:szCs w:val="20"/>
        </w:rPr>
        <w:t>er the IBS questionnaire which includes questions based on ROME IV criteria. A scoring system was put where score &gt; 20 means that the student likely suffers from IBS, score from 10 to 19 means that the student may suffer from IBS, and the student is consid</w:t>
      </w:r>
      <w:r w:rsidRPr="00A73B62">
        <w:rPr>
          <w:rFonts w:ascii="Times New Roman" w:hAnsi="Times New Roman" w:cs="Times New Roman"/>
          <w:sz w:val="20"/>
          <w:szCs w:val="20"/>
        </w:rPr>
        <w:t>ered to have IBS if he or she meets the diagnostic criteria of ROME IV for IBS and score &lt; 10 means that the student may not have IBS and other conditions should be considered</w:t>
      </w:r>
      <w:r w:rsidRPr="00A73B62">
        <w:rPr>
          <w:rFonts w:ascii="Times New Roman" w:eastAsia="Calibri" w:hAnsi="Times New Roman" w:cs="Times New Roman"/>
          <w:b/>
          <w:bCs/>
          <w:sz w:val="20"/>
          <w:szCs w:val="20"/>
          <w:vertAlign w:val="superscript"/>
          <w:lang w:bidi="ar-EG"/>
        </w:rPr>
        <w:t>6</w:t>
      </w:r>
      <w:r w:rsidRPr="00A73B62">
        <w:rPr>
          <w:rFonts w:ascii="Times New Roman" w:hAnsi="Times New Roman" w:cs="Times New Roman"/>
          <w:b/>
          <w:bCs/>
          <w:sz w:val="20"/>
          <w:szCs w:val="20"/>
        </w:rPr>
        <w:t>.</w:t>
      </w:r>
    </w:p>
    <w:p w:rsidR="00A73B62" w:rsidRPr="00A73B62" w:rsidRDefault="00A73B62">
      <w:pPr>
        <w:spacing w:after="0" w:line="240" w:lineRule="auto"/>
        <w:jc w:val="both"/>
        <w:rPr>
          <w:rFonts w:ascii="Times New Roman" w:hAnsi="Times New Roman" w:cs="Times New Roman" w:hint="eastAsia"/>
          <w:sz w:val="20"/>
          <w:szCs w:val="20"/>
          <w:lang w:eastAsia="zh-CN"/>
        </w:rPr>
      </w:pPr>
    </w:p>
    <w:p w:rsidR="00DF6A44" w:rsidRPr="00A73B62" w:rsidRDefault="00B0692F">
      <w:pPr>
        <w:spacing w:after="0" w:line="240" w:lineRule="auto"/>
        <w:jc w:val="both"/>
        <w:rPr>
          <w:rFonts w:ascii="Times New Roman" w:hAnsi="Times New Roman" w:cs="Times New Roman"/>
          <w:b/>
          <w:bCs/>
          <w:sz w:val="20"/>
          <w:szCs w:val="20"/>
        </w:rPr>
      </w:pPr>
      <w:r w:rsidRPr="00A73B62">
        <w:rPr>
          <w:rFonts w:ascii="Times New Roman" w:hAnsi="Times New Roman" w:cs="Times New Roman"/>
          <w:b/>
          <w:bCs/>
          <w:sz w:val="20"/>
          <w:szCs w:val="20"/>
        </w:rPr>
        <w:t>Statistical Analysis:</w:t>
      </w:r>
    </w:p>
    <w:p w:rsidR="00DF6A44" w:rsidRDefault="00B0692F">
      <w:pPr>
        <w:spacing w:after="0" w:line="240" w:lineRule="auto"/>
        <w:jc w:val="both"/>
        <w:rPr>
          <w:rFonts w:ascii="Times New Roman" w:hAnsi="Times New Roman" w:cs="Times New Roman" w:hint="eastAsia"/>
          <w:sz w:val="20"/>
          <w:szCs w:val="20"/>
          <w:lang w:eastAsia="zh-CN"/>
        </w:rPr>
      </w:pPr>
      <w:r w:rsidRPr="00A73B62">
        <w:rPr>
          <w:rFonts w:ascii="Times New Roman" w:hAnsi="Times New Roman" w:cs="Times New Roman"/>
          <w:sz w:val="20"/>
          <w:szCs w:val="20"/>
        </w:rPr>
        <w:t xml:space="preserve">       Data were entered and analyzed using IBM-SPSS sof</w:t>
      </w:r>
      <w:r w:rsidRPr="00A73B62">
        <w:rPr>
          <w:rFonts w:ascii="Times New Roman" w:hAnsi="Times New Roman" w:cs="Times New Roman"/>
          <w:sz w:val="20"/>
          <w:szCs w:val="20"/>
        </w:rPr>
        <w:t xml:space="preserve">tware (IBM Corp. Released 2019. IBM SPSS Statistics for Windows, Version 26.0. Armonk, NY: IBM Corp). </w:t>
      </w:r>
    </w:p>
    <w:p w:rsidR="00A73B62" w:rsidRPr="00A73B62" w:rsidRDefault="00A73B62">
      <w:pPr>
        <w:spacing w:after="0" w:line="240" w:lineRule="auto"/>
        <w:jc w:val="both"/>
        <w:rPr>
          <w:rFonts w:ascii="Times New Roman" w:hAnsi="Times New Roman" w:cs="Times New Roman" w:hint="eastAsia"/>
          <w:sz w:val="20"/>
          <w:szCs w:val="20"/>
          <w:lang w:eastAsia="zh-CN"/>
        </w:rPr>
      </w:pPr>
    </w:p>
    <w:p w:rsidR="00DF6A44" w:rsidRPr="00A73B62" w:rsidRDefault="00B0692F">
      <w:pPr>
        <w:spacing w:after="0" w:line="240" w:lineRule="auto"/>
        <w:jc w:val="both"/>
        <w:rPr>
          <w:rFonts w:ascii="Times New Roman" w:hAnsi="Times New Roman" w:cs="Times New Roman"/>
          <w:b/>
          <w:bCs/>
          <w:sz w:val="20"/>
          <w:szCs w:val="20"/>
        </w:rPr>
      </w:pPr>
      <w:r w:rsidRPr="00A73B62">
        <w:rPr>
          <w:rFonts w:ascii="Times New Roman" w:hAnsi="Times New Roman" w:cs="Times New Roman"/>
          <w:b/>
          <w:bCs/>
          <w:sz w:val="20"/>
          <w:szCs w:val="20"/>
        </w:rPr>
        <w:t>Role of the Funding Source:</w:t>
      </w:r>
    </w:p>
    <w:p w:rsidR="00DF6A44" w:rsidRPr="00A73B62" w:rsidRDefault="00B0692F">
      <w:pPr>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No external funding was received for this study.</w:t>
      </w:r>
    </w:p>
    <w:p w:rsidR="00DF6A44" w:rsidRPr="00A73B62" w:rsidRDefault="00DF6A44">
      <w:pPr>
        <w:spacing w:after="0" w:line="240" w:lineRule="auto"/>
        <w:jc w:val="both"/>
        <w:rPr>
          <w:rFonts w:ascii="Times New Roman" w:hAnsi="Times New Roman" w:cs="Times New Roman"/>
          <w:b/>
          <w:bCs/>
          <w:sz w:val="20"/>
          <w:szCs w:val="20"/>
        </w:rPr>
      </w:pPr>
    </w:p>
    <w:p w:rsidR="00DF6A44" w:rsidRPr="00A73B62" w:rsidRDefault="00B0692F">
      <w:pPr>
        <w:spacing w:after="0" w:line="240" w:lineRule="auto"/>
        <w:jc w:val="both"/>
        <w:rPr>
          <w:rFonts w:ascii="Times New Roman" w:hAnsi="Times New Roman" w:cs="Times New Roman"/>
          <w:b/>
          <w:bCs/>
          <w:sz w:val="20"/>
          <w:szCs w:val="20"/>
        </w:rPr>
      </w:pPr>
      <w:r w:rsidRPr="00A73B62">
        <w:rPr>
          <w:rFonts w:ascii="Times New Roman" w:hAnsi="Times New Roman" w:cs="Times New Roman"/>
          <w:b/>
          <w:bCs/>
          <w:sz w:val="20"/>
          <w:szCs w:val="20"/>
        </w:rPr>
        <w:t>3. Results:</w:t>
      </w:r>
    </w:p>
    <w:p w:rsidR="00DF6A44" w:rsidRPr="00A73B62" w:rsidRDefault="00B0692F">
      <w:pPr>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This study included 656 university students, of whom 365</w:t>
      </w:r>
      <w:r w:rsidRPr="00A73B62">
        <w:rPr>
          <w:rFonts w:ascii="Times New Roman" w:hAnsi="Times New Roman" w:cs="Times New Roman"/>
          <w:sz w:val="20"/>
          <w:szCs w:val="20"/>
        </w:rPr>
        <w:t xml:space="preserve"> students (55.6%) completed the QoL questionnaire with all of its dimensions. QoL of Faculty of Medicine students were significantly lower than QoL of students in Faculty of Education in all dimensions (median score of QoL in medical students = 127 vs 152 </w:t>
      </w:r>
      <w:r w:rsidRPr="00A73B62">
        <w:rPr>
          <w:rFonts w:ascii="Times New Roman" w:hAnsi="Times New Roman" w:cs="Times New Roman"/>
          <w:sz w:val="20"/>
          <w:szCs w:val="20"/>
        </w:rPr>
        <w:t xml:space="preserve">in non-medical students) (p value = &lt;0.001). Male students had statistically significant higher scores in the health dimension, personality dimension and in the total QoL scores than females (median score of QoL = 142 vs 134) (p value = </w:t>
      </w:r>
      <w:r w:rsidRPr="00A73B62">
        <w:rPr>
          <w:rFonts w:ascii="Times New Roman" w:hAnsi="Times New Roman" w:cs="Times New Roman"/>
          <w:sz w:val="20"/>
          <w:szCs w:val="20"/>
        </w:rPr>
        <w:lastRenderedPageBreak/>
        <w:t>&lt;0.001). Younger st</w:t>
      </w:r>
      <w:r w:rsidRPr="00A73B62">
        <w:rPr>
          <w:rFonts w:ascii="Times New Roman" w:hAnsi="Times New Roman" w:cs="Times New Roman"/>
          <w:sz w:val="20"/>
          <w:szCs w:val="20"/>
        </w:rPr>
        <w:t>udents (≤ 21 years) had higher QoL scores in all dimensions than older students (&gt; 21 years) (median score of QoL = 147 vs 129) (p value = &lt;0.001). Out of the 365 students who completed the QoL questionnaire, 40 students were found to have IBS according to</w:t>
      </w:r>
      <w:r w:rsidRPr="00A73B62">
        <w:rPr>
          <w:rFonts w:ascii="Times New Roman" w:hAnsi="Times New Roman" w:cs="Times New Roman"/>
          <w:sz w:val="20"/>
          <w:szCs w:val="20"/>
        </w:rPr>
        <w:t xml:space="preserve"> ROME IV criteria with a prevalence of 11%. Prevalence of IBS among medical students was estimated at 13.86% (28 of 202) while in non-medical students was 7.36% (12 of 163). Prevalence of IBS among medical students was significantly higher than in non-medi</w:t>
      </w:r>
      <w:r w:rsidRPr="00A73B62">
        <w:rPr>
          <w:rFonts w:ascii="Times New Roman" w:hAnsi="Times New Roman" w:cs="Times New Roman"/>
          <w:sz w:val="20"/>
          <w:szCs w:val="20"/>
        </w:rPr>
        <w:t>cal students (p value = 0.048).  Prevalence of IBS in female students was 14.8% (29/196) and in male students was 6.5% (11/169). This showed a significant higher prevalence of IBS in female students than in male students (p value = 0.011). The median age o</w:t>
      </w:r>
      <w:r w:rsidRPr="00A73B62">
        <w:rPr>
          <w:rFonts w:ascii="Times New Roman" w:hAnsi="Times New Roman" w:cs="Times New Roman"/>
          <w:sz w:val="20"/>
          <w:szCs w:val="20"/>
        </w:rPr>
        <w:t>f non-IBS students was 21 (18-26) while the median age of IBS students was 23 (19-25), thus IBS prevalence was significantly higher in older students than in younger ones (p value = &lt;0.001). 87.1% (283/325) of the non-IBS group had good to high QoL while 1</w:t>
      </w:r>
      <w:r w:rsidRPr="00A73B62">
        <w:rPr>
          <w:rFonts w:ascii="Times New Roman" w:hAnsi="Times New Roman" w:cs="Times New Roman"/>
          <w:sz w:val="20"/>
          <w:szCs w:val="20"/>
        </w:rPr>
        <w:t>2.9% (42/325) of them had low to moderate QoL. On the other hand 75% (30/40) of the IBS group had good to high QoL whereas 25% (10/40) of them had low to moderate QoL. IBS students had statistically significant lower QoL compared with non-IBS students (p v</w:t>
      </w:r>
      <w:r w:rsidRPr="00A73B62">
        <w:rPr>
          <w:rFonts w:ascii="Times New Roman" w:hAnsi="Times New Roman" w:cs="Times New Roman"/>
          <w:sz w:val="20"/>
          <w:szCs w:val="20"/>
        </w:rPr>
        <w:t>alue = 0.039).</w:t>
      </w:r>
    </w:p>
    <w:p w:rsidR="00DF6A44" w:rsidRPr="00A73B62" w:rsidRDefault="00DF6A44">
      <w:pPr>
        <w:spacing w:after="0" w:line="240" w:lineRule="auto"/>
        <w:jc w:val="both"/>
        <w:rPr>
          <w:rFonts w:ascii="Times New Roman" w:hAnsi="Times New Roman" w:cs="Times New Roman"/>
          <w:b/>
          <w:bCs/>
          <w:sz w:val="20"/>
          <w:szCs w:val="20"/>
        </w:rPr>
      </w:pPr>
    </w:p>
    <w:p w:rsidR="00DF6A44" w:rsidRPr="00A73B62" w:rsidRDefault="00B0692F">
      <w:pPr>
        <w:spacing w:after="0" w:line="240" w:lineRule="auto"/>
        <w:jc w:val="both"/>
        <w:rPr>
          <w:rFonts w:ascii="Times New Roman" w:hAnsi="Times New Roman" w:cs="Times New Roman"/>
          <w:b/>
          <w:bCs/>
          <w:sz w:val="20"/>
          <w:szCs w:val="20"/>
        </w:rPr>
      </w:pPr>
      <w:r w:rsidRPr="00A73B62">
        <w:rPr>
          <w:rFonts w:ascii="Times New Roman" w:hAnsi="Times New Roman" w:cs="Times New Roman"/>
          <w:b/>
          <w:bCs/>
          <w:sz w:val="20"/>
          <w:szCs w:val="20"/>
        </w:rPr>
        <w:t>4. Discussion:</w:t>
      </w:r>
    </w:p>
    <w:p w:rsidR="00DF6A44" w:rsidRPr="00A73B62" w:rsidRDefault="00B0692F">
      <w:pPr>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The youth are the cornerstone of the society whose academic achievements contribute to the progress of any nation</w:t>
      </w:r>
      <w:r w:rsidRPr="00A73B62">
        <w:rPr>
          <w:rFonts w:ascii="Times New Roman" w:eastAsia="Calibri" w:hAnsi="Times New Roman" w:cs="Times New Roman"/>
          <w:b/>
          <w:bCs/>
          <w:sz w:val="20"/>
          <w:szCs w:val="20"/>
          <w:vertAlign w:val="superscript"/>
          <w:lang w:bidi="ar-EG"/>
        </w:rPr>
        <w:t>7</w:t>
      </w:r>
      <w:r w:rsidRPr="00A73B62">
        <w:rPr>
          <w:rFonts w:ascii="Times New Roman" w:hAnsi="Times New Roman" w:cs="Times New Roman"/>
          <w:sz w:val="20"/>
          <w:szCs w:val="20"/>
        </w:rPr>
        <w:t xml:space="preserve">, thus university students were our targeted sample size. </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The concept of quality of life (Qo</w:t>
      </w:r>
      <w:r w:rsidRPr="00A73B62">
        <w:rPr>
          <w:rFonts w:ascii="Times New Roman" w:hAnsi="Times New Roman" w:cs="Times New Roman"/>
          <w:sz w:val="20"/>
          <w:szCs w:val="20"/>
        </w:rPr>
        <w:t>L) is used to express the general wellness of a person or a group of people, therefore it can be considered a reflection of happiness</w:t>
      </w:r>
      <w:r w:rsidRPr="00A73B62">
        <w:rPr>
          <w:rFonts w:ascii="Times New Roman" w:eastAsia="Calibri" w:hAnsi="Times New Roman" w:cs="Times New Roman"/>
          <w:b/>
          <w:bCs/>
          <w:sz w:val="20"/>
          <w:szCs w:val="20"/>
          <w:vertAlign w:val="superscript"/>
          <w:lang w:bidi="ar-EG"/>
        </w:rPr>
        <w:t>8</w:t>
      </w:r>
      <w:r w:rsidRPr="00A73B62">
        <w:rPr>
          <w:rFonts w:ascii="Times New Roman" w:hAnsi="Times New Roman" w:cs="Times New Roman"/>
          <w:b/>
          <w:bCs/>
          <w:sz w:val="20"/>
          <w:szCs w:val="20"/>
        </w:rPr>
        <w:t>.</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The aim of this study is to measure and compare quality of life in different Egyptian university students and t</w:t>
      </w:r>
      <w:r w:rsidRPr="00A73B62">
        <w:rPr>
          <w:rFonts w:ascii="Times New Roman" w:hAnsi="Times New Roman" w:cs="Times New Roman"/>
          <w:sz w:val="20"/>
          <w:szCs w:val="20"/>
        </w:rPr>
        <w:t>o find the prevalence of irritable bowel syndrome among university students and the relation of IBS to QoL.</w:t>
      </w:r>
    </w:p>
    <w:p w:rsidR="00DF6A44" w:rsidRPr="00A73B62" w:rsidRDefault="00B0692F" w:rsidP="00A73B62">
      <w:pPr>
        <w:autoSpaceDE w:val="0"/>
        <w:autoSpaceDN w:val="0"/>
        <w:adjustRightInd w:val="0"/>
        <w:spacing w:after="0" w:line="240" w:lineRule="auto"/>
        <w:jc w:val="both"/>
        <w:rPr>
          <w:rFonts w:ascii="Times New Roman" w:hAnsi="Times New Roman" w:cs="Times New Roman"/>
          <w:b/>
          <w:bCs/>
          <w:sz w:val="20"/>
          <w:szCs w:val="20"/>
        </w:rPr>
      </w:pPr>
      <w:r w:rsidRPr="00A73B62">
        <w:rPr>
          <w:rFonts w:ascii="Times New Roman" w:hAnsi="Times New Roman" w:cs="Times New Roman"/>
          <w:sz w:val="20"/>
          <w:szCs w:val="20"/>
        </w:rPr>
        <w:t xml:space="preserve">         This study included 656 university students, of whom 365 students (55.6%) completed the QoL questionnaire with all of its dimensions, 202 o</w:t>
      </w:r>
      <w:r w:rsidRPr="00A73B62">
        <w:rPr>
          <w:rFonts w:ascii="Times New Roman" w:hAnsi="Times New Roman" w:cs="Times New Roman"/>
          <w:sz w:val="20"/>
          <w:szCs w:val="20"/>
        </w:rPr>
        <w:t xml:space="preserve">f them (55.3%) were medical students and 163 were non-medical students (44.7%) </w:t>
      </w:r>
      <w:r w:rsidRPr="00A73B62">
        <w:rPr>
          <w:rFonts w:ascii="Times New Roman" w:hAnsi="Times New Roman" w:cs="Times New Roman"/>
          <w:b/>
          <w:bCs/>
          <w:sz w:val="20"/>
          <w:szCs w:val="20"/>
        </w:rPr>
        <w:t>(</w:t>
      </w:r>
      <w:r w:rsidR="00A73B62">
        <w:rPr>
          <w:rFonts w:ascii="Times New Roman" w:hAnsi="Times New Roman" w:cs="Times New Roman" w:hint="eastAsia"/>
          <w:b/>
          <w:bCs/>
          <w:sz w:val="20"/>
          <w:szCs w:val="20"/>
          <w:lang w:eastAsia="zh-CN"/>
        </w:rPr>
        <w:t>T</w:t>
      </w:r>
      <w:r w:rsidRPr="00A73B62">
        <w:rPr>
          <w:rFonts w:ascii="Times New Roman" w:hAnsi="Times New Roman" w:cs="Times New Roman"/>
          <w:b/>
          <w:bCs/>
          <w:sz w:val="20"/>
          <w:szCs w:val="20"/>
        </w:rPr>
        <w:t>able 1).</w:t>
      </w:r>
      <w:r w:rsidR="00A73B62">
        <w:rPr>
          <w:rFonts w:ascii="Times New Roman" w:hAnsi="Times New Roman" w:cs="Times New Roman" w:hint="eastAsia"/>
          <w:b/>
          <w:bCs/>
          <w:sz w:val="20"/>
          <w:szCs w:val="20"/>
          <w:lang w:eastAsia="zh-CN"/>
        </w:rPr>
        <w:t xml:space="preserve"> </w:t>
      </w:r>
    </w:p>
    <w:p w:rsidR="00A73B62" w:rsidRPr="00A73B62" w:rsidRDefault="00A73B62">
      <w:pPr>
        <w:spacing w:after="0" w:line="240" w:lineRule="auto"/>
        <w:jc w:val="both"/>
        <w:rPr>
          <w:rFonts w:ascii="Times New Roman" w:hAnsi="Times New Roman" w:cs="Times New Roman"/>
          <w:b/>
          <w:bCs/>
          <w:sz w:val="20"/>
          <w:szCs w:val="20"/>
        </w:rPr>
        <w:sectPr w:rsidR="00A73B62" w:rsidRPr="00A73B62">
          <w:type w:val="continuous"/>
          <w:pgSz w:w="12240" w:h="15840"/>
          <w:pgMar w:top="1440" w:right="1440" w:bottom="1440" w:left="1440" w:header="720" w:footer="720" w:gutter="0"/>
          <w:cols w:num="2" w:space="709"/>
          <w:titlePg/>
          <w:docGrid w:linePitch="360"/>
        </w:sectPr>
      </w:pPr>
    </w:p>
    <w:p w:rsidR="00A73B62" w:rsidRDefault="00A73B62">
      <w:pPr>
        <w:spacing w:after="0" w:line="240" w:lineRule="auto"/>
        <w:jc w:val="both"/>
        <w:rPr>
          <w:rFonts w:ascii="Times New Roman" w:hAnsi="Times New Roman" w:cs="Times New Roman" w:hint="eastAsia"/>
          <w:b/>
          <w:bCs/>
          <w:sz w:val="20"/>
          <w:szCs w:val="20"/>
          <w:lang w:eastAsia="zh-CN"/>
        </w:rPr>
      </w:pPr>
    </w:p>
    <w:p w:rsidR="00A73B62" w:rsidRDefault="00A73B62">
      <w:pPr>
        <w:spacing w:after="0" w:line="240" w:lineRule="auto"/>
        <w:jc w:val="both"/>
        <w:rPr>
          <w:rFonts w:ascii="Times New Roman" w:hAnsi="Times New Roman" w:cs="Times New Roman" w:hint="eastAsia"/>
          <w:b/>
          <w:bCs/>
          <w:sz w:val="20"/>
          <w:szCs w:val="20"/>
          <w:lang w:eastAsia="zh-CN"/>
        </w:rPr>
      </w:pPr>
    </w:p>
    <w:p w:rsidR="00A73B62" w:rsidRDefault="00A73B62">
      <w:pPr>
        <w:spacing w:after="0" w:line="240" w:lineRule="auto"/>
        <w:jc w:val="both"/>
        <w:rPr>
          <w:rFonts w:ascii="Times New Roman" w:hAnsi="Times New Roman" w:cs="Times New Roman" w:hint="eastAsia"/>
          <w:b/>
          <w:bCs/>
          <w:sz w:val="20"/>
          <w:szCs w:val="20"/>
          <w:lang w:eastAsia="zh-CN"/>
        </w:rPr>
      </w:pPr>
    </w:p>
    <w:p w:rsidR="00A73B62" w:rsidRDefault="00A73B62">
      <w:pPr>
        <w:spacing w:after="0" w:line="240" w:lineRule="auto"/>
        <w:jc w:val="both"/>
        <w:rPr>
          <w:rFonts w:ascii="Times New Roman" w:hAnsi="Times New Roman" w:cs="Times New Roman" w:hint="eastAsia"/>
          <w:b/>
          <w:bCs/>
          <w:sz w:val="20"/>
          <w:szCs w:val="20"/>
          <w:lang w:eastAsia="zh-CN"/>
        </w:rPr>
      </w:pPr>
    </w:p>
    <w:p w:rsidR="00F67147" w:rsidRDefault="00F67147">
      <w:pPr>
        <w:spacing w:after="0" w:line="240" w:lineRule="auto"/>
        <w:jc w:val="both"/>
        <w:rPr>
          <w:rFonts w:ascii="Times New Roman" w:hAnsi="Times New Roman" w:cs="Times New Roman" w:hint="eastAsia"/>
          <w:b/>
          <w:bCs/>
          <w:sz w:val="20"/>
          <w:szCs w:val="20"/>
          <w:lang w:eastAsia="zh-CN"/>
        </w:rPr>
      </w:pPr>
    </w:p>
    <w:p w:rsidR="00A73B62" w:rsidRDefault="00A73B62">
      <w:pPr>
        <w:spacing w:after="0" w:line="240" w:lineRule="auto"/>
        <w:jc w:val="both"/>
        <w:rPr>
          <w:rFonts w:ascii="Times New Roman" w:hAnsi="Times New Roman" w:cs="Times New Roman" w:hint="eastAsia"/>
          <w:b/>
          <w:bCs/>
          <w:sz w:val="20"/>
          <w:szCs w:val="20"/>
          <w:lang w:eastAsia="zh-CN"/>
        </w:rPr>
      </w:pPr>
    </w:p>
    <w:p w:rsidR="00A73B62" w:rsidRDefault="00A73B62">
      <w:pPr>
        <w:spacing w:after="0" w:line="240" w:lineRule="auto"/>
        <w:jc w:val="both"/>
        <w:rPr>
          <w:rFonts w:ascii="Times New Roman" w:hAnsi="Times New Roman" w:cs="Times New Roman" w:hint="eastAsia"/>
          <w:b/>
          <w:bCs/>
          <w:sz w:val="20"/>
          <w:szCs w:val="20"/>
          <w:lang w:eastAsia="zh-CN"/>
        </w:rPr>
      </w:pPr>
    </w:p>
    <w:p w:rsidR="00A73B62" w:rsidRDefault="00A73B62">
      <w:pPr>
        <w:spacing w:after="0" w:line="240" w:lineRule="auto"/>
        <w:jc w:val="both"/>
        <w:rPr>
          <w:rFonts w:ascii="Times New Roman" w:hAnsi="Times New Roman" w:cs="Times New Roman" w:hint="eastAsia"/>
          <w:b/>
          <w:bCs/>
          <w:sz w:val="20"/>
          <w:szCs w:val="20"/>
          <w:lang w:eastAsia="zh-CN"/>
        </w:rPr>
      </w:pPr>
    </w:p>
    <w:p w:rsidR="00A73B62" w:rsidRDefault="00A73B62">
      <w:pPr>
        <w:spacing w:after="0" w:line="240" w:lineRule="auto"/>
        <w:jc w:val="both"/>
        <w:rPr>
          <w:rFonts w:ascii="Times New Roman" w:hAnsi="Times New Roman" w:cs="Times New Roman" w:hint="eastAsia"/>
          <w:b/>
          <w:bCs/>
          <w:sz w:val="20"/>
          <w:szCs w:val="20"/>
          <w:lang w:eastAsia="zh-CN"/>
        </w:rPr>
      </w:pPr>
    </w:p>
    <w:p w:rsidR="00A73B62" w:rsidRDefault="00A73B62">
      <w:pPr>
        <w:spacing w:after="0" w:line="240" w:lineRule="auto"/>
        <w:jc w:val="both"/>
        <w:rPr>
          <w:rFonts w:ascii="Times New Roman" w:hAnsi="Times New Roman" w:cs="Times New Roman" w:hint="eastAsia"/>
          <w:b/>
          <w:bCs/>
          <w:sz w:val="20"/>
          <w:szCs w:val="20"/>
          <w:lang w:eastAsia="zh-CN"/>
        </w:rPr>
      </w:pPr>
    </w:p>
    <w:p w:rsidR="00DF6A44" w:rsidRPr="00A73B62" w:rsidRDefault="00B0692F">
      <w:pPr>
        <w:spacing w:after="0" w:line="240" w:lineRule="auto"/>
        <w:jc w:val="both"/>
        <w:rPr>
          <w:rFonts w:ascii="Times New Roman" w:hAnsi="Times New Roman" w:cs="Times New Roman"/>
          <w:b/>
          <w:bCs/>
          <w:sz w:val="20"/>
          <w:szCs w:val="20"/>
        </w:rPr>
      </w:pPr>
      <w:r w:rsidRPr="00A73B62">
        <w:rPr>
          <w:rFonts w:ascii="Times New Roman" w:hAnsi="Times New Roman" w:cs="Times New Roman"/>
          <w:b/>
          <w:bCs/>
          <w:sz w:val="20"/>
          <w:szCs w:val="20"/>
        </w:rPr>
        <w:t>Table (1): Baseline characteristics of the study group</w:t>
      </w:r>
    </w:p>
    <w:tbl>
      <w:tblPr>
        <w:tblStyle w:val="PlainTable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1"/>
        <w:gridCol w:w="4135"/>
      </w:tblGrid>
      <w:tr w:rsidR="00DF6A44" w:rsidRPr="00A73B62" w:rsidTr="00A73B62">
        <w:trPr>
          <w:cnfStyle w:val="100000000000"/>
          <w:cantSplit/>
          <w:jc w:val="center"/>
        </w:trPr>
        <w:tc>
          <w:tcPr>
            <w:cnfStyle w:val="001000000000"/>
            <w:tcW w:w="2841" w:type="pct"/>
            <w:shd w:val="clear" w:color="auto" w:fill="B6DDE8" w:themeFill="accent5" w:themeFillTint="66"/>
            <w:vAlign w:val="center"/>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Characteristic</w:t>
            </w:r>
          </w:p>
        </w:tc>
        <w:tc>
          <w:tcPr>
            <w:tcW w:w="2159" w:type="pct"/>
            <w:shd w:val="clear" w:color="auto" w:fill="B6DDE8" w:themeFill="accent5" w:themeFillTint="66"/>
            <w:vAlign w:val="center"/>
          </w:tcPr>
          <w:p w:rsidR="00DF6A44" w:rsidRPr="00A73B62" w:rsidRDefault="00B0692F">
            <w:pPr>
              <w:spacing w:after="0" w:line="240" w:lineRule="auto"/>
              <w:jc w:val="both"/>
              <w:cnfStyle w:val="100000000000"/>
              <w:rPr>
                <w:rFonts w:ascii="Times New Roman" w:hAnsi="Times New Roman" w:cs="Times New Roman"/>
                <w:b w:val="0"/>
                <w:bCs w:val="0"/>
                <w:sz w:val="20"/>
                <w:szCs w:val="20"/>
              </w:rPr>
            </w:pPr>
            <w:r w:rsidRPr="00A73B62">
              <w:rPr>
                <w:rFonts w:ascii="Times New Roman" w:hAnsi="Times New Roman" w:cs="Times New Roman"/>
                <w:sz w:val="20"/>
                <w:szCs w:val="20"/>
              </w:rPr>
              <w:t>Statistic</w:t>
            </w:r>
          </w:p>
        </w:tc>
      </w:tr>
      <w:tr w:rsidR="00DF6A44" w:rsidRPr="00A73B62" w:rsidTr="00A73B62">
        <w:trPr>
          <w:cantSplit/>
          <w:jc w:val="center"/>
        </w:trPr>
        <w:tc>
          <w:tcPr>
            <w:cnfStyle w:val="001000000000"/>
            <w:tcW w:w="2841" w:type="pct"/>
            <w:tcBorders>
              <w:top w:val="single" w:sz="4" w:space="0" w:color="7F7F7F" w:themeColor="text1" w:themeTint="80"/>
              <w:bottom w:val="single" w:sz="4" w:space="0" w:color="7F7F7F" w:themeColor="text1" w:themeTint="80"/>
            </w:tcBorders>
            <w:shd w:val="clear" w:color="auto" w:fill="CCC0D9" w:themeFill="accent4" w:themeFillTint="66"/>
            <w:vAlign w:val="center"/>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Categorial</w:t>
            </w:r>
          </w:p>
        </w:tc>
        <w:tc>
          <w:tcPr>
            <w:tcW w:w="2159" w:type="pct"/>
            <w:tcBorders>
              <w:top w:val="single" w:sz="4" w:space="0" w:color="7F7F7F" w:themeColor="text1" w:themeTint="80"/>
              <w:bottom w:val="single" w:sz="4" w:space="0" w:color="7F7F7F" w:themeColor="text1" w:themeTint="80"/>
            </w:tcBorders>
            <w:shd w:val="clear" w:color="auto" w:fill="CCC0D9" w:themeFill="accent4" w:themeFillTint="66"/>
            <w:vAlign w:val="center"/>
          </w:tcPr>
          <w:p w:rsidR="00DF6A44" w:rsidRPr="00A73B62" w:rsidRDefault="00B0692F">
            <w:pPr>
              <w:spacing w:after="0" w:line="240" w:lineRule="auto"/>
              <w:jc w:val="both"/>
              <w:cnfStyle w:val="000000000000"/>
              <w:rPr>
                <w:rFonts w:ascii="Times New Roman" w:hAnsi="Times New Roman" w:cs="Times New Roman"/>
                <w:b/>
                <w:bCs/>
                <w:sz w:val="20"/>
                <w:szCs w:val="20"/>
              </w:rPr>
            </w:pPr>
            <w:r w:rsidRPr="00A73B62">
              <w:rPr>
                <w:rFonts w:ascii="Times New Roman" w:hAnsi="Times New Roman" w:cs="Times New Roman"/>
                <w:b/>
                <w:bCs/>
                <w:sz w:val="20"/>
                <w:szCs w:val="20"/>
              </w:rPr>
              <w:t>N=365(%)</w:t>
            </w:r>
          </w:p>
        </w:tc>
      </w:tr>
      <w:tr w:rsidR="00DF6A44" w:rsidRPr="00A73B62" w:rsidTr="00A73B62">
        <w:trPr>
          <w:cantSplit/>
          <w:jc w:val="center"/>
        </w:trPr>
        <w:tc>
          <w:tcPr>
            <w:cnfStyle w:val="001000000000"/>
            <w:tcW w:w="2841" w:type="pct"/>
            <w:shd w:val="clear" w:color="auto" w:fill="B6DDE8" w:themeFill="accent5" w:themeFillTint="66"/>
            <w:vAlign w:val="center"/>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Sex</w:t>
            </w:r>
          </w:p>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Male</w:t>
            </w:r>
          </w:p>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Female</w:t>
            </w:r>
          </w:p>
        </w:tc>
        <w:tc>
          <w:tcPr>
            <w:tcW w:w="2159" w:type="pct"/>
            <w:vAlign w:val="center"/>
          </w:tcPr>
          <w:p w:rsidR="00DF6A44" w:rsidRPr="00A73B62" w:rsidRDefault="00DF6A44">
            <w:pPr>
              <w:spacing w:after="0" w:line="240" w:lineRule="auto"/>
              <w:jc w:val="both"/>
              <w:cnfStyle w:val="000000000000"/>
              <w:rPr>
                <w:rFonts w:ascii="Times New Roman" w:hAnsi="Times New Roman" w:cs="Times New Roman"/>
                <w:sz w:val="20"/>
                <w:szCs w:val="20"/>
              </w:rPr>
            </w:pPr>
          </w:p>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169 (46.3%)</w:t>
            </w:r>
          </w:p>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196 (53.7%)</w:t>
            </w:r>
          </w:p>
        </w:tc>
      </w:tr>
      <w:tr w:rsidR="00DF6A44" w:rsidRPr="00A73B62" w:rsidTr="00A73B62">
        <w:trPr>
          <w:cantSplit/>
          <w:jc w:val="center"/>
        </w:trPr>
        <w:tc>
          <w:tcPr>
            <w:cnfStyle w:val="001000000000"/>
            <w:tcW w:w="2841" w:type="pct"/>
            <w:tcBorders>
              <w:top w:val="single" w:sz="4" w:space="0" w:color="7F7F7F" w:themeColor="text1" w:themeTint="80"/>
              <w:bottom w:val="single" w:sz="4" w:space="0" w:color="7F7F7F" w:themeColor="text1" w:themeTint="80"/>
            </w:tcBorders>
            <w:shd w:val="clear" w:color="auto" w:fill="B6DDE8" w:themeFill="accent5" w:themeFillTint="66"/>
            <w:vAlign w:val="center"/>
          </w:tcPr>
          <w:p w:rsidR="00DF6A44" w:rsidRPr="00A73B62" w:rsidRDefault="00B0692F">
            <w:pPr>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Marital status</w:t>
            </w:r>
          </w:p>
          <w:p w:rsidR="00DF6A44" w:rsidRPr="00A73B62" w:rsidRDefault="00B0692F">
            <w:pPr>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Single</w:t>
            </w:r>
          </w:p>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Married</w:t>
            </w:r>
          </w:p>
        </w:tc>
        <w:tc>
          <w:tcPr>
            <w:tcW w:w="2159" w:type="pct"/>
            <w:tcBorders>
              <w:top w:val="single" w:sz="4" w:space="0" w:color="7F7F7F" w:themeColor="text1" w:themeTint="80"/>
              <w:bottom w:val="single" w:sz="4" w:space="0" w:color="7F7F7F" w:themeColor="text1" w:themeTint="80"/>
            </w:tcBorders>
            <w:vAlign w:val="center"/>
          </w:tcPr>
          <w:p w:rsidR="00DF6A44" w:rsidRPr="00A73B62" w:rsidRDefault="00DF6A44">
            <w:pPr>
              <w:spacing w:after="0" w:line="240" w:lineRule="auto"/>
              <w:jc w:val="both"/>
              <w:cnfStyle w:val="000000000000"/>
              <w:rPr>
                <w:rFonts w:ascii="Times New Roman" w:hAnsi="Times New Roman" w:cs="Times New Roman"/>
                <w:sz w:val="20"/>
                <w:szCs w:val="20"/>
              </w:rPr>
            </w:pPr>
          </w:p>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353 (96.7%)</w:t>
            </w:r>
          </w:p>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12 (3.3%)</w:t>
            </w:r>
          </w:p>
        </w:tc>
      </w:tr>
      <w:tr w:rsidR="00DF6A44" w:rsidRPr="00A73B62" w:rsidTr="00A73B62">
        <w:trPr>
          <w:cantSplit/>
          <w:jc w:val="center"/>
        </w:trPr>
        <w:tc>
          <w:tcPr>
            <w:cnfStyle w:val="001000000000"/>
            <w:tcW w:w="2841" w:type="pct"/>
            <w:shd w:val="clear" w:color="auto" w:fill="B6DDE8" w:themeFill="accent5" w:themeFillTint="66"/>
            <w:vAlign w:val="center"/>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Faculty</w:t>
            </w:r>
          </w:p>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Medicine</w:t>
            </w:r>
          </w:p>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Education</w:t>
            </w:r>
          </w:p>
        </w:tc>
        <w:tc>
          <w:tcPr>
            <w:tcW w:w="2159" w:type="pct"/>
            <w:vAlign w:val="center"/>
          </w:tcPr>
          <w:p w:rsidR="00DF6A44" w:rsidRPr="00A73B62" w:rsidRDefault="00DF6A44">
            <w:pPr>
              <w:spacing w:after="0" w:line="240" w:lineRule="auto"/>
              <w:jc w:val="both"/>
              <w:cnfStyle w:val="000000000000"/>
              <w:rPr>
                <w:rFonts w:ascii="Times New Roman" w:hAnsi="Times New Roman" w:cs="Times New Roman"/>
                <w:sz w:val="20"/>
                <w:szCs w:val="20"/>
              </w:rPr>
            </w:pPr>
          </w:p>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202 (55.3%)</w:t>
            </w:r>
          </w:p>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163 (44.7%)</w:t>
            </w:r>
          </w:p>
        </w:tc>
      </w:tr>
      <w:tr w:rsidR="00DF6A44" w:rsidRPr="00A73B62" w:rsidTr="00A73B62">
        <w:trPr>
          <w:cantSplit/>
          <w:jc w:val="center"/>
        </w:trPr>
        <w:tc>
          <w:tcPr>
            <w:cnfStyle w:val="001000000000"/>
            <w:tcW w:w="2841" w:type="pct"/>
            <w:tcBorders>
              <w:top w:val="single" w:sz="4" w:space="0" w:color="7F7F7F" w:themeColor="text1" w:themeTint="80"/>
              <w:bottom w:val="single" w:sz="4" w:space="0" w:color="7F7F7F" w:themeColor="text1" w:themeTint="80"/>
            </w:tcBorders>
            <w:shd w:val="clear" w:color="auto" w:fill="B6DDE8" w:themeFill="accent5" w:themeFillTint="66"/>
            <w:vAlign w:val="center"/>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University</w:t>
            </w:r>
          </w:p>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Mansoura</w:t>
            </w:r>
          </w:p>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Alexandria</w:t>
            </w:r>
          </w:p>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Port Said</w:t>
            </w:r>
          </w:p>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Assuit</w:t>
            </w:r>
          </w:p>
        </w:tc>
        <w:tc>
          <w:tcPr>
            <w:tcW w:w="2159" w:type="pct"/>
            <w:tcBorders>
              <w:top w:val="single" w:sz="4" w:space="0" w:color="7F7F7F" w:themeColor="text1" w:themeTint="80"/>
              <w:bottom w:val="single" w:sz="4" w:space="0" w:color="7F7F7F" w:themeColor="text1" w:themeTint="80"/>
            </w:tcBorders>
            <w:vAlign w:val="center"/>
          </w:tcPr>
          <w:p w:rsidR="00DF6A44" w:rsidRPr="00A73B62" w:rsidRDefault="00DF6A44">
            <w:pPr>
              <w:spacing w:after="0" w:line="240" w:lineRule="auto"/>
              <w:jc w:val="both"/>
              <w:cnfStyle w:val="000000000000"/>
              <w:rPr>
                <w:rFonts w:ascii="Times New Roman" w:hAnsi="Times New Roman" w:cs="Times New Roman"/>
                <w:sz w:val="20"/>
                <w:szCs w:val="20"/>
              </w:rPr>
            </w:pPr>
          </w:p>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80 (21.9%) a</w:t>
            </w:r>
          </w:p>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83 (22.7%) a</w:t>
            </w:r>
          </w:p>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120 (32.9%) a</w:t>
            </w:r>
          </w:p>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82 (22.5%) a</w:t>
            </w:r>
          </w:p>
        </w:tc>
      </w:tr>
      <w:tr w:rsidR="00DF6A44" w:rsidRPr="00A73B62" w:rsidTr="00A73B62">
        <w:trPr>
          <w:cantSplit/>
          <w:jc w:val="center"/>
        </w:trPr>
        <w:tc>
          <w:tcPr>
            <w:cnfStyle w:val="001000000000"/>
            <w:tcW w:w="2841" w:type="pct"/>
            <w:shd w:val="clear" w:color="auto" w:fill="B6DDE8" w:themeFill="accent5" w:themeFillTint="66"/>
            <w:vAlign w:val="center"/>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IBS</w:t>
            </w:r>
          </w:p>
        </w:tc>
        <w:tc>
          <w:tcPr>
            <w:tcW w:w="2159" w:type="pct"/>
            <w:vAlign w:val="center"/>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40 (11%)</w:t>
            </w:r>
          </w:p>
        </w:tc>
      </w:tr>
      <w:tr w:rsidR="00DF6A44" w:rsidRPr="00A73B62" w:rsidTr="00A73B62">
        <w:trPr>
          <w:cantSplit/>
          <w:jc w:val="center"/>
        </w:trPr>
        <w:tc>
          <w:tcPr>
            <w:cnfStyle w:val="001000000000"/>
            <w:tcW w:w="2841" w:type="pct"/>
            <w:tcBorders>
              <w:top w:val="single" w:sz="4" w:space="0" w:color="7F7F7F" w:themeColor="text1" w:themeTint="80"/>
              <w:bottom w:val="single" w:sz="4" w:space="0" w:color="7F7F7F" w:themeColor="text1" w:themeTint="80"/>
            </w:tcBorders>
            <w:shd w:val="clear" w:color="auto" w:fill="B6DDE8" w:themeFill="accent5" w:themeFillTint="66"/>
            <w:vAlign w:val="center"/>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QoL grade </w:t>
            </w:r>
          </w:p>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Low</w:t>
            </w:r>
          </w:p>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Moderate</w:t>
            </w:r>
          </w:p>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Good</w:t>
            </w:r>
          </w:p>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High</w:t>
            </w:r>
          </w:p>
        </w:tc>
        <w:tc>
          <w:tcPr>
            <w:tcW w:w="2159" w:type="pct"/>
            <w:tcBorders>
              <w:top w:val="single" w:sz="4" w:space="0" w:color="7F7F7F" w:themeColor="text1" w:themeTint="80"/>
              <w:bottom w:val="single" w:sz="4" w:space="0" w:color="7F7F7F" w:themeColor="text1" w:themeTint="80"/>
            </w:tcBorders>
            <w:vAlign w:val="center"/>
          </w:tcPr>
          <w:p w:rsidR="00DF6A44" w:rsidRPr="00A73B62" w:rsidRDefault="00DF6A44">
            <w:pPr>
              <w:spacing w:after="0" w:line="240" w:lineRule="auto"/>
              <w:jc w:val="both"/>
              <w:cnfStyle w:val="000000000000"/>
              <w:rPr>
                <w:rFonts w:ascii="Times New Roman" w:hAnsi="Times New Roman" w:cs="Times New Roman"/>
                <w:sz w:val="20"/>
                <w:szCs w:val="20"/>
              </w:rPr>
            </w:pPr>
          </w:p>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4 (1.1%)</w:t>
            </w:r>
          </w:p>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48 (13.2%)</w:t>
            </w:r>
          </w:p>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191 (52.3%)</w:t>
            </w:r>
          </w:p>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122 (33.4%)</w:t>
            </w:r>
          </w:p>
        </w:tc>
      </w:tr>
      <w:tr w:rsidR="00DF6A44" w:rsidRPr="00A73B62" w:rsidTr="00A73B62">
        <w:trPr>
          <w:cantSplit/>
          <w:jc w:val="center"/>
        </w:trPr>
        <w:tc>
          <w:tcPr>
            <w:cnfStyle w:val="001000000000"/>
            <w:tcW w:w="5000" w:type="pct"/>
            <w:gridSpan w:val="2"/>
            <w:shd w:val="clear" w:color="auto" w:fill="CCC0D9" w:themeFill="accent4" w:themeFillTint="66"/>
            <w:vAlign w:val="center"/>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Quantitative (Numeric)</w:t>
            </w:r>
          </w:p>
        </w:tc>
      </w:tr>
      <w:tr w:rsidR="00DF6A44" w:rsidRPr="00A73B62" w:rsidTr="00A73B62">
        <w:trPr>
          <w:cantSplit/>
          <w:jc w:val="center"/>
        </w:trPr>
        <w:tc>
          <w:tcPr>
            <w:cnfStyle w:val="001000000000"/>
            <w:tcW w:w="2841" w:type="pct"/>
            <w:tcBorders>
              <w:top w:val="single" w:sz="4" w:space="0" w:color="7F7F7F" w:themeColor="text1" w:themeTint="80"/>
              <w:bottom w:val="single" w:sz="4" w:space="0" w:color="7F7F7F" w:themeColor="text1" w:themeTint="80"/>
            </w:tcBorders>
            <w:shd w:val="clear" w:color="auto" w:fill="B6DDE8" w:themeFill="accent5" w:themeFillTint="66"/>
            <w:vAlign w:val="center"/>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Age (years)</w:t>
            </w:r>
          </w:p>
          <w:p w:rsidR="00DF6A44" w:rsidRPr="00A73B62" w:rsidRDefault="00B0692F">
            <w:pPr>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N</w:t>
            </w:r>
          </w:p>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Median (Q1-Q3)</w:t>
            </w:r>
          </w:p>
        </w:tc>
        <w:tc>
          <w:tcPr>
            <w:tcW w:w="2159" w:type="pct"/>
            <w:tcBorders>
              <w:top w:val="single" w:sz="4" w:space="0" w:color="7F7F7F" w:themeColor="text1" w:themeTint="80"/>
              <w:bottom w:val="single" w:sz="4" w:space="0" w:color="7F7F7F" w:themeColor="text1" w:themeTint="80"/>
            </w:tcBorders>
            <w:vAlign w:val="center"/>
          </w:tcPr>
          <w:p w:rsidR="00DF6A44" w:rsidRPr="00A73B62" w:rsidRDefault="00DF6A44">
            <w:pPr>
              <w:spacing w:after="0" w:line="240" w:lineRule="auto"/>
              <w:jc w:val="both"/>
              <w:cnfStyle w:val="000000000000"/>
              <w:rPr>
                <w:rFonts w:ascii="Times New Roman" w:hAnsi="Times New Roman" w:cs="Times New Roman"/>
                <w:sz w:val="20"/>
                <w:szCs w:val="20"/>
              </w:rPr>
            </w:pPr>
          </w:p>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287</w:t>
            </w:r>
          </w:p>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21 (19 – 23)</w:t>
            </w:r>
          </w:p>
        </w:tc>
      </w:tr>
    </w:tbl>
    <w:p w:rsidR="00A73B62" w:rsidRDefault="00A73B62">
      <w:pPr>
        <w:autoSpaceDE w:val="0"/>
        <w:autoSpaceDN w:val="0"/>
        <w:adjustRightInd w:val="0"/>
        <w:spacing w:after="0" w:line="240" w:lineRule="auto"/>
        <w:jc w:val="both"/>
        <w:rPr>
          <w:rFonts w:ascii="Times New Roman" w:hAnsi="Times New Roman" w:cs="Times New Roman" w:hint="eastAsia"/>
          <w:sz w:val="20"/>
          <w:szCs w:val="20"/>
          <w:lang w:eastAsia="zh-CN"/>
        </w:rPr>
      </w:pP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Our study proved that QoL of Faculty of Medicine students were significantly lower than QoL of students in Faculty of Education in all dimensions (P value = &lt;0.001)</w:t>
      </w:r>
      <w:r w:rsidRPr="00A73B62">
        <w:rPr>
          <w:rFonts w:ascii="Times New Roman" w:hAnsi="Times New Roman" w:cs="Times New Roman"/>
          <w:b/>
          <w:bCs/>
          <w:sz w:val="20"/>
          <w:szCs w:val="20"/>
        </w:rPr>
        <w:t xml:space="preserve"> (table 2).</w:t>
      </w:r>
    </w:p>
    <w:p w:rsidR="00DF6A44" w:rsidRPr="00A73B62" w:rsidRDefault="00DF6A44">
      <w:pPr>
        <w:spacing w:after="0" w:line="240" w:lineRule="auto"/>
        <w:jc w:val="both"/>
        <w:rPr>
          <w:rFonts w:ascii="Times New Roman" w:hAnsi="Times New Roman" w:cs="Times New Roman"/>
          <w:b/>
          <w:bCs/>
          <w:sz w:val="20"/>
          <w:szCs w:val="20"/>
        </w:rPr>
      </w:pPr>
    </w:p>
    <w:p w:rsidR="00A73B62" w:rsidRPr="00A73B62" w:rsidRDefault="00A73B62">
      <w:pPr>
        <w:spacing w:after="0" w:line="240" w:lineRule="auto"/>
        <w:jc w:val="both"/>
        <w:rPr>
          <w:rFonts w:ascii="Times New Roman" w:hAnsi="Times New Roman" w:cs="Times New Roman" w:hint="eastAsia"/>
          <w:b/>
          <w:bCs/>
          <w:sz w:val="20"/>
          <w:szCs w:val="20"/>
          <w:lang w:eastAsia="zh-CN"/>
        </w:rPr>
      </w:pPr>
    </w:p>
    <w:p w:rsidR="00DF6A44" w:rsidRPr="00A73B62" w:rsidRDefault="00B0692F">
      <w:pPr>
        <w:spacing w:after="0" w:line="240" w:lineRule="auto"/>
        <w:jc w:val="both"/>
        <w:rPr>
          <w:rFonts w:ascii="Times New Roman" w:hAnsi="Times New Roman" w:cs="Times New Roman"/>
          <w:b/>
          <w:bCs/>
          <w:sz w:val="20"/>
          <w:szCs w:val="20"/>
        </w:rPr>
      </w:pPr>
      <w:r w:rsidRPr="00A73B62">
        <w:rPr>
          <w:rFonts w:ascii="Times New Roman" w:hAnsi="Times New Roman" w:cs="Times New Roman"/>
          <w:b/>
          <w:bCs/>
          <w:sz w:val="20"/>
          <w:szCs w:val="20"/>
        </w:rPr>
        <w:t>Table (2): QoL scores in Faculty of Medicine vs. Facult</w:t>
      </w:r>
      <w:r w:rsidRPr="00A73B62">
        <w:rPr>
          <w:rFonts w:ascii="Times New Roman" w:hAnsi="Times New Roman" w:cs="Times New Roman"/>
          <w:b/>
          <w:bCs/>
          <w:sz w:val="20"/>
          <w:szCs w:val="20"/>
        </w:rPr>
        <w:t>y of Education</w:t>
      </w:r>
    </w:p>
    <w:tbl>
      <w:tblPr>
        <w:tblStyle w:val="PlainTable2"/>
        <w:tblW w:w="9480" w:type="dxa"/>
        <w:jc w:val="center"/>
        <w:tblLayout w:type="fixed"/>
        <w:tblLook w:val="04A0"/>
      </w:tblPr>
      <w:tblGrid>
        <w:gridCol w:w="1903"/>
        <w:gridCol w:w="2025"/>
        <w:gridCol w:w="1746"/>
        <w:gridCol w:w="2750"/>
        <w:gridCol w:w="1056"/>
      </w:tblGrid>
      <w:tr w:rsidR="00DF6A44" w:rsidRPr="00A73B62" w:rsidTr="00DF6A44">
        <w:trPr>
          <w:cnfStyle w:val="100000000000"/>
          <w:trHeight w:val="14"/>
          <w:jc w:val="center"/>
        </w:trPr>
        <w:tc>
          <w:tcPr>
            <w:cnfStyle w:val="001000000000"/>
            <w:tcW w:w="1903" w:type="dxa"/>
            <w:shd w:val="clear" w:color="auto" w:fill="B6DDE8" w:themeFill="accent5" w:themeFillTint="66"/>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Score</w:t>
            </w:r>
          </w:p>
        </w:tc>
        <w:tc>
          <w:tcPr>
            <w:tcW w:w="2025" w:type="dxa"/>
            <w:shd w:val="clear" w:color="auto" w:fill="B6DDE8" w:themeFill="accent5" w:themeFillTint="66"/>
          </w:tcPr>
          <w:p w:rsidR="00DF6A44" w:rsidRPr="00A73B62" w:rsidRDefault="00B0692F">
            <w:pPr>
              <w:spacing w:after="0" w:line="240" w:lineRule="auto"/>
              <w:jc w:val="both"/>
              <w:cnfStyle w:val="100000000000"/>
              <w:rPr>
                <w:rFonts w:ascii="Times New Roman" w:hAnsi="Times New Roman" w:cs="Times New Roman"/>
                <w:b w:val="0"/>
                <w:bCs w:val="0"/>
                <w:sz w:val="20"/>
                <w:szCs w:val="20"/>
              </w:rPr>
            </w:pPr>
            <w:r w:rsidRPr="00A73B62">
              <w:rPr>
                <w:rFonts w:ascii="Times New Roman" w:hAnsi="Times New Roman" w:cs="Times New Roman"/>
                <w:sz w:val="20"/>
                <w:szCs w:val="20"/>
              </w:rPr>
              <w:t>Medicine</w:t>
            </w:r>
          </w:p>
        </w:tc>
        <w:tc>
          <w:tcPr>
            <w:tcW w:w="1746" w:type="dxa"/>
            <w:shd w:val="clear" w:color="auto" w:fill="B6DDE8" w:themeFill="accent5" w:themeFillTint="66"/>
          </w:tcPr>
          <w:p w:rsidR="00DF6A44" w:rsidRPr="00A73B62" w:rsidRDefault="00B0692F">
            <w:pPr>
              <w:spacing w:after="0" w:line="240" w:lineRule="auto"/>
              <w:jc w:val="both"/>
              <w:cnfStyle w:val="100000000000"/>
              <w:rPr>
                <w:rFonts w:ascii="Times New Roman" w:hAnsi="Times New Roman" w:cs="Times New Roman"/>
                <w:b w:val="0"/>
                <w:bCs w:val="0"/>
                <w:sz w:val="20"/>
                <w:szCs w:val="20"/>
              </w:rPr>
            </w:pPr>
            <w:r w:rsidRPr="00A73B62">
              <w:rPr>
                <w:rFonts w:ascii="Times New Roman" w:hAnsi="Times New Roman" w:cs="Times New Roman"/>
                <w:sz w:val="20"/>
                <w:szCs w:val="20"/>
              </w:rPr>
              <w:t>Education</w:t>
            </w:r>
          </w:p>
        </w:tc>
        <w:tc>
          <w:tcPr>
            <w:tcW w:w="2750" w:type="dxa"/>
            <w:shd w:val="clear" w:color="auto" w:fill="B6DDE8" w:themeFill="accent5" w:themeFillTint="66"/>
          </w:tcPr>
          <w:p w:rsidR="00DF6A44" w:rsidRPr="00A73B62" w:rsidRDefault="00B0692F">
            <w:pPr>
              <w:spacing w:after="0" w:line="240" w:lineRule="auto"/>
              <w:jc w:val="both"/>
              <w:cnfStyle w:val="100000000000"/>
              <w:rPr>
                <w:rFonts w:ascii="Times New Roman" w:hAnsi="Times New Roman" w:cs="Times New Roman"/>
                <w:b w:val="0"/>
                <w:bCs w:val="0"/>
                <w:sz w:val="20"/>
                <w:szCs w:val="20"/>
              </w:rPr>
            </w:pPr>
            <w:r w:rsidRPr="00A73B62">
              <w:rPr>
                <w:rFonts w:ascii="Times New Roman" w:hAnsi="Times New Roman" w:cs="Times New Roman"/>
                <w:sz w:val="20"/>
                <w:szCs w:val="20"/>
              </w:rPr>
              <w:t>*Median difference (95% CI)</w:t>
            </w:r>
          </w:p>
        </w:tc>
        <w:tc>
          <w:tcPr>
            <w:tcW w:w="1056" w:type="dxa"/>
            <w:shd w:val="clear" w:color="auto" w:fill="B6DDE8" w:themeFill="accent5" w:themeFillTint="66"/>
          </w:tcPr>
          <w:p w:rsidR="00DF6A44" w:rsidRPr="00A73B62" w:rsidRDefault="00B0692F">
            <w:pPr>
              <w:spacing w:after="0" w:line="240" w:lineRule="auto"/>
              <w:jc w:val="both"/>
              <w:cnfStyle w:val="100000000000"/>
              <w:rPr>
                <w:rFonts w:ascii="Times New Roman" w:hAnsi="Times New Roman" w:cs="Times New Roman"/>
                <w:b w:val="0"/>
                <w:bCs w:val="0"/>
                <w:sz w:val="20"/>
                <w:szCs w:val="20"/>
              </w:rPr>
            </w:pPr>
            <w:r w:rsidRPr="00A73B62">
              <w:rPr>
                <w:rFonts w:ascii="Times New Roman" w:hAnsi="Times New Roman" w:cs="Times New Roman"/>
                <w:sz w:val="20"/>
                <w:szCs w:val="20"/>
              </w:rPr>
              <w:t>P value</w:t>
            </w:r>
          </w:p>
        </w:tc>
      </w:tr>
      <w:tr w:rsidR="00DF6A44" w:rsidRPr="00A73B62" w:rsidTr="00DF6A44">
        <w:trPr>
          <w:trHeight w:val="12"/>
          <w:jc w:val="center"/>
        </w:trPr>
        <w:tc>
          <w:tcPr>
            <w:cnfStyle w:val="001000000000"/>
            <w:tcW w:w="1903" w:type="dxa"/>
            <w:tcBorders>
              <w:top w:val="single" w:sz="4" w:space="0" w:color="7F7F7F" w:themeColor="text1" w:themeTint="80"/>
              <w:bottom w:val="single" w:sz="4" w:space="0" w:color="7F7F7F" w:themeColor="text1" w:themeTint="80"/>
            </w:tcBorders>
            <w:shd w:val="clear" w:color="auto" w:fill="B6DDE8" w:themeFill="accent5" w:themeFillTint="66"/>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Health</w:t>
            </w:r>
          </w:p>
        </w:tc>
        <w:tc>
          <w:tcPr>
            <w:tcW w:w="2025"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28 (22-32)</w:t>
            </w:r>
          </w:p>
        </w:tc>
        <w:tc>
          <w:tcPr>
            <w:tcW w:w="1746"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33 (28-38)</w:t>
            </w:r>
          </w:p>
        </w:tc>
        <w:tc>
          <w:tcPr>
            <w:tcW w:w="2750"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6 (4-7)</w:t>
            </w:r>
          </w:p>
        </w:tc>
        <w:tc>
          <w:tcPr>
            <w:tcW w:w="1056"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b/>
                <w:bCs/>
                <w:sz w:val="20"/>
                <w:szCs w:val="20"/>
              </w:rPr>
            </w:pPr>
            <w:r w:rsidRPr="00A73B62">
              <w:rPr>
                <w:rFonts w:ascii="Times New Roman" w:hAnsi="Times New Roman" w:cs="Times New Roman"/>
                <w:b/>
                <w:bCs/>
                <w:sz w:val="20"/>
                <w:szCs w:val="20"/>
              </w:rPr>
              <w:t>&lt;0.001</w:t>
            </w:r>
          </w:p>
        </w:tc>
      </w:tr>
      <w:tr w:rsidR="00DF6A44" w:rsidRPr="00A73B62" w:rsidTr="00DF6A44">
        <w:trPr>
          <w:trHeight w:val="14"/>
          <w:jc w:val="center"/>
        </w:trPr>
        <w:tc>
          <w:tcPr>
            <w:cnfStyle w:val="001000000000"/>
            <w:tcW w:w="1903" w:type="dxa"/>
            <w:shd w:val="clear" w:color="auto" w:fill="B6DDE8" w:themeFill="accent5" w:themeFillTint="66"/>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Personality</w:t>
            </w:r>
          </w:p>
        </w:tc>
        <w:tc>
          <w:tcPr>
            <w:tcW w:w="2025"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50 (41-60)</w:t>
            </w:r>
          </w:p>
        </w:tc>
        <w:tc>
          <w:tcPr>
            <w:tcW w:w="1746"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62 (50-69)</w:t>
            </w:r>
          </w:p>
        </w:tc>
        <w:tc>
          <w:tcPr>
            <w:tcW w:w="2750"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10 (8-12)</w:t>
            </w:r>
          </w:p>
        </w:tc>
        <w:tc>
          <w:tcPr>
            <w:tcW w:w="1056"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b/>
                <w:bCs/>
                <w:sz w:val="20"/>
                <w:szCs w:val="20"/>
              </w:rPr>
              <w:t>&lt;0.001</w:t>
            </w:r>
          </w:p>
        </w:tc>
      </w:tr>
      <w:tr w:rsidR="00DF6A44" w:rsidRPr="00A73B62" w:rsidTr="00DF6A44">
        <w:trPr>
          <w:trHeight w:val="14"/>
          <w:jc w:val="center"/>
        </w:trPr>
        <w:tc>
          <w:tcPr>
            <w:cnfStyle w:val="001000000000"/>
            <w:tcW w:w="1903" w:type="dxa"/>
            <w:tcBorders>
              <w:top w:val="single" w:sz="4" w:space="0" w:color="7F7F7F" w:themeColor="text1" w:themeTint="80"/>
              <w:bottom w:val="single" w:sz="4" w:space="0" w:color="7F7F7F" w:themeColor="text1" w:themeTint="80"/>
            </w:tcBorders>
            <w:shd w:val="clear" w:color="auto" w:fill="B6DDE8" w:themeFill="accent5" w:themeFillTint="66"/>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External standard</w:t>
            </w:r>
          </w:p>
        </w:tc>
        <w:tc>
          <w:tcPr>
            <w:tcW w:w="2025"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48 (40-55)</w:t>
            </w:r>
          </w:p>
        </w:tc>
        <w:tc>
          <w:tcPr>
            <w:tcW w:w="1746"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54.5 (44-62)</w:t>
            </w:r>
          </w:p>
        </w:tc>
        <w:tc>
          <w:tcPr>
            <w:tcW w:w="2750"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6 (4-8)</w:t>
            </w:r>
          </w:p>
        </w:tc>
        <w:tc>
          <w:tcPr>
            <w:tcW w:w="1056"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b/>
                <w:bCs/>
                <w:sz w:val="20"/>
                <w:szCs w:val="20"/>
              </w:rPr>
              <w:t>&lt;0.001</w:t>
            </w:r>
          </w:p>
        </w:tc>
      </w:tr>
      <w:tr w:rsidR="00DF6A44" w:rsidRPr="00A73B62" w:rsidTr="00DF6A44">
        <w:trPr>
          <w:trHeight w:val="14"/>
          <w:jc w:val="center"/>
        </w:trPr>
        <w:tc>
          <w:tcPr>
            <w:cnfStyle w:val="001000000000"/>
            <w:tcW w:w="1903" w:type="dxa"/>
            <w:shd w:val="clear" w:color="auto" w:fill="B6DDE8" w:themeFill="accent5" w:themeFillTint="66"/>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Total</w:t>
            </w:r>
          </w:p>
        </w:tc>
        <w:tc>
          <w:tcPr>
            <w:tcW w:w="2025"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127 (107-144)</w:t>
            </w:r>
          </w:p>
        </w:tc>
        <w:tc>
          <w:tcPr>
            <w:tcW w:w="1746"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 xml:space="preserve">152 </w:t>
            </w:r>
            <w:r w:rsidRPr="00A73B62">
              <w:rPr>
                <w:rFonts w:ascii="Times New Roman" w:hAnsi="Times New Roman" w:cs="Times New Roman"/>
                <w:sz w:val="20"/>
                <w:szCs w:val="20"/>
              </w:rPr>
              <w:t>(127.3-168)</w:t>
            </w:r>
          </w:p>
        </w:tc>
        <w:tc>
          <w:tcPr>
            <w:tcW w:w="2750"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24 (18-30)</w:t>
            </w:r>
          </w:p>
        </w:tc>
        <w:tc>
          <w:tcPr>
            <w:tcW w:w="1056"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b/>
                <w:bCs/>
                <w:sz w:val="20"/>
                <w:szCs w:val="20"/>
              </w:rPr>
              <w:t>&lt;0.001</w:t>
            </w:r>
          </w:p>
        </w:tc>
      </w:tr>
    </w:tbl>
    <w:p w:rsidR="00DF6A44" w:rsidRPr="00A73B62" w:rsidRDefault="00B0692F">
      <w:pPr>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Notes: Data is median (25</w:t>
      </w:r>
      <w:r w:rsidRPr="00A73B62">
        <w:rPr>
          <w:rFonts w:ascii="Times New Roman" w:hAnsi="Times New Roman" w:cs="Times New Roman"/>
          <w:sz w:val="20"/>
          <w:szCs w:val="20"/>
          <w:vertAlign w:val="superscript"/>
        </w:rPr>
        <w:t>th</w:t>
      </w:r>
      <w:r w:rsidRPr="00A73B62">
        <w:rPr>
          <w:rFonts w:ascii="Times New Roman" w:hAnsi="Times New Roman" w:cs="Times New Roman"/>
          <w:sz w:val="20"/>
          <w:szCs w:val="20"/>
        </w:rPr>
        <w:t xml:space="preserve"> – 75</w:t>
      </w:r>
      <w:r w:rsidRPr="00A73B62">
        <w:rPr>
          <w:rFonts w:ascii="Times New Roman" w:hAnsi="Times New Roman" w:cs="Times New Roman"/>
          <w:sz w:val="20"/>
          <w:szCs w:val="20"/>
          <w:vertAlign w:val="superscript"/>
        </w:rPr>
        <w:t>th</w:t>
      </w:r>
      <w:r w:rsidRPr="00A73B62">
        <w:rPr>
          <w:rFonts w:ascii="Times New Roman" w:hAnsi="Times New Roman" w:cs="Times New Roman"/>
          <w:sz w:val="20"/>
          <w:szCs w:val="20"/>
        </w:rPr>
        <w:t xml:space="preserve"> percentiles). *Median difference was calculated by Hodges-Lehmann estimator. CI=confidence interval. Test of significance is Mann-Whitney U-test.</w:t>
      </w:r>
    </w:p>
    <w:p w:rsidR="00DF6A44" w:rsidRPr="00A73B62" w:rsidRDefault="00DF6A44">
      <w:pPr>
        <w:autoSpaceDE w:val="0"/>
        <w:autoSpaceDN w:val="0"/>
        <w:adjustRightInd w:val="0"/>
        <w:spacing w:after="0" w:line="240" w:lineRule="auto"/>
        <w:jc w:val="both"/>
        <w:rPr>
          <w:rFonts w:ascii="Times New Roman" w:hAnsi="Times New Roman" w:cs="Times New Roman"/>
          <w:sz w:val="20"/>
          <w:szCs w:val="20"/>
        </w:rPr>
      </w:pP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This in concordance with </w:t>
      </w:r>
      <w:r w:rsidRPr="00A73B62">
        <w:rPr>
          <w:rFonts w:ascii="Times New Roman" w:hAnsi="Times New Roman" w:cs="Times New Roman"/>
          <w:b/>
          <w:bCs/>
          <w:sz w:val="20"/>
          <w:szCs w:val="20"/>
        </w:rPr>
        <w:t>Noreen et al. 2021</w:t>
      </w:r>
      <w:r w:rsidRPr="00A73B62">
        <w:rPr>
          <w:rFonts w:ascii="Times New Roman" w:hAnsi="Times New Roman" w:cs="Times New Roman"/>
          <w:sz w:val="20"/>
          <w:szCs w:val="20"/>
        </w:rPr>
        <w:t xml:space="preserve"> who found that non-medical students scored significantly higher QoL scores in comparison with medical students (P value = &lt;0.05)</w:t>
      </w:r>
      <w:r w:rsidRPr="00A73B62">
        <w:rPr>
          <w:rFonts w:ascii="Times New Roman" w:eastAsia="Calibri" w:hAnsi="Times New Roman" w:cs="Times New Roman"/>
          <w:b/>
          <w:bCs/>
          <w:sz w:val="20"/>
          <w:szCs w:val="20"/>
          <w:vertAlign w:val="superscript"/>
          <w:lang w:bidi="ar-EG"/>
        </w:rPr>
        <w:t>9</w:t>
      </w:r>
      <w:r w:rsidRPr="00A73B62">
        <w:rPr>
          <w:rFonts w:ascii="Times New Roman" w:hAnsi="Times New Roman" w:cs="Times New Roman"/>
          <w:sz w:val="20"/>
          <w:szCs w:val="20"/>
        </w:rPr>
        <w:t>.</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w:t>
      </w:r>
      <w:r w:rsidRPr="00A73B62">
        <w:rPr>
          <w:rFonts w:ascii="Times New Roman" w:hAnsi="Times New Roman" w:cs="Times New Roman"/>
          <w:b/>
          <w:bCs/>
          <w:sz w:val="20"/>
          <w:szCs w:val="20"/>
        </w:rPr>
        <w:t xml:space="preserve">  Pagnin and De Queiroz 2015 </w:t>
      </w:r>
      <w:r w:rsidRPr="00A73B62">
        <w:rPr>
          <w:rFonts w:ascii="Times New Roman" w:hAnsi="Times New Roman" w:cs="Times New Roman"/>
          <w:sz w:val="20"/>
          <w:szCs w:val="20"/>
        </w:rPr>
        <w:t>found that medical students exhibite</w:t>
      </w:r>
      <w:r w:rsidRPr="00A73B62">
        <w:rPr>
          <w:rFonts w:ascii="Times New Roman" w:hAnsi="Times New Roman" w:cs="Times New Roman"/>
          <w:sz w:val="20"/>
          <w:szCs w:val="20"/>
        </w:rPr>
        <w:t>d poorer psychological well-being and social relationships than age-matched young people in the general population. They had a lower QoL in comparison to young general population with a significant proportion of the students had a low quality of life in al</w:t>
      </w:r>
      <w:r w:rsidRPr="00A73B62">
        <w:rPr>
          <w:rFonts w:ascii="Times New Roman" w:hAnsi="Times New Roman" w:cs="Times New Roman"/>
          <w:sz w:val="20"/>
          <w:szCs w:val="20"/>
        </w:rPr>
        <w:t>l domains</w:t>
      </w:r>
      <w:r w:rsidRPr="00A73B62">
        <w:rPr>
          <w:rFonts w:ascii="Times New Roman" w:eastAsia="Calibri" w:hAnsi="Times New Roman" w:cs="Times New Roman"/>
          <w:b/>
          <w:bCs/>
          <w:sz w:val="20"/>
          <w:szCs w:val="20"/>
          <w:vertAlign w:val="superscript"/>
          <w:lang w:bidi="ar-EG"/>
        </w:rPr>
        <w:t>10</w:t>
      </w:r>
      <w:r w:rsidRPr="00A73B62">
        <w:rPr>
          <w:rFonts w:ascii="Times New Roman" w:hAnsi="Times New Roman" w:cs="Times New Roman"/>
          <w:sz w:val="20"/>
          <w:szCs w:val="20"/>
        </w:rPr>
        <w:t>.</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In contrast to our findings, a study by </w:t>
      </w:r>
      <w:r w:rsidRPr="00A73B62">
        <w:rPr>
          <w:rFonts w:ascii="Times New Roman" w:hAnsi="Times New Roman" w:cs="Times New Roman"/>
          <w:b/>
          <w:bCs/>
          <w:sz w:val="20"/>
          <w:szCs w:val="20"/>
        </w:rPr>
        <w:t>Latas et al. 2014</w:t>
      </w:r>
      <w:r w:rsidRPr="00A73B62">
        <w:rPr>
          <w:rFonts w:ascii="Times New Roman" w:hAnsi="Times New Roman" w:cs="Times New Roman"/>
          <w:sz w:val="20"/>
          <w:szCs w:val="20"/>
        </w:rPr>
        <w:t xml:space="preserve"> found that medical students in comparison to the non-medical group had significantly higher scores</w:t>
      </w:r>
      <w:r w:rsidRPr="00A73B62">
        <w:rPr>
          <w:rFonts w:ascii="Times New Roman" w:eastAsia="Calibri" w:hAnsi="Times New Roman" w:cs="Times New Roman"/>
          <w:b/>
          <w:bCs/>
          <w:sz w:val="20"/>
          <w:szCs w:val="20"/>
          <w:vertAlign w:val="superscript"/>
          <w:lang w:bidi="ar-EG"/>
        </w:rPr>
        <w:t>11</w:t>
      </w:r>
      <w:r w:rsidRPr="00A73B62">
        <w:rPr>
          <w:rFonts w:ascii="Times New Roman" w:hAnsi="Times New Roman" w:cs="Times New Roman"/>
          <w:sz w:val="20"/>
          <w:szCs w:val="20"/>
        </w:rPr>
        <w:t>.</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Also, </w:t>
      </w:r>
      <w:r w:rsidRPr="00A73B62">
        <w:rPr>
          <w:rFonts w:ascii="Times New Roman" w:hAnsi="Times New Roman" w:cs="Times New Roman"/>
          <w:b/>
          <w:bCs/>
          <w:sz w:val="20"/>
          <w:szCs w:val="20"/>
        </w:rPr>
        <w:t>Henning et al. 2012</w:t>
      </w:r>
      <w:r w:rsidRPr="00A73B62">
        <w:rPr>
          <w:rFonts w:ascii="Times New Roman" w:hAnsi="Times New Roman" w:cs="Times New Roman"/>
          <w:sz w:val="20"/>
          <w:szCs w:val="20"/>
        </w:rPr>
        <w:t xml:space="preserve"> results showed that medical students pe</w:t>
      </w:r>
      <w:r w:rsidRPr="00A73B62">
        <w:rPr>
          <w:rFonts w:ascii="Times New Roman" w:hAnsi="Times New Roman" w:cs="Times New Roman"/>
          <w:sz w:val="20"/>
          <w:szCs w:val="20"/>
        </w:rPr>
        <w:t>rceived their QoL as better or equivalent to other non-medical students' group</w:t>
      </w:r>
      <w:r w:rsidRPr="00A73B62">
        <w:rPr>
          <w:rFonts w:ascii="Times New Roman" w:eastAsia="Calibri" w:hAnsi="Times New Roman" w:cs="Times New Roman"/>
          <w:b/>
          <w:bCs/>
          <w:sz w:val="20"/>
          <w:szCs w:val="20"/>
          <w:vertAlign w:val="superscript"/>
          <w:lang w:bidi="ar-EG"/>
        </w:rPr>
        <w:t>12</w:t>
      </w:r>
      <w:r w:rsidRPr="00A73B62">
        <w:rPr>
          <w:rFonts w:ascii="Times New Roman" w:hAnsi="Times New Roman" w:cs="Times New Roman"/>
          <w:sz w:val="20"/>
          <w:szCs w:val="20"/>
        </w:rPr>
        <w:t>.</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That may be due to the varied study population and ethnicities.</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In our present study, 196 students were females (53.7%) and 169 students were males (46.3%).</w:t>
      </w:r>
      <w:r w:rsidRPr="00A73B62">
        <w:rPr>
          <w:rFonts w:ascii="Times New Roman" w:hAnsi="Times New Roman" w:cs="Times New Roman"/>
          <w:sz w:val="20"/>
          <w:szCs w:val="20"/>
        </w:rPr>
        <w:t xml:space="preserve"> We found that male students had statistically significant higher scores in the health dimension, personality dimension and in the </w:t>
      </w:r>
      <w:r w:rsidRPr="00A73B62">
        <w:rPr>
          <w:rFonts w:ascii="Times New Roman" w:hAnsi="Times New Roman" w:cs="Times New Roman"/>
          <w:sz w:val="20"/>
          <w:szCs w:val="20"/>
        </w:rPr>
        <w:lastRenderedPageBreak/>
        <w:t>total QoL scores (p value = &lt;0.001). Males also had higher scores in the external standard dimension but the difference was s</w:t>
      </w:r>
      <w:r w:rsidRPr="00A73B62">
        <w:rPr>
          <w:rFonts w:ascii="Times New Roman" w:hAnsi="Times New Roman" w:cs="Times New Roman"/>
          <w:sz w:val="20"/>
          <w:szCs w:val="20"/>
        </w:rPr>
        <w:t xml:space="preserve">tatistically insignificant (p value = 0.235) </w:t>
      </w:r>
      <w:r w:rsidRPr="00A73B62">
        <w:rPr>
          <w:rFonts w:ascii="Times New Roman" w:hAnsi="Times New Roman" w:cs="Times New Roman"/>
          <w:b/>
          <w:bCs/>
          <w:sz w:val="20"/>
          <w:szCs w:val="20"/>
        </w:rPr>
        <w:t>(table 3).</w:t>
      </w:r>
    </w:p>
    <w:p w:rsidR="00DF6A44" w:rsidRPr="00A73B62" w:rsidRDefault="00DF6A44">
      <w:pPr>
        <w:autoSpaceDE w:val="0"/>
        <w:autoSpaceDN w:val="0"/>
        <w:adjustRightInd w:val="0"/>
        <w:spacing w:after="0" w:line="240" w:lineRule="auto"/>
        <w:jc w:val="both"/>
        <w:rPr>
          <w:rFonts w:ascii="Times New Roman" w:hAnsi="Times New Roman" w:cs="Times New Roman"/>
          <w:sz w:val="20"/>
          <w:szCs w:val="20"/>
        </w:rPr>
        <w:sectPr w:rsidR="00DF6A44" w:rsidRPr="00A73B62" w:rsidSect="00A73B62">
          <w:type w:val="continuous"/>
          <w:pgSz w:w="12240" w:h="15840"/>
          <w:pgMar w:top="1440" w:right="1440" w:bottom="1440" w:left="1440" w:header="720" w:footer="720" w:gutter="0"/>
          <w:cols w:space="709"/>
          <w:titlePg/>
          <w:docGrid w:linePitch="360"/>
        </w:sectPr>
      </w:pPr>
    </w:p>
    <w:p w:rsidR="00DF6A44" w:rsidRDefault="00DF6A44">
      <w:pPr>
        <w:spacing w:after="0" w:line="240" w:lineRule="auto"/>
        <w:jc w:val="both"/>
        <w:rPr>
          <w:rFonts w:ascii="Times New Roman" w:hAnsi="Times New Roman" w:cs="Times New Roman" w:hint="eastAsia"/>
          <w:b/>
          <w:bCs/>
          <w:sz w:val="20"/>
          <w:szCs w:val="20"/>
          <w:lang w:eastAsia="zh-CN"/>
        </w:rPr>
      </w:pPr>
    </w:p>
    <w:p w:rsidR="00A73B62" w:rsidRPr="00A73B62" w:rsidRDefault="00A73B62">
      <w:pPr>
        <w:spacing w:after="0" w:line="240" w:lineRule="auto"/>
        <w:jc w:val="both"/>
        <w:rPr>
          <w:rFonts w:ascii="Times New Roman" w:hAnsi="Times New Roman" w:cs="Times New Roman" w:hint="eastAsia"/>
          <w:b/>
          <w:bCs/>
          <w:sz w:val="20"/>
          <w:szCs w:val="20"/>
          <w:lang w:eastAsia="zh-CN"/>
        </w:rPr>
      </w:pPr>
    </w:p>
    <w:p w:rsidR="00DF6A44" w:rsidRPr="00A73B62" w:rsidRDefault="00B0692F">
      <w:pPr>
        <w:spacing w:after="0" w:line="240" w:lineRule="auto"/>
        <w:jc w:val="both"/>
        <w:rPr>
          <w:rFonts w:ascii="Times New Roman" w:hAnsi="Times New Roman" w:cs="Times New Roman"/>
          <w:b/>
          <w:bCs/>
          <w:sz w:val="20"/>
          <w:szCs w:val="20"/>
        </w:rPr>
      </w:pPr>
      <w:r w:rsidRPr="00A73B62">
        <w:rPr>
          <w:rFonts w:ascii="Times New Roman" w:hAnsi="Times New Roman" w:cs="Times New Roman"/>
          <w:b/>
          <w:bCs/>
          <w:sz w:val="20"/>
          <w:szCs w:val="20"/>
        </w:rPr>
        <w:t>Table (3): QoL in males vs. females who completed the survey</w:t>
      </w:r>
    </w:p>
    <w:tbl>
      <w:tblPr>
        <w:tblStyle w:val="PlainTable2"/>
        <w:tblW w:w="9430" w:type="dxa"/>
        <w:jc w:val="center"/>
        <w:tblLook w:val="04A0"/>
      </w:tblPr>
      <w:tblGrid>
        <w:gridCol w:w="3904"/>
        <w:gridCol w:w="1533"/>
        <w:gridCol w:w="1584"/>
        <w:gridCol w:w="1190"/>
        <w:gridCol w:w="1219"/>
      </w:tblGrid>
      <w:tr w:rsidR="00DF6A44" w:rsidRPr="00A73B62" w:rsidTr="00DF6A44">
        <w:trPr>
          <w:cnfStyle w:val="100000000000"/>
          <w:trHeight w:val="218"/>
          <w:jc w:val="center"/>
        </w:trPr>
        <w:tc>
          <w:tcPr>
            <w:cnfStyle w:val="001000000000"/>
            <w:tcW w:w="3904" w:type="dxa"/>
            <w:shd w:val="clear" w:color="auto" w:fill="B6DDE8" w:themeFill="accent5" w:themeFillTint="66"/>
          </w:tcPr>
          <w:p w:rsidR="00DF6A44" w:rsidRPr="00A73B62" w:rsidRDefault="00B0692F" w:rsidP="00A73B62">
            <w:pPr>
              <w:tabs>
                <w:tab w:val="right" w:pos="3564"/>
              </w:tabs>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QoL</w:t>
            </w:r>
          </w:p>
        </w:tc>
        <w:tc>
          <w:tcPr>
            <w:tcW w:w="1533" w:type="dxa"/>
            <w:shd w:val="clear" w:color="auto" w:fill="B6DDE8" w:themeFill="accent5" w:themeFillTint="66"/>
          </w:tcPr>
          <w:p w:rsidR="00DF6A44" w:rsidRPr="00A73B62" w:rsidRDefault="00B0692F">
            <w:pPr>
              <w:spacing w:after="0" w:line="240" w:lineRule="auto"/>
              <w:jc w:val="both"/>
              <w:cnfStyle w:val="100000000000"/>
              <w:rPr>
                <w:rFonts w:ascii="Times New Roman" w:hAnsi="Times New Roman" w:cs="Times New Roman"/>
                <w:b w:val="0"/>
                <w:bCs w:val="0"/>
                <w:sz w:val="20"/>
                <w:szCs w:val="20"/>
              </w:rPr>
            </w:pPr>
            <w:r w:rsidRPr="00A73B62">
              <w:rPr>
                <w:rFonts w:ascii="Times New Roman" w:hAnsi="Times New Roman" w:cs="Times New Roman"/>
                <w:sz w:val="20"/>
                <w:szCs w:val="20"/>
              </w:rPr>
              <w:t>Male</w:t>
            </w:r>
          </w:p>
        </w:tc>
        <w:tc>
          <w:tcPr>
            <w:tcW w:w="1584" w:type="dxa"/>
            <w:shd w:val="clear" w:color="auto" w:fill="B6DDE8" w:themeFill="accent5" w:themeFillTint="66"/>
          </w:tcPr>
          <w:p w:rsidR="00DF6A44" w:rsidRPr="00A73B62" w:rsidRDefault="00B0692F">
            <w:pPr>
              <w:spacing w:after="0" w:line="240" w:lineRule="auto"/>
              <w:jc w:val="both"/>
              <w:cnfStyle w:val="100000000000"/>
              <w:rPr>
                <w:rFonts w:ascii="Times New Roman" w:hAnsi="Times New Roman" w:cs="Times New Roman"/>
                <w:b w:val="0"/>
                <w:bCs w:val="0"/>
                <w:sz w:val="20"/>
                <w:szCs w:val="20"/>
              </w:rPr>
            </w:pPr>
            <w:r w:rsidRPr="00A73B62">
              <w:rPr>
                <w:rFonts w:ascii="Times New Roman" w:hAnsi="Times New Roman" w:cs="Times New Roman"/>
                <w:sz w:val="20"/>
                <w:szCs w:val="20"/>
              </w:rPr>
              <w:t>Female</w:t>
            </w:r>
          </w:p>
        </w:tc>
        <w:tc>
          <w:tcPr>
            <w:tcW w:w="1190" w:type="dxa"/>
            <w:shd w:val="clear" w:color="auto" w:fill="B6DDE8" w:themeFill="accent5" w:themeFillTint="66"/>
          </w:tcPr>
          <w:p w:rsidR="00DF6A44" w:rsidRPr="00A73B62" w:rsidRDefault="00B0692F">
            <w:pPr>
              <w:spacing w:after="0" w:line="240" w:lineRule="auto"/>
              <w:jc w:val="both"/>
              <w:cnfStyle w:val="100000000000"/>
              <w:rPr>
                <w:rFonts w:ascii="Times New Roman" w:hAnsi="Times New Roman" w:cs="Times New Roman"/>
                <w:b w:val="0"/>
                <w:bCs w:val="0"/>
                <w:sz w:val="20"/>
                <w:szCs w:val="20"/>
              </w:rPr>
            </w:pPr>
            <w:r w:rsidRPr="00A73B62">
              <w:rPr>
                <w:rFonts w:ascii="Times New Roman" w:hAnsi="Times New Roman" w:cs="Times New Roman"/>
                <w:sz w:val="20"/>
                <w:szCs w:val="20"/>
              </w:rPr>
              <w:t>z-value</w:t>
            </w:r>
          </w:p>
        </w:tc>
        <w:tc>
          <w:tcPr>
            <w:tcW w:w="1219" w:type="dxa"/>
            <w:shd w:val="clear" w:color="auto" w:fill="B6DDE8" w:themeFill="accent5" w:themeFillTint="66"/>
          </w:tcPr>
          <w:p w:rsidR="00DF6A44" w:rsidRPr="00A73B62" w:rsidRDefault="00B0692F">
            <w:pPr>
              <w:spacing w:after="0" w:line="240" w:lineRule="auto"/>
              <w:jc w:val="both"/>
              <w:cnfStyle w:val="100000000000"/>
              <w:rPr>
                <w:rFonts w:ascii="Times New Roman" w:hAnsi="Times New Roman" w:cs="Times New Roman"/>
                <w:b w:val="0"/>
                <w:bCs w:val="0"/>
                <w:sz w:val="20"/>
                <w:szCs w:val="20"/>
              </w:rPr>
            </w:pPr>
            <w:r w:rsidRPr="00A73B62">
              <w:rPr>
                <w:rFonts w:ascii="Times New Roman" w:hAnsi="Times New Roman" w:cs="Times New Roman"/>
                <w:sz w:val="20"/>
                <w:szCs w:val="20"/>
              </w:rPr>
              <w:t>p-value</w:t>
            </w:r>
          </w:p>
        </w:tc>
      </w:tr>
      <w:tr w:rsidR="00DF6A44" w:rsidRPr="00A73B62" w:rsidTr="00DF6A44">
        <w:trPr>
          <w:trHeight w:val="218"/>
          <w:jc w:val="center"/>
        </w:trPr>
        <w:tc>
          <w:tcPr>
            <w:cnfStyle w:val="001000000000"/>
            <w:tcW w:w="3904" w:type="dxa"/>
            <w:tcBorders>
              <w:top w:val="single" w:sz="4" w:space="0" w:color="7F7F7F" w:themeColor="text1" w:themeTint="80"/>
              <w:bottom w:val="single" w:sz="4" w:space="0" w:color="7F7F7F" w:themeColor="text1" w:themeTint="80"/>
            </w:tcBorders>
            <w:shd w:val="clear" w:color="auto" w:fill="B6DDE8" w:themeFill="accent5" w:themeFillTint="66"/>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Health dimension</w:t>
            </w:r>
          </w:p>
        </w:tc>
        <w:tc>
          <w:tcPr>
            <w:tcW w:w="1533"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33 (27-39)</w:t>
            </w:r>
          </w:p>
        </w:tc>
        <w:tc>
          <w:tcPr>
            <w:tcW w:w="1584"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28 (23-33)</w:t>
            </w:r>
          </w:p>
        </w:tc>
        <w:tc>
          <w:tcPr>
            <w:tcW w:w="1190"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-5.531</w:t>
            </w:r>
          </w:p>
        </w:tc>
        <w:tc>
          <w:tcPr>
            <w:tcW w:w="1219"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b/>
                <w:bCs/>
                <w:sz w:val="20"/>
                <w:szCs w:val="20"/>
              </w:rPr>
            </w:pPr>
            <w:r w:rsidRPr="00A73B62">
              <w:rPr>
                <w:rFonts w:ascii="Times New Roman" w:hAnsi="Times New Roman" w:cs="Times New Roman"/>
                <w:b/>
                <w:bCs/>
                <w:sz w:val="20"/>
                <w:szCs w:val="20"/>
              </w:rPr>
              <w:t>&lt;0.001</w:t>
            </w:r>
          </w:p>
        </w:tc>
      </w:tr>
      <w:tr w:rsidR="00DF6A44" w:rsidRPr="00A73B62" w:rsidTr="00DF6A44">
        <w:trPr>
          <w:trHeight w:val="218"/>
          <w:jc w:val="center"/>
        </w:trPr>
        <w:tc>
          <w:tcPr>
            <w:cnfStyle w:val="001000000000"/>
            <w:tcW w:w="3904" w:type="dxa"/>
            <w:shd w:val="clear" w:color="auto" w:fill="B6DDE8" w:themeFill="accent5" w:themeFillTint="66"/>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Personality dimension</w:t>
            </w:r>
          </w:p>
        </w:tc>
        <w:tc>
          <w:tcPr>
            <w:tcW w:w="1533"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59 (48-69)</w:t>
            </w:r>
          </w:p>
        </w:tc>
        <w:tc>
          <w:tcPr>
            <w:tcW w:w="1584"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53</w:t>
            </w:r>
            <w:r w:rsidRPr="00A73B62">
              <w:rPr>
                <w:rFonts w:ascii="Times New Roman" w:hAnsi="Times New Roman" w:cs="Times New Roman"/>
                <w:sz w:val="20"/>
                <w:szCs w:val="20"/>
              </w:rPr>
              <w:t xml:space="preserve"> (42-62)</w:t>
            </w:r>
          </w:p>
        </w:tc>
        <w:tc>
          <w:tcPr>
            <w:tcW w:w="1190"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-4.236</w:t>
            </w:r>
          </w:p>
        </w:tc>
        <w:tc>
          <w:tcPr>
            <w:tcW w:w="1219"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b/>
                <w:bCs/>
                <w:sz w:val="20"/>
                <w:szCs w:val="20"/>
              </w:rPr>
              <w:t>&lt;0.001</w:t>
            </w:r>
          </w:p>
        </w:tc>
      </w:tr>
      <w:tr w:rsidR="00DF6A44" w:rsidRPr="00A73B62" w:rsidTr="00DF6A44">
        <w:trPr>
          <w:trHeight w:val="218"/>
          <w:jc w:val="center"/>
        </w:trPr>
        <w:tc>
          <w:tcPr>
            <w:cnfStyle w:val="001000000000"/>
            <w:tcW w:w="3904" w:type="dxa"/>
            <w:tcBorders>
              <w:top w:val="single" w:sz="4" w:space="0" w:color="7F7F7F" w:themeColor="text1" w:themeTint="80"/>
              <w:bottom w:val="single" w:sz="4" w:space="0" w:color="7F7F7F" w:themeColor="text1" w:themeTint="80"/>
            </w:tcBorders>
            <w:shd w:val="clear" w:color="auto" w:fill="B6DDE8" w:themeFill="accent5" w:themeFillTint="66"/>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External standard dimension</w:t>
            </w:r>
          </w:p>
        </w:tc>
        <w:tc>
          <w:tcPr>
            <w:tcW w:w="1533"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52 (42-59)</w:t>
            </w:r>
          </w:p>
        </w:tc>
        <w:tc>
          <w:tcPr>
            <w:tcW w:w="1584"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51 (42-58)</w:t>
            </w:r>
          </w:p>
        </w:tc>
        <w:tc>
          <w:tcPr>
            <w:tcW w:w="1190"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-1.188</w:t>
            </w:r>
          </w:p>
        </w:tc>
        <w:tc>
          <w:tcPr>
            <w:tcW w:w="1219"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0.235</w:t>
            </w:r>
          </w:p>
        </w:tc>
      </w:tr>
      <w:tr w:rsidR="00DF6A44" w:rsidRPr="00A73B62" w:rsidTr="00DF6A44">
        <w:trPr>
          <w:trHeight w:val="218"/>
          <w:jc w:val="center"/>
        </w:trPr>
        <w:tc>
          <w:tcPr>
            <w:cnfStyle w:val="001000000000"/>
            <w:tcW w:w="3904" w:type="dxa"/>
            <w:shd w:val="clear" w:color="auto" w:fill="B6DDE8" w:themeFill="accent5" w:themeFillTint="66"/>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Total QoL score</w:t>
            </w:r>
          </w:p>
        </w:tc>
        <w:tc>
          <w:tcPr>
            <w:tcW w:w="1533"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142 (122-165)</w:t>
            </w:r>
          </w:p>
        </w:tc>
        <w:tc>
          <w:tcPr>
            <w:tcW w:w="1584"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134 (107-151)</w:t>
            </w:r>
          </w:p>
        </w:tc>
        <w:tc>
          <w:tcPr>
            <w:tcW w:w="1190"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-3.703</w:t>
            </w:r>
          </w:p>
        </w:tc>
        <w:tc>
          <w:tcPr>
            <w:tcW w:w="1219"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b/>
                <w:bCs/>
                <w:sz w:val="20"/>
                <w:szCs w:val="20"/>
              </w:rPr>
              <w:t>&lt;0.001</w:t>
            </w:r>
          </w:p>
        </w:tc>
      </w:tr>
    </w:tbl>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Notes: Data is median (Q1-Q3). Test of significance is Mann-Whitney U-test.</w:t>
      </w:r>
    </w:p>
    <w:p w:rsidR="00DF6A44" w:rsidRPr="00A73B62" w:rsidRDefault="00DF6A44">
      <w:pPr>
        <w:autoSpaceDE w:val="0"/>
        <w:autoSpaceDN w:val="0"/>
        <w:adjustRightInd w:val="0"/>
        <w:spacing w:after="0" w:line="240" w:lineRule="auto"/>
        <w:jc w:val="both"/>
        <w:rPr>
          <w:rFonts w:ascii="Times New Roman" w:hAnsi="Times New Roman" w:cs="Times New Roman"/>
          <w:sz w:val="20"/>
          <w:szCs w:val="20"/>
        </w:rPr>
      </w:pPr>
    </w:p>
    <w:p w:rsidR="00A73B62" w:rsidRDefault="00A73B62">
      <w:pPr>
        <w:autoSpaceDE w:val="0"/>
        <w:autoSpaceDN w:val="0"/>
        <w:adjustRightInd w:val="0"/>
        <w:spacing w:after="0" w:line="240" w:lineRule="auto"/>
        <w:jc w:val="both"/>
        <w:rPr>
          <w:rFonts w:ascii="Times New Roman" w:hAnsi="Times New Roman" w:cs="Times New Roman" w:hint="eastAsia"/>
          <w:sz w:val="20"/>
          <w:szCs w:val="20"/>
          <w:lang w:eastAsia="zh-CN"/>
        </w:rPr>
      </w:pP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In agreement with our results, </w:t>
      </w:r>
      <w:r w:rsidRPr="00A73B62">
        <w:rPr>
          <w:rFonts w:ascii="Times New Roman" w:hAnsi="Times New Roman" w:cs="Times New Roman"/>
          <w:b/>
          <w:bCs/>
          <w:sz w:val="20"/>
          <w:szCs w:val="20"/>
        </w:rPr>
        <w:t>Latas et al. 2014</w:t>
      </w:r>
      <w:r w:rsidRPr="00A73B62">
        <w:rPr>
          <w:rFonts w:ascii="Times New Roman" w:hAnsi="Times New Roman" w:cs="Times New Roman"/>
          <w:sz w:val="20"/>
          <w:szCs w:val="20"/>
        </w:rPr>
        <w:t xml:space="preserve"> found that male students generally perceive their QoL as better than females</w:t>
      </w:r>
      <w:r w:rsidRPr="00A73B62">
        <w:rPr>
          <w:rFonts w:ascii="Times New Roman" w:eastAsia="Calibri" w:hAnsi="Times New Roman" w:cs="Times New Roman"/>
          <w:b/>
          <w:bCs/>
          <w:sz w:val="20"/>
          <w:szCs w:val="20"/>
          <w:vertAlign w:val="superscript"/>
          <w:lang w:bidi="ar-EG"/>
        </w:rPr>
        <w:t>11</w:t>
      </w:r>
      <w:r w:rsidRPr="00A73B62">
        <w:rPr>
          <w:rFonts w:ascii="Times New Roman" w:hAnsi="Times New Roman" w:cs="Times New Roman"/>
          <w:sz w:val="20"/>
          <w:szCs w:val="20"/>
        </w:rPr>
        <w:t xml:space="preserve">. Also, </w:t>
      </w:r>
      <w:r w:rsidRPr="00A73B62">
        <w:rPr>
          <w:rFonts w:ascii="Times New Roman" w:hAnsi="Times New Roman" w:cs="Times New Roman"/>
          <w:b/>
          <w:bCs/>
          <w:sz w:val="20"/>
          <w:szCs w:val="20"/>
        </w:rPr>
        <w:t>Messina et al. 2016</w:t>
      </w:r>
      <w:r w:rsidRPr="00A73B62">
        <w:rPr>
          <w:rFonts w:ascii="Times New Roman" w:hAnsi="Times New Roman" w:cs="Times New Roman"/>
          <w:sz w:val="20"/>
          <w:szCs w:val="20"/>
        </w:rPr>
        <w:t xml:space="preserve"> reported that female students obtained lower scores of SF-36 than males</w:t>
      </w:r>
      <w:r w:rsidRPr="00A73B62">
        <w:rPr>
          <w:rFonts w:ascii="Times New Roman" w:eastAsia="Calibri" w:hAnsi="Times New Roman" w:cs="Times New Roman"/>
          <w:b/>
          <w:bCs/>
          <w:sz w:val="20"/>
          <w:szCs w:val="20"/>
          <w:vertAlign w:val="superscript"/>
          <w:lang w:bidi="ar-EG"/>
        </w:rPr>
        <w:t>8</w:t>
      </w:r>
      <w:r w:rsidRPr="00A73B62">
        <w:rPr>
          <w:rFonts w:ascii="Times New Roman" w:hAnsi="Times New Roman" w:cs="Times New Roman"/>
          <w:sz w:val="20"/>
          <w:szCs w:val="20"/>
        </w:rPr>
        <w:t>.</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Contrary </w:t>
      </w:r>
      <w:r w:rsidRPr="00A73B62">
        <w:rPr>
          <w:rFonts w:ascii="Times New Roman" w:hAnsi="Times New Roman" w:cs="Times New Roman"/>
          <w:sz w:val="20"/>
          <w:szCs w:val="20"/>
        </w:rPr>
        <w:t xml:space="preserve">to our study, </w:t>
      </w:r>
      <w:r w:rsidRPr="00A73B62">
        <w:rPr>
          <w:rFonts w:ascii="Times New Roman" w:hAnsi="Times New Roman" w:cs="Times New Roman"/>
          <w:b/>
          <w:bCs/>
          <w:sz w:val="20"/>
          <w:szCs w:val="20"/>
        </w:rPr>
        <w:t>Noreen et al. 2021</w:t>
      </w:r>
      <w:r w:rsidRPr="00A73B62">
        <w:rPr>
          <w:rFonts w:ascii="Times New Roman" w:hAnsi="Times New Roman" w:cs="Times New Roman"/>
          <w:sz w:val="20"/>
          <w:szCs w:val="20"/>
        </w:rPr>
        <w:t xml:space="preserve"> found that female students significantly scored high on QoL compared to male students (p&lt;0.05), while male students scored higher on psychological distress (p&lt;0.05)</w:t>
      </w:r>
      <w:r w:rsidRPr="00A73B62">
        <w:rPr>
          <w:rFonts w:ascii="Times New Roman" w:eastAsia="Calibri" w:hAnsi="Times New Roman" w:cs="Times New Roman"/>
          <w:b/>
          <w:bCs/>
          <w:sz w:val="20"/>
          <w:szCs w:val="20"/>
          <w:vertAlign w:val="superscript"/>
          <w:lang w:bidi="ar-EG"/>
        </w:rPr>
        <w:t>9</w:t>
      </w:r>
      <w:r w:rsidRPr="00A73B62">
        <w:rPr>
          <w:rFonts w:ascii="Times New Roman" w:hAnsi="Times New Roman" w:cs="Times New Roman"/>
          <w:sz w:val="20"/>
          <w:szCs w:val="20"/>
        </w:rPr>
        <w:t>.</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Furthermore, </w:t>
      </w:r>
      <w:r w:rsidRPr="00A73B62">
        <w:rPr>
          <w:rFonts w:ascii="Times New Roman" w:hAnsi="Times New Roman" w:cs="Times New Roman"/>
          <w:b/>
          <w:bCs/>
          <w:sz w:val="20"/>
          <w:szCs w:val="20"/>
        </w:rPr>
        <w:t>Acheampong et al. 2017</w:t>
      </w:r>
      <w:r w:rsidRPr="00A73B62">
        <w:rPr>
          <w:rFonts w:ascii="Times New Roman" w:hAnsi="Times New Roman" w:cs="Times New Roman"/>
          <w:sz w:val="20"/>
          <w:szCs w:val="20"/>
        </w:rPr>
        <w:t xml:space="preserve"> documented </w:t>
      </w:r>
      <w:r w:rsidRPr="00A73B62">
        <w:rPr>
          <w:rFonts w:ascii="Times New Roman" w:hAnsi="Times New Roman" w:cs="Times New Roman"/>
          <w:sz w:val="20"/>
          <w:szCs w:val="20"/>
        </w:rPr>
        <w:t>that there was no significant difference in quality of life scores for male and female pharmacy students in University of Ghana</w:t>
      </w:r>
      <w:r w:rsidRPr="00A73B62">
        <w:rPr>
          <w:rFonts w:ascii="Times New Roman" w:eastAsia="Calibri" w:hAnsi="Times New Roman" w:cs="Times New Roman"/>
          <w:b/>
          <w:bCs/>
          <w:sz w:val="20"/>
          <w:szCs w:val="20"/>
          <w:vertAlign w:val="superscript"/>
          <w:lang w:bidi="ar-EG"/>
        </w:rPr>
        <w:t>13</w:t>
      </w:r>
      <w:r w:rsidRPr="00A73B62">
        <w:rPr>
          <w:rFonts w:ascii="Times New Roman" w:hAnsi="Times New Roman" w:cs="Times New Roman"/>
          <w:sz w:val="20"/>
          <w:szCs w:val="20"/>
        </w:rPr>
        <w:t xml:space="preserve">. </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Those negative results might be attributed to the psychological distress males develop as they are expected to bear</w:t>
      </w:r>
      <w:r w:rsidRPr="00A73B62">
        <w:rPr>
          <w:rFonts w:ascii="Times New Roman" w:hAnsi="Times New Roman" w:cs="Times New Roman"/>
          <w:sz w:val="20"/>
          <w:szCs w:val="20"/>
        </w:rPr>
        <w:t xml:space="preserve"> greater responsibility of the future for their families in particular and society in general. Also many of male students had to work during university years especially those in the middle and low socioeconomic class which could have a negative impact on t</w:t>
      </w:r>
      <w:r w:rsidRPr="00A73B62">
        <w:rPr>
          <w:rFonts w:ascii="Times New Roman" w:hAnsi="Times New Roman" w:cs="Times New Roman"/>
          <w:sz w:val="20"/>
          <w:szCs w:val="20"/>
        </w:rPr>
        <w:t>heir mental and physical health.</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In the present study, ages of the students ranged from 18 to 26. Our results showed a statistically significantly higher health dimension, personality dimension, external dimension and total QoL scores in younger (</w:t>
      </w:r>
      <w:r w:rsidRPr="00A73B62">
        <w:rPr>
          <w:rFonts w:ascii="Times New Roman" w:hAnsi="Times New Roman" w:cs="Times New Roman"/>
          <w:sz w:val="20"/>
          <w:szCs w:val="20"/>
        </w:rPr>
        <w:t xml:space="preserve">≤21 years) vs. older (&gt;21 years) (p = &lt;0.001) </w:t>
      </w:r>
      <w:r w:rsidRPr="00A73B62">
        <w:rPr>
          <w:rFonts w:ascii="Times New Roman" w:hAnsi="Times New Roman" w:cs="Times New Roman"/>
          <w:b/>
          <w:bCs/>
          <w:sz w:val="20"/>
          <w:szCs w:val="20"/>
        </w:rPr>
        <w:t>(table 4).</w:t>
      </w:r>
    </w:p>
    <w:p w:rsidR="00DF6A44" w:rsidRPr="00A73B62" w:rsidRDefault="00B0692F">
      <w:pPr>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That in concordance with, </w:t>
      </w:r>
      <w:r w:rsidRPr="00A73B62">
        <w:rPr>
          <w:rFonts w:ascii="Times New Roman" w:hAnsi="Times New Roman" w:cs="Times New Roman"/>
          <w:b/>
          <w:bCs/>
          <w:sz w:val="20"/>
          <w:szCs w:val="20"/>
        </w:rPr>
        <w:t>Raj et al. 2000</w:t>
      </w:r>
      <w:r w:rsidRPr="00A73B62">
        <w:rPr>
          <w:rFonts w:ascii="Times New Roman" w:eastAsia="Calibri" w:hAnsi="Times New Roman" w:cs="Times New Roman"/>
          <w:b/>
          <w:bCs/>
          <w:sz w:val="20"/>
          <w:szCs w:val="20"/>
          <w:vertAlign w:val="superscript"/>
          <w:lang w:bidi="ar-EG"/>
        </w:rPr>
        <w:t>14</w:t>
      </w:r>
      <w:r w:rsidRPr="00A73B62">
        <w:rPr>
          <w:rFonts w:ascii="Times New Roman" w:hAnsi="Times New Roman" w:cs="Times New Roman"/>
          <w:sz w:val="20"/>
          <w:szCs w:val="20"/>
        </w:rPr>
        <w:t xml:space="preserve"> and </w:t>
      </w:r>
      <w:r w:rsidRPr="00A73B62">
        <w:rPr>
          <w:rFonts w:ascii="Times New Roman" w:hAnsi="Times New Roman" w:cs="Times New Roman"/>
          <w:b/>
          <w:bCs/>
          <w:sz w:val="20"/>
          <w:szCs w:val="20"/>
        </w:rPr>
        <w:t>Sabbah et al. 2013</w:t>
      </w:r>
      <w:r w:rsidRPr="00A73B62">
        <w:rPr>
          <w:rFonts w:ascii="Times New Roman" w:eastAsia="Calibri" w:hAnsi="Times New Roman" w:cs="Times New Roman"/>
          <w:b/>
          <w:bCs/>
          <w:sz w:val="20"/>
          <w:szCs w:val="20"/>
          <w:vertAlign w:val="superscript"/>
          <w:lang w:bidi="ar-EG"/>
        </w:rPr>
        <w:t>15</w:t>
      </w:r>
      <w:r w:rsidRPr="00A73B62">
        <w:rPr>
          <w:rFonts w:ascii="Times New Roman" w:hAnsi="Times New Roman" w:cs="Times New Roman"/>
          <w:sz w:val="20"/>
          <w:szCs w:val="20"/>
        </w:rPr>
        <w:t>.</w:t>
      </w:r>
    </w:p>
    <w:p w:rsidR="00DF6A44" w:rsidRPr="00A73B62" w:rsidRDefault="00B0692F">
      <w:pPr>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Opposite findings were reported by </w:t>
      </w:r>
      <w:r w:rsidRPr="00A73B62">
        <w:rPr>
          <w:rFonts w:ascii="Times New Roman" w:hAnsi="Times New Roman" w:cs="Times New Roman"/>
          <w:b/>
          <w:bCs/>
          <w:sz w:val="20"/>
          <w:szCs w:val="20"/>
        </w:rPr>
        <w:t>Pitil et al. 2020</w:t>
      </w:r>
      <w:r w:rsidRPr="00A73B62">
        <w:rPr>
          <w:rFonts w:ascii="Times New Roman" w:hAnsi="Times New Roman" w:cs="Times New Roman"/>
          <w:sz w:val="20"/>
          <w:szCs w:val="20"/>
        </w:rPr>
        <w:t xml:space="preserve"> who found that older students had better QoL</w:t>
      </w:r>
      <w:r w:rsidRPr="00A73B62">
        <w:rPr>
          <w:rFonts w:ascii="Times New Roman" w:eastAsia="Calibri" w:hAnsi="Times New Roman" w:cs="Times New Roman"/>
          <w:b/>
          <w:bCs/>
          <w:sz w:val="20"/>
          <w:szCs w:val="20"/>
          <w:vertAlign w:val="superscript"/>
          <w:lang w:bidi="ar-EG"/>
        </w:rPr>
        <w:t>16</w:t>
      </w:r>
      <w:r w:rsidRPr="00A73B62">
        <w:rPr>
          <w:rFonts w:ascii="Times New Roman" w:hAnsi="Times New Roman" w:cs="Times New Roman"/>
          <w:sz w:val="20"/>
          <w:szCs w:val="20"/>
        </w:rPr>
        <w:t xml:space="preserve"> and </w:t>
      </w:r>
      <w:r w:rsidRPr="00A73B62">
        <w:rPr>
          <w:rFonts w:ascii="Times New Roman" w:hAnsi="Times New Roman" w:cs="Times New Roman"/>
          <w:b/>
          <w:bCs/>
          <w:sz w:val="20"/>
          <w:szCs w:val="20"/>
        </w:rPr>
        <w:t xml:space="preserve">Nur et </w:t>
      </w:r>
      <w:r w:rsidRPr="00A73B62">
        <w:rPr>
          <w:rFonts w:ascii="Times New Roman" w:hAnsi="Times New Roman" w:cs="Times New Roman"/>
          <w:b/>
          <w:bCs/>
          <w:sz w:val="20"/>
          <w:szCs w:val="20"/>
        </w:rPr>
        <w:t>al. 2017</w:t>
      </w:r>
      <w:r w:rsidRPr="00A73B62">
        <w:rPr>
          <w:rFonts w:ascii="Times New Roman" w:hAnsi="Times New Roman" w:cs="Times New Roman"/>
          <w:sz w:val="20"/>
          <w:szCs w:val="20"/>
        </w:rPr>
        <w:t xml:space="preserve"> who found no statistically significant difference between the older and younger groups</w:t>
      </w:r>
      <w:r w:rsidRPr="00A73B62">
        <w:rPr>
          <w:rFonts w:ascii="Times New Roman" w:eastAsia="Calibri" w:hAnsi="Times New Roman" w:cs="Times New Roman"/>
          <w:b/>
          <w:bCs/>
          <w:sz w:val="20"/>
          <w:szCs w:val="20"/>
          <w:vertAlign w:val="superscript"/>
          <w:lang w:bidi="ar-EG"/>
        </w:rPr>
        <w:t>17</w:t>
      </w:r>
      <w:r w:rsidRPr="00A73B62">
        <w:rPr>
          <w:rFonts w:ascii="Times New Roman" w:hAnsi="Times New Roman" w:cs="Times New Roman"/>
          <w:sz w:val="20"/>
          <w:szCs w:val="20"/>
        </w:rPr>
        <w:t xml:space="preserve">. </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That may be due to different society cultures.</w:t>
      </w:r>
    </w:p>
    <w:p w:rsidR="00DF6A44" w:rsidRPr="00A73B62" w:rsidRDefault="00B0692F">
      <w:pPr>
        <w:autoSpaceDE w:val="0"/>
        <w:autoSpaceDN w:val="0"/>
        <w:adjustRightInd w:val="0"/>
        <w:spacing w:after="0" w:line="240" w:lineRule="auto"/>
        <w:jc w:val="both"/>
        <w:rPr>
          <w:rFonts w:ascii="Times New Roman" w:hAnsi="Times New Roman" w:cs="Times New Roman"/>
          <w:b/>
          <w:bCs/>
          <w:sz w:val="20"/>
          <w:szCs w:val="20"/>
        </w:rPr>
      </w:pPr>
      <w:r w:rsidRPr="00A73B62">
        <w:rPr>
          <w:rFonts w:ascii="Times New Roman" w:hAnsi="Times New Roman" w:cs="Times New Roman"/>
          <w:sz w:val="20"/>
          <w:szCs w:val="20"/>
        </w:rPr>
        <w:t xml:space="preserve">        We found that 353 (96.7%) of the students were single while only 12 (3.3%) students were marr</w:t>
      </w:r>
      <w:r w:rsidRPr="00A73B62">
        <w:rPr>
          <w:rFonts w:ascii="Times New Roman" w:hAnsi="Times New Roman" w:cs="Times New Roman"/>
          <w:sz w:val="20"/>
          <w:szCs w:val="20"/>
        </w:rPr>
        <w:t>ied. There was no statistically significant difference in health dimension, personality dimension, external dimension and total QoL scores in single vs. married students in the four universities (p value = 0.165). That might be due to the very low number o</w:t>
      </w:r>
      <w:r w:rsidRPr="00A73B62">
        <w:rPr>
          <w:rFonts w:ascii="Times New Roman" w:hAnsi="Times New Roman" w:cs="Times New Roman"/>
          <w:sz w:val="20"/>
          <w:szCs w:val="20"/>
        </w:rPr>
        <w:t xml:space="preserve">f married students in general in our sample size </w:t>
      </w:r>
      <w:r w:rsidRPr="00A73B62">
        <w:rPr>
          <w:rFonts w:ascii="Times New Roman" w:hAnsi="Times New Roman" w:cs="Times New Roman"/>
          <w:b/>
          <w:bCs/>
          <w:sz w:val="20"/>
          <w:szCs w:val="20"/>
        </w:rPr>
        <w:t>(table 5).</w:t>
      </w:r>
    </w:p>
    <w:p w:rsidR="00DF6A44" w:rsidRPr="00A73B62" w:rsidRDefault="00DF6A44">
      <w:pPr>
        <w:autoSpaceDE w:val="0"/>
        <w:autoSpaceDN w:val="0"/>
        <w:adjustRightInd w:val="0"/>
        <w:spacing w:after="0" w:line="240" w:lineRule="auto"/>
        <w:jc w:val="both"/>
        <w:rPr>
          <w:rFonts w:ascii="Times New Roman" w:hAnsi="Times New Roman" w:cs="Times New Roman"/>
          <w:sz w:val="20"/>
          <w:szCs w:val="20"/>
        </w:rPr>
        <w:sectPr w:rsidR="00DF6A44" w:rsidRPr="00A73B62" w:rsidSect="00A73B62">
          <w:type w:val="continuous"/>
          <w:pgSz w:w="12240" w:h="15840"/>
          <w:pgMar w:top="1440" w:right="1440" w:bottom="1440" w:left="1440" w:header="720" w:footer="720" w:gutter="0"/>
          <w:cols w:space="709"/>
          <w:titlePg/>
          <w:docGrid w:linePitch="360"/>
        </w:sectPr>
      </w:pPr>
    </w:p>
    <w:p w:rsidR="00DF6A44" w:rsidRDefault="00DF6A44">
      <w:pPr>
        <w:autoSpaceDE w:val="0"/>
        <w:autoSpaceDN w:val="0"/>
        <w:adjustRightInd w:val="0"/>
        <w:spacing w:after="0" w:line="240" w:lineRule="auto"/>
        <w:jc w:val="both"/>
        <w:rPr>
          <w:rFonts w:ascii="Times New Roman" w:hAnsi="Times New Roman" w:cs="Times New Roman" w:hint="eastAsia"/>
          <w:sz w:val="20"/>
          <w:szCs w:val="20"/>
          <w:lang w:eastAsia="zh-CN"/>
        </w:rPr>
      </w:pPr>
    </w:p>
    <w:p w:rsidR="00A73B62" w:rsidRPr="00A73B62" w:rsidRDefault="00A73B62">
      <w:pPr>
        <w:autoSpaceDE w:val="0"/>
        <w:autoSpaceDN w:val="0"/>
        <w:adjustRightInd w:val="0"/>
        <w:spacing w:after="0" w:line="240" w:lineRule="auto"/>
        <w:jc w:val="both"/>
        <w:rPr>
          <w:rFonts w:ascii="Times New Roman" w:hAnsi="Times New Roman" w:cs="Times New Roman" w:hint="eastAsia"/>
          <w:sz w:val="20"/>
          <w:szCs w:val="20"/>
          <w:lang w:eastAsia="zh-CN"/>
        </w:rPr>
      </w:pPr>
    </w:p>
    <w:p w:rsidR="00DF6A44" w:rsidRPr="00A73B62" w:rsidRDefault="00B0692F">
      <w:pPr>
        <w:spacing w:after="0" w:line="240" w:lineRule="auto"/>
        <w:jc w:val="both"/>
        <w:rPr>
          <w:rFonts w:ascii="Times New Roman" w:hAnsi="Times New Roman" w:cs="Times New Roman"/>
          <w:b/>
          <w:bCs/>
          <w:sz w:val="20"/>
          <w:szCs w:val="20"/>
        </w:rPr>
      </w:pPr>
      <w:r w:rsidRPr="00A73B62">
        <w:rPr>
          <w:rFonts w:ascii="Times New Roman" w:hAnsi="Times New Roman" w:cs="Times New Roman"/>
          <w:b/>
          <w:bCs/>
          <w:sz w:val="20"/>
          <w:szCs w:val="20"/>
        </w:rPr>
        <w:t>Table (4): QoL in younger vs. older students who completed the survey</w:t>
      </w:r>
    </w:p>
    <w:tbl>
      <w:tblPr>
        <w:tblStyle w:val="PlainTable2"/>
        <w:tblW w:w="9335" w:type="dxa"/>
        <w:jc w:val="center"/>
        <w:tblLook w:val="04A0"/>
      </w:tblPr>
      <w:tblGrid>
        <w:gridCol w:w="3212"/>
        <w:gridCol w:w="1757"/>
        <w:gridCol w:w="1758"/>
        <w:gridCol w:w="1304"/>
        <w:gridCol w:w="1304"/>
      </w:tblGrid>
      <w:tr w:rsidR="00DF6A44" w:rsidRPr="00A73B62" w:rsidTr="00DF6A44">
        <w:trPr>
          <w:cnfStyle w:val="100000000000"/>
          <w:trHeight w:val="239"/>
          <w:jc w:val="center"/>
        </w:trPr>
        <w:tc>
          <w:tcPr>
            <w:cnfStyle w:val="001000000000"/>
            <w:tcW w:w="3212" w:type="dxa"/>
            <w:shd w:val="clear" w:color="auto" w:fill="B6DDE8" w:themeFill="accent5" w:themeFillTint="66"/>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QoL</w:t>
            </w:r>
          </w:p>
        </w:tc>
        <w:tc>
          <w:tcPr>
            <w:tcW w:w="1757" w:type="dxa"/>
            <w:shd w:val="clear" w:color="auto" w:fill="B6DDE8" w:themeFill="accent5" w:themeFillTint="66"/>
          </w:tcPr>
          <w:p w:rsidR="00DF6A44" w:rsidRPr="00A73B62" w:rsidRDefault="00B0692F">
            <w:pPr>
              <w:spacing w:after="0" w:line="240" w:lineRule="auto"/>
              <w:jc w:val="both"/>
              <w:cnfStyle w:val="100000000000"/>
              <w:rPr>
                <w:rFonts w:ascii="Times New Roman" w:hAnsi="Times New Roman" w:cs="Times New Roman"/>
                <w:b w:val="0"/>
                <w:bCs w:val="0"/>
                <w:sz w:val="20"/>
                <w:szCs w:val="20"/>
              </w:rPr>
            </w:pPr>
            <w:r w:rsidRPr="00A73B62">
              <w:rPr>
                <w:rFonts w:ascii="Times New Roman" w:hAnsi="Times New Roman" w:cs="Times New Roman"/>
                <w:sz w:val="20"/>
                <w:szCs w:val="20"/>
              </w:rPr>
              <w:t>Younger</w:t>
            </w:r>
          </w:p>
        </w:tc>
        <w:tc>
          <w:tcPr>
            <w:tcW w:w="1758" w:type="dxa"/>
            <w:shd w:val="clear" w:color="auto" w:fill="B6DDE8" w:themeFill="accent5" w:themeFillTint="66"/>
          </w:tcPr>
          <w:p w:rsidR="00DF6A44" w:rsidRPr="00A73B62" w:rsidRDefault="00B0692F">
            <w:pPr>
              <w:spacing w:after="0" w:line="240" w:lineRule="auto"/>
              <w:jc w:val="both"/>
              <w:cnfStyle w:val="100000000000"/>
              <w:rPr>
                <w:rFonts w:ascii="Times New Roman" w:hAnsi="Times New Roman" w:cs="Times New Roman"/>
                <w:b w:val="0"/>
                <w:bCs w:val="0"/>
                <w:sz w:val="20"/>
                <w:szCs w:val="20"/>
              </w:rPr>
            </w:pPr>
            <w:r w:rsidRPr="00A73B62">
              <w:rPr>
                <w:rFonts w:ascii="Times New Roman" w:hAnsi="Times New Roman" w:cs="Times New Roman"/>
                <w:sz w:val="20"/>
                <w:szCs w:val="20"/>
              </w:rPr>
              <w:t>Older</w:t>
            </w:r>
          </w:p>
        </w:tc>
        <w:tc>
          <w:tcPr>
            <w:tcW w:w="1304" w:type="dxa"/>
            <w:shd w:val="clear" w:color="auto" w:fill="B6DDE8" w:themeFill="accent5" w:themeFillTint="66"/>
          </w:tcPr>
          <w:p w:rsidR="00DF6A44" w:rsidRPr="00A73B62" w:rsidRDefault="00B0692F">
            <w:pPr>
              <w:spacing w:after="0" w:line="240" w:lineRule="auto"/>
              <w:jc w:val="both"/>
              <w:cnfStyle w:val="100000000000"/>
              <w:rPr>
                <w:rFonts w:ascii="Times New Roman" w:hAnsi="Times New Roman" w:cs="Times New Roman"/>
                <w:b w:val="0"/>
                <w:bCs w:val="0"/>
                <w:sz w:val="20"/>
                <w:szCs w:val="20"/>
              </w:rPr>
            </w:pPr>
            <w:r w:rsidRPr="00A73B62">
              <w:rPr>
                <w:rFonts w:ascii="Times New Roman" w:hAnsi="Times New Roman" w:cs="Times New Roman"/>
                <w:sz w:val="20"/>
                <w:szCs w:val="20"/>
              </w:rPr>
              <w:t>z-value</w:t>
            </w:r>
          </w:p>
        </w:tc>
        <w:tc>
          <w:tcPr>
            <w:tcW w:w="1304" w:type="dxa"/>
            <w:shd w:val="clear" w:color="auto" w:fill="B6DDE8" w:themeFill="accent5" w:themeFillTint="66"/>
          </w:tcPr>
          <w:p w:rsidR="00DF6A44" w:rsidRPr="00A73B62" w:rsidRDefault="00B0692F">
            <w:pPr>
              <w:spacing w:after="0" w:line="240" w:lineRule="auto"/>
              <w:jc w:val="both"/>
              <w:cnfStyle w:val="100000000000"/>
              <w:rPr>
                <w:rFonts w:ascii="Times New Roman" w:hAnsi="Times New Roman" w:cs="Times New Roman"/>
                <w:b w:val="0"/>
                <w:bCs w:val="0"/>
                <w:sz w:val="20"/>
                <w:szCs w:val="20"/>
              </w:rPr>
            </w:pPr>
            <w:r w:rsidRPr="00A73B62">
              <w:rPr>
                <w:rFonts w:ascii="Times New Roman" w:hAnsi="Times New Roman" w:cs="Times New Roman"/>
                <w:sz w:val="20"/>
                <w:szCs w:val="20"/>
              </w:rPr>
              <w:t>p-value</w:t>
            </w:r>
          </w:p>
        </w:tc>
      </w:tr>
      <w:tr w:rsidR="00DF6A44" w:rsidRPr="00A73B62" w:rsidTr="00DF6A44">
        <w:trPr>
          <w:trHeight w:val="227"/>
          <w:jc w:val="center"/>
        </w:trPr>
        <w:tc>
          <w:tcPr>
            <w:cnfStyle w:val="001000000000"/>
            <w:tcW w:w="3212" w:type="dxa"/>
            <w:tcBorders>
              <w:top w:val="single" w:sz="4" w:space="0" w:color="7F7F7F" w:themeColor="text1" w:themeTint="80"/>
              <w:bottom w:val="single" w:sz="4" w:space="0" w:color="7F7F7F" w:themeColor="text1" w:themeTint="80"/>
            </w:tcBorders>
            <w:shd w:val="clear" w:color="auto" w:fill="B6DDE8" w:themeFill="accent5" w:themeFillTint="66"/>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Health dimension</w:t>
            </w:r>
          </w:p>
        </w:tc>
        <w:tc>
          <w:tcPr>
            <w:tcW w:w="1757"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32.5 (27-38.8)</w:t>
            </w:r>
          </w:p>
        </w:tc>
        <w:tc>
          <w:tcPr>
            <w:tcW w:w="1758"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28 (21-33)</w:t>
            </w:r>
          </w:p>
        </w:tc>
        <w:tc>
          <w:tcPr>
            <w:tcW w:w="1304"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-4.821</w:t>
            </w:r>
          </w:p>
        </w:tc>
        <w:tc>
          <w:tcPr>
            <w:tcW w:w="1304"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b/>
                <w:bCs/>
                <w:sz w:val="20"/>
                <w:szCs w:val="20"/>
              </w:rPr>
            </w:pPr>
            <w:r w:rsidRPr="00A73B62">
              <w:rPr>
                <w:rFonts w:ascii="Times New Roman" w:hAnsi="Times New Roman" w:cs="Times New Roman"/>
                <w:b/>
                <w:bCs/>
                <w:sz w:val="20"/>
                <w:szCs w:val="20"/>
              </w:rPr>
              <w:t>&lt;0.001</w:t>
            </w:r>
          </w:p>
        </w:tc>
      </w:tr>
      <w:tr w:rsidR="00DF6A44" w:rsidRPr="00A73B62" w:rsidTr="00DF6A44">
        <w:trPr>
          <w:trHeight w:val="239"/>
          <w:jc w:val="center"/>
        </w:trPr>
        <w:tc>
          <w:tcPr>
            <w:cnfStyle w:val="001000000000"/>
            <w:tcW w:w="3212" w:type="dxa"/>
            <w:shd w:val="clear" w:color="auto" w:fill="B6DDE8" w:themeFill="accent5" w:themeFillTint="66"/>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Personality </w:t>
            </w:r>
            <w:r w:rsidRPr="00A73B62">
              <w:rPr>
                <w:rFonts w:ascii="Times New Roman" w:hAnsi="Times New Roman" w:cs="Times New Roman"/>
                <w:sz w:val="20"/>
                <w:szCs w:val="20"/>
              </w:rPr>
              <w:t>dimension</w:t>
            </w:r>
          </w:p>
        </w:tc>
        <w:tc>
          <w:tcPr>
            <w:tcW w:w="1757"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61 (48-69)</w:t>
            </w:r>
          </w:p>
        </w:tc>
        <w:tc>
          <w:tcPr>
            <w:tcW w:w="1758"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52 (40-61)</w:t>
            </w:r>
          </w:p>
        </w:tc>
        <w:tc>
          <w:tcPr>
            <w:tcW w:w="1304"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-4.491</w:t>
            </w:r>
          </w:p>
        </w:tc>
        <w:tc>
          <w:tcPr>
            <w:tcW w:w="1304"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b/>
                <w:bCs/>
                <w:sz w:val="20"/>
                <w:szCs w:val="20"/>
              </w:rPr>
              <w:t>&lt;0.001</w:t>
            </w:r>
          </w:p>
        </w:tc>
      </w:tr>
      <w:tr w:rsidR="00DF6A44" w:rsidRPr="00A73B62" w:rsidTr="00DF6A44">
        <w:trPr>
          <w:trHeight w:val="239"/>
          <w:jc w:val="center"/>
        </w:trPr>
        <w:tc>
          <w:tcPr>
            <w:cnfStyle w:val="001000000000"/>
            <w:tcW w:w="3212" w:type="dxa"/>
            <w:tcBorders>
              <w:top w:val="single" w:sz="4" w:space="0" w:color="7F7F7F" w:themeColor="text1" w:themeTint="80"/>
              <w:bottom w:val="single" w:sz="4" w:space="0" w:color="7F7F7F" w:themeColor="text1" w:themeTint="80"/>
            </w:tcBorders>
            <w:shd w:val="clear" w:color="auto" w:fill="B6DDE8" w:themeFill="accent5" w:themeFillTint="66"/>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External standard dimension</w:t>
            </w:r>
          </w:p>
        </w:tc>
        <w:tc>
          <w:tcPr>
            <w:tcW w:w="1757"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55 (45-62)</w:t>
            </w:r>
          </w:p>
        </w:tc>
        <w:tc>
          <w:tcPr>
            <w:tcW w:w="1758"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50 (42-56)</w:t>
            </w:r>
          </w:p>
        </w:tc>
        <w:tc>
          <w:tcPr>
            <w:tcW w:w="1304"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-3.842</w:t>
            </w:r>
          </w:p>
        </w:tc>
        <w:tc>
          <w:tcPr>
            <w:tcW w:w="1304"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b/>
                <w:bCs/>
                <w:sz w:val="20"/>
                <w:szCs w:val="20"/>
              </w:rPr>
              <w:t>&lt;0.001</w:t>
            </w:r>
          </w:p>
        </w:tc>
      </w:tr>
      <w:tr w:rsidR="00DF6A44" w:rsidRPr="00A73B62" w:rsidTr="00DF6A44">
        <w:trPr>
          <w:trHeight w:val="251"/>
          <w:jc w:val="center"/>
        </w:trPr>
        <w:tc>
          <w:tcPr>
            <w:cnfStyle w:val="001000000000"/>
            <w:tcW w:w="3212" w:type="dxa"/>
            <w:shd w:val="clear" w:color="auto" w:fill="B6DDE8" w:themeFill="accent5" w:themeFillTint="66"/>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Total QoL score</w:t>
            </w:r>
          </w:p>
        </w:tc>
        <w:tc>
          <w:tcPr>
            <w:tcW w:w="1757"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147 (124-167)</w:t>
            </w:r>
          </w:p>
        </w:tc>
        <w:tc>
          <w:tcPr>
            <w:tcW w:w="1758"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129 (107-148)</w:t>
            </w:r>
          </w:p>
        </w:tc>
        <w:tc>
          <w:tcPr>
            <w:tcW w:w="1304"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-4.724</w:t>
            </w:r>
          </w:p>
        </w:tc>
        <w:tc>
          <w:tcPr>
            <w:tcW w:w="1304"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b/>
                <w:bCs/>
                <w:sz w:val="20"/>
                <w:szCs w:val="20"/>
              </w:rPr>
              <w:t>&lt;0.001</w:t>
            </w:r>
          </w:p>
        </w:tc>
      </w:tr>
    </w:tbl>
    <w:p w:rsidR="00DF6A44" w:rsidRPr="00A73B62" w:rsidRDefault="00B0692F">
      <w:pPr>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Notes: Age groups based on median age are younger (≤21 years) and older (&gt;21 years). </w:t>
      </w:r>
      <w:r w:rsidRPr="00A73B62">
        <w:rPr>
          <w:rFonts w:ascii="Times New Roman" w:hAnsi="Times New Roman" w:cs="Times New Roman"/>
          <w:sz w:val="20"/>
          <w:szCs w:val="20"/>
        </w:rPr>
        <w:t>Data is median (Q1-Q3). Test of significance is Mann-Whitney U-test.</w:t>
      </w:r>
    </w:p>
    <w:p w:rsidR="00DF6A44" w:rsidRPr="00A73B62" w:rsidRDefault="00DF6A44">
      <w:pPr>
        <w:spacing w:after="0" w:line="240" w:lineRule="auto"/>
        <w:ind w:left="-360" w:right="-270"/>
        <w:jc w:val="both"/>
        <w:rPr>
          <w:rFonts w:ascii="Times New Roman" w:hAnsi="Times New Roman" w:cs="Times New Roman"/>
          <w:b/>
          <w:bCs/>
          <w:sz w:val="20"/>
          <w:szCs w:val="20"/>
        </w:rPr>
      </w:pPr>
    </w:p>
    <w:p w:rsidR="00DF6A44" w:rsidRPr="00A73B62" w:rsidRDefault="00B0692F">
      <w:pPr>
        <w:spacing w:after="0" w:line="240" w:lineRule="auto"/>
        <w:jc w:val="both"/>
        <w:rPr>
          <w:rFonts w:ascii="Times New Roman" w:hAnsi="Times New Roman" w:cs="Times New Roman"/>
          <w:b/>
          <w:bCs/>
          <w:sz w:val="20"/>
          <w:szCs w:val="20"/>
        </w:rPr>
      </w:pPr>
      <w:r w:rsidRPr="00A73B62">
        <w:rPr>
          <w:rFonts w:ascii="Times New Roman" w:hAnsi="Times New Roman" w:cs="Times New Roman"/>
          <w:b/>
          <w:bCs/>
          <w:sz w:val="20"/>
          <w:szCs w:val="20"/>
        </w:rPr>
        <w:t>Table (5): QoL in single vs. married who completed the survey</w:t>
      </w:r>
    </w:p>
    <w:tbl>
      <w:tblPr>
        <w:tblStyle w:val="PlainTable2"/>
        <w:tblW w:w="9221" w:type="dxa"/>
        <w:jc w:val="center"/>
        <w:tblLook w:val="04A0"/>
      </w:tblPr>
      <w:tblGrid>
        <w:gridCol w:w="3172"/>
        <w:gridCol w:w="1735"/>
        <w:gridCol w:w="1736"/>
        <w:gridCol w:w="1289"/>
        <w:gridCol w:w="1289"/>
      </w:tblGrid>
      <w:tr w:rsidR="00DF6A44" w:rsidRPr="00A73B62" w:rsidTr="00DF6A44">
        <w:trPr>
          <w:cnfStyle w:val="100000000000"/>
          <w:trHeight w:val="212"/>
          <w:jc w:val="center"/>
        </w:trPr>
        <w:tc>
          <w:tcPr>
            <w:cnfStyle w:val="001000000000"/>
            <w:tcW w:w="3172" w:type="dxa"/>
            <w:shd w:val="clear" w:color="auto" w:fill="B6DDE8" w:themeFill="accent5" w:themeFillTint="66"/>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QoL</w:t>
            </w:r>
          </w:p>
        </w:tc>
        <w:tc>
          <w:tcPr>
            <w:tcW w:w="1735" w:type="dxa"/>
            <w:shd w:val="clear" w:color="auto" w:fill="B6DDE8" w:themeFill="accent5" w:themeFillTint="66"/>
          </w:tcPr>
          <w:p w:rsidR="00DF6A44" w:rsidRPr="00A73B62" w:rsidRDefault="00B0692F">
            <w:pPr>
              <w:spacing w:after="0" w:line="240" w:lineRule="auto"/>
              <w:jc w:val="both"/>
              <w:cnfStyle w:val="100000000000"/>
              <w:rPr>
                <w:rFonts w:ascii="Times New Roman" w:hAnsi="Times New Roman" w:cs="Times New Roman"/>
                <w:b w:val="0"/>
                <w:bCs w:val="0"/>
                <w:sz w:val="20"/>
                <w:szCs w:val="20"/>
              </w:rPr>
            </w:pPr>
            <w:r w:rsidRPr="00A73B62">
              <w:rPr>
                <w:rFonts w:ascii="Times New Roman" w:hAnsi="Times New Roman" w:cs="Times New Roman"/>
                <w:sz w:val="20"/>
                <w:szCs w:val="20"/>
              </w:rPr>
              <w:t>Single</w:t>
            </w:r>
          </w:p>
        </w:tc>
        <w:tc>
          <w:tcPr>
            <w:tcW w:w="1736" w:type="dxa"/>
            <w:shd w:val="clear" w:color="auto" w:fill="B6DDE8" w:themeFill="accent5" w:themeFillTint="66"/>
          </w:tcPr>
          <w:p w:rsidR="00DF6A44" w:rsidRPr="00A73B62" w:rsidRDefault="00B0692F">
            <w:pPr>
              <w:spacing w:after="0" w:line="240" w:lineRule="auto"/>
              <w:jc w:val="both"/>
              <w:cnfStyle w:val="100000000000"/>
              <w:rPr>
                <w:rFonts w:ascii="Times New Roman" w:hAnsi="Times New Roman" w:cs="Times New Roman"/>
                <w:b w:val="0"/>
                <w:bCs w:val="0"/>
                <w:sz w:val="20"/>
                <w:szCs w:val="20"/>
              </w:rPr>
            </w:pPr>
            <w:r w:rsidRPr="00A73B62">
              <w:rPr>
                <w:rFonts w:ascii="Times New Roman" w:hAnsi="Times New Roman" w:cs="Times New Roman"/>
                <w:sz w:val="20"/>
                <w:szCs w:val="20"/>
              </w:rPr>
              <w:t>Married</w:t>
            </w:r>
          </w:p>
        </w:tc>
        <w:tc>
          <w:tcPr>
            <w:tcW w:w="1289" w:type="dxa"/>
            <w:shd w:val="clear" w:color="auto" w:fill="B6DDE8" w:themeFill="accent5" w:themeFillTint="66"/>
          </w:tcPr>
          <w:p w:rsidR="00DF6A44" w:rsidRPr="00A73B62" w:rsidRDefault="00B0692F">
            <w:pPr>
              <w:spacing w:after="0" w:line="240" w:lineRule="auto"/>
              <w:jc w:val="both"/>
              <w:cnfStyle w:val="100000000000"/>
              <w:rPr>
                <w:rFonts w:ascii="Times New Roman" w:hAnsi="Times New Roman" w:cs="Times New Roman"/>
                <w:b w:val="0"/>
                <w:bCs w:val="0"/>
                <w:sz w:val="20"/>
                <w:szCs w:val="20"/>
              </w:rPr>
            </w:pPr>
            <w:r w:rsidRPr="00A73B62">
              <w:rPr>
                <w:rFonts w:ascii="Times New Roman" w:hAnsi="Times New Roman" w:cs="Times New Roman"/>
                <w:sz w:val="20"/>
                <w:szCs w:val="20"/>
              </w:rPr>
              <w:t>z-value</w:t>
            </w:r>
          </w:p>
        </w:tc>
        <w:tc>
          <w:tcPr>
            <w:tcW w:w="1289" w:type="dxa"/>
            <w:shd w:val="clear" w:color="auto" w:fill="B6DDE8" w:themeFill="accent5" w:themeFillTint="66"/>
          </w:tcPr>
          <w:p w:rsidR="00DF6A44" w:rsidRPr="00A73B62" w:rsidRDefault="00B0692F">
            <w:pPr>
              <w:spacing w:after="0" w:line="240" w:lineRule="auto"/>
              <w:jc w:val="both"/>
              <w:cnfStyle w:val="100000000000"/>
              <w:rPr>
                <w:rFonts w:ascii="Times New Roman" w:hAnsi="Times New Roman" w:cs="Times New Roman"/>
                <w:b w:val="0"/>
                <w:bCs w:val="0"/>
                <w:sz w:val="20"/>
                <w:szCs w:val="20"/>
              </w:rPr>
            </w:pPr>
            <w:r w:rsidRPr="00A73B62">
              <w:rPr>
                <w:rFonts w:ascii="Times New Roman" w:hAnsi="Times New Roman" w:cs="Times New Roman"/>
                <w:sz w:val="20"/>
                <w:szCs w:val="20"/>
              </w:rPr>
              <w:t>p-value</w:t>
            </w:r>
          </w:p>
        </w:tc>
      </w:tr>
      <w:tr w:rsidR="00DF6A44" w:rsidRPr="00A73B62" w:rsidTr="00DF6A44">
        <w:trPr>
          <w:trHeight w:val="212"/>
          <w:jc w:val="center"/>
        </w:trPr>
        <w:tc>
          <w:tcPr>
            <w:cnfStyle w:val="001000000000"/>
            <w:tcW w:w="3172" w:type="dxa"/>
            <w:tcBorders>
              <w:top w:val="single" w:sz="4" w:space="0" w:color="7F7F7F" w:themeColor="text1" w:themeTint="80"/>
              <w:bottom w:val="single" w:sz="4" w:space="0" w:color="7F7F7F" w:themeColor="text1" w:themeTint="80"/>
            </w:tcBorders>
            <w:shd w:val="clear" w:color="auto" w:fill="B6DDE8" w:themeFill="accent5" w:themeFillTint="66"/>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Health dimension</w:t>
            </w:r>
          </w:p>
        </w:tc>
        <w:tc>
          <w:tcPr>
            <w:tcW w:w="1735"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30 (25-36)</w:t>
            </w:r>
          </w:p>
        </w:tc>
        <w:tc>
          <w:tcPr>
            <w:tcW w:w="1736"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31.5 (25-35)</w:t>
            </w:r>
          </w:p>
        </w:tc>
        <w:tc>
          <w:tcPr>
            <w:tcW w:w="1289"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-0.219</w:t>
            </w:r>
          </w:p>
        </w:tc>
        <w:tc>
          <w:tcPr>
            <w:tcW w:w="1289"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0.827</w:t>
            </w:r>
          </w:p>
        </w:tc>
      </w:tr>
      <w:tr w:rsidR="00DF6A44" w:rsidRPr="00A73B62" w:rsidTr="00DF6A44">
        <w:trPr>
          <w:trHeight w:val="212"/>
          <w:jc w:val="center"/>
        </w:trPr>
        <w:tc>
          <w:tcPr>
            <w:cnfStyle w:val="001000000000"/>
            <w:tcW w:w="3172" w:type="dxa"/>
            <w:shd w:val="clear" w:color="auto" w:fill="B6DDE8" w:themeFill="accent5" w:themeFillTint="66"/>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Personality dimension</w:t>
            </w:r>
          </w:p>
        </w:tc>
        <w:tc>
          <w:tcPr>
            <w:tcW w:w="1735"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56 (46-69)</w:t>
            </w:r>
          </w:p>
        </w:tc>
        <w:tc>
          <w:tcPr>
            <w:tcW w:w="1736"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47 (40.8-56.8)</w:t>
            </w:r>
          </w:p>
        </w:tc>
        <w:tc>
          <w:tcPr>
            <w:tcW w:w="1289"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-1.828</w:t>
            </w:r>
          </w:p>
        </w:tc>
        <w:tc>
          <w:tcPr>
            <w:tcW w:w="1289"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0.067</w:t>
            </w:r>
          </w:p>
        </w:tc>
      </w:tr>
      <w:tr w:rsidR="00DF6A44" w:rsidRPr="00A73B62" w:rsidTr="00DF6A44">
        <w:trPr>
          <w:trHeight w:val="212"/>
          <w:jc w:val="center"/>
        </w:trPr>
        <w:tc>
          <w:tcPr>
            <w:cnfStyle w:val="001000000000"/>
            <w:tcW w:w="3172" w:type="dxa"/>
            <w:tcBorders>
              <w:top w:val="single" w:sz="4" w:space="0" w:color="7F7F7F" w:themeColor="text1" w:themeTint="80"/>
              <w:bottom w:val="single" w:sz="4" w:space="0" w:color="7F7F7F" w:themeColor="text1" w:themeTint="80"/>
            </w:tcBorders>
            <w:shd w:val="clear" w:color="auto" w:fill="B6DDE8" w:themeFill="accent5" w:themeFillTint="66"/>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External standard dimension</w:t>
            </w:r>
          </w:p>
        </w:tc>
        <w:tc>
          <w:tcPr>
            <w:tcW w:w="1735"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52 (42.5-59)</w:t>
            </w:r>
          </w:p>
        </w:tc>
        <w:tc>
          <w:tcPr>
            <w:tcW w:w="1736"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44 (37.5-55.8)</w:t>
            </w:r>
          </w:p>
        </w:tc>
        <w:tc>
          <w:tcPr>
            <w:tcW w:w="1289"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-1.632</w:t>
            </w:r>
          </w:p>
        </w:tc>
        <w:tc>
          <w:tcPr>
            <w:tcW w:w="1289"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0.103</w:t>
            </w:r>
          </w:p>
        </w:tc>
      </w:tr>
      <w:tr w:rsidR="00DF6A44" w:rsidRPr="00A73B62" w:rsidTr="00DF6A44">
        <w:trPr>
          <w:trHeight w:val="212"/>
          <w:jc w:val="center"/>
        </w:trPr>
        <w:tc>
          <w:tcPr>
            <w:cnfStyle w:val="001000000000"/>
            <w:tcW w:w="3172" w:type="dxa"/>
            <w:shd w:val="clear" w:color="auto" w:fill="B6DDE8" w:themeFill="accent5" w:themeFillTint="66"/>
          </w:tcPr>
          <w:p w:rsidR="00DF6A44" w:rsidRPr="00A73B62" w:rsidRDefault="00B0692F">
            <w:pPr>
              <w:spacing w:after="0" w:line="240" w:lineRule="auto"/>
              <w:jc w:val="both"/>
              <w:rPr>
                <w:rFonts w:ascii="Times New Roman" w:hAnsi="Times New Roman" w:cs="Times New Roman"/>
                <w:b w:val="0"/>
                <w:bCs w:val="0"/>
                <w:sz w:val="20"/>
                <w:szCs w:val="20"/>
              </w:rPr>
            </w:pPr>
            <w:r w:rsidRPr="00A73B62">
              <w:rPr>
                <w:rFonts w:ascii="Times New Roman" w:hAnsi="Times New Roman" w:cs="Times New Roman"/>
                <w:sz w:val="20"/>
                <w:szCs w:val="20"/>
              </w:rPr>
              <w:t>Total QoL score</w:t>
            </w:r>
          </w:p>
        </w:tc>
        <w:tc>
          <w:tcPr>
            <w:tcW w:w="1735"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137 (114.5-159)</w:t>
            </w:r>
          </w:p>
        </w:tc>
        <w:tc>
          <w:tcPr>
            <w:tcW w:w="1736"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122 (104-147.5)</w:t>
            </w:r>
          </w:p>
        </w:tc>
        <w:tc>
          <w:tcPr>
            <w:tcW w:w="1289"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-1.390</w:t>
            </w:r>
          </w:p>
        </w:tc>
        <w:tc>
          <w:tcPr>
            <w:tcW w:w="1289" w:type="dxa"/>
          </w:tcPr>
          <w:p w:rsidR="00DF6A44" w:rsidRPr="00A73B62" w:rsidRDefault="00B0692F">
            <w:pPr>
              <w:spacing w:after="0" w:line="240" w:lineRule="auto"/>
              <w:jc w:val="both"/>
              <w:cnfStyle w:val="000000000000"/>
              <w:rPr>
                <w:rFonts w:ascii="Times New Roman" w:hAnsi="Times New Roman" w:cs="Times New Roman"/>
                <w:sz w:val="20"/>
                <w:szCs w:val="20"/>
              </w:rPr>
            </w:pPr>
            <w:r w:rsidRPr="00A73B62">
              <w:rPr>
                <w:rFonts w:ascii="Times New Roman" w:hAnsi="Times New Roman" w:cs="Times New Roman"/>
                <w:sz w:val="20"/>
                <w:szCs w:val="20"/>
              </w:rPr>
              <w:t>0.165</w:t>
            </w:r>
          </w:p>
        </w:tc>
      </w:tr>
    </w:tbl>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Notes: Data is median (Q1-Q3). Test of significance is Mann-Whitney U-test.</w:t>
      </w:r>
    </w:p>
    <w:p w:rsidR="00DF6A44" w:rsidRPr="00A73B62" w:rsidRDefault="00DF6A44">
      <w:pPr>
        <w:autoSpaceDE w:val="0"/>
        <w:autoSpaceDN w:val="0"/>
        <w:adjustRightInd w:val="0"/>
        <w:spacing w:after="0" w:line="240" w:lineRule="auto"/>
        <w:jc w:val="both"/>
        <w:rPr>
          <w:rFonts w:ascii="Times New Roman" w:hAnsi="Times New Roman" w:cs="Times New Roman"/>
          <w:sz w:val="20"/>
          <w:szCs w:val="20"/>
        </w:rPr>
      </w:pPr>
    </w:p>
    <w:p w:rsidR="00DF6A44" w:rsidRDefault="00DF6A44">
      <w:pPr>
        <w:autoSpaceDE w:val="0"/>
        <w:autoSpaceDN w:val="0"/>
        <w:adjustRightInd w:val="0"/>
        <w:spacing w:after="0" w:line="240" w:lineRule="auto"/>
        <w:jc w:val="both"/>
        <w:rPr>
          <w:rFonts w:ascii="Times New Roman" w:hAnsi="Times New Roman" w:cs="Times New Roman" w:hint="eastAsia"/>
          <w:sz w:val="20"/>
          <w:szCs w:val="20"/>
          <w:lang w:eastAsia="zh-CN"/>
        </w:rPr>
      </w:pPr>
    </w:p>
    <w:p w:rsidR="00A73B62" w:rsidRDefault="00A73B62">
      <w:pPr>
        <w:autoSpaceDE w:val="0"/>
        <w:autoSpaceDN w:val="0"/>
        <w:adjustRightInd w:val="0"/>
        <w:spacing w:after="0" w:line="240" w:lineRule="auto"/>
        <w:jc w:val="both"/>
        <w:rPr>
          <w:rFonts w:ascii="Times New Roman" w:hAnsi="Times New Roman" w:cs="Times New Roman" w:hint="eastAsia"/>
          <w:sz w:val="20"/>
          <w:szCs w:val="20"/>
          <w:lang w:eastAsia="zh-CN"/>
        </w:rPr>
      </w:pPr>
    </w:p>
    <w:p w:rsidR="00A73B62" w:rsidRDefault="00A73B62">
      <w:pPr>
        <w:autoSpaceDE w:val="0"/>
        <w:autoSpaceDN w:val="0"/>
        <w:adjustRightInd w:val="0"/>
        <w:spacing w:after="0" w:line="240" w:lineRule="auto"/>
        <w:jc w:val="both"/>
        <w:rPr>
          <w:rFonts w:ascii="Times New Roman" w:hAnsi="Times New Roman" w:cs="Times New Roman" w:hint="eastAsia"/>
          <w:sz w:val="20"/>
          <w:szCs w:val="20"/>
          <w:lang w:eastAsia="zh-CN"/>
        </w:rPr>
      </w:pPr>
    </w:p>
    <w:p w:rsidR="00A73B62" w:rsidRPr="00A73B62" w:rsidRDefault="00A73B62">
      <w:pPr>
        <w:autoSpaceDE w:val="0"/>
        <w:autoSpaceDN w:val="0"/>
        <w:adjustRightInd w:val="0"/>
        <w:spacing w:after="0" w:line="240" w:lineRule="auto"/>
        <w:jc w:val="both"/>
        <w:rPr>
          <w:rFonts w:ascii="Times New Roman" w:hAnsi="Times New Roman" w:cs="Times New Roman" w:hint="eastAsia"/>
          <w:sz w:val="20"/>
          <w:szCs w:val="20"/>
          <w:lang w:eastAsia="zh-CN"/>
        </w:rPr>
        <w:sectPr w:rsidR="00A73B62" w:rsidRPr="00A73B62" w:rsidSect="00A73B62">
          <w:type w:val="continuous"/>
          <w:pgSz w:w="12240" w:h="15840"/>
          <w:pgMar w:top="1440" w:right="1440" w:bottom="1440" w:left="1440" w:header="720" w:footer="720" w:gutter="0"/>
          <w:cols w:space="709"/>
          <w:titlePg/>
          <w:docGrid w:linePitch="360"/>
        </w:sectPr>
      </w:pP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lastRenderedPageBreak/>
        <w:t xml:space="preserve">         Out of the 365 students who completed the QoL survey, 325 students were IBS free while 40 students had IBS according to ROME IV criteria with a prevalence of 11% among university students </w:t>
      </w:r>
      <w:r w:rsidRPr="00A73B62">
        <w:rPr>
          <w:rFonts w:ascii="Times New Roman" w:hAnsi="Times New Roman" w:cs="Times New Roman"/>
          <w:b/>
          <w:bCs/>
          <w:sz w:val="20"/>
          <w:szCs w:val="20"/>
        </w:rPr>
        <w:t>(table 1)</w:t>
      </w:r>
      <w:r w:rsidRPr="00A73B62">
        <w:rPr>
          <w:rFonts w:ascii="Times New Roman" w:hAnsi="Times New Roman" w:cs="Times New Roman"/>
          <w:sz w:val="20"/>
          <w:szCs w:val="20"/>
        </w:rPr>
        <w:t xml:space="preserve">, that in agreement with </w:t>
      </w:r>
      <w:r w:rsidRPr="00A73B62">
        <w:rPr>
          <w:rFonts w:ascii="Times New Roman" w:hAnsi="Times New Roman" w:cs="Times New Roman"/>
          <w:b/>
          <w:bCs/>
          <w:sz w:val="20"/>
          <w:szCs w:val="20"/>
        </w:rPr>
        <w:t>AlButaysh et al. 2020</w:t>
      </w:r>
      <w:r w:rsidRPr="00A73B62">
        <w:rPr>
          <w:rFonts w:ascii="Times New Roman" w:hAnsi="Times New Roman" w:cs="Times New Roman"/>
          <w:sz w:val="20"/>
          <w:szCs w:val="20"/>
        </w:rPr>
        <w:t xml:space="preserve"> who estimated IBS prevalence in the university students of the Kingdom of Saudi Arabia at 15.8%</w:t>
      </w:r>
      <w:r w:rsidRPr="00A73B62">
        <w:rPr>
          <w:rFonts w:ascii="Times New Roman" w:eastAsia="Calibri" w:hAnsi="Times New Roman" w:cs="Times New Roman"/>
          <w:b/>
          <w:bCs/>
          <w:sz w:val="20"/>
          <w:szCs w:val="20"/>
          <w:vertAlign w:val="superscript"/>
          <w:lang w:bidi="ar-EG"/>
        </w:rPr>
        <w:t>18</w:t>
      </w:r>
      <w:r w:rsidRPr="00A73B62">
        <w:rPr>
          <w:rFonts w:ascii="Times New Roman" w:hAnsi="Times New Roman" w:cs="Times New Roman"/>
          <w:sz w:val="20"/>
          <w:szCs w:val="20"/>
        </w:rPr>
        <w:t>. Nearly the same result was found in a Chinese study that reported a prevalence of 15.7% among Chinese university students</w:t>
      </w:r>
      <w:r w:rsidRPr="00A73B62">
        <w:rPr>
          <w:rFonts w:ascii="Times New Roman" w:eastAsia="Calibri" w:hAnsi="Times New Roman" w:cs="Times New Roman"/>
          <w:b/>
          <w:bCs/>
          <w:sz w:val="20"/>
          <w:szCs w:val="20"/>
          <w:vertAlign w:val="superscript"/>
          <w:lang w:bidi="ar-EG"/>
        </w:rPr>
        <w:t>19</w:t>
      </w:r>
      <w:r w:rsidRPr="00A73B62">
        <w:rPr>
          <w:rFonts w:ascii="Times New Roman" w:hAnsi="Times New Roman" w:cs="Times New Roman"/>
          <w:b/>
          <w:bCs/>
          <w:sz w:val="20"/>
          <w:szCs w:val="20"/>
        </w:rPr>
        <w:t>.</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Also in agreement with</w:t>
      </w:r>
      <w:r w:rsidRPr="00A73B62">
        <w:rPr>
          <w:rFonts w:ascii="Times New Roman" w:hAnsi="Times New Roman" w:cs="Times New Roman"/>
          <w:sz w:val="20"/>
          <w:szCs w:val="20"/>
        </w:rPr>
        <w:t xml:space="preserve"> our study, a German study revealed that IBS prevalence among university students was 18.1%</w:t>
      </w:r>
      <w:r w:rsidRPr="00A73B62">
        <w:rPr>
          <w:rFonts w:ascii="Times New Roman" w:eastAsia="Calibri" w:hAnsi="Times New Roman" w:cs="Times New Roman"/>
          <w:b/>
          <w:bCs/>
          <w:sz w:val="20"/>
          <w:szCs w:val="20"/>
          <w:vertAlign w:val="superscript"/>
          <w:lang w:bidi="ar-EG"/>
        </w:rPr>
        <w:t>20</w:t>
      </w:r>
      <w:r w:rsidRPr="00A73B62">
        <w:rPr>
          <w:rFonts w:ascii="Times New Roman" w:hAnsi="Times New Roman" w:cs="Times New Roman"/>
          <w:b/>
          <w:bCs/>
          <w:sz w:val="20"/>
          <w:szCs w:val="20"/>
        </w:rPr>
        <w:t>.</w:t>
      </w:r>
      <w:r w:rsidRPr="00A73B62">
        <w:rPr>
          <w:rFonts w:ascii="Times New Roman" w:hAnsi="Times New Roman" w:cs="Times New Roman"/>
          <w:sz w:val="20"/>
          <w:szCs w:val="20"/>
        </w:rPr>
        <w:t xml:space="preserve"> In the Lebanese study by </w:t>
      </w:r>
      <w:r w:rsidRPr="00A73B62">
        <w:rPr>
          <w:rFonts w:ascii="Times New Roman" w:hAnsi="Times New Roman" w:cs="Times New Roman"/>
          <w:b/>
          <w:bCs/>
          <w:sz w:val="20"/>
          <w:szCs w:val="20"/>
        </w:rPr>
        <w:t>Costanian et al. 2015</w:t>
      </w:r>
      <w:r w:rsidRPr="00A73B62">
        <w:rPr>
          <w:rFonts w:ascii="Times New Roman" w:hAnsi="Times New Roman" w:cs="Times New Roman"/>
          <w:sz w:val="20"/>
          <w:szCs w:val="20"/>
        </w:rPr>
        <w:t xml:space="preserve"> IBS prevalence was estimated at 20%</w:t>
      </w:r>
      <w:r w:rsidRPr="00A73B62">
        <w:rPr>
          <w:rFonts w:ascii="Times New Roman" w:eastAsia="Calibri" w:hAnsi="Times New Roman" w:cs="Times New Roman"/>
          <w:b/>
          <w:bCs/>
          <w:sz w:val="20"/>
          <w:szCs w:val="20"/>
          <w:vertAlign w:val="superscript"/>
          <w:lang w:bidi="ar-EG"/>
        </w:rPr>
        <w:t>21</w:t>
      </w:r>
      <w:r w:rsidRPr="00A73B62">
        <w:rPr>
          <w:rFonts w:ascii="Times New Roman" w:hAnsi="Times New Roman" w:cs="Times New Roman"/>
          <w:sz w:val="20"/>
          <w:szCs w:val="20"/>
        </w:rPr>
        <w:t>. Close results were found in an Iranian study conducted at Ahvaz Jundishapur</w:t>
      </w:r>
      <w:r w:rsidRPr="00A73B62">
        <w:rPr>
          <w:rFonts w:ascii="Times New Roman" w:hAnsi="Times New Roman" w:cs="Times New Roman"/>
          <w:sz w:val="20"/>
          <w:szCs w:val="20"/>
        </w:rPr>
        <w:t xml:space="preserve"> University of Medical Sciences</w:t>
      </w:r>
      <w:r w:rsidRPr="00A73B62">
        <w:rPr>
          <w:rFonts w:ascii="Times New Roman" w:eastAsia="Calibri" w:hAnsi="Times New Roman" w:cs="Times New Roman"/>
          <w:b/>
          <w:bCs/>
          <w:sz w:val="20"/>
          <w:szCs w:val="20"/>
          <w:vertAlign w:val="superscript"/>
          <w:lang w:bidi="ar-EG"/>
        </w:rPr>
        <w:t xml:space="preserve">22 </w:t>
      </w:r>
      <w:r w:rsidRPr="00A73B62">
        <w:rPr>
          <w:rFonts w:ascii="Times New Roman" w:hAnsi="Times New Roman" w:cs="Times New Roman"/>
          <w:sz w:val="20"/>
          <w:szCs w:val="20"/>
        </w:rPr>
        <w:t>and an Egyptian study done at Suez Canal University</w:t>
      </w:r>
      <w:r w:rsidRPr="00A73B62">
        <w:rPr>
          <w:rFonts w:ascii="Times New Roman" w:eastAsia="Calibri" w:hAnsi="Times New Roman" w:cs="Times New Roman"/>
          <w:b/>
          <w:bCs/>
          <w:sz w:val="20"/>
          <w:szCs w:val="20"/>
          <w:vertAlign w:val="superscript"/>
          <w:lang w:bidi="ar-EG"/>
        </w:rPr>
        <w:t>23</w:t>
      </w:r>
      <w:r w:rsidRPr="00A73B62">
        <w:rPr>
          <w:rFonts w:ascii="Times New Roman" w:hAnsi="Times New Roman" w:cs="Times New Roman"/>
          <w:sz w:val="20"/>
          <w:szCs w:val="20"/>
        </w:rPr>
        <w:t xml:space="preserve"> that found IBS prevalence among students were 21.1% and 22.9% respectively.</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That in contrast to</w:t>
      </w:r>
      <w:r w:rsidRPr="00A73B62">
        <w:rPr>
          <w:rFonts w:ascii="Times New Roman" w:hAnsi="Times New Roman" w:cs="Times New Roman"/>
          <w:b/>
          <w:bCs/>
          <w:sz w:val="20"/>
          <w:szCs w:val="20"/>
        </w:rPr>
        <w:t xml:space="preserve"> Goyal et al. 2021</w:t>
      </w:r>
      <w:r w:rsidRPr="00A73B62">
        <w:rPr>
          <w:rFonts w:ascii="Times New Roman" w:eastAsia="Calibri" w:hAnsi="Times New Roman" w:cs="Times New Roman"/>
          <w:b/>
          <w:bCs/>
          <w:sz w:val="20"/>
          <w:szCs w:val="20"/>
          <w:vertAlign w:val="superscript"/>
          <w:lang w:bidi="ar-EG"/>
        </w:rPr>
        <w:t>24</w:t>
      </w:r>
      <w:r w:rsidRPr="00A73B62">
        <w:rPr>
          <w:rFonts w:ascii="Times New Roman" w:hAnsi="Times New Roman" w:cs="Times New Roman"/>
          <w:b/>
          <w:bCs/>
          <w:sz w:val="20"/>
          <w:szCs w:val="20"/>
        </w:rPr>
        <w:t xml:space="preserve"> </w:t>
      </w:r>
      <w:r w:rsidRPr="00A73B62">
        <w:rPr>
          <w:rFonts w:ascii="Times New Roman" w:hAnsi="Times New Roman" w:cs="Times New Roman"/>
          <w:sz w:val="20"/>
          <w:szCs w:val="20"/>
        </w:rPr>
        <w:t xml:space="preserve">and </w:t>
      </w:r>
      <w:r w:rsidRPr="00A73B62">
        <w:rPr>
          <w:rFonts w:ascii="Times New Roman" w:hAnsi="Times New Roman" w:cs="Times New Roman"/>
          <w:b/>
          <w:bCs/>
          <w:sz w:val="20"/>
          <w:szCs w:val="20"/>
        </w:rPr>
        <w:t>Dong et al., 2010</w:t>
      </w:r>
      <w:r w:rsidRPr="00A73B62">
        <w:rPr>
          <w:rFonts w:ascii="Times New Roman" w:eastAsia="Calibri" w:hAnsi="Times New Roman" w:cs="Times New Roman"/>
          <w:b/>
          <w:bCs/>
          <w:sz w:val="20"/>
          <w:szCs w:val="20"/>
          <w:vertAlign w:val="superscript"/>
          <w:lang w:bidi="ar-EG"/>
        </w:rPr>
        <w:t>25</w:t>
      </w:r>
      <w:r w:rsidRPr="00A73B62">
        <w:rPr>
          <w:rFonts w:ascii="Times New Roman" w:hAnsi="Times New Roman" w:cs="Times New Roman"/>
          <w:sz w:val="20"/>
          <w:szCs w:val="20"/>
        </w:rPr>
        <w:t xml:space="preserve"> whose results were </w:t>
      </w:r>
      <w:r w:rsidRPr="00A73B62">
        <w:rPr>
          <w:rFonts w:ascii="Times New Roman" w:hAnsi="Times New Roman" w:cs="Times New Roman"/>
          <w:sz w:val="20"/>
          <w:szCs w:val="20"/>
        </w:rPr>
        <w:t>6.2% and 7.85% respectively. That would be due to the difference in faculties included in the survey, varied study population and different diagnostic criteria applied (the latter study used Rome III criteria for IBS diagnosis).</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Our study revealed</w:t>
      </w:r>
      <w:r w:rsidRPr="00A73B62">
        <w:rPr>
          <w:rFonts w:ascii="Times New Roman" w:hAnsi="Times New Roman" w:cs="Times New Roman"/>
          <w:sz w:val="20"/>
          <w:szCs w:val="20"/>
        </w:rPr>
        <w:t xml:space="preserve"> that 28 students had IBS among medical students with a Prevalence of 13.86%, while only 12 students had IBS among non-medical students with a Prevalence of 7.36%. We found that prevalence of IBS among medical students was significantly higher than in non-</w:t>
      </w:r>
      <w:r w:rsidRPr="00A73B62">
        <w:rPr>
          <w:rFonts w:ascii="Times New Roman" w:hAnsi="Times New Roman" w:cs="Times New Roman"/>
          <w:sz w:val="20"/>
          <w:szCs w:val="20"/>
        </w:rPr>
        <w:t xml:space="preserve">medical students (p = 0.048) </w:t>
      </w:r>
      <w:r w:rsidRPr="00A73B62">
        <w:rPr>
          <w:rFonts w:ascii="Times New Roman" w:hAnsi="Times New Roman" w:cs="Times New Roman"/>
          <w:b/>
          <w:bCs/>
          <w:sz w:val="20"/>
          <w:szCs w:val="20"/>
        </w:rPr>
        <w:t>(table 6).</w:t>
      </w:r>
      <w:r w:rsidRPr="00A73B62">
        <w:rPr>
          <w:rFonts w:ascii="Times New Roman" w:hAnsi="Times New Roman" w:cs="Times New Roman"/>
          <w:sz w:val="20"/>
          <w:szCs w:val="20"/>
        </w:rPr>
        <w:t xml:space="preserve">  </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In agreement with the present study, </w:t>
      </w:r>
      <w:r w:rsidRPr="00A73B62">
        <w:rPr>
          <w:rFonts w:ascii="Times New Roman" w:hAnsi="Times New Roman" w:cs="Times New Roman"/>
          <w:b/>
          <w:bCs/>
          <w:sz w:val="20"/>
          <w:szCs w:val="20"/>
        </w:rPr>
        <w:t>AlButaysh et al. 2020</w:t>
      </w:r>
      <w:r w:rsidRPr="00A73B62">
        <w:rPr>
          <w:rFonts w:ascii="Times New Roman" w:hAnsi="Times New Roman" w:cs="Times New Roman"/>
          <w:sz w:val="20"/>
          <w:szCs w:val="20"/>
        </w:rPr>
        <w:t xml:space="preserve"> stated that IBS was reported to be higher among medical students (31.9%) than among students of other colleges (8.8%)</w:t>
      </w:r>
      <w:r w:rsidRPr="00A73B62">
        <w:rPr>
          <w:rFonts w:ascii="Times New Roman" w:eastAsia="Calibri" w:hAnsi="Times New Roman" w:cs="Times New Roman"/>
          <w:b/>
          <w:bCs/>
          <w:sz w:val="20"/>
          <w:szCs w:val="20"/>
          <w:vertAlign w:val="superscript"/>
          <w:lang w:bidi="ar-EG"/>
        </w:rPr>
        <w:t>18</w:t>
      </w:r>
      <w:r w:rsidRPr="00A73B62">
        <w:rPr>
          <w:rFonts w:ascii="Times New Roman" w:hAnsi="Times New Roman" w:cs="Times New Roman"/>
          <w:sz w:val="20"/>
          <w:szCs w:val="20"/>
        </w:rPr>
        <w:t>. Another study conducted i</w:t>
      </w:r>
      <w:r w:rsidRPr="00A73B62">
        <w:rPr>
          <w:rFonts w:ascii="Times New Roman" w:hAnsi="Times New Roman" w:cs="Times New Roman"/>
          <w:sz w:val="20"/>
          <w:szCs w:val="20"/>
        </w:rPr>
        <w:t>n Saudi Arabia showed significantly higher prevalence of IBS among medical students (42.2%) versus non-medical students (16.4%) in Jouf University</w:t>
      </w:r>
      <w:r w:rsidRPr="00A73B62">
        <w:rPr>
          <w:rFonts w:ascii="Times New Roman" w:eastAsia="Calibri" w:hAnsi="Times New Roman" w:cs="Times New Roman"/>
          <w:b/>
          <w:bCs/>
          <w:sz w:val="20"/>
          <w:szCs w:val="20"/>
          <w:vertAlign w:val="superscript"/>
          <w:lang w:bidi="ar-EG"/>
        </w:rPr>
        <w:t>26</w:t>
      </w:r>
      <w:r w:rsidRPr="00A73B62">
        <w:rPr>
          <w:rFonts w:ascii="Times New Roman" w:hAnsi="Times New Roman" w:cs="Times New Roman"/>
          <w:b/>
          <w:bCs/>
          <w:sz w:val="20"/>
          <w:szCs w:val="20"/>
        </w:rPr>
        <w:t>.</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In contrast with our study, </w:t>
      </w:r>
      <w:r w:rsidRPr="00A73B62">
        <w:rPr>
          <w:rFonts w:ascii="Times New Roman" w:hAnsi="Times New Roman" w:cs="Times New Roman"/>
          <w:b/>
          <w:bCs/>
          <w:sz w:val="20"/>
          <w:szCs w:val="20"/>
        </w:rPr>
        <w:t>Jafri et al. 2005</w:t>
      </w:r>
      <w:r w:rsidRPr="00A73B62">
        <w:rPr>
          <w:rFonts w:ascii="Times New Roman" w:hAnsi="Times New Roman" w:cs="Times New Roman"/>
          <w:sz w:val="20"/>
          <w:szCs w:val="20"/>
        </w:rPr>
        <w:t xml:space="preserve"> found a higher frequency of IBS in non-medical coll</w:t>
      </w:r>
      <w:r w:rsidRPr="00A73B62">
        <w:rPr>
          <w:rFonts w:ascii="Times New Roman" w:hAnsi="Times New Roman" w:cs="Times New Roman"/>
          <w:sz w:val="20"/>
          <w:szCs w:val="20"/>
        </w:rPr>
        <w:t>ege students in Pakistan (41% vs. 26%)</w:t>
      </w:r>
      <w:r w:rsidRPr="00A73B62">
        <w:rPr>
          <w:rFonts w:ascii="Times New Roman" w:eastAsia="Calibri" w:hAnsi="Times New Roman" w:cs="Times New Roman"/>
          <w:b/>
          <w:bCs/>
          <w:sz w:val="20"/>
          <w:szCs w:val="20"/>
          <w:vertAlign w:val="superscript"/>
          <w:lang w:bidi="ar-EG"/>
        </w:rPr>
        <w:t>27</w:t>
      </w:r>
      <w:r w:rsidRPr="00A73B62">
        <w:rPr>
          <w:rFonts w:ascii="Times New Roman" w:hAnsi="Times New Roman" w:cs="Times New Roman"/>
          <w:sz w:val="20"/>
          <w:szCs w:val="20"/>
        </w:rPr>
        <w:t xml:space="preserve">, While an Egyptian study conducted in Suez Canal </w:t>
      </w:r>
      <w:r w:rsidRPr="00A73B62">
        <w:rPr>
          <w:rFonts w:ascii="Times New Roman" w:hAnsi="Times New Roman" w:cs="Times New Roman"/>
          <w:sz w:val="20"/>
          <w:szCs w:val="20"/>
        </w:rPr>
        <w:lastRenderedPageBreak/>
        <w:t>University reported that 23.8% of the students in the Faculty of Commerce English section had IBS, whereas 22.1% of the students in the Faculty of Medicine were disea</w:t>
      </w:r>
      <w:r w:rsidRPr="00A73B62">
        <w:rPr>
          <w:rFonts w:ascii="Times New Roman" w:hAnsi="Times New Roman" w:cs="Times New Roman"/>
          <w:sz w:val="20"/>
          <w:szCs w:val="20"/>
        </w:rPr>
        <w:t>sed</w:t>
      </w:r>
      <w:r w:rsidRPr="00A73B62">
        <w:rPr>
          <w:rFonts w:ascii="Times New Roman" w:eastAsia="Calibri" w:hAnsi="Times New Roman" w:cs="Times New Roman"/>
          <w:b/>
          <w:bCs/>
          <w:sz w:val="20"/>
          <w:szCs w:val="20"/>
          <w:vertAlign w:val="superscript"/>
          <w:lang w:bidi="ar-EG"/>
        </w:rPr>
        <w:t>23</w:t>
      </w:r>
      <w:r w:rsidRPr="00A73B62">
        <w:rPr>
          <w:rFonts w:ascii="Times New Roman" w:hAnsi="Times New Roman" w:cs="Times New Roman"/>
          <w:b/>
          <w:bCs/>
          <w:sz w:val="20"/>
          <w:szCs w:val="20"/>
        </w:rPr>
        <w:t>.</w:t>
      </w:r>
      <w:r w:rsidRPr="00A73B62">
        <w:rPr>
          <w:rFonts w:ascii="Times New Roman" w:hAnsi="Times New Roman" w:cs="Times New Roman"/>
          <w:sz w:val="20"/>
          <w:szCs w:val="20"/>
        </w:rPr>
        <w:t xml:space="preserve"> </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lang w:bidi="ar-EG"/>
        </w:rPr>
        <w:t xml:space="preserve">         </w:t>
      </w:r>
      <w:r w:rsidRPr="00A73B62">
        <w:rPr>
          <w:rFonts w:ascii="Times New Roman" w:hAnsi="Times New Roman" w:cs="Times New Roman"/>
          <w:sz w:val="20"/>
          <w:szCs w:val="20"/>
        </w:rPr>
        <w:t>This might be because of IBS being not only highly affected by stress, but also by the unhealthy eating habits that non-medical students may not be aware of.</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In our study, 29 female students reported to have IBS with a prevalence</w:t>
      </w:r>
      <w:r w:rsidRPr="00A73B62">
        <w:rPr>
          <w:rFonts w:ascii="Times New Roman" w:hAnsi="Times New Roman" w:cs="Times New Roman"/>
          <w:sz w:val="20"/>
          <w:szCs w:val="20"/>
        </w:rPr>
        <w:t xml:space="preserve"> of 14.8%, whilst 11 male students reported to have IBS with a prevalence of 6.5%. This showed a significant higher prevalence of IBS in female students than in male students (p value = 0.011) </w:t>
      </w:r>
      <w:r w:rsidRPr="00A73B62">
        <w:rPr>
          <w:rFonts w:ascii="Times New Roman" w:hAnsi="Times New Roman" w:cs="Times New Roman"/>
          <w:b/>
          <w:bCs/>
          <w:sz w:val="20"/>
          <w:szCs w:val="20"/>
        </w:rPr>
        <w:t>(table 6)</w:t>
      </w:r>
      <w:r w:rsidRPr="00A73B62">
        <w:rPr>
          <w:rFonts w:ascii="Times New Roman" w:hAnsi="Times New Roman" w:cs="Times New Roman"/>
          <w:sz w:val="20"/>
          <w:szCs w:val="20"/>
        </w:rPr>
        <w:t xml:space="preserve">.  </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In concordance with the present study, </w:t>
      </w:r>
      <w:r w:rsidRPr="00A73B62">
        <w:rPr>
          <w:rFonts w:ascii="Times New Roman" w:hAnsi="Times New Roman" w:cs="Times New Roman"/>
          <w:b/>
          <w:bCs/>
          <w:sz w:val="20"/>
          <w:szCs w:val="20"/>
        </w:rPr>
        <w:t>Gh</w:t>
      </w:r>
      <w:r w:rsidRPr="00A73B62">
        <w:rPr>
          <w:rFonts w:ascii="Times New Roman" w:hAnsi="Times New Roman" w:cs="Times New Roman"/>
          <w:b/>
          <w:bCs/>
          <w:sz w:val="20"/>
          <w:szCs w:val="20"/>
        </w:rPr>
        <w:t>anaei et al. 2009</w:t>
      </w:r>
      <w:r w:rsidRPr="00A73B62">
        <w:rPr>
          <w:rFonts w:ascii="Times New Roman" w:hAnsi="Times New Roman" w:cs="Times New Roman"/>
          <w:sz w:val="20"/>
          <w:szCs w:val="20"/>
        </w:rPr>
        <w:t xml:space="preserve"> found that IBS was more prevalent in females than males (15% vs. 8.1%)</w:t>
      </w:r>
      <w:r w:rsidRPr="00A73B62">
        <w:rPr>
          <w:rFonts w:ascii="Times New Roman" w:eastAsia="Calibri" w:hAnsi="Times New Roman" w:cs="Times New Roman"/>
          <w:b/>
          <w:bCs/>
          <w:sz w:val="20"/>
          <w:szCs w:val="20"/>
          <w:vertAlign w:val="superscript"/>
          <w:lang w:bidi="ar-EG"/>
        </w:rPr>
        <w:t>28</w:t>
      </w:r>
      <w:r w:rsidRPr="00A73B62">
        <w:rPr>
          <w:rFonts w:ascii="Times New Roman" w:hAnsi="Times New Roman" w:cs="Times New Roman"/>
          <w:sz w:val="20"/>
          <w:szCs w:val="20"/>
        </w:rPr>
        <w:t xml:space="preserve">. </w:t>
      </w:r>
      <w:r w:rsidRPr="00A73B62">
        <w:rPr>
          <w:rFonts w:ascii="Times New Roman" w:hAnsi="Times New Roman" w:cs="Times New Roman"/>
          <w:b/>
          <w:bCs/>
          <w:sz w:val="20"/>
          <w:szCs w:val="20"/>
        </w:rPr>
        <w:t>AlButaysh et al. 2020</w:t>
      </w:r>
      <w:r w:rsidRPr="00A73B62">
        <w:rPr>
          <w:rFonts w:ascii="Times New Roman" w:hAnsi="Times New Roman" w:cs="Times New Roman"/>
          <w:sz w:val="20"/>
          <w:szCs w:val="20"/>
        </w:rPr>
        <w:t xml:space="preserve"> reported the same result with a percentage of 20.5% in females and 9.8% in males</w:t>
      </w:r>
      <w:r w:rsidRPr="00A73B62">
        <w:rPr>
          <w:rFonts w:ascii="Times New Roman" w:eastAsia="Calibri" w:hAnsi="Times New Roman" w:cs="Times New Roman"/>
          <w:b/>
          <w:bCs/>
          <w:sz w:val="20"/>
          <w:szCs w:val="20"/>
          <w:vertAlign w:val="superscript"/>
          <w:lang w:bidi="ar-EG"/>
        </w:rPr>
        <w:t>18</w:t>
      </w:r>
      <w:r w:rsidRPr="00A73B62">
        <w:rPr>
          <w:rFonts w:ascii="Times New Roman" w:hAnsi="Times New Roman" w:cs="Times New Roman"/>
          <w:sz w:val="20"/>
          <w:szCs w:val="20"/>
        </w:rPr>
        <w:t>.</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The Egyptian study by </w:t>
      </w:r>
      <w:r w:rsidRPr="00A73B62">
        <w:rPr>
          <w:rFonts w:ascii="Times New Roman" w:hAnsi="Times New Roman" w:cs="Times New Roman"/>
          <w:b/>
          <w:bCs/>
          <w:sz w:val="20"/>
          <w:szCs w:val="20"/>
        </w:rPr>
        <w:t>Darweesh et al. 2015</w:t>
      </w:r>
      <w:r w:rsidRPr="00A73B62">
        <w:rPr>
          <w:rFonts w:ascii="Times New Roman" w:hAnsi="Times New Roman" w:cs="Times New Roman"/>
          <w:sz w:val="20"/>
          <w:szCs w:val="20"/>
        </w:rPr>
        <w:t xml:space="preserve"> demonstrated that IBS prevalence in female students was nearly 3 times the prevalence in males as 30.3% of the female students had IBS and only 9.8% of the male students had the disease</w:t>
      </w:r>
      <w:r w:rsidRPr="00A73B62">
        <w:rPr>
          <w:rFonts w:ascii="Times New Roman" w:eastAsia="Calibri" w:hAnsi="Times New Roman" w:cs="Times New Roman"/>
          <w:b/>
          <w:bCs/>
          <w:sz w:val="20"/>
          <w:szCs w:val="20"/>
          <w:vertAlign w:val="superscript"/>
          <w:lang w:bidi="ar-EG"/>
        </w:rPr>
        <w:t>23</w:t>
      </w:r>
      <w:r w:rsidRPr="00A73B62">
        <w:rPr>
          <w:rFonts w:ascii="Times New Roman" w:hAnsi="Times New Roman" w:cs="Times New Roman"/>
          <w:sz w:val="20"/>
          <w:szCs w:val="20"/>
        </w:rPr>
        <w:t>.</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In contrast, </w:t>
      </w:r>
      <w:r w:rsidRPr="00A73B62">
        <w:rPr>
          <w:rFonts w:ascii="Times New Roman" w:hAnsi="Times New Roman" w:cs="Times New Roman"/>
          <w:b/>
          <w:bCs/>
          <w:sz w:val="20"/>
          <w:szCs w:val="20"/>
        </w:rPr>
        <w:t>Seger et al. 2020</w:t>
      </w:r>
      <w:r w:rsidRPr="00A73B62">
        <w:rPr>
          <w:rFonts w:ascii="Times New Roman" w:hAnsi="Times New Roman" w:cs="Times New Roman"/>
          <w:sz w:val="20"/>
          <w:szCs w:val="20"/>
        </w:rPr>
        <w:t xml:space="preserve"> found that male students w</w:t>
      </w:r>
      <w:r w:rsidRPr="00A73B62">
        <w:rPr>
          <w:rFonts w:ascii="Times New Roman" w:hAnsi="Times New Roman" w:cs="Times New Roman"/>
          <w:sz w:val="20"/>
          <w:szCs w:val="20"/>
        </w:rPr>
        <w:t>ere more affected by IBS with a prevalence of 16.9% versus 13.1% of female students that had the disease</w:t>
      </w:r>
      <w:r w:rsidRPr="00A73B62">
        <w:rPr>
          <w:rFonts w:ascii="Times New Roman" w:eastAsia="Calibri" w:hAnsi="Times New Roman" w:cs="Times New Roman"/>
          <w:b/>
          <w:bCs/>
          <w:sz w:val="20"/>
          <w:szCs w:val="20"/>
          <w:vertAlign w:val="superscript"/>
          <w:lang w:bidi="ar-EG"/>
        </w:rPr>
        <w:t>29</w:t>
      </w:r>
      <w:r w:rsidRPr="00A73B62">
        <w:rPr>
          <w:rFonts w:ascii="Times New Roman" w:hAnsi="Times New Roman" w:cs="Times New Roman"/>
          <w:sz w:val="20"/>
          <w:szCs w:val="20"/>
        </w:rPr>
        <w:t>.</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Likewise, </w:t>
      </w:r>
      <w:r w:rsidRPr="00A73B62">
        <w:rPr>
          <w:rFonts w:ascii="Times New Roman" w:hAnsi="Times New Roman" w:cs="Times New Roman"/>
          <w:b/>
          <w:bCs/>
          <w:sz w:val="20"/>
          <w:szCs w:val="20"/>
        </w:rPr>
        <w:t xml:space="preserve">Wani et al. 2020 </w:t>
      </w:r>
      <w:r w:rsidRPr="00A73B62">
        <w:rPr>
          <w:rFonts w:ascii="Times New Roman" w:hAnsi="Times New Roman" w:cs="Times New Roman"/>
          <w:sz w:val="20"/>
          <w:szCs w:val="20"/>
        </w:rPr>
        <w:t xml:space="preserve">reported that IBS was more prevalent in the male students when compared to female students with a statistically </w:t>
      </w:r>
      <w:r w:rsidRPr="00A73B62">
        <w:rPr>
          <w:rFonts w:ascii="Times New Roman" w:hAnsi="Times New Roman" w:cs="Times New Roman"/>
          <w:sz w:val="20"/>
          <w:szCs w:val="20"/>
        </w:rPr>
        <w:t>significant relationship (P = 0.039) with a prevalence of 38.7% in males and 16% in females</w:t>
      </w:r>
      <w:r w:rsidRPr="00A73B62">
        <w:rPr>
          <w:rFonts w:ascii="Times New Roman" w:eastAsia="Calibri" w:hAnsi="Times New Roman" w:cs="Times New Roman"/>
          <w:b/>
          <w:bCs/>
          <w:sz w:val="20"/>
          <w:szCs w:val="20"/>
          <w:vertAlign w:val="superscript"/>
          <w:lang w:bidi="ar-EG"/>
        </w:rPr>
        <w:t>26</w:t>
      </w:r>
      <w:r w:rsidRPr="00A73B62">
        <w:rPr>
          <w:rFonts w:ascii="Times New Roman" w:hAnsi="Times New Roman" w:cs="Times New Roman"/>
          <w:sz w:val="20"/>
          <w:szCs w:val="20"/>
        </w:rPr>
        <w:t>.</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Those results indicating higher prevalence of IBS in males might be caused by increased expectations from family and society, family commitments, stress</w:t>
      </w:r>
      <w:r w:rsidRPr="00A73B62">
        <w:rPr>
          <w:rFonts w:ascii="Times New Roman" w:hAnsi="Times New Roman" w:cs="Times New Roman"/>
          <w:sz w:val="20"/>
          <w:szCs w:val="20"/>
        </w:rPr>
        <w:t xml:space="preserve">ful education, and inability to handle the stress. Cultural factors might also limit females from reporting having the disease.  </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In our present study, we found a significant correlation between age and prevalence of IBS, as the median age of non-</w:t>
      </w:r>
      <w:r w:rsidRPr="00A73B62">
        <w:rPr>
          <w:rFonts w:ascii="Times New Roman" w:hAnsi="Times New Roman" w:cs="Times New Roman"/>
          <w:sz w:val="20"/>
          <w:szCs w:val="20"/>
        </w:rPr>
        <w:t xml:space="preserve">IBS students was 21 (18-26) while the median age of IBS students was 23 (19-25). IBS prevalence was significantly higher in older students than in younger ones (p value = &lt;0.001) </w:t>
      </w:r>
      <w:r w:rsidRPr="00A73B62">
        <w:rPr>
          <w:rFonts w:ascii="Times New Roman" w:hAnsi="Times New Roman" w:cs="Times New Roman"/>
          <w:b/>
          <w:bCs/>
          <w:sz w:val="20"/>
          <w:szCs w:val="20"/>
        </w:rPr>
        <w:t>(table 6).</w:t>
      </w:r>
      <w:r w:rsidRPr="00A73B62">
        <w:rPr>
          <w:rFonts w:ascii="Times New Roman" w:hAnsi="Times New Roman" w:cs="Times New Roman"/>
          <w:sz w:val="20"/>
          <w:szCs w:val="20"/>
        </w:rPr>
        <w:t xml:space="preserve">  </w:t>
      </w:r>
    </w:p>
    <w:p w:rsidR="00DF6A44" w:rsidRPr="00A73B62" w:rsidRDefault="00DF6A44">
      <w:pPr>
        <w:autoSpaceDE w:val="0"/>
        <w:autoSpaceDN w:val="0"/>
        <w:adjustRightInd w:val="0"/>
        <w:spacing w:after="0" w:line="240" w:lineRule="auto"/>
        <w:jc w:val="both"/>
        <w:rPr>
          <w:rFonts w:ascii="Times New Roman" w:hAnsi="Times New Roman" w:cs="Times New Roman"/>
          <w:sz w:val="20"/>
          <w:szCs w:val="20"/>
        </w:rPr>
        <w:sectPr w:rsidR="00DF6A44" w:rsidRPr="00A73B62">
          <w:type w:val="continuous"/>
          <w:pgSz w:w="12240" w:h="15840"/>
          <w:pgMar w:top="1440" w:right="1440" w:bottom="1440" w:left="1440" w:header="720" w:footer="720" w:gutter="0"/>
          <w:cols w:num="2" w:space="709"/>
          <w:titlePg/>
          <w:docGrid w:linePitch="360"/>
        </w:sectPr>
      </w:pPr>
    </w:p>
    <w:p w:rsidR="00DF6A44" w:rsidRPr="00A73B62" w:rsidRDefault="00DF6A44">
      <w:pPr>
        <w:spacing w:after="0" w:line="240" w:lineRule="auto"/>
        <w:ind w:right="4"/>
        <w:jc w:val="both"/>
        <w:rPr>
          <w:rFonts w:ascii="Times New Roman" w:hAnsi="Times New Roman" w:cs="Times New Roman"/>
          <w:sz w:val="20"/>
          <w:szCs w:val="20"/>
        </w:rPr>
      </w:pPr>
    </w:p>
    <w:p w:rsidR="00A73B62" w:rsidRDefault="00A73B62">
      <w:pPr>
        <w:spacing w:after="0" w:line="240" w:lineRule="auto"/>
        <w:ind w:right="4"/>
        <w:jc w:val="both"/>
        <w:rPr>
          <w:rFonts w:ascii="Times New Roman" w:hAnsi="Times New Roman" w:cs="Times New Roman" w:hint="eastAsia"/>
          <w:sz w:val="20"/>
          <w:szCs w:val="20"/>
          <w:lang w:eastAsia="zh-CN"/>
        </w:rPr>
      </w:pPr>
    </w:p>
    <w:p w:rsidR="00A73B62" w:rsidRDefault="00A73B62">
      <w:pPr>
        <w:spacing w:after="0" w:line="240" w:lineRule="auto"/>
        <w:ind w:right="4"/>
        <w:jc w:val="both"/>
        <w:rPr>
          <w:rFonts w:ascii="Times New Roman" w:hAnsi="Times New Roman" w:cs="Times New Roman" w:hint="eastAsia"/>
          <w:sz w:val="20"/>
          <w:szCs w:val="20"/>
          <w:lang w:eastAsia="zh-CN"/>
        </w:rPr>
      </w:pPr>
    </w:p>
    <w:p w:rsidR="00A73B62" w:rsidRDefault="00A73B62">
      <w:pPr>
        <w:spacing w:after="0" w:line="240" w:lineRule="auto"/>
        <w:ind w:right="4"/>
        <w:jc w:val="both"/>
        <w:rPr>
          <w:rFonts w:ascii="Times New Roman" w:hAnsi="Times New Roman" w:cs="Times New Roman" w:hint="eastAsia"/>
          <w:sz w:val="20"/>
          <w:szCs w:val="20"/>
          <w:lang w:eastAsia="zh-CN"/>
        </w:rPr>
      </w:pPr>
    </w:p>
    <w:p w:rsidR="00A73B62" w:rsidRDefault="00A73B62">
      <w:pPr>
        <w:spacing w:after="0" w:line="240" w:lineRule="auto"/>
        <w:ind w:right="4"/>
        <w:jc w:val="both"/>
        <w:rPr>
          <w:rFonts w:ascii="Times New Roman" w:hAnsi="Times New Roman" w:cs="Times New Roman" w:hint="eastAsia"/>
          <w:sz w:val="20"/>
          <w:szCs w:val="20"/>
          <w:lang w:eastAsia="zh-CN"/>
        </w:rPr>
      </w:pPr>
    </w:p>
    <w:p w:rsidR="00A73B62" w:rsidRDefault="00A73B62">
      <w:pPr>
        <w:spacing w:after="0" w:line="240" w:lineRule="auto"/>
        <w:ind w:right="4"/>
        <w:jc w:val="both"/>
        <w:rPr>
          <w:rFonts w:ascii="Times New Roman" w:hAnsi="Times New Roman" w:cs="Times New Roman" w:hint="eastAsia"/>
          <w:sz w:val="20"/>
          <w:szCs w:val="20"/>
          <w:lang w:eastAsia="zh-CN"/>
        </w:rPr>
      </w:pPr>
    </w:p>
    <w:p w:rsidR="00A73B62" w:rsidRDefault="00A73B62">
      <w:pPr>
        <w:spacing w:after="0" w:line="240" w:lineRule="auto"/>
        <w:ind w:right="4"/>
        <w:jc w:val="both"/>
        <w:rPr>
          <w:rFonts w:ascii="Times New Roman" w:hAnsi="Times New Roman" w:cs="Times New Roman" w:hint="eastAsia"/>
          <w:sz w:val="20"/>
          <w:szCs w:val="20"/>
          <w:lang w:eastAsia="zh-CN"/>
        </w:rPr>
      </w:pPr>
    </w:p>
    <w:p w:rsidR="00A73B62" w:rsidRDefault="00A73B62">
      <w:pPr>
        <w:spacing w:after="0" w:line="240" w:lineRule="auto"/>
        <w:ind w:right="4"/>
        <w:jc w:val="both"/>
        <w:rPr>
          <w:rFonts w:ascii="Times New Roman" w:hAnsi="Times New Roman" w:cs="Times New Roman" w:hint="eastAsia"/>
          <w:sz w:val="20"/>
          <w:szCs w:val="20"/>
          <w:lang w:eastAsia="zh-CN"/>
        </w:rPr>
      </w:pPr>
    </w:p>
    <w:p w:rsidR="00A73B62" w:rsidRDefault="00A73B62">
      <w:pPr>
        <w:spacing w:after="0" w:line="240" w:lineRule="auto"/>
        <w:ind w:right="4"/>
        <w:jc w:val="both"/>
        <w:rPr>
          <w:rFonts w:ascii="Times New Roman" w:hAnsi="Times New Roman" w:cs="Times New Roman" w:hint="eastAsia"/>
          <w:sz w:val="20"/>
          <w:szCs w:val="20"/>
          <w:lang w:eastAsia="zh-CN"/>
        </w:rPr>
      </w:pPr>
    </w:p>
    <w:p w:rsidR="00A73B62" w:rsidRDefault="00A73B62">
      <w:pPr>
        <w:spacing w:after="0" w:line="240" w:lineRule="auto"/>
        <w:ind w:right="4"/>
        <w:jc w:val="both"/>
        <w:rPr>
          <w:rFonts w:ascii="Times New Roman" w:hAnsi="Times New Roman" w:cs="Times New Roman" w:hint="eastAsia"/>
          <w:sz w:val="20"/>
          <w:szCs w:val="20"/>
          <w:lang w:eastAsia="zh-CN"/>
        </w:rPr>
      </w:pPr>
    </w:p>
    <w:p w:rsidR="00DF6A44" w:rsidRPr="00A73B62" w:rsidRDefault="00B0692F">
      <w:pPr>
        <w:spacing w:after="0" w:line="240" w:lineRule="auto"/>
        <w:ind w:right="4"/>
        <w:jc w:val="both"/>
        <w:rPr>
          <w:rFonts w:ascii="Times New Roman" w:hAnsi="Times New Roman" w:cs="Times New Roman"/>
          <w:sz w:val="20"/>
          <w:szCs w:val="20"/>
        </w:rPr>
      </w:pPr>
      <w:r w:rsidRPr="00A73B62">
        <w:rPr>
          <w:rFonts w:ascii="Times New Roman" w:hAnsi="Times New Roman" w:cs="Times New Roman"/>
          <w:sz w:val="20"/>
          <w:szCs w:val="20"/>
        </w:rPr>
        <w:t xml:space="preserve">Table (6): Comparisons of QoL and demographic </w:t>
      </w:r>
      <w:r w:rsidRPr="00A73B62">
        <w:rPr>
          <w:rFonts w:ascii="Times New Roman" w:hAnsi="Times New Roman" w:cs="Times New Roman"/>
          <w:sz w:val="20"/>
          <w:szCs w:val="20"/>
        </w:rPr>
        <w:t>data in IBS vs. non-IBS students who completed the survey (N=365)</w:t>
      </w:r>
    </w:p>
    <w:tbl>
      <w:tblPr>
        <w:tblStyle w:val="PlainTable2"/>
        <w:tblW w:w="9591" w:type="dxa"/>
        <w:jc w:val="center"/>
        <w:tblLook w:val="04A0"/>
      </w:tblPr>
      <w:tblGrid>
        <w:gridCol w:w="3920"/>
        <w:gridCol w:w="2085"/>
        <w:gridCol w:w="2085"/>
        <w:gridCol w:w="1501"/>
      </w:tblGrid>
      <w:tr w:rsidR="00DF6A44" w:rsidRPr="00A73B62" w:rsidTr="00DF6A44">
        <w:trPr>
          <w:cnfStyle w:val="100000000000"/>
          <w:trHeight w:val="35"/>
          <w:jc w:val="center"/>
        </w:trPr>
        <w:tc>
          <w:tcPr>
            <w:cnfStyle w:val="001000000000"/>
            <w:tcW w:w="3920" w:type="dxa"/>
            <w:shd w:val="clear" w:color="auto" w:fill="B6DDE8" w:themeFill="accent5" w:themeFillTint="66"/>
          </w:tcPr>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Characteristic</w:t>
            </w:r>
          </w:p>
        </w:tc>
        <w:tc>
          <w:tcPr>
            <w:tcW w:w="2085" w:type="dxa"/>
            <w:shd w:val="clear" w:color="auto" w:fill="B6DDE8" w:themeFill="accent5" w:themeFillTint="66"/>
          </w:tcPr>
          <w:p w:rsidR="00DF6A44" w:rsidRPr="00A73B62" w:rsidRDefault="00B0692F">
            <w:pPr>
              <w:spacing w:after="0" w:line="240" w:lineRule="auto"/>
              <w:ind w:right="4"/>
              <w:jc w:val="both"/>
              <w:cnfStyle w:val="100000000000"/>
              <w:rPr>
                <w:rFonts w:ascii="Times New Roman" w:hAnsi="Times New Roman" w:cs="Times New Roman"/>
                <w:sz w:val="20"/>
                <w:szCs w:val="20"/>
              </w:rPr>
            </w:pPr>
            <w:r w:rsidRPr="00A73B62">
              <w:rPr>
                <w:rFonts w:ascii="Times New Roman" w:hAnsi="Times New Roman" w:cs="Times New Roman"/>
                <w:sz w:val="20"/>
                <w:szCs w:val="20"/>
              </w:rPr>
              <w:t>Non-IBS</w:t>
            </w:r>
          </w:p>
          <w:p w:rsidR="00DF6A44" w:rsidRPr="00A73B62" w:rsidRDefault="00B0692F">
            <w:pPr>
              <w:spacing w:after="0" w:line="240" w:lineRule="auto"/>
              <w:ind w:right="4"/>
              <w:jc w:val="both"/>
              <w:cnfStyle w:val="100000000000"/>
              <w:rPr>
                <w:rFonts w:ascii="Times New Roman" w:hAnsi="Times New Roman" w:cs="Times New Roman"/>
                <w:b w:val="0"/>
                <w:bCs w:val="0"/>
                <w:sz w:val="20"/>
                <w:szCs w:val="20"/>
              </w:rPr>
            </w:pPr>
            <w:r w:rsidRPr="00A73B62">
              <w:rPr>
                <w:rFonts w:ascii="Times New Roman" w:hAnsi="Times New Roman" w:cs="Times New Roman"/>
                <w:sz w:val="20"/>
                <w:szCs w:val="20"/>
              </w:rPr>
              <w:t>N=325</w:t>
            </w:r>
          </w:p>
        </w:tc>
        <w:tc>
          <w:tcPr>
            <w:tcW w:w="2085" w:type="dxa"/>
            <w:shd w:val="clear" w:color="auto" w:fill="B6DDE8" w:themeFill="accent5" w:themeFillTint="66"/>
          </w:tcPr>
          <w:p w:rsidR="00DF6A44" w:rsidRPr="00A73B62" w:rsidRDefault="00B0692F">
            <w:pPr>
              <w:spacing w:after="0" w:line="240" w:lineRule="auto"/>
              <w:ind w:right="4"/>
              <w:jc w:val="both"/>
              <w:cnfStyle w:val="100000000000"/>
              <w:rPr>
                <w:rFonts w:ascii="Times New Roman" w:hAnsi="Times New Roman" w:cs="Times New Roman"/>
                <w:sz w:val="20"/>
                <w:szCs w:val="20"/>
              </w:rPr>
            </w:pPr>
            <w:r w:rsidRPr="00A73B62">
              <w:rPr>
                <w:rFonts w:ascii="Times New Roman" w:hAnsi="Times New Roman" w:cs="Times New Roman"/>
                <w:sz w:val="20"/>
                <w:szCs w:val="20"/>
              </w:rPr>
              <w:t>IBS</w:t>
            </w:r>
          </w:p>
          <w:p w:rsidR="00DF6A44" w:rsidRPr="00A73B62" w:rsidRDefault="00B0692F">
            <w:pPr>
              <w:spacing w:after="0" w:line="240" w:lineRule="auto"/>
              <w:ind w:right="4"/>
              <w:jc w:val="both"/>
              <w:cnfStyle w:val="100000000000"/>
              <w:rPr>
                <w:rFonts w:ascii="Times New Roman" w:hAnsi="Times New Roman" w:cs="Times New Roman"/>
                <w:b w:val="0"/>
                <w:bCs w:val="0"/>
                <w:sz w:val="20"/>
                <w:szCs w:val="20"/>
              </w:rPr>
            </w:pPr>
            <w:r w:rsidRPr="00A73B62">
              <w:rPr>
                <w:rFonts w:ascii="Times New Roman" w:hAnsi="Times New Roman" w:cs="Times New Roman"/>
                <w:sz w:val="20"/>
                <w:szCs w:val="20"/>
              </w:rPr>
              <w:t>N=40</w:t>
            </w:r>
          </w:p>
        </w:tc>
        <w:tc>
          <w:tcPr>
            <w:tcW w:w="1501" w:type="dxa"/>
            <w:shd w:val="clear" w:color="auto" w:fill="B6DDE8" w:themeFill="accent5" w:themeFillTint="66"/>
          </w:tcPr>
          <w:p w:rsidR="00DF6A44" w:rsidRPr="00A73B62" w:rsidRDefault="00B0692F">
            <w:pPr>
              <w:spacing w:after="0" w:line="240" w:lineRule="auto"/>
              <w:ind w:right="4"/>
              <w:jc w:val="both"/>
              <w:cnfStyle w:val="100000000000"/>
              <w:rPr>
                <w:rFonts w:ascii="Times New Roman" w:hAnsi="Times New Roman" w:cs="Times New Roman"/>
                <w:b w:val="0"/>
                <w:bCs w:val="0"/>
                <w:sz w:val="20"/>
                <w:szCs w:val="20"/>
              </w:rPr>
            </w:pPr>
            <w:r w:rsidRPr="00A73B62">
              <w:rPr>
                <w:rFonts w:ascii="Times New Roman" w:hAnsi="Times New Roman" w:cs="Times New Roman"/>
                <w:sz w:val="20"/>
                <w:szCs w:val="20"/>
              </w:rPr>
              <w:t>P value</w:t>
            </w:r>
          </w:p>
        </w:tc>
      </w:tr>
      <w:tr w:rsidR="00DF6A44" w:rsidRPr="00A73B62" w:rsidTr="00DF6A44">
        <w:trPr>
          <w:trHeight w:val="35"/>
          <w:jc w:val="center"/>
        </w:trPr>
        <w:tc>
          <w:tcPr>
            <w:cnfStyle w:val="001000000000"/>
            <w:tcW w:w="3920" w:type="dxa"/>
            <w:tcBorders>
              <w:top w:val="single" w:sz="4" w:space="0" w:color="7F7F7F" w:themeColor="text1" w:themeTint="80"/>
              <w:bottom w:val="single" w:sz="4" w:space="0" w:color="7F7F7F" w:themeColor="text1" w:themeTint="80"/>
            </w:tcBorders>
            <w:shd w:val="clear" w:color="auto" w:fill="B6DDE8" w:themeFill="accent5" w:themeFillTint="66"/>
          </w:tcPr>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Age (years)</w:t>
            </w:r>
          </w:p>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N</w:t>
            </w:r>
          </w:p>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Median (Range)</w:t>
            </w:r>
          </w:p>
        </w:tc>
        <w:tc>
          <w:tcPr>
            <w:tcW w:w="2085" w:type="dxa"/>
            <w:tcBorders>
              <w:top w:val="single" w:sz="4" w:space="0" w:color="7F7F7F" w:themeColor="text1" w:themeTint="80"/>
              <w:bottom w:val="single" w:sz="4" w:space="0" w:color="7F7F7F" w:themeColor="text1" w:themeTint="80"/>
            </w:tcBorders>
          </w:tcPr>
          <w:p w:rsidR="00DF6A44" w:rsidRPr="00A73B62" w:rsidRDefault="00DF6A44">
            <w:pPr>
              <w:spacing w:after="0" w:line="240" w:lineRule="auto"/>
              <w:ind w:right="4"/>
              <w:jc w:val="both"/>
              <w:cnfStyle w:val="000000000000"/>
              <w:rPr>
                <w:rFonts w:ascii="Times New Roman" w:hAnsi="Times New Roman" w:cs="Times New Roman"/>
                <w:sz w:val="20"/>
                <w:szCs w:val="20"/>
              </w:rPr>
            </w:pP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249</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21 (18-26)</w:t>
            </w:r>
          </w:p>
        </w:tc>
        <w:tc>
          <w:tcPr>
            <w:tcW w:w="2085" w:type="dxa"/>
            <w:tcBorders>
              <w:top w:val="single" w:sz="4" w:space="0" w:color="7F7F7F" w:themeColor="text1" w:themeTint="80"/>
              <w:bottom w:val="single" w:sz="4" w:space="0" w:color="7F7F7F" w:themeColor="text1" w:themeTint="80"/>
            </w:tcBorders>
          </w:tcPr>
          <w:p w:rsidR="00DF6A44" w:rsidRPr="00A73B62" w:rsidRDefault="00DF6A44">
            <w:pPr>
              <w:spacing w:after="0" w:line="240" w:lineRule="auto"/>
              <w:ind w:right="4"/>
              <w:jc w:val="both"/>
              <w:cnfStyle w:val="000000000000"/>
              <w:rPr>
                <w:rFonts w:ascii="Times New Roman" w:hAnsi="Times New Roman" w:cs="Times New Roman"/>
                <w:sz w:val="20"/>
                <w:szCs w:val="20"/>
              </w:rPr>
            </w:pP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38</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23 (19-25)</w:t>
            </w:r>
          </w:p>
        </w:tc>
        <w:tc>
          <w:tcPr>
            <w:tcW w:w="1501"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ind w:right="4"/>
              <w:jc w:val="both"/>
              <w:cnfStyle w:val="000000000000"/>
              <w:rPr>
                <w:rFonts w:ascii="Times New Roman" w:hAnsi="Times New Roman" w:cs="Times New Roman"/>
                <w:b/>
                <w:bCs/>
                <w:sz w:val="20"/>
                <w:szCs w:val="20"/>
              </w:rPr>
            </w:pPr>
            <w:r w:rsidRPr="00A73B62">
              <w:rPr>
                <w:rFonts w:ascii="Times New Roman" w:hAnsi="Times New Roman" w:cs="Times New Roman"/>
                <w:b/>
                <w:bCs/>
                <w:sz w:val="20"/>
                <w:szCs w:val="20"/>
              </w:rPr>
              <w:t>&lt;0.001</w:t>
            </w:r>
          </w:p>
        </w:tc>
      </w:tr>
      <w:tr w:rsidR="00DF6A44" w:rsidRPr="00A73B62" w:rsidTr="00DF6A44">
        <w:trPr>
          <w:trHeight w:val="35"/>
          <w:jc w:val="center"/>
        </w:trPr>
        <w:tc>
          <w:tcPr>
            <w:cnfStyle w:val="001000000000"/>
            <w:tcW w:w="3920" w:type="dxa"/>
            <w:shd w:val="clear" w:color="auto" w:fill="B6DDE8" w:themeFill="accent5" w:themeFillTint="66"/>
          </w:tcPr>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Sex</w:t>
            </w:r>
          </w:p>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N</w:t>
            </w:r>
          </w:p>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Male</w:t>
            </w:r>
          </w:p>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Female</w:t>
            </w:r>
          </w:p>
        </w:tc>
        <w:tc>
          <w:tcPr>
            <w:tcW w:w="2085" w:type="dxa"/>
          </w:tcPr>
          <w:p w:rsidR="00DF6A44" w:rsidRPr="00A73B62" w:rsidRDefault="00DF6A44">
            <w:pPr>
              <w:spacing w:after="0" w:line="240" w:lineRule="auto"/>
              <w:ind w:right="4"/>
              <w:jc w:val="both"/>
              <w:cnfStyle w:val="000000000000"/>
              <w:rPr>
                <w:rFonts w:ascii="Times New Roman" w:hAnsi="Times New Roman" w:cs="Times New Roman"/>
                <w:sz w:val="20"/>
                <w:szCs w:val="20"/>
              </w:rPr>
            </w:pP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325</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158 (48.6%)</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167 (51.4%)</w:t>
            </w:r>
          </w:p>
        </w:tc>
        <w:tc>
          <w:tcPr>
            <w:tcW w:w="2085" w:type="dxa"/>
          </w:tcPr>
          <w:p w:rsidR="00DF6A44" w:rsidRPr="00A73B62" w:rsidRDefault="00DF6A44">
            <w:pPr>
              <w:spacing w:after="0" w:line="240" w:lineRule="auto"/>
              <w:ind w:right="4"/>
              <w:jc w:val="both"/>
              <w:cnfStyle w:val="000000000000"/>
              <w:rPr>
                <w:rFonts w:ascii="Times New Roman" w:hAnsi="Times New Roman" w:cs="Times New Roman"/>
                <w:sz w:val="20"/>
                <w:szCs w:val="20"/>
              </w:rPr>
            </w:pP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40</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 xml:space="preserve">11 </w:t>
            </w:r>
            <w:r w:rsidRPr="00A73B62">
              <w:rPr>
                <w:rFonts w:ascii="Times New Roman" w:hAnsi="Times New Roman" w:cs="Times New Roman"/>
                <w:sz w:val="20"/>
                <w:szCs w:val="20"/>
              </w:rPr>
              <w:t>(27.5%)</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29 (72.5%)</w:t>
            </w:r>
          </w:p>
        </w:tc>
        <w:tc>
          <w:tcPr>
            <w:tcW w:w="1501" w:type="dxa"/>
          </w:tcPr>
          <w:p w:rsidR="00DF6A44" w:rsidRPr="00A73B62" w:rsidRDefault="00B0692F">
            <w:pPr>
              <w:spacing w:after="0" w:line="240" w:lineRule="auto"/>
              <w:ind w:right="4"/>
              <w:jc w:val="both"/>
              <w:cnfStyle w:val="000000000000"/>
              <w:rPr>
                <w:rFonts w:ascii="Times New Roman" w:hAnsi="Times New Roman" w:cs="Times New Roman"/>
                <w:b/>
                <w:bCs/>
                <w:sz w:val="20"/>
                <w:szCs w:val="20"/>
              </w:rPr>
            </w:pPr>
            <w:r w:rsidRPr="00A73B62">
              <w:rPr>
                <w:rFonts w:ascii="Times New Roman" w:hAnsi="Times New Roman" w:cs="Times New Roman"/>
                <w:b/>
                <w:bCs/>
                <w:sz w:val="20"/>
                <w:szCs w:val="20"/>
              </w:rPr>
              <w:t>0.011</w:t>
            </w:r>
          </w:p>
        </w:tc>
      </w:tr>
      <w:tr w:rsidR="00DF6A44" w:rsidRPr="00A73B62" w:rsidTr="00DF6A44">
        <w:trPr>
          <w:trHeight w:val="35"/>
          <w:jc w:val="center"/>
        </w:trPr>
        <w:tc>
          <w:tcPr>
            <w:cnfStyle w:val="001000000000"/>
            <w:tcW w:w="3920" w:type="dxa"/>
            <w:tcBorders>
              <w:top w:val="single" w:sz="4" w:space="0" w:color="7F7F7F" w:themeColor="text1" w:themeTint="80"/>
              <w:bottom w:val="single" w:sz="4" w:space="0" w:color="7F7F7F" w:themeColor="text1" w:themeTint="80"/>
            </w:tcBorders>
            <w:shd w:val="clear" w:color="auto" w:fill="B6DDE8" w:themeFill="accent5" w:themeFillTint="66"/>
          </w:tcPr>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Faculty</w:t>
            </w:r>
          </w:p>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Medicine</w:t>
            </w:r>
          </w:p>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Education</w:t>
            </w:r>
          </w:p>
        </w:tc>
        <w:tc>
          <w:tcPr>
            <w:tcW w:w="2085" w:type="dxa"/>
            <w:tcBorders>
              <w:top w:val="single" w:sz="4" w:space="0" w:color="7F7F7F" w:themeColor="text1" w:themeTint="80"/>
              <w:bottom w:val="single" w:sz="4" w:space="0" w:color="7F7F7F" w:themeColor="text1" w:themeTint="80"/>
            </w:tcBorders>
          </w:tcPr>
          <w:p w:rsidR="00DF6A44" w:rsidRPr="00A73B62" w:rsidRDefault="00DF6A44">
            <w:pPr>
              <w:spacing w:after="0" w:line="240" w:lineRule="auto"/>
              <w:ind w:right="4"/>
              <w:jc w:val="both"/>
              <w:cnfStyle w:val="000000000000"/>
              <w:rPr>
                <w:rFonts w:ascii="Times New Roman" w:hAnsi="Times New Roman" w:cs="Times New Roman"/>
                <w:sz w:val="20"/>
                <w:szCs w:val="20"/>
              </w:rPr>
            </w:pP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174 (53.5%)</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151 (46.5%)</w:t>
            </w:r>
          </w:p>
        </w:tc>
        <w:tc>
          <w:tcPr>
            <w:tcW w:w="2085" w:type="dxa"/>
            <w:tcBorders>
              <w:top w:val="single" w:sz="4" w:space="0" w:color="7F7F7F" w:themeColor="text1" w:themeTint="80"/>
              <w:bottom w:val="single" w:sz="4" w:space="0" w:color="7F7F7F" w:themeColor="text1" w:themeTint="80"/>
            </w:tcBorders>
          </w:tcPr>
          <w:p w:rsidR="00DF6A44" w:rsidRPr="00A73B62" w:rsidRDefault="00DF6A44">
            <w:pPr>
              <w:spacing w:after="0" w:line="240" w:lineRule="auto"/>
              <w:ind w:right="4"/>
              <w:jc w:val="both"/>
              <w:cnfStyle w:val="000000000000"/>
              <w:rPr>
                <w:rFonts w:ascii="Times New Roman" w:hAnsi="Times New Roman" w:cs="Times New Roman"/>
                <w:sz w:val="20"/>
                <w:szCs w:val="20"/>
              </w:rPr>
            </w:pP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28 (70%)</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12 (30%)</w:t>
            </w:r>
          </w:p>
        </w:tc>
        <w:tc>
          <w:tcPr>
            <w:tcW w:w="1501"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ind w:right="4"/>
              <w:jc w:val="both"/>
              <w:cnfStyle w:val="000000000000"/>
              <w:rPr>
                <w:rFonts w:ascii="Times New Roman" w:hAnsi="Times New Roman" w:cs="Times New Roman"/>
                <w:b/>
                <w:bCs/>
                <w:sz w:val="20"/>
                <w:szCs w:val="20"/>
              </w:rPr>
            </w:pPr>
            <w:r w:rsidRPr="00A73B62">
              <w:rPr>
                <w:rFonts w:ascii="Times New Roman" w:hAnsi="Times New Roman" w:cs="Times New Roman"/>
                <w:b/>
                <w:bCs/>
                <w:sz w:val="20"/>
                <w:szCs w:val="20"/>
              </w:rPr>
              <w:t>0.048</w:t>
            </w:r>
          </w:p>
        </w:tc>
      </w:tr>
      <w:tr w:rsidR="00DF6A44" w:rsidRPr="00A73B62" w:rsidTr="00DF6A44">
        <w:trPr>
          <w:trHeight w:val="35"/>
          <w:jc w:val="center"/>
        </w:trPr>
        <w:tc>
          <w:tcPr>
            <w:cnfStyle w:val="001000000000"/>
            <w:tcW w:w="3920" w:type="dxa"/>
            <w:shd w:val="clear" w:color="auto" w:fill="B6DDE8" w:themeFill="accent5" w:themeFillTint="66"/>
          </w:tcPr>
          <w:p w:rsidR="00DF6A44" w:rsidRPr="00A73B62" w:rsidRDefault="00B0692F">
            <w:pPr>
              <w:spacing w:after="0" w:line="240" w:lineRule="auto"/>
              <w:ind w:right="4"/>
              <w:jc w:val="both"/>
              <w:rPr>
                <w:rFonts w:ascii="Times New Roman" w:hAnsi="Times New Roman" w:cs="Times New Roman"/>
                <w:sz w:val="20"/>
                <w:szCs w:val="20"/>
              </w:rPr>
            </w:pPr>
            <w:r w:rsidRPr="00A73B62">
              <w:rPr>
                <w:rFonts w:ascii="Times New Roman" w:hAnsi="Times New Roman" w:cs="Times New Roman"/>
                <w:sz w:val="20"/>
                <w:szCs w:val="20"/>
              </w:rPr>
              <w:t>Marital status</w:t>
            </w:r>
          </w:p>
          <w:p w:rsidR="00DF6A44" w:rsidRPr="00A73B62" w:rsidRDefault="00B0692F">
            <w:pPr>
              <w:spacing w:after="0" w:line="240" w:lineRule="auto"/>
              <w:ind w:right="4"/>
              <w:jc w:val="both"/>
              <w:rPr>
                <w:rFonts w:ascii="Times New Roman" w:hAnsi="Times New Roman" w:cs="Times New Roman"/>
                <w:sz w:val="20"/>
                <w:szCs w:val="20"/>
              </w:rPr>
            </w:pPr>
            <w:r w:rsidRPr="00A73B62">
              <w:rPr>
                <w:rFonts w:ascii="Times New Roman" w:hAnsi="Times New Roman" w:cs="Times New Roman"/>
                <w:sz w:val="20"/>
                <w:szCs w:val="20"/>
              </w:rPr>
              <w:t xml:space="preserve">   Single</w:t>
            </w:r>
          </w:p>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Married</w:t>
            </w:r>
          </w:p>
        </w:tc>
        <w:tc>
          <w:tcPr>
            <w:tcW w:w="2085" w:type="dxa"/>
          </w:tcPr>
          <w:p w:rsidR="00DF6A44" w:rsidRPr="00A73B62" w:rsidRDefault="00DF6A44">
            <w:pPr>
              <w:spacing w:after="0" w:line="240" w:lineRule="auto"/>
              <w:ind w:right="4"/>
              <w:jc w:val="both"/>
              <w:cnfStyle w:val="000000000000"/>
              <w:rPr>
                <w:rFonts w:ascii="Times New Roman" w:hAnsi="Times New Roman" w:cs="Times New Roman"/>
                <w:sz w:val="20"/>
                <w:szCs w:val="20"/>
              </w:rPr>
            </w:pP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314 (96.6%)</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11 (3.4%)</w:t>
            </w:r>
          </w:p>
        </w:tc>
        <w:tc>
          <w:tcPr>
            <w:tcW w:w="2085" w:type="dxa"/>
          </w:tcPr>
          <w:p w:rsidR="00DF6A44" w:rsidRPr="00A73B62" w:rsidRDefault="00DF6A44">
            <w:pPr>
              <w:spacing w:after="0" w:line="240" w:lineRule="auto"/>
              <w:ind w:right="4"/>
              <w:jc w:val="both"/>
              <w:cnfStyle w:val="000000000000"/>
              <w:rPr>
                <w:rFonts w:ascii="Times New Roman" w:hAnsi="Times New Roman" w:cs="Times New Roman"/>
                <w:sz w:val="20"/>
                <w:szCs w:val="20"/>
              </w:rPr>
            </w:pP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39 (97.5%)</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1 (2.5%)</w:t>
            </w:r>
          </w:p>
        </w:tc>
        <w:tc>
          <w:tcPr>
            <w:tcW w:w="1501" w:type="dxa"/>
          </w:tcPr>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1.000</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(FET)</w:t>
            </w:r>
          </w:p>
        </w:tc>
      </w:tr>
      <w:tr w:rsidR="00DF6A44" w:rsidRPr="00A73B62" w:rsidTr="00DF6A44">
        <w:trPr>
          <w:trHeight w:val="35"/>
          <w:jc w:val="center"/>
        </w:trPr>
        <w:tc>
          <w:tcPr>
            <w:cnfStyle w:val="001000000000"/>
            <w:tcW w:w="3920" w:type="dxa"/>
            <w:tcBorders>
              <w:top w:val="single" w:sz="4" w:space="0" w:color="7F7F7F" w:themeColor="text1" w:themeTint="80"/>
              <w:bottom w:val="single" w:sz="4" w:space="0" w:color="7F7F7F" w:themeColor="text1" w:themeTint="80"/>
            </w:tcBorders>
            <w:shd w:val="clear" w:color="auto" w:fill="B6DDE8" w:themeFill="accent5" w:themeFillTint="66"/>
          </w:tcPr>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University</w:t>
            </w:r>
          </w:p>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Mansoura</w:t>
            </w:r>
          </w:p>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Alexandria</w:t>
            </w:r>
          </w:p>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Port Said</w:t>
            </w:r>
          </w:p>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Assuit</w:t>
            </w:r>
          </w:p>
        </w:tc>
        <w:tc>
          <w:tcPr>
            <w:tcW w:w="2085" w:type="dxa"/>
            <w:tcBorders>
              <w:top w:val="single" w:sz="4" w:space="0" w:color="7F7F7F" w:themeColor="text1" w:themeTint="80"/>
              <w:bottom w:val="single" w:sz="4" w:space="0" w:color="7F7F7F" w:themeColor="text1" w:themeTint="80"/>
            </w:tcBorders>
          </w:tcPr>
          <w:p w:rsidR="00DF6A44" w:rsidRPr="00A73B62" w:rsidRDefault="00DF6A44">
            <w:pPr>
              <w:spacing w:after="0" w:line="240" w:lineRule="auto"/>
              <w:ind w:right="4"/>
              <w:jc w:val="both"/>
              <w:cnfStyle w:val="000000000000"/>
              <w:rPr>
                <w:rFonts w:ascii="Times New Roman" w:hAnsi="Times New Roman" w:cs="Times New Roman"/>
                <w:sz w:val="20"/>
                <w:szCs w:val="20"/>
              </w:rPr>
            </w:pP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70 (21.5%)</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72 (22.2%)</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104 (32%)</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79 (24.3%)</w:t>
            </w:r>
          </w:p>
        </w:tc>
        <w:tc>
          <w:tcPr>
            <w:tcW w:w="2085" w:type="dxa"/>
            <w:tcBorders>
              <w:top w:val="single" w:sz="4" w:space="0" w:color="7F7F7F" w:themeColor="text1" w:themeTint="80"/>
              <w:bottom w:val="single" w:sz="4" w:space="0" w:color="7F7F7F" w:themeColor="text1" w:themeTint="80"/>
            </w:tcBorders>
          </w:tcPr>
          <w:p w:rsidR="00DF6A44" w:rsidRPr="00A73B62" w:rsidRDefault="00DF6A44">
            <w:pPr>
              <w:spacing w:after="0" w:line="240" w:lineRule="auto"/>
              <w:ind w:right="4"/>
              <w:jc w:val="both"/>
              <w:cnfStyle w:val="000000000000"/>
              <w:rPr>
                <w:rFonts w:ascii="Times New Roman" w:hAnsi="Times New Roman" w:cs="Times New Roman"/>
                <w:sz w:val="20"/>
                <w:szCs w:val="20"/>
              </w:rPr>
            </w:pP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10 (25%)</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11 (27.5%)</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16 (40%)</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3 (7.5%)</w:t>
            </w:r>
          </w:p>
        </w:tc>
        <w:tc>
          <w:tcPr>
            <w:tcW w:w="1501" w:type="dxa"/>
            <w:tcBorders>
              <w:top w:val="single" w:sz="4" w:space="0" w:color="7F7F7F" w:themeColor="text1" w:themeTint="80"/>
              <w:bottom w:val="single" w:sz="4" w:space="0" w:color="7F7F7F" w:themeColor="text1" w:themeTint="80"/>
            </w:tcBorders>
          </w:tcPr>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0.121</w:t>
            </w:r>
          </w:p>
        </w:tc>
      </w:tr>
      <w:tr w:rsidR="00DF6A44" w:rsidRPr="00A73B62" w:rsidTr="00DF6A44">
        <w:trPr>
          <w:trHeight w:val="35"/>
          <w:jc w:val="center"/>
        </w:trPr>
        <w:tc>
          <w:tcPr>
            <w:cnfStyle w:val="001000000000"/>
            <w:tcW w:w="3920" w:type="dxa"/>
            <w:shd w:val="clear" w:color="auto" w:fill="B6DDE8" w:themeFill="accent5" w:themeFillTint="66"/>
          </w:tcPr>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QoL grade</w:t>
            </w:r>
          </w:p>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N</w:t>
            </w:r>
          </w:p>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Low / Moderate</w:t>
            </w:r>
          </w:p>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Good / High</w:t>
            </w:r>
          </w:p>
        </w:tc>
        <w:tc>
          <w:tcPr>
            <w:tcW w:w="2085" w:type="dxa"/>
          </w:tcPr>
          <w:p w:rsidR="00DF6A44" w:rsidRPr="00A73B62" w:rsidRDefault="00DF6A44">
            <w:pPr>
              <w:spacing w:after="0" w:line="240" w:lineRule="auto"/>
              <w:ind w:right="4"/>
              <w:jc w:val="both"/>
              <w:cnfStyle w:val="000000000000"/>
              <w:rPr>
                <w:rFonts w:ascii="Times New Roman" w:hAnsi="Times New Roman" w:cs="Times New Roman"/>
                <w:sz w:val="20"/>
                <w:szCs w:val="20"/>
              </w:rPr>
            </w:pP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325 (56.7%)</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42 (12.9%)</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283 (87.1%)</w:t>
            </w:r>
          </w:p>
        </w:tc>
        <w:tc>
          <w:tcPr>
            <w:tcW w:w="2085" w:type="dxa"/>
          </w:tcPr>
          <w:p w:rsidR="00DF6A44" w:rsidRPr="00A73B62" w:rsidRDefault="00DF6A44">
            <w:pPr>
              <w:spacing w:after="0" w:line="240" w:lineRule="auto"/>
              <w:ind w:right="4"/>
              <w:jc w:val="both"/>
              <w:cnfStyle w:val="000000000000"/>
              <w:rPr>
                <w:rFonts w:ascii="Times New Roman" w:hAnsi="Times New Roman" w:cs="Times New Roman"/>
                <w:sz w:val="20"/>
                <w:szCs w:val="20"/>
              </w:rPr>
            </w:pP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40 (48.2%)</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10 (25%)</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30 (75%)</w:t>
            </w:r>
          </w:p>
        </w:tc>
        <w:tc>
          <w:tcPr>
            <w:tcW w:w="1501" w:type="dxa"/>
          </w:tcPr>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b/>
                <w:bCs/>
                <w:sz w:val="20"/>
                <w:szCs w:val="20"/>
              </w:rPr>
              <w:t>0.039</w:t>
            </w:r>
          </w:p>
        </w:tc>
      </w:tr>
      <w:tr w:rsidR="00DF6A44" w:rsidRPr="00A73B62" w:rsidTr="00DF6A44">
        <w:trPr>
          <w:trHeight w:val="35"/>
          <w:jc w:val="center"/>
        </w:trPr>
        <w:tc>
          <w:tcPr>
            <w:cnfStyle w:val="001000000000"/>
            <w:tcW w:w="3920" w:type="dxa"/>
            <w:tcBorders>
              <w:top w:val="single" w:sz="4" w:space="0" w:color="7F7F7F" w:themeColor="text1" w:themeTint="80"/>
              <w:bottom w:val="single" w:sz="4" w:space="0" w:color="7F7F7F" w:themeColor="text1" w:themeTint="80"/>
            </w:tcBorders>
            <w:shd w:val="clear" w:color="auto" w:fill="B6DDE8" w:themeFill="accent5" w:themeFillTint="66"/>
          </w:tcPr>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QoL questionnaire scores</w:t>
            </w:r>
          </w:p>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Health dimension</w:t>
            </w:r>
          </w:p>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Personality dimension</w:t>
            </w:r>
          </w:p>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External standard dimension</w:t>
            </w:r>
          </w:p>
          <w:p w:rsidR="00DF6A44" w:rsidRPr="00A73B62" w:rsidRDefault="00B0692F">
            <w:pPr>
              <w:spacing w:after="0" w:line="240" w:lineRule="auto"/>
              <w:ind w:right="4"/>
              <w:jc w:val="both"/>
              <w:rPr>
                <w:rFonts w:ascii="Times New Roman" w:hAnsi="Times New Roman" w:cs="Times New Roman"/>
                <w:b w:val="0"/>
                <w:bCs w:val="0"/>
                <w:sz w:val="20"/>
                <w:szCs w:val="20"/>
              </w:rPr>
            </w:pPr>
            <w:r w:rsidRPr="00A73B62">
              <w:rPr>
                <w:rFonts w:ascii="Times New Roman" w:hAnsi="Times New Roman" w:cs="Times New Roman"/>
                <w:sz w:val="20"/>
                <w:szCs w:val="20"/>
              </w:rPr>
              <w:t xml:space="preserve">   Total score</w:t>
            </w:r>
          </w:p>
        </w:tc>
        <w:tc>
          <w:tcPr>
            <w:tcW w:w="2085" w:type="dxa"/>
            <w:tcBorders>
              <w:top w:val="single" w:sz="4" w:space="0" w:color="7F7F7F" w:themeColor="text1" w:themeTint="80"/>
              <w:bottom w:val="single" w:sz="4" w:space="0" w:color="7F7F7F" w:themeColor="text1" w:themeTint="80"/>
            </w:tcBorders>
          </w:tcPr>
          <w:p w:rsidR="00DF6A44" w:rsidRPr="00A73B62" w:rsidRDefault="00DF6A44">
            <w:pPr>
              <w:spacing w:after="0" w:line="240" w:lineRule="auto"/>
              <w:ind w:right="4"/>
              <w:jc w:val="both"/>
              <w:cnfStyle w:val="000000000000"/>
              <w:rPr>
                <w:rFonts w:ascii="Times New Roman" w:hAnsi="Times New Roman" w:cs="Times New Roman"/>
                <w:sz w:val="20"/>
                <w:szCs w:val="20"/>
              </w:rPr>
            </w:pP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30.6 (8.1)</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55.2 (13.9)</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50.4 (12.2)</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136.2 (31.5)</w:t>
            </w:r>
          </w:p>
        </w:tc>
        <w:tc>
          <w:tcPr>
            <w:tcW w:w="2085" w:type="dxa"/>
            <w:tcBorders>
              <w:top w:val="single" w:sz="4" w:space="0" w:color="7F7F7F" w:themeColor="text1" w:themeTint="80"/>
              <w:bottom w:val="single" w:sz="4" w:space="0" w:color="7F7F7F" w:themeColor="text1" w:themeTint="80"/>
            </w:tcBorders>
          </w:tcPr>
          <w:p w:rsidR="00DF6A44" w:rsidRPr="00A73B62" w:rsidRDefault="00DF6A44">
            <w:pPr>
              <w:spacing w:after="0" w:line="240" w:lineRule="auto"/>
              <w:ind w:right="4"/>
              <w:jc w:val="both"/>
              <w:cnfStyle w:val="000000000000"/>
              <w:rPr>
                <w:rFonts w:ascii="Times New Roman" w:hAnsi="Times New Roman" w:cs="Times New Roman"/>
                <w:sz w:val="20"/>
                <w:szCs w:val="20"/>
              </w:rPr>
            </w:pP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24.4 (8.7)</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49.3 (16.1)</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47.6 (11.9)</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121.3 (34.6)</w:t>
            </w:r>
          </w:p>
        </w:tc>
        <w:tc>
          <w:tcPr>
            <w:tcW w:w="1501" w:type="dxa"/>
            <w:tcBorders>
              <w:top w:val="single" w:sz="4" w:space="0" w:color="7F7F7F" w:themeColor="text1" w:themeTint="80"/>
              <w:bottom w:val="single" w:sz="4" w:space="0" w:color="7F7F7F" w:themeColor="text1" w:themeTint="80"/>
            </w:tcBorders>
          </w:tcPr>
          <w:p w:rsidR="00DF6A44" w:rsidRPr="00A73B62" w:rsidRDefault="00DF6A44">
            <w:pPr>
              <w:spacing w:after="0" w:line="240" w:lineRule="auto"/>
              <w:ind w:right="4"/>
              <w:jc w:val="both"/>
              <w:cnfStyle w:val="000000000000"/>
              <w:rPr>
                <w:rFonts w:ascii="Times New Roman" w:hAnsi="Times New Roman" w:cs="Times New Roman"/>
                <w:sz w:val="20"/>
                <w:szCs w:val="20"/>
              </w:rPr>
            </w:pPr>
          </w:p>
          <w:p w:rsidR="00DF6A44" w:rsidRPr="00A73B62" w:rsidRDefault="00B0692F">
            <w:pPr>
              <w:spacing w:after="0" w:line="240" w:lineRule="auto"/>
              <w:ind w:right="4"/>
              <w:jc w:val="both"/>
              <w:cnfStyle w:val="000000000000"/>
              <w:rPr>
                <w:rFonts w:ascii="Times New Roman" w:hAnsi="Times New Roman" w:cs="Times New Roman"/>
                <w:b/>
                <w:bCs/>
                <w:sz w:val="20"/>
                <w:szCs w:val="20"/>
              </w:rPr>
            </w:pPr>
            <w:r w:rsidRPr="00A73B62">
              <w:rPr>
                <w:rFonts w:ascii="Times New Roman" w:hAnsi="Times New Roman" w:cs="Times New Roman"/>
                <w:b/>
                <w:bCs/>
                <w:sz w:val="20"/>
                <w:szCs w:val="20"/>
              </w:rPr>
              <w:t>&lt;0.001</w:t>
            </w:r>
          </w:p>
          <w:p w:rsidR="00DF6A44" w:rsidRPr="00A73B62" w:rsidRDefault="00B0692F">
            <w:pPr>
              <w:spacing w:after="0" w:line="240" w:lineRule="auto"/>
              <w:ind w:right="4"/>
              <w:jc w:val="both"/>
              <w:cnfStyle w:val="000000000000"/>
              <w:rPr>
                <w:rFonts w:ascii="Times New Roman" w:hAnsi="Times New Roman" w:cs="Times New Roman"/>
                <w:b/>
                <w:bCs/>
                <w:sz w:val="20"/>
                <w:szCs w:val="20"/>
              </w:rPr>
            </w:pPr>
            <w:r w:rsidRPr="00A73B62">
              <w:rPr>
                <w:rFonts w:ascii="Times New Roman" w:hAnsi="Times New Roman" w:cs="Times New Roman"/>
                <w:b/>
                <w:bCs/>
                <w:sz w:val="20"/>
                <w:szCs w:val="20"/>
              </w:rPr>
              <w:t>0.014</w:t>
            </w:r>
          </w:p>
          <w:p w:rsidR="00DF6A44" w:rsidRPr="00A73B62" w:rsidRDefault="00B0692F">
            <w:pPr>
              <w:spacing w:after="0" w:line="240" w:lineRule="auto"/>
              <w:ind w:right="4"/>
              <w:jc w:val="both"/>
              <w:cnfStyle w:val="000000000000"/>
              <w:rPr>
                <w:rFonts w:ascii="Times New Roman" w:hAnsi="Times New Roman" w:cs="Times New Roman"/>
                <w:sz w:val="20"/>
                <w:szCs w:val="20"/>
              </w:rPr>
            </w:pPr>
            <w:r w:rsidRPr="00A73B62">
              <w:rPr>
                <w:rFonts w:ascii="Times New Roman" w:hAnsi="Times New Roman" w:cs="Times New Roman"/>
                <w:sz w:val="20"/>
                <w:szCs w:val="20"/>
              </w:rPr>
              <w:t>0.165</w:t>
            </w:r>
          </w:p>
          <w:p w:rsidR="00DF6A44" w:rsidRPr="00A73B62" w:rsidRDefault="00B0692F">
            <w:pPr>
              <w:spacing w:after="0" w:line="240" w:lineRule="auto"/>
              <w:ind w:right="4"/>
              <w:jc w:val="both"/>
              <w:cnfStyle w:val="000000000000"/>
              <w:rPr>
                <w:rFonts w:ascii="Times New Roman" w:hAnsi="Times New Roman" w:cs="Times New Roman"/>
                <w:b/>
                <w:bCs/>
                <w:sz w:val="20"/>
                <w:szCs w:val="20"/>
              </w:rPr>
            </w:pPr>
            <w:r w:rsidRPr="00A73B62">
              <w:rPr>
                <w:rFonts w:ascii="Times New Roman" w:hAnsi="Times New Roman" w:cs="Times New Roman"/>
                <w:b/>
                <w:bCs/>
                <w:sz w:val="20"/>
                <w:szCs w:val="20"/>
              </w:rPr>
              <w:t>0.005</w:t>
            </w:r>
          </w:p>
        </w:tc>
      </w:tr>
    </w:tbl>
    <w:p w:rsidR="00DF6A44" w:rsidRPr="00A73B62" w:rsidRDefault="00B0692F">
      <w:pPr>
        <w:spacing w:after="0" w:line="240" w:lineRule="auto"/>
        <w:ind w:right="4"/>
        <w:jc w:val="both"/>
        <w:rPr>
          <w:rFonts w:ascii="Times New Roman" w:hAnsi="Times New Roman" w:cs="Times New Roman"/>
          <w:b/>
          <w:bCs/>
          <w:sz w:val="20"/>
          <w:szCs w:val="20"/>
        </w:rPr>
      </w:pPr>
      <w:r w:rsidRPr="00A73B62">
        <w:rPr>
          <w:rFonts w:ascii="Times New Roman" w:hAnsi="Times New Roman" w:cs="Times New Roman"/>
          <w:sz w:val="20"/>
          <w:szCs w:val="20"/>
        </w:rPr>
        <w:t xml:space="preserve">Notes: Data is N (%) for sex, marital </w:t>
      </w:r>
      <w:r w:rsidRPr="00A73B62">
        <w:rPr>
          <w:rFonts w:ascii="Times New Roman" w:hAnsi="Times New Roman" w:cs="Times New Roman"/>
          <w:sz w:val="20"/>
          <w:szCs w:val="20"/>
        </w:rPr>
        <w:t>status, faculty, university, and QoL grade (test of significance is Chi-Square test except marital status for which Fisher’s exact test [FET] was used) median (Range) or for age [Test of significance is Mann-Whitney U-test] OR mean [</w:t>
      </w:r>
      <m:oMath>
        <m:acc>
          <m:accPr>
            <m:chr m:val="̅"/>
            <m:ctrlPr>
              <w:rPr>
                <w:rFonts w:ascii="Cambria Math" w:hAnsi="Cambria Math" w:cs="Times New Roman"/>
                <w:sz w:val="20"/>
                <w:szCs w:val="20"/>
              </w:rPr>
            </m:ctrlPr>
          </m:accPr>
          <m:e>
            <m:r>
              <m:rPr>
                <m:sty m:val="p"/>
              </m:rPr>
              <w:rPr>
                <w:rFonts w:ascii="Cambria Math" w:hAnsi="Cambria Math" w:cs="Times New Roman"/>
                <w:sz w:val="20"/>
                <w:szCs w:val="20"/>
              </w:rPr>
              <m:t>X</m:t>
            </m:r>
          </m:e>
        </m:acc>
      </m:oMath>
      <w:r w:rsidRPr="00A73B62">
        <w:rPr>
          <w:rFonts w:ascii="Times New Roman" w:hAnsi="Times New Roman" w:cs="Times New Roman"/>
          <w:sz w:val="20"/>
          <w:szCs w:val="20"/>
        </w:rPr>
        <w:t xml:space="preserve">] (SD) for QoL scores </w:t>
      </w:r>
      <w:r w:rsidRPr="00A73B62">
        <w:rPr>
          <w:rFonts w:ascii="Times New Roman" w:hAnsi="Times New Roman" w:cs="Times New Roman"/>
          <w:sz w:val="20"/>
          <w:szCs w:val="20"/>
        </w:rPr>
        <w:t>[Test of significance is Independent-Samples t-test].</w:t>
      </w:r>
    </w:p>
    <w:p w:rsidR="00DF6A44" w:rsidRPr="00A73B62" w:rsidRDefault="00DF6A44">
      <w:pPr>
        <w:autoSpaceDE w:val="0"/>
        <w:autoSpaceDN w:val="0"/>
        <w:adjustRightInd w:val="0"/>
        <w:spacing w:after="0" w:line="240" w:lineRule="auto"/>
        <w:jc w:val="both"/>
        <w:rPr>
          <w:rFonts w:ascii="Times New Roman" w:hAnsi="Times New Roman" w:cs="Times New Roman"/>
          <w:sz w:val="20"/>
          <w:szCs w:val="20"/>
        </w:rPr>
      </w:pPr>
    </w:p>
    <w:p w:rsidR="00DF6A44" w:rsidRDefault="00DF6A44">
      <w:pPr>
        <w:autoSpaceDE w:val="0"/>
        <w:autoSpaceDN w:val="0"/>
        <w:adjustRightInd w:val="0"/>
        <w:spacing w:after="0" w:line="240" w:lineRule="auto"/>
        <w:jc w:val="both"/>
        <w:rPr>
          <w:rFonts w:ascii="Times New Roman" w:hAnsi="Times New Roman" w:cs="Times New Roman" w:hint="eastAsia"/>
          <w:sz w:val="20"/>
          <w:szCs w:val="20"/>
          <w:lang w:eastAsia="zh-CN"/>
        </w:rPr>
      </w:pPr>
    </w:p>
    <w:p w:rsidR="00A73B62" w:rsidRPr="00A73B62" w:rsidRDefault="00A73B62">
      <w:pPr>
        <w:autoSpaceDE w:val="0"/>
        <w:autoSpaceDN w:val="0"/>
        <w:adjustRightInd w:val="0"/>
        <w:spacing w:after="0" w:line="240" w:lineRule="auto"/>
        <w:jc w:val="both"/>
        <w:rPr>
          <w:rFonts w:ascii="Times New Roman" w:hAnsi="Times New Roman" w:cs="Times New Roman" w:hint="eastAsia"/>
          <w:sz w:val="20"/>
          <w:szCs w:val="20"/>
          <w:lang w:eastAsia="zh-CN"/>
        </w:rPr>
        <w:sectPr w:rsidR="00A73B62" w:rsidRPr="00A73B62">
          <w:type w:val="continuous"/>
          <w:pgSz w:w="12240" w:h="15840"/>
          <w:pgMar w:top="1440" w:right="1440" w:bottom="1440" w:left="1440" w:header="720" w:footer="720" w:gutter="0"/>
          <w:cols w:space="709"/>
          <w:titlePg/>
          <w:docGrid w:linePitch="360"/>
        </w:sectPr>
      </w:pP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lastRenderedPageBreak/>
        <w:t xml:space="preserve">         This is in agreement with our study, </w:t>
      </w:r>
      <w:r w:rsidRPr="00A73B62">
        <w:rPr>
          <w:rFonts w:ascii="Times New Roman" w:hAnsi="Times New Roman" w:cs="Times New Roman"/>
          <w:b/>
          <w:bCs/>
          <w:sz w:val="20"/>
          <w:szCs w:val="20"/>
        </w:rPr>
        <w:t>Govindaraja et al. 2018</w:t>
      </w:r>
      <w:r w:rsidRPr="00A73B62">
        <w:rPr>
          <w:rFonts w:ascii="Times New Roman" w:hAnsi="Times New Roman" w:cs="Times New Roman"/>
          <w:sz w:val="20"/>
          <w:szCs w:val="20"/>
        </w:rPr>
        <w:t xml:space="preserve"> found that IBS was more common in students who were or more than 22 years old</w:t>
      </w:r>
      <w:r w:rsidRPr="00A73B62">
        <w:rPr>
          <w:rFonts w:ascii="Times New Roman" w:eastAsia="Calibri" w:hAnsi="Times New Roman" w:cs="Times New Roman"/>
          <w:b/>
          <w:bCs/>
          <w:sz w:val="20"/>
          <w:szCs w:val="20"/>
          <w:vertAlign w:val="superscript"/>
          <w:lang w:bidi="ar-EG"/>
        </w:rPr>
        <w:t>30</w:t>
      </w:r>
      <w:r w:rsidRPr="00A73B62">
        <w:rPr>
          <w:rFonts w:ascii="Times New Roman" w:hAnsi="Times New Roman" w:cs="Times New Roman"/>
          <w:sz w:val="20"/>
          <w:szCs w:val="20"/>
        </w:rPr>
        <w:t xml:space="preserve">, also </w:t>
      </w:r>
      <w:r w:rsidRPr="00A73B62">
        <w:rPr>
          <w:rFonts w:ascii="Times New Roman" w:hAnsi="Times New Roman" w:cs="Times New Roman"/>
          <w:b/>
          <w:bCs/>
          <w:sz w:val="20"/>
          <w:szCs w:val="20"/>
        </w:rPr>
        <w:t>Alaqeel et al. 2017</w:t>
      </w:r>
      <w:r w:rsidRPr="00A73B62">
        <w:rPr>
          <w:rFonts w:ascii="Times New Roman" w:hAnsi="Times New Roman" w:cs="Times New Roman"/>
          <w:sz w:val="20"/>
          <w:szCs w:val="20"/>
        </w:rPr>
        <w:t xml:space="preserve"> reported the same results</w:t>
      </w:r>
      <w:r w:rsidRPr="00A73B62">
        <w:rPr>
          <w:rFonts w:ascii="Times New Roman" w:eastAsia="Calibri" w:hAnsi="Times New Roman" w:cs="Times New Roman"/>
          <w:b/>
          <w:bCs/>
          <w:sz w:val="20"/>
          <w:szCs w:val="20"/>
          <w:vertAlign w:val="superscript"/>
          <w:lang w:bidi="ar-EG"/>
        </w:rPr>
        <w:t>31</w:t>
      </w:r>
      <w:r w:rsidRPr="00A73B62">
        <w:rPr>
          <w:rFonts w:ascii="Times New Roman" w:hAnsi="Times New Roman" w:cs="Times New Roman"/>
          <w:sz w:val="20"/>
          <w:szCs w:val="20"/>
        </w:rPr>
        <w:t>.</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In contrast to our study, </w:t>
      </w:r>
      <w:r w:rsidRPr="00A73B62">
        <w:rPr>
          <w:rFonts w:ascii="Times New Roman" w:hAnsi="Times New Roman" w:cs="Times New Roman"/>
          <w:b/>
          <w:bCs/>
          <w:sz w:val="20"/>
          <w:szCs w:val="20"/>
        </w:rPr>
        <w:t>Costanian et al. 2015</w:t>
      </w:r>
      <w:r w:rsidRPr="00A73B62">
        <w:rPr>
          <w:rFonts w:ascii="Times New Roman" w:eastAsia="Calibri" w:hAnsi="Times New Roman" w:cs="Times New Roman"/>
          <w:b/>
          <w:bCs/>
          <w:sz w:val="20"/>
          <w:szCs w:val="20"/>
          <w:vertAlign w:val="superscript"/>
          <w:lang w:bidi="ar-EG"/>
        </w:rPr>
        <w:t>21</w:t>
      </w:r>
      <w:r w:rsidRPr="00A73B62">
        <w:rPr>
          <w:rFonts w:ascii="Times New Roman" w:hAnsi="Times New Roman" w:cs="Times New Roman"/>
          <w:sz w:val="20"/>
          <w:szCs w:val="20"/>
        </w:rPr>
        <w:t xml:space="preserve"> and </w:t>
      </w:r>
      <w:r w:rsidRPr="00A73B62">
        <w:rPr>
          <w:rFonts w:ascii="Times New Roman" w:hAnsi="Times New Roman" w:cs="Times New Roman"/>
          <w:b/>
          <w:bCs/>
          <w:sz w:val="20"/>
          <w:szCs w:val="20"/>
        </w:rPr>
        <w:t>Ghanaei et al. 2009</w:t>
      </w:r>
      <w:r w:rsidRPr="00A73B62">
        <w:rPr>
          <w:rFonts w:ascii="Times New Roman" w:eastAsia="Calibri" w:hAnsi="Times New Roman" w:cs="Times New Roman"/>
          <w:b/>
          <w:bCs/>
          <w:sz w:val="20"/>
          <w:szCs w:val="20"/>
          <w:vertAlign w:val="superscript"/>
          <w:lang w:bidi="ar-EG"/>
        </w:rPr>
        <w:t>28</w:t>
      </w:r>
      <w:r w:rsidRPr="00A73B62">
        <w:rPr>
          <w:rFonts w:ascii="Times New Roman" w:hAnsi="Times New Roman" w:cs="Times New Roman"/>
          <w:sz w:val="20"/>
          <w:szCs w:val="20"/>
        </w:rPr>
        <w:t xml:space="preserve"> documented that IBS prevalence was higher among students who aged ≤ 22 years than older students who aged &gt;22 years. </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Those results </w:t>
      </w:r>
      <w:r w:rsidRPr="00A73B62">
        <w:rPr>
          <w:rFonts w:ascii="Times New Roman" w:hAnsi="Times New Roman" w:cs="Times New Roman"/>
          <w:sz w:val="20"/>
          <w:szCs w:val="20"/>
        </w:rPr>
        <w:t xml:space="preserve">might be due to improved adaptation of a lot of older students to the symptoms or due to becoming aware of managing the symptoms by medication. </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We also found that 39 single students had IBS (97.5%) and only 1 married student had the disease (2.5%</w:t>
      </w:r>
      <w:r w:rsidRPr="00A73B62">
        <w:rPr>
          <w:rFonts w:ascii="Times New Roman" w:hAnsi="Times New Roman" w:cs="Times New Roman"/>
          <w:sz w:val="20"/>
          <w:szCs w:val="20"/>
        </w:rPr>
        <w:t xml:space="preserve">). The correlation between marital status and having IBS was statistically insignificant. That might </w:t>
      </w:r>
      <w:r w:rsidRPr="00A73B62">
        <w:rPr>
          <w:rFonts w:ascii="Times New Roman" w:hAnsi="Times New Roman" w:cs="Times New Roman"/>
          <w:sz w:val="20"/>
          <w:szCs w:val="20"/>
        </w:rPr>
        <w:lastRenderedPageBreak/>
        <w:t xml:space="preserve">be due to the very low number of married students in general in our sample size </w:t>
      </w:r>
      <w:r w:rsidRPr="00A73B62">
        <w:rPr>
          <w:rFonts w:ascii="Times New Roman" w:hAnsi="Times New Roman" w:cs="Times New Roman"/>
          <w:b/>
          <w:bCs/>
          <w:sz w:val="20"/>
          <w:szCs w:val="20"/>
        </w:rPr>
        <w:t>(table 6).</w:t>
      </w:r>
      <w:r w:rsidRPr="00A73B62">
        <w:rPr>
          <w:rFonts w:ascii="Times New Roman" w:hAnsi="Times New Roman" w:cs="Times New Roman"/>
          <w:sz w:val="20"/>
          <w:szCs w:val="20"/>
        </w:rPr>
        <w:t xml:space="preserve"> </w:t>
      </w:r>
    </w:p>
    <w:p w:rsidR="00DF6A44" w:rsidRPr="00A73B62" w:rsidRDefault="00B0692F">
      <w:pPr>
        <w:autoSpaceDE w:val="0"/>
        <w:autoSpaceDN w:val="0"/>
        <w:adjustRightInd w:val="0"/>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Our results showed that there was no statistically sig</w:t>
      </w:r>
      <w:r w:rsidRPr="00A73B62">
        <w:rPr>
          <w:rFonts w:ascii="Times New Roman" w:hAnsi="Times New Roman" w:cs="Times New Roman"/>
          <w:sz w:val="20"/>
          <w:szCs w:val="20"/>
        </w:rPr>
        <w:t xml:space="preserve">nificant differences in IBS prevalence in the four universities (Mansoura, Alexandria, Port Said and Assuit) (p value = 0.121) </w:t>
      </w:r>
      <w:r w:rsidRPr="00A73B62">
        <w:rPr>
          <w:rFonts w:ascii="Times New Roman" w:hAnsi="Times New Roman" w:cs="Times New Roman"/>
          <w:b/>
          <w:bCs/>
          <w:sz w:val="20"/>
          <w:szCs w:val="20"/>
        </w:rPr>
        <w:t>(table 6).</w:t>
      </w:r>
      <w:r w:rsidRPr="00A73B62">
        <w:rPr>
          <w:rFonts w:ascii="Times New Roman" w:hAnsi="Times New Roman" w:cs="Times New Roman"/>
          <w:sz w:val="20"/>
          <w:szCs w:val="20"/>
        </w:rPr>
        <w:t xml:space="preserve">  </w:t>
      </w:r>
    </w:p>
    <w:p w:rsidR="00DF6A44" w:rsidRPr="00A73B62" w:rsidRDefault="00B0692F">
      <w:pPr>
        <w:spacing w:after="0" w:line="240" w:lineRule="auto"/>
        <w:jc w:val="both"/>
        <w:rPr>
          <w:rFonts w:ascii="Times New Roman" w:hAnsi="Times New Roman" w:cs="Times New Roman"/>
          <w:b/>
          <w:bCs/>
          <w:sz w:val="20"/>
          <w:szCs w:val="20"/>
        </w:rPr>
      </w:pPr>
      <w:r w:rsidRPr="00A73B62">
        <w:rPr>
          <w:rFonts w:ascii="Times New Roman" w:hAnsi="Times New Roman" w:cs="Times New Roman"/>
          <w:sz w:val="20"/>
          <w:szCs w:val="20"/>
        </w:rPr>
        <w:t xml:space="preserve">         In the present study, we investigated the QoL in the non-IBS and IBS students and found that IBS group had </w:t>
      </w:r>
      <w:r w:rsidRPr="00A73B62">
        <w:rPr>
          <w:rFonts w:ascii="Times New Roman" w:hAnsi="Times New Roman" w:cs="Times New Roman"/>
          <w:sz w:val="20"/>
          <w:szCs w:val="20"/>
        </w:rPr>
        <w:t xml:space="preserve">statistically significant lower QoL (p value = 0.039) </w:t>
      </w:r>
      <w:r w:rsidRPr="00A73B62">
        <w:rPr>
          <w:rFonts w:ascii="Times New Roman" w:hAnsi="Times New Roman" w:cs="Times New Roman"/>
          <w:b/>
          <w:bCs/>
          <w:sz w:val="20"/>
          <w:szCs w:val="20"/>
        </w:rPr>
        <w:t>(table 6).</w:t>
      </w:r>
    </w:p>
    <w:p w:rsidR="00DF6A44" w:rsidRPr="00A73B62" w:rsidRDefault="00B0692F">
      <w:pPr>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 xml:space="preserve">         In agreement with our results, </w:t>
      </w:r>
      <w:r w:rsidRPr="00A73B62">
        <w:rPr>
          <w:rFonts w:ascii="Times New Roman" w:hAnsi="Times New Roman" w:cs="Times New Roman"/>
          <w:b/>
          <w:bCs/>
          <w:sz w:val="20"/>
          <w:szCs w:val="20"/>
        </w:rPr>
        <w:t>Dong et al. 2010</w:t>
      </w:r>
      <w:r w:rsidRPr="00A73B62">
        <w:rPr>
          <w:rFonts w:ascii="Times New Roman" w:eastAsia="Calibri" w:hAnsi="Times New Roman" w:cs="Times New Roman"/>
          <w:b/>
          <w:bCs/>
          <w:sz w:val="20"/>
          <w:szCs w:val="20"/>
          <w:vertAlign w:val="superscript"/>
          <w:lang w:bidi="ar-EG"/>
        </w:rPr>
        <w:t>25</w:t>
      </w:r>
      <w:r w:rsidRPr="00A73B62">
        <w:rPr>
          <w:rFonts w:ascii="Times New Roman" w:hAnsi="Times New Roman" w:cs="Times New Roman"/>
          <w:sz w:val="20"/>
          <w:szCs w:val="20"/>
        </w:rPr>
        <w:t xml:space="preserve"> and </w:t>
      </w:r>
      <w:r w:rsidRPr="00A73B62">
        <w:rPr>
          <w:rFonts w:ascii="Times New Roman" w:hAnsi="Times New Roman" w:cs="Times New Roman"/>
          <w:b/>
          <w:bCs/>
          <w:sz w:val="20"/>
          <w:szCs w:val="20"/>
        </w:rPr>
        <w:t>Kesuma et al. 2021</w:t>
      </w:r>
      <w:r w:rsidRPr="00A73B62">
        <w:rPr>
          <w:rFonts w:ascii="Times New Roman" w:eastAsia="Calibri" w:hAnsi="Times New Roman" w:cs="Times New Roman"/>
          <w:b/>
          <w:bCs/>
          <w:sz w:val="20"/>
          <w:szCs w:val="20"/>
          <w:vertAlign w:val="superscript"/>
          <w:lang w:bidi="ar-EG"/>
        </w:rPr>
        <w:t>32</w:t>
      </w:r>
      <w:r w:rsidRPr="00A73B62">
        <w:rPr>
          <w:rFonts w:ascii="Times New Roman" w:hAnsi="Times New Roman" w:cs="Times New Roman"/>
          <w:sz w:val="20"/>
          <w:szCs w:val="20"/>
        </w:rPr>
        <w:t xml:space="preserve"> . </w:t>
      </w:r>
      <w:r w:rsidRPr="00A73B62">
        <w:rPr>
          <w:rFonts w:ascii="Times New Roman" w:hAnsi="Times New Roman" w:cs="Times New Roman"/>
          <w:sz w:val="20"/>
          <w:szCs w:val="20"/>
        </w:rPr>
        <w:t xml:space="preserve"> </w:t>
      </w:r>
    </w:p>
    <w:p w:rsidR="00DF6A44" w:rsidRPr="00A73B62" w:rsidRDefault="00DF6A44">
      <w:pPr>
        <w:spacing w:after="0" w:line="240" w:lineRule="auto"/>
        <w:jc w:val="both"/>
        <w:rPr>
          <w:rFonts w:ascii="Times New Roman" w:hAnsi="Times New Roman" w:cs="Times New Roman"/>
          <w:b/>
          <w:bCs/>
          <w:sz w:val="20"/>
          <w:szCs w:val="20"/>
        </w:rPr>
      </w:pPr>
    </w:p>
    <w:p w:rsidR="00DF6A44" w:rsidRPr="00A73B62" w:rsidRDefault="00B0692F">
      <w:pPr>
        <w:spacing w:after="0" w:line="240" w:lineRule="auto"/>
        <w:ind w:right="-43"/>
        <w:jc w:val="both"/>
        <w:rPr>
          <w:rFonts w:ascii="Times New Roman" w:hAnsi="Times New Roman" w:cs="Times New Roman"/>
          <w:sz w:val="20"/>
          <w:szCs w:val="20"/>
        </w:rPr>
      </w:pPr>
      <w:r w:rsidRPr="00A73B62">
        <w:rPr>
          <w:rFonts w:ascii="Times New Roman" w:hAnsi="Times New Roman" w:cs="Times New Roman"/>
          <w:b/>
          <w:bCs/>
          <w:sz w:val="20"/>
          <w:szCs w:val="20"/>
        </w:rPr>
        <w:t>Statements and declarations</w:t>
      </w:r>
      <w:r w:rsidRPr="00A73B62">
        <w:rPr>
          <w:rFonts w:ascii="Times New Roman" w:hAnsi="Times New Roman" w:cs="Times New Roman"/>
          <w:sz w:val="20"/>
          <w:szCs w:val="20"/>
        </w:rPr>
        <w:t>: No.</w:t>
      </w:r>
    </w:p>
    <w:p w:rsidR="00DF6A44" w:rsidRDefault="00DF6A44">
      <w:pPr>
        <w:spacing w:after="0" w:line="240" w:lineRule="auto"/>
        <w:jc w:val="both"/>
        <w:rPr>
          <w:rFonts w:ascii="Times New Roman" w:hAnsi="Times New Roman" w:cs="Times New Roman" w:hint="eastAsia"/>
          <w:b/>
          <w:bCs/>
          <w:color w:val="000000"/>
          <w:sz w:val="20"/>
          <w:szCs w:val="20"/>
          <w:lang w:eastAsia="zh-CN"/>
        </w:rPr>
      </w:pPr>
    </w:p>
    <w:p w:rsidR="00A73B62" w:rsidRDefault="00A73B62">
      <w:pPr>
        <w:spacing w:after="0" w:line="240" w:lineRule="auto"/>
        <w:jc w:val="both"/>
        <w:rPr>
          <w:rFonts w:ascii="Times New Roman" w:hAnsi="Times New Roman" w:cs="Times New Roman" w:hint="eastAsia"/>
          <w:b/>
          <w:bCs/>
          <w:color w:val="000000"/>
          <w:sz w:val="20"/>
          <w:szCs w:val="20"/>
          <w:lang w:eastAsia="zh-CN"/>
        </w:rPr>
      </w:pPr>
    </w:p>
    <w:p w:rsidR="00A73B62" w:rsidRPr="00A73B62" w:rsidRDefault="00A73B62">
      <w:pPr>
        <w:spacing w:after="0" w:line="240" w:lineRule="auto"/>
        <w:jc w:val="both"/>
        <w:rPr>
          <w:rFonts w:ascii="Times New Roman" w:hAnsi="Times New Roman" w:cs="Times New Roman" w:hint="eastAsia"/>
          <w:b/>
          <w:bCs/>
          <w:color w:val="000000"/>
          <w:sz w:val="20"/>
          <w:szCs w:val="20"/>
          <w:lang w:eastAsia="zh-CN"/>
        </w:rPr>
      </w:pPr>
    </w:p>
    <w:p w:rsidR="00DF6A44" w:rsidRPr="00A73B62" w:rsidRDefault="00B0692F">
      <w:pPr>
        <w:spacing w:after="0" w:line="240" w:lineRule="auto"/>
        <w:jc w:val="both"/>
        <w:rPr>
          <w:rFonts w:ascii="Times New Roman" w:hAnsi="Times New Roman" w:cs="Times New Roman"/>
          <w:sz w:val="20"/>
          <w:szCs w:val="20"/>
        </w:rPr>
      </w:pPr>
      <w:r w:rsidRPr="00A73B62">
        <w:rPr>
          <w:rFonts w:ascii="Times New Roman" w:hAnsi="Times New Roman" w:cs="Times New Roman"/>
          <w:b/>
          <w:bCs/>
          <w:color w:val="000000"/>
          <w:sz w:val="20"/>
          <w:szCs w:val="20"/>
        </w:rPr>
        <w:lastRenderedPageBreak/>
        <w:t xml:space="preserve">Limitation: </w:t>
      </w:r>
    </w:p>
    <w:p w:rsidR="00DF6A44" w:rsidRDefault="00B0692F">
      <w:pPr>
        <w:spacing w:after="0" w:line="240" w:lineRule="auto"/>
        <w:ind w:firstLine="426"/>
        <w:jc w:val="both"/>
        <w:rPr>
          <w:rFonts w:ascii="Times New Roman" w:hAnsi="Times New Roman" w:cs="Times New Roman" w:hint="eastAsia"/>
          <w:sz w:val="20"/>
          <w:szCs w:val="20"/>
          <w:lang w:eastAsia="zh-CN"/>
        </w:rPr>
      </w:pPr>
      <w:r w:rsidRPr="00A73B62">
        <w:rPr>
          <w:rFonts w:ascii="Times New Roman" w:hAnsi="Times New Roman" w:cs="Times New Roman"/>
          <w:sz w:val="20"/>
          <w:szCs w:val="20"/>
        </w:rPr>
        <w:t xml:space="preserve">Refusal to fill out the questionnaires by some </w:t>
      </w:r>
      <w:r w:rsidRPr="00A73B62">
        <w:rPr>
          <w:rFonts w:ascii="Times New Roman" w:hAnsi="Times New Roman" w:cs="Times New Roman"/>
          <w:sz w:val="20"/>
          <w:szCs w:val="20"/>
        </w:rPr>
        <w:t>students or unfinishing it.</w:t>
      </w:r>
    </w:p>
    <w:p w:rsidR="00A73B62" w:rsidRPr="00A73B62" w:rsidRDefault="00A73B62">
      <w:pPr>
        <w:spacing w:after="0" w:line="240" w:lineRule="auto"/>
        <w:ind w:firstLine="426"/>
        <w:jc w:val="both"/>
        <w:rPr>
          <w:rFonts w:ascii="Times New Roman" w:hAnsi="Times New Roman" w:cs="Times New Roman" w:hint="eastAsia"/>
          <w:sz w:val="20"/>
          <w:szCs w:val="20"/>
          <w:lang w:eastAsia="zh-CN"/>
        </w:rPr>
      </w:pPr>
    </w:p>
    <w:p w:rsidR="00DF6A44" w:rsidRPr="00A73B62" w:rsidRDefault="00B0692F">
      <w:pPr>
        <w:spacing w:after="0" w:line="240" w:lineRule="auto"/>
        <w:jc w:val="both"/>
        <w:rPr>
          <w:rFonts w:ascii="Times New Roman" w:hAnsi="Times New Roman" w:cs="Times New Roman"/>
          <w:sz w:val="20"/>
          <w:szCs w:val="20"/>
        </w:rPr>
      </w:pPr>
      <w:r w:rsidRPr="00A73B62">
        <w:rPr>
          <w:rFonts w:ascii="Times New Roman" w:hAnsi="Times New Roman" w:cs="Times New Roman"/>
          <w:b/>
          <w:bCs/>
          <w:sz w:val="20"/>
          <w:szCs w:val="20"/>
        </w:rPr>
        <w:t>Abbreviations</w:t>
      </w:r>
      <w:r w:rsidRPr="00A73B62">
        <w:rPr>
          <w:rFonts w:ascii="Times New Roman" w:hAnsi="Times New Roman" w:cs="Times New Roman"/>
          <w:sz w:val="20"/>
          <w:szCs w:val="20"/>
        </w:rPr>
        <w:t xml:space="preserve">: </w:t>
      </w:r>
    </w:p>
    <w:p w:rsidR="00DF6A44" w:rsidRPr="00A73B62" w:rsidRDefault="00B0692F">
      <w:pPr>
        <w:spacing w:after="0" w:line="240" w:lineRule="auto"/>
        <w:jc w:val="both"/>
        <w:rPr>
          <w:rFonts w:ascii="Times New Roman" w:hAnsi="Times New Roman" w:cs="Times New Roman"/>
          <w:sz w:val="20"/>
          <w:szCs w:val="20"/>
        </w:rPr>
      </w:pPr>
      <w:r w:rsidRPr="00A73B62">
        <w:rPr>
          <w:rFonts w:ascii="Times New Roman" w:hAnsi="Times New Roman" w:cs="Times New Roman"/>
          <w:sz w:val="20"/>
          <w:szCs w:val="20"/>
        </w:rPr>
        <w:t>QoL: quality of life and IBS: irritable bowel syndrome.</w:t>
      </w:r>
    </w:p>
    <w:p w:rsidR="00DF6A44" w:rsidRPr="00A73B62" w:rsidRDefault="00DF6A44">
      <w:pPr>
        <w:spacing w:after="0" w:line="240" w:lineRule="auto"/>
        <w:jc w:val="both"/>
        <w:rPr>
          <w:rFonts w:ascii="Times New Roman" w:hAnsi="Times New Roman" w:cs="Times New Roman"/>
          <w:b/>
          <w:bCs/>
          <w:color w:val="000000"/>
          <w:sz w:val="20"/>
          <w:szCs w:val="20"/>
        </w:rPr>
      </w:pPr>
    </w:p>
    <w:p w:rsidR="00DF6A44" w:rsidRPr="00A73B62" w:rsidRDefault="00B0692F">
      <w:pPr>
        <w:spacing w:after="0" w:line="240" w:lineRule="auto"/>
        <w:jc w:val="both"/>
        <w:rPr>
          <w:rFonts w:ascii="Times New Roman" w:hAnsi="Times New Roman" w:cs="Times New Roman"/>
          <w:sz w:val="20"/>
          <w:szCs w:val="20"/>
        </w:rPr>
      </w:pPr>
      <w:r w:rsidRPr="00A73B62">
        <w:rPr>
          <w:rFonts w:ascii="Times New Roman" w:hAnsi="Times New Roman" w:cs="Times New Roman"/>
          <w:b/>
          <w:bCs/>
          <w:color w:val="000000"/>
          <w:sz w:val="20"/>
          <w:szCs w:val="20"/>
        </w:rPr>
        <w:t>Role of the Funding Source Conflict of interest:</w:t>
      </w:r>
      <w:r w:rsidRPr="00A73B62">
        <w:rPr>
          <w:rFonts w:ascii="Times New Roman" w:hAnsi="Times New Roman" w:cs="Times New Roman"/>
          <w:sz w:val="20"/>
          <w:szCs w:val="20"/>
        </w:rPr>
        <w:t xml:space="preserve"> </w:t>
      </w:r>
    </w:p>
    <w:p w:rsidR="00DF6A44" w:rsidRPr="00A73B62" w:rsidRDefault="00B0692F">
      <w:pPr>
        <w:spacing w:after="0" w:line="240" w:lineRule="auto"/>
        <w:jc w:val="both"/>
        <w:rPr>
          <w:rFonts w:ascii="Times New Roman" w:hAnsi="Times New Roman" w:cs="Times New Roman"/>
          <w:b/>
          <w:bCs/>
          <w:color w:val="000000"/>
          <w:sz w:val="20"/>
          <w:szCs w:val="20"/>
        </w:rPr>
      </w:pPr>
      <w:r w:rsidRPr="00A73B62">
        <w:rPr>
          <w:rFonts w:ascii="Times New Roman" w:hAnsi="Times New Roman" w:cs="Times New Roman"/>
          <w:sz w:val="20"/>
          <w:szCs w:val="20"/>
        </w:rPr>
        <w:t>No external funding was received for this study.</w:t>
      </w:r>
    </w:p>
    <w:p w:rsidR="00DF6A44" w:rsidRPr="00A73B62" w:rsidRDefault="00DF6A44">
      <w:pPr>
        <w:spacing w:after="0" w:line="240" w:lineRule="auto"/>
        <w:jc w:val="both"/>
        <w:rPr>
          <w:rFonts w:ascii="Times New Roman" w:hAnsi="Times New Roman" w:cs="Times New Roman"/>
          <w:b/>
          <w:bCs/>
          <w:color w:val="000000"/>
          <w:sz w:val="20"/>
          <w:szCs w:val="20"/>
        </w:rPr>
      </w:pPr>
    </w:p>
    <w:p w:rsidR="00DF6A44" w:rsidRPr="00A73B62" w:rsidRDefault="00B0692F">
      <w:pPr>
        <w:spacing w:after="0" w:line="240" w:lineRule="auto"/>
        <w:jc w:val="both"/>
        <w:rPr>
          <w:rFonts w:ascii="Times New Roman" w:eastAsia="Calibri" w:hAnsi="Times New Roman" w:cs="Times New Roman"/>
          <w:b/>
          <w:sz w:val="20"/>
          <w:szCs w:val="20"/>
        </w:rPr>
      </w:pPr>
      <w:r w:rsidRPr="00A73B62">
        <w:rPr>
          <w:rFonts w:ascii="Times New Roman" w:hAnsi="Times New Roman" w:cs="Times New Roman"/>
          <w:b/>
          <w:bCs/>
          <w:color w:val="000000"/>
          <w:sz w:val="20"/>
          <w:szCs w:val="20"/>
        </w:rPr>
        <w:t>Conflict of interest:</w:t>
      </w:r>
      <w:r w:rsidRPr="00A73B62">
        <w:rPr>
          <w:rFonts w:ascii="Times New Roman" w:hAnsi="Times New Roman" w:cs="Times New Roman"/>
          <w:sz w:val="20"/>
          <w:szCs w:val="20"/>
        </w:rPr>
        <w:t xml:space="preserve"> No.</w:t>
      </w:r>
    </w:p>
    <w:p w:rsidR="00DF6A44" w:rsidRPr="00A73B62" w:rsidRDefault="00DF6A44">
      <w:pPr>
        <w:spacing w:after="0" w:line="240" w:lineRule="auto"/>
        <w:ind w:right="-43"/>
        <w:jc w:val="both"/>
        <w:rPr>
          <w:rFonts w:ascii="Times New Roman" w:eastAsia="Calibri" w:hAnsi="Times New Roman" w:cs="Times New Roman"/>
          <w:b/>
          <w:sz w:val="20"/>
          <w:szCs w:val="20"/>
        </w:rPr>
      </w:pPr>
    </w:p>
    <w:p w:rsidR="00DF6A44" w:rsidRPr="00A73B62" w:rsidRDefault="00B0692F">
      <w:pPr>
        <w:spacing w:after="0" w:line="240" w:lineRule="auto"/>
        <w:ind w:right="-43"/>
        <w:jc w:val="both"/>
        <w:rPr>
          <w:rFonts w:ascii="Times New Roman" w:eastAsia="Calibri" w:hAnsi="Times New Roman" w:cs="Times New Roman"/>
          <w:b/>
          <w:sz w:val="20"/>
          <w:szCs w:val="20"/>
        </w:rPr>
      </w:pPr>
      <w:r w:rsidRPr="00A73B62">
        <w:rPr>
          <w:rFonts w:ascii="Times New Roman" w:eastAsia="Calibri" w:hAnsi="Times New Roman" w:cs="Times New Roman"/>
          <w:b/>
          <w:sz w:val="20"/>
          <w:szCs w:val="20"/>
        </w:rPr>
        <w:t xml:space="preserve">Acknowledgments: </w:t>
      </w:r>
    </w:p>
    <w:p w:rsidR="00DF6A44" w:rsidRPr="00A73B62" w:rsidRDefault="00B0692F">
      <w:pPr>
        <w:pStyle w:val="ListParagraph"/>
        <w:numPr>
          <w:ilvl w:val="0"/>
          <w:numId w:val="1"/>
        </w:numPr>
        <w:spacing w:after="0" w:line="240" w:lineRule="auto"/>
        <w:ind w:left="426" w:right="-43"/>
        <w:jc w:val="both"/>
        <w:rPr>
          <w:rFonts w:ascii="Times New Roman" w:hAnsi="Times New Roman" w:cs="Times New Roman"/>
          <w:sz w:val="20"/>
          <w:szCs w:val="20"/>
        </w:rPr>
      </w:pPr>
      <w:r w:rsidRPr="00A73B62">
        <w:rPr>
          <w:rFonts w:ascii="Times New Roman" w:eastAsia="Calibri" w:hAnsi="Times New Roman" w:cs="Times New Roman"/>
          <w:b/>
          <w:sz w:val="20"/>
          <w:szCs w:val="20"/>
        </w:rPr>
        <w:t>Prof.</w:t>
      </w:r>
      <w:r w:rsidRPr="00A73B62">
        <w:rPr>
          <w:rFonts w:ascii="Times New Roman" w:eastAsia="Calibri" w:hAnsi="Times New Roman" w:cs="Times New Roman"/>
          <w:b/>
          <w:color w:val="000000"/>
          <w:sz w:val="20"/>
          <w:szCs w:val="20"/>
          <w:shd w:val="clear" w:color="auto" w:fill="FFFFFF"/>
        </w:rPr>
        <w:t xml:space="preserve"> </w:t>
      </w:r>
      <w:r w:rsidRPr="00A73B62">
        <w:rPr>
          <w:rFonts w:ascii="Times New Roman" w:eastAsia="Calibri" w:hAnsi="Times New Roman" w:cs="Times New Roman"/>
          <w:b/>
          <w:sz w:val="20"/>
          <w:szCs w:val="20"/>
        </w:rPr>
        <w:t xml:space="preserve">Monir Hussein Bahgat </w:t>
      </w:r>
      <w:r w:rsidRPr="00A73B62">
        <w:rPr>
          <w:rFonts w:ascii="Times New Roman" w:hAnsi="Times New Roman" w:cs="Times New Roman"/>
          <w:sz w:val="20"/>
          <w:szCs w:val="20"/>
        </w:rPr>
        <w:t>Professor of Hepatology and Gastroenterology, Faculty of Medicine Mansoura University.</w:t>
      </w:r>
    </w:p>
    <w:p w:rsidR="00DF6A44" w:rsidRPr="00A73B62" w:rsidRDefault="00B0692F">
      <w:pPr>
        <w:pStyle w:val="ListParagraph"/>
        <w:numPr>
          <w:ilvl w:val="0"/>
          <w:numId w:val="1"/>
        </w:numPr>
        <w:autoSpaceDE w:val="0"/>
        <w:autoSpaceDN w:val="0"/>
        <w:adjustRightInd w:val="0"/>
        <w:spacing w:after="0" w:line="240" w:lineRule="auto"/>
        <w:ind w:left="426"/>
        <w:jc w:val="both"/>
        <w:rPr>
          <w:rFonts w:ascii="Times New Roman" w:hAnsi="Times New Roman" w:cs="Times New Roman"/>
          <w:color w:val="000000"/>
          <w:sz w:val="20"/>
          <w:szCs w:val="20"/>
        </w:rPr>
      </w:pPr>
      <w:r w:rsidRPr="00A73B62">
        <w:rPr>
          <w:rFonts w:ascii="Times New Roman" w:hAnsi="Times New Roman" w:cs="Times New Roman"/>
          <w:b/>
          <w:bCs/>
          <w:color w:val="000000"/>
          <w:sz w:val="20"/>
          <w:szCs w:val="20"/>
        </w:rPr>
        <w:t xml:space="preserve">Prof. Mohamed Yahia Ghieda </w:t>
      </w:r>
      <w:r w:rsidRPr="00A73B62">
        <w:rPr>
          <w:rFonts w:ascii="Times New Roman" w:hAnsi="Times New Roman" w:cs="Times New Roman"/>
          <w:color w:val="000000"/>
          <w:sz w:val="20"/>
          <w:szCs w:val="20"/>
        </w:rPr>
        <w:t>Professor of Sport Biomechanics and Chair of Sport Kinesiology Department, Faculty of Sport Education Mansoura University</w:t>
      </w:r>
      <w:r w:rsidRPr="00A73B62">
        <w:rPr>
          <w:rFonts w:ascii="Times New Roman" w:hAnsi="Times New Roman" w:cs="Times New Roman"/>
          <w:color w:val="000000"/>
          <w:sz w:val="20"/>
          <w:szCs w:val="20"/>
        </w:rPr>
        <w:t>.</w:t>
      </w:r>
    </w:p>
    <w:p w:rsidR="00DF6A44" w:rsidRPr="00A73B62" w:rsidRDefault="00B0692F">
      <w:pPr>
        <w:pStyle w:val="ListParagraph"/>
        <w:numPr>
          <w:ilvl w:val="0"/>
          <w:numId w:val="1"/>
        </w:numPr>
        <w:autoSpaceDE w:val="0"/>
        <w:autoSpaceDN w:val="0"/>
        <w:adjustRightInd w:val="0"/>
        <w:spacing w:after="0" w:line="240" w:lineRule="auto"/>
        <w:ind w:left="426"/>
        <w:jc w:val="both"/>
        <w:rPr>
          <w:rFonts w:ascii="Times New Roman" w:hAnsi="Times New Roman" w:cs="Times New Roman"/>
          <w:color w:val="000000"/>
          <w:sz w:val="20"/>
          <w:szCs w:val="20"/>
        </w:rPr>
      </w:pPr>
      <w:r w:rsidRPr="00A73B62">
        <w:rPr>
          <w:rFonts w:ascii="Times New Roman" w:hAnsi="Times New Roman" w:cs="Times New Roman"/>
          <w:b/>
          <w:bCs/>
          <w:color w:val="000000"/>
          <w:sz w:val="20"/>
          <w:szCs w:val="20"/>
        </w:rPr>
        <w:t xml:space="preserve">Prof. Ashraf Mohamed Gomaa </w:t>
      </w:r>
      <w:r w:rsidRPr="00A73B62">
        <w:rPr>
          <w:rFonts w:ascii="Times New Roman" w:hAnsi="Times New Roman" w:cs="Times New Roman"/>
          <w:color w:val="000000"/>
          <w:sz w:val="20"/>
          <w:szCs w:val="20"/>
        </w:rPr>
        <w:t>Professor at department of Athletic Training, Faculty of Sport Education Mansoura university.</w:t>
      </w:r>
    </w:p>
    <w:p w:rsidR="00DF6A44" w:rsidRPr="00A73B62" w:rsidRDefault="00B0692F">
      <w:pPr>
        <w:pStyle w:val="ListParagraph"/>
        <w:numPr>
          <w:ilvl w:val="0"/>
          <w:numId w:val="1"/>
        </w:numPr>
        <w:autoSpaceDE w:val="0"/>
        <w:autoSpaceDN w:val="0"/>
        <w:adjustRightInd w:val="0"/>
        <w:spacing w:after="0" w:line="240" w:lineRule="auto"/>
        <w:ind w:left="426"/>
        <w:jc w:val="both"/>
        <w:rPr>
          <w:rFonts w:ascii="Times New Roman" w:hAnsi="Times New Roman" w:cs="Times New Roman"/>
          <w:color w:val="000000"/>
          <w:sz w:val="20"/>
          <w:szCs w:val="20"/>
        </w:rPr>
      </w:pPr>
      <w:r w:rsidRPr="00A73B62">
        <w:rPr>
          <w:rFonts w:ascii="Times New Roman" w:hAnsi="Times New Roman" w:cs="Times New Roman"/>
          <w:b/>
          <w:bCs/>
          <w:color w:val="000000"/>
          <w:sz w:val="20"/>
          <w:szCs w:val="20"/>
        </w:rPr>
        <w:t>Prof. Mostafa Mohamed Embaby</w:t>
      </w:r>
      <w:r w:rsidRPr="00A73B62">
        <w:rPr>
          <w:rFonts w:ascii="Times New Roman" w:hAnsi="Times New Roman" w:cs="Times New Roman"/>
          <w:color w:val="000000"/>
          <w:sz w:val="20"/>
          <w:szCs w:val="20"/>
        </w:rPr>
        <w:t xml:space="preserve"> Professor of Paediatric medicine, Faculty of Medicine Assiut University.</w:t>
      </w:r>
    </w:p>
    <w:p w:rsidR="00DF6A44" w:rsidRPr="00A73B62" w:rsidRDefault="00B0692F">
      <w:pPr>
        <w:pStyle w:val="ListParagraph"/>
        <w:numPr>
          <w:ilvl w:val="0"/>
          <w:numId w:val="1"/>
        </w:numPr>
        <w:autoSpaceDE w:val="0"/>
        <w:autoSpaceDN w:val="0"/>
        <w:adjustRightInd w:val="0"/>
        <w:spacing w:after="0" w:line="240" w:lineRule="auto"/>
        <w:ind w:left="426"/>
        <w:jc w:val="both"/>
        <w:rPr>
          <w:rFonts w:ascii="Times New Roman" w:hAnsi="Times New Roman" w:cs="Times New Roman"/>
          <w:color w:val="000000"/>
          <w:sz w:val="20"/>
          <w:szCs w:val="20"/>
        </w:rPr>
      </w:pPr>
      <w:r w:rsidRPr="00A73B62">
        <w:rPr>
          <w:rFonts w:ascii="Times New Roman" w:hAnsi="Times New Roman" w:cs="Times New Roman"/>
          <w:b/>
          <w:bCs/>
          <w:color w:val="000000"/>
          <w:sz w:val="20"/>
          <w:szCs w:val="20"/>
        </w:rPr>
        <w:t xml:space="preserve">Prof. Emad Eldin Shaaban Ali </w:t>
      </w:r>
      <w:r w:rsidRPr="00A73B62">
        <w:rPr>
          <w:rFonts w:ascii="Times New Roman" w:hAnsi="Times New Roman" w:cs="Times New Roman"/>
          <w:color w:val="000000"/>
          <w:sz w:val="20"/>
          <w:szCs w:val="20"/>
        </w:rPr>
        <w:t>Pr</w:t>
      </w:r>
      <w:r w:rsidRPr="00A73B62">
        <w:rPr>
          <w:rFonts w:ascii="Times New Roman" w:hAnsi="Times New Roman" w:cs="Times New Roman"/>
          <w:color w:val="000000"/>
          <w:sz w:val="20"/>
          <w:szCs w:val="20"/>
        </w:rPr>
        <w:t>ofessor of Sports Physiology, Faculty of Sport Education Assiut University.</w:t>
      </w:r>
    </w:p>
    <w:p w:rsidR="00DF6A44" w:rsidRPr="00A73B62" w:rsidRDefault="00B0692F">
      <w:pPr>
        <w:pStyle w:val="ListParagraph"/>
        <w:numPr>
          <w:ilvl w:val="0"/>
          <w:numId w:val="1"/>
        </w:numPr>
        <w:autoSpaceDE w:val="0"/>
        <w:autoSpaceDN w:val="0"/>
        <w:adjustRightInd w:val="0"/>
        <w:spacing w:after="0" w:line="240" w:lineRule="auto"/>
        <w:ind w:left="426"/>
        <w:jc w:val="both"/>
        <w:rPr>
          <w:rFonts w:ascii="Times New Roman" w:hAnsi="Times New Roman" w:cs="Times New Roman"/>
          <w:color w:val="000000"/>
          <w:sz w:val="20"/>
          <w:szCs w:val="20"/>
        </w:rPr>
      </w:pPr>
      <w:r w:rsidRPr="00A73B62">
        <w:rPr>
          <w:rFonts w:ascii="Times New Roman" w:hAnsi="Times New Roman" w:cs="Times New Roman"/>
          <w:b/>
          <w:bCs/>
          <w:color w:val="000000"/>
          <w:sz w:val="20"/>
          <w:szCs w:val="20"/>
        </w:rPr>
        <w:t xml:space="preserve">Prof. Ehab Adel Abdel Basir College </w:t>
      </w:r>
      <w:r w:rsidRPr="00A73B62">
        <w:rPr>
          <w:rFonts w:ascii="Times New Roman" w:hAnsi="Times New Roman" w:cs="Times New Roman"/>
          <w:color w:val="000000"/>
          <w:sz w:val="20"/>
          <w:szCs w:val="20"/>
        </w:rPr>
        <w:t>Undersecretary for Postgraduate Affairs and professor of Sport Biomechanics and Kinesiology, Faculty of Sport Education Port Said University.</w:t>
      </w:r>
    </w:p>
    <w:p w:rsidR="00DF6A44" w:rsidRPr="00A73B62" w:rsidRDefault="00B0692F">
      <w:pPr>
        <w:pStyle w:val="ListParagraph"/>
        <w:numPr>
          <w:ilvl w:val="0"/>
          <w:numId w:val="1"/>
        </w:numPr>
        <w:autoSpaceDE w:val="0"/>
        <w:autoSpaceDN w:val="0"/>
        <w:adjustRightInd w:val="0"/>
        <w:spacing w:after="0" w:line="240" w:lineRule="auto"/>
        <w:ind w:left="426"/>
        <w:jc w:val="both"/>
        <w:rPr>
          <w:rFonts w:ascii="Times New Roman" w:hAnsi="Times New Roman" w:cs="Times New Roman"/>
          <w:color w:val="000000"/>
          <w:sz w:val="20"/>
          <w:szCs w:val="20"/>
        </w:rPr>
      </w:pPr>
      <w:r w:rsidRPr="00A73B62">
        <w:rPr>
          <w:rFonts w:ascii="Times New Roman" w:hAnsi="Times New Roman" w:cs="Times New Roman"/>
          <w:b/>
          <w:bCs/>
          <w:color w:val="000000"/>
          <w:sz w:val="20"/>
          <w:szCs w:val="20"/>
        </w:rPr>
        <w:t xml:space="preserve">7-Dr. Afaf Mahmoud ElShafeay </w:t>
      </w:r>
      <w:r w:rsidRPr="00A73B62">
        <w:rPr>
          <w:rFonts w:ascii="Times New Roman" w:hAnsi="Times New Roman" w:cs="Times New Roman"/>
          <w:color w:val="000000"/>
          <w:sz w:val="20"/>
          <w:szCs w:val="20"/>
        </w:rPr>
        <w:t xml:space="preserve">General practitioner, Faculty of Medicine Port Said University. </w:t>
      </w:r>
    </w:p>
    <w:p w:rsidR="00DF6A44" w:rsidRPr="00A73B62" w:rsidRDefault="00B0692F">
      <w:pPr>
        <w:pStyle w:val="ListParagraph"/>
        <w:numPr>
          <w:ilvl w:val="0"/>
          <w:numId w:val="1"/>
        </w:numPr>
        <w:autoSpaceDE w:val="0"/>
        <w:autoSpaceDN w:val="0"/>
        <w:adjustRightInd w:val="0"/>
        <w:spacing w:after="0" w:line="240" w:lineRule="auto"/>
        <w:ind w:left="426"/>
        <w:jc w:val="both"/>
        <w:rPr>
          <w:rFonts w:ascii="Times New Roman" w:hAnsi="Times New Roman" w:cs="Times New Roman"/>
          <w:b/>
          <w:bCs/>
          <w:color w:val="000000"/>
          <w:sz w:val="20"/>
          <w:szCs w:val="20"/>
        </w:rPr>
      </w:pPr>
      <w:r w:rsidRPr="00A73B62">
        <w:rPr>
          <w:rFonts w:ascii="Times New Roman" w:hAnsi="Times New Roman" w:cs="Times New Roman"/>
          <w:b/>
          <w:bCs/>
          <w:color w:val="000000"/>
          <w:sz w:val="20"/>
          <w:szCs w:val="20"/>
        </w:rPr>
        <w:t xml:space="preserve">Amr Mousa Lessy </w:t>
      </w:r>
      <w:r w:rsidRPr="00A73B62">
        <w:rPr>
          <w:rFonts w:ascii="Times New Roman" w:hAnsi="Times New Roman" w:cs="Times New Roman"/>
          <w:color w:val="000000"/>
          <w:sz w:val="20"/>
          <w:szCs w:val="20"/>
        </w:rPr>
        <w:t>4th year student, Faculty of Education Alexandria University.</w:t>
      </w:r>
    </w:p>
    <w:p w:rsidR="00DF6A44" w:rsidRPr="00A73B62" w:rsidRDefault="00DF6A44">
      <w:pPr>
        <w:autoSpaceDE w:val="0"/>
        <w:autoSpaceDN w:val="0"/>
        <w:adjustRightInd w:val="0"/>
        <w:spacing w:after="0" w:line="240" w:lineRule="auto"/>
        <w:ind w:left="426" w:hanging="426"/>
        <w:rPr>
          <w:rFonts w:ascii="Times New Roman" w:hAnsi="Times New Roman" w:cs="Times New Roman"/>
          <w:b/>
          <w:bCs/>
          <w:color w:val="000000"/>
          <w:sz w:val="20"/>
          <w:szCs w:val="20"/>
        </w:rPr>
      </w:pPr>
    </w:p>
    <w:p w:rsidR="00DF6A44" w:rsidRPr="00A73B62" w:rsidRDefault="00B0692F">
      <w:pPr>
        <w:autoSpaceDE w:val="0"/>
        <w:autoSpaceDN w:val="0"/>
        <w:adjustRightInd w:val="0"/>
        <w:spacing w:after="0" w:line="240" w:lineRule="auto"/>
        <w:ind w:left="426" w:hanging="426"/>
        <w:jc w:val="both"/>
        <w:rPr>
          <w:rFonts w:ascii="Times New Roman" w:hAnsi="Times New Roman" w:cs="Times New Roman"/>
          <w:b/>
          <w:bCs/>
          <w:color w:val="000000"/>
          <w:sz w:val="20"/>
          <w:szCs w:val="20"/>
        </w:rPr>
      </w:pPr>
      <w:r w:rsidRPr="00A73B62">
        <w:rPr>
          <w:rFonts w:ascii="Times New Roman" w:hAnsi="Times New Roman" w:cs="Times New Roman"/>
          <w:b/>
          <w:bCs/>
          <w:color w:val="000000"/>
          <w:sz w:val="20"/>
          <w:szCs w:val="20"/>
        </w:rPr>
        <w:t xml:space="preserve">Author Contributions: </w:t>
      </w:r>
    </w:p>
    <w:p w:rsidR="00DF6A44" w:rsidRPr="00A73B62" w:rsidRDefault="00B0692F">
      <w:pPr>
        <w:autoSpaceDE w:val="0"/>
        <w:autoSpaceDN w:val="0"/>
        <w:adjustRightInd w:val="0"/>
        <w:spacing w:after="0" w:line="240" w:lineRule="auto"/>
        <w:ind w:left="426" w:hanging="426"/>
        <w:jc w:val="both"/>
        <w:rPr>
          <w:rFonts w:ascii="Times New Roman" w:hAnsi="Times New Roman" w:cs="Times New Roman"/>
          <w:b/>
          <w:bCs/>
          <w:color w:val="000000"/>
          <w:sz w:val="20"/>
          <w:szCs w:val="20"/>
        </w:rPr>
      </w:pPr>
      <w:r w:rsidRPr="00A73B62">
        <w:rPr>
          <w:rFonts w:ascii="Times New Roman" w:hAnsi="Times New Roman" w:cs="Times New Roman"/>
          <w:color w:val="000000"/>
          <w:sz w:val="20"/>
          <w:szCs w:val="20"/>
        </w:rPr>
        <w:t>Conception and design</w:t>
      </w:r>
      <w:r w:rsidRPr="00A73B62">
        <w:rPr>
          <w:rFonts w:ascii="Times New Roman" w:hAnsi="Times New Roman" w:cs="Times New Roman"/>
          <w:b/>
          <w:bCs/>
          <w:color w:val="000000"/>
          <w:sz w:val="20"/>
          <w:szCs w:val="20"/>
        </w:rPr>
        <w:t xml:space="preserve">: </w:t>
      </w:r>
      <w:r w:rsidRPr="00A73B62">
        <w:rPr>
          <w:rFonts w:ascii="Times New Roman" w:hAnsi="Times New Roman" w:cs="Times New Roman"/>
          <w:color w:val="000000"/>
          <w:sz w:val="20"/>
          <w:szCs w:val="20"/>
        </w:rPr>
        <w:t>N.A. Ahmed (corresponding author).</w:t>
      </w:r>
    </w:p>
    <w:p w:rsidR="00DF6A44" w:rsidRPr="00A73B62" w:rsidRDefault="00B0692F">
      <w:pPr>
        <w:autoSpaceDE w:val="0"/>
        <w:autoSpaceDN w:val="0"/>
        <w:adjustRightInd w:val="0"/>
        <w:spacing w:after="0" w:line="240" w:lineRule="auto"/>
        <w:ind w:left="426" w:hanging="426"/>
        <w:jc w:val="both"/>
        <w:rPr>
          <w:rFonts w:ascii="Times New Roman" w:hAnsi="Times New Roman" w:cs="Times New Roman"/>
          <w:color w:val="000000"/>
          <w:sz w:val="20"/>
          <w:szCs w:val="20"/>
        </w:rPr>
      </w:pPr>
      <w:r w:rsidRPr="00A73B62">
        <w:rPr>
          <w:rFonts w:ascii="Times New Roman" w:hAnsi="Times New Roman" w:cs="Times New Roman"/>
          <w:color w:val="000000"/>
          <w:sz w:val="20"/>
          <w:szCs w:val="20"/>
        </w:rPr>
        <w:t>Interpretation of the data: N.A. Ahmed, H.S. El Wakil, R.H. Agwa and M.H. Ahmed.</w:t>
      </w:r>
    </w:p>
    <w:p w:rsidR="00DF6A44" w:rsidRPr="00A73B62" w:rsidRDefault="00B0692F">
      <w:pPr>
        <w:autoSpaceDE w:val="0"/>
        <w:autoSpaceDN w:val="0"/>
        <w:adjustRightInd w:val="0"/>
        <w:spacing w:after="0" w:line="240" w:lineRule="auto"/>
        <w:ind w:left="426" w:hanging="426"/>
        <w:jc w:val="both"/>
        <w:rPr>
          <w:rFonts w:ascii="Times New Roman" w:hAnsi="Times New Roman" w:cs="Times New Roman"/>
          <w:color w:val="000000"/>
          <w:sz w:val="20"/>
          <w:szCs w:val="20"/>
        </w:rPr>
      </w:pPr>
      <w:r w:rsidRPr="00A73B62">
        <w:rPr>
          <w:rFonts w:ascii="Times New Roman" w:hAnsi="Times New Roman" w:cs="Times New Roman"/>
          <w:color w:val="000000"/>
          <w:sz w:val="20"/>
          <w:szCs w:val="20"/>
        </w:rPr>
        <w:t>Drafting of the article: N.A. Ahmed, H.S. El Wakil and M.H. Ahmed.</w:t>
      </w:r>
    </w:p>
    <w:p w:rsidR="00DF6A44" w:rsidRPr="00A73B62" w:rsidRDefault="00B0692F">
      <w:pPr>
        <w:autoSpaceDE w:val="0"/>
        <w:autoSpaceDN w:val="0"/>
        <w:adjustRightInd w:val="0"/>
        <w:spacing w:after="0" w:line="240" w:lineRule="auto"/>
        <w:ind w:left="426" w:hanging="426"/>
        <w:jc w:val="both"/>
        <w:rPr>
          <w:rFonts w:ascii="Times New Roman" w:hAnsi="Times New Roman" w:cs="Times New Roman"/>
          <w:color w:val="000000"/>
          <w:sz w:val="20"/>
          <w:szCs w:val="20"/>
        </w:rPr>
      </w:pPr>
      <w:r w:rsidRPr="00A73B62">
        <w:rPr>
          <w:rFonts w:ascii="Times New Roman" w:hAnsi="Times New Roman" w:cs="Times New Roman"/>
          <w:color w:val="000000"/>
          <w:sz w:val="20"/>
          <w:szCs w:val="20"/>
        </w:rPr>
        <w:t>Critical revision: N.A. Ahmed, H.S. El Wakil and M.H. Ahmed.</w:t>
      </w:r>
    </w:p>
    <w:p w:rsidR="00DF6A44" w:rsidRPr="00A73B62" w:rsidRDefault="00B0692F">
      <w:pPr>
        <w:autoSpaceDE w:val="0"/>
        <w:autoSpaceDN w:val="0"/>
        <w:adjustRightInd w:val="0"/>
        <w:spacing w:after="0" w:line="240" w:lineRule="auto"/>
        <w:ind w:left="426" w:hanging="426"/>
        <w:jc w:val="both"/>
        <w:rPr>
          <w:rFonts w:ascii="Times New Roman" w:hAnsi="Times New Roman" w:cs="Times New Roman"/>
          <w:color w:val="000000"/>
          <w:sz w:val="20"/>
          <w:szCs w:val="20"/>
        </w:rPr>
      </w:pPr>
      <w:r w:rsidRPr="00A73B62">
        <w:rPr>
          <w:rFonts w:ascii="Times New Roman" w:hAnsi="Times New Roman" w:cs="Times New Roman"/>
          <w:color w:val="000000"/>
          <w:sz w:val="20"/>
          <w:szCs w:val="20"/>
        </w:rPr>
        <w:t>Final approval of the article: N.A. Ahmed, H.S.</w:t>
      </w:r>
      <w:r w:rsidRPr="00A73B62">
        <w:rPr>
          <w:rFonts w:ascii="Times New Roman" w:hAnsi="Times New Roman" w:cs="Times New Roman"/>
          <w:color w:val="000000"/>
          <w:sz w:val="20"/>
          <w:szCs w:val="20"/>
        </w:rPr>
        <w:t xml:space="preserve"> El Wakil and M.H. Ahmed.</w:t>
      </w:r>
    </w:p>
    <w:p w:rsidR="00DF6A44" w:rsidRPr="00A73B62" w:rsidRDefault="00B0692F">
      <w:pPr>
        <w:autoSpaceDE w:val="0"/>
        <w:autoSpaceDN w:val="0"/>
        <w:adjustRightInd w:val="0"/>
        <w:spacing w:after="0" w:line="240" w:lineRule="auto"/>
        <w:ind w:left="426" w:hanging="426"/>
        <w:jc w:val="both"/>
        <w:rPr>
          <w:rFonts w:ascii="Times New Roman" w:hAnsi="Times New Roman" w:cs="Times New Roman"/>
          <w:color w:val="000000"/>
          <w:sz w:val="20"/>
          <w:szCs w:val="20"/>
        </w:rPr>
      </w:pPr>
      <w:r w:rsidRPr="00A73B62">
        <w:rPr>
          <w:rFonts w:ascii="Times New Roman" w:hAnsi="Times New Roman" w:cs="Times New Roman"/>
          <w:color w:val="000000"/>
          <w:sz w:val="20"/>
          <w:szCs w:val="20"/>
        </w:rPr>
        <w:t>Statistical expertise: N.A. Ahmed and H.S. El Wakil.</w:t>
      </w:r>
    </w:p>
    <w:p w:rsidR="00DF6A44" w:rsidRPr="00A73B62" w:rsidRDefault="00B0692F">
      <w:pPr>
        <w:autoSpaceDE w:val="0"/>
        <w:autoSpaceDN w:val="0"/>
        <w:adjustRightInd w:val="0"/>
        <w:spacing w:after="0" w:line="240" w:lineRule="auto"/>
        <w:ind w:left="426" w:hanging="426"/>
        <w:jc w:val="both"/>
        <w:rPr>
          <w:rFonts w:ascii="Times New Roman" w:hAnsi="Times New Roman" w:cs="Times New Roman"/>
          <w:color w:val="000000"/>
          <w:sz w:val="20"/>
          <w:szCs w:val="20"/>
        </w:rPr>
      </w:pPr>
      <w:r w:rsidRPr="00A73B62">
        <w:rPr>
          <w:rFonts w:ascii="Times New Roman" w:hAnsi="Times New Roman" w:cs="Times New Roman"/>
          <w:color w:val="000000"/>
          <w:sz w:val="20"/>
          <w:szCs w:val="20"/>
        </w:rPr>
        <w:t>Administrative, technical, or logistic support:</w:t>
      </w:r>
      <w:r w:rsidRPr="00A73B62">
        <w:rPr>
          <w:rFonts w:ascii="Times New Roman" w:hAnsi="Times New Roman" w:cs="Times New Roman"/>
          <w:b/>
          <w:bCs/>
          <w:color w:val="000000"/>
          <w:sz w:val="20"/>
          <w:szCs w:val="20"/>
        </w:rPr>
        <w:t xml:space="preserve"> </w:t>
      </w:r>
      <w:r w:rsidRPr="00A73B62">
        <w:rPr>
          <w:rFonts w:ascii="Times New Roman" w:hAnsi="Times New Roman" w:cs="Times New Roman"/>
          <w:color w:val="000000"/>
          <w:sz w:val="20"/>
          <w:szCs w:val="20"/>
        </w:rPr>
        <w:t>N.A. Ahmed.</w:t>
      </w:r>
    </w:p>
    <w:p w:rsidR="00DF6A44" w:rsidRPr="00A73B62" w:rsidRDefault="00DF6A44">
      <w:pPr>
        <w:autoSpaceDE w:val="0"/>
        <w:autoSpaceDN w:val="0"/>
        <w:adjustRightInd w:val="0"/>
        <w:spacing w:after="0" w:line="240" w:lineRule="auto"/>
        <w:ind w:left="426" w:hanging="426"/>
        <w:rPr>
          <w:rFonts w:ascii="Times New Roman" w:hAnsi="Times New Roman" w:cs="Times New Roman"/>
          <w:b/>
          <w:bCs/>
          <w:color w:val="000000"/>
          <w:sz w:val="20"/>
          <w:szCs w:val="20"/>
        </w:rPr>
      </w:pPr>
    </w:p>
    <w:p w:rsidR="00DF6A44" w:rsidRPr="00A73B62" w:rsidRDefault="00B0692F">
      <w:pPr>
        <w:autoSpaceDE w:val="0"/>
        <w:autoSpaceDN w:val="0"/>
        <w:adjustRightInd w:val="0"/>
        <w:spacing w:after="0" w:line="240" w:lineRule="auto"/>
        <w:ind w:left="426" w:hanging="426"/>
        <w:rPr>
          <w:rFonts w:ascii="Times New Roman" w:hAnsi="Times New Roman" w:cs="Times New Roman"/>
          <w:b/>
          <w:bCs/>
          <w:color w:val="000000"/>
          <w:sz w:val="20"/>
          <w:szCs w:val="20"/>
        </w:rPr>
      </w:pPr>
      <w:r w:rsidRPr="00A73B62">
        <w:rPr>
          <w:rFonts w:ascii="Times New Roman" w:hAnsi="Times New Roman" w:cs="Times New Roman"/>
          <w:b/>
          <w:bCs/>
          <w:color w:val="000000"/>
          <w:sz w:val="20"/>
          <w:szCs w:val="20"/>
        </w:rPr>
        <w:lastRenderedPageBreak/>
        <w:t>References:</w:t>
      </w:r>
    </w:p>
    <w:p w:rsidR="00DF6A44" w:rsidRPr="00A73B62" w:rsidRDefault="00B0692F" w:rsidP="00A73B62">
      <w:pPr>
        <w:numPr>
          <w:ilvl w:val="0"/>
          <w:numId w:val="2"/>
        </w:numPr>
        <w:autoSpaceDE w:val="0"/>
        <w:autoSpaceDN w:val="0"/>
        <w:adjustRightInd w:val="0"/>
        <w:spacing w:after="0" w:line="240" w:lineRule="auto"/>
        <w:ind w:left="567" w:hanging="567"/>
        <w:jc w:val="both"/>
        <w:rPr>
          <w:rFonts w:ascii="Times New Roman" w:eastAsia="Calibri" w:hAnsi="Times New Roman" w:cs="Times New Roman"/>
          <w:color w:val="000000"/>
          <w:sz w:val="20"/>
          <w:szCs w:val="20"/>
        </w:rPr>
      </w:pPr>
      <w:r w:rsidRPr="00A73B62">
        <w:rPr>
          <w:rFonts w:ascii="Times New Roman" w:eastAsia="Calibri" w:hAnsi="Times New Roman" w:cs="Times New Roman"/>
          <w:color w:val="000000"/>
          <w:sz w:val="20"/>
          <w:szCs w:val="20"/>
        </w:rPr>
        <w:t xml:space="preserve">Ribeiro I. J., Pereira R., Freire I. V., de Oliveira B. G., Casotti C. A. and Boery E. N. (2018) Stress </w:t>
      </w:r>
      <w:r w:rsidRPr="00A73B62">
        <w:rPr>
          <w:rFonts w:ascii="Times New Roman" w:eastAsia="Calibri" w:hAnsi="Times New Roman" w:cs="Times New Roman"/>
          <w:color w:val="000000"/>
          <w:sz w:val="20"/>
          <w:szCs w:val="20"/>
        </w:rPr>
        <w:t xml:space="preserve">and quality of life among university students: </w:t>
      </w:r>
      <w:r w:rsidR="00A73B62">
        <w:rPr>
          <w:rFonts w:ascii="Times New Roman" w:eastAsia="Calibri" w:hAnsi="Times New Roman" w:cs="Times New Roman"/>
          <w:color w:val="000000"/>
          <w:sz w:val="20"/>
          <w:szCs w:val="20"/>
        </w:rPr>
        <w:t>A systematic literature review.</w:t>
      </w:r>
      <w:r w:rsidR="00A73B62">
        <w:rPr>
          <w:rFonts w:ascii="Times New Roman" w:hAnsi="Times New Roman" w:cs="Times New Roman" w:hint="eastAsia"/>
          <w:color w:val="000000"/>
          <w:sz w:val="20"/>
          <w:szCs w:val="20"/>
          <w:lang w:eastAsia="zh-CN"/>
        </w:rPr>
        <w:t xml:space="preserve"> </w:t>
      </w:r>
      <w:r w:rsidRPr="00A73B62">
        <w:rPr>
          <w:rFonts w:ascii="Times New Roman" w:eastAsia="Calibri" w:hAnsi="Times New Roman" w:cs="Times New Roman"/>
          <w:color w:val="000000"/>
          <w:sz w:val="20"/>
          <w:szCs w:val="20"/>
        </w:rPr>
        <w:t>Health Professions Education; 4(2):70-77.</w:t>
      </w:r>
      <w:r w:rsidRPr="00A73B62">
        <w:rPr>
          <w:rFonts w:ascii="Times New Roman" w:eastAsia="Calibri" w:hAnsi="Times New Roman" w:cs="Times New Roman"/>
          <w:color w:val="000000"/>
          <w:sz w:val="20"/>
          <w:szCs w:val="20"/>
          <w:rtl/>
        </w:rPr>
        <w:t>‏</w:t>
      </w:r>
    </w:p>
    <w:p w:rsidR="00DF6A44" w:rsidRPr="00A73B62" w:rsidRDefault="00B0692F" w:rsidP="00A73B62">
      <w:pPr>
        <w:numPr>
          <w:ilvl w:val="0"/>
          <w:numId w:val="2"/>
        </w:numPr>
        <w:autoSpaceDE w:val="0"/>
        <w:autoSpaceDN w:val="0"/>
        <w:adjustRightInd w:val="0"/>
        <w:spacing w:after="0" w:line="240" w:lineRule="auto"/>
        <w:ind w:left="567" w:hanging="567"/>
        <w:jc w:val="both"/>
        <w:rPr>
          <w:rFonts w:ascii="Times New Roman" w:eastAsia="Calibri" w:hAnsi="Times New Roman" w:cs="Times New Roman"/>
          <w:color w:val="000000"/>
          <w:sz w:val="20"/>
          <w:szCs w:val="20"/>
        </w:rPr>
      </w:pPr>
      <w:r w:rsidRPr="00A73B62">
        <w:rPr>
          <w:rFonts w:ascii="Times New Roman" w:eastAsia="Calibri" w:hAnsi="Times New Roman" w:cs="Times New Roman"/>
          <w:color w:val="000000"/>
          <w:sz w:val="20"/>
          <w:szCs w:val="20"/>
        </w:rPr>
        <w:t>Torkzadeh F., Danesh M., Mirbagher L., Daghaghzadeh H. and Emami M. H. (2019) Relations between coping skills, symptom severity, psych</w:t>
      </w:r>
      <w:r w:rsidRPr="00A73B62">
        <w:rPr>
          <w:rFonts w:ascii="Times New Roman" w:eastAsia="Calibri" w:hAnsi="Times New Roman" w:cs="Times New Roman"/>
          <w:color w:val="000000"/>
          <w:sz w:val="20"/>
          <w:szCs w:val="20"/>
        </w:rPr>
        <w:t>ological symptoms and quality of life in patients with irritable bowel syndrome.</w:t>
      </w:r>
      <w:r w:rsidR="00A73B62">
        <w:rPr>
          <w:rFonts w:ascii="Times New Roman" w:hAnsi="Times New Roman" w:cs="Times New Roman" w:hint="eastAsia"/>
          <w:color w:val="000000"/>
          <w:sz w:val="20"/>
          <w:szCs w:val="20"/>
          <w:lang w:eastAsia="zh-CN"/>
        </w:rPr>
        <w:t xml:space="preserve"> </w:t>
      </w:r>
      <w:r w:rsidRPr="00A73B62">
        <w:rPr>
          <w:rFonts w:ascii="Times New Roman" w:eastAsia="Calibri" w:hAnsi="Times New Roman" w:cs="Times New Roman"/>
          <w:color w:val="000000"/>
          <w:sz w:val="20"/>
          <w:szCs w:val="20"/>
        </w:rPr>
        <w:t>International Journal of Preventive Medicine; 10</w:t>
      </w:r>
      <w:r w:rsidRPr="00A73B62">
        <w:rPr>
          <w:rFonts w:ascii="Times New Roman" w:eastAsia="Calibri" w:hAnsi="Times New Roman" w:cs="Times New Roman"/>
          <w:color w:val="000000"/>
          <w:sz w:val="20"/>
          <w:szCs w:val="20"/>
          <w:rtl/>
        </w:rPr>
        <w:t>‏</w:t>
      </w:r>
      <w:r w:rsidRPr="00A73B62">
        <w:rPr>
          <w:rFonts w:ascii="Times New Roman" w:eastAsia="Calibri" w:hAnsi="Times New Roman" w:cs="Times New Roman"/>
          <w:color w:val="000000"/>
          <w:sz w:val="20"/>
          <w:szCs w:val="20"/>
        </w:rPr>
        <w:t>(1):72.</w:t>
      </w:r>
    </w:p>
    <w:p w:rsidR="00DF6A44" w:rsidRPr="00A73B62" w:rsidRDefault="00B0692F" w:rsidP="00A73B62">
      <w:pPr>
        <w:numPr>
          <w:ilvl w:val="0"/>
          <w:numId w:val="2"/>
        </w:numPr>
        <w:spacing w:after="0" w:line="240" w:lineRule="auto"/>
        <w:ind w:left="567" w:hanging="567"/>
        <w:jc w:val="both"/>
        <w:rPr>
          <w:rFonts w:ascii="Times New Roman" w:eastAsia="Calibri" w:hAnsi="Times New Roman" w:cs="Times New Roman"/>
          <w:color w:val="000000"/>
          <w:sz w:val="20"/>
          <w:szCs w:val="20"/>
        </w:rPr>
      </w:pPr>
      <w:r w:rsidRPr="00A73B62">
        <w:rPr>
          <w:rFonts w:ascii="Times New Roman" w:eastAsia="Calibri" w:hAnsi="Times New Roman" w:cs="Times New Roman"/>
          <w:color w:val="000000"/>
          <w:sz w:val="20"/>
          <w:szCs w:val="20"/>
        </w:rPr>
        <w:t xml:space="preserve">Mönnikes H. (2011) Quality of life in patients with irritable bowel syndrome. Journal of Clinical </w:t>
      </w:r>
      <w:r w:rsidRPr="00A73B62">
        <w:rPr>
          <w:rFonts w:ascii="Times New Roman" w:eastAsia="Calibri" w:hAnsi="Times New Roman" w:cs="Times New Roman"/>
          <w:color w:val="000000"/>
          <w:sz w:val="20"/>
          <w:szCs w:val="20"/>
        </w:rPr>
        <w:t>Gastroenterology; 45(7):S98-S101.</w:t>
      </w:r>
      <w:r w:rsidRPr="00A73B62">
        <w:rPr>
          <w:rFonts w:ascii="Times New Roman" w:eastAsia="Calibri" w:hAnsi="Times New Roman" w:cs="Times New Roman"/>
          <w:color w:val="000000"/>
          <w:sz w:val="20"/>
          <w:szCs w:val="20"/>
          <w:rtl/>
        </w:rPr>
        <w:t>‏</w:t>
      </w:r>
    </w:p>
    <w:p w:rsidR="00DF6A44" w:rsidRPr="00A73B62" w:rsidRDefault="00B0692F" w:rsidP="00A73B62">
      <w:pPr>
        <w:numPr>
          <w:ilvl w:val="0"/>
          <w:numId w:val="2"/>
        </w:numPr>
        <w:spacing w:after="0" w:line="240" w:lineRule="auto"/>
        <w:ind w:left="567" w:hanging="567"/>
        <w:jc w:val="both"/>
        <w:rPr>
          <w:rFonts w:ascii="Times New Roman" w:eastAsia="Calibri" w:hAnsi="Times New Roman" w:cs="Times New Roman"/>
          <w:color w:val="000000"/>
          <w:sz w:val="20"/>
          <w:szCs w:val="20"/>
        </w:rPr>
      </w:pPr>
      <w:r w:rsidRPr="00A73B62">
        <w:rPr>
          <w:rFonts w:ascii="Times New Roman" w:eastAsia="Calibri" w:hAnsi="Times New Roman" w:cs="Times New Roman"/>
          <w:color w:val="000000"/>
          <w:sz w:val="20"/>
          <w:szCs w:val="20"/>
        </w:rPr>
        <w:t>Kopczyńska M., Mokros Ł., Pietras T., and Małecka-Panas E. (2018) Quality of life and depression in patients with irritable bowel syndrome. Przeglad gastroenterologiczny; 13(2):102-108.</w:t>
      </w:r>
    </w:p>
    <w:p w:rsidR="00DF6A44" w:rsidRPr="00A73B62" w:rsidRDefault="00B0692F" w:rsidP="00A73B62">
      <w:pPr>
        <w:numPr>
          <w:ilvl w:val="0"/>
          <w:numId w:val="2"/>
        </w:numPr>
        <w:spacing w:after="0" w:line="240" w:lineRule="auto"/>
        <w:ind w:left="567" w:right="-40" w:hanging="567"/>
        <w:jc w:val="both"/>
        <w:rPr>
          <w:rFonts w:ascii="Times New Roman" w:eastAsia="Calibri" w:hAnsi="Times New Roman" w:cs="Times New Roman"/>
          <w:color w:val="000000"/>
          <w:sz w:val="20"/>
          <w:szCs w:val="20"/>
        </w:rPr>
      </w:pPr>
      <w:r w:rsidRPr="00A73B62">
        <w:rPr>
          <w:rFonts w:ascii="Times New Roman" w:eastAsia="Calibri" w:hAnsi="Times New Roman" w:cs="Times New Roman"/>
          <w:color w:val="000000"/>
          <w:sz w:val="20"/>
          <w:szCs w:val="20"/>
        </w:rPr>
        <w:t>Shokeir Z.M. (2009) Measurement for</w:t>
      </w:r>
      <w:r w:rsidRPr="00A73B62">
        <w:rPr>
          <w:rFonts w:ascii="Times New Roman" w:eastAsia="Calibri" w:hAnsi="Times New Roman" w:cs="Times New Roman"/>
          <w:color w:val="000000"/>
          <w:sz w:val="20"/>
          <w:szCs w:val="20"/>
        </w:rPr>
        <w:t xml:space="preserve"> diagnosing standards of quality of life for normal and abnormal people. 1</w:t>
      </w:r>
      <w:r w:rsidRPr="00A73B62">
        <w:rPr>
          <w:rFonts w:ascii="Times New Roman" w:eastAsia="Calibri" w:hAnsi="Times New Roman" w:cs="Times New Roman"/>
          <w:color w:val="000000"/>
          <w:sz w:val="20"/>
          <w:szCs w:val="20"/>
          <w:vertAlign w:val="superscript"/>
        </w:rPr>
        <w:t>st</w:t>
      </w:r>
      <w:r w:rsidR="00A73B62">
        <w:rPr>
          <w:rFonts w:ascii="Times New Roman" w:eastAsia="Calibri" w:hAnsi="Times New Roman" w:cs="Times New Roman"/>
          <w:color w:val="000000"/>
          <w:sz w:val="20"/>
          <w:szCs w:val="20"/>
        </w:rPr>
        <w:t xml:space="preserve"> ed. Cairo Egyptian Anglo. </w:t>
      </w:r>
      <w:hyperlink r:id="rId16" w:history="1">
        <w:r w:rsidRPr="00A73B62">
          <w:rPr>
            <w:rFonts w:ascii="Times New Roman" w:eastAsia="Calibri" w:hAnsi="Times New Roman" w:cs="Times New Roman"/>
            <w:color w:val="000000"/>
            <w:sz w:val="20"/>
            <w:szCs w:val="20"/>
          </w:rPr>
          <w:t>http://www.ibsjennifer.com</w:t>
        </w:r>
      </w:hyperlink>
      <w:r w:rsidRPr="00A73B62">
        <w:rPr>
          <w:rFonts w:ascii="Times New Roman" w:eastAsia="Calibri" w:hAnsi="Times New Roman" w:cs="Times New Roman"/>
          <w:color w:val="000000"/>
          <w:sz w:val="20"/>
          <w:szCs w:val="20"/>
        </w:rPr>
        <w:t>, 2009.</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 xml:space="preserve"> Ahmed, N. A., &amp;</w:t>
      </w:r>
      <w:r w:rsidRPr="00A73B62">
        <w:rPr>
          <w:rFonts w:ascii="Times New Roman" w:hAnsi="Times New Roman" w:cs="Times New Roman"/>
          <w:sz w:val="20"/>
          <w:szCs w:val="20"/>
        </w:rPr>
        <w:t xml:space="preserve"> Youssef, Y. G. (2016). Quality of life in some Mansoura University students. Benha Medical Journal, 37(1), 60-64.</w:t>
      </w:r>
      <w:r w:rsidRPr="00A73B62">
        <w:rPr>
          <w:rFonts w:ascii="Times New Roman" w:hAnsi="Times New Roman" w:cs="Times New Roman"/>
          <w:sz w:val="20"/>
          <w:szCs w:val="20"/>
          <w:rtl/>
        </w:rPr>
        <w:t>‏</w:t>
      </w:r>
    </w:p>
    <w:p w:rsidR="00DF6A44" w:rsidRPr="00A73B62" w:rsidRDefault="00B0692F" w:rsidP="00A73B62">
      <w:pPr>
        <w:numPr>
          <w:ilvl w:val="0"/>
          <w:numId w:val="2"/>
        </w:numPr>
        <w:autoSpaceDE w:val="0"/>
        <w:autoSpaceDN w:val="0"/>
        <w:adjustRightInd w:val="0"/>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Messina, G., Quercioli, C., Troiano, G., Russo, C., Barbini, E., Nisticò, F.,  &amp; Nante, N. (2016). Italian medical students quality of life:</w:t>
      </w:r>
      <w:r w:rsidRPr="00A73B62">
        <w:rPr>
          <w:rFonts w:ascii="Times New Roman" w:hAnsi="Times New Roman" w:cs="Times New Roman"/>
          <w:sz w:val="20"/>
          <w:szCs w:val="20"/>
        </w:rPr>
        <w:t xml:space="preserve"> years 2005-2015. Ann Ig, 28(4), 245-51.</w:t>
      </w:r>
      <w:r w:rsidRPr="00A73B62">
        <w:rPr>
          <w:rFonts w:ascii="Times New Roman" w:hAnsi="Times New Roman" w:cs="Times New Roman"/>
          <w:sz w:val="20"/>
          <w:szCs w:val="20"/>
          <w:rtl/>
        </w:rPr>
        <w:t>‏</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Noreen, A., Iqbal, N., Hassan, B., &amp; Ali, S. A. E. Z. (2021). Relationship between psychological distress, quality of life and resilience among medical and non-medical students. Journal of the Pakistan Medical Asso</w:t>
      </w:r>
      <w:r w:rsidRPr="00A73B62">
        <w:rPr>
          <w:rFonts w:ascii="Times New Roman" w:hAnsi="Times New Roman" w:cs="Times New Roman"/>
          <w:sz w:val="20"/>
          <w:szCs w:val="20"/>
        </w:rPr>
        <w:t>ciation, 71(9).</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Pagnin, D., &amp; De Queiroz, V. (2015). Comparison of quality of life between medical students and young general populations. Education for Health, 28(3), 209.</w:t>
      </w:r>
      <w:r w:rsidRPr="00A73B62">
        <w:rPr>
          <w:rFonts w:ascii="Times New Roman" w:hAnsi="Times New Roman" w:cs="Times New Roman"/>
          <w:sz w:val="20"/>
          <w:szCs w:val="20"/>
          <w:rtl/>
        </w:rPr>
        <w:t>‏</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 xml:space="preserve">Latas, M., Stojković, T., Ralić, T., Jovanović, S., Špirić, Ž., &amp; Milovanović, S. </w:t>
      </w:r>
      <w:r w:rsidRPr="00A73B62">
        <w:rPr>
          <w:rFonts w:ascii="Times New Roman" w:hAnsi="Times New Roman" w:cs="Times New Roman"/>
          <w:sz w:val="20"/>
          <w:szCs w:val="20"/>
        </w:rPr>
        <w:t>(2014). Medical students' health-related quality of life: A comparative study. Vojnosanitetski pregled, 71(8), 751-756.</w:t>
      </w:r>
      <w:r w:rsidRPr="00A73B62">
        <w:rPr>
          <w:rFonts w:ascii="Times New Roman" w:hAnsi="Times New Roman" w:cs="Times New Roman"/>
          <w:sz w:val="20"/>
          <w:szCs w:val="20"/>
          <w:rtl/>
        </w:rPr>
        <w:t>‏</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Henning, M. A., Krägeloh, C. U., Hawken, S. J., Zhao, Y., &amp; Doherty, I. (2012). The quality of life of medical students studying in New</w:t>
      </w:r>
      <w:r w:rsidRPr="00A73B62">
        <w:rPr>
          <w:rFonts w:ascii="Times New Roman" w:hAnsi="Times New Roman" w:cs="Times New Roman"/>
          <w:sz w:val="20"/>
          <w:szCs w:val="20"/>
        </w:rPr>
        <w:t xml:space="preserve"> Zealand: a comparison with nonmedical </w:t>
      </w:r>
      <w:r w:rsidRPr="00A73B62">
        <w:rPr>
          <w:rFonts w:ascii="Times New Roman" w:hAnsi="Times New Roman" w:cs="Times New Roman"/>
          <w:sz w:val="20"/>
          <w:szCs w:val="20"/>
        </w:rPr>
        <w:lastRenderedPageBreak/>
        <w:t>students and a general population reference group. Teaching and learning in medicine, 24(4), 334-340.</w:t>
      </w:r>
      <w:r w:rsidRPr="00A73B62">
        <w:rPr>
          <w:rFonts w:ascii="Times New Roman" w:hAnsi="Times New Roman" w:cs="Times New Roman"/>
          <w:sz w:val="20"/>
          <w:szCs w:val="20"/>
          <w:rtl/>
        </w:rPr>
        <w:t>‏</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Opoku-Acheampong, A., Kretchy, I. A., Acheampong, F., Afrane, B. A., Ashong, S., Tamakloe, B., &amp; Nyarko, A. K. (20</w:t>
      </w:r>
      <w:r w:rsidRPr="00A73B62">
        <w:rPr>
          <w:rFonts w:ascii="Times New Roman" w:hAnsi="Times New Roman" w:cs="Times New Roman"/>
          <w:sz w:val="20"/>
          <w:szCs w:val="20"/>
        </w:rPr>
        <w:t>17). Perceived stress and quality of life of pharmacy students in University of Ghana. BMC research notes, 10(1), 1-7.</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Raj, S. R., Simpson, C. S., Hopman, W. M., &amp; Singer, M. A. (2000). Health-related quality of life among final-year medical students. Cmaj</w:t>
      </w:r>
      <w:r w:rsidRPr="00A73B62">
        <w:rPr>
          <w:rFonts w:ascii="Times New Roman" w:hAnsi="Times New Roman" w:cs="Times New Roman"/>
          <w:sz w:val="20"/>
          <w:szCs w:val="20"/>
        </w:rPr>
        <w:t>, 162(4), 509-510.</w:t>
      </w:r>
      <w:r w:rsidRPr="00A73B62">
        <w:rPr>
          <w:rFonts w:ascii="Times New Roman" w:hAnsi="Times New Roman" w:cs="Times New Roman"/>
          <w:sz w:val="20"/>
          <w:szCs w:val="20"/>
          <w:rtl/>
        </w:rPr>
        <w:t>‏</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Sabbah, I., Sabbah, H., Khamis, R., Sabbah, S., &amp; Droubi, N. (2013). Health related quality of life of university students in Lebanon: Lifestyles behaviors and socio-demographic predictors.</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 xml:space="preserve">Pitil, P. P., Kadir, N. S. B., &amp; Wahed, W. J. </w:t>
      </w:r>
      <w:r w:rsidRPr="00A73B62">
        <w:rPr>
          <w:rFonts w:ascii="Times New Roman" w:hAnsi="Times New Roman" w:cs="Times New Roman"/>
          <w:sz w:val="20"/>
          <w:szCs w:val="20"/>
        </w:rPr>
        <w:t>E. (2020). Quality of life among Malaysian University students: A cross-sectional study. Malaysian Journal of Social Sciences and Humanities (MJSSH), 5(6), 11-18.</w:t>
      </w:r>
      <w:r w:rsidRPr="00A73B62">
        <w:rPr>
          <w:rFonts w:ascii="Times New Roman" w:hAnsi="Times New Roman" w:cs="Times New Roman"/>
          <w:sz w:val="20"/>
          <w:szCs w:val="20"/>
          <w:rtl/>
        </w:rPr>
        <w:t>‏</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Nur, N., Kıbık, A., Kılıç, E., &amp; Sümer, H. (2017). Health-related quality of life and associ</w:t>
      </w:r>
      <w:r w:rsidRPr="00A73B62">
        <w:rPr>
          <w:rFonts w:ascii="Times New Roman" w:hAnsi="Times New Roman" w:cs="Times New Roman"/>
          <w:sz w:val="20"/>
          <w:szCs w:val="20"/>
        </w:rPr>
        <w:t>ated factors among undergraduate university students. Oman medical journal, 32(4), 329.</w:t>
      </w:r>
      <w:r w:rsidRPr="00A73B62">
        <w:rPr>
          <w:rFonts w:ascii="Times New Roman" w:hAnsi="Times New Roman" w:cs="Times New Roman"/>
          <w:sz w:val="20"/>
          <w:szCs w:val="20"/>
          <w:rtl/>
        </w:rPr>
        <w:t>‏</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AlButaysh, O. F., AlQuraini, A. A., Almukhaitah, A. A., Alahmdi, Y. M., &amp; Alharbi, F. S. (2020). Epidemiology of irritable bowel syndrome and its associated factors in</w:t>
      </w:r>
      <w:r w:rsidRPr="00A73B62">
        <w:rPr>
          <w:rFonts w:ascii="Times New Roman" w:hAnsi="Times New Roman" w:cs="Times New Roman"/>
          <w:sz w:val="20"/>
          <w:szCs w:val="20"/>
        </w:rPr>
        <w:t xml:space="preserve"> Saudi undergraduate students. Saudi Journal of Gastroenterology: Official Journal of the Saudi Gastroenterology Association,</w:t>
      </w:r>
      <w:r w:rsidR="00A73B62">
        <w:rPr>
          <w:rFonts w:ascii="Times New Roman" w:hAnsi="Times New Roman" w:cs="Times New Roman" w:hint="eastAsia"/>
          <w:sz w:val="20"/>
          <w:szCs w:val="20"/>
          <w:lang w:eastAsia="zh-CN"/>
        </w:rPr>
        <w:t xml:space="preserve"> </w:t>
      </w:r>
      <w:r w:rsidRPr="00A73B62">
        <w:rPr>
          <w:rFonts w:ascii="Times New Roman" w:hAnsi="Times New Roman" w:cs="Times New Roman"/>
          <w:sz w:val="20"/>
          <w:szCs w:val="20"/>
        </w:rPr>
        <w:t>26(2), 89.</w:t>
      </w:r>
      <w:r w:rsidRPr="00A73B62">
        <w:rPr>
          <w:rFonts w:ascii="Times New Roman" w:hAnsi="Times New Roman" w:cs="Times New Roman"/>
          <w:sz w:val="20"/>
          <w:szCs w:val="20"/>
          <w:rtl/>
        </w:rPr>
        <w:t>‏</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Shen, L., Kong, H., &amp; Hou, X. (2009). Prevalence of irritable bowel syndrome and its relationship with psychological s</w:t>
      </w:r>
      <w:r w:rsidRPr="00A73B62">
        <w:rPr>
          <w:rFonts w:ascii="Times New Roman" w:hAnsi="Times New Roman" w:cs="Times New Roman"/>
          <w:sz w:val="20"/>
          <w:szCs w:val="20"/>
        </w:rPr>
        <w:t>tress status in Chinese university students. Journal of gastroenterology and hepatology, 24(12), 1885-1890.</w:t>
      </w:r>
      <w:r w:rsidRPr="00A73B62">
        <w:rPr>
          <w:rFonts w:ascii="Times New Roman" w:hAnsi="Times New Roman" w:cs="Times New Roman"/>
          <w:sz w:val="20"/>
          <w:szCs w:val="20"/>
          <w:rtl/>
        </w:rPr>
        <w:t>‏</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Gulewitsch, M. D., Enck, P., Hautzinger, M., &amp; Schlarb, A. A. (2011). Irritable bowel syndrome symptoms among German students: prevalence, characte</w:t>
      </w:r>
      <w:r w:rsidRPr="00A73B62">
        <w:rPr>
          <w:rFonts w:ascii="Times New Roman" w:hAnsi="Times New Roman" w:cs="Times New Roman"/>
          <w:sz w:val="20"/>
          <w:szCs w:val="20"/>
        </w:rPr>
        <w:t>ristics, and associations to somatic complaints, sleep, quality of life, and childhood abdominal pain. European journal of gastroenterology &amp; hepatology, 23(4), 311-316.</w:t>
      </w:r>
      <w:r w:rsidRPr="00A73B62">
        <w:rPr>
          <w:rFonts w:ascii="Times New Roman" w:hAnsi="Times New Roman" w:cs="Times New Roman"/>
          <w:sz w:val="20"/>
          <w:szCs w:val="20"/>
          <w:rtl/>
        </w:rPr>
        <w:t>‏</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Costanian, C., Tamim, H., &amp; Assaad, S. (2015). Prevalence and factors associated with</w:t>
      </w:r>
      <w:r w:rsidRPr="00A73B62">
        <w:rPr>
          <w:rFonts w:ascii="Times New Roman" w:hAnsi="Times New Roman" w:cs="Times New Roman"/>
          <w:sz w:val="20"/>
          <w:szCs w:val="20"/>
        </w:rPr>
        <w:t xml:space="preserve"> irritable bowel syndrome among university students in Lebanon: findings from a cross-</w:t>
      </w:r>
      <w:r w:rsidRPr="00A73B62">
        <w:rPr>
          <w:rFonts w:ascii="Times New Roman" w:hAnsi="Times New Roman" w:cs="Times New Roman"/>
          <w:sz w:val="20"/>
          <w:szCs w:val="20"/>
        </w:rPr>
        <w:lastRenderedPageBreak/>
        <w:t>sectional study. World Journal of Gastroenterology: WJG, 21(12), 3628.</w:t>
      </w:r>
      <w:r w:rsidRPr="00A73B62">
        <w:rPr>
          <w:rFonts w:ascii="Times New Roman" w:hAnsi="Times New Roman" w:cs="Times New Roman"/>
          <w:sz w:val="20"/>
          <w:szCs w:val="20"/>
          <w:rtl/>
        </w:rPr>
        <w:t>‏</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Asadi, M., Cheshmeh, M. G. D., Mahmoodi, M., Zarea, K., Ghomeishi, A., &amp; Adarvishi, S. (2015). Rel</w:t>
      </w:r>
      <w:r w:rsidRPr="00A73B62">
        <w:rPr>
          <w:rFonts w:ascii="Times New Roman" w:hAnsi="Times New Roman" w:cs="Times New Roman"/>
          <w:sz w:val="20"/>
          <w:szCs w:val="20"/>
        </w:rPr>
        <w:t>ationship between student QoL with irritable bowel syndrome and related factors at Ahvaz Jundishapur University of Medical Sciences. Jundishapur J Chronic Dis Care,</w:t>
      </w:r>
      <w:r w:rsidR="00A73B62">
        <w:rPr>
          <w:rFonts w:ascii="Times New Roman" w:hAnsi="Times New Roman" w:cs="Times New Roman" w:hint="eastAsia"/>
          <w:sz w:val="20"/>
          <w:szCs w:val="20"/>
          <w:lang w:eastAsia="zh-CN"/>
        </w:rPr>
        <w:t xml:space="preserve"> </w:t>
      </w:r>
      <w:r w:rsidRPr="00A73B62">
        <w:rPr>
          <w:rFonts w:ascii="Times New Roman" w:hAnsi="Times New Roman" w:cs="Times New Roman"/>
          <w:sz w:val="20"/>
          <w:szCs w:val="20"/>
        </w:rPr>
        <w:t>4, e26624-e26624.</w:t>
      </w:r>
      <w:r w:rsidRPr="00A73B62">
        <w:rPr>
          <w:rFonts w:ascii="Times New Roman" w:hAnsi="Times New Roman" w:cs="Times New Roman"/>
          <w:sz w:val="20"/>
          <w:szCs w:val="20"/>
          <w:rtl/>
        </w:rPr>
        <w:t>‏</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Darweesh, M. M., Abd El Hameed, M. A. M., Hassan, Y. M., Abd El Rheem, K</w:t>
      </w:r>
      <w:r w:rsidRPr="00A73B62">
        <w:rPr>
          <w:rFonts w:ascii="Times New Roman" w:hAnsi="Times New Roman" w:cs="Times New Roman"/>
          <w:sz w:val="20"/>
          <w:szCs w:val="20"/>
        </w:rPr>
        <w:t>. A., Mohamed, S. A., Mahdy, M. A., Slwawy, A. A., &amp; Abo El Ftooh, M. M. (2015). The prevalence of irritable bowel syndrome among medical and non-medical Suez Canal University students. Open Journal of Gastroenterology, 5(05), 42.</w:t>
      </w:r>
      <w:r w:rsidRPr="00A73B62">
        <w:rPr>
          <w:rFonts w:ascii="Times New Roman" w:hAnsi="Times New Roman" w:cs="Times New Roman"/>
          <w:sz w:val="20"/>
          <w:szCs w:val="20"/>
          <w:rtl/>
        </w:rPr>
        <w:t>‏</w:t>
      </w:r>
    </w:p>
    <w:p w:rsidR="00DF6A44" w:rsidRPr="00A73B62" w:rsidRDefault="00B0692F" w:rsidP="00A73B62">
      <w:pPr>
        <w:numPr>
          <w:ilvl w:val="0"/>
          <w:numId w:val="2"/>
        </w:numPr>
        <w:autoSpaceDE w:val="0"/>
        <w:autoSpaceDN w:val="0"/>
        <w:adjustRightInd w:val="0"/>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Goyal, O., Nohria, S., D</w:t>
      </w:r>
      <w:r w:rsidRPr="00A73B62">
        <w:rPr>
          <w:rFonts w:ascii="Times New Roman" w:hAnsi="Times New Roman" w:cs="Times New Roman"/>
          <w:sz w:val="20"/>
          <w:szCs w:val="20"/>
        </w:rPr>
        <w:t>haliwal, A. S., Goyal, P., Soni, R. K., Chhina, R. S., &amp; Sood, A. (2021). Prevalence, overlap, and risk factors for Rome IV functional gastrointestinal disorders among college students in northern India.</w:t>
      </w:r>
      <w:r w:rsidR="00A73B62">
        <w:rPr>
          <w:rFonts w:ascii="Times New Roman" w:hAnsi="Times New Roman" w:cs="Times New Roman" w:hint="eastAsia"/>
          <w:sz w:val="20"/>
          <w:szCs w:val="20"/>
          <w:lang w:eastAsia="zh-CN"/>
        </w:rPr>
        <w:t xml:space="preserve"> </w:t>
      </w:r>
      <w:r w:rsidRPr="00A73B62">
        <w:rPr>
          <w:rFonts w:ascii="Times New Roman" w:hAnsi="Times New Roman" w:cs="Times New Roman"/>
          <w:sz w:val="20"/>
          <w:szCs w:val="20"/>
        </w:rPr>
        <w:t>Indian Journal of Gastroenterology,</w:t>
      </w:r>
      <w:r w:rsidR="00A73B62">
        <w:rPr>
          <w:rFonts w:ascii="Times New Roman" w:hAnsi="Times New Roman" w:cs="Times New Roman" w:hint="eastAsia"/>
          <w:sz w:val="20"/>
          <w:szCs w:val="20"/>
          <w:lang w:eastAsia="zh-CN"/>
        </w:rPr>
        <w:t xml:space="preserve"> </w:t>
      </w:r>
      <w:r w:rsidRPr="00A73B62">
        <w:rPr>
          <w:rFonts w:ascii="Times New Roman" w:hAnsi="Times New Roman" w:cs="Times New Roman"/>
          <w:sz w:val="20"/>
          <w:szCs w:val="20"/>
        </w:rPr>
        <w:t>40(2), 144-153.</w:t>
      </w:r>
      <w:r w:rsidRPr="00A73B62">
        <w:rPr>
          <w:rFonts w:ascii="Times New Roman" w:hAnsi="Times New Roman" w:cs="Times New Roman"/>
          <w:sz w:val="20"/>
          <w:szCs w:val="20"/>
          <w:rtl/>
        </w:rPr>
        <w:t>‏</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Dong, Y. Y., Zuo, X. L., Li, C. Q., Yu, Y. B., Zhao, Q. J., &amp; Li, Y. Q. (2010). Prevalence of irritable bowel syndrome in Chinese college and university students assessed using Rome III criteria. World journal of gastroenterology: WJG, 16(33), 4221.</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Wani,</w:t>
      </w:r>
      <w:r w:rsidRPr="00A73B62">
        <w:rPr>
          <w:rFonts w:ascii="Times New Roman" w:hAnsi="Times New Roman" w:cs="Times New Roman"/>
          <w:sz w:val="20"/>
          <w:szCs w:val="20"/>
        </w:rPr>
        <w:t xml:space="preserve"> F. A., Almaeen, A. H., Bandy, A. H., Thirunavukkarsu, A., Al-Sayer, T. A., Flah, A., Fayed, K., &amp; Albalawi, M. M. (2020). Prevalence and risk factors of IBS among medical and nonmedical students in the jouf university.</w:t>
      </w:r>
      <w:r w:rsidR="00A73B62">
        <w:rPr>
          <w:rFonts w:ascii="Times New Roman" w:hAnsi="Times New Roman" w:cs="Times New Roman" w:hint="eastAsia"/>
          <w:sz w:val="20"/>
          <w:szCs w:val="20"/>
          <w:lang w:eastAsia="zh-CN"/>
        </w:rPr>
        <w:t xml:space="preserve"> </w:t>
      </w:r>
      <w:r w:rsidRPr="00A73B62">
        <w:rPr>
          <w:rFonts w:ascii="Times New Roman" w:hAnsi="Times New Roman" w:cs="Times New Roman"/>
          <w:sz w:val="20"/>
          <w:szCs w:val="20"/>
        </w:rPr>
        <w:t>Niger J Clin Pract, 23(4), 555-60.</w:t>
      </w:r>
      <w:r w:rsidRPr="00A73B62">
        <w:rPr>
          <w:rFonts w:ascii="Times New Roman" w:hAnsi="Times New Roman" w:cs="Times New Roman"/>
          <w:sz w:val="20"/>
          <w:szCs w:val="20"/>
          <w:rtl/>
        </w:rPr>
        <w:t>‏</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Jafri, W., Yakoob, J., Jafri, N., Islam, M., &amp; Ali, Q. M. (2005). Frequency of irritable bowel syndrome in college students. Journal of Ayub Medical College Abbottabad, 17(4), 9.</w:t>
      </w:r>
      <w:r w:rsidRPr="00A73B62">
        <w:rPr>
          <w:rFonts w:ascii="Times New Roman" w:hAnsi="Times New Roman" w:cs="Times New Roman"/>
          <w:sz w:val="20"/>
          <w:szCs w:val="20"/>
          <w:rtl/>
        </w:rPr>
        <w:t>‏</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Ghanaei, F. M., Fallah, M. S., Heidarzadeh, A., Jafarshad, R., Joukar, F., G</w:t>
      </w:r>
      <w:r w:rsidRPr="00A73B62">
        <w:rPr>
          <w:rFonts w:ascii="Times New Roman" w:hAnsi="Times New Roman" w:cs="Times New Roman"/>
          <w:sz w:val="20"/>
          <w:szCs w:val="20"/>
        </w:rPr>
        <w:t>hasemipour, R., Arami, M., Keyhanian, S., &amp; Keyhanian, M. (2009). Prevalence and characteristics of irritable bowel syndrome (IBS) amongst medical students of Gilan Northern Province of Iran. Middle East Journal of Digestive Diseases (MEJDD), 1(2), 100-105</w:t>
      </w:r>
      <w:r w:rsidRPr="00A73B62">
        <w:rPr>
          <w:rFonts w:ascii="Times New Roman" w:hAnsi="Times New Roman" w:cs="Times New Roman"/>
          <w:sz w:val="20"/>
          <w:szCs w:val="20"/>
        </w:rPr>
        <w:t>.</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 xml:space="preserve">Seger, S., Nasharuddin, N. N. B., Fernandez, S. L., Yunus, S. R. B. M., Shun, N. T. M., Agarwal, P., &amp; Burud, I. (2020). Prevalence and factors associated with irritable bowel syndrome among medical students in a </w:t>
      </w:r>
      <w:r w:rsidRPr="00A73B62">
        <w:rPr>
          <w:rFonts w:ascii="Times New Roman" w:hAnsi="Times New Roman" w:cs="Times New Roman"/>
          <w:sz w:val="20"/>
          <w:szCs w:val="20"/>
        </w:rPr>
        <w:lastRenderedPageBreak/>
        <w:t>Malaysian private university: a cross sec</w:t>
      </w:r>
      <w:r w:rsidR="00A73B62">
        <w:rPr>
          <w:rFonts w:ascii="Times New Roman" w:hAnsi="Times New Roman" w:cs="Times New Roman"/>
          <w:sz w:val="20"/>
          <w:szCs w:val="20"/>
        </w:rPr>
        <w:t>tional study.</w:t>
      </w:r>
      <w:r w:rsidR="00A73B62">
        <w:rPr>
          <w:rFonts w:ascii="Times New Roman" w:hAnsi="Times New Roman" w:cs="Times New Roman" w:hint="eastAsia"/>
          <w:sz w:val="20"/>
          <w:szCs w:val="20"/>
          <w:lang w:eastAsia="zh-CN"/>
        </w:rPr>
        <w:t xml:space="preserve"> </w:t>
      </w:r>
      <w:r w:rsidRPr="00A73B62">
        <w:rPr>
          <w:rFonts w:ascii="Times New Roman" w:hAnsi="Times New Roman" w:cs="Times New Roman"/>
          <w:sz w:val="20"/>
          <w:szCs w:val="20"/>
        </w:rPr>
        <w:t>The Pan African Medical Journal, 37.</w:t>
      </w:r>
      <w:r w:rsidRPr="00A73B62">
        <w:rPr>
          <w:rFonts w:ascii="Times New Roman" w:hAnsi="Times New Roman" w:cs="Times New Roman"/>
          <w:sz w:val="20"/>
          <w:szCs w:val="20"/>
          <w:rtl/>
        </w:rPr>
        <w:t>‏</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 xml:space="preserve">Govindaraja, C., Chandramouli, A., Winn, T., Min, A., Jaiprakash, H., Patil, A., Kale, S., &amp; Sornam, S. (2018). Prevalence of Irritable Bowel Syndrome and Its Imprint on the Quality of Life of </w:t>
      </w:r>
      <w:r w:rsidRPr="00A73B62">
        <w:rPr>
          <w:rFonts w:ascii="Times New Roman" w:hAnsi="Times New Roman" w:cs="Times New Roman"/>
          <w:sz w:val="20"/>
          <w:szCs w:val="20"/>
        </w:rPr>
        <w:t>Undergraduate Students at a Malaysian Medical University. J. Adv. Med. Med. Res, 26, 1-13.</w:t>
      </w:r>
      <w:r w:rsidRPr="00A73B62">
        <w:rPr>
          <w:rFonts w:ascii="Times New Roman" w:hAnsi="Times New Roman" w:cs="Times New Roman"/>
          <w:sz w:val="20"/>
          <w:szCs w:val="20"/>
          <w:rtl/>
        </w:rPr>
        <w:t>‏</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sz w:val="20"/>
          <w:szCs w:val="20"/>
        </w:rPr>
      </w:pPr>
      <w:r w:rsidRPr="00A73B62">
        <w:rPr>
          <w:rFonts w:ascii="Times New Roman" w:hAnsi="Times New Roman" w:cs="Times New Roman"/>
          <w:sz w:val="20"/>
          <w:szCs w:val="20"/>
        </w:rPr>
        <w:t xml:space="preserve">Alaqeel, M. K., Alowaimer, N. A., Alonezan, A. F., Almegbel, N. Y., &amp; Alaujan, F. Y. </w:t>
      </w:r>
      <w:r w:rsidRPr="00A73B62">
        <w:rPr>
          <w:rFonts w:ascii="Times New Roman" w:hAnsi="Times New Roman" w:cs="Times New Roman"/>
          <w:sz w:val="20"/>
          <w:szCs w:val="20"/>
        </w:rPr>
        <w:lastRenderedPageBreak/>
        <w:t>(2017). Prevalence of irritable bowel syndrome and its association with anxiety</w:t>
      </w:r>
      <w:r w:rsidRPr="00A73B62">
        <w:rPr>
          <w:rFonts w:ascii="Times New Roman" w:hAnsi="Times New Roman" w:cs="Times New Roman"/>
          <w:sz w:val="20"/>
          <w:szCs w:val="20"/>
        </w:rPr>
        <w:t xml:space="preserve"> among medical students at King Saud bin Abdulaziz University for Health Sciences in Riyadh. Pakistan journal of medical sciences,</w:t>
      </w:r>
      <w:r w:rsidR="00A73B62">
        <w:rPr>
          <w:rFonts w:ascii="Times New Roman" w:hAnsi="Times New Roman" w:cs="Times New Roman" w:hint="eastAsia"/>
          <w:sz w:val="20"/>
          <w:szCs w:val="20"/>
          <w:lang w:eastAsia="zh-CN"/>
        </w:rPr>
        <w:t xml:space="preserve"> </w:t>
      </w:r>
      <w:r w:rsidRPr="00A73B62">
        <w:rPr>
          <w:rFonts w:ascii="Times New Roman" w:hAnsi="Times New Roman" w:cs="Times New Roman"/>
          <w:sz w:val="20"/>
          <w:szCs w:val="20"/>
        </w:rPr>
        <w:t>33(1), 33.</w:t>
      </w:r>
      <w:r w:rsidRPr="00A73B62">
        <w:rPr>
          <w:rFonts w:ascii="Times New Roman" w:hAnsi="Times New Roman" w:cs="Times New Roman"/>
          <w:sz w:val="20"/>
          <w:szCs w:val="20"/>
          <w:rtl/>
        </w:rPr>
        <w:t>‏</w:t>
      </w:r>
    </w:p>
    <w:p w:rsidR="00DF6A44" w:rsidRPr="00A73B62" w:rsidRDefault="00B0692F" w:rsidP="00A73B62">
      <w:pPr>
        <w:numPr>
          <w:ilvl w:val="0"/>
          <w:numId w:val="2"/>
        </w:numPr>
        <w:spacing w:after="0" w:line="240" w:lineRule="auto"/>
        <w:ind w:left="567" w:hanging="567"/>
        <w:jc w:val="both"/>
        <w:rPr>
          <w:rFonts w:ascii="Times New Roman" w:hAnsi="Times New Roman" w:cs="Times New Roman" w:hint="eastAsia"/>
          <w:sz w:val="20"/>
          <w:szCs w:val="20"/>
          <w:lang w:eastAsia="zh-CN"/>
        </w:rPr>
      </w:pPr>
      <w:r w:rsidRPr="00A73B62">
        <w:rPr>
          <w:rFonts w:ascii="Times New Roman" w:hAnsi="Times New Roman" w:cs="Times New Roman"/>
          <w:sz w:val="20"/>
          <w:szCs w:val="20"/>
        </w:rPr>
        <w:t>Kesuma, Y., Sekartini, R., Timan, I. S., Kurniawan, A., Bardosono, S., Firmansyah, A., &amp; Vandenplas, Y. (2021). I</w:t>
      </w:r>
      <w:r w:rsidRPr="00A73B62">
        <w:rPr>
          <w:rFonts w:ascii="Times New Roman" w:hAnsi="Times New Roman" w:cs="Times New Roman"/>
          <w:sz w:val="20"/>
          <w:szCs w:val="20"/>
        </w:rPr>
        <w:t>rritable bowel syndrome in Indonesian adolescents. Jornal de Pediatria,</w:t>
      </w:r>
      <w:r w:rsidR="00A73B62" w:rsidRPr="00A73B62">
        <w:rPr>
          <w:rFonts w:ascii="Times New Roman" w:hAnsi="Times New Roman" w:cs="Times New Roman" w:hint="eastAsia"/>
          <w:sz w:val="20"/>
          <w:szCs w:val="20"/>
          <w:lang w:eastAsia="zh-CN"/>
        </w:rPr>
        <w:t xml:space="preserve"> </w:t>
      </w:r>
      <w:r w:rsidRPr="00A73B62">
        <w:rPr>
          <w:rFonts w:ascii="Times New Roman" w:hAnsi="Times New Roman" w:cs="Times New Roman"/>
          <w:sz w:val="20"/>
          <w:szCs w:val="20"/>
        </w:rPr>
        <w:t>97, 197-203.</w:t>
      </w:r>
      <w:r w:rsidR="00A73B62" w:rsidRPr="00A73B62">
        <w:rPr>
          <w:rFonts w:ascii="Times New Roman" w:hAnsi="Times New Roman" w:cs="Times New Roman" w:hint="eastAsia"/>
          <w:sz w:val="20"/>
          <w:szCs w:val="20"/>
          <w:lang w:eastAsia="zh-CN"/>
        </w:rPr>
        <w:t xml:space="preserve"> </w:t>
      </w:r>
      <w:r w:rsidRPr="00A73B62">
        <w:rPr>
          <w:rFonts w:ascii="Times New Roman" w:hAnsi="Times New Roman" w:cs="Times New Roman"/>
          <w:sz w:val="20"/>
          <w:szCs w:val="20"/>
          <w:rtl/>
        </w:rPr>
        <w:t>‏</w:t>
      </w:r>
    </w:p>
    <w:p w:rsidR="00A73B62" w:rsidRPr="00A73B62" w:rsidRDefault="00A73B62">
      <w:pPr>
        <w:spacing w:after="0" w:line="240" w:lineRule="auto"/>
        <w:ind w:left="426" w:hanging="426"/>
        <w:jc w:val="both"/>
        <w:rPr>
          <w:rFonts w:ascii="Times New Roman" w:hAnsi="Times New Roman" w:cs="Times New Roman" w:hint="eastAsia"/>
          <w:b/>
          <w:bCs/>
          <w:color w:val="000000"/>
          <w:sz w:val="20"/>
          <w:szCs w:val="20"/>
          <w:lang w:eastAsia="zh-CN"/>
        </w:rPr>
        <w:sectPr w:rsidR="00A73B62" w:rsidRPr="00A73B62">
          <w:type w:val="continuous"/>
          <w:pgSz w:w="12240" w:h="15840"/>
          <w:pgMar w:top="1440" w:right="1440" w:bottom="1440" w:left="1440" w:header="720" w:footer="720" w:gutter="0"/>
          <w:cols w:num="2" w:space="709"/>
          <w:titlePg/>
          <w:docGrid w:linePitch="360"/>
        </w:sectPr>
      </w:pPr>
    </w:p>
    <w:p w:rsidR="00DF6A44" w:rsidRPr="00A73B62" w:rsidRDefault="00DF6A44">
      <w:pPr>
        <w:spacing w:after="0" w:line="240" w:lineRule="auto"/>
        <w:jc w:val="both"/>
        <w:rPr>
          <w:rFonts w:ascii="Times New Roman" w:hAnsi="Times New Roman" w:cs="Times New Roman"/>
          <w:b/>
          <w:bCs/>
          <w:color w:val="000000"/>
          <w:sz w:val="20"/>
          <w:szCs w:val="20"/>
        </w:rPr>
      </w:pPr>
    </w:p>
    <w:p w:rsidR="00DF6A44" w:rsidRPr="00A73B62" w:rsidRDefault="00DF6A44">
      <w:pPr>
        <w:spacing w:after="0" w:line="240" w:lineRule="auto"/>
        <w:rPr>
          <w:rFonts w:ascii="Times New Roman" w:hAnsi="Times New Roman" w:cs="Times New Roman"/>
          <w:sz w:val="20"/>
          <w:szCs w:val="20"/>
          <w:lang w:eastAsia="zh-CN"/>
        </w:rPr>
      </w:pPr>
    </w:p>
    <w:p w:rsidR="00DF6A44" w:rsidRPr="00A73B62" w:rsidRDefault="00DF6A44">
      <w:pPr>
        <w:spacing w:after="0" w:line="240" w:lineRule="auto"/>
        <w:rPr>
          <w:rFonts w:ascii="Times New Roman" w:hAnsi="Times New Roman" w:cs="Times New Roman"/>
          <w:sz w:val="20"/>
          <w:szCs w:val="20"/>
          <w:lang w:eastAsia="zh-CN"/>
        </w:rPr>
      </w:pPr>
    </w:p>
    <w:p w:rsidR="00DF6A44" w:rsidRPr="00A73B62" w:rsidRDefault="00DF6A44">
      <w:pPr>
        <w:spacing w:after="0" w:line="240" w:lineRule="auto"/>
        <w:rPr>
          <w:rFonts w:ascii="Times New Roman" w:hAnsi="Times New Roman" w:cs="Times New Roman"/>
          <w:sz w:val="20"/>
          <w:szCs w:val="20"/>
          <w:lang w:eastAsia="zh-CN"/>
        </w:rPr>
      </w:pPr>
    </w:p>
    <w:p w:rsidR="00DF6A44" w:rsidRPr="00A73B62" w:rsidRDefault="00B0692F" w:rsidP="00A73B62">
      <w:pPr>
        <w:spacing w:after="0" w:line="240" w:lineRule="auto"/>
        <w:ind w:right="400"/>
        <w:rPr>
          <w:rFonts w:ascii="Times New Roman" w:hAnsi="Times New Roman" w:cs="Times New Roman"/>
          <w:sz w:val="20"/>
          <w:szCs w:val="20"/>
          <w:lang w:eastAsia="zh-CN"/>
        </w:rPr>
      </w:pPr>
      <w:r w:rsidRPr="00A73B62">
        <w:rPr>
          <w:rFonts w:ascii="Times New Roman" w:hAnsi="Times New Roman" w:cs="Times New Roman"/>
          <w:sz w:val="20"/>
          <w:szCs w:val="20"/>
          <w:lang w:eastAsia="zh-CN"/>
        </w:rPr>
        <w:t>5/</w:t>
      </w:r>
      <w:r w:rsidR="00A73B62" w:rsidRPr="00A73B62">
        <w:rPr>
          <w:rFonts w:ascii="Times New Roman" w:hAnsi="Times New Roman" w:cs="Times New Roman" w:hint="eastAsia"/>
          <w:sz w:val="20"/>
          <w:szCs w:val="20"/>
          <w:lang w:eastAsia="zh-CN"/>
        </w:rPr>
        <w:t>19</w:t>
      </w:r>
      <w:r w:rsidRPr="00A73B62">
        <w:rPr>
          <w:rFonts w:ascii="Times New Roman" w:hAnsi="Times New Roman" w:cs="Times New Roman"/>
          <w:sz w:val="20"/>
          <w:szCs w:val="20"/>
          <w:lang w:eastAsia="zh-CN"/>
        </w:rPr>
        <w:t>/2022</w:t>
      </w:r>
    </w:p>
    <w:sectPr w:rsidR="00DF6A44" w:rsidRPr="00A73B62" w:rsidSect="00DF6A44">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92F" w:rsidRDefault="00B0692F" w:rsidP="00DF6A44">
      <w:pPr>
        <w:spacing w:after="0" w:line="240" w:lineRule="auto"/>
      </w:pPr>
      <w:r>
        <w:separator/>
      </w:r>
    </w:p>
  </w:endnote>
  <w:endnote w:type="continuationSeparator" w:id="0">
    <w:p w:rsidR="00B0692F" w:rsidRDefault="00B0692F" w:rsidP="00DF6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44" w:rsidRDefault="00DF6A44">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DF6A44" w:rsidRDefault="00DF6A44">
                <w:pPr>
                  <w:pStyle w:val="Footer"/>
                  <w:rPr>
                    <w:lang w:eastAsia="zh-CN"/>
                  </w:rPr>
                </w:pPr>
                <w:r>
                  <w:rPr>
                    <w:rFonts w:ascii="Times New Roman" w:hAnsi="Times New Roman" w:cs="Times New Roman"/>
                    <w:sz w:val="20"/>
                    <w:szCs w:val="20"/>
                    <w:lang w:eastAsia="zh-CN"/>
                  </w:rPr>
                  <w:fldChar w:fldCharType="begin"/>
                </w:r>
                <w:r w:rsidR="00B0692F">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F67147">
                  <w:rPr>
                    <w:rFonts w:ascii="Times New Roman" w:hAnsi="Times New Roman" w:cs="Times New Roman"/>
                    <w:noProof/>
                    <w:sz w:val="20"/>
                    <w:szCs w:val="20"/>
                    <w:lang w:eastAsia="zh-CN"/>
                  </w:rPr>
                  <w:t>11</w:t>
                </w:r>
                <w:r>
                  <w:rPr>
                    <w:rFonts w:ascii="Times New Roman" w:hAnsi="Times New Roman" w:cs="Times New Roman"/>
                    <w:sz w:val="20"/>
                    <w:szCs w:val="20"/>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44" w:rsidRDefault="00DF6A44">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DF6A44" w:rsidRDefault="00DF6A44">
                <w:pPr>
                  <w:pStyle w:val="Footer"/>
                  <w:rPr>
                    <w:lang w:eastAsia="zh-CN"/>
                  </w:rPr>
                </w:pPr>
                <w:r>
                  <w:rPr>
                    <w:rFonts w:ascii="Times New Roman" w:hAnsi="Times New Roman" w:cs="Times New Roman"/>
                    <w:sz w:val="20"/>
                    <w:szCs w:val="20"/>
                    <w:lang w:eastAsia="zh-CN"/>
                  </w:rPr>
                  <w:fldChar w:fldCharType="begin"/>
                </w:r>
                <w:r w:rsidR="00B0692F">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F67147">
                  <w:rPr>
                    <w:rFonts w:ascii="Times New Roman" w:hAnsi="Times New Roman" w:cs="Times New Roman"/>
                    <w:noProof/>
                    <w:sz w:val="20"/>
                    <w:szCs w:val="20"/>
                    <w:lang w:eastAsia="zh-CN"/>
                  </w:rPr>
                  <w:t>10</w:t>
                </w:r>
                <w:r>
                  <w:rPr>
                    <w:rFonts w:ascii="Times New Roman" w:hAnsi="Times New Roman" w:cs="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92F" w:rsidRDefault="00B0692F" w:rsidP="00DF6A44">
      <w:pPr>
        <w:spacing w:after="0" w:line="240" w:lineRule="auto"/>
      </w:pPr>
      <w:r>
        <w:separator/>
      </w:r>
    </w:p>
  </w:footnote>
  <w:footnote w:type="continuationSeparator" w:id="0">
    <w:p w:rsidR="00B0692F" w:rsidRDefault="00B0692F" w:rsidP="00DF6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44" w:rsidRDefault="00B0692F">
    <w:pPr>
      <w:pBdr>
        <w:bottom w:val="thinThickMediumGap" w:sz="12" w:space="1" w:color="auto"/>
      </w:pBdr>
      <w:tabs>
        <w:tab w:val="left" w:pos="851"/>
        <w:tab w:val="right" w:pos="8364"/>
      </w:tabs>
      <w:adjustRightInd w:val="0"/>
      <w:snapToGrid w:val="0"/>
      <w:spacing w:after="0" w:line="240" w:lineRule="auto"/>
      <w:jc w:val="both"/>
      <w:rPr>
        <w:rFonts w:ascii="Times New Roman" w:eastAsia="Calibri" w:hAnsi="Times New Roman" w:cs="Times New Roman"/>
        <w:iCs/>
        <w:sz w:val="20"/>
        <w:szCs w:val="20"/>
      </w:rPr>
    </w:pPr>
    <w:r>
      <w:rPr>
        <w:rFonts w:ascii="Times New Roman" w:eastAsia="Calibri" w:hAnsi="Times New Roman" w:cs="Times New Roman"/>
        <w:sz w:val="20"/>
        <w:szCs w:val="20"/>
      </w:rPr>
      <w:tab/>
      <w:t>New York Science Journal 2022;15(</w:t>
    </w:r>
    <w:r>
      <w:rPr>
        <w:rFonts w:ascii="Times New Roman" w:eastAsia="宋体" w:hAnsi="Times New Roman" w:cs="Times New Roman" w:hint="eastAsia"/>
        <w:sz w:val="20"/>
        <w:szCs w:val="20"/>
        <w:lang w:eastAsia="zh-CN"/>
      </w:rPr>
      <w:t>5</w:t>
    </w:r>
    <w:bookmarkStart w:id="0" w:name="_GoBack"/>
    <w:bookmarkEnd w:id="0"/>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r>
    <w:r>
      <w:rPr>
        <w:rFonts w:ascii="Times New Roman" w:eastAsia="宋体" w:hAnsi="Times New Roman" w:cs="Times New Roman" w:hint="eastAsia"/>
        <w:iCs/>
        <w:sz w:val="20"/>
        <w:szCs w:val="20"/>
        <w:lang w:eastAsia="zh-CN"/>
      </w:rPr>
      <w:t xml:space="preserve">     </w:t>
    </w:r>
    <w:r>
      <w:rPr>
        <w:rFonts w:ascii="Times New Roman" w:eastAsia="Calibri"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eastAsia="Calibri"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sz w:val="20"/>
        <w:szCs w:val="20"/>
      </w:rPr>
      <w:t xml:space="preserve">   </w:t>
    </w:r>
    <w:r>
      <w:rPr>
        <w:rFonts w:ascii="Times New Roman" w:eastAsia="Calibri" w:hAnsi="Times New Roman" w:cs="Times New Roman"/>
        <w:b/>
        <w:i/>
        <w:color w:val="FF0000"/>
        <w:sz w:val="20"/>
        <w:szCs w:val="20"/>
        <w:bdr w:val="single" w:sz="4" w:space="0" w:color="FF0000"/>
      </w:rPr>
      <w:t>NYJ</w:t>
    </w:r>
  </w:p>
  <w:p w:rsidR="00DF6A44" w:rsidRDefault="00DF6A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44" w:rsidRDefault="00B0692F">
    <w:pPr>
      <w:pStyle w:val="Header"/>
      <w:jc w:val="center"/>
    </w:pPr>
    <w:r>
      <w:rPr>
        <w:rFonts w:ascii="Times New Roman" w:eastAsia="Calibri" w:hAnsi="Times New Roman" w:cs="Times New Roman" w:hint="eastAsia"/>
        <w:noProof/>
        <w:sz w:val="20"/>
        <w:lang w:eastAsia="zh-CN"/>
      </w:rPr>
      <w:drawing>
        <wp:inline distT="0" distB="0" distL="0" distR="0">
          <wp:extent cx="6002655" cy="795020"/>
          <wp:effectExtent l="0" t="0" r="17145" b="5080"/>
          <wp:docPr id="1" name="图片 1" descr="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新其它\Scij\Logo\Mslndlogo-nys.png"/>
                  <pic:cNvPicPr>
                    <a:picLocks noChangeAspect="1" noChangeArrowheads="1"/>
                  </pic:cNvPicPr>
                </pic:nvPicPr>
                <pic:blipFill>
                  <a:blip r:embed="rId1"/>
                  <a:srcRect/>
                  <a:stretch>
                    <a:fillRect/>
                  </a:stretch>
                </pic:blipFill>
                <pic:spPr>
                  <a:xfrm>
                    <a:off x="0" y="0"/>
                    <a:ext cx="6002655" cy="7950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6A29F"/>
    <w:multiLevelType w:val="multilevel"/>
    <w:tmpl w:val="1876A29F"/>
    <w:lvl w:ilvl="0">
      <w:start w:val="1"/>
      <w:numFmt w:val="decimal"/>
      <w:lvlText w:val="[%1]."/>
      <w:lvlJc w:val="left"/>
      <w:pPr>
        <w:ind w:left="1440" w:hanging="360"/>
      </w:pPr>
      <w:rPr>
        <w:rFonts w:ascii="宋体" w:eastAsia="宋体" w:hAnsi="宋体" w:cs="宋体"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3DC32ADD"/>
    <w:multiLevelType w:val="multilevel"/>
    <w:tmpl w:val="3DC32ADD"/>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38662F"/>
    <w:rsid w:val="000C3B6F"/>
    <w:rsid w:val="00123A30"/>
    <w:rsid w:val="00142974"/>
    <w:rsid w:val="0014536B"/>
    <w:rsid w:val="00152E06"/>
    <w:rsid w:val="00160097"/>
    <w:rsid w:val="00256830"/>
    <w:rsid w:val="002E5236"/>
    <w:rsid w:val="00317B98"/>
    <w:rsid w:val="0038662F"/>
    <w:rsid w:val="003C4DD0"/>
    <w:rsid w:val="003D315F"/>
    <w:rsid w:val="00456C1C"/>
    <w:rsid w:val="00483CC4"/>
    <w:rsid w:val="004958B9"/>
    <w:rsid w:val="0056783A"/>
    <w:rsid w:val="00574186"/>
    <w:rsid w:val="005A6BC1"/>
    <w:rsid w:val="00706E51"/>
    <w:rsid w:val="0083110B"/>
    <w:rsid w:val="008D2C55"/>
    <w:rsid w:val="00A55ACA"/>
    <w:rsid w:val="00A73B62"/>
    <w:rsid w:val="00AA60B1"/>
    <w:rsid w:val="00AF0209"/>
    <w:rsid w:val="00B0692F"/>
    <w:rsid w:val="00B06C6B"/>
    <w:rsid w:val="00B55003"/>
    <w:rsid w:val="00B625C4"/>
    <w:rsid w:val="00B911D1"/>
    <w:rsid w:val="00B92A59"/>
    <w:rsid w:val="00B9535D"/>
    <w:rsid w:val="00BB4975"/>
    <w:rsid w:val="00C546EF"/>
    <w:rsid w:val="00CA60D2"/>
    <w:rsid w:val="00DF01F8"/>
    <w:rsid w:val="00DF6A44"/>
    <w:rsid w:val="00E01914"/>
    <w:rsid w:val="00E20BB4"/>
    <w:rsid w:val="00E373B0"/>
    <w:rsid w:val="00F060AD"/>
    <w:rsid w:val="00F14798"/>
    <w:rsid w:val="00F55AFD"/>
    <w:rsid w:val="00F67147"/>
    <w:rsid w:val="00F8657F"/>
    <w:rsid w:val="00F87DF3"/>
    <w:rsid w:val="2014594C"/>
    <w:rsid w:val="2D0215BB"/>
    <w:rsid w:val="2EC506CD"/>
    <w:rsid w:val="43C30C67"/>
    <w:rsid w:val="7BA51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44"/>
    <w:rPr>
      <w:rFonts w:eastAsiaTheme="minorEastAs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A44"/>
    <w:pPr>
      <w:spacing w:after="0" w:line="240" w:lineRule="auto"/>
    </w:pPr>
    <w:rPr>
      <w:rFonts w:ascii="Tahoma" w:hAnsi="Tahoma" w:cs="Tahoma"/>
      <w:sz w:val="16"/>
      <w:szCs w:val="16"/>
    </w:rPr>
  </w:style>
  <w:style w:type="paragraph" w:styleId="Footer">
    <w:name w:val="footer"/>
    <w:basedOn w:val="Normal"/>
    <w:link w:val="FooterChar"/>
    <w:uiPriority w:val="99"/>
    <w:unhideWhenUsed/>
    <w:rsid w:val="00DF6A44"/>
    <w:pPr>
      <w:tabs>
        <w:tab w:val="center" w:pos="4153"/>
        <w:tab w:val="right" w:pos="8306"/>
      </w:tabs>
      <w:spacing w:after="0" w:line="240" w:lineRule="auto"/>
    </w:pPr>
  </w:style>
  <w:style w:type="paragraph" w:styleId="Header">
    <w:name w:val="header"/>
    <w:basedOn w:val="Normal"/>
    <w:link w:val="HeaderChar"/>
    <w:uiPriority w:val="99"/>
    <w:unhideWhenUsed/>
    <w:rsid w:val="00DF6A44"/>
    <w:pPr>
      <w:tabs>
        <w:tab w:val="center" w:pos="4153"/>
        <w:tab w:val="right" w:pos="8306"/>
      </w:tabs>
      <w:spacing w:after="0" w:line="240" w:lineRule="auto"/>
    </w:pPr>
  </w:style>
  <w:style w:type="character" w:styleId="Hyperlink">
    <w:name w:val="Hyperlink"/>
    <w:basedOn w:val="DefaultParagraphFont"/>
    <w:uiPriority w:val="99"/>
    <w:unhideWhenUsed/>
    <w:rsid w:val="00DF6A44"/>
    <w:rPr>
      <w:color w:val="0000FF" w:themeColor="hyperlink"/>
      <w:u w:val="single"/>
    </w:rPr>
  </w:style>
  <w:style w:type="paragraph" w:styleId="ListParagraph">
    <w:name w:val="List Paragraph"/>
    <w:basedOn w:val="Normal"/>
    <w:uiPriority w:val="34"/>
    <w:qFormat/>
    <w:rsid w:val="00DF6A44"/>
    <w:pPr>
      <w:ind w:left="720"/>
      <w:contextualSpacing/>
    </w:pPr>
  </w:style>
  <w:style w:type="table" w:customStyle="1" w:styleId="PlainTable2">
    <w:name w:val="Plain Table 2"/>
    <w:basedOn w:val="TableNormal"/>
    <w:uiPriority w:val="42"/>
    <w:qFormat/>
    <w:rsid w:val="00DF6A44"/>
    <w:pPr>
      <w:spacing w:after="0" w:line="240" w:lineRule="auto"/>
    </w:p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alloonTextChar">
    <w:name w:val="Balloon Text Char"/>
    <w:basedOn w:val="DefaultParagraphFont"/>
    <w:link w:val="BalloonText"/>
    <w:uiPriority w:val="99"/>
    <w:semiHidden/>
    <w:rsid w:val="00DF6A44"/>
    <w:rPr>
      <w:rFonts w:ascii="Tahoma" w:hAnsi="Tahoma" w:cs="Tahoma"/>
      <w:sz w:val="16"/>
      <w:szCs w:val="16"/>
    </w:rPr>
  </w:style>
  <w:style w:type="character" w:customStyle="1" w:styleId="HeaderChar">
    <w:name w:val="Header Char"/>
    <w:basedOn w:val="DefaultParagraphFont"/>
    <w:link w:val="Header"/>
    <w:uiPriority w:val="99"/>
    <w:rsid w:val="00DF6A44"/>
  </w:style>
  <w:style w:type="character" w:customStyle="1" w:styleId="FooterChar">
    <w:name w:val="Footer Char"/>
    <w:basedOn w:val="DefaultParagraphFont"/>
    <w:link w:val="Footer"/>
    <w:uiPriority w:val="99"/>
    <w:qFormat/>
    <w:rsid w:val="00DF6A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bsjennife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50522.0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newyork" TargetMode="External"/><Relationship Id="rId4" Type="http://schemas.openxmlformats.org/officeDocument/2006/relationships/styles" Target="styles.xml"/><Relationship Id="rId9" Type="http://schemas.openxmlformats.org/officeDocument/2006/relationships/hyperlink" Target="mailto:nanna@mans.edu.e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7CCFA-406C-4BDF-9CFD-47CCCD9D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4527</Words>
  <Characters>25807</Characters>
  <Application>Microsoft Office Word</Application>
  <DocSecurity>0</DocSecurity>
  <Lines>215</Lines>
  <Paragraphs>60</Paragraphs>
  <ScaleCrop>false</ScaleCrop>
  <Company>SACC</Company>
  <LinksUpToDate>false</LinksUpToDate>
  <CharactersWithSpaces>30274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Administrator</cp:lastModifiedBy>
  <cp:revision>6</cp:revision>
  <dcterms:created xsi:type="dcterms:W3CDTF">2022-05-19T02:49:00Z</dcterms:created>
  <dcterms:modified xsi:type="dcterms:W3CDTF">2022-05-19T21:57:00Z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