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B8" w:rsidRDefault="00674261" w:rsidP="004923B8">
      <w:pPr>
        <w:pStyle w:val="Title"/>
        <w:adjustRightInd w:val="0"/>
        <w:snapToGrid w:val="0"/>
        <w:spacing w:before="0" w:after="0" w:line="240" w:lineRule="auto"/>
        <w:rPr>
          <w:rFonts w:ascii="Times New Roman" w:hAnsi="Times New Roman" w:hint="eastAsia"/>
          <w:sz w:val="20"/>
          <w:szCs w:val="20"/>
          <w:lang w:eastAsia="zh-CN"/>
        </w:rPr>
      </w:pPr>
      <w:r w:rsidRPr="004923B8">
        <w:rPr>
          <w:rFonts w:ascii="Times New Roman" w:hAnsi="Times New Roman"/>
          <w:sz w:val="20"/>
          <w:szCs w:val="20"/>
        </w:rPr>
        <w:fldChar w:fldCharType="begin"/>
      </w:r>
      <w:r w:rsidR="004923B8" w:rsidRPr="004923B8">
        <w:rPr>
          <w:rFonts w:ascii="Times New Roman" w:hAnsi="Times New Roman"/>
          <w:sz w:val="20"/>
          <w:szCs w:val="20"/>
        </w:rPr>
        <w:instrText xml:space="preserve"> MACROBUTTON MTEditEquationSection2 </w:instrText>
      </w:r>
      <w:r w:rsidR="004923B8" w:rsidRPr="004923B8">
        <w:rPr>
          <w:rStyle w:val="MTEquationSection"/>
        </w:rPr>
        <w:instrText>Equation Chapter 1 Section 1</w:instrText>
      </w:r>
      <w:r w:rsidRPr="004923B8">
        <w:rPr>
          <w:rFonts w:ascii="Times New Roman" w:hAnsi="Times New Roman"/>
          <w:sz w:val="20"/>
          <w:szCs w:val="20"/>
        </w:rPr>
        <w:fldChar w:fldCharType="begin"/>
      </w:r>
      <w:r w:rsidR="004923B8" w:rsidRPr="004923B8">
        <w:rPr>
          <w:rFonts w:ascii="Times New Roman" w:hAnsi="Times New Roman"/>
          <w:sz w:val="20"/>
          <w:szCs w:val="20"/>
        </w:rPr>
        <w:instrText xml:space="preserve"> SEQ MTEqn \r \h \* MERGEFORMAT </w:instrText>
      </w:r>
      <w:r w:rsidRPr="004923B8">
        <w:rPr>
          <w:rFonts w:ascii="Times New Roman" w:hAnsi="Times New Roman"/>
          <w:sz w:val="20"/>
          <w:szCs w:val="20"/>
        </w:rPr>
        <w:fldChar w:fldCharType="end"/>
      </w:r>
      <w:r w:rsidRPr="004923B8">
        <w:rPr>
          <w:rFonts w:ascii="Times New Roman" w:hAnsi="Times New Roman"/>
          <w:sz w:val="20"/>
          <w:szCs w:val="20"/>
        </w:rPr>
        <w:fldChar w:fldCharType="begin"/>
      </w:r>
      <w:r w:rsidR="004923B8" w:rsidRPr="004923B8">
        <w:rPr>
          <w:rFonts w:ascii="Times New Roman" w:hAnsi="Times New Roman"/>
          <w:sz w:val="20"/>
          <w:szCs w:val="20"/>
        </w:rPr>
        <w:instrText xml:space="preserve"> SEQ MTSec \r 1 \h \* MERGEFORMAT </w:instrText>
      </w:r>
      <w:r w:rsidRPr="004923B8">
        <w:rPr>
          <w:rFonts w:ascii="Times New Roman" w:hAnsi="Times New Roman"/>
          <w:sz w:val="20"/>
          <w:szCs w:val="20"/>
        </w:rPr>
        <w:fldChar w:fldCharType="end"/>
      </w:r>
      <w:r w:rsidRPr="004923B8">
        <w:rPr>
          <w:rFonts w:ascii="Times New Roman" w:hAnsi="Times New Roman"/>
          <w:sz w:val="20"/>
          <w:szCs w:val="20"/>
        </w:rPr>
        <w:fldChar w:fldCharType="begin"/>
      </w:r>
      <w:r w:rsidR="004923B8" w:rsidRPr="004923B8">
        <w:rPr>
          <w:rFonts w:ascii="Times New Roman" w:hAnsi="Times New Roman"/>
          <w:sz w:val="20"/>
          <w:szCs w:val="20"/>
        </w:rPr>
        <w:instrText xml:space="preserve"> SEQ MTChap \r 1 \h \* MERGEFORMAT </w:instrText>
      </w:r>
      <w:r w:rsidRPr="004923B8">
        <w:rPr>
          <w:rFonts w:ascii="Times New Roman" w:hAnsi="Times New Roman"/>
          <w:sz w:val="20"/>
          <w:szCs w:val="20"/>
        </w:rPr>
        <w:fldChar w:fldCharType="end"/>
      </w:r>
      <w:r w:rsidRPr="004923B8">
        <w:rPr>
          <w:rFonts w:ascii="Times New Roman" w:hAnsi="Times New Roman"/>
          <w:sz w:val="20"/>
          <w:szCs w:val="20"/>
        </w:rPr>
        <w:fldChar w:fldCharType="end"/>
      </w:r>
    </w:p>
    <w:p w:rsidR="004923B8" w:rsidRPr="004923B8" w:rsidRDefault="004923B8" w:rsidP="004923B8">
      <w:pPr>
        <w:rPr>
          <w:rFonts w:hint="eastAsia"/>
          <w:lang w:eastAsia="zh-CN"/>
        </w:rPr>
      </w:pPr>
    </w:p>
    <w:p w:rsidR="00674261" w:rsidRPr="004923B8" w:rsidRDefault="004923B8" w:rsidP="004923B8">
      <w:pPr>
        <w:pStyle w:val="Title"/>
        <w:adjustRightInd w:val="0"/>
        <w:snapToGrid w:val="0"/>
        <w:spacing w:before="0" w:after="0" w:line="240" w:lineRule="auto"/>
        <w:rPr>
          <w:rFonts w:ascii="Times New Roman" w:hAnsi="Times New Roman"/>
          <w:sz w:val="20"/>
          <w:szCs w:val="20"/>
        </w:rPr>
      </w:pPr>
      <w:r w:rsidRPr="004923B8">
        <w:rPr>
          <w:rFonts w:ascii="Times New Roman" w:hAnsi="Times New Roman"/>
          <w:sz w:val="20"/>
          <w:szCs w:val="20"/>
        </w:rPr>
        <w:t>China-Pakistan economic corridor initiative and its impact on future energy consumption in Pakistan</w:t>
      </w:r>
    </w:p>
    <w:p w:rsidR="00674261" w:rsidRPr="004923B8" w:rsidRDefault="00674261" w:rsidP="004923B8">
      <w:pPr>
        <w:adjustRightInd w:val="0"/>
        <w:snapToGrid w:val="0"/>
        <w:spacing w:after="0" w:line="240" w:lineRule="auto"/>
        <w:rPr>
          <w:sz w:val="20"/>
          <w:szCs w:val="20"/>
        </w:rPr>
      </w:pPr>
    </w:p>
    <w:p w:rsidR="00674261" w:rsidRPr="004923B8" w:rsidRDefault="004923B8" w:rsidP="004923B8">
      <w:pPr>
        <w:adjustRightInd w:val="0"/>
        <w:snapToGrid w:val="0"/>
        <w:spacing w:after="0" w:line="240" w:lineRule="auto"/>
        <w:jc w:val="center"/>
        <w:rPr>
          <w:rFonts w:ascii="Times New Roman" w:hAnsi="Times New Roman"/>
          <w:sz w:val="20"/>
          <w:szCs w:val="20"/>
          <w:vertAlign w:val="superscript"/>
        </w:rPr>
      </w:pPr>
      <w:r w:rsidRPr="004923B8">
        <w:rPr>
          <w:rFonts w:ascii="Times New Roman" w:hAnsi="Times New Roman"/>
          <w:sz w:val="20"/>
          <w:szCs w:val="20"/>
        </w:rPr>
        <w:t xml:space="preserve">Wajid Ali khan </w:t>
      </w:r>
      <w:r w:rsidRPr="004923B8">
        <w:rPr>
          <w:rFonts w:ascii="Times New Roman" w:hAnsi="Times New Roman"/>
          <w:sz w:val="20"/>
          <w:szCs w:val="20"/>
          <w:vertAlign w:val="superscript"/>
        </w:rPr>
        <w:t>1</w:t>
      </w:r>
      <w:r w:rsidRPr="004923B8">
        <w:rPr>
          <w:rFonts w:ascii="Times New Roman" w:hAnsi="Times New Roman"/>
          <w:sz w:val="20"/>
          <w:szCs w:val="20"/>
        </w:rPr>
        <w:t xml:space="preserve">, Xiaoyan Li </w:t>
      </w:r>
      <w:r w:rsidRPr="004923B8">
        <w:rPr>
          <w:rFonts w:ascii="Times New Roman" w:hAnsi="Times New Roman"/>
          <w:sz w:val="20"/>
          <w:szCs w:val="20"/>
          <w:vertAlign w:val="superscript"/>
        </w:rPr>
        <w:t>1</w:t>
      </w:r>
      <w:r w:rsidRPr="004923B8">
        <w:rPr>
          <w:rFonts w:ascii="Times New Roman" w:hAnsi="Times New Roman"/>
          <w:sz w:val="20"/>
          <w:szCs w:val="20"/>
        </w:rPr>
        <w:t>, Daud Abdul</w:t>
      </w:r>
      <w:r w:rsidRPr="004923B8">
        <w:rPr>
          <w:rFonts w:ascii="Times New Roman" w:hAnsi="Times New Roman"/>
          <w:sz w:val="20"/>
          <w:szCs w:val="20"/>
          <w:vertAlign w:val="superscript"/>
        </w:rPr>
        <w:t>1</w:t>
      </w:r>
      <w:r w:rsidRPr="004923B8">
        <w:rPr>
          <w:rFonts w:ascii="Times New Roman" w:hAnsi="Times New Roman"/>
          <w:sz w:val="20"/>
          <w:szCs w:val="20"/>
        </w:rPr>
        <w:t>, Rafid Ullah Khan</w:t>
      </w:r>
      <w:r w:rsidRPr="004923B8">
        <w:rPr>
          <w:rFonts w:ascii="Times New Roman" w:hAnsi="Times New Roman"/>
          <w:sz w:val="20"/>
          <w:szCs w:val="20"/>
          <w:vertAlign w:val="superscript"/>
        </w:rPr>
        <w:t>1</w:t>
      </w:r>
      <w:r w:rsidRPr="004923B8">
        <w:rPr>
          <w:rFonts w:ascii="Times New Roman" w:hAnsi="Times New Roman"/>
          <w:sz w:val="20"/>
          <w:szCs w:val="20"/>
        </w:rPr>
        <w:t xml:space="preserve">, Usman Ullah </w:t>
      </w:r>
      <w:r w:rsidRPr="004923B8">
        <w:rPr>
          <w:rFonts w:ascii="Times New Roman" w:hAnsi="Times New Roman"/>
          <w:sz w:val="20"/>
          <w:szCs w:val="20"/>
          <w:vertAlign w:val="superscript"/>
        </w:rPr>
        <w:t>2</w:t>
      </w:r>
    </w:p>
    <w:p w:rsidR="00674261" w:rsidRPr="004923B8" w:rsidRDefault="00674261" w:rsidP="004923B8">
      <w:pPr>
        <w:adjustRightInd w:val="0"/>
        <w:snapToGrid w:val="0"/>
        <w:spacing w:after="0" w:line="240" w:lineRule="auto"/>
        <w:jc w:val="center"/>
        <w:rPr>
          <w:rFonts w:ascii="Times New Roman" w:hAnsi="Times New Roman"/>
          <w:sz w:val="20"/>
          <w:szCs w:val="20"/>
          <w:vertAlign w:val="superscript"/>
        </w:rPr>
      </w:pPr>
    </w:p>
    <w:p w:rsidR="00674261" w:rsidRPr="004923B8" w:rsidRDefault="004923B8" w:rsidP="004923B8">
      <w:pPr>
        <w:pStyle w:val="NormalWeb"/>
        <w:adjustRightInd w:val="0"/>
        <w:snapToGrid w:val="0"/>
        <w:spacing w:before="0" w:beforeAutospacing="0" w:after="0" w:afterAutospacing="0"/>
        <w:jc w:val="center"/>
        <w:rPr>
          <w:rFonts w:eastAsia="Calibri"/>
          <w:iCs/>
          <w:color w:val="000000"/>
          <w:sz w:val="20"/>
          <w:szCs w:val="20"/>
        </w:rPr>
      </w:pPr>
      <w:r w:rsidRPr="004923B8">
        <w:rPr>
          <w:sz w:val="20"/>
          <w:szCs w:val="20"/>
          <w:vertAlign w:val="superscript"/>
        </w:rPr>
        <w:t>1.</w:t>
      </w:r>
      <w:r w:rsidRPr="004923B8">
        <w:rPr>
          <w:sz w:val="20"/>
          <w:szCs w:val="20"/>
        </w:rPr>
        <w:t xml:space="preserve"> </w:t>
      </w:r>
      <w:r w:rsidRPr="004923B8">
        <w:rPr>
          <w:rFonts w:eastAsia="Calibri"/>
          <w:iCs/>
          <w:color w:val="000000"/>
          <w:sz w:val="20"/>
          <w:szCs w:val="20"/>
        </w:rPr>
        <w:t>School of Public Administration, Nanjing University of Science and Technology, Nanjing,210094, China</w:t>
      </w:r>
    </w:p>
    <w:p w:rsidR="00674261" w:rsidRPr="004923B8" w:rsidRDefault="004923B8" w:rsidP="004923B8">
      <w:pPr>
        <w:pStyle w:val="NormalWeb"/>
        <w:adjustRightInd w:val="0"/>
        <w:snapToGrid w:val="0"/>
        <w:spacing w:before="0" w:beforeAutospacing="0" w:after="0" w:afterAutospacing="0"/>
        <w:jc w:val="center"/>
        <w:rPr>
          <w:rFonts w:eastAsia="Calibri"/>
          <w:iCs/>
          <w:color w:val="000000"/>
          <w:sz w:val="20"/>
          <w:szCs w:val="20"/>
        </w:rPr>
      </w:pPr>
      <w:r w:rsidRPr="004923B8">
        <w:rPr>
          <w:sz w:val="20"/>
          <w:szCs w:val="20"/>
          <w:vertAlign w:val="superscript"/>
        </w:rPr>
        <w:t>2.</w:t>
      </w:r>
      <w:r w:rsidRPr="004923B8">
        <w:rPr>
          <w:sz w:val="20"/>
          <w:szCs w:val="20"/>
        </w:rPr>
        <w:t xml:space="preserve"> </w:t>
      </w:r>
      <w:r w:rsidRPr="004923B8">
        <w:rPr>
          <w:iCs/>
          <w:sz w:val="20"/>
          <w:szCs w:val="20"/>
        </w:rPr>
        <w:t>Department of Economics</w:t>
      </w:r>
      <w:r w:rsidRPr="004923B8">
        <w:rPr>
          <w:rFonts w:eastAsia="Calibri"/>
          <w:iCs/>
          <w:color w:val="000000"/>
          <w:sz w:val="20"/>
          <w:szCs w:val="20"/>
        </w:rPr>
        <w:t xml:space="preserve">, </w:t>
      </w:r>
      <w:r w:rsidRPr="004923B8">
        <w:rPr>
          <w:iCs/>
          <w:sz w:val="20"/>
          <w:szCs w:val="20"/>
        </w:rPr>
        <w:t>Hazara University, Mansehra, Pakistan</w:t>
      </w:r>
    </w:p>
    <w:p w:rsidR="00674261" w:rsidRPr="004923B8" w:rsidRDefault="00674261" w:rsidP="004923B8">
      <w:pPr>
        <w:pStyle w:val="NormalWeb"/>
        <w:adjustRightInd w:val="0"/>
        <w:snapToGrid w:val="0"/>
        <w:spacing w:before="0" w:beforeAutospacing="0" w:after="0" w:afterAutospacing="0"/>
        <w:jc w:val="center"/>
        <w:rPr>
          <w:rStyle w:val="Hyperlink"/>
          <w:rFonts w:eastAsia="Calibri"/>
          <w:sz w:val="20"/>
          <w:szCs w:val="20"/>
        </w:rPr>
      </w:pPr>
      <w:hyperlink r:id="rId9" w:history="1">
        <w:r w:rsidR="004923B8" w:rsidRPr="004923B8">
          <w:rPr>
            <w:rStyle w:val="Hyperlink"/>
            <w:rFonts w:eastAsia="Calibri"/>
            <w:sz w:val="20"/>
            <w:szCs w:val="20"/>
          </w:rPr>
          <w:t>wajidali.kh05@hotmail.com</w:t>
        </w:r>
      </w:hyperlink>
    </w:p>
    <w:p w:rsidR="00674261" w:rsidRPr="004923B8" w:rsidRDefault="00674261" w:rsidP="004923B8">
      <w:pPr>
        <w:pStyle w:val="NormalWeb"/>
        <w:adjustRightInd w:val="0"/>
        <w:snapToGrid w:val="0"/>
        <w:spacing w:before="0" w:beforeAutospacing="0" w:after="0" w:afterAutospacing="0"/>
        <w:jc w:val="center"/>
        <w:rPr>
          <w:rStyle w:val="Hyperlink"/>
          <w:rFonts w:eastAsia="Calibri"/>
          <w:sz w:val="20"/>
          <w:szCs w:val="20"/>
        </w:rPr>
      </w:pP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b/>
          <w:sz w:val="20"/>
          <w:szCs w:val="20"/>
        </w:rPr>
        <w:t>Abstract</w:t>
      </w:r>
      <w:r w:rsidRPr="004923B8">
        <w:rPr>
          <w:rFonts w:ascii="Times New Roman" w:hAnsi="Times New Roman" w:hint="eastAsia"/>
          <w:b/>
          <w:sz w:val="20"/>
          <w:szCs w:val="20"/>
          <w:lang w:eastAsia="zh-CN"/>
        </w:rPr>
        <w:t xml:space="preserve">: </w:t>
      </w:r>
      <w:r w:rsidRPr="004923B8">
        <w:rPr>
          <w:rFonts w:ascii="Times New Roman" w:hAnsi="Times New Roman"/>
          <w:sz w:val="20"/>
          <w:szCs w:val="20"/>
        </w:rPr>
        <w:t>The China-Pakistan Economic Corridor (CPEC) is a key strategic initiative designed to promote economic ties between Pakistan and China. We appraise the impact of CPEC-concerned economic development on electricity usage and the forecast indications for Pakistan by 2030. The Johansen cointegration technique helps to classify the long-run correlation between energy usage and its sources at the aggregation and sectoral levels and anticipated future power needs using scenario analysis. According to the predictions of the baseline scenario, energy usage in 2030 would be almost 41% higher than in 2013. Below the baseline scenario, power usage in the industrial and commercial sectors will rise by 136 and 414 percent appropriately, in 2030. The scenario interpretation results are confirmed by Monte Carlo simulations that account for future uncertainty. For each sector of the economy, the government should operate diligent accounting and correlated planning to account for the conceivable growth of energy consumption due to CPEC-linked economic projects.</w:t>
      </w:r>
    </w:p>
    <w:p w:rsidR="00674261" w:rsidRPr="004923B8" w:rsidRDefault="004923B8" w:rsidP="004923B8">
      <w:pPr>
        <w:adjustRightInd w:val="0"/>
        <w:snapToGrid w:val="0"/>
        <w:spacing w:after="0" w:line="240" w:lineRule="auto"/>
        <w:jc w:val="both"/>
        <w:rPr>
          <w:rFonts w:ascii="Times New Roman" w:hAnsi="Times New Roman"/>
          <w:color w:val="0000FF"/>
          <w:sz w:val="20"/>
          <w:szCs w:val="20"/>
          <w:lang w:eastAsia="zh-CN"/>
        </w:rPr>
      </w:pPr>
      <w:r w:rsidRPr="004923B8">
        <w:rPr>
          <w:rFonts w:ascii="Times New Roman" w:hAnsi="Times New Roman"/>
          <w:sz w:val="20"/>
          <w:szCs w:val="20"/>
        </w:rPr>
        <w:t>[Wajid Ali khan, Xiaoyan Li, Daud Abdul, Rafid Ullah Khan, Usman Ullah.</w:t>
      </w:r>
      <w:r w:rsidRPr="004923B8">
        <w:rPr>
          <w:rFonts w:ascii="Times New Roman" w:hAnsi="Times New Roman"/>
          <w:b/>
          <w:bCs/>
          <w:sz w:val="20"/>
          <w:szCs w:val="20"/>
        </w:rPr>
        <w:t xml:space="preserve"> China-Pakistan economic corridor initiative and its impact on future energy consumption in Pakistan. </w:t>
      </w:r>
      <w:r w:rsidRPr="004923B8">
        <w:rPr>
          <w:bCs/>
          <w:i/>
          <w:sz w:val="20"/>
          <w:szCs w:val="20"/>
        </w:rPr>
        <w:t>N Y Sci J</w:t>
      </w:r>
      <w:r w:rsidRPr="004923B8">
        <w:rPr>
          <w:bCs/>
          <w:sz w:val="20"/>
          <w:szCs w:val="20"/>
        </w:rPr>
        <w:t xml:space="preserve"> </w:t>
      </w:r>
      <w:r w:rsidRPr="004923B8">
        <w:rPr>
          <w:rFonts w:ascii="Times New Roman" w:hAnsi="Times New Roman"/>
          <w:sz w:val="20"/>
          <w:szCs w:val="20"/>
        </w:rPr>
        <w:t>20</w:t>
      </w:r>
      <w:r w:rsidRPr="004923B8">
        <w:rPr>
          <w:rFonts w:ascii="Times New Roman" w:hAnsi="Times New Roman"/>
          <w:sz w:val="20"/>
          <w:szCs w:val="20"/>
          <w:lang w:eastAsia="zh-CN"/>
        </w:rPr>
        <w:t>22</w:t>
      </w:r>
      <w:r w:rsidRPr="004923B8">
        <w:rPr>
          <w:rFonts w:ascii="Times New Roman" w:hAnsi="Times New Roman"/>
          <w:sz w:val="20"/>
          <w:szCs w:val="20"/>
        </w:rPr>
        <w:t>;1</w:t>
      </w:r>
      <w:r w:rsidRPr="004923B8">
        <w:rPr>
          <w:rFonts w:ascii="Times New Roman" w:hAnsi="Times New Roman"/>
          <w:sz w:val="20"/>
          <w:szCs w:val="20"/>
          <w:lang w:eastAsia="zh-CN"/>
        </w:rPr>
        <w:t>5</w:t>
      </w:r>
      <w:r w:rsidRPr="004923B8">
        <w:rPr>
          <w:rFonts w:ascii="Times New Roman" w:hAnsi="Times New Roman"/>
          <w:iCs/>
          <w:sz w:val="20"/>
          <w:szCs w:val="20"/>
          <w:lang w:eastAsia="zh-CN"/>
        </w:rPr>
        <w:t>(</w:t>
      </w:r>
      <w:r w:rsidRPr="004923B8">
        <w:rPr>
          <w:rFonts w:ascii="Times New Roman" w:hAnsi="Times New Roman" w:hint="eastAsia"/>
          <w:iCs/>
          <w:sz w:val="20"/>
          <w:szCs w:val="20"/>
          <w:lang w:eastAsia="zh-CN"/>
        </w:rPr>
        <w:t>6</w:t>
      </w:r>
      <w:r w:rsidRPr="004923B8">
        <w:rPr>
          <w:rFonts w:ascii="Times New Roman" w:hAnsi="Times New Roman"/>
          <w:sz w:val="20"/>
          <w:szCs w:val="20"/>
        </w:rPr>
        <w:t>):</w:t>
      </w:r>
      <w:r w:rsidRPr="004923B8">
        <w:rPr>
          <w:rFonts w:ascii="Times New Roman" w:hAnsi="Times New Roman" w:hint="eastAsia"/>
          <w:sz w:val="20"/>
          <w:szCs w:val="20"/>
          <w:lang w:eastAsia="zh-CN"/>
        </w:rPr>
        <w:t>48</w:t>
      </w:r>
      <w:r w:rsidRPr="004923B8">
        <w:rPr>
          <w:rFonts w:ascii="Times New Roman" w:hAnsi="Times New Roman"/>
          <w:sz w:val="20"/>
          <w:szCs w:val="20"/>
          <w:lang w:eastAsia="zh-CN"/>
        </w:rPr>
        <w:t>-</w:t>
      </w:r>
      <w:r w:rsidRPr="004923B8">
        <w:rPr>
          <w:rFonts w:ascii="Times New Roman" w:hAnsi="Times New Roman" w:hint="eastAsia"/>
          <w:sz w:val="20"/>
          <w:szCs w:val="20"/>
          <w:lang w:eastAsia="zh-CN"/>
        </w:rPr>
        <w:t>6</w:t>
      </w:r>
      <w:r w:rsidR="005557AE">
        <w:rPr>
          <w:rFonts w:ascii="Times New Roman" w:hAnsi="Times New Roman" w:hint="eastAsia"/>
          <w:sz w:val="20"/>
          <w:szCs w:val="20"/>
          <w:lang w:eastAsia="zh-CN"/>
        </w:rPr>
        <w:t>6</w:t>
      </w:r>
      <w:bookmarkStart w:id="0" w:name="_GoBack"/>
      <w:bookmarkEnd w:id="0"/>
      <w:r w:rsidRPr="004923B8">
        <w:rPr>
          <w:rFonts w:ascii="Times New Roman" w:hAnsi="Times New Roman"/>
          <w:sz w:val="20"/>
          <w:szCs w:val="20"/>
        </w:rPr>
        <w:t>]</w:t>
      </w:r>
      <w:r w:rsidRPr="004923B8">
        <w:rPr>
          <w:rFonts w:ascii="Times New Roman" w:hAnsi="Times New Roman"/>
          <w:sz w:val="20"/>
          <w:szCs w:val="20"/>
          <w:lang w:eastAsia="zh-CN"/>
        </w:rPr>
        <w:t xml:space="preserve"> </w:t>
      </w:r>
      <w:r w:rsidRPr="004923B8">
        <w:rPr>
          <w:rFonts w:ascii="Times New Roman" w:hAnsi="Times New Roman"/>
          <w:iCs/>
          <w:sz w:val="20"/>
          <w:szCs w:val="20"/>
          <w:lang w:eastAsia="zh-CN"/>
        </w:rPr>
        <w:t>ISSN 1554-0200</w:t>
      </w:r>
      <w:r>
        <w:rPr>
          <w:rFonts w:ascii="Times New Roman" w:hAnsi="Times New Roman" w:hint="eastAsia"/>
          <w:iCs/>
          <w:sz w:val="20"/>
          <w:szCs w:val="20"/>
          <w:lang w:eastAsia="zh-CN"/>
        </w:rPr>
        <w:t xml:space="preserve"> </w:t>
      </w:r>
      <w:r w:rsidRPr="004923B8">
        <w:rPr>
          <w:rFonts w:ascii="Times New Roman" w:hAnsi="Times New Roman"/>
          <w:iCs/>
          <w:sz w:val="20"/>
          <w:szCs w:val="20"/>
          <w:lang w:eastAsia="zh-CN"/>
        </w:rPr>
        <w:t>(print);</w:t>
      </w:r>
      <w:r>
        <w:rPr>
          <w:rFonts w:ascii="Times New Roman" w:hAnsi="Times New Roman" w:hint="eastAsia"/>
          <w:iCs/>
          <w:sz w:val="20"/>
          <w:szCs w:val="20"/>
          <w:lang w:eastAsia="zh-CN"/>
        </w:rPr>
        <w:t xml:space="preserve"> </w:t>
      </w:r>
      <w:r w:rsidRPr="004923B8">
        <w:rPr>
          <w:rFonts w:ascii="Times New Roman" w:hAnsi="Times New Roman"/>
          <w:iCs/>
          <w:sz w:val="20"/>
          <w:szCs w:val="20"/>
          <w:lang w:eastAsia="zh-CN"/>
        </w:rPr>
        <w:t xml:space="preserve">ISSN 2375-723X (online) </w:t>
      </w:r>
      <w:hyperlink r:id="rId10" w:history="1">
        <w:r w:rsidRPr="004923B8">
          <w:rPr>
            <w:rStyle w:val="Hyperlink"/>
            <w:rFonts w:ascii="Times New Roman" w:hAnsi="Times New Roman"/>
            <w:sz w:val="20"/>
            <w:szCs w:val="20"/>
          </w:rPr>
          <w:t>http://www.sciencepub.net/newyork</w:t>
        </w:r>
      </w:hyperlink>
      <w:r w:rsidRPr="004923B8">
        <w:rPr>
          <w:rFonts w:ascii="Times New Roman" w:hAnsi="Times New Roman"/>
          <w:color w:val="0000FF"/>
          <w:sz w:val="20"/>
          <w:szCs w:val="20"/>
          <w:lang w:eastAsia="zh-CN"/>
        </w:rPr>
        <w:t xml:space="preserve">. </w:t>
      </w:r>
      <w:r w:rsidRPr="004923B8">
        <w:rPr>
          <w:rFonts w:ascii="Times New Roman" w:hAnsi="Times New Roman" w:hint="eastAsia"/>
          <w:sz w:val="20"/>
          <w:szCs w:val="20"/>
          <w:lang w:eastAsia="zh-CN"/>
        </w:rPr>
        <w:t>8</w:t>
      </w:r>
      <w:r w:rsidRPr="004923B8">
        <w:rPr>
          <w:rFonts w:ascii="Times New Roman" w:hAnsi="Times New Roman"/>
          <w:color w:val="0000FF"/>
          <w:sz w:val="20"/>
          <w:szCs w:val="20"/>
        </w:rPr>
        <w:t>.</w:t>
      </w:r>
      <w:r w:rsidRPr="004923B8">
        <w:rPr>
          <w:rFonts w:ascii="Times New Roman" w:hAnsi="Times New Roman"/>
          <w:color w:val="0000FF"/>
          <w:sz w:val="20"/>
          <w:szCs w:val="20"/>
          <w:lang w:eastAsia="zh-CN"/>
        </w:rPr>
        <w:t xml:space="preserve"> </w:t>
      </w:r>
      <w:r w:rsidRPr="004923B8">
        <w:rPr>
          <w:rFonts w:ascii="Times New Roman" w:hAnsi="Times New Roman"/>
          <w:color w:val="3A42EF"/>
          <w:sz w:val="20"/>
          <w:szCs w:val="20"/>
          <w:u w:val="single"/>
          <w:shd w:val="clear" w:color="auto" w:fill="FFFFFF"/>
        </w:rPr>
        <w:t>doi:</w:t>
      </w:r>
      <w:hyperlink r:id="rId11" w:history="1">
        <w:r w:rsidRPr="004923B8">
          <w:rPr>
            <w:rStyle w:val="Hyperlink"/>
            <w:rFonts w:ascii="Times New Roman" w:hAnsi="Times New Roman"/>
            <w:sz w:val="20"/>
            <w:szCs w:val="20"/>
            <w:shd w:val="clear" w:color="auto" w:fill="FFFFFF"/>
          </w:rPr>
          <w:t>10.7537/marsnys150622.08</w:t>
        </w:r>
      </w:hyperlink>
      <w:r w:rsidRPr="004923B8">
        <w:rPr>
          <w:rFonts w:ascii="Times New Roman" w:hAnsi="Times New Roman"/>
          <w:color w:val="0000FF"/>
          <w:sz w:val="20"/>
          <w:szCs w:val="20"/>
          <w:lang w:eastAsia="zh-CN"/>
        </w:rPr>
        <w:t>.</w:t>
      </w:r>
    </w:p>
    <w:p w:rsidR="00674261" w:rsidRPr="004923B8" w:rsidRDefault="00674261" w:rsidP="004923B8">
      <w:pPr>
        <w:adjustRightInd w:val="0"/>
        <w:snapToGrid w:val="0"/>
        <w:spacing w:after="0" w:line="240" w:lineRule="auto"/>
        <w:jc w:val="both"/>
        <w:rPr>
          <w:rFonts w:ascii="Times New Roman" w:hAnsi="Times New Roman"/>
          <w:color w:val="0000FF"/>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b/>
          <w:bCs/>
          <w:sz w:val="20"/>
          <w:szCs w:val="20"/>
        </w:rPr>
        <w:t>Keywords</w:t>
      </w:r>
      <w:r w:rsidRPr="004923B8">
        <w:rPr>
          <w:rFonts w:ascii="Times New Roman" w:hAnsi="Times New Roman"/>
          <w:sz w:val="20"/>
          <w:szCs w:val="20"/>
        </w:rPr>
        <w:t>: CPEC, Energy, Johansen-Juselius cointegration, Pakistan</w:t>
      </w:r>
    </w:p>
    <w:p w:rsidR="00674261" w:rsidRDefault="00674261" w:rsidP="004923B8">
      <w:pPr>
        <w:adjustRightInd w:val="0"/>
        <w:snapToGrid w:val="0"/>
        <w:spacing w:after="0" w:line="240" w:lineRule="auto"/>
        <w:jc w:val="both"/>
        <w:rPr>
          <w:rFonts w:ascii="Times New Roman" w:hAnsi="Times New Roman" w:hint="eastAsia"/>
          <w:sz w:val="20"/>
          <w:szCs w:val="20"/>
          <w:lang w:eastAsia="zh-CN"/>
        </w:rPr>
      </w:pPr>
    </w:p>
    <w:p w:rsidR="004923B8" w:rsidRPr="004923B8" w:rsidRDefault="004923B8" w:rsidP="004923B8">
      <w:pPr>
        <w:adjustRightInd w:val="0"/>
        <w:snapToGrid w:val="0"/>
        <w:spacing w:after="0" w:line="240" w:lineRule="auto"/>
        <w:jc w:val="both"/>
        <w:rPr>
          <w:rFonts w:ascii="Times New Roman" w:hAnsi="Times New Roman" w:hint="eastAsia"/>
          <w:sz w:val="20"/>
          <w:szCs w:val="20"/>
          <w:lang w:eastAsia="zh-CN"/>
        </w:rPr>
      </w:pPr>
    </w:p>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4923B8" w:rsidRPr="004923B8" w:rsidRDefault="004923B8" w:rsidP="004923B8">
      <w:pPr>
        <w:adjustRightInd w:val="0"/>
        <w:snapToGrid w:val="0"/>
        <w:spacing w:after="0" w:line="240" w:lineRule="auto"/>
        <w:jc w:val="both"/>
        <w:rPr>
          <w:rFonts w:ascii="Times New Roman" w:hAnsi="Times New Roman"/>
          <w:b/>
          <w:sz w:val="20"/>
          <w:szCs w:val="20"/>
        </w:rPr>
        <w:sectPr w:rsidR="004923B8" w:rsidRPr="004923B8">
          <w:headerReference w:type="default" r:id="rId12"/>
          <w:footerReference w:type="default" r:id="rId13"/>
          <w:headerReference w:type="first" r:id="rId14"/>
          <w:footerReference w:type="first" r:id="rId15"/>
          <w:pgSz w:w="12240" w:h="15840"/>
          <w:pgMar w:top="1440" w:right="1440" w:bottom="1440" w:left="1440" w:header="720" w:footer="720" w:gutter="0"/>
          <w:pgNumType w:start="48"/>
          <w:cols w:space="720"/>
          <w:titlePg/>
          <w:docGrid w:linePitch="360"/>
        </w:sectPr>
      </w:pPr>
    </w:p>
    <w:p w:rsidR="00674261" w:rsidRPr="004923B8" w:rsidRDefault="004923B8" w:rsidP="004923B8">
      <w:pPr>
        <w:numPr>
          <w:ilvl w:val="0"/>
          <w:numId w:val="1"/>
        </w:num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lastRenderedPageBreak/>
        <w:t xml:space="preserve">Introduction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In the 21</w:t>
      </w:r>
      <w:r w:rsidRPr="004923B8">
        <w:rPr>
          <w:rFonts w:ascii="Times New Roman" w:hAnsi="Times New Roman"/>
          <w:sz w:val="20"/>
          <w:szCs w:val="20"/>
          <w:vertAlign w:val="superscript"/>
        </w:rPr>
        <w:t>st</w:t>
      </w:r>
      <w:r w:rsidRPr="004923B8">
        <w:rPr>
          <w:rFonts w:ascii="Times New Roman" w:hAnsi="Times New Roman"/>
          <w:sz w:val="20"/>
          <w:szCs w:val="20"/>
        </w:rPr>
        <w:t xml:space="preserve"> century, the concept of regional and international strategic movements across the world has evolved in geostrategic and evaluation outcomes in collaboration between countries. States have modified their strategies to define their goals. They've concluded that they won't be able to protect their interests with their resources. The importance of high-level meetings and diplomatic consultations cannot be overstated. Every country is doing everything possible to promote global cooperation in various disciplines, including infrastructure development, industrial ventures, trade, energy, and other related economic areas. One of the crowning achievements of such collaboration is the China-Pakistan Economic Corridor (CPEC),</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{"citationItems":[{"id":"ITEM-1","itemData":{"ISSN":"0030-980X","author":[{"dropping-particle":"","family":"Noor","given":"Sanam","non-dropping-particle":"","parse-names":false,"suffix":""},{"dropping-particle":"","family":"Shah","given":"Syed Muhammad Ali","non-dropping-particle":"","parse-names":false,"suffix":""},{"dropping-particle":"","family":"Khan","given":"Shahnawaz M","non-dropping-particle":"","parse-names":false,"suffix":""},{"dropping-particle":"","family":"Ali","given":"Syeda Fizzah","non-dropping-particle":"","parse-names":false,"suffix":""}],"container-title":"Pakistan Horizon","id":"ITEM-1","issue":"4","issued":{"date-parts":[["2008"]]},"number-of-pages":"1-12","publisher":"JSTOR","title":"Pakistan's Foreign Policy: Quarterly Survey: July—September 2008","type":"report","volume":"61"},"uris":["http://www.mendeley.com/documents/?uuid=8a8449b5-1060-4123-9b4e-18774cb5aa90"]}],"mendeley":{"formattedCitation":"(Noor et al., 2008)","plainTextFormattedCitation":"(Noor et al., 2008)","previouslyFormattedCitation":"(Noor et al., 2008)"},"properties":{"noteIndex":0},"schema":"https://github.com/citation-style-language/schema/raw/master/csl-citation.json"}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(Noor et al., 2008)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Pakistan would gain significant importance in this region and worldwide if these projects were to be implemented. China and Pakistan have been working hard to begin significant projects that would benefit both countries' economies. Pakistan's electricity, infrastructural, economic, and </w:t>
      </w:r>
      <w:r w:rsidRPr="004923B8">
        <w:rPr>
          <w:rFonts w:ascii="Times New Roman" w:hAnsi="Times New Roman"/>
          <w:sz w:val="20"/>
          <w:szCs w:val="20"/>
        </w:rPr>
        <w:lastRenderedPageBreak/>
        <w:t xml:space="preserve">agricultural production would get about $46 billion from the CPEC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{"citationItems":[{"id":"ITEM-1","itemData":{"author":[{"dropping-particle":"","family":"Rafiq","given":"A","non-dropping-particle":"","parse-names":false,"suffix":""}],"container-title":"Proceedings of the International Academic Symposium on China-Pakistan Economic Corridor, Beijing, China","id":"ITEM-1","issued":{"date-parts":[["2016"]]},"title":"CPEC &amp; related projects: CPEC projects","type":"paper-conference","volume":"5"},"uris":["http://www.mendeley.com/documents/?uuid=314916f4-2230-4b06-bf1a-371c97479555"]}],"mendeley":{"formattedCitation":"(Rafiq, 2016)","plainTextFormattedCitation":"(Rafiq, 2016)","previouslyFormattedCitation":"(Rafiq, 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(Rafiq, 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With the reduction of power outages resulting from increased power generation capacity and development in other industrial sectors, Pakistan's GDP is forecast to grow up to 7.5% by 2030, with approximately 2 million job opportunities. The 2025 vision of Pakistan anticipates an increase in urban development (50%-60%) and a good growth in GDP by 2025 (8%),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{"citationItems":[{"id":"ITEM-1","itemData":{"author":[{"dropping-particle":"","family":"MOP","given":"","non-dropping-particle":"","parse-names":false,"suffix":""}],"container-title":"Ministry of Planning, Development &amp; Reform, Government of Pakistan. Islamabad","id":"ITEM-1","issued":{"date-parts":[["2015"]]},"title":"Pakistan 2025-One nation-One vision","type":"report"},"uris":["http://www.mendeley.com/documents/?uuid=93fb6aec-01cc-42fb-8c7a-90d5139644e9"]}],"mendeley":{"formattedCitation":"(MOP, 2015)","plainTextFormattedCitation":"(MOP, 2015)","previouslyFormattedCitation":"(MOP,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(MOP,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Fuel and energy usage will grow exponentially due to higher economic activity and rapid urbanization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{"citationItems":[{"id":"ITEM-1","itemData":{"ISSN":"0921-8009","author":[{"dropping-particle":"","family":"Huang","given":"Bwo-Nung","non-dropping-particle":"","parse-names":false,"suffix":""},{"dropping-particle":"","family":"Hwang","given":"Ming Jeng","non-dropping-particle":"","parse-names":false,"suffix":""},{"dropping-particle":"","family":"Yang","given":"Chin Wei","non-dropping-particle":"","parse-names":false,"suffix":""}],"container-title":"Ecological economics","id":"ITEM-1","issue":"1","issued":{"date-parts":[["2008"]]},"page":"41-54","publisher":"Elsevier","title":"Causal relationship between energy consumption and GDP growth revisited: a dynamic panel data approach","type":"article-journal","volume":"67"},"uris":["http://www.mendeley.com/documents/?uuid=bc07f96e-255e-45da-baa8-14e2c819506d"]},{"id":"ITEM-2","itemData":{"author":[{"dropping-particle":"","family":"Michieka","given":"Nyakundi M","non-dropping-particle":"","parse-names":false,"suffix":""}],"container-title":"Econometric Methods for Analyzing Economic Development","id":"ITEM-2","issued":{"date-parts":[["2014"]]},"page":"178-191","publisher":"IGI Global","title":"Population Dynamics, Economic Growth, and Energy Consumption in Kenya","type":"chapter"},"uris":["http://www.mendeley.com/documents/?uuid=2f025267-ba53-4319-97a5-721e94325783"]}],"mendeley":{"formattedCitation":"(Huang et al., 2008; Michieka, 2014)","plainTextFormattedCitation":"(Huang et al., 2008; Michieka, 2014)","previouslyFormattedCitation":"(Huang et al., 2008; Michieka,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(Huang et al., 2008; Michieka,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Any country, such as Pakistan, depends heavily on energy. Despite Pakistan's current energy problem, a significant rise in economic activity and electricity consumption is likely to have long-term implications for the country's power generation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{"citationItems":[{"id":"ITEM-1","itemData":{"ISSN":"2521-005X","author":[{"dropping-particle":"","family":"Mirza","given":"Faisal Mehmood","non-dropping-particle":"","parse-names":false,"suffix":""},{"dropping-particle":"","family":"Fatima","given":"Nishat","non-dropping-particle":"","parse-names":false,"suffix":""}],"container-title":"Pakistan Business Review","id":"ITEM-1","issue":"4","issued":{"date-parts":[["2016"]]},"title":"Drivers of energy intensity in Pakistan: an assessment using index decomposition methods","type":"article-journal","volume":"17"},"uris":["http://www.mendeley.com/documents/?uuid=ff0a897c-f718-42f6-9baf-a937bb6332a7"]}],"mendeley":{"formattedCitation":"(Mirza &amp; Fatima, 2016)","plainTextFormattedCitation":"(Mirza &amp; Fatima, 2016)","previouslyFormattedCitation":"(Mirza &amp; Fatima, 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(Mirza &amp; Fatima, 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Because Pakistan's current electricity generation relies on imported fuel, the total energy mix shows that thermal power accounts for 64% of the country's electricity. This is due to the lack of proper price of indigenous fuels and their predatory usage. The bulk of the oil used to create energy in the country comes </w:t>
      </w:r>
      <w:r w:rsidRPr="004923B8">
        <w:rPr>
          <w:rFonts w:ascii="Times New Roman" w:hAnsi="Times New Roman"/>
          <w:sz w:val="20"/>
          <w:szCs w:val="20"/>
        </w:rPr>
        <w:lastRenderedPageBreak/>
        <w:t>from overseas. Due to its significantly skewed energy balance, Pakistan is sensitive to any adverse supply shock, such as a rise in global oil prices, increased energy usage, and reliance on imported coal to manufacture power as a result of CPEC projects are supposed to bring pressure on the payment account mix. In the longer term, they hurt numerous economic sectors. Because of its highly skewed energy mix, Pakistan is sensitive to any unexpected supply shock generated by a boost in global oil prices.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Further increases in energy consumption and dependence on imported coal to generate power through CPEC projects are expected to impact the payment account balance. It has a destructive impact on the power affordability and accessibility for a range of economic sectors. The CPEC projects are primarily designed to meet Pakistan's and China's growing energy demands. According to project planning, 21,000 megawatts of energy would be generated; in this framework, electricity projects in Pakistan will be completed rapidly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{"citationItems":[{"id":"ITEM-1","itemData":{"author":[{"dropping-particle":"","family":"Today","given":"Pakistan","non-dropping-particle":"","parse-names":false,"suffix":""}],"container-title":"April 15th","id":"ITEM-1","issued":{"date-parts":[["2014"]]},"title":"Pakistan, China to collaborate in 21,690 MW projects under CPEC","type":"article-newspaper"},"uris":["http://www.mendeley.com/documents/?uuid=9344cf38-0a43-4681-b8b2-8e01c5466c6a"]}],"mendeley":{"formattedCitation":"(Today, 2014)","plainTextFormattedCitation":"(Today, 2014)","previouslyFormattedCitation":"(Today,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(Today,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Pakistan is now suffering a 5,400 MW energy shortfall since it is an energy-consuming country that loses 2.5% of its yearly GDP attributable to this shortage. The industry, agricultural, and service sectors have been hurt badly by this enormous deficiency, resulting in a severe economic recession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{"citationItems":[{"id":"ITEM-1","itemData":{"author":[{"dropping-particle":"","family":"Zahid","given":"R M Ammar","non-dropping-particle":"","parse-names":false,"suffix":""},{"dropping-particle":"","family":"Rashid","given":"Athar","non-dropping-particle":"","parse-names":false,"suffix":""}],"id":"ITEM-1","issue":"November","issued":{"date-parts":[["2018"]]},"title":"IMPACT OF CPEC ENERGY PROJECTS ON SOCIO-ECONOMIC DEVELOPMENT OF PAKISTAN Analysis of energy related household consumer preferences, awareness and behaviors in Pakistan View project One Belt One Road Initiative View project","type":"article-journal"},"uris":["http://www.mendeley.com/documents/?uuid=b5df0fe2-249d-40d8-9fef-72ca2e8dd274"]}],"mendeley":{"formattedCitation":"(Zahid &amp; Rashid, 2018)","plainTextFormattedCitation":"(Zahid &amp; Rashid, 2018)","previouslyFormattedCitation":"(Zahid &amp; Rashid, 2018)"},"properties":{"noteIndex":0},"schema":"https://github.com/citation-style-language/schema/raw/master/csl-citation.json"}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(Zahid &amp; Rashid, 2018)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 Chinese Exim Bank provided money for these energy projects at a rate of 5% to 6%. Some scholars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{"citationItems":[{"id":"ITEM-1","itemData":{"author":[{"dropping-particle":"","family":"Aqeel","given":"Anjum","non-dropping-particle":"","parse-names":false,"suffix":""},{"dropping-particle":"","family":"Butt","given":"Mohammad Sabihuddin","non-dropping-particle":"","parse-names":false,"suffix":""}],"container-title":"Asia-Pacific Development Journal","id":"ITEM-1","issue":"2","issued":{"date-parts":[["2001"]]},"page":"101-110","title":"The relationship between energy consumption and economic growth in Pakistan","type":"article-journal","volume":"8"},"uris":["http://www.mendeley.com/documents/?uuid=75afc785-ebe3-4840-a7ce-efc3320f0a1f"]},{"id":"ITEM-2","itemData":{"author":[{"dropping-particle":"","family":"Kalar","given":"Z H","non-dropping-particle":"","parse-names":false,"suffix":""},{"dropping-particle":"","family":"Khilji","given":"B A","non-dropping-particle":"","parse-names":false,"suffix":""}],"container-title":"Journal of International Academic Research","id":"ITEM-2","issue":"1","issued":{"date-parts":[["2011"]]},"page":"33-36","title":"Energy Consumption and Economic Growth ln Pakistan","type":"article-journal","volume":"11"},"uris":["http://www.mendeley.com/documents/?uuid=2706b441-ccd9-4481-b303-c922288f5ff2"]}],"mendeley":{"formattedCitation":"(Aqeel &amp; Butt, 2001; Kalar &amp; Khilji, 2011)","plainTextFormattedCitation":"(Aqeel &amp; Butt, 2001; Kalar &amp; Khilji, 2011)","previouslyFormattedCitation":"(Aqeel &amp; Butt, 2001; Kalar &amp; Khilji, 2011)"},"properties":{"noteIndex":0},"schema":"https://github.com/citation-style-language/schema/raw/master/csl-citation.json"}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(Aqeel &amp; Butt, 2001; Kalar &amp; Khilji, 2011)</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indicated that the inauguration of CPEC projects might result in poor financial and social outcomes because of a lack of apparent anticipation of the future power demand. As a response, to make appropriate policy decisions in advance, a comprehensive analysis of future energy demand and its variables is necessary. There seems to be little research on future energy predictions in Pakistan directly relevant to CPEC, both at the aggregate and sectoral levels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0030-9729","author":[{"dropping-particle":"","family":"Ahmed","given":"Riaz","non-dropping-particle":"","parse-names":false,"suffix":""},{"dropping-particle":"","family":"Mustafa","given":"Usman","non-dropping-particle":"","parse-names":false,"suffix":""}],"container-title":"The Pakistan Development Review","id":"ITEM-1","issued":{"date-parts":[["2016"]]},"page":"511-527","publisher":"JSTOR","title":"Impact of CPEC projects on agriculture sector of Pakistan: Infrastructure and agricultural output linkages","type":"article-journal"},"uris":["http://www.mendeley.com/documents/?uuid=1c025c53-7fa1-45f3-97fa-1e0371ffef45"]}],"mendeley":{"formattedCitation":"(Ahmed &amp; Mustafa, 2016)","plainTextFormattedCitation":"(Ahmed &amp; Mustafa, 2016)","previouslyFormattedCitation":"(Ahmed &amp; Mustafa, 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(Ahmed &amp; Mustafa, 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In this respect, our research presents an empirical assessment of this problem by evaluating the relative significance of CPEC-related economic activity on Pakistan's future sectoral electricity consumption. Even though there are energy inadequacies in every sector of Pakistan, no energy efficiency measures or regulatory requirements for energy use have been adopted (ENERCON)</w:t>
      </w:r>
      <w:r w:rsidRPr="004923B8">
        <w:rPr>
          <w:rFonts w:ascii="Times New Roman" w:hAnsi="Times New Roman"/>
          <w:sz w:val="20"/>
          <w:szCs w:val="20"/>
        </w:rPr>
        <w:footnoteReference w:id="1"/>
      </w:r>
      <w:r w:rsidRPr="004923B8">
        <w:rPr>
          <w:rFonts w:ascii="Times New Roman" w:hAnsi="Times New Roman"/>
          <w:sz w:val="20"/>
          <w:szCs w:val="20"/>
        </w:rPr>
        <w:t xml:space="preserve">.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This research work contributes by predicting energy use by 2030 to country-specific empirical </w:t>
      </w:r>
      <w:r w:rsidRPr="004923B8">
        <w:rPr>
          <w:rFonts w:ascii="Times New Roman" w:hAnsi="Times New Roman"/>
          <w:sz w:val="20"/>
          <w:szCs w:val="20"/>
        </w:rPr>
        <w:lastRenderedPageBreak/>
        <w:t xml:space="preserve">investigations. There is no empirical research that we know that indicates future energy consumption in Pakistan, particularly in CPEC. Merely price and income elasticity of demand has been used to forecast Pakistan's energy consumption, with structural factors being disregarded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{"citationItems":[{"id":"ITEM-1","itemData":{"ISSN":"1364-0321","author":[{"dropping-particle":"","family":"Khan","given":"Muhammad Arshad","non-dropping-particle":"","parse-names":false,"suffix":""}],"container-title":"Renewable and Sustainable Energy Reviews","id":"ITEM-1","issued":{"date-parts":[["2015"]]},"page":"1145-1159","publisher":"Elsevier","title":"Modelling and forecasting the demand for natural gas in Pakistan","type":"article-journal","volume":"49"},"uris":["http://www.mendeley.com/documents/?uuid=a0063f49-114f-42c0-bd05-eea10d182cdb"]},{"id":"ITEM-2","itemData":{"author":[{"dropping-particle":"","family":"Wahid","given":"F","non-dropping-particle":"","parse-names":false,"suffix":""},{"dropping-particle":"","family":"Khattak","given":"NuR","non-dropping-particle":"","parse-names":false,"suffix":""},{"dropping-particle":"","family":"Ve Ali","given":"S","non-dropping-particle":"","parse-names":false,"suffix":""}],"container-title":"J Energy Technol Policy","id":"ITEM-2","issued":{"date-parts":[["2015"]]},"page":"55-61","title":"The determinants and forecasting of coal consumption in Pakistan","type":"article-journal","volume":"5"},"uris":["http://www.mendeley.com/documents/?uuid=d527c644-eabd-44a6-909f-21131c66d6aa"]}],"mendeley":{"formattedCitation":"(M. A. Khan, 2015; Wahid et al., 2015)","plainTextFormattedCitation":"(M. A. Khan, 2015; Wahid et al., 2015)","previouslyFormattedCitation":"(M. A. Khan, 2015; Wahid et al.,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(M. A. Khan, 2015; Wahid et al.,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Based on scenario analysis and Monte Carlo simulations, we derived future energy consumption projections. Below is a list of the specific research goals. In the case of Pakistan, we examine the influence of macroeconomic variables on overall and sector-specific energy usage. The specific research objectives are listed below. </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In the context of Pakistan, we examine the influence of macroeconomic variables on overall and sector-specific energy usage. Second, we use a scenario approach to assess the impact of CPEC-related economic activity on Pakistan's regional and aggregate energy consumption. Third, we employ Monte Carlo Simulation to evaluate the accuracy of our projections and estimate different scenarios for sector-specific power consumption by 2030 while dealing with uncertainty.</w:t>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numPr>
          <w:ilvl w:val="1"/>
          <w:numId w:val="2"/>
        </w:num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CPEC and Pakistan</w:t>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The CPEC is an economic growth opportunity to improve regional connectivity for the growth in the economy of both China and Pakistan. From 2014 to 2030, an industrial corridor would connect Pakistan's Gwadar port with China's northwestern area. It is projected to support Pakistan, China, and other surrounding nations by strengthening Pakistan's geographical relation with landlocked Central Asian republics. CPEC is comprised of five major components as shown in Table 1. CPEC is more than just a network of roads, highways, and rail networks; it collects projects that will meet Pakistan's energy and other needs. China's entire investment is estimated to be over $ 46 billion.</w:t>
      </w:r>
      <w:r>
        <w:rPr>
          <w:rFonts w:ascii="Times New Roman" w:hAnsi="Times New Roman" w:hint="eastAsia"/>
          <w:sz w:val="20"/>
          <w:szCs w:val="20"/>
          <w:lang w:eastAsia="zh-CN"/>
        </w:rPr>
        <w:t xml:space="preserve"> </w:t>
      </w:r>
    </w:p>
    <w:p w:rsidR="004923B8" w:rsidRDefault="004923B8" w:rsidP="004923B8">
      <w:pPr>
        <w:adjustRightInd w:val="0"/>
        <w:snapToGrid w:val="0"/>
        <w:spacing w:after="0" w:line="240" w:lineRule="auto"/>
        <w:ind w:firstLine="720"/>
        <w:jc w:val="both"/>
        <w:rPr>
          <w:rFonts w:ascii="Times New Roman" w:hAnsi="Times New Roman"/>
          <w:sz w:val="20"/>
          <w:szCs w:val="20"/>
          <w:lang w:eastAsia="zh-CN"/>
        </w:rPr>
        <w:sectPr w:rsidR="004923B8">
          <w:type w:val="continuous"/>
          <w:pgSz w:w="12240" w:h="15840"/>
          <w:pgMar w:top="1440" w:right="1440" w:bottom="1440" w:left="1440" w:header="720" w:footer="720" w:gutter="0"/>
          <w:cols w:num="2" w:space="720"/>
          <w:docGrid w:linePitch="360"/>
        </w:sect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lastRenderedPageBreak/>
        <w:t xml:space="preserve">Table </w:t>
      </w:r>
      <w:r w:rsidR="00674261" w:rsidRPr="004923B8">
        <w:rPr>
          <w:rFonts w:ascii="Times New Roman" w:hAnsi="Times New Roman"/>
          <w:b/>
          <w:sz w:val="20"/>
          <w:szCs w:val="20"/>
        </w:rPr>
        <w:fldChar w:fldCharType="begin"/>
      </w:r>
      <w:r w:rsidRPr="004923B8">
        <w:rPr>
          <w:rFonts w:ascii="Times New Roman" w:hAnsi="Times New Roman"/>
          <w:b/>
          <w:sz w:val="20"/>
          <w:szCs w:val="20"/>
        </w:rPr>
        <w:instrText xml:space="preserve"> SEQ Table \* ARABIC </w:instrText>
      </w:r>
      <w:r w:rsidR="00674261" w:rsidRPr="004923B8">
        <w:rPr>
          <w:rFonts w:ascii="Times New Roman" w:hAnsi="Times New Roman"/>
          <w:b/>
          <w:sz w:val="20"/>
          <w:szCs w:val="20"/>
        </w:rPr>
        <w:fldChar w:fldCharType="separate"/>
      </w:r>
      <w:r w:rsidRPr="004923B8">
        <w:rPr>
          <w:rFonts w:ascii="Times New Roman" w:hAnsi="Times New Roman"/>
          <w:b/>
          <w:sz w:val="20"/>
          <w:szCs w:val="20"/>
        </w:rPr>
        <w:t>1</w:t>
      </w:r>
      <w:r w:rsidR="00674261" w:rsidRPr="004923B8">
        <w:rPr>
          <w:rFonts w:ascii="Times New Roman" w:hAnsi="Times New Roman"/>
          <w:b/>
          <w:sz w:val="20"/>
          <w:szCs w:val="20"/>
        </w:rPr>
        <w:fldChar w:fldCharType="end"/>
      </w:r>
      <w:r w:rsidRPr="004923B8">
        <w:rPr>
          <w:rFonts w:ascii="Times New Roman" w:hAnsi="Times New Roman"/>
          <w:b/>
          <w:sz w:val="20"/>
          <w:szCs w:val="20"/>
        </w:rPr>
        <w:t xml:space="preserve">. CPEC major components.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34"/>
        <w:gridCol w:w="3524"/>
        <w:gridCol w:w="5830"/>
      </w:tblGrid>
      <w:tr w:rsidR="00674261" w:rsidRPr="004923B8" w:rsidTr="004923B8">
        <w:trPr>
          <w:jc w:val="center"/>
        </w:trPr>
        <w:tc>
          <w:tcPr>
            <w:tcW w:w="18" w:type="pct"/>
            <w:shd w:val="clear" w:color="auto" w:fill="auto"/>
            <w:vAlign w:val="center"/>
          </w:tcPr>
          <w:p w:rsidR="00674261" w:rsidRPr="004923B8" w:rsidRDefault="00674261" w:rsidP="004923B8">
            <w:pPr>
              <w:pStyle w:val="ListParagraph"/>
              <w:adjustRightInd w:val="0"/>
              <w:snapToGrid w:val="0"/>
              <w:spacing w:after="0" w:line="240" w:lineRule="auto"/>
              <w:contextualSpacing w:val="0"/>
              <w:jc w:val="both"/>
              <w:rPr>
                <w:rFonts w:ascii="Times New Roman" w:hAnsi="Times New Roman"/>
                <w:sz w:val="20"/>
                <w:szCs w:val="20"/>
              </w:rPr>
            </w:pPr>
          </w:p>
        </w:tc>
        <w:tc>
          <w:tcPr>
            <w:tcW w:w="1877"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Components</w:t>
            </w:r>
          </w:p>
        </w:tc>
        <w:tc>
          <w:tcPr>
            <w:tcW w:w="3105" w:type="pct"/>
            <w:shd w:val="clear" w:color="auto" w:fill="auto"/>
            <w:vAlign w:val="center"/>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Outputs</w:t>
            </w:r>
          </w:p>
        </w:tc>
      </w:tr>
      <w:tr w:rsidR="00674261" w:rsidRPr="004923B8" w:rsidTr="004923B8">
        <w:trPr>
          <w:jc w:val="center"/>
        </w:trPr>
        <w:tc>
          <w:tcPr>
            <w:tcW w:w="18" w:type="pct"/>
            <w:shd w:val="clear" w:color="auto" w:fill="auto"/>
            <w:vAlign w:val="center"/>
          </w:tcPr>
          <w:p w:rsidR="00674261" w:rsidRPr="004923B8" w:rsidRDefault="00674261" w:rsidP="004923B8">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1877"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Gwadar </w:t>
            </w:r>
          </w:p>
        </w:tc>
        <w:tc>
          <w:tcPr>
            <w:tcW w:w="3105"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Including port. City development and Gwadar region socio-economic improvement</w:t>
            </w:r>
          </w:p>
        </w:tc>
      </w:tr>
      <w:tr w:rsidR="00674261" w:rsidRPr="004923B8" w:rsidTr="004923B8">
        <w:trPr>
          <w:jc w:val="center"/>
        </w:trPr>
        <w:tc>
          <w:tcPr>
            <w:tcW w:w="18" w:type="pct"/>
            <w:shd w:val="clear" w:color="auto" w:fill="auto"/>
            <w:vAlign w:val="center"/>
          </w:tcPr>
          <w:p w:rsidR="00674261" w:rsidRPr="004923B8" w:rsidRDefault="00674261" w:rsidP="004923B8">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1877"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Energy </w:t>
            </w:r>
          </w:p>
        </w:tc>
        <w:tc>
          <w:tcPr>
            <w:tcW w:w="3105"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Hydel, Wind, Solar, Coal, LNG, and improve the transmission </w:t>
            </w:r>
          </w:p>
        </w:tc>
      </w:tr>
      <w:tr w:rsidR="00674261" w:rsidRPr="004923B8" w:rsidTr="004923B8">
        <w:trPr>
          <w:jc w:val="center"/>
        </w:trPr>
        <w:tc>
          <w:tcPr>
            <w:tcW w:w="18" w:type="pct"/>
            <w:shd w:val="clear" w:color="auto" w:fill="auto"/>
            <w:vAlign w:val="center"/>
          </w:tcPr>
          <w:p w:rsidR="00674261" w:rsidRPr="004923B8" w:rsidRDefault="00674261" w:rsidP="004923B8">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1877"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Transportation infrastructure </w:t>
            </w:r>
          </w:p>
        </w:tc>
        <w:tc>
          <w:tcPr>
            <w:tcW w:w="3105"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The advanced infrastructure of Road, Rail, Aviation </w:t>
            </w:r>
          </w:p>
        </w:tc>
      </w:tr>
      <w:tr w:rsidR="00674261" w:rsidRPr="004923B8" w:rsidTr="004923B8">
        <w:trPr>
          <w:jc w:val="center"/>
        </w:trPr>
        <w:tc>
          <w:tcPr>
            <w:tcW w:w="18" w:type="pct"/>
            <w:shd w:val="clear" w:color="auto" w:fill="auto"/>
            <w:vAlign w:val="center"/>
          </w:tcPr>
          <w:p w:rsidR="00674261" w:rsidRPr="004923B8" w:rsidRDefault="00674261" w:rsidP="004923B8">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1877"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Investment &amp; Industrial Cooperation</w:t>
            </w:r>
          </w:p>
        </w:tc>
        <w:tc>
          <w:tcPr>
            <w:tcW w:w="3105"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Free Zone and other industrial parks to be finalized</w:t>
            </w:r>
          </w:p>
        </w:tc>
      </w:tr>
      <w:tr w:rsidR="00674261" w:rsidRPr="004923B8" w:rsidTr="004923B8">
        <w:trPr>
          <w:jc w:val="center"/>
        </w:trPr>
        <w:tc>
          <w:tcPr>
            <w:tcW w:w="18" w:type="pct"/>
            <w:shd w:val="clear" w:color="auto" w:fill="auto"/>
            <w:vAlign w:val="center"/>
          </w:tcPr>
          <w:p w:rsidR="00674261" w:rsidRPr="004923B8" w:rsidRDefault="00674261" w:rsidP="004923B8">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1877"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Any other area of interest mutually agreed</w:t>
            </w:r>
          </w:p>
        </w:tc>
        <w:tc>
          <w:tcPr>
            <w:tcW w:w="3105" w:type="pct"/>
            <w:shd w:val="clear" w:color="auto" w:fill="auto"/>
            <w:vAlign w:val="center"/>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The industrial and manufacturing sector </w:t>
            </w:r>
          </w:p>
        </w:tc>
      </w:tr>
    </w:tbl>
    <w:p w:rsidR="004923B8" w:rsidRDefault="004923B8" w:rsidP="004923B8">
      <w:pPr>
        <w:adjustRightInd w:val="0"/>
        <w:snapToGrid w:val="0"/>
        <w:spacing w:after="0" w:line="240" w:lineRule="auto"/>
        <w:jc w:val="both"/>
        <w:rPr>
          <w:rFonts w:ascii="Times New Roman" w:hAnsi="Times New Roman" w:hint="eastAsia"/>
          <w:sz w:val="20"/>
          <w:szCs w:val="20"/>
          <w:lang w:eastAsia="zh-CN"/>
        </w:rPr>
      </w:pPr>
    </w:p>
    <w:p w:rsidR="004923B8" w:rsidRDefault="004923B8" w:rsidP="004923B8">
      <w:pPr>
        <w:adjustRightInd w:val="0"/>
        <w:snapToGrid w:val="0"/>
        <w:spacing w:after="0" w:line="240" w:lineRule="auto"/>
        <w:jc w:val="both"/>
        <w:rPr>
          <w:rFonts w:ascii="Times New Roman" w:hAnsi="Times New Roman"/>
          <w:sz w:val="20"/>
          <w:szCs w:val="20"/>
          <w:lang w:eastAsia="zh-CN"/>
        </w:rPr>
        <w:sectPr w:rsidR="004923B8" w:rsidSect="004923B8">
          <w:type w:val="continuous"/>
          <w:pgSz w:w="12240" w:h="15840"/>
          <w:pgMar w:top="1440" w:right="1440" w:bottom="1440" w:left="1440" w:header="720" w:footer="720" w:gutter="0"/>
          <w:cols w:space="720"/>
          <w:docGrid w:linePitch="360"/>
        </w:sectPr>
      </w:pPr>
    </w:p>
    <w:p w:rsidR="00674261" w:rsidRPr="004923B8" w:rsidRDefault="004923B8" w:rsidP="004923B8">
      <w:pPr>
        <w:numPr>
          <w:ilvl w:val="1"/>
          <w:numId w:val="2"/>
        </w:num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lastRenderedPageBreak/>
        <w:t>Chinese energy sector investments in Pakistan</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As previously noted, Chinese investment in Pakistan is focused on the electric power system. The CPEC's early harvest projects, which target to add 10,400 megawatts (MG) to the electrical grid, include coal, wind turbines, Liquefied natural gas (LNG), solar-panel parks, and, most relevantly, hydropower projects. The total production in 2015 was 22,571MG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{"citationItems":[{"id":"ITEM-1","itemData":{"author":[{"dropping-particle":"","family":"Rizvi","given":"Jawwad","non-dropping-particle":"","parse-names":false,"suffix":""}],"id":"ITEM-1","issued":{"date-parts":[["2015"]]},"publisher":"MIT Technology Review (Pakistan)","title":"Demystifying Pakistan’s energy crisis","type":"article"},"uris":["http://www.mendeley.com/documents/?uuid=71de3ee7-bb31-4a8d-8572-c3bc884c90ab"]}],"mendeley":{"formattedCitation":"(Rizvi, 2015)","plainTextFormattedCitation":"(Rizvi, 2015)","previouslyFormattedCitation":"(Rizvi,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(Rizvi,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7,097MG accounts for the hydro sources of full installed capacity, whereas </w:t>
      </w:r>
      <w:r w:rsidRPr="004923B8">
        <w:rPr>
          <w:rFonts w:ascii="Times New Roman" w:hAnsi="Times New Roman"/>
          <w:sz w:val="20"/>
          <w:szCs w:val="20"/>
        </w:rPr>
        <w:lastRenderedPageBreak/>
        <w:t>the thermal sources contribute to 15,474MG. This 10,400MG will bring Pakistan's current electricity generating capacity to 32,971MG by the ending of the year. The electricity shortage problem can be solved in the short term if the government's plans are managed to carry out and all the prospective power plants are functioning by 2019. Table 2 summarizes the specific details of the Chinese energy industry projects.</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sectPr w:rsidR="004923B8" w:rsidRPr="004923B8">
          <w:type w:val="continuous"/>
          <w:pgSz w:w="12240" w:h="15840"/>
          <w:pgMar w:top="1440" w:right="1440" w:bottom="1440" w:left="1440" w:header="720" w:footer="720" w:gutter="0"/>
          <w:cols w:num="2" w:space="720"/>
          <w:docGrid w:linePitch="360"/>
        </w:sect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b/>
          <w:sz w:val="20"/>
          <w:szCs w:val="20"/>
        </w:rPr>
        <w:t xml:space="preserve">Table </w:t>
      </w:r>
      <w:r w:rsidR="00674261" w:rsidRPr="004923B8">
        <w:rPr>
          <w:rFonts w:ascii="Times New Roman" w:hAnsi="Times New Roman"/>
          <w:b/>
          <w:sz w:val="20"/>
          <w:szCs w:val="20"/>
        </w:rPr>
        <w:fldChar w:fldCharType="begin"/>
      </w:r>
      <w:r w:rsidRPr="004923B8">
        <w:rPr>
          <w:rFonts w:ascii="Times New Roman" w:hAnsi="Times New Roman"/>
          <w:b/>
          <w:sz w:val="20"/>
          <w:szCs w:val="20"/>
        </w:rPr>
        <w:instrText xml:space="preserve"> SEQ Table \* ARABIC </w:instrText>
      </w:r>
      <w:r w:rsidR="00674261" w:rsidRPr="004923B8">
        <w:rPr>
          <w:rFonts w:ascii="Times New Roman" w:hAnsi="Times New Roman"/>
          <w:b/>
          <w:sz w:val="20"/>
          <w:szCs w:val="20"/>
        </w:rPr>
        <w:fldChar w:fldCharType="separate"/>
      </w:r>
      <w:r w:rsidRPr="004923B8">
        <w:rPr>
          <w:rFonts w:ascii="Times New Roman" w:hAnsi="Times New Roman"/>
          <w:b/>
          <w:sz w:val="20"/>
          <w:szCs w:val="20"/>
        </w:rPr>
        <w:t>2</w:t>
      </w:r>
      <w:r w:rsidR="00674261" w:rsidRPr="004923B8">
        <w:rPr>
          <w:rFonts w:ascii="Times New Roman" w:hAnsi="Times New Roman"/>
          <w:b/>
          <w:sz w:val="20"/>
          <w:szCs w:val="20"/>
        </w:rPr>
        <w:fldChar w:fldCharType="end"/>
      </w:r>
      <w:r w:rsidRPr="004923B8">
        <w:rPr>
          <w:rFonts w:ascii="Times New Roman" w:hAnsi="Times New Roman"/>
          <w:b/>
          <w:sz w:val="20"/>
          <w:szCs w:val="20"/>
        </w:rPr>
        <w:t>.</w:t>
      </w:r>
      <w:r w:rsidRPr="004923B8">
        <w:rPr>
          <w:rFonts w:ascii="Times New Roman" w:hAnsi="Times New Roman"/>
          <w:bCs/>
          <w:sz w:val="20"/>
          <w:szCs w:val="20"/>
        </w:rPr>
        <w:t xml:space="preserve"> </w:t>
      </w:r>
      <w:r w:rsidRPr="004923B8">
        <w:rPr>
          <w:rFonts w:ascii="Times New Roman" w:hAnsi="Times New Roman"/>
          <w:b/>
          <w:sz w:val="20"/>
          <w:szCs w:val="20"/>
        </w:rPr>
        <w:t>List of Chinese energy infrastructure investments in Pakistan.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73"/>
      </w:tblGrid>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center"/>
              <w:rPr>
                <w:rFonts w:ascii="Times New Roman" w:hAnsi="Times New Roman"/>
                <w:b/>
                <w:bCs/>
                <w:sz w:val="20"/>
                <w:szCs w:val="20"/>
              </w:rPr>
            </w:pPr>
            <w:r w:rsidRPr="004923B8">
              <w:rPr>
                <w:rFonts w:ascii="Times New Roman" w:hAnsi="Times New Roman"/>
                <w:b/>
                <w:bCs/>
                <w:sz w:val="20"/>
                <w:szCs w:val="20"/>
              </w:rPr>
              <w:t>Project</w:t>
            </w:r>
          </w:p>
        </w:tc>
        <w:tc>
          <w:tcPr>
            <w:tcW w:w="2649" w:type="pct"/>
            <w:vAlign w:val="center"/>
          </w:tcPr>
          <w:p w:rsidR="00674261" w:rsidRPr="004923B8" w:rsidRDefault="004923B8" w:rsidP="004923B8">
            <w:pPr>
              <w:adjustRightInd w:val="0"/>
              <w:snapToGrid w:val="0"/>
              <w:spacing w:after="0" w:line="240" w:lineRule="auto"/>
              <w:jc w:val="center"/>
              <w:rPr>
                <w:rFonts w:ascii="Times New Roman" w:hAnsi="Times New Roman"/>
                <w:b/>
                <w:bCs/>
                <w:sz w:val="20"/>
                <w:szCs w:val="20"/>
              </w:rPr>
            </w:pPr>
            <w:r w:rsidRPr="004923B8">
              <w:rPr>
                <w:rFonts w:ascii="Times New Roman" w:hAnsi="Times New Roman"/>
                <w:b/>
                <w:bCs/>
                <w:sz w:val="20"/>
                <w:szCs w:val="20"/>
              </w:rPr>
              <w:t>Company</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bCs/>
                <w:sz w:val="20"/>
                <w:szCs w:val="20"/>
              </w:rPr>
            </w:pPr>
            <w:r w:rsidRPr="004923B8">
              <w:rPr>
                <w:rFonts w:ascii="Times New Roman" w:hAnsi="Times New Roman"/>
                <w:bCs/>
                <w:sz w:val="20"/>
                <w:szCs w:val="20"/>
              </w:rPr>
              <w:t>Prioritized/Early Harvest Projects, 10400 MW</w:t>
            </w:r>
          </w:p>
        </w:tc>
        <w:tc>
          <w:tcPr>
            <w:tcW w:w="2649" w:type="pct"/>
            <w:vAlign w:val="center"/>
          </w:tcPr>
          <w:p w:rsidR="00674261" w:rsidRPr="004923B8" w:rsidRDefault="00674261" w:rsidP="004923B8">
            <w:pPr>
              <w:adjustRightInd w:val="0"/>
              <w:snapToGrid w:val="0"/>
              <w:spacing w:after="0" w:line="240" w:lineRule="auto"/>
              <w:rPr>
                <w:rFonts w:ascii="Times New Roman" w:hAnsi="Times New Roman"/>
                <w:sz w:val="20"/>
                <w:szCs w:val="20"/>
              </w:rPr>
            </w:pP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Port Qasim Coal-ﬁred Power Plant (2×660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Power China Resources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Sahiwal Coal-Fired Power Plant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Huaneng Shandong Ruyi (Pakistan) Energy (Private)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Engro Thar Coal-ﬁred Power Plant and Surﬁce Mine in Block II of Thar Coal Field (4×330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Machinery Engineering Corporation (CMEC)</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Dawood Wind Farm (50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Hydro china International Engineering (HIE) Co.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Quaid-e-Azam Solar Park in Bahawalpur (900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Zonergy Company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Jhimpir Wind Farm (100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UEP Wind Power (PVT)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Sachal Wind Farm (50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HIE Co.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Karot Hydro-Power Project (720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Three Gorges South Asia Investment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Suki Kinari Hydropower Project (873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Gezhouba Group Corporation International Ltd. (CGGC)</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Sachal Wind Farm (50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Sunec Company</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Rahimyar Khan Coal Power Plant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To Be Decided (TBD)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Thar Coal Block I and Mine Mouth Power Plant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Shanghai Electric</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Hubco Coal Power Plant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Power International Holding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Gwadar Power Plant (300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TBD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Matiari-Lahore Transmission Line </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State Grid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Matiari-Faisalabad Transmission Line </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State Grid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Gaddani Powerplant at District Lasbela, Balochistan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TBD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Kohala Hydro-Power Station (1100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Three Gorges South Asia Investment (CTGSAI)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Wind Farm Phase II of Pakistan (2 × 50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(CTGSAI)</w:t>
            </w:r>
            <w:r>
              <w:rPr>
                <w:rFonts w:ascii="Times New Roman" w:hAnsi="Times New Roman" w:hint="eastAsia"/>
                <w:sz w:val="20"/>
                <w:szCs w:val="20"/>
                <w:lang w:eastAsia="zh-CN"/>
              </w:rPr>
              <w:t xml:space="preserve"> </w:t>
            </w:r>
            <w:r w:rsidRPr="004923B8">
              <w:rPr>
                <w:rFonts w:ascii="Times New Roman" w:hAnsi="Times New Roman"/>
                <w:sz w:val="20"/>
                <w:szCs w:val="20"/>
              </w:rPr>
              <w:t>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HUBCO Coal Power Plant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Power International Holding Ltd.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Salt Range Mine Mouth Power Plant including Mining (300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China Machinery Engineering Corporation</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Thar Mine Mouth Coal Fired Power Plant by Oracle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TBD</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Muzaﬀargarh Coal-ﬁred Power Plant (2 × 660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(CMEC)</w:t>
            </w:r>
          </w:p>
        </w:tc>
      </w:tr>
      <w:tr w:rsidR="00674261" w:rsidRPr="004923B8" w:rsidTr="004923B8">
        <w:trPr>
          <w:cantSplit/>
          <w:jc w:val="center"/>
        </w:trPr>
        <w:tc>
          <w:tcPr>
            <w:tcW w:w="2351" w:type="pct"/>
            <w:vAlign w:val="center"/>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Gas Fired Power Plant (525 MW)</w:t>
            </w:r>
          </w:p>
        </w:tc>
        <w:tc>
          <w:tcPr>
            <w:tcW w:w="2649" w:type="pct"/>
            <w:vAlign w:val="center"/>
          </w:tcPr>
          <w:p w:rsidR="00674261" w:rsidRPr="004923B8" w:rsidRDefault="004923B8" w:rsidP="004923B8">
            <w:pPr>
              <w:adjustRightInd w:val="0"/>
              <w:snapToGrid w:val="0"/>
              <w:spacing w:after="0" w:line="240" w:lineRule="auto"/>
              <w:ind w:left="113"/>
              <w:rPr>
                <w:rFonts w:ascii="Times New Roman" w:hAnsi="Times New Roman"/>
                <w:sz w:val="20"/>
                <w:szCs w:val="20"/>
              </w:rPr>
            </w:pPr>
            <w:r w:rsidRPr="004923B8">
              <w:rPr>
                <w:rFonts w:ascii="Times New Roman" w:hAnsi="Times New Roman"/>
                <w:sz w:val="20"/>
                <w:szCs w:val="20"/>
              </w:rPr>
              <w:t>TBD</w:t>
            </w:r>
          </w:p>
        </w:tc>
      </w:tr>
    </w:tbl>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Source: CPEC, 2019;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1004-2857","author":[{"dropping-particle":"","family":"Iqbal","given":"Sumera","non-dropping-particle":"","parse-names":false,"suffix":""},{"dropping-particle":"","family":"Chu","given":"Jianxun","non-dropping-particle":"","parse-names":false,"suffix":""},{"dropping-particle":"","family":"Hali","given":"Shafei Moiz","non-dropping-particle":"","parse-names":false,"suffix":""}],"container-title":"Chinese Journal of Population Resources and Environment","id":"ITEM-1","issue":"4","issued":{"date-parts":[["2019"]]},"page":"310-321","publisher":"Taylor &amp; Francis","title":"Projecting impact of CPEC on Pakistan’s electric power crisis","type":"article-journal","volume":"17"},"uris":["http://www.mendeley.com/documents/?uuid=eeacfad7-942a-4e48-b70e-2f6c76b1d040"]}],"mendeley":{"formattedCitation":"(Iqbal et al., 2019)","plainTextFormattedCitation":"(Iqbal et al., 2019)","previouslyFormattedCitation":"Sumera Iqbal, Jianxun Chu, and Shafei Moiz Hali, “Projecting Impact of CPEC on Pakistan’s Electric Power Crisis,” &lt;i&gt;Chinese Journal of Population Resources and Environment&lt;/i&gt;, 17.4 (2019), 310–21."},"properties":{"noteIndex":0},"schema":"https://github.com/citation-style-language/schema/raw/master/csl-citation.json"}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(Iqbal et al., 2019)</w:t>
      </w:r>
      <w:r w:rsidR="00674261" w:rsidRPr="004923B8">
        <w:rPr>
          <w:rStyle w:val="FootnoteReference"/>
          <w:rFonts w:ascii="Times New Roman" w:hAnsi="Times New Roman"/>
          <w:sz w:val="20"/>
          <w:szCs w:val="20"/>
        </w:rPr>
        <w:fldChar w:fldCharType="end"/>
      </w:r>
    </w:p>
    <w:p w:rsidR="00674261" w:rsidRDefault="00674261" w:rsidP="004923B8">
      <w:pPr>
        <w:adjustRightInd w:val="0"/>
        <w:snapToGrid w:val="0"/>
        <w:spacing w:after="0" w:line="240" w:lineRule="auto"/>
        <w:jc w:val="both"/>
        <w:rPr>
          <w:rFonts w:ascii="Times New Roman" w:hAnsi="Times New Roman" w:hint="eastAsia"/>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sz w:val="20"/>
          <w:szCs w:val="20"/>
          <w:lang w:eastAsia="zh-CN"/>
        </w:rPr>
      </w:pPr>
    </w:p>
    <w:p w:rsidR="004923B8" w:rsidRPr="004923B8" w:rsidRDefault="004923B8" w:rsidP="004923B8">
      <w:pPr>
        <w:adjustRightInd w:val="0"/>
        <w:snapToGrid w:val="0"/>
        <w:spacing w:after="0" w:line="240" w:lineRule="auto"/>
        <w:jc w:val="both"/>
        <w:rPr>
          <w:rFonts w:ascii="Times New Roman" w:hAnsi="Times New Roman" w:hint="eastAsia"/>
          <w:sz w:val="20"/>
          <w:szCs w:val="20"/>
          <w:lang w:eastAsia="zh-CN"/>
        </w:rPr>
        <w:sectPr w:rsidR="004923B8" w:rsidRPr="004923B8">
          <w:type w:val="continuous"/>
          <w:pgSz w:w="12240" w:h="15840"/>
          <w:pgMar w:top="1440" w:right="1440" w:bottom="1440" w:left="1440" w:header="720" w:footer="720" w:gutter="0"/>
          <w:cols w:space="720"/>
          <w:docGrid w:linePitch="360"/>
        </w:sectPr>
      </w:pPr>
    </w:p>
    <w:p w:rsidR="00674261" w:rsidRPr="004923B8" w:rsidRDefault="004923B8" w:rsidP="004923B8">
      <w:pPr>
        <w:numPr>
          <w:ilvl w:val="1"/>
          <w:numId w:val="2"/>
        </w:num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lastRenderedPageBreak/>
        <w:t xml:space="preserve">Research question </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As stated in the introduction section, the major problem for Pakistan's economic progress is the energy crisis. Consequentially, for the successful realization of CPEC, most investments will rebuild Pakistan's energy sector to make CPEC a success. Among the BRI's economic corridors, CPEC is also one of the most expensive. As a result, the question of what impact the CPEC investments would have on Pakistan's future energy demand becomes more important.</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numPr>
          <w:ilvl w:val="1"/>
          <w:numId w:val="2"/>
        </w:num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Objectives of the study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The research's main goals are as follows:   </w:t>
      </w:r>
    </w:p>
    <w:p w:rsidR="00674261" w:rsidRPr="004923B8" w:rsidRDefault="004923B8" w:rsidP="004923B8">
      <w:pPr>
        <w:numPr>
          <w:ilvl w:val="0"/>
          <w:numId w:val="4"/>
        </w:num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To identify the role of CPEC in future energy consumption in Pakistan</w:t>
      </w:r>
    </w:p>
    <w:p w:rsidR="00674261" w:rsidRPr="004923B8" w:rsidRDefault="004923B8" w:rsidP="004923B8">
      <w:pPr>
        <w:numPr>
          <w:ilvl w:val="0"/>
          <w:numId w:val="4"/>
        </w:num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To develop a framework that emphasizes the need for CPEC to improve renewable energy consumption in Pakistan.  </w:t>
      </w:r>
    </w:p>
    <w:p w:rsidR="00674261" w:rsidRPr="004923B8" w:rsidRDefault="004923B8" w:rsidP="004923B8">
      <w:pPr>
        <w:numPr>
          <w:ilvl w:val="0"/>
          <w:numId w:val="4"/>
        </w:num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To investigate the sectoral level of future energy consumption in Pakistan</w:t>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The remaining structure of this research work is as follows: Section 2 contains the literature review and author's intentions about CPEC, while section 3 covers the methodology. Results and discussion are presenting in section 4. Finally, section 5 is the conclusion of the study.</w:t>
      </w: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2. Literature review</w:t>
      </w: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2.1. Impact of CPEC on Energy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bCs/>
          <w:sz w:val="20"/>
          <w:szCs w:val="20"/>
          <w:lang w:eastAsia="zh-CN"/>
        </w:rPr>
        <w:t xml:space="preserve">    </w:t>
      </w:r>
      <w:r w:rsidRPr="004923B8">
        <w:rPr>
          <w:rFonts w:ascii="Times New Roman" w:hAnsi="Times New Roman"/>
          <w:sz w:val="20"/>
          <w:szCs w:val="20"/>
        </w:rPr>
        <w:t xml:space="preserve">Kazmi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{"citationItems":[{"id":"ITEM-1","itemData":{"ISSN":"0030-9729","author":[{"dropping-particle":"","family":"Kazmi","given":"Syed Twangar Hussain","non-dropping-particle":"","parse-names":false,"suffix":""}],"container-title":"The Pakistan Development Review","id":"ITEM-1","issued":{"date-parts":[["2016"]]},"page":"619-631","publisher":"JSTOR","title":"China's Journey in Renewable Energy and Its Potential Spillover Effects through the CPEC in Pakistan","type":"article-journal"},"suppress-author":1,"uris":["http://www.mendeley.com/documents/?uuid=e8233eb7-449a-4b82-b51f-9bf74b744117"]}],"mendeley":{"formattedCitation":"(2016a)","plainTextFormattedCitation":"(2016a)","previouslyFormattedCitation":"(2016a)"},"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(2016a)</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evaluated the influence of sustainable energy investments in Pakistan as part of the CPEC by using time series data from 2000 to 2016. The early harvested CPEC projects would generate 2840 MW of renewable energy. The investment in wind energy, hydro and solar projects reflects Pakistan's determination to weak economic scenarios. China's Foreign Direct Investment (FDI) has the potential to increase expansion in the renewable energy industry. This relationship with China in the RE area can facilitate the transfer of information and know-how, provided the government has regulations in place to facilitate the flow of knowledge to a business location. Direct professional development must be created with China's involvement for this goal. It is possible to establish win-win scenarios in which a low environmental worker is provided with the required knowledge and talents to work on Chinese-managed projects in Pakistan. Furthermore, local manufacturing of renewable energy goods or products must be encouraged by resolving market failures and supporting local manufacturers.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lastRenderedPageBreak/>
        <w:t xml:space="preserve">    Khurshid et al.,</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Khurshid","given":"Muzammil","non-dropping-particle":"","parse-names":false,"suffix":""},{"dropping-particle":"","family":"Rashid","given":"Athar","non-dropping-particle":"","parse-names":false,"suffix":""},{"dropping-particle":"","family":"Zahid","given":"R M Ammar","non-dropping-particle":"","parse-names":false,"suffix":""}],"container-title":"Proceedings of the International Conference on Renewable, Applied and New Energy Technologies","id":"ITEM-1","issued":{"date-parts":[["2018"]]},"title":"Impact of CPEC energy projects on socio-economic development of Pakistan","type":"paper-conference"},"suppress-author":1,"uris":["http://www.mendeley.com/documents/?uuid=4ab990a6-6a3d-4789-99a4-316609ba154f"]}],"mendeley":{"formattedCitation":"(2018)","plainTextFormattedCitation":"(2018)","previouslyFormattedCitation":"(2018)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investigated the influence of CPEC energy projects on Pakistan's socio-economic development. Using Johansen-Juselius cointegration analysis. Pakistan's energy issues (i.e., 8000 MW) would be addressed by the end of 2019, adding 17000 MW to the national grid as part of CPEC. Pakistan has been suffering an energy problem for the previous two decades, and CPEC has made a significant contribution in the electricity sector by investing $35 billion. CPEC is significant in all sectors, including FDI, transportation, infrastructure development, trade agreements, job opportunities, industrial estates, cultural exchange, tourist, and so on. Despite all of these positives, there are certain problems, such as security, political culture, terrorists, equitable funding allocation, local corporate stabilization, and so on. The long-term impact of GDP, road conditions, and labor productivity conditions, which are the primary factors in generating and lowering oil consumption. Energy, as in other states, is an important factor in Pakistan's economy. Pakistan has been suffering from acute electricity shortages for the last year. The CPEC energy projects have significantly supported Pakistan in eliminating energy poverty.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Lin &amp; Xie,</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0301-4215","author":[{"dropping-particle":"","family":"Lin","given":"Boqiang","non-dropping-particle":"","parse-names":false,"suffix":""},{"dropping-particle":"","family":"Xie","given":"Chunping","non-dropping-particle":"","parse-names":false,"suffix":""}],"container-title":"Energy Policy","id":"ITEM-1","issued":{"date-parts":[["2013"]]},"page":"472-482","publisher":"Elsevier","title":"Estimation on oil demand and oil saving potential of China's road transport sector","type":"article-journal","volume":"61"},"suppress-author":1,"uris":["http://www.mendeley.com/documents/?uuid=aa7a4b4d-0e08-4372-909f-f79646318207"]}],"mendeley":{"formattedCitation":"(2013)","plainTextFormattedCitation":"(2013)","previouslyFormattedCitation":"(2013)"},"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(2013)</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utilized time-series data from 1980 to 2010 to assess the demand for oil in China's transport industry and the potential savings. They investigated the impact of causal variables such as GDP, oil prices, total roadway, and automotive industry technological level on the dependent variable of energy consumption. The long-term impacts of GDP, road conditions, and labor productivity conditions, which are the primary factors in generating and lowering oil consumption, were predicted using Johansen-Juselius cointegration analysis. According to Monte Carlo risk analysis, improving internal oil-saving strategies can increase productivity.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H. Raza et al.,</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{"citationItems":[{"id":"ITEM-1","itemData":{"author":[{"dropping-particle":"","family":"Raza","given":"Hasan","non-dropping-particle":"","parse-names":false,"suffix":""},{"dropping-particle":"","family":"Mohiuddin","given":"Zaeema Asrar","non-dropping-particle":"","parse-names":false,"suffix":""},{"dropping-particle":"","family":"Zaidi","given":"Syed Shahid Zaheer","non-dropping-particle":"","parse-names":false,"suffix":""},{"dropping-particle":"","family":"Osama","given":"Ahmed","non-dropping-particle":"","parse-names":false,"suffix":""}],"container-title":"Journal of Accounting, Business and Finance Research","id":"ITEM-1","issue":"1","issued":{"date-parts":[["2018"]]},"page":"1-6","publisher":"Scientific Publishing Institute","title":"CPEC: Pakistan-China Cordial Ties-A Boost to Pakistan's Economy","type":"article-journal","volume":"2"},"suppress-author":1,"uris":["http://www.mendeley.com/documents/?uuid=f84c0c89-a071-48aa-92cf-32aa8dafb1ea"]}],"mendeley":{"formattedCitation":"(2018)","plainTextFormattedCitation":"(2018)","previouslyFormattedCitation":"(2018)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(2018)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Twenty-one new energy projects being built as part of CPEC are intended to minimize energy poverty in Pakistan. According to the research, energy sufficiency will stimulate the economy by revitalizing industries and companies and providing hundreds of direct and indirect job opportunities.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Mirza et al.,</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{"citationItems":[{"id":"ITEM-1","itemData":{"DOI":"10.1016/j.esr.2019.04.015","ISSN":"2211467X","abstract":"China-Pakistan Economic Corridor is a strategic economic project to enhance economic connectivity between Pakistan and China. We estimate the impact of CPEC related economic activities on overall energy consumption and its saving potential for Pakistan by 2030. Johansen cointegration is employed to evaluate the long run relationship between energy consumption and its determinants at aggregate and sectoral levels and forecast future energy demand using scenario analysis. Baseline scenario results indicate that aggregate energy consumption will approximately be 41% higher in 2030 compared to 2013 levels. Energy consumption in industrial and commercial sectors in 2030 will increase by 136% and 414% under baseline scenario. The Monte Carlo Simulations incorporating future uncertainty support the scenario analysis results. Energy saving potential suggests that energy conservation should be part of overall energy policies and sector specific energy intensity targets should be implemented to harness the energy saving potential.","author":[{"dropping-particle":"","family":"Mirza","given":"Faisal Mehmood","non-dropping-particle":"","parse-names":false,"suffix":""},{"dropping-particle":"","family":"Fatima","given":"Nishat","non-dropping-particle":"","parse-names":false,"suffix":""},{"dropping-particle":"","family":"Ullah","given":"Kafait","non-dropping-particle":"","parse-names":false,"suffix":""}],"container-title":"Energy Strategy Reviews","id":"ITEM-1","issue":"March","issued":{"date-parts":[["2019"]]},"page":"34-46","publisher":"Elsevier","title":"Impact of China-Pakistan economic corridor on Pakistan's future energy consumption and energy saving potential: Evidence from sectoral time series analysis","type":"article-journal","volume":"25"},"suppress-author":1,"uris":["http://www.mendeley.com/documents/?uuid=f101b087-f393-4edd-b400-7572a02c4469"]}],"mendeley":{"formattedCitation":"(2019)","plainTextFormattedCitation":"(2019)","previouslyFormattedCitation":"(2019)"},"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(2019)</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using secondary data on energy consumption (Dependent variable), GDP, energy prices (P), energy intensity (EI), trade openness (TO) and foreign direct investment (FDI) (Independent variable), and qualitatively evaluated the effect of the CPEC on job creation in Pakistan. According to the sources mentioned above, the CPEC project is expected to promote private investment by </w:t>
      </w:r>
      <w:r w:rsidRPr="004923B8">
        <w:rPr>
          <w:rFonts w:ascii="Times New Roman" w:hAnsi="Times New Roman"/>
          <w:sz w:val="20"/>
          <w:szCs w:val="20"/>
        </w:rPr>
        <w:lastRenderedPageBreak/>
        <w:t xml:space="preserve">establishing free economic zones, energy supply security, a stable economy, and efficient infrastructure. All of these enhancements will result in a 1.5 percent increase in annual GDP growth.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Iqbal et al.,</w:t>
      </w:r>
      <w:r w:rsidR="00674261" w:rsidRPr="004923B8">
        <w:rPr>
          <w:rStyle w:val="FootnoteReference"/>
          <w:rFonts w:ascii="Times New Roman" w:hAnsi="Times New Roman"/>
          <w:sz w:val="20"/>
          <w:szCs w:val="20"/>
          <w:vertAlign w:val="baseline"/>
        </w:rPr>
        <w:fldChar w:fldCharType="begin" w:fldLock="1"/>
      </w:r>
      <w:r w:rsidRPr="004923B8">
        <w:rPr>
          <w:rFonts w:ascii="Times New Roman" w:hAnsi="Times New Roman"/>
          <w:sz w:val="20"/>
          <w:szCs w:val="20"/>
        </w:rPr>
        <w:instrText>ADDIN CSL_CITATION {"citationItems":[{"id":"ITEM-1","itemData":{"ISSN":"1004-2857","author":[{"dropping-particle":"","family":"Iqbal","given":"Sumera","non-dropping-particle":"","parse-names":false,"suffix":""},{"dropping-particle":"","family":"Chu","given":"Jianxun","non-dropping-particle":"","parse-names":false,"suffix":""},{"dropping-particle":"","family":"Hali","given":"Shafei Moiz","non-dropping-particle":"","parse-names":false,"suffix":""}],"container-title":"Chinese Journal of Population Resources and Environment","id":"ITEM-1","issue":"4","issued":{"date-parts":[["2019"]]},"page":"310-321","publisher":"Taylor &amp; Francis","title":"Projecting impact of CPEC on Pakistan’s electric power crisis","type":"article-journal","volume":"17"},"suppress-author":1,"uris":["http://www.mendeley.com/documents/?uuid=eeacfad7-942a-4e48-b70e-2f6c76b1d040"]}],"mendeley":{"formattedCitation":"(2019)","plainTextFormattedCitation":"(2019)","previouslyFormattedCitation":"(2019)"},"properties":{"noteIndex":0},"schema":"https://github.com/citation-style-language/schema/raw/master/csl-citation.json"}</w:instrText>
      </w:r>
      <w:r w:rsidR="00674261" w:rsidRPr="004923B8">
        <w:rPr>
          <w:rStyle w:val="FootnoteReference"/>
          <w:rFonts w:ascii="Times New Roman" w:hAnsi="Times New Roman"/>
          <w:sz w:val="20"/>
          <w:szCs w:val="20"/>
          <w:vertAlign w:val="baseline"/>
        </w:rPr>
        <w:fldChar w:fldCharType="separate"/>
      </w:r>
      <w:r w:rsidRPr="004923B8">
        <w:rPr>
          <w:rStyle w:val="FootnoteReference"/>
          <w:rFonts w:ascii="Times New Roman" w:hAnsi="Times New Roman"/>
          <w:sz w:val="20"/>
          <w:szCs w:val="20"/>
          <w:vertAlign w:val="baseline"/>
        </w:rPr>
        <w:t>(2019)</w:t>
      </w:r>
      <w:r w:rsidR="00674261" w:rsidRPr="004923B8">
        <w:rPr>
          <w:rStyle w:val="FootnoteReference"/>
          <w:rFonts w:ascii="Times New Roman" w:hAnsi="Times New Roman"/>
          <w:sz w:val="20"/>
          <w:szCs w:val="20"/>
          <w:vertAlign w:val="baseline"/>
        </w:rPr>
        <w:fldChar w:fldCharType="end"/>
      </w:r>
      <w:r w:rsidRPr="004923B8">
        <w:rPr>
          <w:rFonts w:ascii="Times New Roman" w:hAnsi="Times New Roman"/>
          <w:sz w:val="20"/>
          <w:szCs w:val="20"/>
        </w:rPr>
        <w:t xml:space="preserve"> investigated 17 works of literature on the CPEC and Pakistan's power sector. They used factors like planning, energy mix, and the electricity supply system. They demonstrated that CPEC is very helpful in resolving Pakistan's energy crisis 82.30%. The studies also showed concerns, including poor planning 47%, an unsustainable energy mix of 64.7%, and dilapidated electricity distribution systems causing losses of 64.7%. China's investment in energy infrastructure will reduce Pakistan's dependency on furnace oil for power generation, reduce the import of oil, alleviate Pakistan's balance of payment restrictions, and make Pakistan's power generation mix quite sustainable. The system of decrepit power, such as electrical power stations, distribution systems, and smart meters of energy, must be upgraded. Additionally, Long-term policy, energy scheduling tools, and foreign direct investment are other key factors for Pakistan.</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CPEC allows Pakistan to manage its energy crises and rebuild its outdated infrastructure. However, suppose proper corrective actions to mitigate environmental risks are not adopted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1614-7499","author":[{"dropping-particle":"","family":"Kouser","given":"Shahzad","non-dropping-particle":"","parse-names":false,"suffix":""},{"dropping-particle":"","family":"Subhan","given":"Abdul","non-dropping-particle":"","parse-names":false,"suffix":""}],"container-title":"Environmental Science and Pollution Research","id":"ITEM-1","issue":"5","issued":{"date-parts":[["2020"]]},"page":"4661-4663","publisher":"Springer","title":"Uncovering pakistan’s environmental risks and remedies under the China-Pakistan economic corridor","type":"article-journal","volume":"27"},"uris":["http://www.mendeley.com/documents/?uuid=2fd4d6e4-e6f1-4346-9e22-51cafb7872e0"]}],"mendeley":{"formattedCitation":"(Kouser &amp; Subhan, 2020)","plainTextFormattedCitation":"(Kouser &amp; Subhan, 2020)","previouslyFormattedCitation":"(Kouser &amp; Subhan, 2020)"},"properties":{"noteIndex":0},"schema":"https://github.com/citation-style-language/schema/raw/master/csl-citation.json"}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(Kouser &amp; Subhan, 2020)</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In that case, Pakistan would be one of the top emitters of CO2, and its position in the global climate risk index will deteriorate after the project is done. As a result, assessing the potential environmental consequences of CPEC projects in terms of energy, infrastructure, and transportation is critical. In addition, scientists from both countries should work together to manage the environmental consequences of CPEC projects.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Ali et al.,</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2330-7706","author":[{"dropping-particle":"","family":"Ali","given":"Yousaf","non-dropping-particle":"","parse-names":false,"suffix":""},{"dropping-particle":"","family":"Rasheed","given":"Zaeem","non-dropping-particle":"","parse-names":false,"suffix":""},{"dropping-particle":"","family":"Muhammad","given":"Noor","non-dropping-particle":"","parse-names":false,"suffix":""},{"dropping-particle":"","family":"Yousaf","given":"Salman","non-dropping-particle":"","parse-names":false,"suffix":""}],"container-title":"Journal of Control and Decision","id":"ITEM-1","issue":"2","issued":{"date-parts":[["2018"]]},"page":"129-147","publisher":"Taylor &amp; Francis","title":"Energy optimization in the wake of China Pakistan Economic Corridor (CPEC)","type":"article-journal","volume":"5"},"suppress-author":1,"uris":["http://www.mendeley.com/documents/?uuid=40e22113-e98b-4dca-955e-c763917e87b2"]}],"mendeley":{"formattedCitation":"(2018)","plainTextFormattedCitation":"(2018)","previouslyFormattedCitation":"(2018)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(2018)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developed a method based to assist the Pakistani government in determining which CPEC energy priority projects should be performed in the first wave of development. The second section of the study advises small/medium-sized industry and company owners on how to choose the best available solution for addressing the energy shortage while CPEC projects are being completed.  the data demonstrate a gradual decline in the gap, which will reach zero in the year 2019. Agriculture, manufacturing, and service sector losses have been steadily declining over the years but will not approach zero in the next four years. This is evident from the tertiary analysis, which indicates a high dependency on energy shortages for key economic indicators including the industrial, agricultural, and service sectors. In addition, Pakistan's biggest industry, textiles, is examined, and it is concluded that the huge damage to this sector, </w:t>
      </w:r>
      <w:r w:rsidRPr="004923B8">
        <w:rPr>
          <w:rFonts w:ascii="Times New Roman" w:hAnsi="Times New Roman"/>
          <w:sz w:val="20"/>
          <w:szCs w:val="20"/>
        </w:rPr>
        <w:lastRenderedPageBreak/>
        <w:t>estimated in billions of PKR, might be significantly reduced by lowering power losses.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Pakistan has had major energy crises as a result of population increase and industrial demand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bid","given":"Massarrat","non-dropping-particle":"","parse-names":false,"suffix":""},{"dropping-particle":"","family":"Ashfaq","given":"Ayesha","non-dropping-particle":"","parse-names":false,"suffix":""}],"container-title":"Journal of Pakistan Vision","id":"ITEM-1","issue":"2","issued":{"date-parts":[["2015"]]},"page":"142-169","title":"CPEC: Challenges and opportunities for Pakistan","type":"article-journal","volume":"16"},"uris":["http://www.mendeley.com/documents/?uuid=533f5434-4650-401f-a4ab-f2f6f4c5354b"]}],"mendeley":{"formattedCitation":"(Abid &amp; Ashfaq, 2015)","plainTextFormattedCitation":"(Abid &amp; Ashfaq, 2015)","previouslyFormattedCitation":"(Abid &amp; Ashfaq,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(Abid &amp; Ashfaq,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To develop proposals for policymakers in Pakistan to take dramatic actions to effectively address the country's energy crisis, it's necessary first to identify all of the most critical characteristics that affect the economy and residents' lives. The main reason for Pakistan's poor energy generation is an exponentially growing demand for power, political instability, and a lack of efficiency.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Asif,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{"citationItems":[{"id":"ITEM-1","itemData":{"author":[{"dropping-particle":"","family":"Asif","given":"Muhammad","non-dropping-particle":"","parse-names":false,"suffix":""}],"container-title":"OUP Catalogue","id":"ITEM-1","issued":{"date-parts":[["2012"]]},"publisher":"Oxford University Press","title":"Energy crisis in Pakistan: origins, challenges, and sustainable solutions","type":"article-journal"},"suppress-author":1,"uris":["http://www.mendeley.com/documents/?uuid=1c16f032-ff5c-4350-a143-dddee890935c"]}],"mendeley":{"formattedCitation":"(2012)","plainTextFormattedCitation":"(2012)","previouslyFormattedCitation":"(2012)"},"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(2012)</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concluded that no meaningful solution to the problem has yet been developed. It continues to torture citizens because power is one of the most necessities in this age of contemporary technology. Power outages and load shedding (planned blackouts) are widespread in Pakistan, particularly in its main cities. WAPDA and KESC have been unable to solve the issue, which reveals the state's system's failure</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{"citationItems":[{"id":"ITEM-1","itemData":{"ISSN":"1364-0321","author":[{"dropping-particle":"","family":"Awan","given":"Ahmad Bilal","non-dropping-particle":"","parse-names":false,"suffix":""},{"dropping-particle":"","family":"Khan","given":"Zeeshan Ali","non-dropping-particle":"","parse-names":false,"suffix":""}],"container-title":"Renewable and Sustainable Energy Reviews","id":"ITEM-1","issued":{"date-parts":[["2014"]]},"page":"236-253","publisher":"Elsevier","title":"Recent progress in renewable energy–Remedy of energy crisis in Pakistan","type":"article-journal","volume":"33"},"uris":["http://www.mendeley.com/documents/?uuid=fd15d327-e9e9-47b9-94e7-1e81ad6f4138"]}],"mendeley":{"formattedCitation":"(Awan &amp; Khan, 2014)","plainTextFormattedCitation":"(Awan &amp; Khan, 2014)","previouslyFormattedCitation":"(Awan &amp; Khan,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(Awan &amp; Khan,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Several studies have indicated that with rising industrial expansion and household demand owing to rising per capita income, the essential criteria to consider include capacity, cost, installation time, environmental, health, and safety concerns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{"citationItems":[{"id":"ITEM-1","itemData":{"author":[{"dropping-particle":"","family":"Farooqui","given":"Rizwan U","non-dropping-particle":"","parse-names":false,"suffix":""},{"dropping-particle":"","family":"Arif","given":"Farrukh","non-dropping-particle":"","parse-names":false,"suffix":""},{"dropping-particle":"","family":"Rafeeqi","given":"S F A","non-dropping-particle":"","parse-names":false,"suffix":""}],"container-title":"First International Conference on Construction In Developing Countries, Karachi, Pakistan","id":"ITEM-1","issue":"2","issued":{"date-parts":[["2008"]]},"page":"74-87","title":"Safety performance in construction industry of Pakistan","type":"paper-conference","volume":"2"},"uris":["http://www.mendeley.com/documents/?uuid=61b5e49b-82bf-41c0-9810-2118fa91c5e3"]}],"mendeley":{"formattedCitation":"(Farooqui et al., 2008)","plainTextFormattedCitation":"(Farooqui et al., 2008)","previouslyFormattedCitation":"(Farooqui et al., 2008)"},"properties":{"noteIndex":0},"schema":"https://github.com/citation-style-language/schema/raw/master/csl-citation.json"}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(Farooqui et al., 2008)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According to Shaalan,</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{"citationItems":[{"id":"ITEM-1","itemData":{"author":[{"dropping-particle":"","family":"Shaalan","given":"Hesham E","non-dropping-particle":"","parse-names":false,"suffix":""}],"container-title":"Handbook of Electric Power Calculations","id":"ITEM-1","issued":{"date-parts":[["2003"]]},"page":"1-38","publisher":"McGraw-Hill","title":"Generation of electric power","type":"article-journal"},"suppress-author":1,"uris":["http://www.mendeley.com/documents/?uuid=5f3c3445-2fd5-442a-bbd2-db550675f422"]}],"mendeley":{"formattedCitation":"(2003)","plainTextFormattedCitation":"(2003)","previouslyFormattedCitation":"(2003)"},"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(2003)</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the power plant's location is the most important factor because it determines how far energy must be transported in bulk and whether transmission lines are accessible. Similarly, Akber,</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{"citationItems":[{"id":"ITEM-1","itemData":{"author":[{"dropping-particle":"","family":"Akber","given":"A L I","non-dropping-particle":"","parse-names":false,"suffix":""}],"container-title":"International Journal of Social Sciences and Humanity Studies","id":"ITEM-1","issue":"1","issued":{"date-parts":[["2015"]]},"page":"1-15","title":"China Pakistan Economic Corridor (CPEC): Prospects and challenges for regional integeration","type":"article-journal","volume":"7"},"suppress-author":1,"uris":["http://www.mendeley.com/documents/?uuid=3e901055-3f1e-4507-8475-bc64a16d3ab1"]}],"mendeley":{"formattedCitation":"(2015)","plainTextFormattedCitation":"(2015)","previouslyFormattedCitation":"(2015)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revealed that the initial phase of China’s generated funds would support around 22 energy projects as part of CPEC. Since the power projects are of diverse capacity and type, policymakers resolve to decide where to launch these plants.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Haq,</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0030-9729","author":[{"dropping-particle":"","family":"Haq","given":"Rashida","non-dropping-particle":"","parse-names":false,"suffix":""},{"dropping-particle":"","family":"Farooq","given":"Nadia","non-dropping-particle":"","parse-names":false,"suffix":""}],"container-title":"The Pakistan Development Review","id":"ITEM-1","issued":{"date-parts":[["2016"]]},"page":"597-618","publisher":"JSTOR","title":"Impact of CPEC on social welfare in Pakistan: A district level analysis","type":"article-journal"},"suppress-author":1,"uris":["http://www.mendeley.com/documents/?uuid=36508242-672b-4fb3-a45e-86c9f5d1d216"]}],"mendeley":{"formattedCitation":"(2016)","plainTextFormattedCitation":"(2016)","previouslyFormattedCitation":"(2016)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investigates the effects of CPEC on social welfare in Pakistan at the local level. A district-level analysis is done using data from the tenth round of the Pakistan Social and Living Standards Measurement (PSLM) Survey 2014-15 to investigate the socio-economic welfare impact of CPEC projects in different regions of Pakistan</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0030-9729","author":[{"dropping-particle":"","family":"Haq","given":"Rashida","non-dropping-particle":"","parse-names":false,"suffix":""},{"dropping-particle":"","family":"Farooq","given":"Nadia","non-dropping-particle":"","parse-names":false,"suffix":""}],"container-title":"The Pakistan Development Review","id":"ITEM-1","issued":{"date-parts":[["2016"]]},"page":"597-618","publisher":"JSTOR","title":"Impact of CPEC on social welfare in Pakistan: A district level analysis","type":"article-journal"},"uris":["http://www.mendeley.com/documents/?uuid=36508242-672b-4fb3-a45e-86c9f5d1d216"]}],"mendeley":{"formattedCitation":"(Haq &amp; Farooq, 2016)","plainTextFormattedCitation":"(Haq &amp; Farooq, 2016)","previouslyFormattedCitation":"(Haq &amp; Farooq, 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(Haq &amp; Farooq, 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There are 5428 sample blocks in the survey (Primary Sampling Units) as well as 81992 families (Secondary Sampling Units), which is required to generate trustworthy district-level findings. In this study, 78,635 families across the country were surveyed, and data on a variety of social problems was obtained from them. The primary focus of the study was on the major areas of education, health (including a child), maternal health, and housing problems. The majority of plant locations are being constructed in specific regions, </w:t>
      </w:r>
      <w:r w:rsidRPr="004923B8">
        <w:rPr>
          <w:rFonts w:ascii="Times New Roman" w:hAnsi="Times New Roman"/>
          <w:sz w:val="20"/>
          <w:szCs w:val="20"/>
        </w:rPr>
        <w:lastRenderedPageBreak/>
        <w:t>including a region with the largest population size. It is proposed that such facilities will lead to an unequal distribution of opportunities for other country regions. Afzal,</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{"citationItems":[{"id":"ITEM-1","itemData":{"author":[{"dropping-particle":"","family":"Afzal","given":"Husnain","non-dropping-particle":"","parse-names":false,"suffix":""}],"container-title":"Virtual University of Pakistan Working Paper","id":"ITEM-1","issued":{"date-parts":[["2008"]]},"page":"1-37","title":"Electricity Shortage in Pakistan in Comparison with Air Conditioners Imported and Produced in 2005-06","type":"article-journal"},"suppress-author":1,"uris":["http://www.mendeley.com/documents/?uuid=04994313-8f45-4f4f-a866-7cc22c5dcfeb"]}],"mendeley":{"formattedCitation":"(2008)","plainTextFormattedCitation":"(2008)","previouslyFormattedCitation":"(2008)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(2008)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established that the increasing demand for electrical energy caused by the extraordinary energy crisis in Pakistan is explicitly represented in the research.</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Avais et al.,</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{"citationItems":[{"id":"ITEM-1","itemData":{"ISSN":"2227-7927","author":[{"dropping-particle":"","family":"Avais","given":"Mr Muhammad Abdullah","non-dropping-particle":"","parse-names":false,"suffix":""},{"dropping-particle":"","family":"Shaikh","given":"Ms Saima","non-dropping-particle":"","parse-names":false,"suffix":""},{"dropping-particle":"","family":"Mahesar","given":"Hakim Ali","non-dropping-particle":"","parse-names":false,"suffix":""},{"dropping-particle":"","family":"Memon","given":"Ms Fehmida","non-dropping-particle":"","parse-names":false,"suffix":""}],"container-title":"The Government-Annual Research Journal of Political Science.","id":"ITEM-1","issue":"5","issued":{"date-parts":[["2016"]]},"title":"China-Pak Economic Corridor: Social Analysis for Pakistan","type":"article-journal","volume":"5"},"suppress-author":1,"uris":["http://www.mendeley.com/documents/?uuid=2cbd90b3-e915-4e28-a87b-b054f6021d43"]}],"mendeley":{"formattedCitation":"(2016)","plainTextFormattedCitation":"(2016)","previouslyFormattedCitation":"(2016)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on the other side, CPEC is expected to have the ability to help solve the energy crisis if energy projects are developed promptly with sufficiently short-term solutions. For the socio-economic improvement of the population in all Pakistan provinces, the best location of power and industrial projects is crucial.</w:t>
      </w:r>
    </w:p>
    <w:p w:rsidR="00674261" w:rsidRPr="004923B8" w:rsidRDefault="004923B8" w:rsidP="004923B8">
      <w:pPr>
        <w:adjustRightInd w:val="0"/>
        <w:snapToGrid w:val="0"/>
        <w:spacing w:after="0" w:line="240" w:lineRule="auto"/>
        <w:jc w:val="both"/>
        <w:outlineLvl w:val="0"/>
        <w:rPr>
          <w:rFonts w:ascii="Times New Roman" w:hAnsi="Times New Roman"/>
          <w:b/>
          <w:color w:val="FF0000"/>
          <w:sz w:val="20"/>
          <w:szCs w:val="20"/>
        </w:rPr>
      </w:pPr>
      <w:r w:rsidRPr="004923B8">
        <w:rPr>
          <w:rFonts w:ascii="Times New Roman" w:hAnsi="Times New Roman"/>
          <w:b/>
          <w:sz w:val="20"/>
          <w:szCs w:val="20"/>
        </w:rPr>
        <w:t>2.2 FDI as a Source of Technology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More research has specifically highlighted FDI as a cause of technology transfer.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{"citationItems":[{"id":"ITEM-1","itemData":{"ISSN":"0143-6597","author":[{"dropping-particle":"","family":"Lall","given":"Sanjaya","non-dropping-particle":"","parse-names":false,"suffix":""}],"container-title":"Third World Quarterly","id":"ITEM-1","issue":"1","issued":{"date-parts":[["1993"]]},"page":"95-108","publisher":"Taylor &amp; Francis","title":"Promoting technology development: the role of technology transfer and indigenous effort","type":"article-journal","volume":"14"},"uris":["http://www.mendeley.com/documents/?uuid=82fbcaba-b21c-46d6-8ee7-3f2c189046fc"]}],"mendeley":{"formattedCitation":"(Lall, 1993)","plainTextFormattedCitation":"(Lall, 1993)","previouslyFormattedCitation":"(Lall, 1993)"},"properties":{"noteIndex":0},"schema":"https://github.com/citation-style-language/schema/raw/master/csl-citation.json"}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(Lall, 1993)</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indicates that FDI is the most common method of transferring resources and technology from developed to underdeveloped countries. 'It's the most comprehensive type of technology transfer, combining cash with technical expertise, equipment management, marketing, and other capabilities.'</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{"citationItems":[{"id":"ITEM-1","itemData":{"ISSN":"0143-6597","author":[{"dropping-particle":"","family":"Lall","given":"Sanjaya","non-dropping-particle":"","parse-names":false,"suffix":""}],"container-title":"Third World Quarterly","id":"ITEM-1","issue":"1","issued":{"date-parts":[["1993"]]},"page":"95-108","publisher":"Taylor &amp; Francis","title":"Promoting technology development: the role of technology transfer and indigenous effort","type":"article-journal","volume":"14"},"uris":["http://www.mendeley.com/documents/?uuid=82fbcaba-b21c-46d6-8ee7-3f2c189046fc"]}],"mendeley":{"formattedCitation":"(Lall, 1993)","plainTextFormattedCitation":"(Lall, 1993)","previouslyFormattedCitation":"(Lall, 1993)"},"properties":{"noteIndex":0},"schema":"https://github.com/citation-style-language/schema/raw/master/csl-citation.json"}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(Lall, 1993)</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Therefore, technology transfer encompasses not just the transfer of equipment, but also the transfer of vital know-how and other intangible skills required to successfully manage and utilize technology.</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There is a considerable field of research that investigates the influence of Foreign Direct Investment (FDI) and multinational companies (MNCs) on the capacities of domestic enterprises. However, given the large theoretical support for positive spillover and information transfer from overseas to local companies, empirical research has produced conflicting findings. Some studies indicate that FDI has a beneficial influence on domestic company productivity and performance, indicating that firms are learning and implementing improved production methods. Some studies indicate that FDI has a beneficial influence on domestic company productivity and performance, indicating that firms are learning and implementing improved production methods.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{"citationItems":[{"id":"ITEM-1","itemData":{"author":[{"dropping-particle":"","family":"Kazmi","given":"Syed Twangar Hussain","non-dropping-particle":"","parse-names":false,"suffix":""}],"container-title":"The Pakistan Development Review","id":"ITEM-1","issued":{"date-parts":[["2016"]]},"page":"619-631","title":"China's Journey in Renewable Energy and Its Potential Spillover Effects through the CPEC in Pakistan on JSTOR","type":"article-journal"},"uris":["http://www.mendeley.com/documents/?uuid=ec395e9c-d04b-376f-9ded-b8f2abddca35"]}],"mendeley":{"formattedCitation":"(Kazmi, 2016b)","plainTextFormattedCitation":"(Kazmi, 2016b)","previouslyFormattedCitation":"(Kazmi, 2016b)"},"properties":{"noteIndex":0},"schema":"https://github.com/citation-style-language/schema/raw/master/csl-citation.json"}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(Kazmi, 2016b)</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Many studies, on the other hand, have thrown into doubt the transfer of technology and know-how between foreign businesses and their subsidiary</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{"citationItems":[{"id":"ITEM-1","itemData":{"ISSN":"0012-155X","author":[{"dropping-particle":"","family":"Giuliani","given":"Elisa","non-dropping-particle":"","parse-names":false,"suffix":""}],"container-title":"Development and Change","id":"ITEM-1","issue":"3","issued":{"date-parts":[["2008"]]},"page":"385-407","publisher":"Wiley Online Library","title":"Multinational Corporations and Patterns of Local Knowledge Transfer in Costa Rican High‐Tech Industries","type":"article-journal","volume":"39"},"uris":["http://www.mendeley.com/documents/?uuid=23fb85a6-c594-4b6d-9eb5-7611f3ade2de"]}],"mendeley":{"formattedCitation":"(Giuliani, 2008)","plainTextFormattedCitation":"(Giuliani, 2008)","previouslyFormattedCitation":"(Giuliani, 2008)"},"properties":{"noteIndex":0},"schema":"https://github.com/citation-style-language/schema/raw/master/csl-citation.json"}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(Giuliani, 2008)</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They have emphasized the need of governments concentrating on increasing the local knowledge base rather than depending on horizontal and backward connections to upgrade local companies.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{"citationItems":[{"id":"ITEM-1","itemData":{"author":[{"dropping-particle":"","family":"Kazmi","given":"Syed Twangar Hussain","non-dropping-particle":"","parse-names":false,"suffix":""}],"container-title":"The Pakistan Development Review","id":"ITEM-1","issued":{"date-parts":[["2016"]]},"page":"619-631","title":"China's Journey in Renewable Energy and Its Potential Spillover Effects through the CPEC in Pakistan on JSTOR","type":"article-journal"},"uris":["http://www.mendeley.com/documents/?uuid=ec395e9c-d04b-376f-9ded-b8f2abddca35"]}],"mendeley":{"formattedCitation":"(Kazmi, 2016b)","plainTextFormattedCitation":"(Kazmi, 2016b)","previouslyFormattedCitation":"(Kazmi, 2016b)"},"properties":{"noteIndex":0},"schema":"https://github.com/citation-style-language/schema/raw/master/csl-citation.json"}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(Kazmi, 2016b)</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evaluated panel data on Venezuelan plants and observed that overseas investment in manufacturing had an adverse impact on the local productivity of the company. Haddad and Harrison (1991 and 1993) According to the findings </w:t>
      </w:r>
      <w:r w:rsidRPr="004923B8">
        <w:rPr>
          <w:rFonts w:ascii="Times New Roman" w:hAnsi="Times New Roman"/>
          <w:sz w:val="20"/>
          <w:szCs w:val="20"/>
        </w:rPr>
        <w:lastRenderedPageBreak/>
        <w:t xml:space="preserve">of Moroccan manufacturing research, spillovers do not take place in all industrial sectors. Finds that foreign presence does not result in technological spillovers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Blomström","given":"Magnus","non-dropping-particle":"","parse-names":false,"suffix":""},{"dropping-particle":"","family":"Kokko","given":"Ari","non-dropping-particle":"","parse-names":false,"suffix":""}],"id":"ITEM-1","issued":{"date-parts":[["2003"]]},"publisher":"Centre for Economic Policy Research London","title":"Human capital and inward FDI","type":"book","volume":"3762"},"uris":["http://www.mendeley.com/documents/?uuid=8e6d495c-e2fa-49eb-8e33-3c543ac4662d"]}],"mendeley":{"formattedCitation":"(Blomström &amp; Kokko, 2003)","plainTextFormattedCitation":"(Blomström &amp; Kokko, 2003)","previouslyFormattedCitation":"(Blomström &amp; Kokko, 2003)"},"properties":{"noteIndex":0},"schema":"https://github.com/citation-style-language/schema/raw/master/csl-citation.json"}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w:t>
      </w:r>
      <w:proofErr w:type="spellStart"/>
      <w:r w:rsidRPr="004923B8">
        <w:rPr>
          <w:rFonts w:ascii="Times New Roman" w:hAnsi="Times New Roman"/>
          <w:sz w:val="20"/>
          <w:szCs w:val="20"/>
        </w:rPr>
        <w:t>Blomström</w:t>
      </w:r>
      <w:proofErr w:type="spellEnd"/>
      <w:r w:rsidRPr="004923B8">
        <w:rPr>
          <w:rFonts w:ascii="Times New Roman" w:hAnsi="Times New Roman"/>
          <w:sz w:val="20"/>
          <w:szCs w:val="20"/>
        </w:rPr>
        <w:t xml:space="preserve"> &amp; </w:t>
      </w:r>
      <w:proofErr w:type="spellStart"/>
      <w:r w:rsidRPr="004923B8">
        <w:rPr>
          <w:rFonts w:ascii="Times New Roman" w:hAnsi="Times New Roman"/>
          <w:sz w:val="20"/>
          <w:szCs w:val="20"/>
        </w:rPr>
        <w:t>Kokko</w:t>
      </w:r>
      <w:proofErr w:type="spellEnd"/>
      <w:r w:rsidRPr="004923B8">
        <w:rPr>
          <w:rFonts w:ascii="Times New Roman" w:hAnsi="Times New Roman"/>
          <w:sz w:val="20"/>
          <w:szCs w:val="20"/>
        </w:rPr>
        <w:t>, 2003)</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2.3 Impact of GDP growth on Energy Consumption</w:t>
      </w: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w:t>
      </w:r>
      <w:r w:rsidRPr="004923B8">
        <w:rPr>
          <w:rFonts w:ascii="Times New Roman" w:hAnsi="Times New Roman"/>
          <w:bCs/>
          <w:sz w:val="20"/>
          <w:szCs w:val="20"/>
        </w:rPr>
        <w:t>O. Khan et al,</w:t>
      </w:r>
      <w:r w:rsidRPr="004923B8">
        <w:rPr>
          <w:rFonts w:ascii="Times New Roman" w:hAnsi="Times New Roman"/>
          <w:sz w:val="20"/>
          <w:szCs w:val="20"/>
        </w:rPr>
        <w:t xml:space="preserve">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{"citationItems":[{"id":"ITEM-1","itemData":{"DOI":"10.18488/journal.82.2019.61.30.51","abstract":"Article History Energy arguably plays a substantial part in the economic growth process. In this paper, we examine the intertemporal causal relationship between energy consumption and economic growth in Pakistan during the period of 1985-2017. Unlike the majority of the previous studies, we employ the newly developed autoregressive distributed lag (ARDL)-bounds testing approach by Pesaran et al. (2001) to examine this association. It is an attempt to explore the long run ties for energy consumption and energy intensity with economic growth, urbanization, trade openness, and financial development. Results postulate that the trade openness has a positive impact on energy consumption while urbanization and financial development have a negative influence. As far as sectoral analysis is concerned, agriculture and manufacturing share has a positive imprint on energy while the services sector has a negative effect. Overall, the study finds that energy consumption spurs economic growth in Pakistan. The findings have practical policy implications for decision makers in the area of macroeconomic planning. Contribution/ Originality: This study is one of very few studies which have investigated the dynamics of the sector-wise impact of the economy on energy consumption. To make the paper more inclusive, effects of trade openness is checked with the help of different dimensions of trade openness; scale effect, technique effect, composition effect, and comparative advantage effect.","author":[{"dropping-particle":"","family":"Khan","given":"Oshin","non-dropping-particle":"","parse-names":false,"suffix":""},{"dropping-particle":"","family":"Muhammad","given":"1+","non-dropping-particle":"","parse-names":false,"suffix":""},{"dropping-particle":"","family":"Younas","given":"Zeeshan","non-dropping-particle":"","parse-names":false,"suffix":""}],"container-title":"Energy Economics Letters","id":"ITEM-1","issued":{"date-parts":[["2019"]]},"title":"INTERACTION BETWEEN ENERGY CONSUMPTION AND ECONOMIC GROWTH IN PAKISTAN: A MORE COMPREHENSIVE ANALYSIS USING ARDL APPROACH","type":"article-journal","volume":"6, No. 1, "},"suppress-author":1,"uris":["http://www.mendeley.com/documents/?uuid=292582c2-f27e-33fe-a840-f5e7d9953b2c"]}],"mendeley":{"formattedCitation":"(2019)","plainTextFormattedCitation":"(2019)","previouslyFormattedCitation":"(2019)"},"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(2019)</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investigated the link between energy usage economic development in Pakistan from 1985 to 2017. They used the ARDL-bounds testing technique and predicted that trade openness has an attractive impact on electricity while population and generating income have a negative impact. In concepts of sectoral analysis, agriculture and manufacturing have a beneficial impact on energy, but the services sector has a negative impact. Overall, the study found that increased energy consumption strengthens economic growth in Pakistan.</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Aqeel &amp; Butt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{"citationItems":[{"id":"ITEM-1","itemData":{"author":[{"dropping-particle":"","family":"Aqeel","given":"Anjum","non-dropping-particle":"","parse-names":false,"suffix":""},{"dropping-particle":"","family":"Butt","given":"Mohammad Sabihuddin","non-dropping-particle":"","parse-names":false,"suffix":""}],"container-title":"Asia-Pacific Development Journal","id":"ITEM-1","issue":"2","issued":{"date-parts":[["2001"]]},"page":"101-110","title":"The relationship between energy consumption and economic growth in Pakistan","type":"article-journal","volume":"8"},"suppress-author":1,"uris":["http://www.mendeley.com/documents/?uuid=75afc785-ebe3-4840-a7ce-efc3320f0a1f"]}],"mendeley":{"formattedCitation":"(2001)","plainTextFormattedCitation":"(2001)","previouslyFormattedCitation":"(Aqeel &amp; Butt, 2001)"},"properties":{"noteIndex":0},"schema":"https://github.com/citation-style-language/schema/raw/master/csl-citation.json"}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(2001)</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examine the relationship between energy use and economic growth and employment in Pakistan. Co-integration and Hsiao's Granger causality were utilized as methodologies. The studies show that overall energy consumption, as well as petroleum use, is driven by economic development.</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In a summary, following a detailed examination of a multitude of CPEC literature. Much farther, not single research has been conducted to investigate experimentally future energy use in Pakistan, particularly under the direction and supervision of CPEC.  In this study, we think about the impact of electricity prices, GDP, FDI, and trade openness on aggregates energy consumption as well as sectors consumption, i.e., industrial, and commercial usage, in Pakistan. </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3. Methodology</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color w:val="FF0000"/>
          <w:sz w:val="20"/>
          <w:szCs w:val="20"/>
        </w:rPr>
        <w:t xml:space="preserve">    </w:t>
      </w:r>
      <w:r w:rsidRPr="004923B8">
        <w:rPr>
          <w:rFonts w:ascii="Times New Roman" w:hAnsi="Times New Roman"/>
          <w:sz w:val="20"/>
          <w:szCs w:val="20"/>
        </w:rPr>
        <w:t xml:space="preserve">In this research work we implemented a modified version of the Impact Population Affluence Technology (IPAT) model to evaluate the underlying causes of Pakistan's overall and sector-specific energy consumption. Biologists, conservationists, and ecologists developed the IPAT model in 1970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{"citationItems":[{"id":"ITEM-1","itemData":{"ISSN":"1074-4827","author":[{"dropping-particle":"","family":"Dietz","given":"Thomas","non-dropping-particle":"","parse-names":false,"suffix":""},{"dropping-particle":"","family":"Rosa","given":"Eugene A","non-dropping-particle":"","parse-names":false,"suffix":""}],"container-title":"Human ecology review","id":"ITEM-1","issue":"2","issued":{"date-parts":[["1994"]]},"page":"277-300","publisher":"JSTOR","title":"Rethinking the environmental impacts of population, affluence and technology","type":"article-journal","volume":"1"},"uris":["http://www.mendeley.com/documents/?uuid=2d2251fc-36a0-4654-ba17-52d0c9ad8eed"]}],"mendeley":{"formattedCitation":"(Dietz &amp; Rosa, 1994)","plainTextFormattedCitation":"(Dietz &amp; Rosa, 1994)","previouslyFormattedCitation":"(Dietz &amp; Rosa, 1994)"},"properties":{"noteIndex":0},"schema":"https://github.com/citation-style-language/schema/raw/master/csl-citation.json"}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(Dietz &amp; Rosa, 1994)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It’s a widely used framework for analyzing and forecasting the interactions among humans and the environment. The IPAT method may not only complete a quantitative analysis of the environmental implications of population, economics, and technology, but it may also replicate economic, social, and other elements of development.</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 xml:space="preserve">3.1 Data and data sources </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The major goal of this research is to forecast Pakistan's future power usage at the national and departmental levels from the perspective of the </w:t>
      </w:r>
      <w:r w:rsidRPr="004923B8">
        <w:rPr>
          <w:rFonts w:ascii="Times New Roman" w:hAnsi="Times New Roman"/>
          <w:sz w:val="20"/>
          <w:szCs w:val="20"/>
        </w:rPr>
        <w:lastRenderedPageBreak/>
        <w:t xml:space="preserve">CPEC scenario. Due to data availability and the fact that these two sectors would be closely connected to CPEC growth, we targeted our research on the industrial and commercial sectors. Time series data from 1981 to 2019 were used in the research. Data on sector-specific and aggregate energy usage was gathered from multiple publications of Pakistan's energy yearbooks and is measured in tons of oil equivalents (TOE). We developed fractional power prices as a measure for power bills, so we used Ref.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URL":"https://ntdc.gov.pk/careers","accessed":{"date-parts":[["2021","7","26"]]},"author":[{"dropping-particle":"","family":"NTDC","given":"","non-dropping-particle":"","parse-names":false,"suffix":""}],"id":"ITEM-1","issued":{"date-parts":[["2020"]]},"title":"NATIONAL TRANSMISSION &amp; DESPATCH COMPANY LIMITED (NTDC) PAKISTAN","type":"webpage"},"uris":["http://www.mendeley.com/documents/?uuid=ee424a62-fa6d-3cf1-874f-74bfe963866e"]}],"mendeley":{"formattedCitation":"(NTDC, 2020)","plainTextFormattedCitation":"(NTDC, 2020)","previouslyFormattedCitation":"(NTDC, 2020)"},"properties":{"noteIndex":0},"schema":"https://github.com/citation-style-language/schema/raw/master/csl-citation.json"}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(NTDC, 2020)</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to get the sector individual and aggregate electricity prices. Electricity bills are calculated as a Paisa/kWh weighted aggregate of WAPDA and KESC. World Bank Development Indicators provided information on GDP, industry revenue generation, and aggregate trade openness. Data on net inflows of foreign direct investment in US dollars has also been gathered and translated to the country's currency units by World Development Indicators (WDI). The statistical results of the variables are given in Table 3.</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3.2 Proposed Model</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IPAT is a multiplicative approximation of the impact (I) of the population (P), affluence (A), and technology (T) on the environment; Where affluence indicates economic growth per capita, and technology signifies the impact per unit of economic activity as represented in Eq (1). The values of I, P, and A can be used to determine technology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{"citationItems":[{"id":"ITEM-1","itemData":{"author":[{"dropping-particle":"","family":"Ehrlich","given":"Paul R","non-dropping-particle":"","parse-names":false,"suffix":""},{"dropping-particle":"","family":"Holdren","given":"John P","non-dropping-particle":"","parse-names":false,"suffix":""}],"container-title":"Bull At Sci","id":"ITEM-1","issue":"5","issued":{"date-parts":[["1972"]]},"page":"16-27","title":"One-dimensional economy","type":"article-journal","volume":"28"},"uris":["http://www.mendeley.com/documents/?uuid=6385d8f7-ee5f-4aaa-bd77-8ea6ebb3216e"]},{"id":"ITEM-2","itemData":{"ISSN":"0921-8009","author":[{"dropping-particle":"","family":"Raskin","given":"Paul D","non-dropping-particle":"","parse-names":false,"suffix":""}],"container-title":"Ecological economics","id":"ITEM-2","issue":"3","issued":{"date-parts":[["1995"]]},"page":"225-233","publisher":"Elsevier","title":"Methods for estimating the population contribution to environmental change","type":"article-journal","volume":"15"},"uris":["http://www.mendeley.com/documents/?uuid=ce08a467-480d-4c09-9e01-46d969a04fc6"]}],"mendeley":{"formattedCitation":"(Ehrlich &amp; Holdren, 1972; Raskin, 1995)","plainTextFormattedCitation":"(Ehrlich &amp; Holdren, 1972; Raskin, 1995)","previouslyFormattedCitation":"(Ehrlich &amp; Holdren, 1972; Raskin, 1995)"},"properties":{"noteIndex":0},"schema":"https://github.com/citation-style-language/schema/raw/master/csl-citation.json"}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(Ehrlich &amp; Holdren, 1972; Raskin, 1995)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because affluence is characterized as per capita GDP. P×A =GDP. As a consequence, technology is evaluated as I/PA or I/GDP.   </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ind w:firstLine="720"/>
        <w:jc w:val="both"/>
        <w:rPr>
          <w:sz w:val="20"/>
          <w:szCs w:val="20"/>
        </w:rPr>
      </w:pPr>
      <w:r w:rsidRPr="004923B8">
        <w:rPr>
          <w:sz w:val="20"/>
          <w:szCs w:val="20"/>
        </w:rPr>
        <w:tab/>
      </w:r>
      <w:r w:rsidR="00674261" w:rsidRPr="004923B8">
        <w:rPr>
          <w:position w:val="-4"/>
          <w:sz w:val="20"/>
          <w:szCs w:val="20"/>
        </w:rPr>
        <w:object w:dxaOrig="9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12.55pt" o:ole="">
            <v:imagedata r:id="rId16" o:title=""/>
          </v:shape>
          <o:OLEObject Type="Embed" ProgID="Equation.DSMT4" ShapeID="_x0000_i1025" DrawAspect="Content" ObjectID="_1718219704" r:id="rId17"/>
        </w:object>
      </w:r>
      <w:r w:rsidRPr="004923B8">
        <w:rPr>
          <w:sz w:val="20"/>
          <w:szCs w:val="20"/>
        </w:rPr>
        <w:t>…(</w:t>
      </w:r>
      <w:r w:rsidR="00674261" w:rsidRPr="004923B8">
        <w:rPr>
          <w:sz w:val="20"/>
          <w:szCs w:val="20"/>
        </w:rPr>
        <w:fldChar w:fldCharType="begin"/>
      </w:r>
      <w:r w:rsidRPr="004923B8">
        <w:rPr>
          <w:sz w:val="20"/>
          <w:szCs w:val="20"/>
        </w:rPr>
        <w:instrText xml:space="preserve"> MACROBUTTON MTPlaceRef \* MERGEFORMAT </w:instrText>
      </w:r>
      <w:r w:rsidR="00674261" w:rsidRPr="004923B8">
        <w:rPr>
          <w:sz w:val="20"/>
          <w:szCs w:val="20"/>
        </w:rPr>
        <w:fldChar w:fldCharType="begin"/>
      </w:r>
      <w:r w:rsidRPr="004923B8">
        <w:rPr>
          <w:sz w:val="20"/>
          <w:szCs w:val="20"/>
        </w:rPr>
        <w:instrText xml:space="preserve"> SEQ MTEqn \h \* MERGEFORMAT </w:instrText>
      </w:r>
      <w:r w:rsidR="00674261" w:rsidRPr="004923B8">
        <w:rPr>
          <w:sz w:val="20"/>
          <w:szCs w:val="20"/>
        </w:rPr>
        <w:fldChar w:fldCharType="end"/>
      </w:r>
      <w:r w:rsidRPr="004923B8">
        <w:rPr>
          <w:sz w:val="20"/>
          <w:szCs w:val="20"/>
        </w:rPr>
        <w:instrText>1</w:instrText>
      </w:r>
      <w:r w:rsidR="00674261" w:rsidRPr="004923B8">
        <w:rPr>
          <w:sz w:val="20"/>
          <w:szCs w:val="20"/>
        </w:rPr>
        <w:fldChar w:fldCharType="end"/>
      </w:r>
      <w:r w:rsidRPr="004923B8">
        <w:rPr>
          <w:sz w:val="20"/>
          <w:szCs w:val="20"/>
        </w:rPr>
        <w:t>)</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Dietz &amp; Rosa,</w:t>
      </w:r>
      <w:r w:rsidR="00674261" w:rsidRPr="004923B8">
        <w:rPr>
          <w:rStyle w:val="FootnoteReference"/>
          <w:rFonts w:ascii="Times New Roman" w:hAnsi="Times New Roman"/>
          <w:sz w:val="20"/>
          <w:szCs w:val="20"/>
          <w:vertAlign w:val="baseline"/>
        </w:rPr>
        <w:fldChar w:fldCharType="begin" w:fldLock="1"/>
      </w:r>
      <w:r w:rsidRPr="004923B8">
        <w:rPr>
          <w:rFonts w:ascii="Times New Roman" w:hAnsi="Times New Roman"/>
          <w:sz w:val="20"/>
          <w:szCs w:val="20"/>
        </w:rPr>
        <w:instrText>ADDIN CSL_CITATION {"citationItems":[{"id":"ITEM-1","itemData":{"ISSN":"1074-4827","author":[{"dropping-particle":"","family":"Dietz","given":"Thomas","non-dropping-particle":"","parse-names":false,"suffix":""},{"dropping-particle":"","family":"Rosa","given":"Eugene A","non-dropping-particle":"","parse-names":false,"suffix":""}],"container-title":"Human ecology review","id":"ITEM-1","issue":"2","issued":{"date-parts":[["1994"]]},"page":"277-300","publisher":"JSTOR","title":"Rethinking the environmental impacts of population, affluence and technology","type":"article-journal","volume":"1"},"suppress-author":1,"uris":["http://www.mendeley.com/documents/?uuid=2d2251fc-36a0-4654-ba17-52d0c9ad8eed"]}],"mendeley":{"formattedCitation":"(1994)","plainTextFormattedCitation":"(1994)","previouslyFormattedCitation":"(1994)"},"properties":{"noteIndex":0},"schema":"https://github.com/citation-style-language/schema/raw/master/csl-citation.json"}</w:instrText>
      </w:r>
      <w:r w:rsidR="00674261" w:rsidRPr="004923B8">
        <w:rPr>
          <w:rStyle w:val="FootnoteReference"/>
          <w:rFonts w:ascii="Times New Roman" w:hAnsi="Times New Roman"/>
          <w:sz w:val="20"/>
          <w:szCs w:val="20"/>
          <w:vertAlign w:val="baseline"/>
        </w:rPr>
        <w:fldChar w:fldCharType="separate"/>
      </w:r>
      <w:r w:rsidRPr="004923B8">
        <w:rPr>
          <w:rStyle w:val="FootnoteReference"/>
          <w:rFonts w:ascii="Times New Roman" w:hAnsi="Times New Roman"/>
          <w:sz w:val="20"/>
          <w:szCs w:val="20"/>
          <w:vertAlign w:val="baseline"/>
        </w:rPr>
        <w:t>(1994)</w:t>
      </w:r>
      <w:r w:rsidR="00674261" w:rsidRPr="004923B8">
        <w:rPr>
          <w:rStyle w:val="FootnoteReference"/>
          <w:rFonts w:ascii="Times New Roman" w:hAnsi="Times New Roman"/>
          <w:sz w:val="20"/>
          <w:szCs w:val="20"/>
          <w:vertAlign w:val="baseline"/>
        </w:rPr>
        <w:fldChar w:fldCharType="end"/>
      </w:r>
      <w:r w:rsidRPr="004923B8">
        <w:rPr>
          <w:rFonts w:ascii="Times New Roman" w:hAnsi="Times New Roman"/>
          <w:sz w:val="20"/>
          <w:szCs w:val="20"/>
        </w:rPr>
        <w:t xml:space="preserve"> denoted the modified version of the IPAT model by adding stochastic terms in and can be presented as in Eq. (02)</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pStyle w:val="MTDisplayEquation"/>
        <w:adjustRightInd w:val="0"/>
        <w:snapToGrid w:val="0"/>
        <w:spacing w:after="0"/>
      </w:pPr>
      <w:r w:rsidRPr="004923B8">
        <w:tab/>
      </w:r>
      <w:r w:rsidR="00674261" w:rsidRPr="004923B8">
        <w:rPr>
          <w:position w:val="-6"/>
        </w:rPr>
        <w:object w:dxaOrig="1879" w:dyaOrig="280">
          <v:shape id="_x0000_i1026" type="#_x0000_t75" style="width:93.75pt;height:14.25pt" o:ole="">
            <v:imagedata r:id="rId18" o:title=""/>
          </v:shape>
          <o:OLEObject Type="Embed" ProgID="Equation.DSMT4" ShapeID="_x0000_i1026" DrawAspect="Content" ObjectID="_1718219705" r:id="rId19"/>
        </w:object>
      </w:r>
      <w:r w:rsidRPr="004923B8">
        <w:t>… (2)</w:t>
      </w:r>
      <w:r w:rsidRPr="004923B8">
        <w:tab/>
      </w:r>
      <w:r w:rsidRPr="004923B8">
        <w:tab/>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The letter e represents the residuals. The parameters to be estimated using advanced econometric procedures are a, k, L, and M.  The </w:t>
      </w:r>
      <w:r w:rsidRPr="004923B8">
        <w:rPr>
          <w:rFonts w:ascii="Times New Roman" w:hAnsi="Times New Roman"/>
          <w:sz w:val="20"/>
          <w:szCs w:val="20"/>
        </w:rPr>
        <w:lastRenderedPageBreak/>
        <w:t>STIRPAT model provided in Eq. (02) may be represented as in Eq. (03) by logarithmic transformation:</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674261" w:rsidP="004923B8">
      <w:pPr>
        <w:pStyle w:val="MTDisplayEquation"/>
        <w:adjustRightInd w:val="0"/>
        <w:snapToGrid w:val="0"/>
        <w:spacing w:after="0"/>
        <w:ind w:firstLine="0"/>
      </w:pPr>
      <w:r w:rsidRPr="004923B8">
        <w:rPr>
          <w:position w:val="-12"/>
        </w:rPr>
        <w:object w:dxaOrig="3360" w:dyaOrig="340">
          <v:shape id="_x0000_i1027" type="#_x0000_t75" style="width:168.3pt;height:16.75pt" o:ole="">
            <v:imagedata r:id="rId20" o:title=""/>
          </v:shape>
          <o:OLEObject Type="Embed" ProgID="Equation.DSMT4" ShapeID="_x0000_i1027" DrawAspect="Content" ObjectID="_1718219706" r:id="rId21"/>
        </w:object>
      </w:r>
      <w:r w:rsidR="004923B8" w:rsidRPr="004923B8">
        <w:t>…</w:t>
      </w:r>
      <w:r w:rsidR="004923B8" w:rsidRPr="004923B8">
        <w:tab/>
        <w:t xml:space="preserve"> (3)</w:t>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In the basic STIRPAT model, technology is regarded as an element of the standard error. This model is not measured independently to comply with the IPAT model. As a result, in the STIRPAT model, technology represents any parameters other than population and economic growth that might influence the impacts. According to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1573-7810","author":[{"dropping-particle":"","family":"Fischer-Kowalski","given":"Marina","non-dropping-particle":"","parse-names":false,"suffix":""},{"dropping-particle":"","family":"Amann","given":"Christof","non-dropping-particle":"","parse-names":false,"suffix":""}],"container-title":"Population and Environment","id":"ITEM-1","issue":"1","issued":{"date-parts":[["2001"]]},"page":"7-47","publisher":"Springer","title":"Beyond IPAT and Kuznets curves: globalization as a vital factor in analysing the environmental impact of socio-economic metabolism","type":"article-journal","volume":"23"},"uris":["http://www.mendeley.com/documents/?uuid=e0c14d97-2872-49f6-8492-0b780f0967f9"]}],"mendeley":{"formattedCitation":"(Fischer-Kowalski &amp; Amann, 2001)","plainTextFormattedCitation":"(Fischer-Kowalski &amp; Amann, 2001)","previouslyFormattedCitation":"(Fischer-Kowalski &amp; Amann, 2001)"},"properties":{"noteIndex":0},"schema":"https://github.com/citation-style-language/schema/raw/master/csl-citation.json"}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(Fischer-Kowalski &amp; Amann, 2001)</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 IPAT equation must integrate the socio-economic systems of different economies and the implications of globalization to better understand their influence on various outcome variables. The IPAT model is a mathematical identity that may be modified to comprise the dynamics influencing effects on the environment. In our example, the modified IPAT model for overall and sectoral energy consumption is described in equations (04) and (05), respectively:</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674261" w:rsidP="004923B8">
      <w:pPr>
        <w:pStyle w:val="MTDisplayEquation"/>
        <w:adjustRightInd w:val="0"/>
        <w:snapToGrid w:val="0"/>
        <w:spacing w:after="0"/>
        <w:ind w:firstLine="0"/>
      </w:pPr>
      <w:r w:rsidRPr="004923B8">
        <w:rPr>
          <w:position w:val="-16"/>
        </w:rPr>
        <w:object w:dxaOrig="3740" w:dyaOrig="400">
          <v:shape id="_x0000_i1028" type="#_x0000_t75" style="width:186.7pt;height:20.1pt" o:ole="">
            <v:imagedata r:id="rId22" o:title=""/>
          </v:shape>
          <o:OLEObject Type="Embed" ProgID="Equation.DSMT4" ShapeID="_x0000_i1028" DrawAspect="Content" ObjectID="_1718219707" r:id="rId23"/>
        </w:object>
      </w:r>
      <w:r w:rsidR="004923B8" w:rsidRPr="004923B8">
        <w:tab/>
        <w:t xml:space="preserve">     (4)</w:t>
      </w:r>
    </w:p>
    <w:p w:rsidR="00674261" w:rsidRPr="004923B8" w:rsidRDefault="00674261" w:rsidP="004923B8">
      <w:pPr>
        <w:adjustRightInd w:val="0"/>
        <w:snapToGrid w:val="0"/>
        <w:spacing w:after="0" w:line="240" w:lineRule="auto"/>
        <w:rPr>
          <w:rFonts w:ascii="Times New Roman" w:hAnsi="Times New Roman"/>
          <w:iCs/>
          <w:sz w:val="20"/>
          <w:szCs w:val="20"/>
        </w:rPr>
      </w:pPr>
      <w:r w:rsidRPr="004923B8">
        <w:rPr>
          <w:rFonts w:ascii="Times New Roman" w:hAnsi="Times New Roman"/>
          <w:iCs/>
          <w:position w:val="-8"/>
          <w:sz w:val="20"/>
          <w:szCs w:val="20"/>
        </w:rPr>
        <w:object w:dxaOrig="3940" w:dyaOrig="260">
          <v:shape id="_x0000_i1029" type="#_x0000_t75" style="width:196.75pt;height:12.55pt" o:ole="">
            <v:imagedata r:id="rId24" o:title=""/>
          </v:shape>
          <o:OLEObject Type="Embed" ProgID="Equation.DSMT4" ShapeID="_x0000_i1029" DrawAspect="Content" ObjectID="_1718219708" r:id="rId25"/>
        </w:object>
      </w:r>
    </w:p>
    <w:p w:rsidR="00674261" w:rsidRPr="004923B8" w:rsidRDefault="004923B8" w:rsidP="004923B8">
      <w:pPr>
        <w:pStyle w:val="MTDisplayEquation"/>
        <w:adjustRightInd w:val="0"/>
        <w:snapToGrid w:val="0"/>
        <w:spacing w:after="0"/>
      </w:pPr>
      <w:r w:rsidRPr="004923B8">
        <w:tab/>
      </w:r>
      <w:r w:rsidRPr="004923B8">
        <w:tab/>
        <w:t>(5)</w:t>
      </w:r>
    </w:p>
    <w:p w:rsidR="004923B8" w:rsidRDefault="004923B8" w:rsidP="004923B8">
      <w:pPr>
        <w:adjustRightInd w:val="0"/>
        <w:snapToGrid w:val="0"/>
        <w:spacing w:after="0" w:line="240" w:lineRule="auto"/>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In Eq. (04),</w:t>
      </w:r>
      <w:r w:rsidR="00674261" w:rsidRPr="004923B8">
        <w:rPr>
          <w:position w:val="-8"/>
          <w:sz w:val="20"/>
          <w:szCs w:val="20"/>
        </w:rPr>
        <w:object w:dxaOrig="320" w:dyaOrig="260">
          <v:shape id="_x0000_i1030" type="#_x0000_t75" style="width:15.9pt;height:12.55pt" o:ole="">
            <v:imagedata r:id="rId26" o:title=""/>
          </v:shape>
          <o:OLEObject Type="Embed" ProgID="Equation.DSMT4" ShapeID="_x0000_i1030" DrawAspect="Content" ObjectID="_1718219709" r:id="rId27"/>
        </w:object>
      </w:r>
      <w:r w:rsidRPr="004923B8">
        <w:rPr>
          <w:rFonts w:ascii="Times New Roman" w:hAnsi="Times New Roman"/>
          <w:sz w:val="20"/>
          <w:szCs w:val="20"/>
        </w:rPr>
        <w:t>means standing for energy consumption,</w:t>
      </w:r>
      <w:r w:rsidR="00674261" w:rsidRPr="004923B8">
        <w:rPr>
          <w:rFonts w:ascii="Times New Roman" w:hAnsi="Times New Roman"/>
          <w:position w:val="-8"/>
          <w:sz w:val="20"/>
          <w:szCs w:val="20"/>
        </w:rPr>
        <w:object w:dxaOrig="419" w:dyaOrig="260">
          <v:shape id="_x0000_i1031" type="#_x0000_t75" style="width:20.95pt;height:12.55pt" o:ole="">
            <v:imagedata r:id="rId28" o:title=""/>
          </v:shape>
          <o:OLEObject Type="Embed" ProgID="Equation.DSMT4" ShapeID="_x0000_i1031" DrawAspect="Content" ObjectID="_1718219710" r:id="rId29"/>
        </w:object>
      </w:r>
      <w:r w:rsidRPr="004923B8">
        <w:rPr>
          <w:rFonts w:ascii="Times New Roman" w:hAnsi="Times New Roman"/>
          <w:sz w:val="20"/>
          <w:szCs w:val="20"/>
        </w:rPr>
        <w:t>means standing for gross domestic product,</w:t>
      </w:r>
      <w:r w:rsidR="00674261" w:rsidRPr="004923B8">
        <w:rPr>
          <w:rFonts w:ascii="Times New Roman" w:hAnsi="Times New Roman"/>
          <w:position w:val="-8"/>
          <w:sz w:val="20"/>
          <w:szCs w:val="20"/>
        </w:rPr>
        <w:object w:dxaOrig="180" w:dyaOrig="260">
          <v:shape id="_x0000_i1032" type="#_x0000_t75" style="width:9.2pt;height:12.55pt" o:ole="">
            <v:imagedata r:id="rId30" o:title=""/>
          </v:shape>
          <o:OLEObject Type="Embed" ProgID="Equation.DSMT4" ShapeID="_x0000_i1032" DrawAspect="Content" ObjectID="_1718219711" r:id="rId31"/>
        </w:object>
      </w:r>
      <w:r w:rsidRPr="004923B8">
        <w:rPr>
          <w:rFonts w:ascii="Times New Roman" w:hAnsi="Times New Roman"/>
          <w:sz w:val="20"/>
          <w:szCs w:val="20"/>
        </w:rPr>
        <w:t>is for aggregate energy prices, and</w:t>
      </w:r>
      <w:r w:rsidR="00674261" w:rsidRPr="004923B8">
        <w:rPr>
          <w:rFonts w:ascii="Times New Roman" w:hAnsi="Times New Roman"/>
          <w:position w:val="-8"/>
          <w:sz w:val="20"/>
          <w:szCs w:val="20"/>
        </w:rPr>
        <w:object w:dxaOrig="260" w:dyaOrig="260">
          <v:shape id="_x0000_i1033" type="#_x0000_t75" style="width:12.55pt;height:12.55pt" o:ole="">
            <v:imagedata r:id="rId32" o:title=""/>
          </v:shape>
          <o:OLEObject Type="Embed" ProgID="Equation.DSMT4" ShapeID="_x0000_i1033" DrawAspect="Content" ObjectID="_1718219712" r:id="rId33"/>
        </w:object>
      </w:r>
      <w:r w:rsidRPr="004923B8">
        <w:rPr>
          <w:rFonts w:ascii="Times New Roman" w:hAnsi="Times New Roman"/>
          <w:sz w:val="20"/>
          <w:szCs w:val="20"/>
          <w:vertAlign w:val="subscript"/>
        </w:rPr>
        <w:t xml:space="preserve"> </w:t>
      </w:r>
      <w:r w:rsidRPr="004923B8">
        <w:rPr>
          <w:rFonts w:ascii="Times New Roman" w:hAnsi="Times New Roman"/>
          <w:sz w:val="20"/>
          <w:szCs w:val="20"/>
        </w:rPr>
        <w:t>needs to stand for energy intensity, which is a measure of technical advancements and energy efficiency in the economy.</w:t>
      </w:r>
      <w:r w:rsidR="00674261" w:rsidRPr="004923B8">
        <w:rPr>
          <w:rFonts w:ascii="Times New Roman" w:hAnsi="Times New Roman"/>
          <w:position w:val="-8"/>
          <w:sz w:val="20"/>
          <w:szCs w:val="20"/>
        </w:rPr>
        <w:object w:dxaOrig="320" w:dyaOrig="260">
          <v:shape id="_x0000_i1034" type="#_x0000_t75" style="width:15.9pt;height:12.55pt" o:ole="">
            <v:imagedata r:id="rId34" o:title=""/>
          </v:shape>
          <o:OLEObject Type="Embed" ProgID="Equation.DSMT4" ShapeID="_x0000_i1034" DrawAspect="Content" ObjectID="_1718219713" r:id="rId35"/>
        </w:object>
      </w:r>
      <w:r w:rsidRPr="004923B8">
        <w:rPr>
          <w:rFonts w:ascii="Times New Roman" w:hAnsi="Times New Roman"/>
          <w:sz w:val="20"/>
          <w:szCs w:val="20"/>
        </w:rPr>
        <w:t>measures trade openness, whereas</w:t>
      </w:r>
      <w:r w:rsidR="00674261" w:rsidRPr="004923B8">
        <w:rPr>
          <w:rFonts w:ascii="Times New Roman" w:hAnsi="Times New Roman"/>
          <w:position w:val="-8"/>
          <w:sz w:val="20"/>
          <w:szCs w:val="20"/>
        </w:rPr>
        <w:object w:dxaOrig="380" w:dyaOrig="260">
          <v:shape id="_x0000_i1035" type="#_x0000_t75" style="width:19.25pt;height:12.55pt" o:ole="">
            <v:imagedata r:id="rId36" o:title=""/>
          </v:shape>
          <o:OLEObject Type="Embed" ProgID="Equation.DSMT4" ShapeID="_x0000_i1035" DrawAspect="Content" ObjectID="_1718219714" r:id="rId37"/>
        </w:object>
      </w:r>
      <w:r w:rsidRPr="004923B8">
        <w:rPr>
          <w:rFonts w:ascii="Times New Roman" w:hAnsi="Times New Roman"/>
          <w:sz w:val="20"/>
          <w:szCs w:val="20"/>
        </w:rPr>
        <w:t>measures net inflows of foreign direct investment. We utilize</w:t>
      </w:r>
      <w:r w:rsidR="00674261" w:rsidRPr="004923B8">
        <w:rPr>
          <w:rFonts w:ascii="Times New Roman" w:hAnsi="Times New Roman"/>
          <w:position w:val="-8"/>
          <w:sz w:val="20"/>
          <w:szCs w:val="20"/>
        </w:rPr>
        <w:object w:dxaOrig="320" w:dyaOrig="260">
          <v:shape id="_x0000_i1036" type="#_x0000_t75" style="width:15.9pt;height:12.55pt" o:ole="">
            <v:imagedata r:id="rId38" o:title=""/>
          </v:shape>
          <o:OLEObject Type="Embed" ProgID="Equation.DSMT4" ShapeID="_x0000_i1036" DrawAspect="Content" ObjectID="_1718219715" r:id="rId39"/>
        </w:object>
      </w:r>
      <w:r w:rsidRPr="004923B8">
        <w:rPr>
          <w:rFonts w:ascii="Times New Roman" w:hAnsi="Times New Roman"/>
          <w:sz w:val="20"/>
          <w:szCs w:val="20"/>
        </w:rPr>
        <w:t>,</w:t>
      </w:r>
      <w:r w:rsidR="00674261" w:rsidRPr="004923B8">
        <w:rPr>
          <w:rFonts w:ascii="Times New Roman" w:hAnsi="Times New Roman"/>
          <w:position w:val="-8"/>
          <w:sz w:val="20"/>
          <w:szCs w:val="20"/>
        </w:rPr>
        <w:object w:dxaOrig="240" w:dyaOrig="260">
          <v:shape id="_x0000_i1037" type="#_x0000_t75" style="width:11.7pt;height:12.55pt" o:ole="">
            <v:imagedata r:id="rId40" o:title=""/>
          </v:shape>
          <o:OLEObject Type="Embed" ProgID="Equation.DSMT4" ShapeID="_x0000_i1037" DrawAspect="Content" ObjectID="_1718219716" r:id="rId41"/>
        </w:object>
      </w:r>
      <w:r w:rsidRPr="004923B8">
        <w:rPr>
          <w:rFonts w:ascii="Times New Roman" w:hAnsi="Times New Roman"/>
          <w:sz w:val="20"/>
          <w:szCs w:val="20"/>
        </w:rPr>
        <w:t>,</w:t>
      </w:r>
      <w:r w:rsidR="00674261" w:rsidRPr="004923B8">
        <w:rPr>
          <w:rFonts w:ascii="Times New Roman" w:hAnsi="Times New Roman"/>
          <w:position w:val="-8"/>
          <w:sz w:val="20"/>
          <w:szCs w:val="20"/>
        </w:rPr>
        <w:object w:dxaOrig="260" w:dyaOrig="260">
          <v:shape id="_x0000_i1038" type="#_x0000_t75" style="width:12.55pt;height:12.55pt" o:ole="">
            <v:imagedata r:id="rId42" o:title=""/>
          </v:shape>
          <o:OLEObject Type="Embed" ProgID="Equation.DSMT4" ShapeID="_x0000_i1038" DrawAspect="Content" ObjectID="_1718219717" r:id="rId43"/>
        </w:object>
      </w:r>
      <w:r w:rsidRPr="004923B8">
        <w:rPr>
          <w:rFonts w:ascii="Times New Roman" w:hAnsi="Times New Roman"/>
          <w:sz w:val="20"/>
          <w:szCs w:val="20"/>
        </w:rPr>
        <w:t>, and</w:t>
      </w:r>
      <w:r w:rsidR="00674261" w:rsidRPr="004923B8">
        <w:rPr>
          <w:rFonts w:ascii="Times New Roman" w:hAnsi="Times New Roman"/>
          <w:position w:val="-8"/>
          <w:sz w:val="20"/>
          <w:szCs w:val="20"/>
        </w:rPr>
        <w:object w:dxaOrig="380" w:dyaOrig="260">
          <v:shape id="_x0000_i1039" type="#_x0000_t75" style="width:19.25pt;height:12.55pt" o:ole="">
            <v:imagedata r:id="rId44" o:title=""/>
          </v:shape>
          <o:OLEObject Type="Embed" ProgID="Equation.DSMT4" ShapeID="_x0000_i1039" DrawAspect="Content" ObjectID="_1718219718" r:id="rId45"/>
        </w:object>
      </w:r>
      <w:r w:rsidRPr="004923B8">
        <w:rPr>
          <w:rFonts w:ascii="Times New Roman" w:hAnsi="Times New Roman"/>
          <w:sz w:val="20"/>
          <w:szCs w:val="20"/>
        </w:rPr>
        <w:t xml:space="preserve">for the commercial and industrial sectors, respectively, in Eq. (05). </w:t>
      </w:r>
    </w:p>
    <w:p w:rsidR="00674261" w:rsidRPr="004923B8" w:rsidRDefault="004923B8" w:rsidP="004923B8">
      <w:pPr>
        <w:adjustRightInd w:val="0"/>
        <w:snapToGrid w:val="0"/>
        <w:spacing w:after="0" w:line="240" w:lineRule="auto"/>
        <w:ind w:firstLine="720"/>
        <w:jc w:val="both"/>
        <w:rPr>
          <w:rFonts w:ascii="Times New Roman" w:hAnsi="Times New Roman"/>
          <w:b/>
          <w:sz w:val="20"/>
          <w:szCs w:val="20"/>
        </w:rPr>
      </w:pPr>
      <w:r w:rsidRPr="004923B8">
        <w:rPr>
          <w:rFonts w:ascii="Times New Roman" w:hAnsi="Times New Roman"/>
          <w:sz w:val="20"/>
          <w:szCs w:val="20"/>
        </w:rPr>
        <w:t xml:space="preserve">Few preliminary studies have quantified economic activity as GDP per capita by using IPAT model estimation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{"citationItems":[{"id":"ITEM-1","itemData":{"ISSN":"1877-0428","author":[{"dropping-particle":"","family":"Bargaoui","given":"Saoussen Aguir","non-dropping-particle":"","parse-names":false,"suffix":""},{"dropping-particle":"","family":"Liouane","given":"Naoufel","non-dropping-particle":"","parse-names":false,"suffix":""},{"dropping-particle":"","family":"Nouri","given":"Fethi Zouheir","non-dropping-particle":"","parse-names":false,"suffix":""}],"container-title":"Procedia-Social and Behavioral Sciences","id":"ITEM-1","issued":{"date-parts":[["2014"]]},"page":"449-458","publisher":"Elsevier","title":"Environmental impact determinants: An empirical analysis based on the STIRPAT model","type":"article-journal","volume":"109"},"uris":["http://www.mendeley.com/documents/?uuid=0662cf2f-3f1d-45bf-9590-bf083354c08d"]},{"id":"ITEM-2","itemData":{"ISSN":"1534-7605","author":[{"dropping-particle":"","family":"Fisher","given":"Dana R","non-dropping-particle":"","parse-names":false,"suffix":""},{"dropping-particle":"","family":"Freudenburg","given":"William R","non-dropping-particle":"","parse-names":false,"suffix":""}],"container-title":"Social forces","id":"ITEM-2","issue":"1","issued":{"date-parts":[["2004"]]},"page":"157-188","publisher":"The University of North Carolina Press","title":"Postindustrialization and environmental quality: An empirical analysis of the environmental state","type":"article-journal","volume":"83"},"uris":["http://www.mendeley.com/documents/?uuid=7bb0780f-091f-495f-8a30-699fb4235c22"]},{"id":"ITEM-3","itemData":{"ISSN":"0195-9255","author":[{"dropping-particle":"","family":"Lin","given":"Shoufu","non-dropping-particle":"","parse-names":false,"suffix":""},{"dropping-particle":"","family":"Zhao","given":"Dingtao","non-dropping-particle":"","parse-names":false,"suffix":""},{"dropping-particle":"","family":"Marinova","given":"Dora","non-dropping-particle":"","parse-names":false,"suffix":""}],"container-title":"Environmental Impact Assessment Review","id":"ITEM-3","issue":"6","issued":{"date-parts":[["2009"]]},"page":"341-347","publisher":"Elsevier","title":"Analysis of the environmental impact of China based on STIRPAT model","type":"article-journal","volume":"29"},"uris":["http://www.mendeley.com/documents/?uuid=3a86ee96-b303-456e-9355-c3323167477c"]},{"id":"ITEM-4","itemData":{"author":[{"dropping-particle":"","family":"Zheng","given":"Haitao","non-dropping-particle":"","parse-names":false,"suffix":""},{"dropping-particle":"","family":"Hu","given":"Jie","non-dropping-particle":"","parse-names":false,"suffix":""},{"dropping-particle":"","family":"Guan","given":"Rong","non-dropping-particle":"","parse-names":false,"suffix":""},{"dropping-particle":"","family":"Wang","given":"Shanshan","non-dropping-particle":"","parse-names":false,"suffix":""}],"container-title":"Sustainability","id":"ITEM-4","issue":"12","issued":{"date-parts":[["2016"]]},"page":"1296","publisher":"Multidisciplinary Digital Publishing Institute","title":"Examining determinants of CO2 emissions in 73 cities in China","type":"article-journal","volume":"8"},"uris":["http://www.mendeley.com/documents/?uuid=a6687fb2-c838-4ee4-81fd-662052f91596"]}],"mendeley":{"formattedCitation":"(Bargaoui et al., 2014; Fisher &amp; Freudenburg, 2004; S. Lin et al., 2009; Zheng et al., 2016)","plainTextFormattedCitation":"(Bargaoui et al., 2014; Fisher &amp; Freudenburg, 2004; S. Lin et al., 2009; Zheng et al., 2016)","previouslyFormattedCitation":"(Bargaoui et al., 2014; Fisher &amp; Freudenburg, 2004; S. Lin et al., 2009; Zheng et al., 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(Bargaoui et al., 2014; Fisher &amp; Freudenburg, 2004; S. Lin et al., 2009; Zheng et al., 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w:t>
      </w:r>
    </w:p>
    <w:p w:rsidR="004923B8" w:rsidRDefault="004923B8" w:rsidP="004923B8">
      <w:pPr>
        <w:adjustRightInd w:val="0"/>
        <w:snapToGrid w:val="0"/>
        <w:spacing w:after="0" w:line="240" w:lineRule="auto"/>
        <w:jc w:val="both"/>
        <w:rPr>
          <w:rFonts w:ascii="Times New Roman" w:hAnsi="Times New Roman"/>
          <w:b/>
          <w:sz w:val="20"/>
          <w:szCs w:val="20"/>
        </w:rPr>
        <w:sectPr w:rsidR="004923B8">
          <w:type w:val="continuous"/>
          <w:pgSz w:w="12240" w:h="15840"/>
          <w:pgMar w:top="1440" w:right="1440" w:bottom="1440" w:left="1440" w:header="720" w:footer="720" w:gutter="0"/>
          <w:cols w:num="2" w:space="720"/>
          <w:docGrid w:linePitch="360"/>
        </w:sect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P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Table 3: Present Descriptive Statistics</w:t>
      </w:r>
    </w:p>
    <w:tbl>
      <w:tblPr>
        <w:tblpPr w:leftFromText="180" w:rightFromText="180" w:vertAnchor="text" w:tblpY="1"/>
        <w:tblOverlap w:val="neve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2184"/>
        <w:gridCol w:w="1513"/>
        <w:gridCol w:w="1513"/>
        <w:gridCol w:w="1513"/>
        <w:gridCol w:w="1513"/>
      </w:tblGrid>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Series</w:t>
            </w:r>
          </w:p>
        </w:tc>
        <w:tc>
          <w:tcPr>
            <w:tcW w:w="2184"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Measurement</w:t>
            </w:r>
          </w:p>
        </w:tc>
        <w:tc>
          <w:tcPr>
            <w:tcW w:w="1513"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Mean</w:t>
            </w:r>
          </w:p>
        </w:tc>
        <w:tc>
          <w:tcPr>
            <w:tcW w:w="1513"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Std. Dev</w:t>
            </w:r>
          </w:p>
        </w:tc>
        <w:tc>
          <w:tcPr>
            <w:tcW w:w="1513"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Min</w:t>
            </w:r>
          </w:p>
        </w:tc>
        <w:tc>
          <w:tcPr>
            <w:tcW w:w="1513"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Max</w:t>
            </w:r>
          </w:p>
        </w:tc>
      </w:tr>
      <w:tr w:rsidR="00674261" w:rsidRPr="004923B8">
        <w:trPr>
          <w:trHeight w:val="209"/>
        </w:trPr>
        <w:tc>
          <w:tcPr>
            <w:tcW w:w="9479" w:type="dxa"/>
            <w:gridSpan w:val="6"/>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Aggregate</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Million TOE</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24.614</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8.918</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9.034</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41.275</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Prices</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Paisa/kWh</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491.36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96.768</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272.736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611.372</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GDP</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trillion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5.403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3.507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2.045</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11.254</w:t>
            </w:r>
          </w:p>
        </w:tc>
      </w:tr>
      <w:tr w:rsidR="00674261" w:rsidRPr="004923B8">
        <w:trPr>
          <w:trHeight w:val="441"/>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 Intenst</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E*/GDP</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2.15E-05</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6.34E-07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9.65E-06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1.17E-05</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FDI</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Million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58074.13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95168.87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151.72</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372969</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TO</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Billion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1688.968</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726.564</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662.876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3024.765</w:t>
            </w:r>
          </w:p>
        </w:tc>
      </w:tr>
      <w:tr w:rsidR="00674261" w:rsidRPr="004923B8">
        <w:trPr>
          <w:trHeight w:val="220"/>
        </w:trPr>
        <w:tc>
          <w:tcPr>
            <w:tcW w:w="9479" w:type="dxa"/>
            <w:gridSpan w:val="6"/>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Industrial Sector</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Million TOE</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8.783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5.042</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4.265</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17.709</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Prices</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Paisa/kWh</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528.673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88.789</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317.297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672.181</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GDP</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trillion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5.567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2.567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1.756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11.456</w:t>
            </w:r>
          </w:p>
        </w:tc>
      </w:tr>
      <w:tr w:rsidR="00674261" w:rsidRPr="004923B8">
        <w:trPr>
          <w:trHeight w:val="441"/>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 Intenst</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E/VA</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8.25E-06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8.48E-05</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7.25E-07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1.26E-03</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FDI</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Million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25679.76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44251.07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174.8</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168076</w:t>
            </w:r>
          </w:p>
        </w:tc>
      </w:tr>
      <w:tr w:rsidR="00674261" w:rsidRPr="004923B8">
        <w:trPr>
          <w:trHeight w:val="220"/>
        </w:trPr>
        <w:tc>
          <w:tcPr>
            <w:tcW w:w="9479" w:type="dxa"/>
            <w:gridSpan w:val="6"/>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Commercial Sector</w:t>
            </w:r>
          </w:p>
        </w:tc>
      </w:tr>
      <w:tr w:rsidR="00674261" w:rsidRPr="004923B8">
        <w:trPr>
          <w:trHeight w:val="441"/>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Thousand TOE</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773.653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643.705</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193.573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1675.346</w:t>
            </w: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Prices</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Paisa/kWh</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833.768</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160.654</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417.902</w:t>
            </w:r>
          </w:p>
        </w:tc>
        <w:tc>
          <w:tcPr>
            <w:tcW w:w="1513" w:type="dxa"/>
          </w:tcPr>
          <w:p w:rsidR="00674261" w:rsidRPr="004923B8" w:rsidRDefault="00674261" w:rsidP="004923B8">
            <w:pPr>
              <w:adjustRightInd w:val="0"/>
              <w:snapToGrid w:val="0"/>
              <w:spacing w:after="0" w:line="240" w:lineRule="auto"/>
              <w:jc w:val="both"/>
              <w:rPr>
                <w:rFonts w:ascii="Times New Roman" w:hAnsi="Times New Roman"/>
                <w:sz w:val="20"/>
                <w:szCs w:val="20"/>
              </w:rPr>
            </w:pPr>
          </w:p>
        </w:tc>
      </w:tr>
      <w:tr w:rsidR="00674261" w:rsidRPr="004923B8">
        <w:trPr>
          <w:trHeight w:val="220"/>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GDP</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trillion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5.632</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3.051</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1.843</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9.653</w:t>
            </w:r>
          </w:p>
        </w:tc>
      </w:tr>
      <w:tr w:rsidR="00674261" w:rsidRPr="004923B8">
        <w:trPr>
          <w:trHeight w:val="441"/>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 Intenst</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E/VA</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0.000327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2.74E-06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0.000220</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0.000321</w:t>
            </w:r>
          </w:p>
        </w:tc>
      </w:tr>
      <w:tr w:rsidR="00674261" w:rsidRPr="004923B8">
        <w:trPr>
          <w:trHeight w:val="209"/>
        </w:trPr>
        <w:tc>
          <w:tcPr>
            <w:tcW w:w="124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FDI</w:t>
            </w:r>
          </w:p>
        </w:tc>
        <w:tc>
          <w:tcPr>
            <w:tcW w:w="218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Rs. Million</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32721.54</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64386.37</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11.6</w:t>
            </w:r>
          </w:p>
        </w:tc>
        <w:tc>
          <w:tcPr>
            <w:tcW w:w="151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235865</w:t>
            </w:r>
          </w:p>
        </w:tc>
      </w:tr>
    </w:tbl>
    <w:p w:rsidR="004923B8" w:rsidRDefault="004923B8" w:rsidP="004923B8">
      <w:pPr>
        <w:adjustRightInd w:val="0"/>
        <w:snapToGrid w:val="0"/>
        <w:spacing w:after="0" w:line="240" w:lineRule="auto"/>
        <w:jc w:val="both"/>
        <w:rPr>
          <w:rFonts w:ascii="Times New Roman" w:hAnsi="Times New Roman" w:hint="eastAsia"/>
          <w:i/>
          <w:sz w:val="20"/>
          <w:szCs w:val="20"/>
          <w:lang w:eastAsia="zh-CN"/>
        </w:rPr>
      </w:pPr>
      <w:r w:rsidRPr="004923B8">
        <w:rPr>
          <w:rFonts w:ascii="Times New Roman" w:hAnsi="Times New Roman"/>
          <w:i/>
          <w:sz w:val="20"/>
          <w:szCs w:val="20"/>
        </w:rPr>
        <w:t>Note: E* shows primary energy consumption</w:t>
      </w:r>
    </w:p>
    <w:p w:rsidR="004923B8" w:rsidRDefault="004923B8" w:rsidP="004923B8">
      <w:pPr>
        <w:adjustRightInd w:val="0"/>
        <w:snapToGrid w:val="0"/>
        <w:spacing w:after="0" w:line="240" w:lineRule="auto"/>
        <w:jc w:val="both"/>
        <w:rPr>
          <w:rFonts w:ascii="Times New Roman" w:hAnsi="Times New Roman" w:hint="eastAsia"/>
          <w:i/>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i/>
          <w:sz w:val="20"/>
          <w:szCs w:val="20"/>
          <w:lang w:eastAsia="zh-CN"/>
        </w:rPr>
      </w:pPr>
    </w:p>
    <w:p w:rsidR="004923B8" w:rsidRDefault="004923B8" w:rsidP="004923B8">
      <w:pPr>
        <w:adjustRightInd w:val="0"/>
        <w:snapToGrid w:val="0"/>
        <w:spacing w:after="0" w:line="240" w:lineRule="auto"/>
        <w:jc w:val="both"/>
        <w:rPr>
          <w:rFonts w:ascii="Times New Roman" w:hAnsi="Times New Roman"/>
          <w:i/>
          <w:sz w:val="20"/>
          <w:szCs w:val="20"/>
          <w:lang w:eastAsia="zh-CN"/>
        </w:rPr>
        <w:sectPr w:rsidR="004923B8" w:rsidSect="004923B8">
          <w:type w:val="continuous"/>
          <w:pgSz w:w="12240" w:h="15840"/>
          <w:pgMar w:top="1440" w:right="1440" w:bottom="1440" w:left="1440" w:header="720" w:footer="720" w:gutter="0"/>
          <w:cols w:space="720"/>
          <w:docGrid w:linePitch="360"/>
        </w:sect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lastRenderedPageBreak/>
        <w:t xml:space="preserve">3.3 Unit root test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Before conducting the empirical studies, we evaluated the unit root features of the data purpose of the study using the Augmented Dickey-Fuller test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{"citationItems":[{"id":"ITEM-1","itemData":{"ISSN":"0162-1459","author":[{"dropping-particle":"","family":"Dickey","given":"David A","non-dropping-particle":"","parse-names":false,"suffix":""},{"dropping-particle":"","family":"Fuller","given":"Wayne A","non-dropping-particle":"","parse-names":false,"suffix":""}],"container-title":"Journal of the American statistical association","id":"ITEM-1","issue":"366a","issued":{"date-parts":[["1979"]]},"page":"427-431","publisher":"Taylor &amp; Francis","title":"Distribution of the estimators for autoregressive time series with a unit root","type":"article-journal","volume":"74"},"uris":["http://www.mendeley.com/documents/?uuid=0209e604-6f28-4b45-b52c-d6c0fb38ee7b"]}],"mendeley":{"formattedCitation":"(Dickey &amp; Fuller, 1979)","plainTextFormattedCitation":"(Dickey &amp; Fuller, 1979)","previouslyFormattedCitation":"(Dickey &amp; Fuller, 1979)"},"properties":{"noteIndex":0},"schema":"https://github.com/citation-style-language/schema/raw/master/csl-citation.json"}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(Dickey &amp; Fuller, 1979)</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The Dickey-Fuller test's estimable equation is given by Eq. (06).</w:t>
      </w:r>
    </w:p>
    <w:p w:rsidR="00674261" w:rsidRPr="004923B8" w:rsidRDefault="004923B8" w:rsidP="004923B8">
      <w:pPr>
        <w:pStyle w:val="MTDisplayEquation"/>
        <w:adjustRightInd w:val="0"/>
        <w:snapToGrid w:val="0"/>
        <w:spacing w:after="0"/>
      </w:pPr>
      <w:r w:rsidRPr="004923B8">
        <w:tab/>
      </w:r>
      <w:r w:rsidR="00674261" w:rsidRPr="004923B8">
        <w:rPr>
          <w:position w:val="-4"/>
        </w:rPr>
        <w:object w:dxaOrig="160" w:dyaOrig="220">
          <v:shape id="_x0000_i1040" type="#_x0000_t75" style="width:8.35pt;height:10.9pt" o:ole="">
            <v:imagedata r:id="rId46" o:title=""/>
          </v:shape>
          <o:OLEObject Type="Embed" ProgID="Equation.DSMT4" ShapeID="_x0000_i1040" DrawAspect="Content" ObjectID="_1718219719" r:id="rId47"/>
        </w:object>
      </w:r>
      <w:r w:rsidR="00674261" w:rsidRPr="004923B8">
        <w:rPr>
          <w:position w:val="-12"/>
        </w:rPr>
        <w:object w:dxaOrig="2439" w:dyaOrig="340">
          <v:shape id="_x0000_i1041" type="#_x0000_t75" style="width:122.25pt;height:16.75pt" o:ole="">
            <v:imagedata r:id="rId48" o:title=""/>
          </v:shape>
          <o:OLEObject Type="Embed" ProgID="Equation.DSMT4" ShapeID="_x0000_i1041" DrawAspect="Content" ObjectID="_1718219720" r:id="rId49"/>
        </w:object>
      </w:r>
      <w:r w:rsidRPr="004923B8">
        <w:t xml:space="preserve"> … (6)</w:t>
      </w:r>
    </w:p>
    <w:p w:rsidR="00674261" w:rsidRPr="004923B8" w:rsidRDefault="004923B8" w:rsidP="004923B8">
      <w:pPr>
        <w:pStyle w:val="MTDisplayEquation"/>
        <w:adjustRightInd w:val="0"/>
        <w:snapToGrid w:val="0"/>
        <w:spacing w:after="0"/>
      </w:pPr>
      <w:r w:rsidRPr="004923B8">
        <w:tab/>
      </w:r>
      <w:r w:rsidR="00674261" w:rsidRPr="004923B8">
        <w:rPr>
          <w:position w:val="-4"/>
        </w:rPr>
        <w:object w:dxaOrig="160" w:dyaOrig="220">
          <v:shape id="_x0000_i1042" type="#_x0000_t75" style="width:8.35pt;height:10.9pt" o:ole="">
            <v:imagedata r:id="rId46" o:title=""/>
          </v:shape>
          <o:OLEObject Type="Embed" ProgID="Equation.DSMT4" ShapeID="_x0000_i1042" DrawAspect="Content" ObjectID="_1718219721" r:id="rId50"/>
        </w:object>
      </w:r>
      <w:r w:rsidRPr="004923B8">
        <w:t xml:space="preserve">Where y denotes the interesting series, yt-specifies the lagged value of the y series, </w:t>
      </w:r>
      <w:r w:rsidR="00674261" w:rsidRPr="004923B8">
        <w:rPr>
          <w:position w:val="-4"/>
        </w:rPr>
        <w:object w:dxaOrig="180" w:dyaOrig="200">
          <v:shape id="_x0000_i1043" type="#_x0000_t75" style="width:9.2pt;height:10.05pt" o:ole="">
            <v:imagedata r:id="rId51" o:title=""/>
          </v:shape>
          <o:OLEObject Type="Embed" ProgID="Equation.DSMT4" ShapeID="_x0000_i1043" DrawAspect="Content" ObjectID="_1718219722" r:id="rId52"/>
        </w:object>
      </w:r>
      <w:r w:rsidRPr="004923B8">
        <w:t>shows the difference operator and m is indeed the maximum number of lags to be inserted, represents the difference operator.</w:t>
      </w:r>
      <w:r w:rsidR="00674261" w:rsidRPr="004923B8">
        <w:rPr>
          <w:position w:val="-8"/>
        </w:rPr>
        <w:object w:dxaOrig="200" w:dyaOrig="260">
          <v:shape id="_x0000_i1044" type="#_x0000_t75" style="width:10.05pt;height:12.55pt" o:ole="">
            <v:imagedata r:id="rId53" o:title=""/>
          </v:shape>
          <o:OLEObject Type="Embed" ProgID="Equation.DSMT4" ShapeID="_x0000_i1044" DrawAspect="Content" ObjectID="_1718219723" r:id="rId54"/>
        </w:object>
      </w:r>
      <w:r w:rsidRPr="004923B8">
        <w:t>denotes the error term, which has a zero mean and a constant variance. If</w:t>
      </w:r>
      <w:r w:rsidR="00674261" w:rsidRPr="004923B8">
        <w:rPr>
          <w:position w:val="-8"/>
        </w:rPr>
        <w:object w:dxaOrig="420" w:dyaOrig="240">
          <v:shape id="_x0000_i1045" type="#_x0000_t75" style="width:20.95pt;height:11.7pt" o:ole="">
            <v:imagedata r:id="rId55" o:title=""/>
          </v:shape>
          <o:OLEObject Type="Embed" ProgID="Equation.DSMT4" ShapeID="_x0000_i1045" DrawAspect="Content" ObjectID="_1718219724" r:id="rId56"/>
        </w:object>
      </w:r>
      <w:r w:rsidRPr="004923B8">
        <w:t xml:space="preserve"> statistically, the null hypothesis of the presence of a unit root is rejected.</w:t>
      </w:r>
    </w:p>
    <w:p w:rsidR="00674261" w:rsidRPr="004923B8" w:rsidRDefault="00674261" w:rsidP="004923B8">
      <w:pPr>
        <w:adjustRightInd w:val="0"/>
        <w:snapToGrid w:val="0"/>
        <w:spacing w:after="0" w:line="240" w:lineRule="auto"/>
        <w:jc w:val="both"/>
        <w:outlineLvl w:val="0"/>
        <w:rPr>
          <w:rFonts w:ascii="Times New Roman" w:hAnsi="Times New Roman"/>
          <w:b/>
          <w:sz w:val="20"/>
          <w:szCs w:val="20"/>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 xml:space="preserve">3.4 Johansen-Juselius Co-integration test </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The next step would be that if all the project's variables are co-integrated or tied in a long-term connection. To approve the survival of a long-run relationship among all valued variables, Johansen,</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{"citationItems":[{"id":"ITEM-1","itemData":{"author":[{"dropping-particle":"","family":"Johansen","given":"Soren","non-dropping-particle":"","parse-names":false,"suffix":""}],"container-title":"Oxford Bulletin of Econometrics and Statistics","id":"ITEM-1","issued":{"date-parts":[["1990"]]},"page":"169-210","title":"The full information maximum likelihood procedure for inference on cointegration-with application to the demand for money","type":"article-journal","volume":"52"},"suppress-author":1,"uris":["http://www.mendeley.com/documents/?uuid=1cf9edd7-810f-499a-bb1e-a1c8ea6d6747"]}],"mendeley":{"formattedCitation":"(1990)","plainTextFormattedCitation":"(1990)","previouslyFormattedCitation":"(1990)"},"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(1990)</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technique based on the "Maximum Likelihood method" and "eigenvalue statistics" is a broadly exploited method. Cointegration is considered to exist when the values of determined </w:t>
      </w:r>
      <w:r w:rsidRPr="004923B8">
        <w:rPr>
          <w:rFonts w:ascii="Times New Roman" w:hAnsi="Times New Roman"/>
          <w:sz w:val="20"/>
          <w:szCs w:val="20"/>
        </w:rPr>
        <w:lastRenderedPageBreak/>
        <w:t xml:space="preserve">statistics deviate considerably from zero. If variables are determined to be co-integrated, it indicates they have a linear, stable, and long-run relationship, with disequilibrium errors that tend to fluctuate around zero. This indicates that in the long period, variables tend to migrate together to their steady-state path. By considering two variables </w:t>
      </w:r>
      <w:r w:rsidR="00674261" w:rsidRPr="004923B8">
        <w:rPr>
          <w:rFonts w:ascii="Times New Roman" w:hAnsi="Times New Roman"/>
          <w:position w:val="-8"/>
          <w:sz w:val="20"/>
          <w:szCs w:val="20"/>
        </w:rPr>
        <w:object w:dxaOrig="220" w:dyaOrig="260">
          <v:shape id="_x0000_i1046" type="#_x0000_t75" style="width:10.9pt;height:12.55pt" o:ole="">
            <v:imagedata r:id="rId57" o:title=""/>
          </v:shape>
          <o:OLEObject Type="Embed" ProgID="Equation.DSMT4" ShapeID="_x0000_i1046" DrawAspect="Content" ObjectID="_1718219725" r:id="rId58"/>
        </w:object>
      </w:r>
      <w:r w:rsidRPr="004923B8">
        <w:rPr>
          <w:rFonts w:ascii="Times New Roman" w:hAnsi="Times New Roman"/>
          <w:sz w:val="20"/>
          <w:szCs w:val="20"/>
        </w:rPr>
        <w:t xml:space="preserve"> and </w:t>
      </w:r>
      <w:r w:rsidR="00674261" w:rsidRPr="004923B8">
        <w:rPr>
          <w:rFonts w:ascii="Times New Roman" w:hAnsi="Times New Roman"/>
          <w:position w:val="-8"/>
          <w:sz w:val="20"/>
          <w:szCs w:val="20"/>
        </w:rPr>
        <w:object w:dxaOrig="240" w:dyaOrig="260">
          <v:shape id="_x0000_i1047" type="#_x0000_t75" style="width:11.7pt;height:12.55pt" o:ole="">
            <v:imagedata r:id="rId59" o:title=""/>
          </v:shape>
          <o:OLEObject Type="Embed" ProgID="Equation.DSMT4" ShapeID="_x0000_i1047" DrawAspect="Content" ObjectID="_1718219726" r:id="rId60"/>
        </w:object>
      </w:r>
      <w:r w:rsidRPr="004923B8">
        <w:rPr>
          <w:rFonts w:ascii="Times New Roman" w:hAnsi="Times New Roman"/>
          <w:sz w:val="20"/>
          <w:szCs w:val="20"/>
        </w:rPr>
        <w:t xml:space="preserve">, first-order VAR is presented in Eqs. (7) and (8). </w:t>
      </w:r>
    </w:p>
    <w:p w:rsidR="00674261" w:rsidRPr="004923B8" w:rsidRDefault="00674261"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position w:val="-10"/>
          <w:sz w:val="20"/>
          <w:szCs w:val="20"/>
        </w:rPr>
        <w:object w:dxaOrig="1819" w:dyaOrig="280">
          <v:shape id="_x0000_i1048" type="#_x0000_t75" style="width:91.25pt;height:14.25pt" o:ole="">
            <v:imagedata r:id="rId61" o:title=""/>
          </v:shape>
          <o:OLEObject Type="Embed" ProgID="Equation.DSMT4" ShapeID="_x0000_i1048" DrawAspect="Content" ObjectID="_1718219727" r:id="rId62"/>
        </w:object>
      </w:r>
      <w:r w:rsidR="004923B8" w:rsidRPr="004923B8">
        <w:rPr>
          <w:rFonts w:ascii="Times New Roman" w:hAnsi="Times New Roman"/>
          <w:sz w:val="20"/>
          <w:szCs w:val="20"/>
        </w:rPr>
        <w:t>… (7)</w:t>
      </w:r>
    </w:p>
    <w:p w:rsidR="00674261" w:rsidRPr="004923B8" w:rsidRDefault="00674261"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position w:val="-8"/>
          <w:sz w:val="20"/>
          <w:szCs w:val="20"/>
        </w:rPr>
        <w:object w:dxaOrig="2020" w:dyaOrig="260">
          <v:shape id="_x0000_i1049" type="#_x0000_t75" style="width:100.45pt;height:12.55pt" o:ole="">
            <v:imagedata r:id="rId63" o:title=""/>
          </v:shape>
          <o:OLEObject Type="Embed" ProgID="Equation.DSMT4" ShapeID="_x0000_i1049" DrawAspect="Content" ObjectID="_1718219728" r:id="rId64"/>
        </w:object>
      </w:r>
      <w:r w:rsidR="004923B8" w:rsidRPr="004923B8">
        <w:rPr>
          <w:rFonts w:ascii="Times New Roman" w:hAnsi="Times New Roman"/>
          <w:sz w:val="20"/>
          <w:szCs w:val="20"/>
        </w:rPr>
        <w:t>… (8</w:t>
      </w:r>
      <w:r w:rsidR="004923B8" w:rsidRPr="004923B8">
        <w:rPr>
          <w:sz w:val="20"/>
          <w:szCs w:val="20"/>
        </w:rPr>
        <w:t>)</w:t>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Where</w:t>
      </w:r>
      <w:r w:rsidR="00674261" w:rsidRPr="004923B8">
        <w:rPr>
          <w:rFonts w:ascii="Times New Roman" w:hAnsi="Times New Roman"/>
          <w:position w:val="-10"/>
          <w:sz w:val="20"/>
          <w:szCs w:val="20"/>
        </w:rPr>
        <w:object w:dxaOrig="260" w:dyaOrig="280">
          <v:shape id="_x0000_i1050" type="#_x0000_t75" style="width:12.55pt;height:14.25pt" o:ole="">
            <v:imagedata r:id="rId65" o:title=""/>
          </v:shape>
          <o:OLEObject Type="Embed" ProgID="Equation.DSMT4" ShapeID="_x0000_i1050" DrawAspect="Content" ObjectID="_1718219729" r:id="rId66"/>
        </w:object>
      </w:r>
      <w:r w:rsidRPr="004923B8">
        <w:rPr>
          <w:rFonts w:ascii="Times New Roman" w:hAnsi="Times New Roman"/>
          <w:sz w:val="20"/>
          <w:szCs w:val="20"/>
        </w:rPr>
        <w:t>and</w:t>
      </w:r>
      <w:r w:rsidR="00674261" w:rsidRPr="004923B8">
        <w:rPr>
          <w:rFonts w:ascii="Times New Roman" w:hAnsi="Times New Roman"/>
          <w:position w:val="-8"/>
          <w:sz w:val="20"/>
          <w:szCs w:val="20"/>
        </w:rPr>
        <w:object w:dxaOrig="260" w:dyaOrig="260">
          <v:shape id="_x0000_i1051" type="#_x0000_t75" style="width:12.55pt;height:12.55pt" o:ole="">
            <v:imagedata r:id="rId67" o:title=""/>
          </v:shape>
          <o:OLEObject Type="Embed" ProgID="Equation.DSMT4" ShapeID="_x0000_i1051" DrawAspect="Content" ObjectID="_1718219730" r:id="rId68"/>
        </w:object>
      </w:r>
      <w:r w:rsidRPr="004923B8">
        <w:rPr>
          <w:rFonts w:ascii="Times New Roman" w:hAnsi="Times New Roman"/>
          <w:sz w:val="20"/>
          <w:szCs w:val="20"/>
        </w:rPr>
        <w:t>represent white noise error terms that may or may not be linked. In the context of matrices, these equations can be expressed as:</w:t>
      </w:r>
    </w:p>
    <w:p w:rsidR="00674261" w:rsidRPr="004923B8" w:rsidRDefault="00674261"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position w:val="-8"/>
          <w:sz w:val="20"/>
          <w:szCs w:val="20"/>
        </w:rPr>
        <w:object w:dxaOrig="1300" w:dyaOrig="300">
          <v:shape id="_x0000_i1052" type="#_x0000_t75" style="width:64.45pt;height:15.05pt" o:ole="">
            <v:imagedata r:id="rId69" o:title=""/>
          </v:shape>
          <o:OLEObject Type="Embed" ProgID="Equation.DSMT4" ShapeID="_x0000_i1052" DrawAspect="Content" ObjectID="_1718219731" r:id="rId70"/>
        </w:object>
      </w:r>
      <w:r w:rsidR="004923B8" w:rsidRPr="004923B8">
        <w:rPr>
          <w:rFonts w:ascii="Times New Roman" w:hAnsi="Times New Roman"/>
          <w:sz w:val="20"/>
          <w:szCs w:val="20"/>
        </w:rPr>
        <w:t>… (9</w:t>
      </w:r>
      <w:r w:rsidR="004923B8" w:rsidRPr="004923B8">
        <w:rPr>
          <w:sz w:val="20"/>
          <w:szCs w:val="20"/>
        </w:rPr>
        <w:t>)</w:t>
      </w:r>
    </w:p>
    <w:p w:rsidR="004923B8" w:rsidRDefault="004923B8" w:rsidP="004923B8">
      <w:pPr>
        <w:adjustRightInd w:val="0"/>
        <w:snapToGrid w:val="0"/>
        <w:spacing w:after="0" w:line="240" w:lineRule="auto"/>
        <w:rPr>
          <w:rFonts w:ascii="Times New Roman" w:hAnsi="Times New Roman" w:hint="eastAsia"/>
          <w:sz w:val="20"/>
          <w:szCs w:val="20"/>
          <w:lang w:eastAsia="zh-CN"/>
        </w:rPr>
      </w:pPr>
      <w:r w:rsidRPr="004923B8">
        <w:rPr>
          <w:rFonts w:ascii="Times New Roman" w:hAnsi="Times New Roman"/>
          <w:sz w:val="20"/>
          <w:szCs w:val="20"/>
        </w:rPr>
        <w:t xml:space="preserve"> </w:t>
      </w:r>
    </w:p>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 xml:space="preserve">           Where,</w:t>
      </w:r>
      <w:r w:rsidR="00674261" w:rsidRPr="004923B8">
        <w:rPr>
          <w:rFonts w:ascii="Times New Roman" w:hAnsi="Times New Roman"/>
          <w:position w:val="-6"/>
          <w:sz w:val="20"/>
          <w:szCs w:val="20"/>
        </w:rPr>
        <w:object w:dxaOrig="240" w:dyaOrig="260">
          <v:shape id="_x0000_i1053" type="#_x0000_t75" style="width:11.7pt;height:12.55pt" o:ole="">
            <v:imagedata r:id="rId71" o:title=""/>
          </v:shape>
          <o:OLEObject Type="Embed" ProgID="Equation.DSMT4" ShapeID="_x0000_i1053" DrawAspect="Content" ObjectID="_1718219732" r:id="rId72"/>
        </w:object>
      </w:r>
      <w:r w:rsidRPr="004923B8">
        <w:rPr>
          <w:rFonts w:ascii="Times New Roman" w:hAnsi="Times New Roman"/>
          <w:sz w:val="20"/>
          <w:szCs w:val="20"/>
        </w:rPr>
        <w:t>represents</w:t>
      </w:r>
      <w:r w:rsidR="00674261" w:rsidRPr="004923B8">
        <w:rPr>
          <w:rFonts w:ascii="Times New Roman" w:hAnsi="Times New Roman"/>
          <w:position w:val="-8"/>
          <w:sz w:val="20"/>
          <w:szCs w:val="20"/>
        </w:rPr>
        <w:object w:dxaOrig="220" w:dyaOrig="260">
          <v:shape id="_x0000_i1054" type="#_x0000_t75" style="width:10.9pt;height:12.55pt" o:ole="">
            <v:imagedata r:id="rId73" o:title=""/>
          </v:shape>
          <o:OLEObject Type="Embed" ProgID="Equation.DSMT4" ShapeID="_x0000_i1054" DrawAspect="Content" ObjectID="_1718219733" r:id="rId74"/>
        </w:object>
      </w:r>
      <w:r w:rsidRPr="004923B8">
        <w:rPr>
          <w:rFonts w:ascii="Times New Roman" w:hAnsi="Times New Roman"/>
          <w:sz w:val="20"/>
          <w:szCs w:val="20"/>
        </w:rPr>
        <w:t>and</w:t>
      </w:r>
      <w:r w:rsidR="00674261" w:rsidRPr="004923B8">
        <w:rPr>
          <w:rFonts w:ascii="Times New Roman" w:hAnsi="Times New Roman"/>
          <w:position w:val="-8"/>
          <w:sz w:val="20"/>
          <w:szCs w:val="20"/>
        </w:rPr>
        <w:object w:dxaOrig="240" w:dyaOrig="260">
          <v:shape id="_x0000_i1055" type="#_x0000_t75" style="width:11.7pt;height:12.55pt" o:ole="">
            <v:imagedata r:id="rId75" o:title=""/>
          </v:shape>
          <o:OLEObject Type="Embed" ProgID="Equation.DSMT4" ShapeID="_x0000_i1055" DrawAspect="Content" ObjectID="_1718219734" r:id="rId76"/>
        </w:object>
      </w:r>
      <w:r w:rsidRPr="004923B8">
        <w:rPr>
          <w:rFonts w:ascii="Times New Roman" w:hAnsi="Times New Roman"/>
          <w:sz w:val="20"/>
          <w:szCs w:val="20"/>
        </w:rPr>
        <w:t>,and</w:t>
      </w:r>
      <w:r w:rsidR="00674261" w:rsidRPr="004923B8">
        <w:rPr>
          <w:rFonts w:ascii="Times New Roman" w:hAnsi="Times New Roman"/>
          <w:position w:val="-8"/>
          <w:sz w:val="20"/>
          <w:szCs w:val="20"/>
        </w:rPr>
        <w:object w:dxaOrig="180" w:dyaOrig="260">
          <v:shape id="_x0000_i1056" type="#_x0000_t75" style="width:9.2pt;height:12.55pt" o:ole="">
            <v:imagedata r:id="rId77" o:title=""/>
          </v:shape>
          <o:OLEObject Type="Embed" ProgID="Equation.DSMT4" ShapeID="_x0000_i1056" DrawAspect="Content" ObjectID="_1718219735" r:id="rId78"/>
        </w:object>
      </w:r>
      <w:r w:rsidRPr="004923B8">
        <w:rPr>
          <w:rFonts w:ascii="Times New Roman" w:hAnsi="Times New Roman"/>
          <w:sz w:val="20"/>
          <w:szCs w:val="20"/>
        </w:rPr>
        <w:t xml:space="preserve">represents </w:t>
      </w:r>
      <w:r w:rsidR="00674261" w:rsidRPr="004923B8">
        <w:rPr>
          <w:rFonts w:ascii="Times New Roman" w:hAnsi="Times New Roman"/>
          <w:position w:val="-10"/>
          <w:sz w:val="20"/>
          <w:szCs w:val="20"/>
        </w:rPr>
        <w:object w:dxaOrig="220" w:dyaOrig="280">
          <v:shape id="_x0000_i1057" type="#_x0000_t75" style="width:10.9pt;height:14.25pt" o:ole="">
            <v:imagedata r:id="rId79" o:title=""/>
          </v:shape>
          <o:OLEObject Type="Embed" ProgID="Equation.DSMT4" ShapeID="_x0000_i1057" DrawAspect="Content" ObjectID="_1718219736" r:id="rId80"/>
        </w:object>
      </w:r>
      <w:r w:rsidRPr="004923B8">
        <w:rPr>
          <w:rFonts w:ascii="Times New Roman" w:hAnsi="Times New Roman"/>
          <w:sz w:val="20"/>
          <w:szCs w:val="20"/>
        </w:rPr>
        <w:t xml:space="preserve"> and </w:t>
      </w:r>
      <w:r w:rsidR="00674261" w:rsidRPr="004923B8">
        <w:rPr>
          <w:rFonts w:ascii="Times New Roman" w:hAnsi="Times New Roman"/>
          <w:position w:val="-8"/>
          <w:sz w:val="20"/>
          <w:szCs w:val="20"/>
        </w:rPr>
        <w:object w:dxaOrig="240" w:dyaOrig="260">
          <v:shape id="_x0000_i1058" type="#_x0000_t75" style="width:11.7pt;height:12.55pt" o:ole="">
            <v:imagedata r:id="rId81" o:title=""/>
          </v:shape>
          <o:OLEObject Type="Embed" ProgID="Equation.DSMT4" ShapeID="_x0000_i1058" DrawAspect="Content" ObjectID="_1718219737" r:id="rId82"/>
        </w:object>
      </w:r>
      <w:r w:rsidRPr="004923B8">
        <w:rPr>
          <w:rFonts w:ascii="Times New Roman" w:hAnsi="Times New Roman"/>
          <w:sz w:val="20"/>
          <w:szCs w:val="20"/>
        </w:rPr>
        <w:t>.  Equation (09) indicates the VAR (1) model, whereas Eq. (10) reveals the VAR of pth order:</w:t>
      </w:r>
    </w:p>
    <w:p w:rsidR="00674261" w:rsidRPr="004923B8" w:rsidRDefault="00674261" w:rsidP="004923B8">
      <w:pPr>
        <w:adjustRightInd w:val="0"/>
        <w:snapToGrid w:val="0"/>
        <w:spacing w:after="0" w:line="240" w:lineRule="auto"/>
        <w:rPr>
          <w:rFonts w:ascii="Times New Roman" w:hAnsi="Times New Roman"/>
          <w:sz w:val="20"/>
          <w:szCs w:val="20"/>
        </w:rPr>
      </w:pPr>
      <w:r w:rsidRPr="004923B8">
        <w:rPr>
          <w:rFonts w:ascii="Times New Roman" w:hAnsi="Times New Roman"/>
          <w:position w:val="-8"/>
          <w:sz w:val="20"/>
          <w:szCs w:val="20"/>
        </w:rPr>
        <w:object w:dxaOrig="2420" w:dyaOrig="300">
          <v:shape id="_x0000_i1059" type="#_x0000_t75" style="width:121.4pt;height:15.05pt" o:ole="">
            <v:imagedata r:id="rId83" o:title=""/>
          </v:shape>
          <o:OLEObject Type="Embed" ProgID="Equation.DSMT4" ShapeID="_x0000_i1059" DrawAspect="Content" ObjectID="_1718219738" r:id="rId84"/>
        </w:object>
      </w:r>
      <w:r w:rsidR="004923B8" w:rsidRPr="004923B8">
        <w:rPr>
          <w:rFonts w:ascii="Times New Roman" w:hAnsi="Times New Roman"/>
          <w:sz w:val="20"/>
          <w:szCs w:val="20"/>
        </w:rPr>
        <w:t>… (10)</w:t>
      </w:r>
    </w:p>
    <w:p w:rsid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Where </w:t>
      </w:r>
      <w:r w:rsidR="00674261" w:rsidRPr="004923B8">
        <w:rPr>
          <w:rFonts w:ascii="Times New Roman" w:hAnsi="Times New Roman"/>
          <w:position w:val="-8"/>
          <w:sz w:val="20"/>
          <w:szCs w:val="20"/>
        </w:rPr>
        <w:object w:dxaOrig="220" w:dyaOrig="280">
          <v:shape id="_x0000_i1060" type="#_x0000_t75" style="width:10.9pt;height:14.25pt" o:ole="">
            <v:imagedata r:id="rId85" o:title=""/>
          </v:shape>
          <o:OLEObject Type="Embed" ProgID="Equation.DSMT4" ShapeID="_x0000_i1060" DrawAspect="Content" ObjectID="_1718219739" r:id="rId86"/>
        </w:object>
      </w:r>
      <w:r w:rsidRPr="004923B8">
        <w:rPr>
          <w:rFonts w:ascii="Times New Roman" w:hAnsi="Times New Roman"/>
          <w:sz w:val="20"/>
          <w:szCs w:val="20"/>
        </w:rPr>
        <w:t xml:space="preserve">is the </w:t>
      </w:r>
      <w:r w:rsidR="00674261" w:rsidRPr="004923B8">
        <w:rPr>
          <w:rFonts w:ascii="Times New Roman" w:hAnsi="Times New Roman"/>
          <w:position w:val="-8"/>
          <w:sz w:val="20"/>
          <w:szCs w:val="20"/>
        </w:rPr>
        <w:object w:dxaOrig="460" w:dyaOrig="240">
          <v:shape id="_x0000_i1061" type="#_x0000_t75" style="width:23.45pt;height:11.7pt" o:ole="">
            <v:imagedata r:id="rId87" o:title=""/>
          </v:shape>
          <o:OLEObject Type="Embed" ProgID="Equation.DSMT4" ShapeID="_x0000_i1061" DrawAspect="Content" ObjectID="_1718219740" r:id="rId88"/>
        </w:object>
      </w:r>
      <w:r w:rsidRPr="004923B8">
        <w:rPr>
          <w:rFonts w:ascii="Times New Roman" w:hAnsi="Times New Roman"/>
          <w:sz w:val="20"/>
          <w:szCs w:val="20"/>
        </w:rPr>
        <w:t xml:space="preserve"> vector of the whole time series. Each </w:t>
      </w:r>
      <w:r w:rsidR="00674261" w:rsidRPr="004923B8">
        <w:rPr>
          <w:rFonts w:ascii="Times New Roman" w:hAnsi="Times New Roman"/>
          <w:position w:val="-4"/>
          <w:sz w:val="20"/>
          <w:szCs w:val="20"/>
        </w:rPr>
        <w:object w:dxaOrig="200" w:dyaOrig="200">
          <v:shape id="_x0000_i1062" type="#_x0000_t75" style="width:10.05pt;height:10.05pt" o:ole="">
            <v:imagedata r:id="rId89" o:title=""/>
          </v:shape>
          <o:OLEObject Type="Embed" ProgID="Equation.DSMT4" ShapeID="_x0000_i1062" DrawAspect="Content" ObjectID="_1718219741" r:id="rId90"/>
        </w:object>
      </w:r>
      <w:r w:rsidRPr="004923B8">
        <w:rPr>
          <w:rFonts w:ascii="Times New Roman" w:hAnsi="Times New Roman"/>
          <w:sz w:val="20"/>
          <w:szCs w:val="20"/>
        </w:rPr>
        <w:t xml:space="preserve">is a </w:t>
      </w:r>
      <w:r w:rsidR="00674261" w:rsidRPr="004923B8">
        <w:rPr>
          <w:rFonts w:ascii="Times New Roman" w:hAnsi="Times New Roman"/>
          <w:position w:val="-8"/>
          <w:sz w:val="20"/>
          <w:szCs w:val="20"/>
        </w:rPr>
        <w:object w:dxaOrig="500" w:dyaOrig="240">
          <v:shape id="_x0000_i1063" type="#_x0000_t75" style="width:25.1pt;height:11.7pt" o:ole="">
            <v:imagedata r:id="rId91" o:title=""/>
          </v:shape>
          <o:OLEObject Type="Embed" ProgID="Equation.DSMT4" ShapeID="_x0000_i1063" DrawAspect="Content" ObjectID="_1718219742" r:id="rId92"/>
        </w:object>
      </w:r>
      <w:r w:rsidRPr="004923B8">
        <w:rPr>
          <w:rFonts w:ascii="Times New Roman" w:hAnsi="Times New Roman"/>
          <w:sz w:val="20"/>
          <w:szCs w:val="20"/>
        </w:rPr>
        <w:t xml:space="preserve"> coefficient matrix, and </w:t>
      </w:r>
      <w:r w:rsidR="00674261" w:rsidRPr="004923B8">
        <w:rPr>
          <w:rFonts w:ascii="Times New Roman" w:hAnsi="Times New Roman"/>
          <w:position w:val="-8"/>
          <w:sz w:val="20"/>
          <w:szCs w:val="20"/>
        </w:rPr>
        <w:object w:dxaOrig="180" w:dyaOrig="260">
          <v:shape id="_x0000_i1064" type="#_x0000_t75" style="width:9.2pt;height:12.55pt" o:ole="">
            <v:imagedata r:id="rId93" o:title=""/>
          </v:shape>
          <o:OLEObject Type="Embed" ProgID="Equation.DSMT4" ShapeID="_x0000_i1064" DrawAspect="Content" ObjectID="_1718219743" r:id="rId94"/>
        </w:object>
      </w:r>
      <w:r w:rsidRPr="004923B8">
        <w:rPr>
          <w:rFonts w:ascii="Times New Roman" w:hAnsi="Times New Roman"/>
          <w:sz w:val="20"/>
          <w:szCs w:val="20"/>
        </w:rPr>
        <w:t xml:space="preserve"> is a </w:t>
      </w:r>
      <w:r w:rsidR="00674261" w:rsidRPr="004923B8">
        <w:rPr>
          <w:rFonts w:ascii="Times New Roman" w:hAnsi="Times New Roman"/>
          <w:position w:val="-8"/>
          <w:sz w:val="20"/>
          <w:szCs w:val="20"/>
        </w:rPr>
        <w:object w:dxaOrig="460" w:dyaOrig="240">
          <v:shape id="_x0000_i1065" type="#_x0000_t75" style="width:23.45pt;height:11.7pt" o:ole="">
            <v:imagedata r:id="rId95" o:title=""/>
          </v:shape>
          <o:OLEObject Type="Embed" ProgID="Equation.DSMT4" ShapeID="_x0000_i1065" DrawAspect="Content" ObjectID="_1718219744" r:id="rId96"/>
        </w:object>
      </w:r>
      <w:r w:rsidRPr="004923B8">
        <w:rPr>
          <w:rFonts w:ascii="Times New Roman" w:hAnsi="Times New Roman"/>
          <w:sz w:val="20"/>
          <w:szCs w:val="20"/>
        </w:rPr>
        <w:t xml:space="preserve"> vector of white noise error terms with two attributes. The mean is </w:t>
      </w:r>
      <w:r w:rsidR="00674261" w:rsidRPr="004923B8">
        <w:rPr>
          <w:rFonts w:ascii="Times New Roman" w:hAnsi="Times New Roman"/>
          <w:position w:val="-6"/>
          <w:sz w:val="20"/>
          <w:szCs w:val="20"/>
        </w:rPr>
        <w:object w:dxaOrig="160" w:dyaOrig="220">
          <v:shape id="_x0000_i1066" type="#_x0000_t75" style="width:8.35pt;height:10.9pt" o:ole="">
            <v:imagedata r:id="rId97" o:title=""/>
          </v:shape>
          <o:OLEObject Type="Embed" ProgID="Equation.DSMT4" ShapeID="_x0000_i1066" DrawAspect="Content" ObjectID="_1718219745" r:id="rId98"/>
        </w:object>
      </w:r>
      <w:r w:rsidRPr="004923B8">
        <w:rPr>
          <w:rFonts w:ascii="Times New Roman" w:hAnsi="Times New Roman"/>
          <w:sz w:val="20"/>
          <w:szCs w:val="20"/>
        </w:rPr>
        <w:t>, and the variance is constant. The Johansen-Juselius cointegration test is used in VAR to evaluate whether there is a long-term connection between our variables of interest Eq.11:</w:t>
      </w:r>
    </w:p>
    <w:p w:rsidR="00674261" w:rsidRPr="004923B8" w:rsidRDefault="00674261"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position w:val="-10"/>
          <w:sz w:val="20"/>
          <w:szCs w:val="20"/>
        </w:rPr>
        <w:object w:dxaOrig="2880" w:dyaOrig="300">
          <v:shape id="_x0000_i1067" type="#_x0000_t75" style="width:2in;height:15.05pt" o:ole="">
            <v:imagedata r:id="rId99" o:title=""/>
          </v:shape>
          <o:OLEObject Type="Embed" ProgID="Equation.DSMT4" ShapeID="_x0000_i1067" DrawAspect="Content" ObjectID="_1718219746" r:id="rId100"/>
        </w:object>
      </w:r>
      <w:r w:rsidR="004923B8" w:rsidRPr="004923B8">
        <w:rPr>
          <w:rFonts w:ascii="Times New Roman" w:hAnsi="Times New Roman"/>
          <w:sz w:val="20"/>
          <w:szCs w:val="20"/>
        </w:rPr>
        <w:t>… (11</w:t>
      </w:r>
      <w:r w:rsidR="004923B8" w:rsidRPr="004923B8">
        <w:rPr>
          <w:sz w:val="20"/>
          <w:szCs w:val="20"/>
        </w:rPr>
        <w:t>)</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In this case, </w:t>
      </w:r>
      <w:r w:rsidR="00674261" w:rsidRPr="004923B8">
        <w:rPr>
          <w:rFonts w:ascii="Times New Roman" w:hAnsi="Times New Roman"/>
          <w:position w:val="-8"/>
          <w:sz w:val="20"/>
          <w:szCs w:val="20"/>
        </w:rPr>
        <w:object w:dxaOrig="680" w:dyaOrig="240">
          <v:shape id="_x0000_i1068" type="#_x0000_t75" style="width:34.35pt;height:11.7pt" o:ole="">
            <v:imagedata r:id="rId101" o:title=""/>
          </v:shape>
          <o:OLEObject Type="Embed" ProgID="Equation.DSMT4" ShapeID="_x0000_i1068" DrawAspect="Content" ObjectID="_1718219747" r:id="rId102"/>
        </w:object>
      </w:r>
      <w:r w:rsidRPr="004923B8">
        <w:rPr>
          <w:rFonts w:ascii="Times New Roman" w:hAnsi="Times New Roman"/>
          <w:sz w:val="20"/>
          <w:szCs w:val="20"/>
        </w:rPr>
        <w:t xml:space="preserve">the matrix of co-integrating vectors and is also the co-integrating matrix's weight. The first element in the Johansen cointegration technique is to test for the hypothesis associated with matrix rank </w:t>
      </w:r>
      <w:r w:rsidR="00674261" w:rsidRPr="004923B8">
        <w:rPr>
          <w:rFonts w:ascii="Times New Roman" w:hAnsi="Times New Roman"/>
          <w:position w:val="-8"/>
          <w:sz w:val="20"/>
          <w:szCs w:val="20"/>
        </w:rPr>
        <w:object w:dxaOrig="240" w:dyaOrig="240">
          <v:shape id="_x0000_i1069" type="#_x0000_t75" style="width:11.7pt;height:11.7pt" o:ole="">
            <v:imagedata r:id="rId103" o:title=""/>
          </v:shape>
          <o:OLEObject Type="Embed" ProgID="Equation.DSMT4" ShapeID="_x0000_i1069" DrawAspect="Content" ObjectID="_1718219748" r:id="rId104"/>
        </w:object>
      </w:r>
      <w:r w:rsidRPr="004923B8">
        <w:rPr>
          <w:rFonts w:ascii="Times New Roman" w:hAnsi="Times New Roman"/>
          <w:sz w:val="20"/>
          <w:szCs w:val="20"/>
        </w:rPr>
        <w:t xml:space="preserve">. The rank of a model shows the representation of co-integrating vectors. The number of co-integrating vectors may be evaluated using the trace and maximal eigenvalue tests. Trace test checks the null hypothesis of </w:t>
      </w:r>
      <w:r w:rsidR="00674261" w:rsidRPr="004923B8">
        <w:rPr>
          <w:rFonts w:ascii="Times New Roman" w:hAnsi="Times New Roman"/>
          <w:position w:val="-6"/>
          <w:sz w:val="20"/>
          <w:szCs w:val="20"/>
        </w:rPr>
        <w:object w:dxaOrig="380" w:dyaOrig="220">
          <v:shape id="_x0000_i1070" type="#_x0000_t75" style="width:19.25pt;height:10.9pt" o:ole="">
            <v:imagedata r:id="rId105" o:title=""/>
          </v:shape>
          <o:OLEObject Type="Embed" ProgID="Equation.DSMT4" ShapeID="_x0000_i1070" DrawAspect="Content" ObjectID="_1718219749" r:id="rId106"/>
        </w:object>
      </w:r>
      <w:r w:rsidRPr="004923B8">
        <w:rPr>
          <w:rFonts w:ascii="Times New Roman" w:hAnsi="Times New Roman"/>
          <w:sz w:val="20"/>
          <w:szCs w:val="20"/>
        </w:rPr>
        <w:t xml:space="preserve"> near the alternative hypothesis of </w:t>
      </w:r>
      <w:r w:rsidR="00674261" w:rsidRPr="004923B8">
        <w:rPr>
          <w:rFonts w:ascii="Times New Roman" w:hAnsi="Times New Roman"/>
          <w:position w:val="-4"/>
          <w:sz w:val="20"/>
          <w:szCs w:val="20"/>
        </w:rPr>
        <w:object w:dxaOrig="339" w:dyaOrig="200">
          <v:shape id="_x0000_i1071" type="#_x0000_t75" style="width:16.75pt;height:10.05pt" o:ole="">
            <v:imagedata r:id="rId107" o:title=""/>
          </v:shape>
          <o:OLEObject Type="Embed" ProgID="Equation.DSMT4" ShapeID="_x0000_i1071" DrawAspect="Content" ObjectID="_1718219750" r:id="rId108"/>
        </w:object>
      </w:r>
      <w:r w:rsidRPr="004923B8">
        <w:rPr>
          <w:rFonts w:ascii="Times New Roman" w:hAnsi="Times New Roman"/>
          <w:sz w:val="20"/>
          <w:szCs w:val="20"/>
        </w:rPr>
        <w:t xml:space="preserve"> but and Max test investigates the alternative hypothesis if </w:t>
      </w:r>
      <w:r w:rsidR="00674261" w:rsidRPr="004923B8">
        <w:rPr>
          <w:rFonts w:ascii="Times New Roman" w:hAnsi="Times New Roman"/>
          <w:position w:val="-4"/>
          <w:sz w:val="20"/>
          <w:szCs w:val="20"/>
        </w:rPr>
        <w:object w:dxaOrig="339" w:dyaOrig="200">
          <v:shape id="_x0000_i1072" type="#_x0000_t75" style="width:16.75pt;height:10.05pt" o:ole="">
            <v:imagedata r:id="rId109" o:title=""/>
          </v:shape>
          <o:OLEObject Type="Embed" ProgID="Equation.DSMT4" ShapeID="_x0000_i1072" DrawAspect="Content" ObjectID="_1718219751" r:id="rId110"/>
        </w:object>
      </w:r>
      <w:r w:rsidRPr="004923B8">
        <w:rPr>
          <w:rFonts w:ascii="Times New Roman" w:hAnsi="Times New Roman"/>
          <w:sz w:val="20"/>
          <w:szCs w:val="20"/>
        </w:rPr>
        <w:t xml:space="preserve">. The bigger the values of Trace and max statistics, and therefore the more common the appearance of co-integrating vectors, the closer the characteristic roots are to one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{"citationItems":[{"id":"ITEM-1","itemData":{"ISBN":"978-1137415462","abstract":"3rd edition. Earlier edition: 2011. Includes index. \"The third edition of Applied Econometrics builds on the success of the popular previous editions. It takes an intuitive, hands-on approach to presenting fundamental concepts in modern econometrics and carefully guides the reader through them. Step-by-step instructions for all econometric tests and methods of estimation are provided, as well as ways in which to interpret the results. This makes it an ideal companion for students new to the subject, or for those requiring a 'refresher'. Applied Econometrics third edition includes: thorough updates of all material in the book; more finance applications; and a brand new Chapter 20: Time Varying Coefficient Models: A new way of estimating bias free parameters. This is an indispensable textbook for undergraduate and Master's economics or finance students taking a course in applied econometrics.\"--Back cover. Statistical background and basic data handling -- The classical linear regression model -- Violating the assumptions of the CLRM -- Topics in econometrics -- Time series econometrics -- Panel data econometrics -- Using econometric software.","author":[{"dropping-particle":"","family":"Asteriou","given":"Dimitrios","non-dropping-particle":"","parse-names":false,"suffix":""},{"dropping-particle":"","family":"Hall","given":"S. G.","non-dropping-particle":"","parse-names":false,"suffix":""}],"id":"ITEM-1","issued":{"date-parts":[["2015"]]},"page":"518","title":"Applied econometrics","type":"article-journal"},"uris":["http://www.mendeley.com/documents/?uuid=d00482b3-60c5-3be7-a2ab-c40952f12389"]}],"mendeley":{"formattedCitation":"(Asteriou &amp; Hall, 2015)","plainTextFormattedCitation":"(Asteriou &amp; Hall, 2015)","previouslyFormattedCitation":"(Asteriou &amp; Hall,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(Asteriou &amp; Hall,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Equations of Trace and Eigenvalue tests (12) and (13):</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674261"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position w:val="-8"/>
          <w:sz w:val="20"/>
          <w:szCs w:val="20"/>
        </w:rPr>
        <w:object w:dxaOrig="1960" w:dyaOrig="260">
          <v:shape id="_x0000_i1073" type="#_x0000_t75" style="width:97.95pt;height:12.55pt" o:ole="">
            <v:imagedata r:id="rId111" o:title=""/>
          </v:shape>
          <o:OLEObject Type="Embed" ProgID="Equation.DSMT4" ShapeID="_x0000_i1073" DrawAspect="Content" ObjectID="_1718219752" r:id="rId112"/>
        </w:object>
      </w:r>
      <w:r w:rsidR="004923B8" w:rsidRPr="004923B8">
        <w:rPr>
          <w:rFonts w:ascii="Times New Roman" w:hAnsi="Times New Roman"/>
          <w:sz w:val="20"/>
          <w:szCs w:val="20"/>
        </w:rPr>
        <w:t>… (12</w:t>
      </w:r>
      <w:r w:rsidR="004923B8" w:rsidRPr="004923B8">
        <w:rPr>
          <w:sz w:val="20"/>
          <w:szCs w:val="20"/>
        </w:rPr>
        <w:t>)</w:t>
      </w:r>
    </w:p>
    <w:p w:rsidR="00674261" w:rsidRPr="004923B8" w:rsidRDefault="00674261" w:rsidP="004923B8">
      <w:pPr>
        <w:adjustRightInd w:val="0"/>
        <w:snapToGrid w:val="0"/>
        <w:spacing w:after="0" w:line="240" w:lineRule="auto"/>
        <w:ind w:firstLine="720"/>
        <w:jc w:val="center"/>
        <w:rPr>
          <w:rFonts w:ascii="Times New Roman" w:eastAsia="Times New Roman" w:hAnsi="Times New Roman"/>
          <w:i/>
          <w:sz w:val="20"/>
          <w:szCs w:val="20"/>
        </w:rPr>
      </w:pPr>
      <w:r w:rsidRPr="004923B8">
        <w:rPr>
          <w:rFonts w:ascii="Times New Roman" w:eastAsia="Times New Roman" w:hAnsi="Times New Roman"/>
          <w:i/>
          <w:position w:val="-8"/>
          <w:sz w:val="20"/>
          <w:szCs w:val="20"/>
        </w:rPr>
        <w:object w:dxaOrig="1899" w:dyaOrig="260">
          <v:shape id="_x0000_i1074" type="#_x0000_t75" style="width:95.45pt;height:12.55pt" o:ole="">
            <v:imagedata r:id="rId113" o:title=""/>
          </v:shape>
          <o:OLEObject Type="Embed" ProgID="Equation.DSMT4" ShapeID="_x0000_i1074" DrawAspect="Content" ObjectID="_1718219753" r:id="rId114"/>
        </w:object>
      </w:r>
      <w:r w:rsidR="004923B8" w:rsidRPr="004923B8">
        <w:rPr>
          <w:rFonts w:ascii="Times New Roman" w:eastAsia="Times New Roman" w:hAnsi="Times New Roman"/>
          <w:i/>
          <w:sz w:val="20"/>
          <w:szCs w:val="20"/>
        </w:rPr>
        <w:t>…</w:t>
      </w:r>
      <w:r w:rsidR="004923B8" w:rsidRPr="004923B8">
        <w:rPr>
          <w:rFonts w:ascii="Times New Roman" w:eastAsia="Times New Roman" w:hAnsi="Times New Roman"/>
          <w:iCs/>
          <w:sz w:val="20"/>
          <w:szCs w:val="20"/>
        </w:rPr>
        <w:t xml:space="preserve"> (</w:t>
      </w:r>
      <w:r w:rsidRPr="004923B8">
        <w:rPr>
          <w:sz w:val="20"/>
          <w:szCs w:val="20"/>
        </w:rPr>
        <w:fldChar w:fldCharType="begin"/>
      </w:r>
      <w:r w:rsidR="004923B8" w:rsidRPr="004923B8">
        <w:rPr>
          <w:sz w:val="20"/>
          <w:szCs w:val="20"/>
        </w:rPr>
        <w:instrText xml:space="preserve"> MACROBUTTON MTPlaceRef \* MERGEFORMAT </w:instrText>
      </w:r>
      <w:r w:rsidRPr="004923B8">
        <w:rPr>
          <w:sz w:val="20"/>
          <w:szCs w:val="20"/>
        </w:rPr>
        <w:fldChar w:fldCharType="begin"/>
      </w:r>
      <w:r w:rsidR="004923B8" w:rsidRPr="004923B8">
        <w:rPr>
          <w:sz w:val="20"/>
          <w:szCs w:val="20"/>
        </w:rPr>
        <w:instrText xml:space="preserve"> SEQ MTEqn \h \* MERGEFORMAT </w:instrText>
      </w:r>
      <w:r w:rsidRPr="004923B8">
        <w:rPr>
          <w:sz w:val="20"/>
          <w:szCs w:val="20"/>
        </w:rPr>
        <w:fldChar w:fldCharType="end"/>
      </w:r>
      <w:r w:rsidR="004923B8" w:rsidRPr="004923B8">
        <w:rPr>
          <w:sz w:val="20"/>
          <w:szCs w:val="20"/>
        </w:rPr>
        <w:instrText>1</w:instrText>
      </w:r>
      <w:r w:rsidRPr="004923B8">
        <w:rPr>
          <w:sz w:val="20"/>
          <w:szCs w:val="20"/>
        </w:rPr>
        <w:fldChar w:fldCharType="end"/>
      </w:r>
      <w:r w:rsidR="004923B8" w:rsidRPr="004923B8">
        <w:rPr>
          <w:rFonts w:ascii="Times New Roman" w:hAnsi="Times New Roman"/>
          <w:sz w:val="20"/>
          <w:szCs w:val="20"/>
        </w:rPr>
        <w:t>3</w:t>
      </w:r>
      <w:r w:rsidR="004923B8" w:rsidRPr="004923B8">
        <w:rPr>
          <w:sz w:val="20"/>
          <w:szCs w:val="20"/>
        </w:rPr>
        <w:t>)</w:t>
      </w:r>
    </w:p>
    <w:p w:rsidR="004923B8" w:rsidRDefault="004923B8" w:rsidP="004923B8">
      <w:pPr>
        <w:adjustRightInd w:val="0"/>
        <w:snapToGrid w:val="0"/>
        <w:spacing w:after="0" w:line="240" w:lineRule="auto"/>
        <w:jc w:val="both"/>
        <w:outlineLvl w:val="0"/>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3.5 Scenario analysis</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eastAsia="Times New Roman" w:hAnsi="Times New Roman"/>
          <w:sz w:val="20"/>
          <w:szCs w:val="20"/>
        </w:rPr>
        <w:t xml:space="preserve">    </w:t>
      </w:r>
      <w:r w:rsidRPr="004923B8">
        <w:rPr>
          <w:rFonts w:ascii="Times New Roman" w:hAnsi="Times New Roman"/>
          <w:sz w:val="20"/>
          <w:szCs w:val="20"/>
        </w:rPr>
        <w:t>As delineated in section 2, The CPEC will improve economic activity, commerce, and foreign direct investment (FDI) inflows that are all tied to energy demand. We developed a scenario research design based on cointegration to forecast the future energy consumption under CPEC in 2030. We present three scenarios for assessing future energy use: baseline (business as usual), moderate, and advanced. Each scenario has different exogenous variable growth rates for the future, which are briefly acknowledged in section 4. Based on scenario research, we've also predicted energy-saving possibilities.</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3.6 Monte Carlo simulation</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eastAsia="Times New Roman" w:hAnsi="Times New Roman"/>
          <w:sz w:val="20"/>
          <w:szCs w:val="20"/>
        </w:rPr>
        <w:t xml:space="preserve">    </w:t>
      </w:r>
      <w:r w:rsidRPr="004923B8">
        <w:rPr>
          <w:rFonts w:ascii="Times New Roman" w:hAnsi="Times New Roman"/>
          <w:sz w:val="20"/>
          <w:szCs w:val="20"/>
        </w:rPr>
        <w:t xml:space="preserve">Monte Carlo simulation is a mathematical technique that accumulates the risk or uncertainty in our daily decision-making and helps carry out quantitative analysis for the future. It has been widely adopted to account for uncertainty in electricity generation planning and model uncertainties in </w:t>
      </w:r>
      <w:r w:rsidRPr="004923B8">
        <w:rPr>
          <w:rFonts w:ascii="Times New Roman" w:hAnsi="Times New Roman"/>
          <w:sz w:val="20"/>
          <w:szCs w:val="20"/>
        </w:rPr>
        <w:lastRenderedPageBreak/>
        <w:t xml:space="preserve">energy prices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0301-4215","author":[{"dropping-particle":"","family":"Feretic","given":"Danilo","non-dropping-particle":"","parse-names":false,"suffix":""},{"dropping-particle":"","family":"Tomsic","given":"Zeljko","non-dropping-particle":"","parse-names":false,"suffix":""}],"container-title":"Energy Policy","id":"ITEM-1","issue":"1","issued":{"date-parts":[["2005"]]},"page":"5-13","publisher":"Elsevier","title":"Probabilistic analysis of electrical energy costs comparing: production costs for gas, coal and nuclear power plants","type":"article-journal","volume":"33"},"uris":["http://www.mendeley.com/documents/?uuid=738ec508-84a5-4cb2-bf8c-ec6df5237f4a"]},{"id":"ITEM-2","itemData":{"ISSN":"0301-4215","author":[{"dropping-particle":"","family":"Spinney","given":"Peter J","non-dropping-particle":"","parse-names":false,"suffix":""},{"dropping-particle":"","family":"Watkins","given":"G Campbell","non-dropping-particle":"","parse-names":false,"suffix":""}],"container-title":"Energy Policy","id":"ITEM-2","issue":"2","issued":{"date-parts":[["1996"]]},"page":"155-163","publisher":"Elsevier","title":"Monte Carlo simulation techniques and electric utility resource decisions","type":"article-journal","volume":"24"},"uris":["http://www.mendeley.com/documents/?uuid=395fb619-c923-4d83-8667-31990a3bac57"]}],"mendeley":{"formattedCitation":"(Feretic &amp; Tomsic, 2005; Spinney &amp; Watkins, 1996)","plainTextFormattedCitation":"(Feretic &amp; Tomsic, 2005; Spinney &amp; Watkins, 1996)","previouslyFormattedCitation":"(Feretic &amp; Tomsic, 2005; Spinney &amp; Watkins, 1996)"},"properties":{"noteIndex":0},"schema":"https://github.com/citation-style-language/schema/raw/master/csl-citation.json"}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(Feretic &amp; Tomsic, 2005; Spinney &amp; Watkins, 1996)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But the tension in the issues relating to electricity consumption has been ignored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{"citationItems":[{"id":"ITEM-1","itemData":{"ISSN":"0301-4215","author":[{"dropping-particle":"","family":"Vithayasrichareon","given":"Peerapat","non-dropping-particle":"","parse-names":false,"suffix":""},{"dropping-particle":"","family":"MacGill","given":"Iain F","non-dropping-particle":"","parse-names":false,"suffix":""}],"container-title":"Energy policy","id":"ITEM-1","issued":{"date-parts":[["2012"]]},"page":"374-392","publisher":"Elsevier","title":"A Monte Carlo based decision-support tool for assessing generation portfolios in future carbon constrained electricity industries","type":"article-journal","volume":"41"},"uris":["http://www.mendeley.com/documents/?uuid=7f132141-626d-4aa7-be5b-bab38a731b3e"]}],"mendeley":{"formattedCitation":"(Vithayasrichareon &amp; MacGill, 2012)","plainTextFormattedCitation":"(Vithayasrichareon &amp; MacGill, 2012)","previouslyFormattedCitation":"(Vithayasrichareon &amp; MacGill, 2012)"},"properties":{"noteIndex":0},"schema":"https://github.com/citation-style-language/schema/raw/master/csl-citation.json"}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(Vithayasrichareon &amp; MacGill, 2012)</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And then B. Lin &amp; Xie </w:t>
      </w:r>
      <w:r w:rsidR="00674261" w:rsidRPr="004923B8">
        <w:rPr>
          <w:rStyle w:val="FootnoteReference"/>
          <w:rFonts w:ascii="Times New Roman" w:hAnsi="Times New Roman"/>
          <w:sz w:val="20"/>
          <w:szCs w:val="20"/>
          <w:vertAlign w:val="baseline"/>
        </w:rPr>
        <w:fldChar w:fldCharType="begin" w:fldLock="1"/>
      </w:r>
      <w:r w:rsidRPr="004923B8">
        <w:rPr>
          <w:rFonts w:ascii="Times New Roman" w:hAnsi="Times New Roman"/>
          <w:sz w:val="20"/>
          <w:szCs w:val="20"/>
        </w:rPr>
        <w:instrText>ADDIN CSL_CITATION {"citationItems":[{"id":"ITEM-1","itemData":{"ISSN":"0301-4215","author":[{"dropping-particle":"","family":"Lin","given":"Boqiang","non-dropping-particle":"","parse-names":false,"suffix":""},{"dropping-particle":"","family":"Xie","given":"Chunping","non-dropping-particle":"","parse-names":false,"suffix":""}],"container-title":"Energy Policy","id":"ITEM-1","issued":{"date-parts":[["2013"]]},"page":"472-482","publisher":"Elsevier","title":"Estimation on oil demand and oil saving potential of China's road transport sector","type":"article-journal","volume":"61"},"suppress-author":1,"uris":["http://www.mendeley.com/documents/?uuid=aa7a4b4d-0e08-4372-909f-f79646318207"]}],"mendeley":{"formattedCitation":"(2013)","plainTextFormattedCitation":"(2013)","previouslyFormattedCitation":"(2013)"},"properties":{"noteIndex":0},"schema":"https://github.com/citation-style-language/schema/raw/master/csl-citation.json"}</w:instrText>
      </w:r>
      <w:r w:rsidR="00674261" w:rsidRPr="004923B8">
        <w:rPr>
          <w:rStyle w:val="FootnoteReference"/>
          <w:rFonts w:ascii="Times New Roman" w:hAnsi="Times New Roman"/>
          <w:sz w:val="20"/>
          <w:szCs w:val="20"/>
          <w:vertAlign w:val="baseline"/>
        </w:rPr>
        <w:fldChar w:fldCharType="separate"/>
      </w:r>
      <w:r w:rsidRPr="004923B8">
        <w:rPr>
          <w:rStyle w:val="FootnoteReference"/>
          <w:rFonts w:ascii="Times New Roman" w:hAnsi="Times New Roman"/>
          <w:sz w:val="20"/>
          <w:szCs w:val="20"/>
          <w:vertAlign w:val="baseline"/>
        </w:rPr>
        <w:t>(2013)</w:t>
      </w:r>
      <w:r w:rsidR="00674261" w:rsidRPr="004923B8">
        <w:rPr>
          <w:rStyle w:val="FootnoteReference"/>
          <w:rFonts w:ascii="Times New Roman" w:hAnsi="Times New Roman"/>
          <w:sz w:val="20"/>
          <w:szCs w:val="20"/>
          <w:vertAlign w:val="baseline"/>
        </w:rPr>
        <w:fldChar w:fldCharType="end"/>
      </w:r>
      <w:r w:rsidRPr="004923B8">
        <w:rPr>
          <w:rFonts w:ascii="Times New Roman" w:hAnsi="Times New Roman"/>
          <w:sz w:val="20"/>
          <w:szCs w:val="20"/>
        </w:rPr>
        <w:t xml:space="preserve"> &amp; B. Lin et al.,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0360-5442","author":[{"dropping-particle":"","family":"Lin","given":"Boqiang","non-dropping-particle":"","parse-names":false,"suffix":""},{"dropping-particle":"","family":"Wu","given":"Ya","non-dropping-particle":"","parse-names":false,"suffix":""},{"dropping-particle":"","family":"Zhang","given":"Li","non-dropping-particle":"","parse-names":false,"suffix":""}],"container-title":"Energy","id":"ITEM-1","issue":"1","issued":{"date-parts":[["2012"]]},"page":"307-316","publisher":"Elsevier","title":"Electricity saving potential of the power generation industry in China","type":"article-journal","volume":"40"},"suppress-author":1,"uris":["http://www.mendeley.com/documents/?uuid=f78472d6-24cf-4788-a5a6-72de40122064"]}],"mendeley":{"formattedCitation":"(2012)","plainTextFormattedCitation":"(2012)","previouslyFormattedCitation":"(2012)"},"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(2012)</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from the standpoint of probability theory, we use Monte Carlo simulations to evaluate predictions based on cointegration results and quantify alternative future energy consumption scenarios in Pakistan by 2030.</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4. Discussion and results</w:t>
      </w: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4.1 Results of unit root tests</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Before performing the cointegration research, we conducted the Augmented Dickey-Fuller (ADF) technique to evaluate the order of integration of the series. The results of the ADF and P.P. tests are shown in Table 4. Except for GDP, which shows no trend, Table 4 shows clearly that the outcomes of the ADF and P.P. tests are complying. Furthermore, all the series are stochastic and stationary on the initial difference. These results fulfill the criteria for using the Johansen cointegration methodology. The SIBC criteria were used to determine the optimal lag length for each series.</w:t>
      </w:r>
    </w:p>
    <w:p w:rsidR="004923B8" w:rsidRPr="004923B8"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4.2 Johansen-Juselius for co-integration test</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We proceeded with an unconstrained VAR model to see whether there was any cointegration between the variables. We selected one lag in the unrestrained VAR based on the SBIC criteria. Table 5 shows statistics regarding lag selection. Table 6 illustrates the Johansen Trace and Max-eigenvalue test results for all the models. The max-eigenvalue test rejects the null hypothesis of one or zero co-integrating vectors for aggregate and industrial sector models, favoring the alternative hypothesis of r = 2. However, in the commercial sector model, the null hypothesis of no cointegration must be rejected in favor of the alternative hypothesis of r = 1. The Johansen Trace test accepted the alternative hypothesis (r ≥ 3) for the aggregate model, the presence of a high concentration of three or more co-integrating vectors among the variables. Moreover, the industrial sector model has four or more co-integrating vectors, whereas the commercial sector model contains two or more. These results demonstrate that the variables in all models have a long-term relationship.</w:t>
      </w:r>
    </w:p>
    <w:p w:rsidR="00674261" w:rsidRPr="004923B8" w:rsidRDefault="00674261" w:rsidP="004923B8">
      <w:pPr>
        <w:adjustRightInd w:val="0"/>
        <w:snapToGrid w:val="0"/>
        <w:spacing w:after="0" w:line="240" w:lineRule="auto"/>
        <w:jc w:val="both"/>
        <w:rPr>
          <w:rFonts w:ascii="Times New Roman" w:hAnsi="Times New Roman"/>
          <w:b/>
          <w:sz w:val="20"/>
          <w:szCs w:val="20"/>
        </w:rPr>
        <w:sectPr w:rsidR="00674261" w:rsidRPr="004923B8">
          <w:type w:val="continuous"/>
          <w:pgSz w:w="12240" w:h="15840"/>
          <w:pgMar w:top="1440" w:right="1440" w:bottom="1440" w:left="1440" w:header="720" w:footer="720" w:gutter="0"/>
          <w:cols w:num="2" w:space="720"/>
          <w:docGrid w:linePitch="360"/>
        </w:sectPr>
      </w:pPr>
    </w:p>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4923B8" w:rsidRDefault="004923B8"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Table 4: Present Unit root tests Results</w:t>
      </w:r>
    </w:p>
    <w:tbl>
      <w:tblPr>
        <w:tblpPr w:leftFromText="180" w:rightFromText="180" w:vertAnchor="text" w:tblpY="1"/>
        <w:tblOverlap w:val="neve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930"/>
        <w:gridCol w:w="1744"/>
        <w:gridCol w:w="1061"/>
        <w:gridCol w:w="1744"/>
        <w:gridCol w:w="1061"/>
        <w:gridCol w:w="1759"/>
      </w:tblGrid>
      <w:tr w:rsidR="00674261" w:rsidRPr="004923B8">
        <w:trPr>
          <w:trHeight w:val="333"/>
        </w:trPr>
        <w:tc>
          <w:tcPr>
            <w:tcW w:w="9460" w:type="dxa"/>
            <w:gridSpan w:val="7"/>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 xml:space="preserve">  Series     </w:t>
            </w:r>
            <w:bookmarkStart w:id="3" w:name="_Hlk77971474"/>
            <w:r w:rsidRPr="004923B8">
              <w:rPr>
                <w:rFonts w:ascii="Times New Roman" w:hAnsi="Times New Roman"/>
                <w:b/>
                <w:bCs/>
                <w:sz w:val="20"/>
                <w:szCs w:val="20"/>
              </w:rPr>
              <w:t xml:space="preserve">Augmented Dickey-Fuller </w:t>
            </w:r>
            <w:bookmarkEnd w:id="3"/>
            <w:r w:rsidRPr="004923B8">
              <w:rPr>
                <w:rFonts w:ascii="Times New Roman" w:hAnsi="Times New Roman"/>
                <w:b/>
                <w:bCs/>
                <w:sz w:val="20"/>
                <w:szCs w:val="20"/>
              </w:rPr>
              <w:t>Test (ADF)</w:t>
            </w:r>
          </w:p>
        </w:tc>
      </w:tr>
      <w:tr w:rsidR="00674261" w:rsidRPr="004923B8">
        <w:trPr>
          <w:trHeight w:val="363"/>
        </w:trPr>
        <w:tc>
          <w:tcPr>
            <w:tcW w:w="9460" w:type="dxa"/>
            <w:gridSpan w:val="7"/>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Aggregate Model                               Industrial Sector                                Commercial Sector</w:t>
            </w:r>
          </w:p>
        </w:tc>
      </w:tr>
      <w:tr w:rsidR="00674261" w:rsidRPr="004923B8">
        <w:trPr>
          <w:trHeight w:val="363"/>
        </w:trPr>
        <w:tc>
          <w:tcPr>
            <w:tcW w:w="1161" w:type="dxa"/>
          </w:tcPr>
          <w:p w:rsidR="00674261" w:rsidRPr="004923B8" w:rsidRDefault="00674261" w:rsidP="004923B8">
            <w:pPr>
              <w:adjustRightInd w:val="0"/>
              <w:snapToGrid w:val="0"/>
              <w:spacing w:after="0" w:line="240" w:lineRule="auto"/>
              <w:jc w:val="both"/>
              <w:rPr>
                <w:rFonts w:ascii="Times New Roman" w:hAnsi="Times New Roman"/>
                <w:sz w:val="20"/>
                <w:szCs w:val="20"/>
              </w:rPr>
            </w:pP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Level</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w:t>
            </w:r>
            <w:r w:rsidRPr="004923B8">
              <w:rPr>
                <w:rFonts w:ascii="Times New Roman" w:hAnsi="Times New Roman"/>
                <w:sz w:val="20"/>
                <w:szCs w:val="20"/>
                <w:vertAlign w:val="superscript"/>
              </w:rPr>
              <w:t>st</w:t>
            </w:r>
            <w:r w:rsidRPr="004923B8">
              <w:rPr>
                <w:rFonts w:ascii="Times New Roman" w:hAnsi="Times New Roman"/>
                <w:sz w:val="20"/>
                <w:szCs w:val="20"/>
              </w:rPr>
              <w:t>Difference</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Level</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w:t>
            </w:r>
            <w:r w:rsidRPr="004923B8">
              <w:rPr>
                <w:rFonts w:ascii="Times New Roman" w:hAnsi="Times New Roman"/>
                <w:sz w:val="20"/>
                <w:szCs w:val="20"/>
                <w:vertAlign w:val="superscript"/>
              </w:rPr>
              <w:t>st</w:t>
            </w:r>
            <w:r w:rsidRPr="004923B8">
              <w:rPr>
                <w:rFonts w:ascii="Times New Roman" w:hAnsi="Times New Roman"/>
                <w:sz w:val="20"/>
                <w:szCs w:val="20"/>
              </w:rPr>
              <w:t>Difference</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Level</w:t>
            </w:r>
          </w:p>
        </w:tc>
        <w:tc>
          <w:tcPr>
            <w:tcW w:w="175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w:t>
            </w:r>
            <w:r w:rsidRPr="004923B8">
              <w:rPr>
                <w:rFonts w:ascii="Times New Roman" w:hAnsi="Times New Roman"/>
                <w:sz w:val="20"/>
                <w:szCs w:val="20"/>
                <w:vertAlign w:val="superscript"/>
              </w:rPr>
              <w:t>st</w:t>
            </w:r>
            <w:r w:rsidRPr="004923B8">
              <w:rPr>
                <w:rFonts w:ascii="Times New Roman" w:hAnsi="Times New Roman"/>
                <w:sz w:val="20"/>
                <w:szCs w:val="20"/>
              </w:rPr>
              <w:t>Difference</w:t>
            </w:r>
          </w:p>
        </w:tc>
      </w:tr>
      <w:tr w:rsidR="00674261" w:rsidRPr="004923B8">
        <w:trPr>
          <w:trHeight w:val="363"/>
        </w:trPr>
        <w:tc>
          <w:tcPr>
            <w:tcW w:w="11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LnE</w:t>
            </w: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1.421</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-5.219***</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-3.0101</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-4.812***</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-1.8342</w:t>
            </w:r>
          </w:p>
        </w:tc>
        <w:tc>
          <w:tcPr>
            <w:tcW w:w="175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-3.978***</w:t>
            </w:r>
          </w:p>
        </w:tc>
      </w:tr>
      <w:tr w:rsidR="00674261" w:rsidRPr="004923B8">
        <w:trPr>
          <w:trHeight w:val="363"/>
        </w:trPr>
        <w:tc>
          <w:tcPr>
            <w:tcW w:w="11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LnP</w:t>
            </w: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-1.753</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-3.782***</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-2.023</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-6.234***</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-0.276</w:t>
            </w:r>
          </w:p>
        </w:tc>
        <w:tc>
          <w:tcPr>
            <w:tcW w:w="175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4.765***</w:t>
            </w:r>
          </w:p>
        </w:tc>
      </w:tr>
      <w:tr w:rsidR="00674261" w:rsidRPr="004923B8">
        <w:trPr>
          <w:trHeight w:val="363"/>
        </w:trPr>
        <w:tc>
          <w:tcPr>
            <w:tcW w:w="11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LnGDP</w:t>
            </w: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2.213</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-2.987***</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1.754</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-4.182***</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-0.237</w:t>
            </w:r>
          </w:p>
        </w:tc>
        <w:tc>
          <w:tcPr>
            <w:tcW w:w="175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-4.178***</w:t>
            </w:r>
          </w:p>
        </w:tc>
      </w:tr>
      <w:tr w:rsidR="00674261" w:rsidRPr="004923B8">
        <w:trPr>
          <w:trHeight w:val="363"/>
        </w:trPr>
        <w:tc>
          <w:tcPr>
            <w:tcW w:w="11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LnEI</w:t>
            </w: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1.478</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5.678***</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-1.756</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-7.586***</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0.357</w:t>
            </w:r>
          </w:p>
        </w:tc>
        <w:tc>
          <w:tcPr>
            <w:tcW w:w="175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-6.367***</w:t>
            </w:r>
          </w:p>
        </w:tc>
      </w:tr>
      <w:tr w:rsidR="00674261" w:rsidRPr="004923B8">
        <w:trPr>
          <w:trHeight w:val="363"/>
        </w:trPr>
        <w:tc>
          <w:tcPr>
            <w:tcW w:w="11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LnFDI</w:t>
            </w: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-0.956</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-2.987***</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-0.745</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-7.235***</w:t>
            </w:r>
          </w:p>
        </w:tc>
        <w:tc>
          <w:tcPr>
            <w:tcW w:w="10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-2.034</w:t>
            </w:r>
          </w:p>
        </w:tc>
        <w:tc>
          <w:tcPr>
            <w:tcW w:w="175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-4.531***</w:t>
            </w:r>
          </w:p>
        </w:tc>
      </w:tr>
      <w:tr w:rsidR="00674261" w:rsidRPr="004923B8">
        <w:trPr>
          <w:trHeight w:val="390"/>
        </w:trPr>
        <w:tc>
          <w:tcPr>
            <w:tcW w:w="116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LnTO</w:t>
            </w:r>
          </w:p>
        </w:tc>
        <w:tc>
          <w:tcPr>
            <w:tcW w:w="930"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1.841</w:t>
            </w:r>
          </w:p>
        </w:tc>
        <w:tc>
          <w:tcPr>
            <w:tcW w:w="174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-8.561***</w:t>
            </w:r>
          </w:p>
        </w:tc>
        <w:tc>
          <w:tcPr>
            <w:tcW w:w="1061" w:type="dxa"/>
          </w:tcPr>
          <w:p w:rsidR="00674261" w:rsidRPr="004923B8" w:rsidRDefault="00674261" w:rsidP="004923B8">
            <w:pPr>
              <w:adjustRightInd w:val="0"/>
              <w:snapToGrid w:val="0"/>
              <w:spacing w:after="0" w:line="240" w:lineRule="auto"/>
              <w:jc w:val="both"/>
              <w:rPr>
                <w:rFonts w:ascii="Times New Roman" w:hAnsi="Times New Roman"/>
                <w:sz w:val="20"/>
                <w:szCs w:val="20"/>
              </w:rPr>
            </w:pPr>
          </w:p>
        </w:tc>
        <w:tc>
          <w:tcPr>
            <w:tcW w:w="1744" w:type="dxa"/>
          </w:tcPr>
          <w:p w:rsidR="00674261" w:rsidRPr="004923B8" w:rsidRDefault="00674261" w:rsidP="004923B8">
            <w:pPr>
              <w:adjustRightInd w:val="0"/>
              <w:snapToGrid w:val="0"/>
              <w:spacing w:after="0" w:line="240" w:lineRule="auto"/>
              <w:jc w:val="both"/>
              <w:rPr>
                <w:rFonts w:ascii="Times New Roman" w:hAnsi="Times New Roman"/>
                <w:sz w:val="20"/>
                <w:szCs w:val="20"/>
              </w:rPr>
            </w:pPr>
          </w:p>
        </w:tc>
        <w:tc>
          <w:tcPr>
            <w:tcW w:w="1061" w:type="dxa"/>
          </w:tcPr>
          <w:p w:rsidR="00674261" w:rsidRPr="004923B8" w:rsidRDefault="00674261" w:rsidP="004923B8">
            <w:pPr>
              <w:adjustRightInd w:val="0"/>
              <w:snapToGrid w:val="0"/>
              <w:spacing w:after="0" w:line="240" w:lineRule="auto"/>
              <w:jc w:val="both"/>
              <w:rPr>
                <w:rFonts w:ascii="Times New Roman" w:hAnsi="Times New Roman"/>
                <w:sz w:val="20"/>
                <w:szCs w:val="20"/>
              </w:rPr>
            </w:pPr>
          </w:p>
        </w:tc>
        <w:tc>
          <w:tcPr>
            <w:tcW w:w="1759" w:type="dxa"/>
          </w:tcPr>
          <w:p w:rsidR="00674261" w:rsidRPr="004923B8" w:rsidRDefault="00674261" w:rsidP="004923B8">
            <w:pPr>
              <w:adjustRightInd w:val="0"/>
              <w:snapToGrid w:val="0"/>
              <w:spacing w:after="0" w:line="240" w:lineRule="auto"/>
              <w:jc w:val="both"/>
              <w:rPr>
                <w:rFonts w:ascii="Times New Roman" w:hAnsi="Times New Roman"/>
                <w:sz w:val="20"/>
                <w:szCs w:val="20"/>
              </w:rPr>
            </w:pPr>
          </w:p>
        </w:tc>
      </w:tr>
    </w:tbl>
    <w:p w:rsidR="00674261" w:rsidRPr="004923B8" w:rsidRDefault="004923B8" w:rsidP="004923B8">
      <w:pPr>
        <w:adjustRightInd w:val="0"/>
        <w:snapToGrid w:val="0"/>
        <w:spacing w:after="0" w:line="240" w:lineRule="auto"/>
        <w:jc w:val="both"/>
        <w:rPr>
          <w:rFonts w:ascii="Times New Roman" w:hAnsi="Times New Roman"/>
          <w:i/>
          <w:sz w:val="20"/>
          <w:szCs w:val="20"/>
        </w:rPr>
      </w:pPr>
      <w:r w:rsidRPr="004923B8">
        <w:rPr>
          <w:rFonts w:ascii="Times New Roman" w:hAnsi="Times New Roman"/>
          <w:i/>
          <w:sz w:val="20"/>
          <w:szCs w:val="20"/>
        </w:rPr>
        <w:t>Note: *** indicates a significant level at 1%.</w:t>
      </w:r>
    </w:p>
    <w:p w:rsidR="00674261" w:rsidRDefault="00674261" w:rsidP="004923B8">
      <w:pPr>
        <w:adjustRightInd w:val="0"/>
        <w:snapToGrid w:val="0"/>
        <w:spacing w:after="0" w:line="240" w:lineRule="auto"/>
        <w:jc w:val="both"/>
        <w:outlineLvl w:val="0"/>
        <w:rPr>
          <w:rFonts w:ascii="Times New Roman" w:hAnsi="Times New Roman" w:hint="eastAsia"/>
          <w:b/>
          <w:sz w:val="20"/>
          <w:szCs w:val="20"/>
          <w:lang w:eastAsia="zh-CN"/>
        </w:rPr>
      </w:pPr>
      <w:bookmarkStart w:id="4" w:name="_Hlk76083652"/>
    </w:p>
    <w:p w:rsidR="004923B8" w:rsidRDefault="004923B8" w:rsidP="004923B8">
      <w:pPr>
        <w:adjustRightInd w:val="0"/>
        <w:snapToGrid w:val="0"/>
        <w:spacing w:after="0" w:line="240" w:lineRule="auto"/>
        <w:jc w:val="both"/>
        <w:outlineLvl w:val="0"/>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outlineLvl w:val="0"/>
        <w:rPr>
          <w:rFonts w:ascii="Times New Roman" w:hAnsi="Times New Roman" w:hint="eastAsia"/>
          <w:b/>
          <w:sz w:val="20"/>
          <w:szCs w:val="20"/>
          <w:lang w:eastAsia="zh-CN"/>
        </w:rPr>
      </w:pPr>
    </w:p>
    <w:p w:rsidR="005557AE" w:rsidRPr="004923B8" w:rsidRDefault="005557AE" w:rsidP="004923B8">
      <w:pPr>
        <w:adjustRightInd w:val="0"/>
        <w:snapToGrid w:val="0"/>
        <w:spacing w:after="0" w:line="240" w:lineRule="auto"/>
        <w:jc w:val="both"/>
        <w:outlineLvl w:val="0"/>
        <w:rPr>
          <w:rFonts w:ascii="Times New Roman" w:hAnsi="Times New Roman" w:hint="eastAsia"/>
          <w:b/>
          <w:sz w:val="20"/>
          <w:szCs w:val="20"/>
          <w:lang w:eastAsia="zh-CN"/>
        </w:rPr>
        <w:sectPr w:rsidR="005557AE" w:rsidRPr="004923B8">
          <w:type w:val="continuous"/>
          <w:pgSz w:w="12240" w:h="15840"/>
          <w:pgMar w:top="1440" w:right="1440" w:bottom="1440" w:left="1440" w:header="720" w:footer="720" w:gutter="0"/>
          <w:cols w:space="425"/>
          <w:docGrid w:linePitch="360"/>
        </w:sect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lastRenderedPageBreak/>
        <w:t>4.3 Long run results</w:t>
      </w:r>
    </w:p>
    <w:bookmarkEnd w:id="4"/>
    <w:p w:rsidR="00674261" w:rsidRPr="004923B8" w:rsidRDefault="004923B8" w:rsidP="005557AE">
      <w:pPr>
        <w:adjustRightInd w:val="0"/>
        <w:snapToGrid w:val="0"/>
        <w:spacing w:after="0" w:line="240" w:lineRule="auto"/>
        <w:ind w:firstLine="720"/>
        <w:jc w:val="both"/>
        <w:rPr>
          <w:rFonts w:ascii="Times New Roman" w:hAnsi="Times New Roman"/>
          <w:b/>
          <w:sz w:val="20"/>
          <w:szCs w:val="20"/>
        </w:rPr>
      </w:pPr>
      <w:r w:rsidRPr="004923B8">
        <w:rPr>
          <w:rFonts w:ascii="Times New Roman" w:hAnsi="Times New Roman"/>
          <w:sz w:val="20"/>
          <w:szCs w:val="20"/>
        </w:rPr>
        <w:t xml:space="preserve">    The models' normalized long-run equations will be shown in Table 7. Energy consumption price elasticity is associated with energy prices (LnPrice), gross domestic product (LnGDP), energy intensity (LnEI), net inflows of foreign direct investment (LnFDI), and trade openness are all estimated considerations (LnTO). Long-run coefficients are interpreted in the following way. All models indicated a negative relationship between energy costs and energy consumption. In both the aggregate and each sector studied, the energy price coefficients are significantly positive. Existing research substantiates this idea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{"citationItems":[{"id":"ITEM-1","itemData":{"ISSN":"1364-0321","author":[{"dropping-particle":"","family":"Khan","given":"Muhammad Arshad","non-dropping-particle":"","parse-names":false,"suffix":""},{"dropping-particle":"","family":"Abbas","given":"Faisal","non-dropping-particle":"","parse-names":false,"suffix":""}],"container-title":"Renewable and Sustainable Energy Reviews","id":"ITEM-1","issued":{"date-parts":[["2016"]]},"page":"1159-1178","publisher":"Elsevier","title":"The dynamics of electricity demand in Pakistan: A panel cointegration analysis","type":"article-journal","volume":"65"},"uris":["http://www.mendeley.com/documents/?uuid=b893c897-2e01-4d72-ad19-8bc0112a9e7f"]},{"id":"ITEM-2","itemData":{"ISSN":"0301-4215","author":[{"dropping-particle":"","family":"Lin","given":"Boqiang","non-dropping-particle":"","parse-names":false,"suffix":""},{"dropping-particle":"","family":"Ouyang","given":"Xiaoling","non-dropping-particle":"","parse-names":false,"suffix":""}],"container-title":"Energy Policy","id":"ITEM-2","issued":{"date-parts":[["2014"]]},"page":"243-253","publisher":"Elsevier","title":"Electricity demand and conservation potential in the Chinese nonmetallic mineral products industry","type":"article-journal","volume":"68"},"uris":["http://www.mendeley.com/documents/?uuid=194dc03a-1749-4637-84d1-5983ba0ef3b2"]},{"id":"ITEM-3","itemData":{"ISSN":"0360-5442","author":[{"dropping-particle":"","family":"Lin","given":"Boqiang","non-dropping-particle":"","parse-names":false,"suffix":""},{"dropping-particle":"","family":"Wang","given":"Ailun","non-dropping-particle":"","parse-names":false,"suffix":""}],"container-title":"Energy","id":"ITEM-3","issued":{"date-parts":[["2015"]]},"page":"147-156","publisher":"Elsevier","title":"Estimating energy conservation potential in China's commercial sector","type":"article-journal","volume":"82"},"uris":["http://www.mendeley.com/documents/?uuid=463f3cdd-d3bf-4f15-846e-fd7cba31687e"]},{"id":"ITEM-4","itemData":{"ISSN":"0030-9729","author":[{"dropping-particle":"","family":"Khan","given":"Muhammad Arshad","non-dropping-particle":"","parse-names":false,"suffix":""},{"dropping-particle":"","family":"Ahmad","given":"Usman","non-dropping-particle":"","parse-names":false,"suffix":""}],"container-title":"The Pakistan Development Review","id":"ITEM-4","issued":{"date-parts":[["2008"]]},"page":"437-455","publisher":"JSTOR","title":"Energy demand in Pakistan: a disaggregate analysis","type":"article-journal"},"uris":["http://www.mendeley.com/documents/?uuid=0f411b42-17bb-4ba5-a106-e9bf71f20a27"]},{"id":"ITEM-5","itemData":{"ISSN":"1573-7845","author":[{"dropping-particle":"","family":"Tang","given":"Chor Foon","non-dropping-particle":"","parse-names":false,"suffix":""},{"dropping-particle":"","family":"Tan","given":"Bee Wah","non-dropping-particle":"","parse-names":false,"suffix":""}],"container-title":"Quality &amp; Quantity","id":"ITEM-5","issue":"2","issued":{"date-parts":[["2014"]]},"page":"781-797","publisher":"Springer","title":"The linkages among energy consumption, economic growth, relative price, foreign direct investment, and financial development in Malaysia","type":"article-journal","volume":"48"},"uris":["http://www.mendeley.com/documents/?uuid=2a669b02-5ba8-47e3-b4b2-abfe7388cac2"]}],"mendeley":{"formattedCitation":"(M. A. Khan &amp; Abbas, 2016; M. A. Khan &amp; Ahmad, 2008; B. Lin &amp; Ouyang, 2014; B. Lin &amp; Wang, 2015; Tang &amp; Tan, 2014)","plainTextFormattedCitation":"(M. A. Khan &amp; Abbas, 2016; M. A. Khan &amp; Ahmad, 2008; B. Lin &amp; Ouyang, 2014; B. Lin &amp; Wang, 2015; Tang &amp; Tan, 2014)","previouslyFormattedCitation":"(M. A. Khan &amp; Abbas, 2016; M. A. Khan &amp; Ahmad, 2008; B. Lin &amp; Ouyang, 2014; B. Lin &amp; Wang, 2015; Tang &amp; Tan,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(M. A. Khan &amp; Abbas, 2016; M. A. Khan &amp; Ahmad, 2008; B. Lin &amp; Ouyang, 2014; B. Lin &amp; Wang, 2015; Tang &amp; Tan,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Price may be considered a powerful weapon in Pakistan to achieve aggregate and sectoral energy efficiency. Both negative and positive spillover effects of foreign direct investment on energy consumption have been shown in the literature. Our research findings are likewise mixed, as the coefficients of net FDI inflows are negative for the aggregate and industrial sectors but positive for the commercial sector. However, the net inflow coefficients in each model are quite insignificant. Our observations confirm what the research shows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{"citationItems":[{"id":"ITEM-1","itemData":{"author":[{"dropping-particle":"","family":"Leitão","given":"Nuno Carlos","non-dropping-particle":"","parse-names":false,"suffix":""}],"container-title":"International Journal of Energy Economics and Policy","id":"ITEM-1","issue":"1","issued":{"date-parts":[["2015"]]},"page":"138-147","title":"Energy consumption and foreign direct investment: a panel data analysis for Portugal","type":"article-journal","volume":"5"},"uris":["http://www.mendeley.com/documents/?uuid=1380d15f-54f4-4fd9-836c-cbb640f69a85"]}],"mendeley":{"formattedCitation":"(Leitão, 2015)","plainTextFormattedCitation":"(Leitão, 2015)","previouslyFormattedCitation":"(Leitão,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(Leitão,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 business sector supports the positive spillover effects of FDI on energy consumption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{"citationItems":[{"id":"ITEM-1","itemData":{"ISSN":"1573-7845","author":[{"dropping-particle":"","family":"Tang","given":"Chor Foon","non-dropping-particle":"","parse-names":false,"suffix":""},{"dropping-particle":"","family":"Tan","given":"Bee Wah","non-dropping-particle":"","parse-names":false,"suffix":""}],"container-title":"Quality &amp; Quantity","id":"ITEM-1","issue":"2","issued":{"date-parts":[["2014"]]},"page":"781-797","publisher":"Springer","title":"The linkages among energy consumption, economic growth, relative price, foreign direct investment, and financial development in Malaysia","type":"article-journal","volume":"48"},"uris":["http://www.mendeley.com/documents/?uuid=2a669b02-5ba8-47e3-b4b2-abfe7388cac2"]},{"id":"ITEM-2","itemData":{"ISSN":"1364-0321","author":[{"dropping-particle":"","family":"Azam","given":"Muhammad","non-dropping-particle":"","parse-names":false,"suffix":""},{"dropping-particle":"","family":"Khan","given":"Abdul Qayyum","non-dropping-particle":"","parse-names":false,"suffix":""},{"dropping-particle":"","family":"Zaman","given":"Khalid","non-dropping-particle":"","parse-names":false,"suffix":""},{"dropping-particle":"","family":"Ahmad","given":"Mehboob","non-dropping-particle":"","parse-names":false,"suffix":""}],"container-title":"Renewable and Sustainable Energy Reviews","id":"ITEM-2","issued":{"date-parts":[["2015"]]},"page":"1123-1131","publisher":"Elsevier","title":"Factors determining energy consumption: Evidence from Indonesia, Malaysia and Thailand","type":"article-journal","volume":"42"},"uris":["http://www.mendeley.com/documents/?uuid=c65878a2-d346-4741-92c4-0f8bd5d0e0a7"]}],"mendeley":{"formattedCitation":"(Azam et al., 2015; Tang &amp; Tan, 2014)","plainTextFormattedCitation":"(Azam et al., 2015; Tang &amp; Tan, 2014)","previouslyFormattedCitation":"(Azam et al., 2015; Tang &amp; Tan,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w:t>
      </w:r>
      <w:proofErr w:type="spellStart"/>
      <w:r w:rsidRPr="004923B8">
        <w:rPr>
          <w:rFonts w:ascii="Times New Roman" w:hAnsi="Times New Roman"/>
          <w:sz w:val="20"/>
          <w:szCs w:val="20"/>
        </w:rPr>
        <w:t>Azam</w:t>
      </w:r>
      <w:proofErr w:type="spellEnd"/>
      <w:r w:rsidRPr="004923B8">
        <w:rPr>
          <w:rFonts w:ascii="Times New Roman" w:hAnsi="Times New Roman"/>
          <w:sz w:val="20"/>
          <w:szCs w:val="20"/>
        </w:rPr>
        <w:t xml:space="preserve"> et al., 2015; Tang &amp; Tan,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 GDP coefficients are positive and statistically significant in both overall and sectoral models. The available literature contradicts our results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{"citationItems":[{"id":"ITEM-1","itemData":{"ISSN":"0301-4215","author":[{"dropping-particle":"","family":"Zaman","given":"Khalid","non-dropping-particle":"","parse-names":false,"suffix":""},{"dropping-particle":"","family":"Khan","given":"Muhammad M","non-dropping-particle":"","parse-names":false,"suffix":""},{"dropping-particle":"","family":"Ahmad","given":"Mehboob","non-dropping-particle":"","parse-names":false,"suffix":""},{"dropping-particle":"","family":"Rustam","given":"Rabiah","non-dropping-particle":"","parse-names":false,"suffix":""}],"container-title":"Energy Policy","id":"ITEM-1","issued":{"date-parts":[["2012"]]},"page":"623-634","publisher":"Elsevier","title":"Determinants of electricity consumption function in Pakistan: Old wine in a new bottle","type":"article-journal","volume":"50"},"uris":["http://www.mendeley.com/documents/?uuid=f809be17-64ed-4770-8444-c8f70fc5c0cd"]},{"id":"ITEM-2","itemData":{"ISSN":"1364-0321","author":[{"dropping-particle":"","family":"Khan","given":"Muhammad Arshad","non-dropping-particle":"","parse-names":false,"suffix":""},{"dropping-particle":"","family":"Abbas","given":"Faisal","non-dropping-particle":"","parse-names":false,"suffix":""}],"container-title":"Renewable and Sustainable Energy Reviews","id":"ITEM-2","issued":{"date-parts":[["2016"]]},"page":"1159-1178","publisher":"Elsevier","title":"The dynamics of electricity demand in Pakistan: A panel cointegration analysis","type":"article-journal","volume":"65"},"uris":["http://www.mendeley.com/documents/?uuid=b893c897-2e01-4d72-ad19-8bc0112a9e7f"]},{"id":"ITEM-3","itemData":{"ISSN":"0301-4215","author":[{"dropping-particle":"","family":"Lin","given":"Boqiang","non-dropping-particle":"","parse-names":false,"suffix":""},{"dropping-particle":"","family":"Ouyang","given":"Xiaoling","non-dropping-particle":"","parse-names":false,"suffix":""}],"container-title":"Energy Policy","id":"ITEM-3","issued":{"date-parts":[["2014"]]},"page":"243-253","publisher":"Elsevier","title":"Electricity demand and conservation potential in the Chinese nonmetallic mineral products industry","type":"article-journal","volume":"68"},"uris":["http://www.mendeley.com/documents/?uuid=194dc03a-1749-4637-84d1-5983ba0ef3b2"]},{"id":"ITEM-4","itemData":{"author":[{"dropping-particle":"","family":"Leitão","given":"Nuno Carlos","non-dropping-particle":"","parse-names":false,"suffix":""}],"container-title":"International Journal of Energy Economics and Policy","id":"ITEM-4","issue":"1","issued":{"date-parts":[["2015"]]},"page":"138-147","title":"Energy consumption and foreign direct investment: a panel data analysis for Portugal","type":"article-journal","volume":"5"},"uris":["http://www.mendeley.com/documents/?uuid=1380d15f-54f4-4fd9-836c-cbb640f69a85"]},{"id":"ITEM-5","itemData":{"ISSN":"1364-0321","author":[{"dropping-particle":"","family":"Mudakkar","given":"Syeda Rabab","non-dropping-particle":"","parse-names":false,"suffix":""},{"dropping-particle":"","family":"Zaman","given":"Khalid","non-dropping-particle":"","parse-names":false,"suffix":""},{"dropping-particle":"","family":"Shakir","given":"Huma","non-dropping-particle":"","parse-names":false,"suffix":""},{"dropping-particle":"","family":"Arif","given":"Mariam","non-dropping-particle":"","parse-names":false,"suffix":""},{"dropping-particle":"","family":"Naseem","given":"Imran","non-dropping-particle":"","parse-names":false,"suffix":""},{"dropping-particle":"","family":"Naz","given":"Lubna","non-dropping-particle":"","parse-names":false,"suffix":""}],"container-title":"Renewable and Sustainable Energy Reviews","id":"ITEM-5","issued":{"date-parts":[["2013"]]},"page":"566-574","publisher":"Elsevier","title":"Determinants of energy consumption function in SAARC countries: Balancing the odds","type":"article-journal","volume":"28"},"uris":["http://www.mendeley.com/documents/?uuid=6667528f-093b-489c-8e6e-93160902d6ae"]}],"mendeley":{"formattedCitation":"(M. A. Khan &amp; Abbas, 2016; Leitão, 2015; B. Lin &amp; Ouyang, 2014; Mudakkar et al., 2013; Zaman et al., 2012)","plainTextFormattedCitation":"(M. A. Khan &amp; Abbas, 2016; Leitão, 2015; B. Lin &amp; Ouyang, 2014; Mudakkar et al., 2013; Zaman et al., 2012)","previouslyFormattedCitation":"(M. A. Khan &amp; Abbas, 2016; Leitão, 2015; B. Lin &amp; Ouyang, 2014; Mudakkar et al., 2013; Zaman et al., 2012)"},"properties":{"noteIndex":0},"schema":"https://github.com/citation-style-language/schema/raw/master/csl-citation.json"}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 xml:space="preserve">(M. A. </w:t>
      </w:r>
      <w:r w:rsidRPr="004923B8">
        <w:rPr>
          <w:rFonts w:ascii="Times New Roman" w:hAnsi="Times New Roman"/>
          <w:sz w:val="20"/>
          <w:szCs w:val="20"/>
        </w:rPr>
        <w:lastRenderedPageBreak/>
        <w:t>Khan &amp; Abbas, 2016; Leitão, 2015; B. Lin &amp; Ouyang, 2014; Mudakkar et al., 2013; Zaman et al., 2012)</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Our GDP coefficients correspond with the Environmental Kuznets Curve (EKC) theory which is based on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{"citationItems":[{"id":"ITEM-1","itemData":{"ISSN":"0002-8282","author":[{"dropping-particle":"","family":"Kuznets","given":"Simon","non-dropping-particle":"","parse-names":false,"suffix":""}],"container-title":"The American economic review","id":"ITEM-1","issue":"1","issued":{"date-parts":[["1955"]]},"page":"1-28","publisher":"JSTOR","title":"Economic growth and income inequality","type":"article-journal","volume":"45"},"uris":["http://www.mendeley.com/documents/?uuid=4c921019-b8b1-4763-9ef4-10cc6a784100"]}],"mendeley":{"formattedCitation":"(Kuznets, 1955)","plainTextFormattedCitation":"(Kuznets, 1955)","previouslyFormattedCitation":"(Kuznets, 1955)"},"properties":{"noteIndex":0},"schema":"https://github.com/citation-style-language/schema/raw/master/csl-citation.json"}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(Kuznets, 1955)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The estimated elasticity of energy intensity in aggregate and industrial sector models is huge and statistically significant. These findings are supported by the fact that Pakistan has a very energy-intensive economy, both at the aggregate and sectoral levels. The country has the second-highest energy-intensive economy among South Asian countries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{"citationItems":[{"id":"ITEM-1","itemData":{"ISSN":"2521-005X","author":[{"dropping-particle":"","family":"Mirza","given":"Faisal Mehmood","non-dropping-particle":"","parse-names":false,"suffix":""},{"dropping-particle":"","family":"Fatima","given":"Nishat","non-dropping-particle":"","parse-names":false,"suffix":""}],"container-title":"Pakistan Business Review","id":"ITEM-1","issue":"4","issued":{"date-parts":[["2016"]]},"title":"Drivers of energy intensity in Pakistan: an assessment using index decomposition methods","type":"article-journal","volume":"17"},"uris":["http://www.mendeley.com/documents/?uuid=ff0a897c-f718-42f6-9baf-a937bb6332a7"]}],"mendeley":{"formattedCitation":"(Mirza &amp; Fatima, 2016)","plainTextFormattedCitation":"(Mirza &amp; Fatima, 2016)","previouslyFormattedCitation":"(Mirza &amp; Fatima, 2016)"},"properties":{"noteIndex":0},"schema":"https://github.com/citation-style-language/schema/raw/master/csl-citation.json"}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(Mirza &amp; Fatima, 2016)</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According to the State Bank of Pakistan, the Pakistani economy's usage of natural gas is inefficient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{"citationItems":[{"id":"ITEM-1","itemData":{"URL":"https://www.sbp.org.pk/reports/annual/arFY14/Anul-index-eng-14.htm","accessed":{"date-parts":[["2021","7","25"]]},"container-title":"State Bank of Pakistan","id":"ITEM-1","issued":{"date-parts":[["2014"]]},"title":"SBP","type":"webpage"},"uris":["http://www.mendeley.com/documents/?uuid=d4ddfb8f-7817-358c-8e50-799a68431fd5"]}],"mendeley":{"formattedCitation":"(&lt;i&gt;SBP&lt;/i&gt;, 2014)","plainTextFormattedCitation":"(SBP, 2014)","previouslyFormattedCitation":"(&lt;i&gt;SBP&lt;/i&gt;,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w:t>
      </w:r>
      <w:r w:rsidRPr="004923B8">
        <w:rPr>
          <w:rFonts w:ascii="Times New Roman" w:hAnsi="Times New Roman"/>
          <w:i/>
          <w:sz w:val="20"/>
          <w:szCs w:val="20"/>
        </w:rPr>
        <w:t>SBP</w:t>
      </w:r>
      <w:r w:rsidRPr="004923B8">
        <w:rPr>
          <w:rFonts w:ascii="Times New Roman" w:hAnsi="Times New Roman"/>
          <w:sz w:val="20"/>
          <w:szCs w:val="20"/>
        </w:rPr>
        <w:t>,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in addition, the industrial and residential sectors use a lot of gas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{"citationItems":[{"id":"ITEM-1","itemData":{"author":[{"dropping-particle":"","family":"Yearbook","given":"Pakistan Energy","non-dropping-particle":"","parse-names":false,"suffix":""}],"container-title":"Ministry of petroleum &amp; natural resource. Government of Pakistan, Islamabad. Available at:https://www.hdip.com.pk/.","id":"ITEM-1","issued":{"date-parts":[["2014"]]},"title":"Hydrocarbon Development Institute","type":"article-journal"},"uris":["http://www.mendeley.com/documents/?uuid=8e2ca1e9-2c8a-4868-a3f1-c41ce181da71"]}],"mendeley":{"formattedCitation":"(Yearbook, 2014)","plainTextFormattedCitation":"(Yearbook, 2014)","previouslyFormattedCitation":"(Yearbook,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(Yearbook,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Energy appliances in the corporate sector are inefficient, achieving just 20–25 percent energy efficiency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{"citationItems":[{"id":"ITEM-1","itemData":{"author":[{"dropping-particle":"","family":"Lanka","given":"Sri","non-dropping-particle":"","parse-names":false,"suffix":""}],"id":"ITEM-1","issued":{"date-parts":[["2009"]]},"title":"Technical Assistance Consultant's Final Report Pakistan: Sustainable Energy Efficiency Development Program Financed by the Asian Development Bank (ADB)","type":"article-journal"},"uris":["http://www.mendeley.com/documents/?uuid=f6102864-525f-3d53-a2df-18533313dc03"]}],"mendeley":{"formattedCitation":"(Lanka, 2009)","plainTextFormattedCitation":"(Lanka, 2009)","previouslyFormattedCitation":"(Lanka, 2009)"},"properties":{"noteIndex":0},"schema":"https://github.com/citation-style-language/schema/raw/master/csl-citation.json"}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(Lanka, 2009)</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ENERCON)</w:t>
      </w:r>
      <w:r w:rsidRPr="004923B8">
        <w:rPr>
          <w:rFonts w:ascii="Times New Roman" w:hAnsi="Times New Roman"/>
          <w:sz w:val="20"/>
          <w:szCs w:val="20"/>
        </w:rPr>
        <w:footnoteReference w:id="2"/>
      </w:r>
      <w:r w:rsidRPr="004923B8">
        <w:rPr>
          <w:rFonts w:ascii="Times New Roman" w:hAnsi="Times New Roman"/>
          <w:sz w:val="20"/>
          <w:szCs w:val="20"/>
        </w:rPr>
        <w:t xml:space="preserve">. According to the current research, the elasticity of energy consumption concerning trade openness is positive and statistically significant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{"citationItems":[{"id":"ITEM-1","itemData":{"ISSN":"0301-4215","author":[{"dropping-particle":"","family":"Raza","given":"Syed Ali","non-dropping-particle":"","parse-names":false,"suffix":""},{"dropping-particle":"","family":"Shahbaz","given":"Muhammad","non-dropping-particle":"","parse-names":false,"suffix":""},{"dropping-particle":"","family":"Nguyen","given":"Duc Khuong","non-dropping-particle":"","parse-names":false,"suffix":""}],"container-title":"Energy Policy","id":"ITEM-1","issued":{"date-parts":[["2015"]]},"page":"1-10","publisher":"Elsevier","title":"Energy conservation policies, growth and trade performance: Evidence of feedback hypothesis in Pakistan","type":"article-journal","volume":"80"},"uris":["http://www.mendeley.com/documents/?uuid=a8be0fcd-e980-4469-9274-61f89eec4e54"]}],"mendeley":{"formattedCitation":"(S. A. Raza et al., 2015)","manualFormatting":"(Raza, Shahbaz and Nguyen, 2015)","plainTextFormattedCitation":"(S. A. Raza et al., 2015)","previouslyFormattedCitation":"(S. A. Raza et al.,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(Raza, Shahbaz and Nguyen, 2015)</w:t>
      </w:r>
      <w:r w:rsidR="00674261" w:rsidRPr="004923B8">
        <w:rPr>
          <w:rStyle w:val="FootnoteReference"/>
          <w:rFonts w:ascii="Times New Roman" w:hAnsi="Times New Roman"/>
          <w:sz w:val="20"/>
          <w:szCs w:val="20"/>
        </w:rPr>
        <w:fldChar w:fldCharType="end"/>
      </w:r>
      <w:r w:rsidR="005557AE">
        <w:rPr>
          <w:rStyle w:val="FootnoteReference"/>
          <w:rFonts w:ascii="Times New Roman" w:hAnsi="Times New Roman" w:hint="eastAsia"/>
          <w:sz w:val="20"/>
          <w:szCs w:val="20"/>
          <w:lang w:eastAsia="zh-CN"/>
        </w:rPr>
        <w:t xml:space="preserve">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{"citationItems":[{"id":"ITEM-1","itemData":{"ISSN":"0140-9883","author":[{"dropping-particle":"","family":"Sadorsky","given":"Perry","non-dropping-particle":"","parse-names":false,"suffix":""}],"container-title":"Energy Economics","id":"ITEM-1","issue":"5","issued":{"date-parts":[["2011"]]},"page":"739-749","publisher":"Elsevier","title":"Trade and energy consumption in the Middle East","type":"article-journal","volume":"33"},"uris":["http://www.mendeley.com/documents/?uuid=1f350ccd-ca62-42e5-bcc0-a1591cff2983"]}],"mendeley":{"formattedCitation":"(Sadorsky, 2011)","plainTextFormattedCitation":"(Sadorsky, 2011)","previouslyFormattedCitation":"(Sadorsky, 2011)"},"properties":{"noteIndex":0},"schema":"https://github.com/citation-style-language/schema/raw/master/csl-citation.json"}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w:t>
      </w:r>
      <w:proofErr w:type="spellStart"/>
      <w:r w:rsidRPr="004923B8">
        <w:rPr>
          <w:rFonts w:ascii="Times New Roman" w:hAnsi="Times New Roman"/>
          <w:bCs/>
          <w:sz w:val="20"/>
          <w:szCs w:val="20"/>
        </w:rPr>
        <w:t>Sadorsky</w:t>
      </w:r>
      <w:proofErr w:type="spellEnd"/>
      <w:r w:rsidRPr="004923B8">
        <w:rPr>
          <w:rFonts w:ascii="Times New Roman" w:hAnsi="Times New Roman"/>
          <w:bCs/>
          <w:sz w:val="20"/>
          <w:szCs w:val="20"/>
        </w:rPr>
        <w:t>, 2011)</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w:t>
      </w:r>
    </w:p>
    <w:p w:rsidR="00674261" w:rsidRPr="004923B8" w:rsidRDefault="00674261" w:rsidP="004923B8">
      <w:pPr>
        <w:adjustRightInd w:val="0"/>
        <w:snapToGrid w:val="0"/>
        <w:spacing w:after="0" w:line="240" w:lineRule="auto"/>
        <w:jc w:val="both"/>
        <w:rPr>
          <w:rFonts w:ascii="Times New Roman" w:hAnsi="Times New Roman"/>
          <w:b/>
          <w:sz w:val="20"/>
          <w:szCs w:val="20"/>
        </w:rPr>
        <w:sectPr w:rsidR="00674261" w:rsidRPr="004923B8">
          <w:type w:val="continuous"/>
          <w:pgSz w:w="12240" w:h="15840"/>
          <w:pgMar w:top="1440" w:right="1440" w:bottom="1440" w:left="1440" w:header="720" w:footer="720" w:gutter="0"/>
          <w:cols w:num="2" w:space="720"/>
          <w:docGrid w:linePitch="360"/>
        </w:sect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Pr="004923B8" w:rsidRDefault="004923B8" w:rsidP="004923B8">
      <w:pPr>
        <w:adjustRightInd w:val="0"/>
        <w:snapToGrid w:val="0"/>
        <w:spacing w:after="0" w:line="240" w:lineRule="auto"/>
        <w:jc w:val="both"/>
        <w:rPr>
          <w:rFonts w:ascii="Times New Roman" w:hAnsi="Times New Roman" w:hint="eastAsia"/>
          <w:b/>
          <w:sz w:val="20"/>
          <w:szCs w:val="20"/>
          <w:lang w:eastAsia="zh-CN"/>
        </w:rPr>
      </w:pPr>
      <w:r w:rsidRPr="004923B8">
        <w:rPr>
          <w:rFonts w:ascii="Times New Roman" w:hAnsi="Times New Roman"/>
          <w:b/>
          <w:sz w:val="20"/>
          <w:szCs w:val="20"/>
        </w:rPr>
        <w:t>Table 5: Lag order selection criteria in VAR</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1398"/>
        <w:gridCol w:w="1398"/>
        <w:gridCol w:w="1528"/>
        <w:gridCol w:w="1496"/>
        <w:gridCol w:w="1496"/>
        <w:gridCol w:w="1498"/>
      </w:tblGrid>
      <w:tr w:rsidR="00674261" w:rsidRPr="004923B8" w:rsidTr="005557AE">
        <w:trPr>
          <w:cantSplit/>
          <w:jc w:val="center"/>
        </w:trPr>
        <w:tc>
          <w:tcPr>
            <w:tcW w:w="5000" w:type="pct"/>
            <w:gridSpan w:val="7"/>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Aggregate</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Lag</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LogL</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LR</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FPE</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AIC</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SBIC</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HQ</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0</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151.4253</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7.89E-13</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-9.12435</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-7.33427</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345.654</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311.0478</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6.98E-15</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-18.4426</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-12.762*</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-9.563</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420.456</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52.1145*</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4.32E-14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-19.0224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-13.7344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-16.135</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3</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440.6927</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43.3976</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2.02E-14*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19.9227*</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-10.1714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-19.4521</w:t>
            </w:r>
          </w:p>
        </w:tc>
      </w:tr>
      <w:tr w:rsidR="00674261" w:rsidRPr="004923B8" w:rsidTr="005557AE">
        <w:trPr>
          <w:cantSplit/>
          <w:jc w:val="center"/>
        </w:trPr>
        <w:tc>
          <w:tcPr>
            <w:tcW w:w="5000" w:type="pct"/>
            <w:gridSpan w:val="7"/>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Industrial Sector</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0</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96.438</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3.30E-08</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-5.2264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-2.5602</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-4.5298</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276.342</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312.459*</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2.60E-12*</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-12.6745*</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-14.3456*</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-12.0347*</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312.3216</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32.6803</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2.03E-14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-11.465</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-12.0356</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-14.6092</w:t>
            </w:r>
          </w:p>
        </w:tc>
      </w:tr>
      <w:tr w:rsidR="00674261" w:rsidRPr="004923B8" w:rsidTr="005557AE">
        <w:trPr>
          <w:cantSplit/>
          <w:jc w:val="center"/>
        </w:trPr>
        <w:tc>
          <w:tcPr>
            <w:tcW w:w="5000" w:type="pct"/>
            <w:gridSpan w:val="7"/>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Commercial Sector</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0</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117.8097</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1.03E-07</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-5.4213</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-5.2654</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-4.51834</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 </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311.2245</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319.9016</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5.82E-13</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-13.3541</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-15.1128* </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-13.0534*</w:t>
            </w:r>
          </w:p>
        </w:tc>
      </w:tr>
      <w:tr w:rsidR="00674261" w:rsidRPr="004923B8" w:rsidTr="005557AE">
        <w:trPr>
          <w:cantSplit/>
          <w:jc w:val="center"/>
        </w:trPr>
        <w:tc>
          <w:tcPr>
            <w:tcW w:w="3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342.8265</w:t>
            </w:r>
          </w:p>
        </w:tc>
        <w:tc>
          <w:tcPr>
            <w:tcW w:w="730"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42.5468*</w:t>
            </w:r>
          </w:p>
        </w:tc>
        <w:tc>
          <w:tcPr>
            <w:tcW w:w="798"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3.10E-13*</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-15.2537*</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-14.385</w:t>
            </w:r>
          </w:p>
        </w:tc>
        <w:tc>
          <w:tcPr>
            <w:tcW w:w="781"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-12.3768</w:t>
            </w:r>
          </w:p>
        </w:tc>
      </w:tr>
    </w:tbl>
    <w:p w:rsidR="00674261" w:rsidRDefault="00674261" w:rsidP="004923B8">
      <w:pPr>
        <w:adjustRightInd w:val="0"/>
        <w:snapToGrid w:val="0"/>
        <w:spacing w:after="0" w:line="240" w:lineRule="auto"/>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sz w:val="20"/>
          <w:szCs w:val="20"/>
          <w:lang w:eastAsia="zh-CN"/>
        </w:rPr>
        <w:sectPr w:rsidR="005557AE" w:rsidRPr="004923B8">
          <w:type w:val="continuous"/>
          <w:pgSz w:w="12240" w:h="15840"/>
          <w:pgMar w:top="1440" w:right="1440" w:bottom="1440" w:left="1440" w:header="720" w:footer="720" w:gutter="0"/>
          <w:cols w:space="425"/>
          <w:docGrid w:linePitch="360"/>
        </w:sect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lastRenderedPageBreak/>
        <w:t xml:space="preserve">4.4 Scenario analysis </w:t>
      </w:r>
    </w:p>
    <w:p w:rsidR="00674261" w:rsidRDefault="004923B8" w:rsidP="005557AE">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As indicated in Table 8, we have classified yearly growth rates of exogenous variables in three scenarios for future forecasting: baseline, moderate, and advance. Our BAU </w:t>
      </w:r>
      <w:bookmarkStart w:id="5" w:name="_Hlk77978073"/>
      <w:r w:rsidRPr="004923B8">
        <w:rPr>
          <w:rFonts w:ascii="Times New Roman" w:hAnsi="Times New Roman"/>
          <w:sz w:val="20"/>
          <w:szCs w:val="20"/>
        </w:rPr>
        <w:t xml:space="preserve">baseline scenario </w:t>
      </w:r>
      <w:bookmarkEnd w:id="5"/>
      <w:r w:rsidRPr="004923B8">
        <w:rPr>
          <w:rFonts w:ascii="Times New Roman" w:hAnsi="Times New Roman"/>
          <w:sz w:val="20"/>
          <w:szCs w:val="20"/>
        </w:rPr>
        <w:t xml:space="preserve">(BS) is specifically defined by the </w:t>
      </w:r>
      <w:bookmarkStart w:id="6" w:name="_Hlk77976832"/>
      <w:r w:rsidRPr="004923B8">
        <w:rPr>
          <w:rFonts w:ascii="Times New Roman" w:hAnsi="Times New Roman"/>
          <w:sz w:val="20"/>
          <w:szCs w:val="20"/>
        </w:rPr>
        <w:t xml:space="preserve">Intergovernmental Panel on Climate Change </w:t>
      </w:r>
      <w:bookmarkEnd w:id="6"/>
      <w:r w:rsidRPr="004923B8">
        <w:rPr>
          <w:rFonts w:ascii="Times New Roman" w:hAnsi="Times New Roman"/>
          <w:sz w:val="20"/>
          <w:szCs w:val="20"/>
        </w:rPr>
        <w:t>(</w:t>
      </w:r>
      <w:bookmarkStart w:id="7" w:name="_Hlk77976811"/>
      <w:r w:rsidRPr="004923B8">
        <w:rPr>
          <w:rFonts w:ascii="Times New Roman" w:hAnsi="Times New Roman"/>
          <w:sz w:val="20"/>
          <w:szCs w:val="20"/>
        </w:rPr>
        <w:t>IPCC</w:t>
      </w:r>
      <w:bookmarkEnd w:id="7"/>
      <w:r w:rsidRPr="004923B8">
        <w:rPr>
          <w:rFonts w:ascii="Times New Roman" w:hAnsi="Times New Roman"/>
          <w:sz w:val="20"/>
          <w:szCs w:val="20"/>
        </w:rPr>
        <w:t xml:space="preserve">). The BAU baseline scenario's growth rate is the average annual growth rate of each exogenous series from 1981 to 2019. It denotes that under the BAU baseline scenario from 2014 to 2030, each variable will preserve its average annual growth rate assuming no policy changes. The formulation of a BS is enabled in the absence of assumptions by the fact that the series must pass through this growth rate in the future. The growth rates for each sequence in the advance scenario (AS) are based on Pakistan's economic facts. We provide an AS for CPEC-related economic performance and compliance with Pakistan's Vision 2025. Our scenario research strongly corresponds to the policy documents. The </w:t>
      </w:r>
      <w:bookmarkStart w:id="8" w:name="_Hlk77978210"/>
      <w:r w:rsidRPr="004923B8">
        <w:rPr>
          <w:rFonts w:ascii="Times New Roman" w:hAnsi="Times New Roman"/>
          <w:sz w:val="20"/>
          <w:szCs w:val="20"/>
        </w:rPr>
        <w:t xml:space="preserve">moderate scenario </w:t>
      </w:r>
      <w:bookmarkEnd w:id="8"/>
      <w:r w:rsidRPr="004923B8">
        <w:rPr>
          <w:rFonts w:ascii="Times New Roman" w:hAnsi="Times New Roman"/>
          <w:sz w:val="20"/>
          <w:szCs w:val="20"/>
        </w:rPr>
        <w:t>(MS) represents a kind environment and is situated between the advance and baseline scenarios. Its growth rate for each series is computed by averaging the baseline and advanced scenario growth rates. The following is a brief description of the growth rates of the exogenous variables under consideration.</w:t>
      </w:r>
    </w:p>
    <w:p w:rsidR="005557AE" w:rsidRPr="004923B8" w:rsidRDefault="005557AE" w:rsidP="005557AE">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b/>
          <w:sz w:val="20"/>
          <w:szCs w:val="20"/>
        </w:rPr>
        <w:t>4.4.1 Energy prices scenario</w:t>
      </w:r>
      <w:r w:rsidRPr="004923B8">
        <w:rPr>
          <w:rFonts w:ascii="Times New Roman" w:hAnsi="Times New Roman"/>
          <w:sz w:val="20"/>
          <w:szCs w:val="20"/>
        </w:rPr>
        <w:t xml:space="preserve">    </w:t>
      </w:r>
    </w:p>
    <w:p w:rsidR="00674261" w:rsidRDefault="004923B8" w:rsidP="004923B8">
      <w:pPr>
        <w:adjustRightInd w:val="0"/>
        <w:snapToGrid w:val="0"/>
        <w:spacing w:after="0" w:line="240" w:lineRule="auto"/>
        <w:jc w:val="both"/>
        <w:rPr>
          <w:rFonts w:ascii="Times New Roman" w:hAnsi="Times New Roman" w:hint="eastAsia"/>
          <w:sz w:val="20"/>
          <w:szCs w:val="20"/>
          <w:lang w:eastAsia="zh-CN"/>
        </w:rPr>
      </w:pPr>
      <w:r w:rsidRPr="004923B8">
        <w:rPr>
          <w:rFonts w:ascii="Times New Roman" w:hAnsi="Times New Roman"/>
          <w:sz w:val="20"/>
          <w:szCs w:val="20"/>
        </w:rPr>
        <w:lastRenderedPageBreak/>
        <w:t xml:space="preserve">NTDC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{"citationItems":[{"id":"ITEM-1","itemData":{"author":[{"dropping-particle":"","family":"NTDC","given":"","non-dropping-particle":"","parse-names":false,"suffix":""}],"container-title":"NTDC National Transmission and Dispatch Company","id":"ITEM-1","issued":{"date-parts":[["2011"]]},"page":"32","title":"National Power System Expansion Plan (2011–2030). Final Report. ","type":"article-journal","volume":"Final Repo"},"suppress-author":1,"uris":["http://www.mendeley.com/documents/?uuid=75be6af0-dbe8-4cca-9b20-cb6747e30af7"]}],"mendeley":{"formattedCitation":"(2011)","plainTextFormattedCitation":"(2011)","previouslyFormattedCitation":"(2011)"},"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(2011)</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&amp; Australia P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{"citationItems":[{"id":"ITEM-1","itemData":{"author":[{"dropping-particle":"","family":"Austrilia","given":"p","non-dropping-particle":"","parse-names":false,"suffix":""}],"id":"ITEM-1","issued":{"date-parts":[["2015","2","11"]]},"title":"The world in 2050: will the shift in global economic power continue?","type":"webpage"},"suppress-author":1,"uris":["http://www.mendeley.com/documents/?uuid=6be3f196-81b2-36f8-92f7-52b0a6f460ae"]}],"mendeley":{"formattedCitation":"(2015)","plainTextFormattedCitation":"(2015)","previouslyFormattedCitation":"(2015)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forecasted that average power prices will rise 2.025 percent from 2011 to 2020 and 1.25 percent from 2020 to 2030 over the period 2011–2030. From 2011 through 2020, these prices will rise by 0.6 percent and 2.2 percent, respectively, in the industrial and commercial sectors. During the years 2020–2030, however, this sectoral price rise will drop to 0.3 percent and 1.1 percent, respectively. According to the AS, the average price growth rates for the overall, industrial, and commercial sectors throughout 2011 and 2030 will be 1.638 percent, 0.45 percent, and 1.65 percent, respectively. For all models, these growth rates will be lower than the BS. The forward scenario has a lower rate of rising energy costs, which is in line with CPEC since more renewable energy is forecast to join Pakistan's permanent magnet.</w:t>
      </w:r>
    </w:p>
    <w:p w:rsidR="005557AE" w:rsidRPr="004923B8" w:rsidRDefault="005557AE" w:rsidP="004923B8">
      <w:pPr>
        <w:adjustRightInd w:val="0"/>
        <w:snapToGrid w:val="0"/>
        <w:spacing w:after="0" w:line="240" w:lineRule="auto"/>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 xml:space="preserve">4.4.2 GDP scenario </w:t>
      </w:r>
    </w:p>
    <w:p w:rsidR="00674261" w:rsidRPr="004923B8" w:rsidRDefault="004923B8" w:rsidP="004923B8">
      <w:pPr>
        <w:adjustRightInd w:val="0"/>
        <w:snapToGrid w:val="0"/>
        <w:spacing w:after="0" w:line="240" w:lineRule="auto"/>
        <w:ind w:firstLineChars="200" w:firstLine="400"/>
        <w:jc w:val="both"/>
        <w:rPr>
          <w:rFonts w:ascii="Times New Roman" w:hAnsi="Times New Roman"/>
          <w:sz w:val="20"/>
          <w:szCs w:val="20"/>
        </w:rPr>
      </w:pPr>
      <w:r w:rsidRPr="004923B8">
        <w:rPr>
          <w:rFonts w:ascii="Times New Roman" w:hAnsi="Times New Roman"/>
          <w:sz w:val="20"/>
          <w:szCs w:val="20"/>
        </w:rPr>
        <w:t xml:space="preserve">Due to its enlarging working-age population, Pakistan is expected to have a good GDP growth rate Australia P </w:t>
      </w:r>
      <w:r w:rsidR="00674261" w:rsidRPr="004923B8">
        <w:rPr>
          <w:rStyle w:val="FootnoteReference"/>
          <w:rFonts w:ascii="Times New Roman" w:hAnsi="Times New Roman"/>
          <w:sz w:val="20"/>
          <w:szCs w:val="20"/>
          <w:vertAlign w:val="baseline"/>
        </w:rPr>
        <w:fldChar w:fldCharType="begin" w:fldLock="1"/>
      </w:r>
      <w:r w:rsidRPr="004923B8">
        <w:rPr>
          <w:rFonts w:ascii="Times New Roman" w:hAnsi="Times New Roman"/>
          <w:sz w:val="20"/>
          <w:szCs w:val="20"/>
        </w:rPr>
        <w:instrText>ADDIN CSL_CITATION {"citationItems":[{"id":"ITEM-1","itemData":{"author":[{"dropping-particle":"","family":"Austrilia","given":"p","non-dropping-particle":"","parse-names":false,"suffix":""}],"id":"ITEM-1","issued":{"date-parts":[["2015","2","11"]]},"title":"The world in 2050: will the shift in global economic power continue?","type":"webpage"},"suppress-author":1,"uris":["http://www.mendeley.com/documents/?uuid=6be3f196-81b2-36f8-92f7-52b0a6f460ae"]}],"mendeley":{"formattedCitation":"(2015)","plainTextFormattedCitation":"(2015)","previouslyFormattedCitation":"(2015)"},"properties":{"noteIndex":0},"schema":"https://github.com/citation-style-language/schema/raw/master/csl-citation.json"}</w:instrText>
      </w:r>
      <w:r w:rsidR="00674261" w:rsidRPr="004923B8">
        <w:rPr>
          <w:rStyle w:val="FootnoteReference"/>
          <w:rFonts w:ascii="Times New Roman" w:hAnsi="Times New Roman"/>
          <w:sz w:val="20"/>
          <w:szCs w:val="20"/>
          <w:vertAlign w:val="baseline"/>
        </w:rPr>
        <w:fldChar w:fldCharType="separate"/>
      </w:r>
      <w:r w:rsidRPr="004923B8">
        <w:rPr>
          <w:rStyle w:val="FootnoteReference"/>
          <w:rFonts w:ascii="Times New Roman" w:hAnsi="Times New Roman"/>
          <w:sz w:val="20"/>
          <w:szCs w:val="20"/>
          <w:vertAlign w:val="baseline"/>
        </w:rPr>
        <w:t>(2015)</w:t>
      </w:r>
      <w:r w:rsidR="00674261" w:rsidRPr="004923B8">
        <w:rPr>
          <w:rStyle w:val="FootnoteReference"/>
          <w:rFonts w:ascii="Times New Roman" w:hAnsi="Times New Roman"/>
          <w:sz w:val="20"/>
          <w:szCs w:val="20"/>
          <w:vertAlign w:val="baseline"/>
        </w:rPr>
        <w:fldChar w:fldCharType="end"/>
      </w:r>
      <w:r w:rsidRPr="004923B8">
        <w:rPr>
          <w:rFonts w:ascii="Times New Roman" w:hAnsi="Times New Roman"/>
          <w:sz w:val="20"/>
          <w:szCs w:val="20"/>
        </w:rPr>
        <w:t>. Pakistan's Vision 2025 has set an 8 percent GDP growth goal from 2018 to 2025. Pakistan's Vision 2030 aspires to achieve a 7–8% GDP growth rate by 2030. The CPEC will increase current GDP by 2.5%, extending the level of progress to 7.5%. Given the goals in the Government statements and the CPEC, we have established a GDP growth rate of 7.5 percent for the AS and 6.144 percent for the MS.</w:t>
      </w:r>
    </w:p>
    <w:p w:rsidR="00674261" w:rsidRPr="004923B8" w:rsidRDefault="00674261" w:rsidP="004923B8">
      <w:pPr>
        <w:adjustRightInd w:val="0"/>
        <w:snapToGrid w:val="0"/>
        <w:spacing w:after="0" w:line="240" w:lineRule="auto"/>
        <w:jc w:val="both"/>
        <w:rPr>
          <w:rFonts w:ascii="Times New Roman" w:hAnsi="Times New Roman"/>
          <w:b/>
          <w:sz w:val="20"/>
          <w:szCs w:val="20"/>
        </w:rPr>
        <w:sectPr w:rsidR="00674261" w:rsidRPr="004923B8">
          <w:type w:val="continuous"/>
          <w:pgSz w:w="12240" w:h="15840"/>
          <w:pgMar w:top="1440" w:right="1440" w:bottom="1440" w:left="1440" w:header="720" w:footer="720" w:gutter="0"/>
          <w:cols w:num="2" w:space="720"/>
          <w:docGrid w:linePitch="360"/>
        </w:sect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sz w:val="20"/>
          <w:szCs w:val="20"/>
        </w:rPr>
        <w:t>Table 6:</w:t>
      </w:r>
      <w:r w:rsidRPr="004923B8">
        <w:rPr>
          <w:rFonts w:ascii="Times New Roman" w:hAnsi="Times New Roman"/>
          <w:sz w:val="20"/>
          <w:szCs w:val="20"/>
        </w:rPr>
        <w:t xml:space="preserve"> </w:t>
      </w:r>
      <w:r w:rsidRPr="004923B8">
        <w:rPr>
          <w:rFonts w:ascii="Times New Roman" w:hAnsi="Times New Roman"/>
          <w:b/>
          <w:bCs/>
          <w:sz w:val="20"/>
          <w:szCs w:val="20"/>
        </w:rPr>
        <w:t>Johansen Trace and Max-Eigen test for cointegration.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57"/>
        <w:gridCol w:w="1295"/>
        <w:gridCol w:w="1294"/>
        <w:gridCol w:w="1294"/>
        <w:gridCol w:w="1294"/>
        <w:gridCol w:w="1294"/>
        <w:gridCol w:w="1294"/>
      </w:tblGrid>
      <w:tr w:rsidR="00674261" w:rsidRPr="004923B8" w:rsidTr="005557AE">
        <w:trPr>
          <w:cantSplit/>
          <w:jc w:val="center"/>
        </w:trPr>
        <w:tc>
          <w:tcPr>
            <w:tcW w:w="0" w:type="auto"/>
            <w:vMerge w:val="restart"/>
            <w:vAlign w:val="center"/>
          </w:tcPr>
          <w:p w:rsidR="00674261" w:rsidRPr="005557AE" w:rsidRDefault="004923B8" w:rsidP="005557AE">
            <w:pPr>
              <w:adjustRightInd w:val="0"/>
              <w:snapToGrid w:val="0"/>
              <w:spacing w:after="0" w:line="240" w:lineRule="auto"/>
              <w:jc w:val="both"/>
              <w:rPr>
                <w:rFonts w:ascii="Times New Roman" w:hAnsi="Times New Roman" w:hint="eastAsia"/>
                <w:sz w:val="20"/>
                <w:szCs w:val="20"/>
                <w:lang w:eastAsia="zh-CN"/>
              </w:rPr>
            </w:pPr>
            <w:r w:rsidRPr="004923B8">
              <w:rPr>
                <w:rFonts w:ascii="Times New Roman" w:hAnsi="Times New Roman"/>
                <w:sz w:val="20"/>
                <w:szCs w:val="20"/>
              </w:rPr>
              <w:t>H</w:t>
            </w:r>
            <w:r w:rsidRPr="004923B8">
              <w:rPr>
                <w:rFonts w:ascii="Times New Roman" w:hAnsi="Times New Roman"/>
                <w:sz w:val="20"/>
                <w:szCs w:val="20"/>
                <w:vertAlign w:val="subscript"/>
              </w:rPr>
              <w:t xml:space="preserve">0                            </w:t>
            </w:r>
            <w:r w:rsidRPr="004923B8">
              <w:rPr>
                <w:rFonts w:ascii="Times New Roman" w:hAnsi="Times New Roman"/>
                <w:sz w:val="20"/>
                <w:szCs w:val="20"/>
              </w:rPr>
              <w:t xml:space="preserve"> </w:t>
            </w:r>
          </w:p>
        </w:tc>
        <w:tc>
          <w:tcPr>
            <w:tcW w:w="0" w:type="auto"/>
            <w:vMerge w:val="restart"/>
            <w:vAlign w:val="center"/>
          </w:tcPr>
          <w:p w:rsidR="00674261" w:rsidRPr="004923B8" w:rsidRDefault="004923B8" w:rsidP="005557AE">
            <w:pPr>
              <w:adjustRightInd w:val="0"/>
              <w:snapToGrid w:val="0"/>
              <w:spacing w:after="0" w:line="240" w:lineRule="auto"/>
              <w:jc w:val="both"/>
              <w:rPr>
                <w:rFonts w:ascii="Times New Roman" w:hAnsi="Times New Roman"/>
                <w:sz w:val="20"/>
                <w:szCs w:val="20"/>
                <w:vertAlign w:val="subscript"/>
              </w:rPr>
            </w:pPr>
            <w:r w:rsidRPr="004923B8">
              <w:rPr>
                <w:rFonts w:ascii="Times New Roman" w:hAnsi="Times New Roman"/>
                <w:sz w:val="20"/>
                <w:szCs w:val="20"/>
              </w:rPr>
              <w:t>H</w:t>
            </w:r>
            <w:r w:rsidRPr="004923B8">
              <w:rPr>
                <w:rFonts w:ascii="Times New Roman" w:hAnsi="Times New Roman"/>
                <w:sz w:val="20"/>
                <w:szCs w:val="20"/>
                <w:vertAlign w:val="subscript"/>
              </w:rPr>
              <w:t>1</w:t>
            </w:r>
          </w:p>
        </w:tc>
        <w:tc>
          <w:tcPr>
            <w:tcW w:w="0" w:type="auto"/>
            <w:gridSpan w:val="6"/>
            <w:vAlign w:val="center"/>
          </w:tcPr>
          <w:p w:rsidR="00674261" w:rsidRPr="004923B8" w:rsidRDefault="004923B8" w:rsidP="005557AE">
            <w:pPr>
              <w:tabs>
                <w:tab w:val="left" w:pos="2540"/>
                <w:tab w:val="left" w:pos="5016"/>
              </w:tabs>
              <w:adjustRightInd w:val="0"/>
              <w:snapToGrid w:val="0"/>
              <w:spacing w:after="0" w:line="240" w:lineRule="auto"/>
              <w:jc w:val="both"/>
              <w:rPr>
                <w:rFonts w:ascii="Times New Roman" w:hAnsi="Times New Roman"/>
                <w:b/>
                <w:bCs/>
                <w:sz w:val="20"/>
                <w:szCs w:val="20"/>
              </w:rPr>
            </w:pPr>
            <w:r w:rsidRPr="004923B8">
              <w:rPr>
                <w:rFonts w:ascii="Times New Roman" w:hAnsi="Times New Roman"/>
                <w:sz w:val="20"/>
                <w:szCs w:val="20"/>
              </w:rPr>
              <w:t xml:space="preserve">            </w:t>
            </w:r>
            <w:r w:rsidRPr="004923B8">
              <w:rPr>
                <w:rFonts w:ascii="Times New Roman" w:hAnsi="Times New Roman"/>
                <w:b/>
                <w:bCs/>
                <w:sz w:val="20"/>
                <w:szCs w:val="20"/>
              </w:rPr>
              <w:t>Aggregate</w:t>
            </w:r>
            <w:r w:rsidRPr="004923B8">
              <w:rPr>
                <w:rFonts w:ascii="Times New Roman" w:hAnsi="Times New Roman"/>
                <w:b/>
                <w:bCs/>
                <w:sz w:val="20"/>
                <w:szCs w:val="20"/>
              </w:rPr>
              <w:tab/>
              <w:t xml:space="preserve">     Industrial sector                          Commercial sector</w:t>
            </w:r>
          </w:p>
        </w:tc>
      </w:tr>
      <w:tr w:rsidR="00674261" w:rsidRPr="004923B8" w:rsidTr="005557AE">
        <w:trPr>
          <w:cantSplit/>
          <w:jc w:val="center"/>
        </w:trPr>
        <w:tc>
          <w:tcPr>
            <w:tcW w:w="0" w:type="auto"/>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gridSpan w:val="6"/>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Trace           5% CV               Trace               5% CV                  Trace                   5%CV      </w:t>
            </w:r>
          </w:p>
        </w:tc>
      </w:tr>
      <w:tr w:rsidR="00674261" w:rsidRPr="004923B8" w:rsidTr="005557AE">
        <w:trPr>
          <w:gridAfter w:val="6"/>
          <w:cantSplit/>
          <w:trHeight w:val="230"/>
          <w:jc w:val="center"/>
        </w:trPr>
        <w:tc>
          <w:tcPr>
            <w:tcW w:w="0" w:type="auto"/>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 0</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143.7429</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94.5763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137.5328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87.3807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129.749</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85.3076</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r ≥2                                                         </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93.58076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68.18981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91.0217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64.7851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72.7099</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62.7681</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r ≥3                                                         </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47.08416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48.65831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52.15968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40.87252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42.2562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42.52591</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r ≥4                                                        </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23.6295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28.70796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31.7044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26.21187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25.39204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25.11287</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r ≥5                                                     </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11.4158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15.71449</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11.18287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13.71698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9.76532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11.98516</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1.24363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2.41866</w:t>
            </w: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r>
      <w:tr w:rsidR="00674261" w:rsidRPr="004923B8" w:rsidTr="005557AE">
        <w:trPr>
          <w:cantSplit/>
          <w:jc w:val="center"/>
        </w:trPr>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r>
      <w:tr w:rsidR="00674261" w:rsidRPr="004923B8" w:rsidTr="005557AE">
        <w:trPr>
          <w:cantSplit/>
          <w:jc w:val="center"/>
        </w:trPr>
        <w:tc>
          <w:tcPr>
            <w:tcW w:w="0" w:type="auto"/>
            <w:gridSpan w:val="8"/>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H</w:t>
            </w:r>
            <w:r w:rsidRPr="004923B8">
              <w:rPr>
                <w:rFonts w:ascii="Times New Roman" w:hAnsi="Times New Roman"/>
                <w:sz w:val="20"/>
                <w:szCs w:val="20"/>
                <w:vertAlign w:val="subscript"/>
              </w:rPr>
              <w:t xml:space="preserve">0              </w:t>
            </w:r>
            <w:r w:rsidRPr="004923B8">
              <w:rPr>
                <w:rFonts w:ascii="Times New Roman" w:hAnsi="Times New Roman"/>
                <w:sz w:val="20"/>
                <w:szCs w:val="20"/>
              </w:rPr>
              <w:t xml:space="preserve"> H</w:t>
            </w:r>
            <w:r w:rsidRPr="004923B8">
              <w:rPr>
                <w:rFonts w:ascii="Times New Roman" w:hAnsi="Times New Roman"/>
                <w:sz w:val="20"/>
                <w:szCs w:val="20"/>
                <w:vertAlign w:val="subscript"/>
              </w:rPr>
              <w:t xml:space="preserve">1             </w:t>
            </w:r>
            <w:r w:rsidRPr="004923B8">
              <w:rPr>
                <w:rFonts w:ascii="Times New Roman" w:hAnsi="Times New Roman"/>
                <w:sz w:val="20"/>
                <w:szCs w:val="20"/>
              </w:rPr>
              <w:t>Max.Eign           5% CV              Max.Eign           5% CV               Max.Eign            5% CV</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=0</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52.2658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41.0577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48.4814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38.10133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54.6078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9.1037</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45.8125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33.6878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38.1029</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32.8321</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30.1375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34.8321</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24.5645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27.4348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21.2216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21.8232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17.2235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25.3212</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14.7753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22.1623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18.7934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19.7043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14.3472</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19.7048</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≤4</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8.3756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13.4627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11.8187</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10.9696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12.1798</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12.5673</w:t>
            </w:r>
          </w:p>
        </w:tc>
      </w:tr>
      <w:tr w:rsidR="00674261" w:rsidRPr="004923B8" w:rsidTr="005557AE">
        <w:trPr>
          <w:cantSplit/>
          <w:jc w:val="center"/>
        </w:trPr>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r≤5</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r =6</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0.2973</w:t>
            </w:r>
          </w:p>
        </w:tc>
        <w:tc>
          <w:tcPr>
            <w:tcW w:w="0" w:type="auto"/>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3.4668</w:t>
            </w: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0" w:type="auto"/>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r>
    </w:tbl>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b/>
          <w:sz w:val="20"/>
          <w:szCs w:val="20"/>
          <w:lang w:eastAsia="zh-CN"/>
        </w:rPr>
        <w:sectPr w:rsidR="005557AE" w:rsidRPr="004923B8">
          <w:type w:val="continuous"/>
          <w:pgSz w:w="12240" w:h="15840"/>
          <w:pgMar w:top="1440" w:right="1440" w:bottom="1440" w:left="1440" w:header="720" w:footer="720" w:gutter="0"/>
          <w:cols w:space="425"/>
          <w:docGrid w:linePitch="360"/>
        </w:sect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lastRenderedPageBreak/>
        <w:t>4.4.3 Energy intensity scenario</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The economy of Pakistan is largely reliant on energy. There have been no targets set for incorporating energy efficiency into the economy. Consequently, for the aggregate (0.931%) and industrial sector (0.895%) models, we maintained the same growth rate for electricity consumption as in the BS. Because the industrial sector's energy intensity has reduced since 2007, we have projected a 15% reduction in commercial energy intensity growth in the AS. Commercial energy intensity will increase by 0.646 percent and 0.594 percent in the MS and AS, respectively.</w:t>
      </w: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4.4.4 Foreign direct investment scenario</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 foreign direct investment (FDI) towards Pakistan is the China-Pakistan Economic Corridor (CPEC). Electricity and transportation </w:t>
      </w:r>
    </w:p>
    <w:p w:rsidR="00674261" w:rsidRPr="004923B8" w:rsidRDefault="00674261" w:rsidP="004923B8">
      <w:pPr>
        <w:adjustRightInd w:val="0"/>
        <w:snapToGrid w:val="0"/>
        <w:spacing w:after="0" w:line="240" w:lineRule="auto"/>
        <w:ind w:firstLine="720"/>
        <w:jc w:val="both"/>
        <w:rPr>
          <w:rFonts w:ascii="Times New Roman" w:hAnsi="Times New Roman"/>
          <w:sz w:val="20"/>
          <w:szCs w:val="20"/>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sz w:val="20"/>
          <w:szCs w:val="20"/>
        </w:rPr>
        <w:t>infrastructure investments are classified as CPEC-related commercial FDI by all of us. We envisage the CPEC investment in Gwadar as a significant power source of future industrial FDI. The sum of the increase in the BS and the per year growth rate of FDI inflows due to CPEC is the future growth rate of the FDI series under the AS. The estimate is based on the assumption that the average increase in net FDI inflows from 1981 to 2019 will proceed in the future. As a result, we include it in the FDI inflows associated with the CPEC. In conclusion, in the AS, we set long-term FDI growth rates of 39.86%, 20.50%, and 39.84% for the absolute numbers, industrial, and commercial components.</w:t>
      </w:r>
    </w:p>
    <w:p w:rsidR="00674261" w:rsidRPr="004923B8" w:rsidRDefault="00674261" w:rsidP="004923B8">
      <w:pPr>
        <w:adjustRightInd w:val="0"/>
        <w:snapToGrid w:val="0"/>
        <w:spacing w:after="0" w:line="240" w:lineRule="auto"/>
        <w:jc w:val="both"/>
        <w:rPr>
          <w:rFonts w:ascii="Times New Roman" w:hAnsi="Times New Roman"/>
          <w:b/>
          <w:sz w:val="20"/>
          <w:szCs w:val="20"/>
        </w:rPr>
        <w:sectPr w:rsidR="00674261" w:rsidRPr="004923B8">
          <w:type w:val="continuous"/>
          <w:pgSz w:w="12240" w:h="15840"/>
          <w:pgMar w:top="1440" w:right="1440" w:bottom="1440" w:left="1440" w:header="720" w:footer="720" w:gutter="0"/>
          <w:cols w:num="2" w:space="720"/>
          <w:docGrid w:linePitch="360"/>
        </w:sect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Table 7: Present Long run Results</w:t>
      </w:r>
    </w:p>
    <w:tbl>
      <w:tblPr>
        <w:tblpPr w:leftFromText="180" w:rightFromText="180"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1323"/>
        <w:gridCol w:w="1555"/>
        <w:gridCol w:w="1129"/>
        <w:gridCol w:w="1555"/>
        <w:gridCol w:w="1129"/>
        <w:gridCol w:w="1555"/>
        <w:gridCol w:w="1130"/>
      </w:tblGrid>
      <w:tr w:rsidR="00674261" w:rsidRPr="004923B8">
        <w:trPr>
          <w:trHeight w:val="220"/>
        </w:trPr>
        <w:tc>
          <w:tcPr>
            <w:tcW w:w="9376" w:type="dxa"/>
            <w:gridSpan w:val="7"/>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 xml:space="preserve">Dependent Variable: Energy consumption </w:t>
            </w:r>
          </w:p>
        </w:tc>
      </w:tr>
      <w:tr w:rsidR="00674261" w:rsidRPr="004923B8">
        <w:trPr>
          <w:trHeight w:val="215"/>
        </w:trPr>
        <w:tc>
          <w:tcPr>
            <w:tcW w:w="1323" w:type="dxa"/>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 xml:space="preserve">Series </w:t>
            </w:r>
          </w:p>
        </w:tc>
        <w:tc>
          <w:tcPr>
            <w:tcW w:w="2684" w:type="dxa"/>
            <w:gridSpan w:val="2"/>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sz w:val="20"/>
                <w:szCs w:val="20"/>
              </w:rPr>
              <w:t xml:space="preserve">                </w:t>
            </w:r>
            <w:r w:rsidRPr="004923B8">
              <w:rPr>
                <w:rFonts w:ascii="Times New Roman" w:hAnsi="Times New Roman"/>
                <w:b/>
                <w:bCs/>
                <w:sz w:val="20"/>
                <w:szCs w:val="20"/>
              </w:rPr>
              <w:t>Aggregate</w:t>
            </w:r>
          </w:p>
        </w:tc>
        <w:tc>
          <w:tcPr>
            <w:tcW w:w="2684" w:type="dxa"/>
            <w:gridSpan w:val="2"/>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sz w:val="20"/>
                <w:szCs w:val="20"/>
              </w:rPr>
              <w:t xml:space="preserve">                 </w:t>
            </w:r>
            <w:r w:rsidRPr="004923B8">
              <w:rPr>
                <w:rFonts w:ascii="Times New Roman" w:hAnsi="Times New Roman"/>
                <w:b/>
                <w:bCs/>
                <w:sz w:val="20"/>
                <w:szCs w:val="20"/>
              </w:rPr>
              <w:t>Industrial Sector</w:t>
            </w:r>
          </w:p>
        </w:tc>
        <w:tc>
          <w:tcPr>
            <w:tcW w:w="2685" w:type="dxa"/>
            <w:gridSpan w:val="2"/>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sz w:val="20"/>
                <w:szCs w:val="20"/>
              </w:rPr>
              <w:t xml:space="preserve">                  </w:t>
            </w:r>
            <w:r w:rsidRPr="004923B8">
              <w:rPr>
                <w:rFonts w:ascii="Times New Roman" w:hAnsi="Times New Roman"/>
                <w:b/>
                <w:bCs/>
                <w:sz w:val="20"/>
                <w:szCs w:val="20"/>
              </w:rPr>
              <w:t>Commercial Sector</w:t>
            </w:r>
          </w:p>
        </w:tc>
      </w:tr>
      <w:tr w:rsidR="00674261" w:rsidRPr="004923B8">
        <w:trPr>
          <w:trHeight w:val="220"/>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Variables</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Coefficients</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S. E</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Coefficients</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S. E</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Coefficients</w:t>
            </w:r>
          </w:p>
        </w:tc>
        <w:tc>
          <w:tcPr>
            <w:tcW w:w="1129"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S. E</w:t>
            </w:r>
          </w:p>
        </w:tc>
      </w:tr>
      <w:tr w:rsidR="00674261" w:rsidRPr="004923B8">
        <w:trPr>
          <w:trHeight w:val="220"/>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LnPrices</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0.553</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0.11233</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0.223</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0.10424</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0.193</w:t>
            </w:r>
          </w:p>
        </w:tc>
        <w:tc>
          <w:tcPr>
            <w:tcW w:w="1129"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0.01512</w:t>
            </w:r>
          </w:p>
        </w:tc>
      </w:tr>
      <w:tr w:rsidR="00674261" w:rsidRPr="004923B8">
        <w:trPr>
          <w:trHeight w:val="220"/>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LnGDP</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-0.656</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0.16938</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-1.526</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0.06815</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-0.743</w:t>
            </w:r>
          </w:p>
        </w:tc>
        <w:tc>
          <w:tcPr>
            <w:tcW w:w="1129"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0.08536</w:t>
            </w:r>
          </w:p>
        </w:tc>
      </w:tr>
      <w:tr w:rsidR="00674261" w:rsidRPr="004923B8">
        <w:trPr>
          <w:trHeight w:val="442"/>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LnEnergy Intensity</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-2.06</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0.34143</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-1.335</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0.0856</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-0.698</w:t>
            </w:r>
          </w:p>
        </w:tc>
        <w:tc>
          <w:tcPr>
            <w:tcW w:w="1129"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0.05443</w:t>
            </w:r>
          </w:p>
        </w:tc>
      </w:tr>
      <w:tr w:rsidR="00674261" w:rsidRPr="004923B8">
        <w:trPr>
          <w:trHeight w:val="220"/>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LnFDI</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0.072</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0.02235</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0.193</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0.00702</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-0.018</w:t>
            </w:r>
          </w:p>
        </w:tc>
        <w:tc>
          <w:tcPr>
            <w:tcW w:w="1129"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0.04076</w:t>
            </w:r>
          </w:p>
        </w:tc>
      </w:tr>
      <w:tr w:rsidR="00674261" w:rsidRPr="004923B8">
        <w:trPr>
          <w:trHeight w:val="220"/>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LnTO</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-0.907</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0.1326</w:t>
            </w:r>
          </w:p>
        </w:tc>
        <w:tc>
          <w:tcPr>
            <w:tcW w:w="1555" w:type="dxa"/>
          </w:tcPr>
          <w:p w:rsidR="00674261" w:rsidRPr="004923B8" w:rsidRDefault="00674261" w:rsidP="004923B8">
            <w:pPr>
              <w:adjustRightInd w:val="0"/>
              <w:snapToGrid w:val="0"/>
              <w:spacing w:after="0" w:line="240" w:lineRule="auto"/>
              <w:jc w:val="center"/>
              <w:rPr>
                <w:rFonts w:ascii="Times New Roman" w:hAnsi="Times New Roman"/>
                <w:sz w:val="20"/>
                <w:szCs w:val="20"/>
              </w:rPr>
            </w:pPr>
          </w:p>
        </w:tc>
        <w:tc>
          <w:tcPr>
            <w:tcW w:w="1128" w:type="dxa"/>
          </w:tcPr>
          <w:p w:rsidR="00674261" w:rsidRPr="004923B8" w:rsidRDefault="00674261" w:rsidP="004923B8">
            <w:pPr>
              <w:adjustRightInd w:val="0"/>
              <w:snapToGrid w:val="0"/>
              <w:spacing w:after="0" w:line="240" w:lineRule="auto"/>
              <w:jc w:val="center"/>
              <w:rPr>
                <w:rFonts w:ascii="Times New Roman" w:hAnsi="Times New Roman"/>
                <w:sz w:val="20"/>
                <w:szCs w:val="20"/>
              </w:rPr>
            </w:pPr>
          </w:p>
        </w:tc>
        <w:tc>
          <w:tcPr>
            <w:tcW w:w="1555" w:type="dxa"/>
          </w:tcPr>
          <w:p w:rsidR="00674261" w:rsidRPr="004923B8" w:rsidRDefault="00674261" w:rsidP="004923B8">
            <w:pPr>
              <w:adjustRightInd w:val="0"/>
              <w:snapToGrid w:val="0"/>
              <w:spacing w:after="0" w:line="240" w:lineRule="auto"/>
              <w:jc w:val="center"/>
              <w:rPr>
                <w:rFonts w:ascii="Times New Roman" w:hAnsi="Times New Roman"/>
                <w:sz w:val="20"/>
                <w:szCs w:val="20"/>
              </w:rPr>
            </w:pPr>
          </w:p>
        </w:tc>
        <w:tc>
          <w:tcPr>
            <w:tcW w:w="1129" w:type="dxa"/>
          </w:tcPr>
          <w:p w:rsidR="00674261" w:rsidRPr="004923B8" w:rsidRDefault="00674261" w:rsidP="004923B8">
            <w:pPr>
              <w:adjustRightInd w:val="0"/>
              <w:snapToGrid w:val="0"/>
              <w:spacing w:after="0" w:line="240" w:lineRule="auto"/>
              <w:jc w:val="center"/>
              <w:rPr>
                <w:rFonts w:ascii="Times New Roman" w:hAnsi="Times New Roman"/>
                <w:sz w:val="20"/>
                <w:szCs w:val="20"/>
              </w:rPr>
            </w:pPr>
          </w:p>
        </w:tc>
      </w:tr>
      <w:tr w:rsidR="00674261" w:rsidRPr="004923B8">
        <w:trPr>
          <w:trHeight w:val="220"/>
        </w:trPr>
        <w:tc>
          <w:tcPr>
            <w:tcW w:w="1323"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Constant</w:t>
            </w:r>
          </w:p>
        </w:tc>
        <w:tc>
          <w:tcPr>
            <w:tcW w:w="1555" w:type="dxa"/>
          </w:tcPr>
          <w:p w:rsidR="00674261" w:rsidRPr="004923B8" w:rsidRDefault="00674261" w:rsidP="004923B8">
            <w:pPr>
              <w:adjustRightInd w:val="0"/>
              <w:snapToGrid w:val="0"/>
              <w:spacing w:after="0" w:line="240" w:lineRule="auto"/>
              <w:jc w:val="center"/>
              <w:rPr>
                <w:rFonts w:ascii="Times New Roman" w:hAnsi="Times New Roman"/>
                <w:sz w:val="20"/>
                <w:szCs w:val="20"/>
              </w:rPr>
            </w:pPr>
          </w:p>
        </w:tc>
        <w:tc>
          <w:tcPr>
            <w:tcW w:w="1128" w:type="dxa"/>
          </w:tcPr>
          <w:p w:rsidR="00674261" w:rsidRPr="004923B8" w:rsidRDefault="00674261" w:rsidP="004923B8">
            <w:pPr>
              <w:adjustRightInd w:val="0"/>
              <w:snapToGrid w:val="0"/>
              <w:spacing w:after="0" w:line="240" w:lineRule="auto"/>
              <w:jc w:val="center"/>
              <w:rPr>
                <w:rFonts w:ascii="Times New Roman" w:hAnsi="Times New Roman"/>
                <w:sz w:val="20"/>
                <w:szCs w:val="20"/>
              </w:rPr>
            </w:pP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0.007</w:t>
            </w:r>
          </w:p>
        </w:tc>
        <w:tc>
          <w:tcPr>
            <w:tcW w:w="1128"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0.00274</w:t>
            </w:r>
          </w:p>
        </w:tc>
        <w:tc>
          <w:tcPr>
            <w:tcW w:w="1555"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-0.013</w:t>
            </w:r>
          </w:p>
        </w:tc>
        <w:tc>
          <w:tcPr>
            <w:tcW w:w="1129" w:type="dxa"/>
          </w:tcPr>
          <w:p w:rsidR="00674261" w:rsidRPr="004923B8" w:rsidRDefault="004923B8" w:rsidP="004923B8">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0.00206</w:t>
            </w:r>
          </w:p>
        </w:tc>
      </w:tr>
    </w:tbl>
    <w:p w:rsidR="00674261" w:rsidRPr="004923B8" w:rsidRDefault="00674261" w:rsidP="004923B8">
      <w:pPr>
        <w:adjustRightInd w:val="0"/>
        <w:snapToGrid w:val="0"/>
        <w:spacing w:after="0" w:line="240" w:lineRule="auto"/>
        <w:jc w:val="both"/>
        <w:rPr>
          <w:rFonts w:ascii="Times New Roman" w:hAnsi="Times New Roman"/>
          <w:b/>
          <w:bCs/>
          <w:sz w:val="20"/>
          <w:szCs w:val="20"/>
        </w:rPr>
        <w:sectPr w:rsidR="00674261" w:rsidRPr="004923B8">
          <w:type w:val="continuous"/>
          <w:pgSz w:w="12240" w:h="15840"/>
          <w:pgMar w:top="1440" w:right="1440" w:bottom="1440" w:left="1440" w:header="720" w:footer="720" w:gutter="0"/>
          <w:cols w:space="425"/>
          <w:docGrid w:linePitch="360"/>
        </w:sectPr>
      </w:pPr>
    </w:p>
    <w:p w:rsidR="00674261" w:rsidRDefault="00674261"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Table 8: Shows Growth Rates of explanatory variables under three scenarios (2014–2030)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1925"/>
        <w:gridCol w:w="1103"/>
        <w:gridCol w:w="1105"/>
        <w:gridCol w:w="1300"/>
        <w:gridCol w:w="1300"/>
        <w:gridCol w:w="1302"/>
      </w:tblGrid>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 xml:space="preserve">Variables       </w:t>
            </w:r>
          </w:p>
        </w:tc>
        <w:tc>
          <w:tcPr>
            <w:tcW w:w="1005" w:type="pct"/>
            <w:vMerge w:val="restart"/>
            <w:vAlign w:val="center"/>
          </w:tcPr>
          <w:p w:rsidR="00674261" w:rsidRPr="004923B8" w:rsidRDefault="004923B8" w:rsidP="005557AE">
            <w:pPr>
              <w:adjustRightInd w:val="0"/>
              <w:snapToGrid w:val="0"/>
              <w:spacing w:after="0" w:line="240" w:lineRule="auto"/>
              <w:jc w:val="center"/>
              <w:rPr>
                <w:rFonts w:ascii="Times New Roman" w:hAnsi="Times New Roman"/>
                <w:b/>
                <w:bCs/>
                <w:sz w:val="20"/>
                <w:szCs w:val="20"/>
              </w:rPr>
            </w:pPr>
            <w:r w:rsidRPr="004923B8">
              <w:rPr>
                <w:rFonts w:ascii="Times New Roman" w:hAnsi="Times New Roman"/>
                <w:b/>
                <w:bCs/>
                <w:sz w:val="20"/>
                <w:szCs w:val="20"/>
              </w:rPr>
              <w:t>Baseline scenario (%)</w:t>
            </w:r>
          </w:p>
        </w:tc>
        <w:tc>
          <w:tcPr>
            <w:tcW w:w="1153" w:type="pct"/>
            <w:gridSpan w:val="2"/>
            <w:vMerge w:val="restart"/>
            <w:vAlign w:val="center"/>
          </w:tcPr>
          <w:p w:rsidR="00674261" w:rsidRPr="004923B8" w:rsidRDefault="004923B8" w:rsidP="005557AE">
            <w:pPr>
              <w:adjustRightInd w:val="0"/>
              <w:snapToGrid w:val="0"/>
              <w:spacing w:after="0" w:line="240" w:lineRule="auto"/>
              <w:jc w:val="center"/>
              <w:rPr>
                <w:rFonts w:ascii="Times New Roman" w:hAnsi="Times New Roman"/>
                <w:b/>
                <w:bCs/>
                <w:sz w:val="20"/>
                <w:szCs w:val="20"/>
              </w:rPr>
            </w:pPr>
            <w:r w:rsidRPr="004923B8">
              <w:rPr>
                <w:rFonts w:ascii="Times New Roman" w:hAnsi="Times New Roman"/>
                <w:b/>
                <w:bCs/>
                <w:sz w:val="20"/>
                <w:szCs w:val="20"/>
              </w:rPr>
              <w:t>Moderate Scenario (%)</w:t>
            </w:r>
          </w:p>
        </w:tc>
        <w:tc>
          <w:tcPr>
            <w:tcW w:w="2038" w:type="pct"/>
            <w:gridSpan w:val="3"/>
            <w:vMerge w:val="restart"/>
            <w:vAlign w:val="center"/>
          </w:tcPr>
          <w:p w:rsidR="00674261" w:rsidRPr="004923B8" w:rsidRDefault="004923B8" w:rsidP="005557AE">
            <w:pPr>
              <w:adjustRightInd w:val="0"/>
              <w:snapToGrid w:val="0"/>
              <w:spacing w:after="0" w:line="240" w:lineRule="auto"/>
              <w:jc w:val="center"/>
              <w:rPr>
                <w:rFonts w:ascii="Times New Roman" w:hAnsi="Times New Roman"/>
                <w:b/>
                <w:bCs/>
                <w:sz w:val="20"/>
                <w:szCs w:val="20"/>
              </w:rPr>
            </w:pPr>
            <w:r w:rsidRPr="004923B8">
              <w:rPr>
                <w:rFonts w:ascii="Times New Roman" w:hAnsi="Times New Roman"/>
                <w:b/>
                <w:bCs/>
                <w:sz w:val="20"/>
                <w:szCs w:val="20"/>
              </w:rPr>
              <w:t>Advance Scenario (%)</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Aggregate</w:t>
            </w:r>
          </w:p>
        </w:tc>
        <w:tc>
          <w:tcPr>
            <w:tcW w:w="1005" w:type="pct"/>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1153" w:type="pct"/>
            <w:gridSpan w:val="2"/>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c>
          <w:tcPr>
            <w:tcW w:w="2038" w:type="pct"/>
            <w:gridSpan w:val="3"/>
            <w:vMerge/>
            <w:vAlign w:val="center"/>
          </w:tcPr>
          <w:p w:rsidR="00674261" w:rsidRPr="004923B8" w:rsidRDefault="00674261" w:rsidP="005557AE">
            <w:pPr>
              <w:adjustRightInd w:val="0"/>
              <w:snapToGrid w:val="0"/>
              <w:spacing w:after="0" w:line="240" w:lineRule="auto"/>
              <w:jc w:val="both"/>
              <w:rPr>
                <w:rFonts w:ascii="Times New Roman" w:hAnsi="Times New Roman"/>
                <w:sz w:val="20"/>
                <w:szCs w:val="20"/>
              </w:rPr>
            </w:pP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Prices</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2.234</w:t>
            </w:r>
          </w:p>
        </w:tc>
        <w:tc>
          <w:tcPr>
            <w:tcW w:w="1153" w:type="pct"/>
            <w:gridSpan w:val="2"/>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1.875</w:t>
            </w:r>
          </w:p>
        </w:tc>
        <w:tc>
          <w:tcPr>
            <w:tcW w:w="2038" w:type="pct"/>
            <w:gridSpan w:val="3"/>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2.176</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GDP</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4.678</w:t>
            </w:r>
          </w:p>
        </w:tc>
        <w:tc>
          <w:tcPr>
            <w:tcW w:w="1153" w:type="pct"/>
            <w:gridSpan w:val="2"/>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5.441</w:t>
            </w:r>
          </w:p>
        </w:tc>
        <w:tc>
          <w:tcPr>
            <w:tcW w:w="2038" w:type="pct"/>
            <w:gridSpan w:val="3"/>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7.4</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 Intensity</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-0.875</w:t>
            </w:r>
          </w:p>
        </w:tc>
        <w:tc>
          <w:tcPr>
            <w:tcW w:w="1153" w:type="pct"/>
            <w:gridSpan w:val="2"/>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-0.392</w:t>
            </w:r>
          </w:p>
        </w:tc>
        <w:tc>
          <w:tcPr>
            <w:tcW w:w="2038" w:type="pct"/>
            <w:gridSpan w:val="3"/>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-0.391</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FDI</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17.983</w:t>
            </w:r>
          </w:p>
        </w:tc>
        <w:tc>
          <w:tcPr>
            <w:tcW w:w="1153" w:type="pct"/>
            <w:gridSpan w:val="2"/>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28.774</w:t>
            </w:r>
          </w:p>
        </w:tc>
        <w:tc>
          <w:tcPr>
            <w:tcW w:w="2038" w:type="pct"/>
            <w:gridSpan w:val="3"/>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38.546</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TO</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4.1235</w:t>
            </w:r>
          </w:p>
        </w:tc>
        <w:tc>
          <w:tcPr>
            <w:tcW w:w="1153" w:type="pct"/>
            <w:gridSpan w:val="2"/>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5.672</w:t>
            </w:r>
          </w:p>
        </w:tc>
        <w:tc>
          <w:tcPr>
            <w:tcW w:w="2038" w:type="pct"/>
            <w:gridSpan w:val="3"/>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sz w:val="20"/>
                <w:szCs w:val="20"/>
              </w:rPr>
              <w:t>5.288</w:t>
            </w:r>
          </w:p>
        </w:tc>
      </w:tr>
      <w:tr w:rsidR="00674261" w:rsidRPr="004923B8" w:rsidTr="005557AE">
        <w:trPr>
          <w:cantSplit/>
          <w:jc w:val="center"/>
        </w:trPr>
        <w:tc>
          <w:tcPr>
            <w:tcW w:w="5000" w:type="pct"/>
            <w:gridSpan w:val="7"/>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Variables                      industrial sector                                                     Commercial sector</w:t>
            </w:r>
          </w:p>
        </w:tc>
      </w:tr>
      <w:tr w:rsidR="00674261" w:rsidRPr="004923B8" w:rsidTr="005557AE">
        <w:trPr>
          <w:cantSplit/>
          <w:jc w:val="center"/>
        </w:trPr>
        <w:tc>
          <w:tcPr>
            <w:tcW w:w="2962" w:type="pct"/>
            <w:gridSpan w:val="4"/>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sz w:val="20"/>
                <w:szCs w:val="20"/>
              </w:rPr>
              <w:t xml:space="preserve">                                       </w:t>
            </w:r>
            <w:r w:rsidRPr="004923B8">
              <w:rPr>
                <w:rFonts w:ascii="Times New Roman" w:hAnsi="Times New Roman"/>
                <w:b/>
                <w:bCs/>
                <w:sz w:val="20"/>
                <w:szCs w:val="20"/>
              </w:rPr>
              <w:t xml:space="preserve">B. Scenario (%) M. Scenario (%) A. Scenario (%)   </w:t>
            </w:r>
          </w:p>
        </w:tc>
        <w:tc>
          <w:tcPr>
            <w:tcW w:w="2038" w:type="pct"/>
            <w:gridSpan w:val="3"/>
            <w:vAlign w:val="center"/>
          </w:tcPr>
          <w:p w:rsidR="00674261" w:rsidRPr="004923B8" w:rsidRDefault="004923B8" w:rsidP="005557AE">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 xml:space="preserve">B. Scenario (%) M. Scenario (%) A. Scenario (%)  </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Prices</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1.784</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1.057</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0.39</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2.106</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1.765</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1.56</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GDP</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4.636</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5.431</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6.8</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3.876</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5.243</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8.2</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Energy Intensity</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-0.598</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-0.798</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-0.958</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0.643</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0.5864</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0.6542</w:t>
            </w:r>
          </w:p>
        </w:tc>
      </w:tr>
      <w:tr w:rsidR="00674261" w:rsidRPr="004923B8" w:rsidTr="005557AE">
        <w:trPr>
          <w:cantSplit/>
          <w:jc w:val="center"/>
        </w:trPr>
        <w:tc>
          <w:tcPr>
            <w:tcW w:w="804"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FDI</w:t>
            </w:r>
          </w:p>
        </w:tc>
        <w:tc>
          <w:tcPr>
            <w:tcW w:w="1005"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17.120</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18.536</w:t>
            </w:r>
          </w:p>
        </w:tc>
        <w:tc>
          <w:tcPr>
            <w:tcW w:w="576"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21.405</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15.983</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19.836</w:t>
            </w:r>
          </w:p>
        </w:tc>
        <w:tc>
          <w:tcPr>
            <w:tcW w:w="679" w:type="pct"/>
            <w:vAlign w:val="center"/>
          </w:tcPr>
          <w:p w:rsidR="00674261" w:rsidRPr="004923B8" w:rsidRDefault="004923B8" w:rsidP="005557AE">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40.386</w:t>
            </w:r>
          </w:p>
        </w:tc>
      </w:tr>
    </w:tbl>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b/>
          <w:sz w:val="20"/>
          <w:szCs w:val="20"/>
          <w:lang w:eastAsia="zh-CN"/>
        </w:rPr>
        <w:sectPr w:rsidR="005557AE" w:rsidRPr="004923B8">
          <w:type w:val="continuous"/>
          <w:pgSz w:w="12240" w:h="15840"/>
          <w:pgMar w:top="1440" w:right="1440" w:bottom="1440" w:left="1440" w:header="720" w:footer="720" w:gutter="0"/>
          <w:cols w:space="425"/>
          <w:docGrid w:linePitch="360"/>
        </w:sect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lastRenderedPageBreak/>
        <w:t>4.4.5 Trade openness scenario</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Internal and external trade will expand as infrastructure improves as a result of the CPEC investment. Pakistan will become a regional commerce center once the Gwadar port is completed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{"citationItems":[{"id":"ITEM-1","itemData":{"author":[{"dropping-particle":"","family":"Bhutta","given":"Zafar","non-dropping-particle":"","parse-names":false,"suffix":""}],"container-title":"The express tribune","id":"ITEM-1","issued":{"date-parts":[["2015"]]},"title":"India bid to halt Pakistan projects fails","type":"article-journal","volume":"31"},"uris":["http://www.mendeley.com/documents/?uuid=2fc875c0-3fb1-4994-baaa-1c6a0b1f745a"]}],"mendeley":{"formattedCitation":"(Bhutta, 2015)","plainTextFormattedCitation":"(Bhutta, 2015)","previouslyFormattedCitation":"(Bhutta, 2015)"},"properties":{"noteIndex":0},"schema":"https://github.com/citation-style-language/schema/raw/master/csl-citation.json"}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sz w:val="20"/>
          <w:szCs w:val="20"/>
        </w:rPr>
        <w:t>(Bhutta, 2015)</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In addition to CPEC economic growth, Vision 2025 plans to improve exports to $150 billion and the export-to-GDP ratio to 16–19 percent. The objective of the 2030 plan is to increase the trade-to-GDP ratio from 30 percent to 60 percent by 2030. This will only be possible if Pakistan secures FDI through the China-Pakistan Economic Corridor (CPEC). Suppose the trade-to-GDP ratio increases from 2013 to 2030, the annual growth in the AS would be 5.88%, while in the MS it will be 4.94%.</w:t>
      </w: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Pr="004923B8" w:rsidRDefault="00674261" w:rsidP="004923B8">
      <w:pPr>
        <w:adjustRightInd w:val="0"/>
        <w:snapToGrid w:val="0"/>
        <w:spacing w:after="0" w:line="240" w:lineRule="auto"/>
        <w:jc w:val="both"/>
        <w:rPr>
          <w:rFonts w:ascii="Times New Roman" w:hAnsi="Times New Roman"/>
          <w:b/>
          <w:sz w:val="20"/>
          <w:szCs w:val="20"/>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4.4.6 Forecasting within scenario approach</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Our scenario method is valuable for anticipating average energy usage since each scenario has various growth rates. Our findings are comparable to those of </w:t>
      </w:r>
      <w:r w:rsidR="00674261" w:rsidRPr="004923B8">
        <w:rPr>
          <w:rStyle w:val="FootnoteReference"/>
          <w:rFonts w:ascii="Times New Roman" w:hAnsi="Times New Roman"/>
          <w:sz w:val="20"/>
          <w:szCs w:val="20"/>
        </w:rPr>
        <w:fldChar w:fldCharType="begin" w:fldLock="1"/>
      </w:r>
      <w:r w:rsidRPr="004923B8">
        <w:rPr>
          <w:rFonts w:ascii="Times New Roman" w:hAnsi="Times New Roman"/>
          <w:sz w:val="20"/>
          <w:szCs w:val="20"/>
        </w:rPr>
        <w:instrText>ADDIN CSL_CITATION {"citationItems":[{"id":"ITEM-1","itemData":{"ISSN":"0301-4215","author":[{"dropping-particle":"","family":"Lin","given":"Boqiang","non-dropping-particle":"","parse-names":false,"suffix":""},{"dropping-particle":"","family":"Xie","given":"Chunping","non-dropping-particle":"","parse-names":false,"suffix":""}],"container-title":"Energy Policy","id":"ITEM-1","issued":{"date-parts":[["2013"]]},"page":"472-482","publisher":"Elsevier","title":"Estimation on oil demand and oil saving potential of China's road transport sector","type":"article-journal","volume":"61"},"uris":["http://www.mendeley.com/documents/?uuid=aa7a4b4d-0e08-4372-909f-f79646318207"]},{"id":"ITEM-2","itemData":{"author":[{"dropping-particle":"","family":"ETP","given":"I E A","non-dropping-particle":"","parse-names":false,"suffix":""}],"id":"ITEM-2","issued":{"date-parts":[["2008"]]},"publisher":"IEA Publications, Paris","title":"IEA Energy Technology Perspectives 2008–Scenarios and Strategies to 2050. International Energy Agency","type":"article"},"uris":["http://www.mendeley.com/documents/?uuid=d3bb6a95-4c03-4b26-b831-47738afcad65"]},{"id":"ITEM-3","itemData":{"ISSN":"1001-0742","author":[{"dropping-particle":"","family":"Zhou","given":"Yun","non-dropping-particle":"","parse-names":false,"suffix":""},{"dropping-particle":"","family":"Hao","given":"Fanghua","non-dropping-particle":"","parse-names":false,"suffix":""},{"dropping-particle":"","family":"Meng","given":"Wei","non-dropping-particle":"","parse-names":false,"suffix":""},{"dropping-particle":"","family":"Fu","given":"Jiafeng","non-dropping-particle":"","parse-names":false,"suffix":""}],"container-title":"Journal of Environmental Sciences","id":"ITEM-3","issue":"8","issued":{"date-parts":[["2014"]]},"page":"1631-1640","publisher":"Elsevier","title":"Scenario analysis of energy-based low-carbon development in China","type":"article-journal","volume":"26"},"uris":["http://www.mendeley.com/documents/?uuid=b6294238-6627-456c-8788-ca64e9766416"]},{"id":"ITEM-4","itemData":{"ISSN":"0360-5442","author":[{"dropping-particle":"","family":"Hao","given":"Han","non-dropping-particle":"","parse-names":false,"suffix":""},{"dropping-particle":"","family":"Liu","given":"Zongwei","non-dropping-particle":"","parse-names":false,"suffix":""},{"dropping-particle":"","family":"Zhao","given":"Fuquan","non-dropping-particle":"","parse-names":false,"suffix":""},{"dropping-particle":"","family":"Li","given":"Weiqi","non-dropping-particle":"","parse-names":false,"suffix":""},{"dropping-particle":"","family":"Hang","given":"Wen","non-dropping-particle":"","parse-names":false,"suffix":""}],"container-title":"Energy","id":"ITEM-4","issued":{"date-parts":[["2015"]]},"page":"151-159","publisher":"Elsevier","title":"Scenario analysis of energy consumption and greenhouse gas emissions from China's passenger vehicles","type":"article-journal","volume":"91"},"uris":["http://www.mendeley.com/documents/?uuid=dfbbf327-b60b-42ea-9464-14513c9857d9"]}],"mendeley":{"formattedCitation":"(ETP, 2008; Hao et al., 2015; B. Lin &amp; Xie, 2013; Zhou et al., 2014)","plainTextFormattedCitation":"(ETP, 2008; Hao et al., 2015; B. Lin &amp; Xie, 2013; Zhou et al., 2014)","previouslyFormattedCitation":"(ETP, 2008; Hao et al., 2015; B. Lin &amp; Xie, 2013; Zhou et al., 2014)"},"properties":{"noteIndex":0},"schema":"https://github.com/citation-style-language/schema/raw/master/csl-citation.json"}</w:instrText>
      </w:r>
      <w:r w:rsidR="00674261" w:rsidRPr="004923B8">
        <w:rPr>
          <w:rStyle w:val="FootnoteReference"/>
          <w:rFonts w:ascii="Times New Roman" w:hAnsi="Times New Roman"/>
          <w:sz w:val="20"/>
          <w:szCs w:val="20"/>
        </w:rPr>
        <w:fldChar w:fldCharType="separate"/>
      </w:r>
      <w:r w:rsidRPr="004923B8">
        <w:rPr>
          <w:rFonts w:ascii="Times New Roman" w:hAnsi="Times New Roman"/>
          <w:bCs/>
          <w:sz w:val="20"/>
          <w:szCs w:val="20"/>
        </w:rPr>
        <w:t>(ETP, 2008; Hao et al., 2015; B. Lin &amp; Xie, 2013; Zhou et al., 2014)</w:t>
      </w:r>
      <w:r w:rsidR="00674261" w:rsidRPr="004923B8">
        <w:rPr>
          <w:rStyle w:val="FootnoteReference"/>
          <w:rFonts w:ascii="Times New Roman" w:hAnsi="Times New Roman"/>
          <w:sz w:val="20"/>
          <w:szCs w:val="20"/>
        </w:rPr>
        <w:fldChar w:fldCharType="end"/>
      </w:r>
      <w:r w:rsidRPr="004923B8">
        <w:rPr>
          <w:rFonts w:ascii="Times New Roman" w:hAnsi="Times New Roman"/>
          <w:sz w:val="20"/>
          <w:szCs w:val="20"/>
        </w:rPr>
        <w:t xml:space="preserve">. Table 8 shows the predicted energy consumption based on the scenarios and cointegration results stated previously. In all future scenarios, if the exogenous variables increase in direct conflict with the trends given in Table 8, aggregate power consumption will rise. According to the BS, Pakistan would use about 41% </w:t>
      </w:r>
      <w:r w:rsidRPr="004923B8">
        <w:rPr>
          <w:rFonts w:ascii="Times New Roman" w:hAnsi="Times New Roman"/>
          <w:sz w:val="20"/>
          <w:szCs w:val="20"/>
        </w:rPr>
        <w:lastRenderedPageBreak/>
        <w:t>more aggregated energy in 2030 than it would in 2013. Considering MS and AS, CPEC-related economic activity will increase energy consumption by around 48 percent and 57 percent from 2013 levels in 2030, significantly. According to the expectations, industrial energy consumption will grow by 136, 211, and 312 percent from 2013 levels by 2030 under the BS, MS, and AS.</w:t>
      </w:r>
    </w:p>
    <w:p w:rsidR="005557AE" w:rsidRPr="004923B8"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outlineLvl w:val="0"/>
        <w:rPr>
          <w:rFonts w:ascii="Times New Roman" w:hAnsi="Times New Roman"/>
          <w:b/>
          <w:sz w:val="20"/>
          <w:szCs w:val="20"/>
        </w:rPr>
      </w:pPr>
      <w:r w:rsidRPr="004923B8">
        <w:rPr>
          <w:rFonts w:ascii="Times New Roman" w:hAnsi="Times New Roman"/>
          <w:b/>
          <w:sz w:val="20"/>
          <w:szCs w:val="20"/>
        </w:rPr>
        <w:t>4.5 Future sectoral energy consumption in Pakistan</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According to Table 9, electricity consumption in 2020, 2025, and 2030 will be 41.79, 48.10, and 56.05 million TOE, correspondingly, under the BS. The MS will increase aggregate electricity consumption by 1.5 percent, 3.4 percent, and 5.5 percent above the BS in 2020, 2025, and 2030. The aggregate electricity consumption in the AS will be 3.1 percent, 6.10 percent, and 11.3 percent higher than in the BS in 2020, 2025, and 2030, correspondingly. In all scenarios, industrial energy demand will rise around across the board from 2020 to 2030. In the BS, industrial electricity consumption will be 20.695, 26.366, and 33.591 million TOE in 2020, 2025, and 2030, correspondingly. In 2020, 2025, and 2030, industrial electricity consumption will be 10.90%, 21.06%, and 32.16 greater in the MS than in the BS. Industrial electricity consumption will be 22.99%, 46.57%, and 74.66% greater in the AS than in the BS in 2020, 2025, and 2030. </w:t>
      </w:r>
    </w:p>
    <w:p w:rsidR="00674261" w:rsidRPr="004923B8" w:rsidRDefault="00674261" w:rsidP="004923B8">
      <w:pPr>
        <w:adjustRightInd w:val="0"/>
        <w:snapToGrid w:val="0"/>
        <w:spacing w:after="0" w:line="240" w:lineRule="auto"/>
        <w:jc w:val="both"/>
        <w:rPr>
          <w:rFonts w:ascii="Times New Roman" w:hAnsi="Times New Roman"/>
          <w:b/>
          <w:sz w:val="20"/>
          <w:szCs w:val="20"/>
        </w:rPr>
        <w:sectPr w:rsidR="00674261" w:rsidRPr="004923B8">
          <w:type w:val="continuous"/>
          <w:pgSz w:w="12240" w:h="15840"/>
          <w:pgMar w:top="1440" w:right="1440" w:bottom="1440" w:left="1440" w:header="720" w:footer="720" w:gutter="0"/>
          <w:cols w:num="2" w:space="720"/>
          <w:docGrid w:linePitch="360"/>
        </w:sectPr>
      </w:pPr>
    </w:p>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Table 9: Present Future sectoral energy consumption in Pakistan (Unit: Million TOE).</w:t>
      </w:r>
    </w:p>
    <w:tbl>
      <w:tblPr>
        <w:tblpPr w:leftFromText="180" w:rightFromText="180" w:vertAnchor="text" w:tblpY="1"/>
        <w:tblOverlap w:val="neve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2566"/>
        <w:gridCol w:w="2514"/>
        <w:gridCol w:w="2630"/>
      </w:tblGrid>
      <w:tr w:rsidR="00674261" w:rsidRPr="004923B8">
        <w:trPr>
          <w:trHeight w:val="235"/>
        </w:trPr>
        <w:tc>
          <w:tcPr>
            <w:tcW w:w="9481" w:type="dxa"/>
            <w:gridSpan w:val="4"/>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sz w:val="20"/>
                <w:szCs w:val="20"/>
              </w:rPr>
              <w:t xml:space="preserve"> </w:t>
            </w:r>
            <w:r w:rsidRPr="004923B8">
              <w:rPr>
                <w:rFonts w:ascii="Times New Roman" w:hAnsi="Times New Roman"/>
                <w:b/>
                <w:bCs/>
                <w:sz w:val="20"/>
                <w:szCs w:val="20"/>
              </w:rPr>
              <w:t>Aggregate</w:t>
            </w:r>
          </w:p>
        </w:tc>
      </w:tr>
      <w:tr w:rsidR="00674261" w:rsidRPr="004923B8">
        <w:trPr>
          <w:trHeight w:val="40"/>
        </w:trPr>
        <w:tc>
          <w:tcPr>
            <w:tcW w:w="9481" w:type="dxa"/>
            <w:gridSpan w:val="4"/>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Year                           Baseline Scenario                       Moderate Scenario                   Advanced Scenario</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2020</w:t>
            </w:r>
          </w:p>
        </w:tc>
        <w:tc>
          <w:tcPr>
            <w:tcW w:w="2566"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42.75</w:t>
            </w:r>
          </w:p>
        </w:tc>
        <w:tc>
          <w:tcPr>
            <w:tcW w:w="2514"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43.41</w:t>
            </w:r>
          </w:p>
        </w:tc>
        <w:tc>
          <w:tcPr>
            <w:tcW w:w="2629"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44.08</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2025</w:t>
            </w:r>
          </w:p>
        </w:tc>
        <w:tc>
          <w:tcPr>
            <w:tcW w:w="2566"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49.2</w:t>
            </w:r>
          </w:p>
        </w:tc>
        <w:tc>
          <w:tcPr>
            <w:tcW w:w="2514"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48.74</w:t>
            </w:r>
          </w:p>
        </w:tc>
        <w:tc>
          <w:tcPr>
            <w:tcW w:w="2629"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52.45</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 xml:space="preserve"> 2030</w:t>
            </w:r>
          </w:p>
        </w:tc>
        <w:tc>
          <w:tcPr>
            <w:tcW w:w="2566"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57.04</w:t>
            </w:r>
          </w:p>
        </w:tc>
        <w:tc>
          <w:tcPr>
            <w:tcW w:w="2514"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58.81</w:t>
            </w:r>
          </w:p>
        </w:tc>
        <w:tc>
          <w:tcPr>
            <w:tcW w:w="2629" w:type="dxa"/>
          </w:tcPr>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61.37</w:t>
            </w:r>
          </w:p>
        </w:tc>
      </w:tr>
      <w:tr w:rsidR="00674261" w:rsidRPr="004923B8">
        <w:trPr>
          <w:trHeight w:val="235"/>
        </w:trPr>
        <w:tc>
          <w:tcPr>
            <w:tcW w:w="9481" w:type="dxa"/>
            <w:gridSpan w:val="4"/>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Industrial Sector</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2020</w:t>
            </w:r>
          </w:p>
        </w:tc>
        <w:tc>
          <w:tcPr>
            <w:tcW w:w="2566"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21.6</w:t>
            </w:r>
          </w:p>
        </w:tc>
        <w:tc>
          <w:tcPr>
            <w:tcW w:w="251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22.85</w:t>
            </w:r>
          </w:p>
        </w:tc>
        <w:tc>
          <w:tcPr>
            <w:tcW w:w="262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24.63</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2025</w:t>
            </w:r>
          </w:p>
        </w:tc>
        <w:tc>
          <w:tcPr>
            <w:tcW w:w="2566"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25.45</w:t>
            </w:r>
          </w:p>
        </w:tc>
        <w:tc>
          <w:tcPr>
            <w:tcW w:w="251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31.91</w:t>
            </w:r>
          </w:p>
        </w:tc>
        <w:tc>
          <w:tcPr>
            <w:tcW w:w="262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39.49</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2030</w:t>
            </w:r>
          </w:p>
        </w:tc>
        <w:tc>
          <w:tcPr>
            <w:tcW w:w="2566"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34.62</w:t>
            </w:r>
          </w:p>
        </w:tc>
        <w:tc>
          <w:tcPr>
            <w:tcW w:w="251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43.42</w:t>
            </w:r>
          </w:p>
        </w:tc>
        <w:tc>
          <w:tcPr>
            <w:tcW w:w="262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57.76</w:t>
            </w:r>
          </w:p>
        </w:tc>
      </w:tr>
      <w:tr w:rsidR="00674261" w:rsidRPr="004923B8">
        <w:trPr>
          <w:trHeight w:val="235"/>
        </w:trPr>
        <w:tc>
          <w:tcPr>
            <w:tcW w:w="9481" w:type="dxa"/>
            <w:gridSpan w:val="4"/>
          </w:tcPr>
          <w:p w:rsidR="00674261" w:rsidRPr="004923B8" w:rsidRDefault="004923B8" w:rsidP="004923B8">
            <w:pPr>
              <w:adjustRightInd w:val="0"/>
              <w:snapToGrid w:val="0"/>
              <w:spacing w:after="0" w:line="240" w:lineRule="auto"/>
              <w:jc w:val="both"/>
              <w:rPr>
                <w:rFonts w:ascii="Times New Roman" w:hAnsi="Times New Roman"/>
                <w:b/>
                <w:bCs/>
                <w:sz w:val="20"/>
                <w:szCs w:val="20"/>
              </w:rPr>
            </w:pPr>
            <w:r w:rsidRPr="004923B8">
              <w:rPr>
                <w:rFonts w:ascii="Times New Roman" w:hAnsi="Times New Roman"/>
                <w:b/>
                <w:bCs/>
                <w:sz w:val="20"/>
                <w:szCs w:val="20"/>
              </w:rPr>
              <w:t>Commercial Sector</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2020</w:t>
            </w:r>
          </w:p>
        </w:tc>
        <w:tc>
          <w:tcPr>
            <w:tcW w:w="2566"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2.79</w:t>
            </w:r>
          </w:p>
        </w:tc>
        <w:tc>
          <w:tcPr>
            <w:tcW w:w="251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3.76</w:t>
            </w:r>
          </w:p>
        </w:tc>
        <w:tc>
          <w:tcPr>
            <w:tcW w:w="262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2.45</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2025</w:t>
            </w:r>
          </w:p>
        </w:tc>
        <w:tc>
          <w:tcPr>
            <w:tcW w:w="2566"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4.84</w:t>
            </w:r>
          </w:p>
        </w:tc>
        <w:tc>
          <w:tcPr>
            <w:tcW w:w="251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4.36</w:t>
            </w:r>
          </w:p>
        </w:tc>
        <w:tc>
          <w:tcPr>
            <w:tcW w:w="262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3.24</w:t>
            </w:r>
          </w:p>
        </w:tc>
      </w:tr>
      <w:tr w:rsidR="00674261" w:rsidRPr="004923B8">
        <w:trPr>
          <w:trHeight w:val="235"/>
        </w:trPr>
        <w:tc>
          <w:tcPr>
            <w:tcW w:w="1771"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2030</w:t>
            </w:r>
          </w:p>
        </w:tc>
        <w:tc>
          <w:tcPr>
            <w:tcW w:w="2566"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8.52</w:t>
            </w:r>
          </w:p>
        </w:tc>
        <w:tc>
          <w:tcPr>
            <w:tcW w:w="2514"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4.12</w:t>
            </w:r>
          </w:p>
        </w:tc>
        <w:tc>
          <w:tcPr>
            <w:tcW w:w="2629" w:type="dxa"/>
          </w:tcPr>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sz w:val="20"/>
                <w:szCs w:val="20"/>
              </w:rPr>
              <w:t>2.07</w:t>
            </w:r>
          </w:p>
        </w:tc>
      </w:tr>
    </w:tbl>
    <w:p w:rsidR="00674261" w:rsidRDefault="00674261" w:rsidP="004923B8">
      <w:pPr>
        <w:adjustRightInd w:val="0"/>
        <w:snapToGrid w:val="0"/>
        <w:spacing w:after="0" w:line="240" w:lineRule="auto"/>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sz w:val="20"/>
          <w:szCs w:val="20"/>
          <w:lang w:eastAsia="zh-CN"/>
        </w:rPr>
        <w:sectPr w:rsidR="005557AE" w:rsidRPr="004923B8">
          <w:type w:val="continuous"/>
          <w:pgSz w:w="12240" w:h="15840"/>
          <w:pgMar w:top="1440" w:right="1440" w:bottom="1440" w:left="1440" w:header="720" w:footer="720" w:gutter="0"/>
          <w:cols w:space="425"/>
          <w:docGrid w:linePitch="360"/>
        </w:sectPr>
      </w:pP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lastRenderedPageBreak/>
        <w:t>Commercial electricity consumption will grow from 2020 to 2030 in both the BS and MS. Conversely, in the perfect scenario, commercial energy use would rise to 2.82 million TOE in 2025 before dropping to 2.084 million TOE in 2030. Commercial energy consumption will be 5.09 percent, 20.68 percent, and 50.52 percent lower under the MS in 2020, 2025, and 2030, respectively, compared to the BS. According to the AS, in 2020, 2025, and 2030, commercial electricity consumption will be 9.91%, 37.08%, and 74.51% lower than in the BS.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    As anticipated in the earlier phase of this research, we show that CPEC-related economic activity will improve power consumption in Pakistan's economy at both the aggregate and sectoral levels by integrating the data. Furthermore, there is great potential for saving energy that might be used to address the increasing energy supply and demand imbalance. Although the energy-related projects under CPEC would relieve energy generation shortages, the environmental impacts must be considered because most of the power produced in these projects will be generated using coal-related technologies.</w:t>
      </w:r>
    </w:p>
    <w:p w:rsidR="00674261" w:rsidRDefault="00674261" w:rsidP="004923B8">
      <w:pPr>
        <w:adjustRightInd w:val="0"/>
        <w:snapToGrid w:val="0"/>
        <w:spacing w:after="0" w:line="240" w:lineRule="auto"/>
        <w:jc w:val="both"/>
        <w:rPr>
          <w:rFonts w:ascii="Times New Roman" w:hAnsi="Times New Roman" w:hint="eastAsia"/>
          <w:b/>
          <w:sz w:val="20"/>
          <w:szCs w:val="20"/>
          <w:lang w:eastAsia="zh-CN"/>
        </w:rPr>
      </w:pPr>
    </w:p>
    <w:p w:rsidR="005557AE" w:rsidRPr="004923B8" w:rsidRDefault="005557AE" w:rsidP="004923B8">
      <w:pPr>
        <w:adjustRightInd w:val="0"/>
        <w:snapToGrid w:val="0"/>
        <w:spacing w:after="0" w:line="240" w:lineRule="auto"/>
        <w:jc w:val="both"/>
        <w:rPr>
          <w:rFonts w:ascii="Times New Roman" w:hAnsi="Times New Roman" w:hint="eastAsia"/>
          <w:b/>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5. Conclusion and recommendations</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color w:val="FF0000"/>
          <w:sz w:val="20"/>
          <w:szCs w:val="20"/>
        </w:rPr>
        <w:t xml:space="preserve">    </w:t>
      </w:r>
      <w:r w:rsidRPr="004923B8">
        <w:rPr>
          <w:rFonts w:ascii="Times New Roman" w:hAnsi="Times New Roman"/>
          <w:sz w:val="20"/>
          <w:szCs w:val="20"/>
        </w:rPr>
        <w:t xml:space="preserve">The CPEC is an effective economic program that aims to connect Pakistani and Chinese economic systems. The CPEC promotes both nations equally, and both countries must contribute equally to its development. Though an opportunity, the Corridor could be made even better by taking policy measures and removing any hurdles impeding its path. Furthermore, CPEC is more than just an economic corridor; it symbolizes China and Pakistan's strong </w:t>
      </w:r>
      <w:r w:rsidRPr="004923B8">
        <w:rPr>
          <w:rFonts w:ascii="Times New Roman" w:hAnsi="Times New Roman"/>
          <w:sz w:val="20"/>
          <w:szCs w:val="20"/>
        </w:rPr>
        <w:lastRenderedPageBreak/>
        <w:t>bonds, their enduring friendship, and the high levels of confidence that both countries have in each other.</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rPr>
      </w:pPr>
      <w:r w:rsidRPr="004923B8">
        <w:rPr>
          <w:rFonts w:ascii="Times New Roman" w:hAnsi="Times New Roman"/>
          <w:sz w:val="20"/>
          <w:szCs w:val="20"/>
        </w:rPr>
        <w:t xml:space="preserve">The purpose of this study is to predict the impact of CPEC-related economic activities on Pakistan's aggregate and sectoral energy consumption by 2030. We applied Johansen-Juselius Co-integration techniques to check the long-run connection between energy consumption and its predictors at the aggregate and sectoral levels, as well as scenario analysis to evaluate the impact of CPEC on future energy consumption in 2030. The conclusions of co-integration imply that the elasticity of power consumption concerning profitability is negative both at the aggregate and sectoral levels. In contrast, it is favorable for GDP and electricity consumption. The elasticity of energy consumption in responding to foreign direct investment has produced conflicting results. Trade openness has a massive impact on growing energy consumption in aggregate. According to the baseline scenario, Pakistan's electricity consumption would be 41% greater in 2030 than in 2013. Under the moderate and advanced scenarios, CPEC-related economic activity will grow energy consumption to around 48% and 57% from 2013 levels in 2030, correspondingly. The reduction in energy-saving potential in the moderate and advanced scenarios in 2030 will be 3.08 million TOE and 6.32 million TOE compared to the baseline scenario. According to sectoral research, energy consumption in the industrial and commercial sectors will grow by more than 136% and 414%, respectively, in 2030 under the baseline scenario. In advanced scenarios, electricity consumption in the industrial sector is anticipated to grow by 312% by 2030, compared to 2013. Under the advanced scenario, energy consumption in the commercial sector will be 26% higher than in 2013. We use </w:t>
      </w:r>
      <w:r w:rsidRPr="004923B8">
        <w:rPr>
          <w:rFonts w:ascii="Times New Roman" w:hAnsi="Times New Roman"/>
          <w:sz w:val="20"/>
          <w:szCs w:val="20"/>
        </w:rPr>
        <w:lastRenderedPageBreak/>
        <w:t xml:space="preserve">Monte Carlo simulation for evaluations. The outcomes of the Monte Carlo simulation are pretty close to the values of scenario creation based on co-integration. This justified our scenario BAU outcomes and the multiple prospective energy usage scenarios by 2030. </w:t>
      </w:r>
    </w:p>
    <w:p w:rsidR="00674261"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 xml:space="preserve">    The CPEC-related investment in power generation capacity is expected to meet the rise in energy demand and decrease existing energy shortfalls; however, the environmental costs of these initiatives cannot be underestimated because most of the power generated in these project activities is based on coal-related technologies. To reduce the environmental consequences of these projects, targeted interventions with adequate abatement pursuits are needed. If these decisions are backed by concrete evidence, it can realize the dream of resolving Pakistan's energy crisis and environmental issues.</w:t>
      </w: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Pr="004923B8"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674261" w:rsidRPr="004923B8" w:rsidRDefault="004923B8" w:rsidP="004923B8">
      <w:pPr>
        <w:adjustRightInd w:val="0"/>
        <w:snapToGrid w:val="0"/>
        <w:spacing w:after="0" w:line="240" w:lineRule="auto"/>
        <w:jc w:val="both"/>
        <w:rPr>
          <w:rFonts w:ascii="Times New Roman" w:hAnsi="Times New Roman"/>
          <w:b/>
          <w:sz w:val="20"/>
          <w:szCs w:val="20"/>
        </w:rPr>
      </w:pPr>
      <w:r w:rsidRPr="004923B8">
        <w:rPr>
          <w:rFonts w:ascii="Times New Roman" w:hAnsi="Times New Roman"/>
          <w:b/>
          <w:sz w:val="20"/>
          <w:szCs w:val="20"/>
        </w:rPr>
        <w:t>Policy recommendation</w:t>
      </w:r>
    </w:p>
    <w:p w:rsidR="00674261" w:rsidRPr="004923B8" w:rsidRDefault="004923B8" w:rsidP="004923B8">
      <w:pPr>
        <w:adjustRightInd w:val="0"/>
        <w:snapToGrid w:val="0"/>
        <w:spacing w:after="0" w:line="240" w:lineRule="auto"/>
        <w:ind w:firstLine="720"/>
        <w:jc w:val="both"/>
        <w:rPr>
          <w:rFonts w:ascii="Times New Roman" w:hAnsi="Times New Roman"/>
          <w:sz w:val="20"/>
          <w:szCs w:val="20"/>
          <w:shd w:val="clear" w:color="auto" w:fill="FFFFFF"/>
        </w:rPr>
      </w:pPr>
      <w:r w:rsidRPr="004923B8">
        <w:rPr>
          <w:rFonts w:ascii="Times New Roman" w:hAnsi="Times New Roman"/>
          <w:sz w:val="20"/>
          <w:szCs w:val="20"/>
          <w:shd w:val="clear" w:color="auto" w:fill="FFFFFF"/>
        </w:rPr>
        <w:t xml:space="preserve">    </w:t>
      </w:r>
      <w:r w:rsidRPr="004923B8">
        <w:rPr>
          <w:rFonts w:ascii="Times New Roman" w:hAnsi="Times New Roman"/>
          <w:sz w:val="20"/>
          <w:szCs w:val="20"/>
        </w:rPr>
        <w:t>We suggest the following additional policy recommendations based on the findings of the current study</w:t>
      </w:r>
      <w:r w:rsidRPr="004923B8">
        <w:rPr>
          <w:rFonts w:ascii="Times New Roman" w:hAnsi="Times New Roman"/>
          <w:sz w:val="20"/>
          <w:szCs w:val="20"/>
          <w:shd w:val="clear" w:color="auto" w:fill="FFFFFF"/>
        </w:rPr>
        <w:t xml:space="preserve">. </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shd w:val="clear" w:color="auto" w:fill="FFFFFF"/>
        </w:rPr>
      </w:pPr>
      <w:r w:rsidRPr="004923B8">
        <w:rPr>
          <w:rFonts w:ascii="Times New Roman" w:hAnsi="Times New Roman"/>
          <w:sz w:val="20"/>
          <w:szCs w:val="20"/>
          <w:shd w:val="clear" w:color="auto" w:fill="FFFFFF"/>
        </w:rPr>
        <w:t>The government should perform systematic accounting and relevant planning for each sector of the economy to account for the planned increase in energy consumption due to CPEC-related economic growth. Moreover, because increased economic activity under CPEC is predicted to have environmental consequences, it is essential to consider and estimate the future GHG emissions to design effective abatement measures.</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shd w:val="clear" w:color="auto" w:fill="FFFFFF"/>
        </w:rPr>
      </w:pPr>
      <w:r w:rsidRPr="004923B8">
        <w:rPr>
          <w:rFonts w:ascii="Times New Roman" w:hAnsi="Times New Roman"/>
          <w:sz w:val="20"/>
          <w:szCs w:val="20"/>
          <w:shd w:val="clear" w:color="auto" w:fill="FFFFFF"/>
        </w:rPr>
        <w:t>Energy should seek energy conservation by promoting energy-efficient technologies through investment techniques and also motivate local investors in such initiatives.</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4923B8">
        <w:rPr>
          <w:rFonts w:ascii="Times New Roman" w:hAnsi="Times New Roman"/>
          <w:sz w:val="20"/>
          <w:szCs w:val="20"/>
        </w:rPr>
        <w:lastRenderedPageBreak/>
        <w:t>Long-term policies based on research evidence are required for renewable energy sector expansion.</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4923B8">
        <w:rPr>
          <w:rFonts w:ascii="Times New Roman" w:hAnsi="Times New Roman"/>
          <w:sz w:val="20"/>
          <w:szCs w:val="20"/>
        </w:rPr>
        <w:t>The CPEC should prioritize local development to create trust and public support, ensuring the project's success.</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4923B8">
        <w:rPr>
          <w:rFonts w:ascii="Times New Roman" w:hAnsi="Times New Roman"/>
          <w:sz w:val="20"/>
          <w:szCs w:val="20"/>
        </w:rPr>
        <w:t>The increasing economic activity will have to be watched at all levels to ensure the efficiency of investments and investor reliability so that there is a very little potential of tampering at any stage of growth.</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4923B8">
        <w:rPr>
          <w:rFonts w:ascii="Times New Roman" w:hAnsi="Times New Roman"/>
          <w:sz w:val="20"/>
          <w:szCs w:val="20"/>
        </w:rPr>
        <w:t>There is a need to establish that while governments may modify, policies should not modify or affect the growth of CPEC, and CPEC programs should continue running smoothly in all authorities. CPEC should continue every government's plan until it is completed.</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4923B8">
        <w:rPr>
          <w:rFonts w:ascii="Times New Roman" w:hAnsi="Times New Roman"/>
          <w:sz w:val="20"/>
          <w:szCs w:val="20"/>
        </w:rPr>
        <w:t>Pakistani governments should develop methods to maximize the advantages of CPEC while ensuring that the country does not become embroiled in the responsibilities of refundable borrowing again.</w:t>
      </w:r>
    </w:p>
    <w:p w:rsidR="00674261" w:rsidRPr="004923B8" w:rsidRDefault="004923B8" w:rsidP="004923B8">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4923B8">
        <w:rPr>
          <w:rFonts w:ascii="Times New Roman" w:hAnsi="Times New Roman"/>
          <w:sz w:val="20"/>
          <w:szCs w:val="20"/>
        </w:rPr>
        <w:t>If the major goal of the China Pakistan Economic Corridor is to establish a transit corridor, Pakistan should promote its country's interests.</w:t>
      </w:r>
    </w:p>
    <w:p w:rsidR="005557AE" w:rsidRDefault="005557AE" w:rsidP="004923B8">
      <w:pPr>
        <w:adjustRightInd w:val="0"/>
        <w:snapToGrid w:val="0"/>
        <w:spacing w:after="0" w:line="240" w:lineRule="auto"/>
        <w:rPr>
          <w:rFonts w:ascii="Times New Roman" w:hAnsi="Times New Roman" w:hint="eastAsia"/>
          <w:b/>
          <w:bCs/>
          <w:sz w:val="20"/>
          <w:szCs w:val="20"/>
          <w:lang w:eastAsia="zh-CN"/>
        </w:rPr>
      </w:pPr>
    </w:p>
    <w:p w:rsidR="005557AE" w:rsidRDefault="005557AE" w:rsidP="004923B8">
      <w:pPr>
        <w:adjustRightInd w:val="0"/>
        <w:snapToGrid w:val="0"/>
        <w:spacing w:after="0" w:line="240" w:lineRule="auto"/>
        <w:rPr>
          <w:rFonts w:ascii="Times New Roman" w:hAnsi="Times New Roman" w:hint="eastAsia"/>
          <w:b/>
          <w:bCs/>
          <w:sz w:val="20"/>
          <w:szCs w:val="20"/>
          <w:lang w:eastAsia="zh-CN"/>
        </w:rPr>
      </w:pPr>
    </w:p>
    <w:p w:rsidR="00674261" w:rsidRPr="004923B8" w:rsidRDefault="004923B8" w:rsidP="004923B8">
      <w:pPr>
        <w:adjustRightInd w:val="0"/>
        <w:snapToGrid w:val="0"/>
        <w:spacing w:after="0" w:line="240" w:lineRule="auto"/>
        <w:rPr>
          <w:rFonts w:ascii="Times New Roman" w:hAnsi="Times New Roman"/>
          <w:sz w:val="20"/>
          <w:szCs w:val="20"/>
        </w:rPr>
      </w:pPr>
      <w:r w:rsidRPr="004923B8">
        <w:rPr>
          <w:rFonts w:ascii="Times New Roman" w:hAnsi="Times New Roman"/>
          <w:b/>
          <w:bCs/>
          <w:sz w:val="20"/>
          <w:szCs w:val="20"/>
        </w:rPr>
        <w:t>Acknowledgements</w:t>
      </w:r>
      <w:r w:rsidRPr="004923B8">
        <w:rPr>
          <w:rFonts w:ascii="Times New Roman" w:hAnsi="Times New Roman"/>
          <w:sz w:val="20"/>
          <w:szCs w:val="20"/>
        </w:rPr>
        <w:t xml:space="preserve"> </w:t>
      </w:r>
    </w:p>
    <w:p w:rsidR="005557AE" w:rsidRDefault="004923B8" w:rsidP="004923B8">
      <w:pPr>
        <w:adjustRightInd w:val="0"/>
        <w:snapToGrid w:val="0"/>
        <w:spacing w:after="0" w:line="240" w:lineRule="auto"/>
        <w:ind w:firstLine="720"/>
        <w:jc w:val="both"/>
        <w:rPr>
          <w:rFonts w:ascii="Times New Roman" w:hAnsi="Times New Roman" w:hint="eastAsia"/>
          <w:sz w:val="20"/>
          <w:szCs w:val="20"/>
          <w:lang w:eastAsia="zh-CN"/>
        </w:rPr>
      </w:pPr>
      <w:r w:rsidRPr="004923B8">
        <w:rPr>
          <w:rFonts w:ascii="Times New Roman" w:hAnsi="Times New Roman"/>
          <w:sz w:val="20"/>
          <w:szCs w:val="20"/>
        </w:rPr>
        <w:t>This paper is contributed by the first author Wajid Ali Khan and is part of the Master dissertation. He is thankful to the Chinese Scholarship Commission (CSC) and the Ministry of Education (MOE) China for awarding the scholarship and providing a marvelous opportunity to get higher education. The author is grateful to his research Supervisor Professor Dr. Xiaoyan Li, the author’s parents, friends, and teachers whose efforts able him to do such work.</w:t>
      </w:r>
      <w:r w:rsidR="005557AE">
        <w:rPr>
          <w:rFonts w:ascii="Times New Roman" w:hAnsi="Times New Roman" w:hint="eastAsia"/>
          <w:sz w:val="20"/>
          <w:szCs w:val="20"/>
          <w:lang w:eastAsia="zh-CN"/>
        </w:rPr>
        <w:t xml:space="preserve"> </w:t>
      </w:r>
    </w:p>
    <w:p w:rsidR="005557AE" w:rsidRDefault="005557AE" w:rsidP="004923B8">
      <w:pPr>
        <w:adjustRightInd w:val="0"/>
        <w:snapToGrid w:val="0"/>
        <w:spacing w:after="0" w:line="240" w:lineRule="auto"/>
        <w:ind w:firstLine="720"/>
        <w:jc w:val="both"/>
        <w:rPr>
          <w:rFonts w:ascii="Times New Roman" w:hAnsi="Times New Roman"/>
          <w:sz w:val="20"/>
          <w:szCs w:val="20"/>
          <w:lang w:eastAsia="zh-CN"/>
        </w:rPr>
        <w:sectPr w:rsidR="005557AE" w:rsidSect="00674261">
          <w:type w:val="continuous"/>
          <w:pgSz w:w="12240" w:h="15840"/>
          <w:pgMar w:top="1440" w:right="1440" w:bottom="1440" w:left="1440" w:header="720" w:footer="720" w:gutter="0"/>
          <w:cols w:num="2" w:space="720"/>
          <w:docGrid w:linePitch="360"/>
        </w:sect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p w:rsidR="005557AE" w:rsidRPr="004923B8" w:rsidRDefault="005557AE" w:rsidP="004923B8">
      <w:pPr>
        <w:adjustRightInd w:val="0"/>
        <w:snapToGrid w:val="0"/>
        <w:spacing w:after="0" w:line="240" w:lineRule="auto"/>
        <w:ind w:firstLine="720"/>
        <w:jc w:val="both"/>
        <w:rPr>
          <w:rFonts w:ascii="Times New Roman" w:hAnsi="Times New Roman" w:hint="eastAsia"/>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2"/>
        <w:gridCol w:w="2044"/>
      </w:tblGrid>
      <w:tr w:rsidR="00674261" w:rsidRPr="004923B8" w:rsidTr="005557AE">
        <w:trPr>
          <w:cantSplit/>
          <w:jc w:val="center"/>
        </w:trPr>
        <w:tc>
          <w:tcPr>
            <w:tcW w:w="5000" w:type="pct"/>
            <w:gridSpan w:val="2"/>
            <w:vAlign w:val="center"/>
          </w:tcPr>
          <w:p w:rsidR="00674261" w:rsidRPr="004923B8" w:rsidRDefault="004923B8" w:rsidP="005557AE">
            <w:pPr>
              <w:adjustRightInd w:val="0"/>
              <w:snapToGrid w:val="0"/>
              <w:spacing w:after="0" w:line="240" w:lineRule="auto"/>
              <w:jc w:val="center"/>
              <w:rPr>
                <w:rFonts w:ascii="Times New Roman" w:hAnsi="Times New Roman"/>
                <w:sz w:val="20"/>
                <w:szCs w:val="20"/>
              </w:rPr>
            </w:pPr>
            <w:r w:rsidRPr="004923B8">
              <w:rPr>
                <w:rFonts w:ascii="Times New Roman" w:hAnsi="Times New Roman"/>
                <w:b/>
                <w:bCs/>
                <w:sz w:val="20"/>
                <w:szCs w:val="20"/>
              </w:rPr>
              <w:t>Abbreviations</w:t>
            </w:r>
          </w:p>
        </w:tc>
      </w:tr>
      <w:tr w:rsidR="00674261" w:rsidRPr="004923B8" w:rsidTr="005557AE">
        <w:trPr>
          <w:cantSplit/>
          <w:jc w:val="center"/>
        </w:trPr>
        <w:tc>
          <w:tcPr>
            <w:tcW w:w="3933" w:type="pct"/>
            <w:vAlign w:val="center"/>
          </w:tcPr>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China Pakistan Economic Corridor</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Gross Domestic Product</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Megawatt’s</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Liquefied Natural Gas</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China Machinery Engineering Corporation</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China Gezhouba Group Corporation</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To Be Decided</w:t>
            </w:r>
          </w:p>
          <w:p w:rsidR="00674261" w:rsidRPr="004923B8" w:rsidRDefault="004923B8" w:rsidP="005557AE">
            <w:pPr>
              <w:adjustRightInd w:val="0"/>
              <w:snapToGrid w:val="0"/>
              <w:spacing w:after="0" w:line="240" w:lineRule="auto"/>
              <w:rPr>
                <w:rFonts w:ascii="Times New Roman" w:hAnsi="Times New Roman"/>
                <w:spacing w:val="15"/>
                <w:sz w:val="20"/>
                <w:szCs w:val="20"/>
                <w:shd w:val="clear" w:color="auto" w:fill="FFFFFF"/>
              </w:rPr>
            </w:pPr>
            <w:r w:rsidRPr="004923B8">
              <w:rPr>
                <w:rFonts w:ascii="Times New Roman" w:hAnsi="Times New Roman"/>
                <w:spacing w:val="15"/>
                <w:sz w:val="20"/>
                <w:szCs w:val="20"/>
                <w:shd w:val="clear" w:color="auto" w:fill="FFFFFF"/>
              </w:rPr>
              <w:t>Belt and Road initiative</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Balance of Payments</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Pakistan Rupee</w:t>
            </w:r>
          </w:p>
          <w:p w:rsidR="00674261" w:rsidRPr="004923B8" w:rsidRDefault="004923B8" w:rsidP="005557AE">
            <w:pPr>
              <w:tabs>
                <w:tab w:val="left" w:pos="1731"/>
                <w:tab w:val="center" w:pos="4680"/>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Water and Power Development Authority</w:t>
            </w:r>
          </w:p>
          <w:p w:rsidR="00674261" w:rsidRPr="004923B8" w:rsidRDefault="004923B8" w:rsidP="005557AE">
            <w:pPr>
              <w:tabs>
                <w:tab w:val="left" w:pos="1731"/>
                <w:tab w:val="center" w:pos="4680"/>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Karachi Electric Supply Company</w:t>
            </w:r>
          </w:p>
          <w:p w:rsidR="00674261" w:rsidRPr="004923B8" w:rsidRDefault="004923B8" w:rsidP="005557AE">
            <w:pPr>
              <w:tabs>
                <w:tab w:val="left" w:pos="1731"/>
                <w:tab w:val="center" w:pos="4680"/>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Tons of Oil Equivalents</w:t>
            </w:r>
          </w:p>
          <w:p w:rsidR="00674261" w:rsidRPr="004923B8" w:rsidRDefault="004923B8" w:rsidP="005557AE">
            <w:pPr>
              <w:tabs>
                <w:tab w:val="left" w:pos="1731"/>
                <w:tab w:val="center" w:pos="4680"/>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Foreign Direct Investment</w:t>
            </w:r>
          </w:p>
          <w:p w:rsidR="00674261" w:rsidRPr="004923B8" w:rsidRDefault="004923B8" w:rsidP="005557AE">
            <w:pPr>
              <w:tabs>
                <w:tab w:val="left" w:pos="1731"/>
                <w:tab w:val="center" w:pos="4680"/>
              </w:tabs>
              <w:adjustRightInd w:val="0"/>
              <w:snapToGrid w:val="0"/>
              <w:spacing w:after="0" w:line="240" w:lineRule="auto"/>
              <w:rPr>
                <w:rFonts w:ascii="Times New Roman" w:hAnsi="Times New Roman"/>
                <w:sz w:val="20"/>
                <w:szCs w:val="20"/>
              </w:rPr>
            </w:pPr>
            <w:r w:rsidRPr="004923B8">
              <w:rPr>
                <w:rFonts w:ascii="Times New Roman" w:hAnsi="Times New Roman"/>
                <w:color w:val="0D0D0D"/>
                <w:sz w:val="20"/>
                <w:szCs w:val="20"/>
                <w:shd w:val="clear" w:color="auto" w:fill="FFFFFF"/>
              </w:rPr>
              <w:t>World Development Indicators</w:t>
            </w:r>
          </w:p>
          <w:p w:rsidR="00674261" w:rsidRPr="004923B8" w:rsidRDefault="004923B8" w:rsidP="005557AE">
            <w:pPr>
              <w:adjustRightInd w:val="0"/>
              <w:snapToGrid w:val="0"/>
              <w:spacing w:after="0" w:line="240" w:lineRule="auto"/>
              <w:rPr>
                <w:rFonts w:ascii="Times New Roman" w:eastAsia="微软雅黑" w:hAnsi="Times New Roman"/>
                <w:color w:val="111111"/>
                <w:sz w:val="20"/>
                <w:szCs w:val="20"/>
                <w:shd w:val="clear" w:color="auto" w:fill="FFFFFF"/>
              </w:rPr>
            </w:pPr>
            <w:r w:rsidRPr="004923B8">
              <w:rPr>
                <w:rFonts w:ascii="Times New Roman" w:eastAsia="微软雅黑" w:hAnsi="Times New Roman"/>
                <w:color w:val="111111"/>
                <w:sz w:val="20"/>
                <w:szCs w:val="20"/>
                <w:shd w:val="clear" w:color="auto" w:fill="FFFFFF"/>
              </w:rPr>
              <w:t>Impact Population Affluence Technology</w:t>
            </w:r>
          </w:p>
          <w:p w:rsidR="00674261" w:rsidRPr="004923B8" w:rsidRDefault="004923B8" w:rsidP="005557AE">
            <w:pPr>
              <w:tabs>
                <w:tab w:val="left" w:pos="1731"/>
                <w:tab w:val="left" w:pos="4151"/>
              </w:tabs>
              <w:adjustRightInd w:val="0"/>
              <w:snapToGrid w:val="0"/>
              <w:spacing w:after="0" w:line="240" w:lineRule="auto"/>
              <w:rPr>
                <w:rFonts w:ascii="Times New Roman" w:hAnsi="Times New Roman"/>
                <w:sz w:val="20"/>
                <w:szCs w:val="20"/>
                <w:shd w:val="clear" w:color="auto" w:fill="FFFFFF"/>
              </w:rPr>
            </w:pPr>
            <w:r w:rsidRPr="004923B8">
              <w:rPr>
                <w:rFonts w:ascii="Times New Roman" w:hAnsi="Times New Roman"/>
                <w:sz w:val="20"/>
                <w:szCs w:val="20"/>
                <w:shd w:val="clear" w:color="auto" w:fill="FFFFFF"/>
              </w:rPr>
              <w:t>Stochastic Impacts by Regression on Population, Affluence Technology</w:t>
            </w:r>
          </w:p>
          <w:p w:rsidR="00674261" w:rsidRPr="004923B8" w:rsidRDefault="004923B8" w:rsidP="005557AE">
            <w:pPr>
              <w:tabs>
                <w:tab w:val="left" w:pos="1731"/>
                <w:tab w:val="left" w:pos="4151"/>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Energy Consumption</w:t>
            </w:r>
          </w:p>
          <w:p w:rsidR="00674261" w:rsidRPr="004923B8" w:rsidRDefault="004923B8" w:rsidP="005557AE">
            <w:pPr>
              <w:tabs>
                <w:tab w:val="left" w:pos="1731"/>
                <w:tab w:val="left" w:pos="4151"/>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Energy Price</w:t>
            </w:r>
          </w:p>
          <w:p w:rsidR="00674261" w:rsidRPr="004923B8" w:rsidRDefault="004923B8" w:rsidP="005557AE">
            <w:pPr>
              <w:tabs>
                <w:tab w:val="left" w:pos="1731"/>
                <w:tab w:val="left" w:pos="4151"/>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Energy Intensity</w:t>
            </w:r>
          </w:p>
          <w:p w:rsidR="00674261" w:rsidRPr="004923B8" w:rsidRDefault="004923B8" w:rsidP="005557AE">
            <w:pPr>
              <w:tabs>
                <w:tab w:val="left" w:pos="1731"/>
                <w:tab w:val="left" w:pos="4151"/>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Trade Openness</w:t>
            </w:r>
          </w:p>
          <w:p w:rsidR="00674261" w:rsidRPr="004923B8" w:rsidRDefault="004923B8" w:rsidP="005557AE">
            <w:pPr>
              <w:tabs>
                <w:tab w:val="left" w:pos="1731"/>
                <w:tab w:val="left" w:pos="4151"/>
              </w:tabs>
              <w:adjustRightInd w:val="0"/>
              <w:snapToGrid w:val="0"/>
              <w:spacing w:after="0" w:line="240" w:lineRule="auto"/>
              <w:rPr>
                <w:rFonts w:ascii="Times New Roman" w:hAnsi="Times New Roman"/>
                <w:sz w:val="20"/>
                <w:szCs w:val="20"/>
                <w:shd w:val="clear" w:color="auto" w:fill="FFFFFF"/>
              </w:rPr>
            </w:pPr>
            <w:r w:rsidRPr="004923B8">
              <w:rPr>
                <w:rFonts w:ascii="Times New Roman" w:hAnsi="Times New Roman"/>
                <w:sz w:val="20"/>
                <w:szCs w:val="20"/>
              </w:rPr>
              <w:t>Augmented Dickey-Fuller</w:t>
            </w:r>
          </w:p>
          <w:p w:rsidR="00674261" w:rsidRPr="004923B8" w:rsidRDefault="004923B8" w:rsidP="005557AE">
            <w:pPr>
              <w:adjustRightInd w:val="0"/>
              <w:snapToGrid w:val="0"/>
              <w:spacing w:after="0" w:line="240" w:lineRule="auto"/>
              <w:rPr>
                <w:rFonts w:ascii="Times New Roman" w:hAnsi="Times New Roman"/>
                <w:color w:val="000000"/>
                <w:sz w:val="20"/>
                <w:szCs w:val="20"/>
                <w:shd w:val="clear" w:color="auto" w:fill="FFFFFF"/>
              </w:rPr>
            </w:pPr>
            <w:r w:rsidRPr="004923B8">
              <w:rPr>
                <w:rStyle w:val="Strong"/>
                <w:rFonts w:ascii="Times New Roman" w:hAnsi="Times New Roman"/>
                <w:b w:val="0"/>
                <w:bCs w:val="0"/>
                <w:color w:val="000000"/>
                <w:sz w:val="20"/>
                <w:szCs w:val="20"/>
                <w:shd w:val="clear" w:color="auto" w:fill="FFFFFF"/>
              </w:rPr>
              <w:t>Phillips-Perron (PP)</w:t>
            </w:r>
            <w:r w:rsidRPr="004923B8">
              <w:rPr>
                <w:rFonts w:ascii="Times New Roman" w:hAnsi="Times New Roman"/>
                <w:color w:val="000000"/>
                <w:sz w:val="20"/>
                <w:szCs w:val="20"/>
                <w:shd w:val="clear" w:color="auto" w:fill="FFFFFF"/>
              </w:rPr>
              <w:t> unit root test</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Vector Auto Regression</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Environmental Kuznets Curve</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Intergovernmental Panel Climate Change</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Business as Usual</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Baseline Scenario</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Advance Scenario</w:t>
            </w:r>
          </w:p>
          <w:p w:rsidR="00674261" w:rsidRPr="004923B8" w:rsidRDefault="004923B8" w:rsidP="005557AE">
            <w:pPr>
              <w:tabs>
                <w:tab w:val="left" w:pos="1792"/>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Moderate Scenario</w:t>
            </w:r>
          </w:p>
        </w:tc>
        <w:tc>
          <w:tcPr>
            <w:tcW w:w="1067" w:type="pct"/>
            <w:vAlign w:val="center"/>
          </w:tcPr>
          <w:p w:rsidR="00674261" w:rsidRPr="004923B8" w:rsidRDefault="004923B8" w:rsidP="005557AE">
            <w:pPr>
              <w:tabs>
                <w:tab w:val="left" w:pos="1792"/>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CPEC</w:t>
            </w:r>
          </w:p>
          <w:p w:rsidR="00674261" w:rsidRPr="004923B8" w:rsidRDefault="004923B8" w:rsidP="005557AE">
            <w:pPr>
              <w:tabs>
                <w:tab w:val="left" w:pos="1792"/>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GDP</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MW</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LNG</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CMEC</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CGGC</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TBD</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BRI</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BoP</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PKR</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WAPDA</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KESC</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TOE</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FDI</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WDI</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IPAT</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STIRPAT</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EC</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EP</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EI</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TO</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ADF</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PP</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VAR</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EKC</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IPCC</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BAU</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BS</w:t>
            </w:r>
          </w:p>
          <w:p w:rsidR="00674261" w:rsidRPr="004923B8" w:rsidRDefault="004923B8" w:rsidP="005557AE">
            <w:pPr>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AS</w:t>
            </w:r>
          </w:p>
          <w:p w:rsidR="00674261" w:rsidRPr="004923B8" w:rsidRDefault="004923B8" w:rsidP="005557AE">
            <w:pPr>
              <w:tabs>
                <w:tab w:val="left" w:pos="1792"/>
              </w:tabs>
              <w:adjustRightInd w:val="0"/>
              <w:snapToGrid w:val="0"/>
              <w:spacing w:after="0" w:line="240" w:lineRule="auto"/>
              <w:rPr>
                <w:rFonts w:ascii="Times New Roman" w:hAnsi="Times New Roman"/>
                <w:sz w:val="20"/>
                <w:szCs w:val="20"/>
              </w:rPr>
            </w:pPr>
            <w:r w:rsidRPr="004923B8">
              <w:rPr>
                <w:rFonts w:ascii="Times New Roman" w:hAnsi="Times New Roman"/>
                <w:sz w:val="20"/>
                <w:szCs w:val="20"/>
              </w:rPr>
              <w:t>MS</w:t>
            </w:r>
          </w:p>
        </w:tc>
      </w:tr>
    </w:tbl>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hint="eastAsia"/>
          <w:b/>
          <w:bCs/>
          <w:sz w:val="20"/>
          <w:szCs w:val="20"/>
          <w:lang w:eastAsia="zh-CN"/>
        </w:rPr>
      </w:pPr>
    </w:p>
    <w:p w:rsidR="005557AE" w:rsidRDefault="005557AE" w:rsidP="004923B8">
      <w:pPr>
        <w:adjustRightInd w:val="0"/>
        <w:snapToGrid w:val="0"/>
        <w:spacing w:after="0" w:line="240" w:lineRule="auto"/>
        <w:jc w:val="both"/>
        <w:rPr>
          <w:rFonts w:ascii="Times New Roman" w:hAnsi="Times New Roman"/>
          <w:b/>
          <w:bCs/>
          <w:sz w:val="20"/>
          <w:szCs w:val="20"/>
          <w:lang w:eastAsia="zh-CN"/>
        </w:rPr>
        <w:sectPr w:rsidR="005557AE" w:rsidSect="005557AE">
          <w:type w:val="continuous"/>
          <w:pgSz w:w="12240" w:h="15840"/>
          <w:pgMar w:top="1440" w:right="1440" w:bottom="1440" w:left="1440" w:header="720" w:footer="720" w:gutter="0"/>
          <w:cols w:space="720"/>
          <w:docGrid w:linePitch="360"/>
        </w:sectPr>
      </w:pPr>
    </w:p>
    <w:p w:rsidR="00674261" w:rsidRPr="004923B8" w:rsidRDefault="004923B8" w:rsidP="004923B8">
      <w:pPr>
        <w:adjustRightInd w:val="0"/>
        <w:snapToGrid w:val="0"/>
        <w:spacing w:after="0" w:line="240" w:lineRule="auto"/>
        <w:jc w:val="both"/>
        <w:rPr>
          <w:rFonts w:ascii="Times New Roman" w:hAnsi="Times New Roman"/>
          <w:sz w:val="20"/>
          <w:szCs w:val="20"/>
        </w:rPr>
      </w:pPr>
      <w:r w:rsidRPr="004923B8">
        <w:rPr>
          <w:rFonts w:ascii="Times New Roman" w:hAnsi="Times New Roman"/>
          <w:b/>
          <w:bCs/>
          <w:sz w:val="20"/>
          <w:szCs w:val="20"/>
        </w:rPr>
        <w:lastRenderedPageBreak/>
        <w:t>References</w:t>
      </w:r>
    </w:p>
    <w:p w:rsidR="00674261" w:rsidRPr="004923B8" w:rsidRDefault="00674261"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fldChar w:fldCharType="begin" w:fldLock="1"/>
      </w:r>
      <w:r w:rsidR="004923B8" w:rsidRPr="004923B8">
        <w:rPr>
          <w:rFonts w:ascii="Times New Roman" w:hAnsi="Times New Roman"/>
          <w:sz w:val="20"/>
          <w:szCs w:val="20"/>
        </w:rPr>
        <w:instrText xml:space="preserve">ADDIN Mendeley Bibliography CSL_BIBLIOGRAPHY </w:instrText>
      </w:r>
      <w:r w:rsidRPr="004923B8">
        <w:rPr>
          <w:rFonts w:ascii="Times New Roman" w:hAnsi="Times New Roman"/>
          <w:sz w:val="20"/>
          <w:szCs w:val="20"/>
        </w:rPr>
        <w:fldChar w:fldCharType="separate"/>
      </w:r>
      <w:r w:rsidR="004923B8" w:rsidRPr="004923B8">
        <w:rPr>
          <w:rFonts w:ascii="Times New Roman" w:hAnsi="Times New Roman"/>
          <w:sz w:val="20"/>
          <w:szCs w:val="20"/>
        </w:rPr>
        <w:t xml:space="preserve">Abid, M., &amp; Ashfaq, A. (2015). CPEC: Challenges and opportunities for Pakistan. </w:t>
      </w:r>
      <w:r w:rsidR="004923B8" w:rsidRPr="004923B8">
        <w:rPr>
          <w:rFonts w:ascii="Times New Roman" w:hAnsi="Times New Roman"/>
          <w:i/>
          <w:iCs/>
          <w:sz w:val="20"/>
          <w:szCs w:val="20"/>
        </w:rPr>
        <w:t>Journal of Pakistan Vision</w:t>
      </w:r>
      <w:r w:rsidR="004923B8" w:rsidRPr="004923B8">
        <w:rPr>
          <w:rFonts w:ascii="Times New Roman" w:hAnsi="Times New Roman"/>
          <w:sz w:val="20"/>
          <w:szCs w:val="20"/>
        </w:rPr>
        <w:t xml:space="preserve">, </w:t>
      </w:r>
      <w:r w:rsidR="004923B8" w:rsidRPr="004923B8">
        <w:rPr>
          <w:rFonts w:ascii="Times New Roman" w:hAnsi="Times New Roman"/>
          <w:i/>
          <w:iCs/>
          <w:sz w:val="20"/>
          <w:szCs w:val="20"/>
        </w:rPr>
        <w:t>16</w:t>
      </w:r>
      <w:r w:rsidR="004923B8" w:rsidRPr="004923B8">
        <w:rPr>
          <w:rFonts w:ascii="Times New Roman" w:hAnsi="Times New Roman"/>
          <w:sz w:val="20"/>
          <w:szCs w:val="20"/>
        </w:rPr>
        <w:t>(2), 142–169.</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Afzal, H. (2008). Electricity Shortage in Pakistan in Comparison with Air Conditioners Imported and Produced in 2005-06. </w:t>
      </w:r>
      <w:r w:rsidRPr="004923B8">
        <w:rPr>
          <w:rFonts w:ascii="Times New Roman" w:hAnsi="Times New Roman"/>
          <w:i/>
          <w:iCs/>
          <w:sz w:val="20"/>
          <w:szCs w:val="20"/>
        </w:rPr>
        <w:t>Virtual University of Pakistan Working Paper</w:t>
      </w:r>
      <w:r w:rsidRPr="004923B8">
        <w:rPr>
          <w:rFonts w:ascii="Times New Roman" w:hAnsi="Times New Roman"/>
          <w:sz w:val="20"/>
          <w:szCs w:val="20"/>
        </w:rPr>
        <w:t>, 1–37.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Ahmed, R., &amp; Mustafa, U. (2016). Impact of CPEC projects on agriculture sector of Pakistan: Infrastructure and agricultural output linkages. </w:t>
      </w:r>
      <w:r w:rsidRPr="004923B8">
        <w:rPr>
          <w:rFonts w:ascii="Times New Roman" w:hAnsi="Times New Roman"/>
          <w:i/>
          <w:iCs/>
          <w:sz w:val="20"/>
          <w:szCs w:val="20"/>
        </w:rPr>
        <w:t>The Pakistan Development Review</w:t>
      </w:r>
      <w:r w:rsidRPr="004923B8">
        <w:rPr>
          <w:rFonts w:ascii="Times New Roman" w:hAnsi="Times New Roman"/>
          <w:sz w:val="20"/>
          <w:szCs w:val="20"/>
        </w:rPr>
        <w:t>, 511–527.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Akber, A. L. I. (2015). China Pakistan Economic Corridor (CPEC): Prospects and challenges for regional integeration. </w:t>
      </w:r>
      <w:r w:rsidRPr="004923B8">
        <w:rPr>
          <w:rFonts w:ascii="Times New Roman" w:hAnsi="Times New Roman"/>
          <w:i/>
          <w:iCs/>
          <w:sz w:val="20"/>
          <w:szCs w:val="20"/>
        </w:rPr>
        <w:t>International Journal of Social Sciences and Humanity Studies</w:t>
      </w:r>
      <w:r w:rsidRPr="004923B8">
        <w:rPr>
          <w:rFonts w:ascii="Times New Roman" w:hAnsi="Times New Roman"/>
          <w:sz w:val="20"/>
          <w:szCs w:val="20"/>
        </w:rPr>
        <w:t xml:space="preserve">, </w:t>
      </w:r>
      <w:r w:rsidRPr="004923B8">
        <w:rPr>
          <w:rFonts w:ascii="Times New Roman" w:hAnsi="Times New Roman"/>
          <w:i/>
          <w:iCs/>
          <w:sz w:val="20"/>
          <w:szCs w:val="20"/>
        </w:rPr>
        <w:t>7</w:t>
      </w:r>
      <w:r w:rsidRPr="004923B8">
        <w:rPr>
          <w:rFonts w:ascii="Times New Roman" w:hAnsi="Times New Roman"/>
          <w:sz w:val="20"/>
          <w:szCs w:val="20"/>
        </w:rPr>
        <w:t>(1), 1–15.</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Ali, Y., Rasheed, Z., Muhammad, N., &amp; Yousaf, S. (2018). Energy optimization in </w:t>
      </w:r>
      <w:r w:rsidRPr="004923B8">
        <w:rPr>
          <w:rFonts w:ascii="Times New Roman" w:hAnsi="Times New Roman"/>
          <w:sz w:val="20"/>
          <w:szCs w:val="20"/>
        </w:rPr>
        <w:lastRenderedPageBreak/>
        <w:t xml:space="preserve">the wake of China Pakistan Economic Corridor (CPEC). </w:t>
      </w:r>
      <w:r w:rsidRPr="004923B8">
        <w:rPr>
          <w:rFonts w:ascii="Times New Roman" w:hAnsi="Times New Roman"/>
          <w:i/>
          <w:iCs/>
          <w:sz w:val="20"/>
          <w:szCs w:val="20"/>
        </w:rPr>
        <w:t>Journal of Control and Decision</w:t>
      </w:r>
      <w:r w:rsidRPr="004923B8">
        <w:rPr>
          <w:rFonts w:ascii="Times New Roman" w:hAnsi="Times New Roman"/>
          <w:sz w:val="20"/>
          <w:szCs w:val="20"/>
        </w:rPr>
        <w:t xml:space="preserve">, </w:t>
      </w:r>
      <w:r w:rsidRPr="004923B8">
        <w:rPr>
          <w:rFonts w:ascii="Times New Roman" w:hAnsi="Times New Roman"/>
          <w:i/>
          <w:iCs/>
          <w:sz w:val="20"/>
          <w:szCs w:val="20"/>
        </w:rPr>
        <w:t>5</w:t>
      </w:r>
      <w:r w:rsidRPr="004923B8">
        <w:rPr>
          <w:rFonts w:ascii="Times New Roman" w:hAnsi="Times New Roman"/>
          <w:sz w:val="20"/>
          <w:szCs w:val="20"/>
        </w:rPr>
        <w:t>(2), 129–147.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Aqeel, A., &amp; Butt, M. S. (2001). The relationship between energy consumption and economic growth in Pakistan. </w:t>
      </w:r>
      <w:r w:rsidRPr="004923B8">
        <w:rPr>
          <w:rFonts w:ascii="Times New Roman" w:hAnsi="Times New Roman"/>
          <w:i/>
          <w:iCs/>
          <w:sz w:val="20"/>
          <w:szCs w:val="20"/>
        </w:rPr>
        <w:t>Asia-Pacific Development Journal</w:t>
      </w:r>
      <w:r w:rsidRPr="004923B8">
        <w:rPr>
          <w:rFonts w:ascii="Times New Roman" w:hAnsi="Times New Roman"/>
          <w:sz w:val="20"/>
          <w:szCs w:val="20"/>
        </w:rPr>
        <w:t xml:space="preserve">, </w:t>
      </w:r>
      <w:r w:rsidRPr="004923B8">
        <w:rPr>
          <w:rFonts w:ascii="Times New Roman" w:hAnsi="Times New Roman"/>
          <w:i/>
          <w:iCs/>
          <w:sz w:val="20"/>
          <w:szCs w:val="20"/>
        </w:rPr>
        <w:t>8</w:t>
      </w:r>
      <w:r w:rsidRPr="004923B8">
        <w:rPr>
          <w:rFonts w:ascii="Times New Roman" w:hAnsi="Times New Roman"/>
          <w:sz w:val="20"/>
          <w:szCs w:val="20"/>
        </w:rPr>
        <w:t>(2), 101–110.</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Asif, M. (2012). Energy crisis in Pakistan: origins, challenges, and sustainable solutions. </w:t>
      </w:r>
      <w:r w:rsidRPr="004923B8">
        <w:rPr>
          <w:rFonts w:ascii="Times New Roman" w:hAnsi="Times New Roman"/>
          <w:i/>
          <w:iCs/>
          <w:sz w:val="20"/>
          <w:szCs w:val="20"/>
        </w:rPr>
        <w:t>OUP Catalogue</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Asteriou, D., &amp; Hall, S. G. (2015). </w:t>
      </w:r>
      <w:r w:rsidRPr="004923B8">
        <w:rPr>
          <w:rFonts w:ascii="Times New Roman" w:hAnsi="Times New Roman"/>
          <w:i/>
          <w:iCs/>
          <w:sz w:val="20"/>
          <w:szCs w:val="20"/>
        </w:rPr>
        <w:t>Applied econometrics</w:t>
      </w:r>
      <w:r w:rsidRPr="004923B8">
        <w:rPr>
          <w:rFonts w:ascii="Times New Roman" w:hAnsi="Times New Roman"/>
          <w:sz w:val="20"/>
          <w:szCs w:val="20"/>
        </w:rPr>
        <w:t>. 518.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Austrilia,  p. (2015, February 11). </w:t>
      </w:r>
      <w:r w:rsidRPr="004923B8">
        <w:rPr>
          <w:rFonts w:ascii="Times New Roman" w:hAnsi="Times New Roman"/>
          <w:i/>
          <w:iCs/>
          <w:sz w:val="20"/>
          <w:szCs w:val="20"/>
        </w:rPr>
        <w:t>The world in 2050: will the shift in global economic power continue?</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Avais, M. M. A., Shaikh, M. S., Mahesar, H. A., &amp; Memon, M. F. (2016). China-Pak Economic Corridor: Social Analysis for Pakistan. </w:t>
      </w:r>
      <w:r w:rsidRPr="004923B8">
        <w:rPr>
          <w:rFonts w:ascii="Times New Roman" w:hAnsi="Times New Roman"/>
          <w:i/>
          <w:iCs/>
          <w:sz w:val="20"/>
          <w:szCs w:val="20"/>
        </w:rPr>
        <w:t>The Government-Annual Research Journal of Political Science.</w:t>
      </w:r>
      <w:r w:rsidRPr="004923B8">
        <w:rPr>
          <w:rFonts w:ascii="Times New Roman" w:hAnsi="Times New Roman"/>
          <w:sz w:val="20"/>
          <w:szCs w:val="20"/>
        </w:rPr>
        <w:t xml:space="preserve">, </w:t>
      </w:r>
      <w:r w:rsidRPr="004923B8">
        <w:rPr>
          <w:rFonts w:ascii="Times New Roman" w:hAnsi="Times New Roman"/>
          <w:i/>
          <w:iCs/>
          <w:sz w:val="20"/>
          <w:szCs w:val="20"/>
        </w:rPr>
        <w:t>5</w:t>
      </w:r>
      <w:r w:rsidRPr="004923B8">
        <w:rPr>
          <w:rFonts w:ascii="Times New Roman" w:hAnsi="Times New Roman"/>
          <w:sz w:val="20"/>
          <w:szCs w:val="20"/>
        </w:rPr>
        <w:t>(5).</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lastRenderedPageBreak/>
        <w:t xml:space="preserve">Awan, A. B., &amp; Khan, Z. A. (2014). Recent progress in renewable energy–Remedy of energy crisis in Pakistan. </w:t>
      </w:r>
      <w:r w:rsidRPr="004923B8">
        <w:rPr>
          <w:rFonts w:ascii="Times New Roman" w:hAnsi="Times New Roman"/>
          <w:i/>
          <w:iCs/>
          <w:sz w:val="20"/>
          <w:szCs w:val="20"/>
        </w:rPr>
        <w:t>Renewable and Sustainable Energy Reviews</w:t>
      </w:r>
      <w:r w:rsidRPr="004923B8">
        <w:rPr>
          <w:rFonts w:ascii="Times New Roman" w:hAnsi="Times New Roman"/>
          <w:sz w:val="20"/>
          <w:szCs w:val="20"/>
        </w:rPr>
        <w:t xml:space="preserve">, </w:t>
      </w:r>
      <w:r w:rsidRPr="004923B8">
        <w:rPr>
          <w:rFonts w:ascii="Times New Roman" w:hAnsi="Times New Roman"/>
          <w:i/>
          <w:iCs/>
          <w:sz w:val="20"/>
          <w:szCs w:val="20"/>
        </w:rPr>
        <w:t>33</w:t>
      </w:r>
      <w:r w:rsidRPr="004923B8">
        <w:rPr>
          <w:rFonts w:ascii="Times New Roman" w:hAnsi="Times New Roman"/>
          <w:sz w:val="20"/>
          <w:szCs w:val="20"/>
        </w:rPr>
        <w:t>, 236–253.</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Azam, M., Khan, A. Q., Zaman, K., &amp; Ahmad, M. (2015). Factors determining energy consumption: Evidence from Indonesia, Malaysia and Thailand. </w:t>
      </w:r>
      <w:r w:rsidRPr="004923B8">
        <w:rPr>
          <w:rFonts w:ascii="Times New Roman" w:hAnsi="Times New Roman"/>
          <w:i/>
          <w:iCs/>
          <w:sz w:val="20"/>
          <w:szCs w:val="20"/>
        </w:rPr>
        <w:t>Renewable and Sustainable Energy Reviews</w:t>
      </w:r>
      <w:r w:rsidRPr="004923B8">
        <w:rPr>
          <w:rFonts w:ascii="Times New Roman" w:hAnsi="Times New Roman"/>
          <w:sz w:val="20"/>
          <w:szCs w:val="20"/>
        </w:rPr>
        <w:t xml:space="preserve">, </w:t>
      </w:r>
      <w:r w:rsidRPr="004923B8">
        <w:rPr>
          <w:rFonts w:ascii="Times New Roman" w:hAnsi="Times New Roman"/>
          <w:i/>
          <w:iCs/>
          <w:sz w:val="20"/>
          <w:szCs w:val="20"/>
        </w:rPr>
        <w:t>42</w:t>
      </w:r>
      <w:r w:rsidRPr="004923B8">
        <w:rPr>
          <w:rFonts w:ascii="Times New Roman" w:hAnsi="Times New Roman"/>
          <w:sz w:val="20"/>
          <w:szCs w:val="20"/>
        </w:rPr>
        <w:t>, 1123–1131.</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Bargaoui, S. A., Liouane, N., &amp; Nouri, F. Z. (2014). Environmental impact determinants: An empirical analysis based on the STIRPAT model. </w:t>
      </w:r>
      <w:r w:rsidRPr="004923B8">
        <w:rPr>
          <w:rFonts w:ascii="Times New Roman" w:hAnsi="Times New Roman"/>
          <w:i/>
          <w:iCs/>
          <w:sz w:val="20"/>
          <w:szCs w:val="20"/>
        </w:rPr>
        <w:t>Procedia-Social and Behavioral Sciences</w:t>
      </w:r>
      <w:r w:rsidRPr="004923B8">
        <w:rPr>
          <w:rFonts w:ascii="Times New Roman" w:hAnsi="Times New Roman"/>
          <w:sz w:val="20"/>
          <w:szCs w:val="20"/>
        </w:rPr>
        <w:t xml:space="preserve">, </w:t>
      </w:r>
      <w:r w:rsidRPr="004923B8">
        <w:rPr>
          <w:rFonts w:ascii="Times New Roman" w:hAnsi="Times New Roman"/>
          <w:i/>
          <w:iCs/>
          <w:sz w:val="20"/>
          <w:szCs w:val="20"/>
        </w:rPr>
        <w:t>109</w:t>
      </w:r>
      <w:r w:rsidRPr="004923B8">
        <w:rPr>
          <w:rFonts w:ascii="Times New Roman" w:hAnsi="Times New Roman"/>
          <w:sz w:val="20"/>
          <w:szCs w:val="20"/>
        </w:rPr>
        <w:t>, 449–458.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Bhutta, Z. (2015). India bid to halt Pakistan projects fails. </w:t>
      </w:r>
      <w:r w:rsidRPr="004923B8">
        <w:rPr>
          <w:rFonts w:ascii="Times New Roman" w:hAnsi="Times New Roman"/>
          <w:i/>
          <w:iCs/>
          <w:sz w:val="20"/>
          <w:szCs w:val="20"/>
        </w:rPr>
        <w:t>The Express Tribune</w:t>
      </w:r>
      <w:r w:rsidRPr="004923B8">
        <w:rPr>
          <w:rFonts w:ascii="Times New Roman" w:hAnsi="Times New Roman"/>
          <w:sz w:val="20"/>
          <w:szCs w:val="20"/>
        </w:rPr>
        <w:t xml:space="preserve">, </w:t>
      </w:r>
      <w:r w:rsidRPr="004923B8">
        <w:rPr>
          <w:rFonts w:ascii="Times New Roman" w:hAnsi="Times New Roman"/>
          <w:i/>
          <w:iCs/>
          <w:sz w:val="20"/>
          <w:szCs w:val="20"/>
        </w:rPr>
        <w:t>31</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Blomström, M., &amp; Kokko, A. (2003). </w:t>
      </w:r>
      <w:r w:rsidRPr="004923B8">
        <w:rPr>
          <w:rFonts w:ascii="Times New Roman" w:hAnsi="Times New Roman"/>
          <w:i/>
          <w:iCs/>
          <w:sz w:val="20"/>
          <w:szCs w:val="20"/>
        </w:rPr>
        <w:t>Human capital and inward FDI</w:t>
      </w:r>
      <w:r w:rsidRPr="004923B8">
        <w:rPr>
          <w:rFonts w:ascii="Times New Roman" w:hAnsi="Times New Roman"/>
          <w:sz w:val="20"/>
          <w:szCs w:val="20"/>
        </w:rPr>
        <w:t xml:space="preserve"> (Vol. 3762). Centre for Economic Policy Research London.</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Dickey, D. A., &amp; Fuller, W. A. (1979). Distribution of the estimators for autoregressive time series with a unit root. </w:t>
      </w:r>
      <w:r w:rsidRPr="004923B8">
        <w:rPr>
          <w:rFonts w:ascii="Times New Roman" w:hAnsi="Times New Roman"/>
          <w:i/>
          <w:iCs/>
          <w:sz w:val="20"/>
          <w:szCs w:val="20"/>
        </w:rPr>
        <w:t>Journal of the American Statistical Association</w:t>
      </w:r>
      <w:r w:rsidRPr="004923B8">
        <w:rPr>
          <w:rFonts w:ascii="Times New Roman" w:hAnsi="Times New Roman"/>
          <w:sz w:val="20"/>
          <w:szCs w:val="20"/>
        </w:rPr>
        <w:t xml:space="preserve">, </w:t>
      </w:r>
      <w:r w:rsidRPr="004923B8">
        <w:rPr>
          <w:rFonts w:ascii="Times New Roman" w:hAnsi="Times New Roman"/>
          <w:i/>
          <w:iCs/>
          <w:sz w:val="20"/>
          <w:szCs w:val="20"/>
        </w:rPr>
        <w:t>74</w:t>
      </w:r>
      <w:r w:rsidRPr="004923B8">
        <w:rPr>
          <w:rFonts w:ascii="Times New Roman" w:hAnsi="Times New Roman"/>
          <w:sz w:val="20"/>
          <w:szCs w:val="20"/>
        </w:rPr>
        <w:t>(366a), 427–431.</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Dietz, T., &amp; Rosa, E. A. (1994). Rethinking the environmental impacts of population, affluence and technology. </w:t>
      </w:r>
      <w:r w:rsidRPr="004923B8">
        <w:rPr>
          <w:rFonts w:ascii="Times New Roman" w:hAnsi="Times New Roman"/>
          <w:i/>
          <w:iCs/>
          <w:sz w:val="20"/>
          <w:szCs w:val="20"/>
        </w:rPr>
        <w:t>Human Ecology Review</w:t>
      </w:r>
      <w:r w:rsidRPr="004923B8">
        <w:rPr>
          <w:rFonts w:ascii="Times New Roman" w:hAnsi="Times New Roman"/>
          <w:sz w:val="20"/>
          <w:szCs w:val="20"/>
        </w:rPr>
        <w:t xml:space="preserve">, </w:t>
      </w:r>
      <w:r w:rsidRPr="004923B8">
        <w:rPr>
          <w:rFonts w:ascii="Times New Roman" w:hAnsi="Times New Roman"/>
          <w:i/>
          <w:iCs/>
          <w:sz w:val="20"/>
          <w:szCs w:val="20"/>
        </w:rPr>
        <w:t>1</w:t>
      </w:r>
      <w:r w:rsidRPr="004923B8">
        <w:rPr>
          <w:rFonts w:ascii="Times New Roman" w:hAnsi="Times New Roman"/>
          <w:sz w:val="20"/>
          <w:szCs w:val="20"/>
        </w:rPr>
        <w:t>(2), 277–300.</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Ehrlich, P. R., &amp; Holdren, J. P. (1972). One-dimensional economy. </w:t>
      </w:r>
      <w:r w:rsidRPr="004923B8">
        <w:rPr>
          <w:rFonts w:ascii="Times New Roman" w:hAnsi="Times New Roman"/>
          <w:i/>
          <w:iCs/>
          <w:sz w:val="20"/>
          <w:szCs w:val="20"/>
        </w:rPr>
        <w:t>Bull At Sci</w:t>
      </w:r>
      <w:r w:rsidRPr="004923B8">
        <w:rPr>
          <w:rFonts w:ascii="Times New Roman" w:hAnsi="Times New Roman"/>
          <w:sz w:val="20"/>
          <w:szCs w:val="20"/>
        </w:rPr>
        <w:t xml:space="preserve">, </w:t>
      </w:r>
      <w:r w:rsidRPr="004923B8">
        <w:rPr>
          <w:rFonts w:ascii="Times New Roman" w:hAnsi="Times New Roman"/>
          <w:i/>
          <w:iCs/>
          <w:sz w:val="20"/>
          <w:szCs w:val="20"/>
        </w:rPr>
        <w:t>28</w:t>
      </w:r>
      <w:r w:rsidRPr="004923B8">
        <w:rPr>
          <w:rFonts w:ascii="Times New Roman" w:hAnsi="Times New Roman"/>
          <w:sz w:val="20"/>
          <w:szCs w:val="20"/>
        </w:rPr>
        <w:t>(5), 16–27.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ETP, I. E. A. (2008). </w:t>
      </w:r>
      <w:r w:rsidRPr="004923B8">
        <w:rPr>
          <w:rFonts w:ascii="Times New Roman" w:hAnsi="Times New Roman"/>
          <w:i/>
          <w:iCs/>
          <w:sz w:val="20"/>
          <w:szCs w:val="20"/>
        </w:rPr>
        <w:t>IEA Energy Technology Perspectives 2008–Scenarios and Strategies to 2050. International Energy Agency</w:t>
      </w:r>
      <w:r w:rsidRPr="004923B8">
        <w:rPr>
          <w:rFonts w:ascii="Times New Roman" w:hAnsi="Times New Roman"/>
          <w:sz w:val="20"/>
          <w:szCs w:val="20"/>
        </w:rPr>
        <w:t>. IEA Publications, Paris.</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Farooqui, R. U., Arif, F., &amp; Rafeeqi, S. F. A. (2008). Safety performance in construction industry of Pakistan. </w:t>
      </w:r>
      <w:r w:rsidRPr="004923B8">
        <w:rPr>
          <w:rFonts w:ascii="Times New Roman" w:hAnsi="Times New Roman"/>
          <w:i/>
          <w:iCs/>
          <w:sz w:val="20"/>
          <w:szCs w:val="20"/>
        </w:rPr>
        <w:t>First International Conference on Construction In Developing Countries, Karachi, Pakistan</w:t>
      </w:r>
      <w:r w:rsidRPr="004923B8">
        <w:rPr>
          <w:rFonts w:ascii="Times New Roman" w:hAnsi="Times New Roman"/>
          <w:sz w:val="20"/>
          <w:szCs w:val="20"/>
        </w:rPr>
        <w:t xml:space="preserve">, </w:t>
      </w:r>
      <w:r w:rsidRPr="004923B8">
        <w:rPr>
          <w:rFonts w:ascii="Times New Roman" w:hAnsi="Times New Roman"/>
          <w:i/>
          <w:iCs/>
          <w:sz w:val="20"/>
          <w:szCs w:val="20"/>
        </w:rPr>
        <w:t>2</w:t>
      </w:r>
      <w:r w:rsidRPr="004923B8">
        <w:rPr>
          <w:rFonts w:ascii="Times New Roman" w:hAnsi="Times New Roman"/>
          <w:sz w:val="20"/>
          <w:szCs w:val="20"/>
        </w:rPr>
        <w:t>(2), 74–87.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Feretic, D., &amp; Tomsic, Z. (2005). Probabilistic analysis of electrical energy costs comparing: production costs for gas, coal and nuclear power plants.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33</w:t>
      </w:r>
      <w:r w:rsidRPr="004923B8">
        <w:rPr>
          <w:rFonts w:ascii="Times New Roman" w:hAnsi="Times New Roman"/>
          <w:sz w:val="20"/>
          <w:szCs w:val="20"/>
        </w:rPr>
        <w:t>(1), 5–13.</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Fischer-Kowalski, M., &amp; Amann, C. (2001). Beyond IPAT and Kuznets curves: globalization as a vital factor in analysing the environmental impact of socio-economic metabolism. </w:t>
      </w:r>
      <w:r w:rsidRPr="004923B8">
        <w:rPr>
          <w:rFonts w:ascii="Times New Roman" w:hAnsi="Times New Roman"/>
          <w:i/>
          <w:iCs/>
          <w:sz w:val="20"/>
          <w:szCs w:val="20"/>
        </w:rPr>
        <w:t>Population and Environment</w:t>
      </w:r>
      <w:r w:rsidRPr="004923B8">
        <w:rPr>
          <w:rFonts w:ascii="Times New Roman" w:hAnsi="Times New Roman"/>
          <w:sz w:val="20"/>
          <w:szCs w:val="20"/>
        </w:rPr>
        <w:t xml:space="preserve">, </w:t>
      </w:r>
      <w:r w:rsidRPr="004923B8">
        <w:rPr>
          <w:rFonts w:ascii="Times New Roman" w:hAnsi="Times New Roman"/>
          <w:i/>
          <w:iCs/>
          <w:sz w:val="20"/>
          <w:szCs w:val="20"/>
        </w:rPr>
        <w:t>23</w:t>
      </w:r>
      <w:r w:rsidRPr="004923B8">
        <w:rPr>
          <w:rFonts w:ascii="Times New Roman" w:hAnsi="Times New Roman"/>
          <w:sz w:val="20"/>
          <w:szCs w:val="20"/>
        </w:rPr>
        <w:t>(1), 7–47.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Fisher, D. R., &amp; Freudenburg, W. R. (2004). Postindustrialization and environmental </w:t>
      </w:r>
      <w:r w:rsidRPr="004923B8">
        <w:rPr>
          <w:rFonts w:ascii="Times New Roman" w:hAnsi="Times New Roman"/>
          <w:sz w:val="20"/>
          <w:szCs w:val="20"/>
        </w:rPr>
        <w:lastRenderedPageBreak/>
        <w:t xml:space="preserve">quality: An empirical analysis of the environmental state. </w:t>
      </w:r>
      <w:r w:rsidRPr="004923B8">
        <w:rPr>
          <w:rFonts w:ascii="Times New Roman" w:hAnsi="Times New Roman"/>
          <w:i/>
          <w:iCs/>
          <w:sz w:val="20"/>
          <w:szCs w:val="20"/>
        </w:rPr>
        <w:t>Social Forces</w:t>
      </w:r>
      <w:r w:rsidRPr="004923B8">
        <w:rPr>
          <w:rFonts w:ascii="Times New Roman" w:hAnsi="Times New Roman"/>
          <w:sz w:val="20"/>
          <w:szCs w:val="20"/>
        </w:rPr>
        <w:t xml:space="preserve">, </w:t>
      </w:r>
      <w:r w:rsidRPr="004923B8">
        <w:rPr>
          <w:rFonts w:ascii="Times New Roman" w:hAnsi="Times New Roman"/>
          <w:i/>
          <w:iCs/>
          <w:sz w:val="20"/>
          <w:szCs w:val="20"/>
        </w:rPr>
        <w:t>83</w:t>
      </w:r>
      <w:r w:rsidRPr="004923B8">
        <w:rPr>
          <w:rFonts w:ascii="Times New Roman" w:hAnsi="Times New Roman"/>
          <w:sz w:val="20"/>
          <w:szCs w:val="20"/>
        </w:rPr>
        <w:t>(1), 157–188.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Giuliani, E. (2008). Multinational Corporations and Patterns of Local Knowledge Transfer in Costa Rican High‐Tech Industries. </w:t>
      </w:r>
      <w:r w:rsidRPr="004923B8">
        <w:rPr>
          <w:rFonts w:ascii="Times New Roman" w:hAnsi="Times New Roman"/>
          <w:i/>
          <w:iCs/>
          <w:sz w:val="20"/>
          <w:szCs w:val="20"/>
        </w:rPr>
        <w:t>Development and Change</w:t>
      </w:r>
      <w:r w:rsidRPr="004923B8">
        <w:rPr>
          <w:rFonts w:ascii="Times New Roman" w:hAnsi="Times New Roman"/>
          <w:sz w:val="20"/>
          <w:szCs w:val="20"/>
        </w:rPr>
        <w:t xml:space="preserve">, </w:t>
      </w:r>
      <w:r w:rsidRPr="004923B8">
        <w:rPr>
          <w:rFonts w:ascii="Times New Roman" w:hAnsi="Times New Roman"/>
          <w:i/>
          <w:iCs/>
          <w:sz w:val="20"/>
          <w:szCs w:val="20"/>
        </w:rPr>
        <w:t>39</w:t>
      </w:r>
      <w:r w:rsidRPr="004923B8">
        <w:rPr>
          <w:rFonts w:ascii="Times New Roman" w:hAnsi="Times New Roman"/>
          <w:sz w:val="20"/>
          <w:szCs w:val="20"/>
        </w:rPr>
        <w:t>(3), 385–407.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Hao, H., Liu, Z., Zhao, F., Li, W., &amp; Hang, W. (2015). Scenario analysis of energy consumption and greenhouse gas emissions from China’s passenger vehicles. </w:t>
      </w:r>
      <w:r w:rsidRPr="004923B8">
        <w:rPr>
          <w:rFonts w:ascii="Times New Roman" w:hAnsi="Times New Roman"/>
          <w:i/>
          <w:iCs/>
          <w:sz w:val="20"/>
          <w:szCs w:val="20"/>
        </w:rPr>
        <w:t>Energy</w:t>
      </w:r>
      <w:r w:rsidRPr="004923B8">
        <w:rPr>
          <w:rFonts w:ascii="Times New Roman" w:hAnsi="Times New Roman"/>
          <w:sz w:val="20"/>
          <w:szCs w:val="20"/>
        </w:rPr>
        <w:t xml:space="preserve">, </w:t>
      </w:r>
      <w:r w:rsidRPr="004923B8">
        <w:rPr>
          <w:rFonts w:ascii="Times New Roman" w:hAnsi="Times New Roman"/>
          <w:i/>
          <w:iCs/>
          <w:sz w:val="20"/>
          <w:szCs w:val="20"/>
        </w:rPr>
        <w:t>91</w:t>
      </w:r>
      <w:r w:rsidRPr="004923B8">
        <w:rPr>
          <w:rFonts w:ascii="Times New Roman" w:hAnsi="Times New Roman"/>
          <w:sz w:val="20"/>
          <w:szCs w:val="20"/>
        </w:rPr>
        <w:t>, 151–159.</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Haq, R., &amp; Farooq, N. (2016). Impact of CPEC on social welfare in Pakistan: A district level analysis. </w:t>
      </w:r>
      <w:r w:rsidRPr="004923B8">
        <w:rPr>
          <w:rFonts w:ascii="Times New Roman" w:hAnsi="Times New Roman"/>
          <w:i/>
          <w:iCs/>
          <w:sz w:val="20"/>
          <w:szCs w:val="20"/>
        </w:rPr>
        <w:t>The Pakistan Development Review</w:t>
      </w:r>
      <w:r w:rsidRPr="004923B8">
        <w:rPr>
          <w:rFonts w:ascii="Times New Roman" w:hAnsi="Times New Roman"/>
          <w:sz w:val="20"/>
          <w:szCs w:val="20"/>
        </w:rPr>
        <w:t>, 597–618.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Huang, B.-N., Hwang, M. J., &amp; Yang, C. W. (2008). Causal relationship between energy consumption and GDP growth revisited: a dynamic panel data approach. </w:t>
      </w:r>
      <w:r w:rsidRPr="004923B8">
        <w:rPr>
          <w:rFonts w:ascii="Times New Roman" w:hAnsi="Times New Roman"/>
          <w:i/>
          <w:iCs/>
          <w:sz w:val="20"/>
          <w:szCs w:val="20"/>
        </w:rPr>
        <w:t>Ecological Economics</w:t>
      </w:r>
      <w:r w:rsidRPr="004923B8">
        <w:rPr>
          <w:rFonts w:ascii="Times New Roman" w:hAnsi="Times New Roman"/>
          <w:sz w:val="20"/>
          <w:szCs w:val="20"/>
        </w:rPr>
        <w:t xml:space="preserve">, </w:t>
      </w:r>
      <w:r w:rsidRPr="004923B8">
        <w:rPr>
          <w:rFonts w:ascii="Times New Roman" w:hAnsi="Times New Roman"/>
          <w:i/>
          <w:iCs/>
          <w:sz w:val="20"/>
          <w:szCs w:val="20"/>
        </w:rPr>
        <w:t>67</w:t>
      </w:r>
      <w:r w:rsidRPr="004923B8">
        <w:rPr>
          <w:rFonts w:ascii="Times New Roman" w:hAnsi="Times New Roman"/>
          <w:sz w:val="20"/>
          <w:szCs w:val="20"/>
        </w:rPr>
        <w:t>(1), 41–54.</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Iqbal, S., Chu, J., &amp; Hali, S. M. (2019). Projecting impact of CPEC on Pakistan’s electric power crisis. </w:t>
      </w:r>
      <w:r w:rsidRPr="004923B8">
        <w:rPr>
          <w:rFonts w:ascii="Times New Roman" w:hAnsi="Times New Roman"/>
          <w:i/>
          <w:iCs/>
          <w:sz w:val="20"/>
          <w:szCs w:val="20"/>
        </w:rPr>
        <w:t>Chinese Journal of Population Resources and Environment</w:t>
      </w:r>
      <w:r w:rsidRPr="004923B8">
        <w:rPr>
          <w:rFonts w:ascii="Times New Roman" w:hAnsi="Times New Roman"/>
          <w:sz w:val="20"/>
          <w:szCs w:val="20"/>
        </w:rPr>
        <w:t xml:space="preserve">, </w:t>
      </w:r>
      <w:r w:rsidRPr="004923B8">
        <w:rPr>
          <w:rFonts w:ascii="Times New Roman" w:hAnsi="Times New Roman"/>
          <w:i/>
          <w:iCs/>
          <w:sz w:val="20"/>
          <w:szCs w:val="20"/>
        </w:rPr>
        <w:t>17</w:t>
      </w:r>
      <w:r w:rsidRPr="004923B8">
        <w:rPr>
          <w:rFonts w:ascii="Times New Roman" w:hAnsi="Times New Roman"/>
          <w:sz w:val="20"/>
          <w:szCs w:val="20"/>
        </w:rPr>
        <w:t>(4), 310–321.</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Johansen, S. (1990). The full information maximum likelihood procedure for inference on cointegration-with application to the demand for money. </w:t>
      </w:r>
      <w:r w:rsidRPr="004923B8">
        <w:rPr>
          <w:rFonts w:ascii="Times New Roman" w:hAnsi="Times New Roman"/>
          <w:i/>
          <w:iCs/>
          <w:sz w:val="20"/>
          <w:szCs w:val="20"/>
        </w:rPr>
        <w:t>Oxford Bulletin of Econometrics and Statistics</w:t>
      </w:r>
      <w:r w:rsidRPr="004923B8">
        <w:rPr>
          <w:rFonts w:ascii="Times New Roman" w:hAnsi="Times New Roman"/>
          <w:sz w:val="20"/>
          <w:szCs w:val="20"/>
        </w:rPr>
        <w:t xml:space="preserve">, </w:t>
      </w:r>
      <w:r w:rsidRPr="004923B8">
        <w:rPr>
          <w:rFonts w:ascii="Times New Roman" w:hAnsi="Times New Roman"/>
          <w:i/>
          <w:iCs/>
          <w:sz w:val="20"/>
          <w:szCs w:val="20"/>
        </w:rPr>
        <w:t>52</w:t>
      </w:r>
      <w:r w:rsidRPr="004923B8">
        <w:rPr>
          <w:rFonts w:ascii="Times New Roman" w:hAnsi="Times New Roman"/>
          <w:sz w:val="20"/>
          <w:szCs w:val="20"/>
        </w:rPr>
        <w:t>, 169–210.</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Kalar, Z. H., &amp; Khilji, B. A. (2011). Energy Consumption and Economic Growth ln Pakistan. </w:t>
      </w:r>
      <w:r w:rsidRPr="004923B8">
        <w:rPr>
          <w:rFonts w:ascii="Times New Roman" w:hAnsi="Times New Roman"/>
          <w:i/>
          <w:iCs/>
          <w:sz w:val="20"/>
          <w:szCs w:val="20"/>
        </w:rPr>
        <w:t>Journal of International Academic Research</w:t>
      </w:r>
      <w:r w:rsidRPr="004923B8">
        <w:rPr>
          <w:rFonts w:ascii="Times New Roman" w:hAnsi="Times New Roman"/>
          <w:sz w:val="20"/>
          <w:szCs w:val="20"/>
        </w:rPr>
        <w:t xml:space="preserve">, </w:t>
      </w:r>
      <w:r w:rsidRPr="004923B8">
        <w:rPr>
          <w:rFonts w:ascii="Times New Roman" w:hAnsi="Times New Roman"/>
          <w:i/>
          <w:iCs/>
          <w:sz w:val="20"/>
          <w:szCs w:val="20"/>
        </w:rPr>
        <w:t>11</w:t>
      </w:r>
      <w:r w:rsidRPr="004923B8">
        <w:rPr>
          <w:rFonts w:ascii="Times New Roman" w:hAnsi="Times New Roman"/>
          <w:sz w:val="20"/>
          <w:szCs w:val="20"/>
        </w:rPr>
        <w:t>(1), 33–36.</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Kazmi, S. T. H. (2016a). China’s Journey in Renewable Energy and Its Potential Spillover Effects through the CPEC in Pakistan. </w:t>
      </w:r>
      <w:r w:rsidRPr="004923B8">
        <w:rPr>
          <w:rFonts w:ascii="Times New Roman" w:hAnsi="Times New Roman"/>
          <w:i/>
          <w:iCs/>
          <w:sz w:val="20"/>
          <w:szCs w:val="20"/>
        </w:rPr>
        <w:t>The Pakistan Development Review</w:t>
      </w:r>
      <w:r w:rsidRPr="004923B8">
        <w:rPr>
          <w:rFonts w:ascii="Times New Roman" w:hAnsi="Times New Roman"/>
          <w:sz w:val="20"/>
          <w:szCs w:val="20"/>
        </w:rPr>
        <w:t>, 619–631.</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Kazmi, S. T. H. (2016b). China’s Journey in Renewable Energy and Its Potential Spillover Effects through the CPEC in Pakistan on JSTOR. </w:t>
      </w:r>
      <w:r w:rsidRPr="004923B8">
        <w:rPr>
          <w:rFonts w:ascii="Times New Roman" w:hAnsi="Times New Roman"/>
          <w:i/>
          <w:iCs/>
          <w:sz w:val="20"/>
          <w:szCs w:val="20"/>
        </w:rPr>
        <w:t>The Pakistan Development Review</w:t>
      </w:r>
      <w:r w:rsidRPr="004923B8">
        <w:rPr>
          <w:rFonts w:ascii="Times New Roman" w:hAnsi="Times New Roman"/>
          <w:sz w:val="20"/>
          <w:szCs w:val="20"/>
        </w:rPr>
        <w:t>, 619–631. https://www.jstor.org/stable/44986508?seq=1#metadata_info_tab_contents</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Khan, M. A. (2015). Modelling and forecasting the demand for natural gas in Pakistan. </w:t>
      </w:r>
      <w:r w:rsidRPr="004923B8">
        <w:rPr>
          <w:rFonts w:ascii="Times New Roman" w:hAnsi="Times New Roman"/>
          <w:i/>
          <w:iCs/>
          <w:sz w:val="20"/>
          <w:szCs w:val="20"/>
        </w:rPr>
        <w:t>Renewable and Sustainable Energy Reviews</w:t>
      </w:r>
      <w:r w:rsidRPr="004923B8">
        <w:rPr>
          <w:rFonts w:ascii="Times New Roman" w:hAnsi="Times New Roman"/>
          <w:sz w:val="20"/>
          <w:szCs w:val="20"/>
        </w:rPr>
        <w:t xml:space="preserve">, </w:t>
      </w:r>
      <w:r w:rsidRPr="004923B8">
        <w:rPr>
          <w:rFonts w:ascii="Times New Roman" w:hAnsi="Times New Roman"/>
          <w:i/>
          <w:iCs/>
          <w:sz w:val="20"/>
          <w:szCs w:val="20"/>
        </w:rPr>
        <w:t>49</w:t>
      </w:r>
      <w:r w:rsidRPr="004923B8">
        <w:rPr>
          <w:rFonts w:ascii="Times New Roman" w:hAnsi="Times New Roman"/>
          <w:sz w:val="20"/>
          <w:szCs w:val="20"/>
        </w:rPr>
        <w:t>, 1145–1159.</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Khan, M. A., &amp; Abbas, F. (2016). The dynamics of electricity demand in Pakistan: A panel cointegration analysis. </w:t>
      </w:r>
      <w:r w:rsidRPr="004923B8">
        <w:rPr>
          <w:rFonts w:ascii="Times New Roman" w:hAnsi="Times New Roman"/>
          <w:i/>
          <w:iCs/>
          <w:sz w:val="20"/>
          <w:szCs w:val="20"/>
        </w:rPr>
        <w:t xml:space="preserve">Renewable </w:t>
      </w:r>
      <w:r w:rsidRPr="004923B8">
        <w:rPr>
          <w:rFonts w:ascii="Times New Roman" w:hAnsi="Times New Roman"/>
          <w:i/>
          <w:iCs/>
          <w:sz w:val="20"/>
          <w:szCs w:val="20"/>
        </w:rPr>
        <w:lastRenderedPageBreak/>
        <w:t>and Sustainable Energy Reviews</w:t>
      </w:r>
      <w:r w:rsidRPr="004923B8">
        <w:rPr>
          <w:rFonts w:ascii="Times New Roman" w:hAnsi="Times New Roman"/>
          <w:sz w:val="20"/>
          <w:szCs w:val="20"/>
        </w:rPr>
        <w:t xml:space="preserve">, </w:t>
      </w:r>
      <w:r w:rsidRPr="004923B8">
        <w:rPr>
          <w:rFonts w:ascii="Times New Roman" w:hAnsi="Times New Roman"/>
          <w:i/>
          <w:iCs/>
          <w:sz w:val="20"/>
          <w:szCs w:val="20"/>
        </w:rPr>
        <w:t>65</w:t>
      </w:r>
      <w:r w:rsidRPr="004923B8">
        <w:rPr>
          <w:rFonts w:ascii="Times New Roman" w:hAnsi="Times New Roman"/>
          <w:sz w:val="20"/>
          <w:szCs w:val="20"/>
        </w:rPr>
        <w:t>, 1159–1178.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Khan, M. A., &amp; Ahmad, U. (2008). Energy demand in Pakistan: a disaggregate analysis. </w:t>
      </w:r>
      <w:r w:rsidRPr="004923B8">
        <w:rPr>
          <w:rFonts w:ascii="Times New Roman" w:hAnsi="Times New Roman"/>
          <w:i/>
          <w:iCs/>
          <w:sz w:val="20"/>
          <w:szCs w:val="20"/>
        </w:rPr>
        <w:t>The Pakistan Development Review</w:t>
      </w:r>
      <w:r w:rsidRPr="004923B8">
        <w:rPr>
          <w:rFonts w:ascii="Times New Roman" w:hAnsi="Times New Roman"/>
          <w:sz w:val="20"/>
          <w:szCs w:val="20"/>
        </w:rPr>
        <w:t>, 437–455.</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Khan, O., Muhammad, 1+, &amp; Younas, Z. (2019). INTERACTION BETWEEN ENERGY CONSUMPTION AND ECONOMIC GROWTH IN PAKISTAN: A MORE COMPREHENSIVE ANALYSIS USING ARDL APPROACH. </w:t>
      </w:r>
      <w:r w:rsidRPr="004923B8">
        <w:rPr>
          <w:rFonts w:ascii="Times New Roman" w:hAnsi="Times New Roman"/>
          <w:i/>
          <w:iCs/>
          <w:sz w:val="20"/>
          <w:szCs w:val="20"/>
        </w:rPr>
        <w:t>Energy Economics Letters</w:t>
      </w:r>
      <w:r w:rsidRPr="004923B8">
        <w:rPr>
          <w:rFonts w:ascii="Times New Roman" w:hAnsi="Times New Roman"/>
          <w:sz w:val="20"/>
          <w:szCs w:val="20"/>
        </w:rPr>
        <w:t xml:space="preserve">, </w:t>
      </w:r>
      <w:r w:rsidRPr="004923B8">
        <w:rPr>
          <w:rFonts w:ascii="Times New Roman" w:hAnsi="Times New Roman"/>
          <w:i/>
          <w:iCs/>
          <w:sz w:val="20"/>
          <w:szCs w:val="20"/>
        </w:rPr>
        <w:t>6</w:t>
      </w:r>
      <w:r w:rsidRPr="004923B8">
        <w:rPr>
          <w:rFonts w:ascii="Times New Roman" w:hAnsi="Times New Roman"/>
          <w:sz w:val="20"/>
          <w:szCs w:val="20"/>
        </w:rPr>
        <w:t xml:space="preserve">, </w:t>
      </w:r>
      <w:r w:rsidRPr="004923B8">
        <w:rPr>
          <w:rFonts w:ascii="Times New Roman" w:hAnsi="Times New Roman"/>
          <w:i/>
          <w:iCs/>
          <w:sz w:val="20"/>
          <w:szCs w:val="20"/>
        </w:rPr>
        <w:t>No. 1,</w:t>
      </w:r>
      <w:r w:rsidRPr="004923B8">
        <w:rPr>
          <w:rFonts w:ascii="Times New Roman" w:hAnsi="Times New Roman"/>
          <w:sz w:val="20"/>
          <w:szCs w:val="20"/>
        </w:rPr>
        <w:t>. https://doi.org/10.18488/journal.82.2019.61.30.51</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Khurshid, M., Rashid, A., &amp; Zahid, R. M. A. (2018). Impact of CPEC energy projects on socio-economic development of Pakistan. </w:t>
      </w:r>
      <w:r w:rsidRPr="004923B8">
        <w:rPr>
          <w:rFonts w:ascii="Times New Roman" w:hAnsi="Times New Roman"/>
          <w:i/>
          <w:iCs/>
          <w:sz w:val="20"/>
          <w:szCs w:val="20"/>
        </w:rPr>
        <w:t>Proceedings of the International Conference on Renewable, Applied and New Energy Technologies</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Kouser, S., &amp; Subhan, A. (2020). Uncovering pakistan’s environmental risks and remedies under the China-Pakistan economic corridor. </w:t>
      </w:r>
      <w:r w:rsidRPr="004923B8">
        <w:rPr>
          <w:rFonts w:ascii="Times New Roman" w:hAnsi="Times New Roman"/>
          <w:i/>
          <w:iCs/>
          <w:sz w:val="20"/>
          <w:szCs w:val="20"/>
        </w:rPr>
        <w:t>Environmental Science and Pollution Research</w:t>
      </w:r>
      <w:r w:rsidRPr="004923B8">
        <w:rPr>
          <w:rFonts w:ascii="Times New Roman" w:hAnsi="Times New Roman"/>
          <w:sz w:val="20"/>
          <w:szCs w:val="20"/>
        </w:rPr>
        <w:t xml:space="preserve">, </w:t>
      </w:r>
      <w:r w:rsidRPr="004923B8">
        <w:rPr>
          <w:rFonts w:ascii="Times New Roman" w:hAnsi="Times New Roman"/>
          <w:i/>
          <w:iCs/>
          <w:sz w:val="20"/>
          <w:szCs w:val="20"/>
        </w:rPr>
        <w:t>27</w:t>
      </w:r>
      <w:r w:rsidRPr="004923B8">
        <w:rPr>
          <w:rFonts w:ascii="Times New Roman" w:hAnsi="Times New Roman"/>
          <w:sz w:val="20"/>
          <w:szCs w:val="20"/>
        </w:rPr>
        <w:t>(5), 4661–4663.</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Kuznets, S. (1955). Economic growth and income inequality. </w:t>
      </w:r>
      <w:r w:rsidRPr="004923B8">
        <w:rPr>
          <w:rFonts w:ascii="Times New Roman" w:hAnsi="Times New Roman"/>
          <w:i/>
          <w:iCs/>
          <w:sz w:val="20"/>
          <w:szCs w:val="20"/>
        </w:rPr>
        <w:t>The American Economic Review</w:t>
      </w:r>
      <w:r w:rsidRPr="004923B8">
        <w:rPr>
          <w:rFonts w:ascii="Times New Roman" w:hAnsi="Times New Roman"/>
          <w:sz w:val="20"/>
          <w:szCs w:val="20"/>
        </w:rPr>
        <w:t xml:space="preserve">, </w:t>
      </w:r>
      <w:r w:rsidRPr="004923B8">
        <w:rPr>
          <w:rFonts w:ascii="Times New Roman" w:hAnsi="Times New Roman"/>
          <w:i/>
          <w:iCs/>
          <w:sz w:val="20"/>
          <w:szCs w:val="20"/>
        </w:rPr>
        <w:t>45</w:t>
      </w:r>
      <w:r w:rsidRPr="004923B8">
        <w:rPr>
          <w:rFonts w:ascii="Times New Roman" w:hAnsi="Times New Roman"/>
          <w:sz w:val="20"/>
          <w:szCs w:val="20"/>
        </w:rPr>
        <w:t>(1), 1–28.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Lall, S. (1993). Promoting technology development: the role of technology transfer and indigenous effort. </w:t>
      </w:r>
      <w:r w:rsidRPr="004923B8">
        <w:rPr>
          <w:rFonts w:ascii="Times New Roman" w:hAnsi="Times New Roman"/>
          <w:i/>
          <w:iCs/>
          <w:sz w:val="20"/>
          <w:szCs w:val="20"/>
        </w:rPr>
        <w:t>Third World Quarterly</w:t>
      </w:r>
      <w:r w:rsidRPr="004923B8">
        <w:rPr>
          <w:rFonts w:ascii="Times New Roman" w:hAnsi="Times New Roman"/>
          <w:sz w:val="20"/>
          <w:szCs w:val="20"/>
        </w:rPr>
        <w:t xml:space="preserve">, </w:t>
      </w:r>
      <w:r w:rsidRPr="004923B8">
        <w:rPr>
          <w:rFonts w:ascii="Times New Roman" w:hAnsi="Times New Roman"/>
          <w:i/>
          <w:iCs/>
          <w:sz w:val="20"/>
          <w:szCs w:val="20"/>
        </w:rPr>
        <w:t>14</w:t>
      </w:r>
      <w:r w:rsidRPr="004923B8">
        <w:rPr>
          <w:rFonts w:ascii="Times New Roman" w:hAnsi="Times New Roman"/>
          <w:sz w:val="20"/>
          <w:szCs w:val="20"/>
        </w:rPr>
        <w:t>(1), 95–108.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Lanka, S. (2009). </w:t>
      </w:r>
      <w:r w:rsidRPr="004923B8">
        <w:rPr>
          <w:rFonts w:ascii="Times New Roman" w:hAnsi="Times New Roman"/>
          <w:i/>
          <w:iCs/>
          <w:sz w:val="20"/>
          <w:szCs w:val="20"/>
        </w:rPr>
        <w:t>Technical Assistance Consultant’s Final Report Pakistan: Sustainable Energy Efficiency Development Program Financed by the Asian Development Bank (ADB)</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Leitão, N. C. (2015). Energy consumption and foreign direct investment: a panel data analysis for Portugal. </w:t>
      </w:r>
      <w:r w:rsidRPr="004923B8">
        <w:rPr>
          <w:rFonts w:ascii="Times New Roman" w:hAnsi="Times New Roman"/>
          <w:i/>
          <w:iCs/>
          <w:sz w:val="20"/>
          <w:szCs w:val="20"/>
        </w:rPr>
        <w:t>International Journal of Energy Economics and Policy</w:t>
      </w:r>
      <w:r w:rsidRPr="004923B8">
        <w:rPr>
          <w:rFonts w:ascii="Times New Roman" w:hAnsi="Times New Roman"/>
          <w:sz w:val="20"/>
          <w:szCs w:val="20"/>
        </w:rPr>
        <w:t xml:space="preserve">, </w:t>
      </w:r>
      <w:r w:rsidRPr="004923B8">
        <w:rPr>
          <w:rFonts w:ascii="Times New Roman" w:hAnsi="Times New Roman"/>
          <w:i/>
          <w:iCs/>
          <w:sz w:val="20"/>
          <w:szCs w:val="20"/>
        </w:rPr>
        <w:t>5</w:t>
      </w:r>
      <w:r w:rsidRPr="004923B8">
        <w:rPr>
          <w:rFonts w:ascii="Times New Roman" w:hAnsi="Times New Roman"/>
          <w:sz w:val="20"/>
          <w:szCs w:val="20"/>
        </w:rPr>
        <w:t>(1), 138–147.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Lin, B., &amp; Ouyang, X. (2014). Electricity demand and conservation potential in the Chinese nonmetallic mineral products industry.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68</w:t>
      </w:r>
      <w:r w:rsidRPr="004923B8">
        <w:rPr>
          <w:rFonts w:ascii="Times New Roman" w:hAnsi="Times New Roman"/>
          <w:sz w:val="20"/>
          <w:szCs w:val="20"/>
        </w:rPr>
        <w:t>, 243–253.</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Lin, B., &amp; Wang, A. (2015). Estimating energy conservation potential in China’s commercial sector. </w:t>
      </w:r>
      <w:r w:rsidRPr="004923B8">
        <w:rPr>
          <w:rFonts w:ascii="Times New Roman" w:hAnsi="Times New Roman"/>
          <w:i/>
          <w:iCs/>
          <w:sz w:val="20"/>
          <w:szCs w:val="20"/>
        </w:rPr>
        <w:t>Energy</w:t>
      </w:r>
      <w:r w:rsidRPr="004923B8">
        <w:rPr>
          <w:rFonts w:ascii="Times New Roman" w:hAnsi="Times New Roman"/>
          <w:sz w:val="20"/>
          <w:szCs w:val="20"/>
        </w:rPr>
        <w:t xml:space="preserve">, </w:t>
      </w:r>
      <w:r w:rsidRPr="004923B8">
        <w:rPr>
          <w:rFonts w:ascii="Times New Roman" w:hAnsi="Times New Roman"/>
          <w:i/>
          <w:iCs/>
          <w:sz w:val="20"/>
          <w:szCs w:val="20"/>
        </w:rPr>
        <w:t>82</w:t>
      </w:r>
      <w:r w:rsidRPr="004923B8">
        <w:rPr>
          <w:rFonts w:ascii="Times New Roman" w:hAnsi="Times New Roman"/>
          <w:sz w:val="20"/>
          <w:szCs w:val="20"/>
        </w:rPr>
        <w:t>, 147–156.</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Lin, B., Wu, Y., &amp; Zhang, L. (2012). Electricity saving potential of the power generation industry in China. </w:t>
      </w:r>
      <w:r w:rsidRPr="004923B8">
        <w:rPr>
          <w:rFonts w:ascii="Times New Roman" w:hAnsi="Times New Roman"/>
          <w:i/>
          <w:iCs/>
          <w:sz w:val="20"/>
          <w:szCs w:val="20"/>
        </w:rPr>
        <w:t>Energy</w:t>
      </w:r>
      <w:r w:rsidRPr="004923B8">
        <w:rPr>
          <w:rFonts w:ascii="Times New Roman" w:hAnsi="Times New Roman"/>
          <w:sz w:val="20"/>
          <w:szCs w:val="20"/>
        </w:rPr>
        <w:t xml:space="preserve">, </w:t>
      </w:r>
      <w:r w:rsidRPr="004923B8">
        <w:rPr>
          <w:rFonts w:ascii="Times New Roman" w:hAnsi="Times New Roman"/>
          <w:i/>
          <w:iCs/>
          <w:sz w:val="20"/>
          <w:szCs w:val="20"/>
        </w:rPr>
        <w:t>40</w:t>
      </w:r>
      <w:r w:rsidRPr="004923B8">
        <w:rPr>
          <w:rFonts w:ascii="Times New Roman" w:hAnsi="Times New Roman"/>
          <w:sz w:val="20"/>
          <w:szCs w:val="20"/>
        </w:rPr>
        <w:t>(1), 307–316.</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Lin, B., &amp; Xie, C. (2013). Estimation on oil </w:t>
      </w:r>
      <w:r w:rsidRPr="004923B8">
        <w:rPr>
          <w:rFonts w:ascii="Times New Roman" w:hAnsi="Times New Roman"/>
          <w:sz w:val="20"/>
          <w:szCs w:val="20"/>
        </w:rPr>
        <w:lastRenderedPageBreak/>
        <w:t xml:space="preserve">demand and oil saving potential of China’s road transport sector.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61</w:t>
      </w:r>
      <w:r w:rsidRPr="004923B8">
        <w:rPr>
          <w:rFonts w:ascii="Times New Roman" w:hAnsi="Times New Roman"/>
          <w:sz w:val="20"/>
          <w:szCs w:val="20"/>
        </w:rPr>
        <w:t>, 472–482.</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Lin, S., Zhao, D., &amp; Marinova, D. (2009). Analysis of the environmental impact of China based on STIRPAT model. </w:t>
      </w:r>
      <w:r w:rsidRPr="004923B8">
        <w:rPr>
          <w:rFonts w:ascii="Times New Roman" w:hAnsi="Times New Roman"/>
          <w:i/>
          <w:iCs/>
          <w:sz w:val="20"/>
          <w:szCs w:val="20"/>
        </w:rPr>
        <w:t>Environmental Impact Assessment Review</w:t>
      </w:r>
      <w:r w:rsidRPr="004923B8">
        <w:rPr>
          <w:rFonts w:ascii="Times New Roman" w:hAnsi="Times New Roman"/>
          <w:sz w:val="20"/>
          <w:szCs w:val="20"/>
        </w:rPr>
        <w:t xml:space="preserve">, </w:t>
      </w:r>
      <w:r w:rsidRPr="004923B8">
        <w:rPr>
          <w:rFonts w:ascii="Times New Roman" w:hAnsi="Times New Roman"/>
          <w:i/>
          <w:iCs/>
          <w:sz w:val="20"/>
          <w:szCs w:val="20"/>
        </w:rPr>
        <w:t>29</w:t>
      </w:r>
      <w:r w:rsidRPr="004923B8">
        <w:rPr>
          <w:rFonts w:ascii="Times New Roman" w:hAnsi="Times New Roman"/>
          <w:sz w:val="20"/>
          <w:szCs w:val="20"/>
        </w:rPr>
        <w:t>(6), 341–347.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Michieka, N. M. (2014). Population Dynamics, Economic Growth, and Energy Consumption in Kenya. In </w:t>
      </w:r>
      <w:r w:rsidRPr="004923B8">
        <w:rPr>
          <w:rFonts w:ascii="Times New Roman" w:hAnsi="Times New Roman"/>
          <w:i/>
          <w:iCs/>
          <w:sz w:val="20"/>
          <w:szCs w:val="20"/>
        </w:rPr>
        <w:t>Econometric Methods for Analyzing Economic Development</w:t>
      </w:r>
      <w:r w:rsidRPr="004923B8">
        <w:rPr>
          <w:rFonts w:ascii="Times New Roman" w:hAnsi="Times New Roman"/>
          <w:sz w:val="20"/>
          <w:szCs w:val="20"/>
        </w:rPr>
        <w:t xml:space="preserve"> (pp. 178–191). IGI Global.</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Mirza, F. M., &amp; Fatima, N. (2016). Drivers of energy intensity in Pakistan: an assessment using index decomposition methods. </w:t>
      </w:r>
      <w:r w:rsidRPr="004923B8">
        <w:rPr>
          <w:rFonts w:ascii="Times New Roman" w:hAnsi="Times New Roman"/>
          <w:i/>
          <w:iCs/>
          <w:sz w:val="20"/>
          <w:szCs w:val="20"/>
        </w:rPr>
        <w:t>Pakistan Business Review</w:t>
      </w:r>
      <w:r w:rsidRPr="004923B8">
        <w:rPr>
          <w:rFonts w:ascii="Times New Roman" w:hAnsi="Times New Roman"/>
          <w:sz w:val="20"/>
          <w:szCs w:val="20"/>
        </w:rPr>
        <w:t xml:space="preserve">, </w:t>
      </w:r>
      <w:r w:rsidRPr="004923B8">
        <w:rPr>
          <w:rFonts w:ascii="Times New Roman" w:hAnsi="Times New Roman"/>
          <w:i/>
          <w:iCs/>
          <w:sz w:val="20"/>
          <w:szCs w:val="20"/>
        </w:rPr>
        <w:t>17</w:t>
      </w:r>
      <w:r w:rsidRPr="004923B8">
        <w:rPr>
          <w:rFonts w:ascii="Times New Roman" w:hAnsi="Times New Roman"/>
          <w:sz w:val="20"/>
          <w:szCs w:val="20"/>
        </w:rPr>
        <w:t>(4).</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Mirza, F. M., Fatima, N., &amp; Ullah, K. (2019). Impact of China-Pakistan economic corridor on Pakistan’s future energy consumption and energy saving potential: Evidence from sectoral time series analysis. </w:t>
      </w:r>
      <w:r w:rsidRPr="004923B8">
        <w:rPr>
          <w:rFonts w:ascii="Times New Roman" w:hAnsi="Times New Roman"/>
          <w:i/>
          <w:iCs/>
          <w:sz w:val="20"/>
          <w:szCs w:val="20"/>
        </w:rPr>
        <w:t>Energy Strategy Reviews</w:t>
      </w:r>
      <w:r w:rsidRPr="004923B8">
        <w:rPr>
          <w:rFonts w:ascii="Times New Roman" w:hAnsi="Times New Roman"/>
          <w:sz w:val="20"/>
          <w:szCs w:val="20"/>
        </w:rPr>
        <w:t xml:space="preserve">, </w:t>
      </w:r>
      <w:r w:rsidRPr="004923B8">
        <w:rPr>
          <w:rFonts w:ascii="Times New Roman" w:hAnsi="Times New Roman"/>
          <w:i/>
          <w:iCs/>
          <w:sz w:val="20"/>
          <w:szCs w:val="20"/>
        </w:rPr>
        <w:t>25</w:t>
      </w:r>
      <w:r w:rsidRPr="004923B8">
        <w:rPr>
          <w:rFonts w:ascii="Times New Roman" w:hAnsi="Times New Roman"/>
          <w:sz w:val="20"/>
          <w:szCs w:val="20"/>
        </w:rPr>
        <w:t>(March), 34–46. https://doi.org/10.1016/j.esr.2019.04.015</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MOP. (2015). Pakistan 2025-One nation-One vision. In </w:t>
      </w:r>
      <w:r w:rsidRPr="004923B8">
        <w:rPr>
          <w:rFonts w:ascii="Times New Roman" w:hAnsi="Times New Roman"/>
          <w:i/>
          <w:iCs/>
          <w:sz w:val="20"/>
          <w:szCs w:val="20"/>
        </w:rPr>
        <w:t>Ministry of Planning, Development &amp; Reform, Government of Pakistan. Islamabad</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Mudakkar, S. R., Zaman, K., Shakir, H., Arif, M., Naseem, I., &amp; Naz, L. (2013). Determinants of energy consumption function in SAARC countries: Balancing the odds. </w:t>
      </w:r>
      <w:r w:rsidRPr="004923B8">
        <w:rPr>
          <w:rFonts w:ascii="Times New Roman" w:hAnsi="Times New Roman"/>
          <w:i/>
          <w:iCs/>
          <w:sz w:val="20"/>
          <w:szCs w:val="20"/>
        </w:rPr>
        <w:t>Renewable and Sustainable Energy Reviews</w:t>
      </w:r>
      <w:r w:rsidRPr="004923B8">
        <w:rPr>
          <w:rFonts w:ascii="Times New Roman" w:hAnsi="Times New Roman"/>
          <w:sz w:val="20"/>
          <w:szCs w:val="20"/>
        </w:rPr>
        <w:t xml:space="preserve">, </w:t>
      </w:r>
      <w:r w:rsidRPr="004923B8">
        <w:rPr>
          <w:rFonts w:ascii="Times New Roman" w:hAnsi="Times New Roman"/>
          <w:i/>
          <w:iCs/>
          <w:sz w:val="20"/>
          <w:szCs w:val="20"/>
        </w:rPr>
        <w:t>28</w:t>
      </w:r>
      <w:r w:rsidRPr="004923B8">
        <w:rPr>
          <w:rFonts w:ascii="Times New Roman" w:hAnsi="Times New Roman"/>
          <w:sz w:val="20"/>
          <w:szCs w:val="20"/>
        </w:rPr>
        <w:t>, 566–574.</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Noor, S., Shah, S. M. A., Khan, S. M., &amp; Ali, S. F. (2008). Pakistan’s Foreign Policy: Quarterly Survey: July—September 2008. In </w:t>
      </w:r>
      <w:r w:rsidRPr="004923B8">
        <w:rPr>
          <w:rFonts w:ascii="Times New Roman" w:hAnsi="Times New Roman"/>
          <w:i/>
          <w:iCs/>
          <w:sz w:val="20"/>
          <w:szCs w:val="20"/>
        </w:rPr>
        <w:t>Pakistan Horizon</w:t>
      </w:r>
      <w:r w:rsidRPr="004923B8">
        <w:rPr>
          <w:rFonts w:ascii="Times New Roman" w:hAnsi="Times New Roman"/>
          <w:sz w:val="20"/>
          <w:szCs w:val="20"/>
        </w:rPr>
        <w:t xml:space="preserve"> (Vol. 61, Issue 4). JSTOR.</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NTDC. (2011). National Power System Expansion Plan (2011–2030). Final Report. . </w:t>
      </w:r>
      <w:r w:rsidRPr="004923B8">
        <w:rPr>
          <w:rFonts w:ascii="Times New Roman" w:hAnsi="Times New Roman"/>
          <w:i/>
          <w:iCs/>
          <w:sz w:val="20"/>
          <w:szCs w:val="20"/>
        </w:rPr>
        <w:t>NTDC National Transmission and Dispatch Company</w:t>
      </w:r>
      <w:r w:rsidRPr="004923B8">
        <w:rPr>
          <w:rFonts w:ascii="Times New Roman" w:hAnsi="Times New Roman"/>
          <w:sz w:val="20"/>
          <w:szCs w:val="20"/>
        </w:rPr>
        <w:t xml:space="preserve">, </w:t>
      </w:r>
      <w:r w:rsidRPr="004923B8">
        <w:rPr>
          <w:rFonts w:ascii="Times New Roman" w:hAnsi="Times New Roman"/>
          <w:i/>
          <w:iCs/>
          <w:sz w:val="20"/>
          <w:szCs w:val="20"/>
        </w:rPr>
        <w:t>Final Repo</w:t>
      </w:r>
      <w:r w:rsidRPr="004923B8">
        <w:rPr>
          <w:rFonts w:ascii="Times New Roman" w:hAnsi="Times New Roman"/>
          <w:sz w:val="20"/>
          <w:szCs w:val="20"/>
        </w:rPr>
        <w:t>, 32. http://www.ntdc.com.pk/CurrentProjects.php</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NTDC. (2020). </w:t>
      </w:r>
      <w:r w:rsidRPr="004923B8">
        <w:rPr>
          <w:rFonts w:ascii="Times New Roman" w:hAnsi="Times New Roman"/>
          <w:i/>
          <w:iCs/>
          <w:sz w:val="20"/>
          <w:szCs w:val="20"/>
        </w:rPr>
        <w:t>NATIONAL TRANSMISSION &amp; DESPATCH COMPANY LIMITED (NTDC) PAKISTAN</w:t>
      </w:r>
      <w:r w:rsidRPr="004923B8">
        <w:rPr>
          <w:rFonts w:ascii="Times New Roman" w:hAnsi="Times New Roman"/>
          <w:sz w:val="20"/>
          <w:szCs w:val="20"/>
        </w:rPr>
        <w:t>. https://ntdc.gov.pk/careers</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Rafiq, A. (2016). CPEC &amp; related projects: CPEC projects. </w:t>
      </w:r>
      <w:r w:rsidRPr="004923B8">
        <w:rPr>
          <w:rFonts w:ascii="Times New Roman" w:hAnsi="Times New Roman"/>
          <w:i/>
          <w:iCs/>
          <w:sz w:val="20"/>
          <w:szCs w:val="20"/>
        </w:rPr>
        <w:t>Proceedings of the International Academic Symposium on China-Pakistan Economic Corridor, Beijing, China</w:t>
      </w:r>
      <w:r w:rsidRPr="004923B8">
        <w:rPr>
          <w:rFonts w:ascii="Times New Roman" w:hAnsi="Times New Roman"/>
          <w:sz w:val="20"/>
          <w:szCs w:val="20"/>
        </w:rPr>
        <w:t xml:space="preserve">, </w:t>
      </w:r>
      <w:r w:rsidRPr="004923B8">
        <w:rPr>
          <w:rFonts w:ascii="Times New Roman" w:hAnsi="Times New Roman"/>
          <w:i/>
          <w:iCs/>
          <w:sz w:val="20"/>
          <w:szCs w:val="20"/>
        </w:rPr>
        <w:t>5</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Raskin, P. D. (1995). Methods for estimating the population contribution to </w:t>
      </w:r>
      <w:r w:rsidRPr="004923B8">
        <w:rPr>
          <w:rFonts w:ascii="Times New Roman" w:hAnsi="Times New Roman"/>
          <w:sz w:val="20"/>
          <w:szCs w:val="20"/>
        </w:rPr>
        <w:lastRenderedPageBreak/>
        <w:t xml:space="preserve">environmental change. </w:t>
      </w:r>
      <w:r w:rsidRPr="004923B8">
        <w:rPr>
          <w:rFonts w:ascii="Times New Roman" w:hAnsi="Times New Roman"/>
          <w:i/>
          <w:iCs/>
          <w:sz w:val="20"/>
          <w:szCs w:val="20"/>
        </w:rPr>
        <w:t>Ecological Economics</w:t>
      </w:r>
      <w:r w:rsidRPr="004923B8">
        <w:rPr>
          <w:rFonts w:ascii="Times New Roman" w:hAnsi="Times New Roman"/>
          <w:sz w:val="20"/>
          <w:szCs w:val="20"/>
        </w:rPr>
        <w:t xml:space="preserve">, </w:t>
      </w:r>
      <w:r w:rsidRPr="004923B8">
        <w:rPr>
          <w:rFonts w:ascii="Times New Roman" w:hAnsi="Times New Roman"/>
          <w:i/>
          <w:iCs/>
          <w:sz w:val="20"/>
          <w:szCs w:val="20"/>
        </w:rPr>
        <w:t>15</w:t>
      </w:r>
      <w:r w:rsidRPr="004923B8">
        <w:rPr>
          <w:rFonts w:ascii="Times New Roman" w:hAnsi="Times New Roman"/>
          <w:sz w:val="20"/>
          <w:szCs w:val="20"/>
        </w:rPr>
        <w:t>(3), 225–233.</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Raza, H., Mohiuddin, Z. A., Zaidi, S. S. Z., &amp; Osama, A. (2018). CPEC: Pakistan-China Cordial Ties-A Boost to Pakistan’s Economy. </w:t>
      </w:r>
      <w:r w:rsidRPr="004923B8">
        <w:rPr>
          <w:rFonts w:ascii="Times New Roman" w:hAnsi="Times New Roman"/>
          <w:i/>
          <w:iCs/>
          <w:sz w:val="20"/>
          <w:szCs w:val="20"/>
        </w:rPr>
        <w:t>Journal of Accounting, Business and Finance Research</w:t>
      </w:r>
      <w:r w:rsidRPr="004923B8">
        <w:rPr>
          <w:rFonts w:ascii="Times New Roman" w:hAnsi="Times New Roman"/>
          <w:sz w:val="20"/>
          <w:szCs w:val="20"/>
        </w:rPr>
        <w:t xml:space="preserve">, </w:t>
      </w:r>
      <w:r w:rsidRPr="004923B8">
        <w:rPr>
          <w:rFonts w:ascii="Times New Roman" w:hAnsi="Times New Roman"/>
          <w:i/>
          <w:iCs/>
          <w:sz w:val="20"/>
          <w:szCs w:val="20"/>
        </w:rPr>
        <w:t>2</w:t>
      </w:r>
      <w:r w:rsidRPr="004923B8">
        <w:rPr>
          <w:rFonts w:ascii="Times New Roman" w:hAnsi="Times New Roman"/>
          <w:sz w:val="20"/>
          <w:szCs w:val="20"/>
        </w:rPr>
        <w:t>(1), 1–6.</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Raza, S. A., Shahbaz, M., &amp; Nguyen, D. K. (2015). Energy conservation policies, growth and trade performance: Evidence of feedback hypothesis in Pakistan.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80</w:t>
      </w:r>
      <w:r w:rsidRPr="004923B8">
        <w:rPr>
          <w:rFonts w:ascii="Times New Roman" w:hAnsi="Times New Roman"/>
          <w:sz w:val="20"/>
          <w:szCs w:val="20"/>
        </w:rPr>
        <w:t>, 1–10.</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Rizvi, J. (2015). </w:t>
      </w:r>
      <w:r w:rsidRPr="004923B8">
        <w:rPr>
          <w:rFonts w:ascii="Times New Roman" w:hAnsi="Times New Roman"/>
          <w:i/>
          <w:iCs/>
          <w:sz w:val="20"/>
          <w:szCs w:val="20"/>
        </w:rPr>
        <w:t>Demystifying Pakistan’s energy crisis</w:t>
      </w:r>
      <w:r w:rsidRPr="004923B8">
        <w:rPr>
          <w:rFonts w:ascii="Times New Roman" w:hAnsi="Times New Roman"/>
          <w:sz w:val="20"/>
          <w:szCs w:val="20"/>
        </w:rPr>
        <w:t>. MIT Technology Review (Pakistan).</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Sadorsky, P. (2011). Trade and energy consumption in the Middle East. </w:t>
      </w:r>
      <w:r w:rsidRPr="004923B8">
        <w:rPr>
          <w:rFonts w:ascii="Times New Roman" w:hAnsi="Times New Roman"/>
          <w:i/>
          <w:iCs/>
          <w:sz w:val="20"/>
          <w:szCs w:val="20"/>
        </w:rPr>
        <w:t>Energy Economics</w:t>
      </w:r>
      <w:r w:rsidRPr="004923B8">
        <w:rPr>
          <w:rFonts w:ascii="Times New Roman" w:hAnsi="Times New Roman"/>
          <w:sz w:val="20"/>
          <w:szCs w:val="20"/>
        </w:rPr>
        <w:t xml:space="preserve">, </w:t>
      </w:r>
      <w:r w:rsidRPr="004923B8">
        <w:rPr>
          <w:rFonts w:ascii="Times New Roman" w:hAnsi="Times New Roman"/>
          <w:i/>
          <w:iCs/>
          <w:sz w:val="20"/>
          <w:szCs w:val="20"/>
        </w:rPr>
        <w:t>33</w:t>
      </w:r>
      <w:r w:rsidRPr="004923B8">
        <w:rPr>
          <w:rFonts w:ascii="Times New Roman" w:hAnsi="Times New Roman"/>
          <w:sz w:val="20"/>
          <w:szCs w:val="20"/>
        </w:rPr>
        <w:t>(5), 739–749.</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i/>
          <w:iCs/>
          <w:sz w:val="20"/>
          <w:szCs w:val="20"/>
        </w:rPr>
        <w:t>SBP</w:t>
      </w:r>
      <w:r w:rsidRPr="004923B8">
        <w:rPr>
          <w:rFonts w:ascii="Times New Roman" w:hAnsi="Times New Roman"/>
          <w:sz w:val="20"/>
          <w:szCs w:val="20"/>
        </w:rPr>
        <w:t>. (2014). State Bank of Pakistan. https://www.sbp.org.pk/reports/annual/arFY14/Anul-index-eng-14.htm</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Shaalan, H. E. (2003). Generation of electric power. </w:t>
      </w:r>
      <w:r w:rsidRPr="004923B8">
        <w:rPr>
          <w:rFonts w:ascii="Times New Roman" w:hAnsi="Times New Roman"/>
          <w:i/>
          <w:iCs/>
          <w:sz w:val="20"/>
          <w:szCs w:val="20"/>
        </w:rPr>
        <w:t>Handbook of Electric Power Calculations</w:t>
      </w:r>
      <w:r w:rsidRPr="004923B8">
        <w:rPr>
          <w:rFonts w:ascii="Times New Roman" w:hAnsi="Times New Roman"/>
          <w:sz w:val="20"/>
          <w:szCs w:val="20"/>
        </w:rPr>
        <w:t>, 1–38.</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Spinney, P. J., &amp; Watkins, G. C. (1996). Monte Carlo simulation techniques and electric utility resource decisions.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24</w:t>
      </w:r>
      <w:r w:rsidRPr="004923B8">
        <w:rPr>
          <w:rFonts w:ascii="Times New Roman" w:hAnsi="Times New Roman"/>
          <w:sz w:val="20"/>
          <w:szCs w:val="20"/>
        </w:rPr>
        <w:t>(2), 155–163.</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Tang, C. F., &amp; Tan, B. W. (2014). The linkages among energy consumption, economic growth, relative price, foreign direct investment, and financial development in Malaysia. </w:t>
      </w:r>
      <w:r w:rsidRPr="004923B8">
        <w:rPr>
          <w:rFonts w:ascii="Times New Roman" w:hAnsi="Times New Roman"/>
          <w:i/>
          <w:iCs/>
          <w:sz w:val="20"/>
          <w:szCs w:val="20"/>
        </w:rPr>
        <w:t>Quality &amp; Quantity</w:t>
      </w:r>
      <w:r w:rsidRPr="004923B8">
        <w:rPr>
          <w:rFonts w:ascii="Times New Roman" w:hAnsi="Times New Roman"/>
          <w:sz w:val="20"/>
          <w:szCs w:val="20"/>
        </w:rPr>
        <w:t xml:space="preserve">, </w:t>
      </w:r>
      <w:r w:rsidRPr="004923B8">
        <w:rPr>
          <w:rFonts w:ascii="Times New Roman" w:hAnsi="Times New Roman"/>
          <w:i/>
          <w:iCs/>
          <w:sz w:val="20"/>
          <w:szCs w:val="20"/>
        </w:rPr>
        <w:t>48</w:t>
      </w:r>
      <w:r w:rsidRPr="004923B8">
        <w:rPr>
          <w:rFonts w:ascii="Times New Roman" w:hAnsi="Times New Roman"/>
          <w:sz w:val="20"/>
          <w:szCs w:val="20"/>
        </w:rPr>
        <w:t>(2), 781–797.</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Today, P. (2014). Pakistan, China to collaborate in 21,690 MW projects under CPEC. </w:t>
      </w:r>
      <w:r w:rsidRPr="004923B8">
        <w:rPr>
          <w:rFonts w:ascii="Times New Roman" w:hAnsi="Times New Roman"/>
          <w:i/>
          <w:iCs/>
          <w:sz w:val="20"/>
          <w:szCs w:val="20"/>
        </w:rPr>
        <w:t>April 15th</w:t>
      </w:r>
      <w:r w:rsidRPr="004923B8">
        <w:rPr>
          <w:rFonts w:ascii="Times New Roman" w:hAnsi="Times New Roman"/>
          <w:sz w:val="20"/>
          <w:szCs w:val="20"/>
        </w:rPr>
        <w:t>.</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Vithayasrichareon, P., &amp; MacGill, I. F. (2012). A Monte Carlo based decision-support tool for assessing generation portfolios in future carbon constrained electricity industries.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41</w:t>
      </w:r>
      <w:r w:rsidRPr="004923B8">
        <w:rPr>
          <w:rFonts w:ascii="Times New Roman" w:hAnsi="Times New Roman"/>
          <w:sz w:val="20"/>
          <w:szCs w:val="20"/>
        </w:rPr>
        <w:t>, 374–392.</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Wahid, F., Khattak, N., &amp; Ve Ali, S. (2015). The determinants and forecasting of coal consumption in Pakistan. </w:t>
      </w:r>
      <w:r w:rsidRPr="004923B8">
        <w:rPr>
          <w:rFonts w:ascii="Times New Roman" w:hAnsi="Times New Roman"/>
          <w:i/>
          <w:iCs/>
          <w:sz w:val="20"/>
          <w:szCs w:val="20"/>
        </w:rPr>
        <w:t>J Energy Technol Policy</w:t>
      </w:r>
      <w:r w:rsidRPr="004923B8">
        <w:rPr>
          <w:rFonts w:ascii="Times New Roman" w:hAnsi="Times New Roman"/>
          <w:sz w:val="20"/>
          <w:szCs w:val="20"/>
        </w:rPr>
        <w:t xml:space="preserve">, </w:t>
      </w:r>
      <w:r w:rsidRPr="004923B8">
        <w:rPr>
          <w:rFonts w:ascii="Times New Roman" w:hAnsi="Times New Roman"/>
          <w:i/>
          <w:iCs/>
          <w:sz w:val="20"/>
          <w:szCs w:val="20"/>
        </w:rPr>
        <w:t>5</w:t>
      </w:r>
      <w:r w:rsidRPr="004923B8">
        <w:rPr>
          <w:rFonts w:ascii="Times New Roman" w:hAnsi="Times New Roman"/>
          <w:sz w:val="20"/>
          <w:szCs w:val="20"/>
        </w:rPr>
        <w:t>, 55–61.</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Yearbook, P. E. (2014). Hydrocarbon Development Institute. </w:t>
      </w:r>
      <w:r w:rsidRPr="004923B8">
        <w:rPr>
          <w:rFonts w:ascii="Times New Roman" w:hAnsi="Times New Roman"/>
          <w:i/>
          <w:iCs/>
          <w:sz w:val="20"/>
          <w:szCs w:val="20"/>
        </w:rPr>
        <w:t>Ministry of Petroleum &amp; Natural Resource. Government of Pakistan, Islamabad. Available at:Https://Www.Hdip.Com.Pk/.</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Zahid, R. M. A., &amp; Rashid, A. (2018). </w:t>
      </w:r>
      <w:r w:rsidRPr="004923B8">
        <w:rPr>
          <w:rFonts w:ascii="Times New Roman" w:hAnsi="Times New Roman"/>
          <w:i/>
          <w:iCs/>
          <w:sz w:val="20"/>
          <w:szCs w:val="20"/>
        </w:rPr>
        <w:t xml:space="preserve">IMPACT OF CPEC ENERGY PROJECTS ON SOCIO-ECONOMIC DEVELOPMENT </w:t>
      </w:r>
      <w:r w:rsidRPr="004923B8">
        <w:rPr>
          <w:rFonts w:ascii="Times New Roman" w:hAnsi="Times New Roman"/>
          <w:i/>
          <w:iCs/>
          <w:sz w:val="20"/>
          <w:szCs w:val="20"/>
        </w:rPr>
        <w:lastRenderedPageBreak/>
        <w:t>OF PAKISTAN Analysis of energy related household consumer preferences, awareness and behaviors in Pakistan View project One Belt One Road Initiative View project</w:t>
      </w:r>
      <w:r w:rsidRPr="004923B8">
        <w:rPr>
          <w:rFonts w:ascii="Times New Roman" w:hAnsi="Times New Roman"/>
          <w:sz w:val="20"/>
          <w:szCs w:val="20"/>
        </w:rPr>
        <w:t xml:space="preserve">. </w:t>
      </w:r>
      <w:r w:rsidRPr="004923B8">
        <w:rPr>
          <w:rFonts w:ascii="Times New Roman" w:hAnsi="Times New Roman"/>
          <w:i/>
          <w:iCs/>
          <w:sz w:val="20"/>
          <w:szCs w:val="20"/>
        </w:rPr>
        <w:t>November</w:t>
      </w:r>
      <w:r w:rsidRPr="004923B8">
        <w:rPr>
          <w:rFonts w:ascii="Times New Roman" w:hAnsi="Times New Roman"/>
          <w:sz w:val="20"/>
          <w:szCs w:val="20"/>
        </w:rPr>
        <w:t>. https://www.researchgate.net/publication/329799370</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Zaman, K., Khan, M. M., Ahmad, M., &amp; Rustam, R. (2012). Determinants of electricity consumption function in Pakistan: Old wine in a new bottle. </w:t>
      </w:r>
      <w:r w:rsidRPr="004923B8">
        <w:rPr>
          <w:rFonts w:ascii="Times New Roman" w:hAnsi="Times New Roman"/>
          <w:i/>
          <w:iCs/>
          <w:sz w:val="20"/>
          <w:szCs w:val="20"/>
        </w:rPr>
        <w:t>Energy Policy</w:t>
      </w:r>
      <w:r w:rsidRPr="004923B8">
        <w:rPr>
          <w:rFonts w:ascii="Times New Roman" w:hAnsi="Times New Roman"/>
          <w:sz w:val="20"/>
          <w:szCs w:val="20"/>
        </w:rPr>
        <w:t xml:space="preserve">, </w:t>
      </w:r>
      <w:r w:rsidRPr="004923B8">
        <w:rPr>
          <w:rFonts w:ascii="Times New Roman" w:hAnsi="Times New Roman"/>
          <w:i/>
          <w:iCs/>
          <w:sz w:val="20"/>
          <w:szCs w:val="20"/>
        </w:rPr>
        <w:t>50</w:t>
      </w:r>
      <w:r w:rsidRPr="004923B8">
        <w:rPr>
          <w:rFonts w:ascii="Times New Roman" w:hAnsi="Times New Roman"/>
          <w:sz w:val="20"/>
          <w:szCs w:val="20"/>
        </w:rPr>
        <w:t>, 623–634.</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Zheng, H., Hu, J., Guan, R., &amp; Wang, S. (2016). Examining determinants of CO2 emissions in 73 cities in China. </w:t>
      </w:r>
      <w:r w:rsidRPr="004923B8">
        <w:rPr>
          <w:rFonts w:ascii="Times New Roman" w:hAnsi="Times New Roman"/>
          <w:i/>
          <w:iCs/>
          <w:sz w:val="20"/>
          <w:szCs w:val="20"/>
        </w:rPr>
        <w:t>Sustainability</w:t>
      </w:r>
      <w:r w:rsidRPr="004923B8">
        <w:rPr>
          <w:rFonts w:ascii="Times New Roman" w:hAnsi="Times New Roman"/>
          <w:sz w:val="20"/>
          <w:szCs w:val="20"/>
        </w:rPr>
        <w:t xml:space="preserve">, </w:t>
      </w:r>
      <w:r w:rsidRPr="004923B8">
        <w:rPr>
          <w:rFonts w:ascii="Times New Roman" w:hAnsi="Times New Roman"/>
          <w:i/>
          <w:iCs/>
          <w:sz w:val="20"/>
          <w:szCs w:val="20"/>
        </w:rPr>
        <w:t>8</w:t>
      </w:r>
      <w:r w:rsidRPr="004923B8">
        <w:rPr>
          <w:rFonts w:ascii="Times New Roman" w:hAnsi="Times New Roman"/>
          <w:sz w:val="20"/>
          <w:szCs w:val="20"/>
        </w:rPr>
        <w:t>(12), 1296.</w:t>
      </w:r>
    </w:p>
    <w:p w:rsidR="00674261" w:rsidRPr="004923B8" w:rsidRDefault="004923B8" w:rsidP="005557AE">
      <w:pPr>
        <w:widowControl w:val="0"/>
        <w:numPr>
          <w:ilvl w:val="0"/>
          <w:numId w:val="6"/>
        </w:numPr>
        <w:autoSpaceDE w:val="0"/>
        <w:autoSpaceDN w:val="0"/>
        <w:adjustRightInd w:val="0"/>
        <w:snapToGrid w:val="0"/>
        <w:spacing w:after="0" w:line="240" w:lineRule="auto"/>
        <w:ind w:leftChars="1" w:left="710" w:hangingChars="354" w:hanging="708"/>
        <w:jc w:val="both"/>
        <w:rPr>
          <w:rFonts w:ascii="Times New Roman" w:hAnsi="Times New Roman"/>
          <w:sz w:val="20"/>
          <w:szCs w:val="20"/>
        </w:rPr>
      </w:pPr>
      <w:r w:rsidRPr="004923B8">
        <w:rPr>
          <w:rFonts w:ascii="Times New Roman" w:hAnsi="Times New Roman"/>
          <w:sz w:val="20"/>
          <w:szCs w:val="20"/>
        </w:rPr>
        <w:t xml:space="preserve">Zhou, Y., Hao, F., Meng, W., &amp; Fu, J. (2014). Scenario analysis of energy-based low-carbon development in China. </w:t>
      </w:r>
      <w:r w:rsidRPr="004923B8">
        <w:rPr>
          <w:rFonts w:ascii="Times New Roman" w:hAnsi="Times New Roman"/>
          <w:i/>
          <w:iCs/>
          <w:sz w:val="20"/>
          <w:szCs w:val="20"/>
        </w:rPr>
        <w:t>Journal of Environmental Sciences</w:t>
      </w:r>
      <w:r w:rsidRPr="004923B8">
        <w:rPr>
          <w:rFonts w:ascii="Times New Roman" w:hAnsi="Times New Roman"/>
          <w:sz w:val="20"/>
          <w:szCs w:val="20"/>
        </w:rPr>
        <w:t xml:space="preserve">, </w:t>
      </w:r>
      <w:r w:rsidRPr="004923B8">
        <w:rPr>
          <w:rFonts w:ascii="Times New Roman" w:hAnsi="Times New Roman"/>
          <w:i/>
          <w:iCs/>
          <w:sz w:val="20"/>
          <w:szCs w:val="20"/>
        </w:rPr>
        <w:t>26</w:t>
      </w:r>
      <w:r w:rsidRPr="004923B8">
        <w:rPr>
          <w:rFonts w:ascii="Times New Roman" w:hAnsi="Times New Roman"/>
          <w:sz w:val="20"/>
          <w:szCs w:val="20"/>
        </w:rPr>
        <w:t>(8), 1631–1640.</w:t>
      </w:r>
    </w:p>
    <w:p w:rsidR="005557AE" w:rsidRDefault="00674261" w:rsidP="005557AE">
      <w:pPr>
        <w:adjustRightInd w:val="0"/>
        <w:snapToGrid w:val="0"/>
        <w:spacing w:after="0" w:line="240" w:lineRule="auto"/>
        <w:ind w:right="400"/>
        <w:rPr>
          <w:rFonts w:ascii="Times New Roman" w:hAnsi="Times New Roman" w:hint="eastAsia"/>
          <w:sz w:val="20"/>
          <w:szCs w:val="20"/>
          <w:lang w:eastAsia="zh-CN"/>
        </w:rPr>
      </w:pPr>
      <w:r w:rsidRPr="004923B8">
        <w:rPr>
          <w:rFonts w:ascii="Times New Roman" w:hAnsi="Times New Roman"/>
          <w:sz w:val="20"/>
          <w:szCs w:val="20"/>
        </w:rPr>
        <w:fldChar w:fldCharType="end"/>
      </w:r>
    </w:p>
    <w:p w:rsidR="005557AE" w:rsidRDefault="005557AE" w:rsidP="005557AE">
      <w:pPr>
        <w:adjustRightInd w:val="0"/>
        <w:snapToGrid w:val="0"/>
        <w:spacing w:after="0" w:line="240" w:lineRule="auto"/>
        <w:ind w:right="400"/>
        <w:rPr>
          <w:rFonts w:ascii="Times New Roman" w:hAnsi="Times New Roman" w:hint="eastAsia"/>
          <w:sz w:val="20"/>
          <w:szCs w:val="20"/>
          <w:lang w:eastAsia="zh-CN"/>
        </w:rPr>
      </w:pPr>
    </w:p>
    <w:p w:rsidR="005557AE" w:rsidRDefault="005557AE" w:rsidP="005557AE">
      <w:pPr>
        <w:adjustRightInd w:val="0"/>
        <w:snapToGrid w:val="0"/>
        <w:spacing w:after="0" w:line="240" w:lineRule="auto"/>
        <w:ind w:right="400"/>
        <w:rPr>
          <w:rFonts w:ascii="Times New Roman" w:hAnsi="Times New Roman" w:hint="eastAsia"/>
          <w:sz w:val="20"/>
          <w:szCs w:val="20"/>
          <w:lang w:eastAsia="zh-CN"/>
        </w:rPr>
      </w:pPr>
    </w:p>
    <w:p w:rsidR="005557AE" w:rsidRDefault="005557AE" w:rsidP="005557AE">
      <w:pPr>
        <w:adjustRightInd w:val="0"/>
        <w:snapToGrid w:val="0"/>
        <w:spacing w:after="0" w:line="240" w:lineRule="auto"/>
        <w:ind w:right="400"/>
        <w:rPr>
          <w:rFonts w:ascii="Times New Roman" w:hAnsi="Times New Roman" w:hint="eastAsia"/>
          <w:sz w:val="20"/>
          <w:szCs w:val="20"/>
          <w:lang w:eastAsia="zh-CN"/>
        </w:rPr>
      </w:pPr>
    </w:p>
    <w:p w:rsidR="005557AE" w:rsidRDefault="005557AE" w:rsidP="005557AE">
      <w:pPr>
        <w:adjustRightInd w:val="0"/>
        <w:snapToGrid w:val="0"/>
        <w:spacing w:after="0" w:line="240" w:lineRule="auto"/>
        <w:ind w:right="400"/>
        <w:rPr>
          <w:rFonts w:ascii="Times New Roman" w:hAnsi="Times New Roman" w:hint="eastAsia"/>
          <w:sz w:val="20"/>
          <w:szCs w:val="20"/>
          <w:lang w:eastAsia="zh-CN"/>
        </w:rPr>
      </w:pPr>
    </w:p>
    <w:p w:rsidR="00674261" w:rsidRPr="004923B8" w:rsidRDefault="004923B8" w:rsidP="005557AE">
      <w:pPr>
        <w:adjustRightInd w:val="0"/>
        <w:snapToGrid w:val="0"/>
        <w:spacing w:after="0" w:line="240" w:lineRule="auto"/>
        <w:ind w:right="400"/>
        <w:rPr>
          <w:rFonts w:ascii="Times New Roman" w:hAnsi="Times New Roman"/>
          <w:sz w:val="20"/>
          <w:szCs w:val="20"/>
          <w:lang w:eastAsia="zh-CN"/>
        </w:rPr>
      </w:pPr>
      <w:r w:rsidRPr="004923B8">
        <w:rPr>
          <w:rFonts w:ascii="Times New Roman" w:hAnsi="Times New Roman" w:hint="eastAsia"/>
          <w:sz w:val="20"/>
          <w:szCs w:val="20"/>
          <w:lang w:eastAsia="zh-CN"/>
        </w:rPr>
        <w:t>6/24/2022</w:t>
      </w:r>
    </w:p>
    <w:sectPr w:rsidR="00674261" w:rsidRPr="004923B8" w:rsidSect="00674261">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24C" w:rsidRDefault="0076524C">
      <w:pPr>
        <w:spacing w:line="240" w:lineRule="auto"/>
      </w:pPr>
      <w:r>
        <w:separator/>
      </w:r>
    </w:p>
  </w:endnote>
  <w:endnote w:type="continuationSeparator" w:id="0">
    <w:p w:rsidR="0076524C" w:rsidRDefault="007652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B8" w:rsidRDefault="004923B8">
    <w:pPr>
      <w:jc w:val="center"/>
      <w:rPr>
        <w:sz w:val="24"/>
        <w:szCs w:val="24"/>
        <w:lang w:eastAsia="zh-CN"/>
      </w:rPr>
    </w:pPr>
    <w:r w:rsidRPr="00674261">
      <w:pict>
        <v:shapetype id="_x0000_t202" coordsize="21600,21600" o:spt="202" path="m,l,21600r21600,l21600,xe">
          <v:stroke joinstyle="miter"/>
          <v:path gradientshapeok="t" o:connecttype="rect"/>
        </v:shapetype>
        <v:shape id="_x0000_s2049" type="#_x0000_t202" style="position:absolute;left:0;text-align:left;margin-left:228.4pt;margin-top:1.5pt;width:2in;height:2in;z-index:251659264;mso-wrap-style:none;mso-position-horizontal-relative:margin" filled="f" stroked="f">
          <v:textbox style="mso-next-textbox:#_x0000_s2049;mso-fit-shape-to-text:t" inset="0,0,0,0">
            <w:txbxContent>
              <w:p w:rsidR="004923B8" w:rsidRDefault="004923B8">
                <w:pPr>
                  <w:pStyle w:val="Footer"/>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5557AE">
                  <w:rPr>
                    <w:rFonts w:ascii="Times New Roman" w:hAnsi="Times New Roman"/>
                    <w:noProof/>
                    <w:sz w:val="20"/>
                    <w:szCs w:val="20"/>
                  </w:rPr>
                  <w:t>49</w:t>
                </w:r>
                <w:r>
                  <w:rPr>
                    <w:rFonts w:ascii="Times New Roman" w:hAnsi="Times New Roman"/>
                    <w:sz w:val="20"/>
                    <w:szCs w:val="20"/>
                  </w:rPr>
                  <w:fldChar w:fldCharType="end"/>
                </w:r>
              </w:p>
            </w:txbxContent>
          </v:textbox>
          <w10:wrap anchorx="margin"/>
        </v:shape>
      </w:pict>
    </w:r>
    <w:hyperlink r:id="rId1" w:history="1">
      <w:r>
        <w:rPr>
          <w:rStyle w:val="Hyperlink"/>
          <w:rFonts w:cs="Calibri"/>
          <w:sz w:val="20"/>
          <w:szCs w:val="20"/>
        </w:rPr>
        <w:t>http://www.sciencepub.net</w:t>
      </w:r>
      <w:r>
        <w:rPr>
          <w:rStyle w:val="Hyperlink"/>
          <w:sz w:val="20"/>
          <w:szCs w:val="20"/>
        </w:rPr>
        <w:t>/newyork</w:t>
      </w:r>
    </w:hyperlink>
    <w:r>
      <w:rPr>
        <w:bCs/>
        <w:sz w:val="20"/>
      </w:rPr>
      <w:t xml:space="preserve">                        </w:t>
    </w:r>
    <w:r>
      <w:rPr>
        <w:bCs/>
        <w:sz w:val="20"/>
      </w:rPr>
      <w:tab/>
    </w:r>
    <w:r>
      <w:rPr>
        <w:bCs/>
        <w:sz w:val="20"/>
      </w:rPr>
      <w:tab/>
    </w:r>
    <w:r>
      <w:rPr>
        <w:bCs/>
        <w:sz w:val="20"/>
      </w:rPr>
      <w:tab/>
      <w:t xml:space="preserve">                   </w:t>
    </w:r>
    <w:bookmarkStart w:id="1" w:name="OLE_LINK12"/>
    <w:bookmarkStart w:id="2" w:name="OLE_LINK13"/>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1"/>
    <w:bookmarkEnd w:id="2"/>
    <w:r>
      <w:rPr>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B8" w:rsidRDefault="004923B8">
    <w:pPr>
      <w:pStyle w:val="Footer"/>
    </w:pPr>
    <w:r>
      <w:pict>
        <v:shapetype id="_x0000_t202" coordsize="21600,21600" o:spt="202" path="m,l,21600r21600,l21600,xe">
          <v:stroke joinstyle="miter"/>
          <v:path gradientshapeok="t" o:connecttype="rect"/>
        </v:shapetype>
        <v:shape id="_x0000_s2050" type="#_x0000_t202" style="position:absolute;margin-left:229pt;margin-top:11.65pt;width:2in;height:2in;z-index:251660288;mso-wrap-style:none;mso-position-horizontal-relative:margin" filled="f" stroked="f">
          <v:textbox style="mso-next-textbox:#_x0000_s2050;mso-fit-shape-to-text:t" inset="0,0,0,0">
            <w:txbxContent>
              <w:p w:rsidR="004923B8" w:rsidRDefault="004923B8">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5557AE">
                  <w:rPr>
                    <w:rFonts w:ascii="Times New Roman" w:hAnsi="Times New Roman"/>
                    <w:noProof/>
                    <w:sz w:val="20"/>
                    <w:szCs w:val="20"/>
                  </w:rPr>
                  <w:t>48</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24C" w:rsidRDefault="0076524C">
      <w:pPr>
        <w:spacing w:after="0"/>
      </w:pPr>
      <w:r>
        <w:separator/>
      </w:r>
    </w:p>
  </w:footnote>
  <w:footnote w:type="continuationSeparator" w:id="0">
    <w:p w:rsidR="0076524C" w:rsidRDefault="0076524C">
      <w:pPr>
        <w:spacing w:after="0"/>
      </w:pPr>
      <w:r>
        <w:continuationSeparator/>
      </w:r>
    </w:p>
  </w:footnote>
  <w:footnote w:id="1">
    <w:p w:rsidR="004923B8" w:rsidRDefault="004923B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Fordetailsseehttp://www.enercon.gov.pk/.</w:t>
      </w:r>
    </w:p>
    <w:p w:rsidR="004923B8" w:rsidRDefault="004923B8">
      <w:pPr>
        <w:pStyle w:val="FootnoteText"/>
      </w:pPr>
    </w:p>
  </w:footnote>
  <w:footnote w:id="2">
    <w:p w:rsidR="004923B8" w:rsidRDefault="004923B8">
      <w:pPr>
        <w:pStyle w:val="FootnoteText"/>
      </w:pPr>
      <w:r>
        <w:rPr>
          <w:rStyle w:val="FootnoteReference"/>
        </w:rPr>
        <w:footnoteRef/>
      </w:r>
      <w:r>
        <w:t xml:space="preserve"> Fordetailsseehttp://www.enercon.gov.pk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B8" w:rsidRDefault="004923B8">
    <w:pPr>
      <w:pBdr>
        <w:bottom w:val="thinThickMediumGap" w:sz="12" w:space="1" w:color="auto"/>
      </w:pBdr>
      <w:tabs>
        <w:tab w:val="left" w:pos="851"/>
        <w:tab w:val="right" w:pos="8364"/>
      </w:tabs>
      <w:adjustRightInd w:val="0"/>
      <w:snapToGrid w:val="0"/>
      <w:spacing w:after="0" w:line="240" w:lineRule="auto"/>
      <w:jc w:val="both"/>
    </w:pPr>
    <w:r>
      <w:rPr>
        <w:rFonts w:ascii="Times New Roman" w:eastAsia="Calibri" w:hAnsi="Times New Roman"/>
        <w:sz w:val="20"/>
        <w:szCs w:val="20"/>
      </w:rPr>
      <w:tab/>
      <w:t>New York Science Journal 2022;15(</w:t>
    </w:r>
    <w:r>
      <w:rPr>
        <w:rFonts w:ascii="Times New Roman" w:eastAsia="宋体" w:hAnsi="Times New Roman" w:hint="eastAsia"/>
        <w:sz w:val="20"/>
        <w:szCs w:val="20"/>
        <w:lang w:eastAsia="zh-CN"/>
      </w:rPr>
      <w:t>6</w:t>
    </w:r>
    <w:r>
      <w:rPr>
        <w:rFonts w:ascii="Times New Roman" w:eastAsia="Calibri" w:hAnsi="Times New Roman"/>
        <w:sz w:val="20"/>
        <w:szCs w:val="20"/>
      </w:rPr>
      <w:t>)</w:t>
    </w:r>
    <w:r>
      <w:rPr>
        <w:rFonts w:ascii="Times New Roman" w:eastAsia="Calibri" w:hAnsi="Times New Roman"/>
        <w:iCs/>
        <w:sz w:val="20"/>
        <w:szCs w:val="20"/>
      </w:rPr>
      <w:t xml:space="preserve"> </w:t>
    </w:r>
    <w:r>
      <w:rPr>
        <w:rFonts w:ascii="Times New Roman" w:eastAsia="Calibri" w:hAnsi="Times New Roman"/>
        <w:iCs/>
        <w:sz w:val="20"/>
        <w:szCs w:val="20"/>
      </w:rPr>
      <w:tab/>
    </w:r>
    <w:r>
      <w:rPr>
        <w:rFonts w:ascii="Times New Roman" w:eastAsia="宋体" w:hAnsi="Times New Roman" w:hint="eastAsia"/>
        <w:iCs/>
        <w:sz w:val="20"/>
        <w:szCs w:val="20"/>
        <w:lang w:eastAsia="zh-CN"/>
      </w:rPr>
      <w:t xml:space="preserve">   </w:t>
    </w:r>
    <w:r>
      <w:rPr>
        <w:rFonts w:ascii="Times New Roman" w:eastAsia="Calibri" w:hAnsi="Times New Roman"/>
        <w:iCs/>
        <w:sz w:val="20"/>
        <w:szCs w:val="20"/>
      </w:rPr>
      <w:t xml:space="preserve">  </w:t>
    </w:r>
    <w:hyperlink r:id="rId1" w:history="1">
      <w:r>
        <w:rPr>
          <w:rFonts w:ascii="Times New Roman" w:eastAsia="Calibri" w:hAnsi="Times New Roman"/>
          <w:color w:val="0563C1"/>
          <w:sz w:val="20"/>
          <w:szCs w:val="20"/>
          <w:u w:val="single"/>
        </w:rPr>
        <w:t>http://www.sciencepub.net/newyork</w:t>
      </w:r>
    </w:hyperlink>
    <w:r>
      <w:rPr>
        <w:rFonts w:ascii="Times New Roman" w:eastAsia="Calibri" w:hAnsi="Times New Roman"/>
        <w:sz w:val="20"/>
        <w:szCs w:val="20"/>
      </w:rPr>
      <w:t xml:space="preserve">   </w:t>
    </w:r>
    <w:r>
      <w:rPr>
        <w:rFonts w:ascii="Times New Roman" w:eastAsia="Calibri" w:hAnsi="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B8" w:rsidRDefault="004923B8">
    <w:pPr>
      <w:pStyle w:val="Header"/>
    </w:pPr>
    <w:r>
      <w:rPr>
        <w:rFonts w:ascii="Times New Roman" w:eastAsia="Calibri" w:hAnsi="Times New Roman" w:hint="eastAsia"/>
        <w:noProof/>
        <w:sz w:val="20"/>
        <w:lang w:eastAsia="zh-CN"/>
      </w:rPr>
      <w:drawing>
        <wp:inline distT="0" distB="0" distL="0" distR="0">
          <wp:extent cx="5966460" cy="789940"/>
          <wp:effectExtent l="0" t="0" r="15240" b="10160"/>
          <wp:docPr id="1" name="图片 1" descr="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新其它\Scij\Logo\Mslndlogo-nys.png"/>
                  <pic:cNvPicPr>
                    <a:picLocks noChangeAspect="1" noChangeArrowheads="1"/>
                  </pic:cNvPicPr>
                </pic:nvPicPr>
                <pic:blipFill>
                  <a:blip r:embed="rId1"/>
                  <a:srcRect/>
                  <a:stretch>
                    <a:fillRect/>
                  </a:stretch>
                </pic:blipFill>
                <pic:spPr>
                  <a:xfrm>
                    <a:off x="0" y="0"/>
                    <a:ext cx="5966460" cy="7899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8E6382"/>
    <w:multiLevelType w:val="multilevel"/>
    <w:tmpl w:val="A18E6382"/>
    <w:lvl w:ilvl="0">
      <w:start w:val="1"/>
      <w:numFmt w:val="decimal"/>
      <w:lvlText w:val="[%1]."/>
      <w:lvlJc w:val="left"/>
      <w:pPr>
        <w:ind w:left="1260" w:hanging="360"/>
      </w:pPr>
      <w:rPr>
        <w:rFonts w:ascii="宋体" w:eastAsia="宋体" w:hAnsi="宋体" w:cs="宋体"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46945BE9"/>
    <w:multiLevelType w:val="multilevel"/>
    <w:tmpl w:val="46945BE9"/>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
    <w:nsid w:val="4A3D424D"/>
    <w:multiLevelType w:val="multilevel"/>
    <w:tmpl w:val="4A3D42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FB7523"/>
    <w:multiLevelType w:val="multilevel"/>
    <w:tmpl w:val="62FB75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7B85301"/>
    <w:multiLevelType w:val="multilevel"/>
    <w:tmpl w:val="67B8530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6B4F2C"/>
    <w:multiLevelType w:val="multilevel"/>
    <w:tmpl w:val="6A6B4F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7QwM7QwMAUCS0szEyUdpeDU4uLM/DyQAmOjWgDAAEHXLQAAAA=="/>
    <w:docVar w:name="commondata" w:val="eyJoZGlkIjoiYTdkYmE0MzY4NGFlMTBiZDlmNThmODdlODkwMTdiNjIifQ=="/>
  </w:docVars>
  <w:rsids>
    <w:rsidRoot w:val="00460DD9"/>
    <w:rsid w:val="00003A3B"/>
    <w:rsid w:val="000041EA"/>
    <w:rsid w:val="00004452"/>
    <w:rsid w:val="0000621A"/>
    <w:rsid w:val="00014299"/>
    <w:rsid w:val="00016537"/>
    <w:rsid w:val="000177AF"/>
    <w:rsid w:val="0002161B"/>
    <w:rsid w:val="00021CE2"/>
    <w:rsid w:val="00022C04"/>
    <w:rsid w:val="0002343A"/>
    <w:rsid w:val="00025C40"/>
    <w:rsid w:val="000273E6"/>
    <w:rsid w:val="00027AD3"/>
    <w:rsid w:val="00033039"/>
    <w:rsid w:val="00035368"/>
    <w:rsid w:val="00040636"/>
    <w:rsid w:val="00040FA8"/>
    <w:rsid w:val="0004143C"/>
    <w:rsid w:val="0004203A"/>
    <w:rsid w:val="000439C8"/>
    <w:rsid w:val="00045C60"/>
    <w:rsid w:val="00053505"/>
    <w:rsid w:val="0005464B"/>
    <w:rsid w:val="0005538F"/>
    <w:rsid w:val="00061F9F"/>
    <w:rsid w:val="00063F39"/>
    <w:rsid w:val="00066394"/>
    <w:rsid w:val="000728E9"/>
    <w:rsid w:val="00072D6F"/>
    <w:rsid w:val="0007548B"/>
    <w:rsid w:val="00077999"/>
    <w:rsid w:val="00080F50"/>
    <w:rsid w:val="0008326D"/>
    <w:rsid w:val="00083867"/>
    <w:rsid w:val="00087FF6"/>
    <w:rsid w:val="00094E54"/>
    <w:rsid w:val="000A2B0E"/>
    <w:rsid w:val="000A4E63"/>
    <w:rsid w:val="000A71F5"/>
    <w:rsid w:val="000B0639"/>
    <w:rsid w:val="000B13C3"/>
    <w:rsid w:val="000B58BC"/>
    <w:rsid w:val="000B6214"/>
    <w:rsid w:val="000C0718"/>
    <w:rsid w:val="000D2210"/>
    <w:rsid w:val="000D70F5"/>
    <w:rsid w:val="000D7CFE"/>
    <w:rsid w:val="000E2D67"/>
    <w:rsid w:val="000E4F13"/>
    <w:rsid w:val="000F0702"/>
    <w:rsid w:val="000F7DE7"/>
    <w:rsid w:val="001030CD"/>
    <w:rsid w:val="00104D16"/>
    <w:rsid w:val="001057BB"/>
    <w:rsid w:val="00105C2F"/>
    <w:rsid w:val="001065E5"/>
    <w:rsid w:val="00107AC7"/>
    <w:rsid w:val="00111B03"/>
    <w:rsid w:val="00114490"/>
    <w:rsid w:val="00120FD3"/>
    <w:rsid w:val="00123A27"/>
    <w:rsid w:val="00123BFF"/>
    <w:rsid w:val="001261C3"/>
    <w:rsid w:val="0013175A"/>
    <w:rsid w:val="0013235C"/>
    <w:rsid w:val="00141532"/>
    <w:rsid w:val="00144032"/>
    <w:rsid w:val="00150CB3"/>
    <w:rsid w:val="001512D7"/>
    <w:rsid w:val="001517E4"/>
    <w:rsid w:val="00153F60"/>
    <w:rsid w:val="00154C92"/>
    <w:rsid w:val="00156BA3"/>
    <w:rsid w:val="00157833"/>
    <w:rsid w:val="00157A6D"/>
    <w:rsid w:val="00162060"/>
    <w:rsid w:val="00162610"/>
    <w:rsid w:val="001631F3"/>
    <w:rsid w:val="00163A33"/>
    <w:rsid w:val="001746D1"/>
    <w:rsid w:val="00175FF4"/>
    <w:rsid w:val="0017711D"/>
    <w:rsid w:val="00183EA5"/>
    <w:rsid w:val="00183EBB"/>
    <w:rsid w:val="001841DB"/>
    <w:rsid w:val="001869D8"/>
    <w:rsid w:val="0018702B"/>
    <w:rsid w:val="00193608"/>
    <w:rsid w:val="00195535"/>
    <w:rsid w:val="00196AD4"/>
    <w:rsid w:val="001A0A80"/>
    <w:rsid w:val="001A3CB6"/>
    <w:rsid w:val="001A563F"/>
    <w:rsid w:val="001B4049"/>
    <w:rsid w:val="001B5D73"/>
    <w:rsid w:val="001C2FD6"/>
    <w:rsid w:val="001C3684"/>
    <w:rsid w:val="001C51E2"/>
    <w:rsid w:val="001C5DF1"/>
    <w:rsid w:val="001C6691"/>
    <w:rsid w:val="001D014B"/>
    <w:rsid w:val="001D29A9"/>
    <w:rsid w:val="001D3737"/>
    <w:rsid w:val="001D5107"/>
    <w:rsid w:val="001E2727"/>
    <w:rsid w:val="001E4410"/>
    <w:rsid w:val="001E4A17"/>
    <w:rsid w:val="001E5DA0"/>
    <w:rsid w:val="001E5FF8"/>
    <w:rsid w:val="001E6DF0"/>
    <w:rsid w:val="001F10A9"/>
    <w:rsid w:val="001F3B7A"/>
    <w:rsid w:val="001F5287"/>
    <w:rsid w:val="001F5DFF"/>
    <w:rsid w:val="001F77E4"/>
    <w:rsid w:val="002164DE"/>
    <w:rsid w:val="00217640"/>
    <w:rsid w:val="002249B5"/>
    <w:rsid w:val="002305AF"/>
    <w:rsid w:val="002357D6"/>
    <w:rsid w:val="00236CE1"/>
    <w:rsid w:val="002403D3"/>
    <w:rsid w:val="00241FD9"/>
    <w:rsid w:val="00254B28"/>
    <w:rsid w:val="00255662"/>
    <w:rsid w:val="00256B64"/>
    <w:rsid w:val="00260429"/>
    <w:rsid w:val="002620BE"/>
    <w:rsid w:val="00262479"/>
    <w:rsid w:val="0026406C"/>
    <w:rsid w:val="00264529"/>
    <w:rsid w:val="00270EF9"/>
    <w:rsid w:val="002712A1"/>
    <w:rsid w:val="00271A7B"/>
    <w:rsid w:val="00275D7B"/>
    <w:rsid w:val="00277925"/>
    <w:rsid w:val="0028070B"/>
    <w:rsid w:val="00283616"/>
    <w:rsid w:val="00284788"/>
    <w:rsid w:val="00285036"/>
    <w:rsid w:val="002873D4"/>
    <w:rsid w:val="00291F6D"/>
    <w:rsid w:val="00293617"/>
    <w:rsid w:val="0029486C"/>
    <w:rsid w:val="002A3237"/>
    <w:rsid w:val="002B1848"/>
    <w:rsid w:val="002B230C"/>
    <w:rsid w:val="002B2424"/>
    <w:rsid w:val="002C00C1"/>
    <w:rsid w:val="002C1CE0"/>
    <w:rsid w:val="002D4F9E"/>
    <w:rsid w:val="002E0AF7"/>
    <w:rsid w:val="002E1D8B"/>
    <w:rsid w:val="002E5C6F"/>
    <w:rsid w:val="002F3854"/>
    <w:rsid w:val="002F4A6A"/>
    <w:rsid w:val="002F60C8"/>
    <w:rsid w:val="002F71A7"/>
    <w:rsid w:val="00311C28"/>
    <w:rsid w:val="00312070"/>
    <w:rsid w:val="00317CC6"/>
    <w:rsid w:val="00320FED"/>
    <w:rsid w:val="00327AE6"/>
    <w:rsid w:val="00330B20"/>
    <w:rsid w:val="003341B5"/>
    <w:rsid w:val="00336396"/>
    <w:rsid w:val="003401A3"/>
    <w:rsid w:val="003426C5"/>
    <w:rsid w:val="003456F7"/>
    <w:rsid w:val="00345DCF"/>
    <w:rsid w:val="00346F05"/>
    <w:rsid w:val="00352D49"/>
    <w:rsid w:val="00353608"/>
    <w:rsid w:val="00357702"/>
    <w:rsid w:val="00360105"/>
    <w:rsid w:val="00362D06"/>
    <w:rsid w:val="00363EB9"/>
    <w:rsid w:val="00364CBD"/>
    <w:rsid w:val="0037015B"/>
    <w:rsid w:val="003766EA"/>
    <w:rsid w:val="00376C8F"/>
    <w:rsid w:val="00383EFF"/>
    <w:rsid w:val="00386296"/>
    <w:rsid w:val="003864D9"/>
    <w:rsid w:val="00394518"/>
    <w:rsid w:val="00397C1B"/>
    <w:rsid w:val="003A1CBB"/>
    <w:rsid w:val="003A75A4"/>
    <w:rsid w:val="003B5A6B"/>
    <w:rsid w:val="003C180B"/>
    <w:rsid w:val="003C283E"/>
    <w:rsid w:val="003D013C"/>
    <w:rsid w:val="003D02F2"/>
    <w:rsid w:val="003D0FD0"/>
    <w:rsid w:val="003D1982"/>
    <w:rsid w:val="003D1D2D"/>
    <w:rsid w:val="003D1F63"/>
    <w:rsid w:val="003D26E1"/>
    <w:rsid w:val="003D6FEC"/>
    <w:rsid w:val="003E1A26"/>
    <w:rsid w:val="003E3294"/>
    <w:rsid w:val="003E3856"/>
    <w:rsid w:val="003E6919"/>
    <w:rsid w:val="003F1CF3"/>
    <w:rsid w:val="003F4466"/>
    <w:rsid w:val="003F5C24"/>
    <w:rsid w:val="00400692"/>
    <w:rsid w:val="00401153"/>
    <w:rsid w:val="00403972"/>
    <w:rsid w:val="0040555D"/>
    <w:rsid w:val="00407DD0"/>
    <w:rsid w:val="00412615"/>
    <w:rsid w:val="004138CB"/>
    <w:rsid w:val="004165F0"/>
    <w:rsid w:val="004260A8"/>
    <w:rsid w:val="00427255"/>
    <w:rsid w:val="004305D2"/>
    <w:rsid w:val="004318A7"/>
    <w:rsid w:val="004349BB"/>
    <w:rsid w:val="00436F22"/>
    <w:rsid w:val="00437203"/>
    <w:rsid w:val="004372FA"/>
    <w:rsid w:val="00450E1F"/>
    <w:rsid w:val="00457086"/>
    <w:rsid w:val="00460DD9"/>
    <w:rsid w:val="00463707"/>
    <w:rsid w:val="00463D84"/>
    <w:rsid w:val="00472DE0"/>
    <w:rsid w:val="004749A8"/>
    <w:rsid w:val="004759A3"/>
    <w:rsid w:val="00481564"/>
    <w:rsid w:val="00484A7F"/>
    <w:rsid w:val="00490127"/>
    <w:rsid w:val="004907DF"/>
    <w:rsid w:val="004923B8"/>
    <w:rsid w:val="004A0F82"/>
    <w:rsid w:val="004A23A7"/>
    <w:rsid w:val="004B15D2"/>
    <w:rsid w:val="004B4918"/>
    <w:rsid w:val="004B5936"/>
    <w:rsid w:val="004B7216"/>
    <w:rsid w:val="004C063C"/>
    <w:rsid w:val="004C3F60"/>
    <w:rsid w:val="004C5004"/>
    <w:rsid w:val="004D0D8B"/>
    <w:rsid w:val="004D196A"/>
    <w:rsid w:val="004D38F0"/>
    <w:rsid w:val="004D6A25"/>
    <w:rsid w:val="004E6130"/>
    <w:rsid w:val="004F34E0"/>
    <w:rsid w:val="004F4941"/>
    <w:rsid w:val="004F7093"/>
    <w:rsid w:val="00503523"/>
    <w:rsid w:val="00513DE0"/>
    <w:rsid w:val="00514C76"/>
    <w:rsid w:val="00515980"/>
    <w:rsid w:val="00515E0D"/>
    <w:rsid w:val="0051731F"/>
    <w:rsid w:val="00517EDF"/>
    <w:rsid w:val="005202E6"/>
    <w:rsid w:val="005210B7"/>
    <w:rsid w:val="0052224E"/>
    <w:rsid w:val="00523CF5"/>
    <w:rsid w:val="005315FD"/>
    <w:rsid w:val="005347D9"/>
    <w:rsid w:val="005358E9"/>
    <w:rsid w:val="00535920"/>
    <w:rsid w:val="00543808"/>
    <w:rsid w:val="00543E47"/>
    <w:rsid w:val="00545EC9"/>
    <w:rsid w:val="00550BF0"/>
    <w:rsid w:val="00551607"/>
    <w:rsid w:val="005552F5"/>
    <w:rsid w:val="005557AE"/>
    <w:rsid w:val="00556691"/>
    <w:rsid w:val="005569CE"/>
    <w:rsid w:val="00557047"/>
    <w:rsid w:val="00563B69"/>
    <w:rsid w:val="00570E41"/>
    <w:rsid w:val="00571739"/>
    <w:rsid w:val="00572F6F"/>
    <w:rsid w:val="0057411A"/>
    <w:rsid w:val="00580AB3"/>
    <w:rsid w:val="0058514E"/>
    <w:rsid w:val="005968A2"/>
    <w:rsid w:val="005A1DE0"/>
    <w:rsid w:val="005A1F62"/>
    <w:rsid w:val="005A39C7"/>
    <w:rsid w:val="005A3A44"/>
    <w:rsid w:val="005A4DA3"/>
    <w:rsid w:val="005B124E"/>
    <w:rsid w:val="005B144C"/>
    <w:rsid w:val="005B2F14"/>
    <w:rsid w:val="005B37FB"/>
    <w:rsid w:val="005B65B9"/>
    <w:rsid w:val="005C42D0"/>
    <w:rsid w:val="005C7507"/>
    <w:rsid w:val="005D4514"/>
    <w:rsid w:val="005D608A"/>
    <w:rsid w:val="005D7A0E"/>
    <w:rsid w:val="005E08F6"/>
    <w:rsid w:val="005E40A6"/>
    <w:rsid w:val="005F19AC"/>
    <w:rsid w:val="005F301A"/>
    <w:rsid w:val="005F385D"/>
    <w:rsid w:val="005F6848"/>
    <w:rsid w:val="005F74C7"/>
    <w:rsid w:val="00603148"/>
    <w:rsid w:val="00603AF0"/>
    <w:rsid w:val="00603FDC"/>
    <w:rsid w:val="00613D62"/>
    <w:rsid w:val="00615D69"/>
    <w:rsid w:val="00623ABE"/>
    <w:rsid w:val="00624803"/>
    <w:rsid w:val="00626AFA"/>
    <w:rsid w:val="0062747E"/>
    <w:rsid w:val="0063038B"/>
    <w:rsid w:val="006308D0"/>
    <w:rsid w:val="006321FD"/>
    <w:rsid w:val="00633D36"/>
    <w:rsid w:val="00641447"/>
    <w:rsid w:val="00641DAC"/>
    <w:rsid w:val="00641F1A"/>
    <w:rsid w:val="00645319"/>
    <w:rsid w:val="00647B74"/>
    <w:rsid w:val="006509BD"/>
    <w:rsid w:val="00654849"/>
    <w:rsid w:val="00656606"/>
    <w:rsid w:val="00656801"/>
    <w:rsid w:val="006601D2"/>
    <w:rsid w:val="0066242A"/>
    <w:rsid w:val="0066412D"/>
    <w:rsid w:val="00665370"/>
    <w:rsid w:val="00666F53"/>
    <w:rsid w:val="006710F6"/>
    <w:rsid w:val="00671BF3"/>
    <w:rsid w:val="00674261"/>
    <w:rsid w:val="00684843"/>
    <w:rsid w:val="00684869"/>
    <w:rsid w:val="0068734F"/>
    <w:rsid w:val="006876B6"/>
    <w:rsid w:val="00690153"/>
    <w:rsid w:val="006932EB"/>
    <w:rsid w:val="0069493F"/>
    <w:rsid w:val="006964B2"/>
    <w:rsid w:val="006965B8"/>
    <w:rsid w:val="006A4864"/>
    <w:rsid w:val="006B2ABD"/>
    <w:rsid w:val="006B6358"/>
    <w:rsid w:val="006C0EC5"/>
    <w:rsid w:val="006D6B3F"/>
    <w:rsid w:val="006D7443"/>
    <w:rsid w:val="006E3283"/>
    <w:rsid w:val="006E46E1"/>
    <w:rsid w:val="006E6447"/>
    <w:rsid w:val="006E7A24"/>
    <w:rsid w:val="006E7F07"/>
    <w:rsid w:val="006F01C1"/>
    <w:rsid w:val="006F2470"/>
    <w:rsid w:val="006F513B"/>
    <w:rsid w:val="006F7B5A"/>
    <w:rsid w:val="00701EA3"/>
    <w:rsid w:val="00707D5E"/>
    <w:rsid w:val="0071009B"/>
    <w:rsid w:val="00711FDE"/>
    <w:rsid w:val="00713E32"/>
    <w:rsid w:val="00714463"/>
    <w:rsid w:val="00716103"/>
    <w:rsid w:val="0071746C"/>
    <w:rsid w:val="00717517"/>
    <w:rsid w:val="00721EBC"/>
    <w:rsid w:val="00723B4A"/>
    <w:rsid w:val="00731151"/>
    <w:rsid w:val="00732701"/>
    <w:rsid w:val="00732D70"/>
    <w:rsid w:val="0073539A"/>
    <w:rsid w:val="00737AE2"/>
    <w:rsid w:val="00741E32"/>
    <w:rsid w:val="00743066"/>
    <w:rsid w:val="00744CB3"/>
    <w:rsid w:val="00744DE7"/>
    <w:rsid w:val="00745B79"/>
    <w:rsid w:val="007462F9"/>
    <w:rsid w:val="007478CE"/>
    <w:rsid w:val="007518B1"/>
    <w:rsid w:val="0076110A"/>
    <w:rsid w:val="0076350E"/>
    <w:rsid w:val="0076524C"/>
    <w:rsid w:val="00767348"/>
    <w:rsid w:val="0077099E"/>
    <w:rsid w:val="00772653"/>
    <w:rsid w:val="0077348C"/>
    <w:rsid w:val="007753BB"/>
    <w:rsid w:val="00781051"/>
    <w:rsid w:val="007820B5"/>
    <w:rsid w:val="007827A0"/>
    <w:rsid w:val="007856C6"/>
    <w:rsid w:val="00786153"/>
    <w:rsid w:val="0079125E"/>
    <w:rsid w:val="00793838"/>
    <w:rsid w:val="00794124"/>
    <w:rsid w:val="00794508"/>
    <w:rsid w:val="00796B39"/>
    <w:rsid w:val="007A2991"/>
    <w:rsid w:val="007A70D5"/>
    <w:rsid w:val="007A7C7E"/>
    <w:rsid w:val="007B0F89"/>
    <w:rsid w:val="007B1055"/>
    <w:rsid w:val="007C0FEC"/>
    <w:rsid w:val="007C7ADE"/>
    <w:rsid w:val="007D0FC5"/>
    <w:rsid w:val="007E347C"/>
    <w:rsid w:val="007E53CB"/>
    <w:rsid w:val="007E59E0"/>
    <w:rsid w:val="007F284C"/>
    <w:rsid w:val="007F364A"/>
    <w:rsid w:val="007F459E"/>
    <w:rsid w:val="00800972"/>
    <w:rsid w:val="0080353E"/>
    <w:rsid w:val="00805FD3"/>
    <w:rsid w:val="00814B1B"/>
    <w:rsid w:val="008248D5"/>
    <w:rsid w:val="008272DB"/>
    <w:rsid w:val="008278E5"/>
    <w:rsid w:val="00827BFB"/>
    <w:rsid w:val="00831390"/>
    <w:rsid w:val="00832C3E"/>
    <w:rsid w:val="00836286"/>
    <w:rsid w:val="00836CC9"/>
    <w:rsid w:val="00844BC3"/>
    <w:rsid w:val="00847A95"/>
    <w:rsid w:val="00853AE1"/>
    <w:rsid w:val="00857A9B"/>
    <w:rsid w:val="00860CCC"/>
    <w:rsid w:val="008611D1"/>
    <w:rsid w:val="008657C8"/>
    <w:rsid w:val="0086658D"/>
    <w:rsid w:val="00871B82"/>
    <w:rsid w:val="008721E3"/>
    <w:rsid w:val="00875863"/>
    <w:rsid w:val="00883BAE"/>
    <w:rsid w:val="008845B5"/>
    <w:rsid w:val="008849F3"/>
    <w:rsid w:val="008A0EAF"/>
    <w:rsid w:val="008B513E"/>
    <w:rsid w:val="008B6F5C"/>
    <w:rsid w:val="008C2D0B"/>
    <w:rsid w:val="008C3503"/>
    <w:rsid w:val="008C366E"/>
    <w:rsid w:val="008C5618"/>
    <w:rsid w:val="008D06D6"/>
    <w:rsid w:val="008D11B3"/>
    <w:rsid w:val="008D3E73"/>
    <w:rsid w:val="008D6CB6"/>
    <w:rsid w:val="008D738B"/>
    <w:rsid w:val="008D78E1"/>
    <w:rsid w:val="008E07A5"/>
    <w:rsid w:val="008E1A91"/>
    <w:rsid w:val="008E2CCB"/>
    <w:rsid w:val="008E53D4"/>
    <w:rsid w:val="008F18E5"/>
    <w:rsid w:val="008F52AA"/>
    <w:rsid w:val="008F6A1C"/>
    <w:rsid w:val="008F7512"/>
    <w:rsid w:val="00901EEB"/>
    <w:rsid w:val="0090380E"/>
    <w:rsid w:val="009065A6"/>
    <w:rsid w:val="009110C6"/>
    <w:rsid w:val="00911DBD"/>
    <w:rsid w:val="00913B86"/>
    <w:rsid w:val="00913BEA"/>
    <w:rsid w:val="00915598"/>
    <w:rsid w:val="0092465E"/>
    <w:rsid w:val="00924D9D"/>
    <w:rsid w:val="009265D3"/>
    <w:rsid w:val="00932EC8"/>
    <w:rsid w:val="009402AE"/>
    <w:rsid w:val="00942BD6"/>
    <w:rsid w:val="00943377"/>
    <w:rsid w:val="009450A5"/>
    <w:rsid w:val="00952163"/>
    <w:rsid w:val="00953E9B"/>
    <w:rsid w:val="0096651D"/>
    <w:rsid w:val="0097048F"/>
    <w:rsid w:val="00981D90"/>
    <w:rsid w:val="009845AB"/>
    <w:rsid w:val="00992267"/>
    <w:rsid w:val="00992EDA"/>
    <w:rsid w:val="00996B7E"/>
    <w:rsid w:val="009A0915"/>
    <w:rsid w:val="009A15F7"/>
    <w:rsid w:val="009B31DE"/>
    <w:rsid w:val="009C0F30"/>
    <w:rsid w:val="009C1F81"/>
    <w:rsid w:val="009C6FEA"/>
    <w:rsid w:val="009C7147"/>
    <w:rsid w:val="009D1261"/>
    <w:rsid w:val="009D356E"/>
    <w:rsid w:val="009E00E2"/>
    <w:rsid w:val="009E31BB"/>
    <w:rsid w:val="009E3C49"/>
    <w:rsid w:val="009E7F53"/>
    <w:rsid w:val="00A02569"/>
    <w:rsid w:val="00A04CDB"/>
    <w:rsid w:val="00A10E12"/>
    <w:rsid w:val="00A11B5F"/>
    <w:rsid w:val="00A13A9C"/>
    <w:rsid w:val="00A140E1"/>
    <w:rsid w:val="00A17A87"/>
    <w:rsid w:val="00A20174"/>
    <w:rsid w:val="00A25134"/>
    <w:rsid w:val="00A27B38"/>
    <w:rsid w:val="00A3055D"/>
    <w:rsid w:val="00A3425E"/>
    <w:rsid w:val="00A379DD"/>
    <w:rsid w:val="00A37FB6"/>
    <w:rsid w:val="00A40266"/>
    <w:rsid w:val="00A44E65"/>
    <w:rsid w:val="00A46BD4"/>
    <w:rsid w:val="00A5290B"/>
    <w:rsid w:val="00A60DA6"/>
    <w:rsid w:val="00A66BB4"/>
    <w:rsid w:val="00A70A10"/>
    <w:rsid w:val="00A717ED"/>
    <w:rsid w:val="00A7219E"/>
    <w:rsid w:val="00A72D8A"/>
    <w:rsid w:val="00A733DF"/>
    <w:rsid w:val="00A73E3D"/>
    <w:rsid w:val="00A74922"/>
    <w:rsid w:val="00A75666"/>
    <w:rsid w:val="00A7628B"/>
    <w:rsid w:val="00A776D6"/>
    <w:rsid w:val="00A77B7D"/>
    <w:rsid w:val="00A82722"/>
    <w:rsid w:val="00A83284"/>
    <w:rsid w:val="00A874C9"/>
    <w:rsid w:val="00A907A7"/>
    <w:rsid w:val="00A934F9"/>
    <w:rsid w:val="00A94BB7"/>
    <w:rsid w:val="00A95058"/>
    <w:rsid w:val="00A96D77"/>
    <w:rsid w:val="00AA227F"/>
    <w:rsid w:val="00AA771A"/>
    <w:rsid w:val="00AA7F99"/>
    <w:rsid w:val="00AB3982"/>
    <w:rsid w:val="00AC28E7"/>
    <w:rsid w:val="00AC5BB8"/>
    <w:rsid w:val="00AD149C"/>
    <w:rsid w:val="00AD26BE"/>
    <w:rsid w:val="00AD4970"/>
    <w:rsid w:val="00AD57D1"/>
    <w:rsid w:val="00AD5B6F"/>
    <w:rsid w:val="00AD5E36"/>
    <w:rsid w:val="00AD63A6"/>
    <w:rsid w:val="00AE04BD"/>
    <w:rsid w:val="00AE6B9C"/>
    <w:rsid w:val="00B00736"/>
    <w:rsid w:val="00B0262F"/>
    <w:rsid w:val="00B045E9"/>
    <w:rsid w:val="00B10F89"/>
    <w:rsid w:val="00B170FB"/>
    <w:rsid w:val="00B21ABA"/>
    <w:rsid w:val="00B24DF5"/>
    <w:rsid w:val="00B4187A"/>
    <w:rsid w:val="00B41DE3"/>
    <w:rsid w:val="00B423EC"/>
    <w:rsid w:val="00B558D4"/>
    <w:rsid w:val="00B55F09"/>
    <w:rsid w:val="00B57798"/>
    <w:rsid w:val="00B60909"/>
    <w:rsid w:val="00B63E4C"/>
    <w:rsid w:val="00B70309"/>
    <w:rsid w:val="00B71156"/>
    <w:rsid w:val="00B7319E"/>
    <w:rsid w:val="00B73A7D"/>
    <w:rsid w:val="00B74755"/>
    <w:rsid w:val="00B76ADC"/>
    <w:rsid w:val="00B773F1"/>
    <w:rsid w:val="00B801B6"/>
    <w:rsid w:val="00B80C5C"/>
    <w:rsid w:val="00B85D08"/>
    <w:rsid w:val="00B87341"/>
    <w:rsid w:val="00B907EA"/>
    <w:rsid w:val="00BA328A"/>
    <w:rsid w:val="00BA6999"/>
    <w:rsid w:val="00BB1ADF"/>
    <w:rsid w:val="00BB26F7"/>
    <w:rsid w:val="00BB6241"/>
    <w:rsid w:val="00BB6DAF"/>
    <w:rsid w:val="00BB769C"/>
    <w:rsid w:val="00BB7FD9"/>
    <w:rsid w:val="00BC6989"/>
    <w:rsid w:val="00BC7518"/>
    <w:rsid w:val="00BD114E"/>
    <w:rsid w:val="00BD3685"/>
    <w:rsid w:val="00BE1D7E"/>
    <w:rsid w:val="00BE458E"/>
    <w:rsid w:val="00BE4E90"/>
    <w:rsid w:val="00BE72E6"/>
    <w:rsid w:val="00BF24FB"/>
    <w:rsid w:val="00C011DC"/>
    <w:rsid w:val="00C01279"/>
    <w:rsid w:val="00C04C2D"/>
    <w:rsid w:val="00C05D59"/>
    <w:rsid w:val="00C1770C"/>
    <w:rsid w:val="00C2783C"/>
    <w:rsid w:val="00C41550"/>
    <w:rsid w:val="00C41740"/>
    <w:rsid w:val="00C417C4"/>
    <w:rsid w:val="00C42ACB"/>
    <w:rsid w:val="00C50693"/>
    <w:rsid w:val="00C520FC"/>
    <w:rsid w:val="00C52C01"/>
    <w:rsid w:val="00C62EAB"/>
    <w:rsid w:val="00C63156"/>
    <w:rsid w:val="00C63792"/>
    <w:rsid w:val="00C63CDA"/>
    <w:rsid w:val="00C66685"/>
    <w:rsid w:val="00C71BFD"/>
    <w:rsid w:val="00C74DE2"/>
    <w:rsid w:val="00C754C9"/>
    <w:rsid w:val="00C82209"/>
    <w:rsid w:val="00C8248B"/>
    <w:rsid w:val="00C82B15"/>
    <w:rsid w:val="00C87801"/>
    <w:rsid w:val="00C906F2"/>
    <w:rsid w:val="00C9294E"/>
    <w:rsid w:val="00CA5964"/>
    <w:rsid w:val="00CB2449"/>
    <w:rsid w:val="00CB2FD2"/>
    <w:rsid w:val="00CB425F"/>
    <w:rsid w:val="00CC0180"/>
    <w:rsid w:val="00CC03D7"/>
    <w:rsid w:val="00CD7DC8"/>
    <w:rsid w:val="00CE7D0B"/>
    <w:rsid w:val="00CF13EC"/>
    <w:rsid w:val="00D00FC0"/>
    <w:rsid w:val="00D03A97"/>
    <w:rsid w:val="00D10882"/>
    <w:rsid w:val="00D14CD6"/>
    <w:rsid w:val="00D159BB"/>
    <w:rsid w:val="00D16AA2"/>
    <w:rsid w:val="00D20007"/>
    <w:rsid w:val="00D20E69"/>
    <w:rsid w:val="00D23995"/>
    <w:rsid w:val="00D30DE6"/>
    <w:rsid w:val="00D32C02"/>
    <w:rsid w:val="00D35820"/>
    <w:rsid w:val="00D36DF2"/>
    <w:rsid w:val="00D41418"/>
    <w:rsid w:val="00D511FE"/>
    <w:rsid w:val="00D518A9"/>
    <w:rsid w:val="00D51A19"/>
    <w:rsid w:val="00D60B0C"/>
    <w:rsid w:val="00D6393F"/>
    <w:rsid w:val="00D63B2E"/>
    <w:rsid w:val="00D71DBE"/>
    <w:rsid w:val="00D73161"/>
    <w:rsid w:val="00D7617A"/>
    <w:rsid w:val="00D77194"/>
    <w:rsid w:val="00D77889"/>
    <w:rsid w:val="00D77F97"/>
    <w:rsid w:val="00D85E71"/>
    <w:rsid w:val="00D878A1"/>
    <w:rsid w:val="00D93C26"/>
    <w:rsid w:val="00D93F84"/>
    <w:rsid w:val="00D95DBA"/>
    <w:rsid w:val="00DA4393"/>
    <w:rsid w:val="00DB175A"/>
    <w:rsid w:val="00DB2503"/>
    <w:rsid w:val="00DB3579"/>
    <w:rsid w:val="00DB7E6B"/>
    <w:rsid w:val="00DC1BAA"/>
    <w:rsid w:val="00DC3C82"/>
    <w:rsid w:val="00DC7DFD"/>
    <w:rsid w:val="00DD0039"/>
    <w:rsid w:val="00DD0214"/>
    <w:rsid w:val="00DD3ED0"/>
    <w:rsid w:val="00DD46B4"/>
    <w:rsid w:val="00DD59D2"/>
    <w:rsid w:val="00DD6384"/>
    <w:rsid w:val="00DE0AC5"/>
    <w:rsid w:val="00DE3695"/>
    <w:rsid w:val="00DE747A"/>
    <w:rsid w:val="00DF1FA2"/>
    <w:rsid w:val="00DF63DA"/>
    <w:rsid w:val="00E01A65"/>
    <w:rsid w:val="00E03ADC"/>
    <w:rsid w:val="00E055CF"/>
    <w:rsid w:val="00E1289D"/>
    <w:rsid w:val="00E153B7"/>
    <w:rsid w:val="00E20B08"/>
    <w:rsid w:val="00E25C60"/>
    <w:rsid w:val="00E26604"/>
    <w:rsid w:val="00E353B5"/>
    <w:rsid w:val="00E41BB7"/>
    <w:rsid w:val="00E433BD"/>
    <w:rsid w:val="00E43B2F"/>
    <w:rsid w:val="00E450F3"/>
    <w:rsid w:val="00E45793"/>
    <w:rsid w:val="00E5073C"/>
    <w:rsid w:val="00E51555"/>
    <w:rsid w:val="00E6419F"/>
    <w:rsid w:val="00E655D3"/>
    <w:rsid w:val="00E679C8"/>
    <w:rsid w:val="00E71B54"/>
    <w:rsid w:val="00E726CB"/>
    <w:rsid w:val="00E7281B"/>
    <w:rsid w:val="00E80164"/>
    <w:rsid w:val="00E82771"/>
    <w:rsid w:val="00EA08AC"/>
    <w:rsid w:val="00EB0B76"/>
    <w:rsid w:val="00EB2CA8"/>
    <w:rsid w:val="00EB4352"/>
    <w:rsid w:val="00EB45D6"/>
    <w:rsid w:val="00EB79ED"/>
    <w:rsid w:val="00EB7F6C"/>
    <w:rsid w:val="00EC5654"/>
    <w:rsid w:val="00EC6D44"/>
    <w:rsid w:val="00EC7251"/>
    <w:rsid w:val="00ED6AE8"/>
    <w:rsid w:val="00ED726E"/>
    <w:rsid w:val="00EE6679"/>
    <w:rsid w:val="00EE706B"/>
    <w:rsid w:val="00EF3B94"/>
    <w:rsid w:val="00EF48F0"/>
    <w:rsid w:val="00EF4FB1"/>
    <w:rsid w:val="00EF5D7B"/>
    <w:rsid w:val="00F01D2E"/>
    <w:rsid w:val="00F02415"/>
    <w:rsid w:val="00F03BD7"/>
    <w:rsid w:val="00F06340"/>
    <w:rsid w:val="00F074D8"/>
    <w:rsid w:val="00F07644"/>
    <w:rsid w:val="00F14557"/>
    <w:rsid w:val="00F16090"/>
    <w:rsid w:val="00F16789"/>
    <w:rsid w:val="00F17028"/>
    <w:rsid w:val="00F20D0E"/>
    <w:rsid w:val="00F21761"/>
    <w:rsid w:val="00F2185F"/>
    <w:rsid w:val="00F242EA"/>
    <w:rsid w:val="00F25F2F"/>
    <w:rsid w:val="00F318CB"/>
    <w:rsid w:val="00F326CB"/>
    <w:rsid w:val="00F34D14"/>
    <w:rsid w:val="00F445EA"/>
    <w:rsid w:val="00F45BFE"/>
    <w:rsid w:val="00F46590"/>
    <w:rsid w:val="00F52C47"/>
    <w:rsid w:val="00F56CFF"/>
    <w:rsid w:val="00F57344"/>
    <w:rsid w:val="00F577EE"/>
    <w:rsid w:val="00F63EE7"/>
    <w:rsid w:val="00F6657F"/>
    <w:rsid w:val="00F70D78"/>
    <w:rsid w:val="00F72972"/>
    <w:rsid w:val="00F734D0"/>
    <w:rsid w:val="00F74E01"/>
    <w:rsid w:val="00F76ECD"/>
    <w:rsid w:val="00F77786"/>
    <w:rsid w:val="00F8505B"/>
    <w:rsid w:val="00F8560D"/>
    <w:rsid w:val="00F85688"/>
    <w:rsid w:val="00F916D5"/>
    <w:rsid w:val="00F97478"/>
    <w:rsid w:val="00FA2C0A"/>
    <w:rsid w:val="00FA5D76"/>
    <w:rsid w:val="00FB1FD1"/>
    <w:rsid w:val="00FB21F7"/>
    <w:rsid w:val="00FB46B7"/>
    <w:rsid w:val="00FB60FD"/>
    <w:rsid w:val="00FC3F2A"/>
    <w:rsid w:val="00FC7446"/>
    <w:rsid w:val="00FC7B2E"/>
    <w:rsid w:val="00FD0783"/>
    <w:rsid w:val="00FD0CFD"/>
    <w:rsid w:val="00FD1244"/>
    <w:rsid w:val="00FD3999"/>
    <w:rsid w:val="00FE2FF2"/>
    <w:rsid w:val="00FE727E"/>
    <w:rsid w:val="00FF26DE"/>
    <w:rsid w:val="00FF6357"/>
    <w:rsid w:val="00FF77E5"/>
    <w:rsid w:val="0AC97798"/>
    <w:rsid w:val="0E4B5755"/>
    <w:rsid w:val="105216A0"/>
    <w:rsid w:val="109F4134"/>
    <w:rsid w:val="76A41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semiHidden="0"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61"/>
    <w:pPr>
      <w:spacing w:after="200" w:line="276" w:lineRule="auto"/>
    </w:pPr>
    <w:rPr>
      <w:sz w:val="22"/>
      <w:szCs w:val="22"/>
      <w:lang w:eastAsia="en-US"/>
    </w:rPr>
  </w:style>
  <w:style w:type="paragraph" w:styleId="Heading1">
    <w:name w:val="heading 1"/>
    <w:basedOn w:val="Normal"/>
    <w:next w:val="Normal"/>
    <w:link w:val="Heading1Char"/>
    <w:uiPriority w:val="9"/>
    <w:qFormat/>
    <w:rsid w:val="0067426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74261"/>
    <w:pPr>
      <w:spacing w:line="240" w:lineRule="auto"/>
    </w:pPr>
    <w:rPr>
      <w:rFonts w:eastAsia="等线"/>
      <w:i/>
      <w:iCs/>
      <w:color w:val="44546A"/>
      <w:sz w:val="18"/>
      <w:szCs w:val="18"/>
    </w:rPr>
  </w:style>
  <w:style w:type="paragraph" w:styleId="EndnoteText">
    <w:name w:val="endnote text"/>
    <w:basedOn w:val="Normal"/>
    <w:link w:val="EndnoteTextChar"/>
    <w:uiPriority w:val="99"/>
    <w:semiHidden/>
    <w:unhideWhenUsed/>
    <w:rsid w:val="00674261"/>
    <w:rPr>
      <w:sz w:val="20"/>
      <w:szCs w:val="20"/>
    </w:rPr>
  </w:style>
  <w:style w:type="paragraph" w:styleId="BalloonText">
    <w:name w:val="Balloon Text"/>
    <w:basedOn w:val="Normal"/>
    <w:link w:val="BalloonTextChar"/>
    <w:uiPriority w:val="99"/>
    <w:semiHidden/>
    <w:unhideWhenUsed/>
    <w:qFormat/>
    <w:rsid w:val="00674261"/>
    <w:pPr>
      <w:spacing w:after="0" w:line="240" w:lineRule="auto"/>
    </w:pPr>
    <w:rPr>
      <w:rFonts w:ascii="Tahoma" w:hAnsi="Tahoma"/>
      <w:sz w:val="16"/>
      <w:szCs w:val="16"/>
    </w:rPr>
  </w:style>
  <w:style w:type="paragraph" w:styleId="Footer">
    <w:name w:val="footer"/>
    <w:basedOn w:val="Normal"/>
    <w:link w:val="FooterChar"/>
    <w:uiPriority w:val="99"/>
    <w:unhideWhenUsed/>
    <w:rsid w:val="00674261"/>
    <w:pPr>
      <w:tabs>
        <w:tab w:val="center" w:pos="4680"/>
        <w:tab w:val="right" w:pos="9360"/>
      </w:tabs>
    </w:pPr>
  </w:style>
  <w:style w:type="paragraph" w:styleId="Header">
    <w:name w:val="header"/>
    <w:basedOn w:val="Normal"/>
    <w:link w:val="HeaderChar"/>
    <w:uiPriority w:val="99"/>
    <w:unhideWhenUsed/>
    <w:qFormat/>
    <w:rsid w:val="00674261"/>
    <w:pPr>
      <w:tabs>
        <w:tab w:val="center" w:pos="4680"/>
        <w:tab w:val="right" w:pos="9360"/>
      </w:tabs>
    </w:pPr>
  </w:style>
  <w:style w:type="paragraph" w:styleId="FootnoteText">
    <w:name w:val="footnote text"/>
    <w:basedOn w:val="Normal"/>
    <w:link w:val="FootnoteTextChar"/>
    <w:uiPriority w:val="99"/>
    <w:semiHidden/>
    <w:unhideWhenUsed/>
    <w:qFormat/>
    <w:rsid w:val="00674261"/>
    <w:pPr>
      <w:spacing w:after="0" w:line="240" w:lineRule="auto"/>
    </w:pPr>
    <w:rPr>
      <w:sz w:val="20"/>
      <w:szCs w:val="20"/>
    </w:rPr>
  </w:style>
  <w:style w:type="paragraph" w:styleId="NormalWeb">
    <w:name w:val="Normal (Web)"/>
    <w:basedOn w:val="Normal"/>
    <w:uiPriority w:val="99"/>
    <w:unhideWhenUsed/>
    <w:rsid w:val="00674261"/>
    <w:pPr>
      <w:spacing w:before="100" w:beforeAutospacing="1" w:after="100" w:afterAutospacing="1" w:line="240" w:lineRule="auto"/>
    </w:pPr>
    <w:rPr>
      <w:rFonts w:ascii="Times New Roman" w:eastAsia="Times New Roman" w:hAnsi="Times New Roman"/>
      <w:sz w:val="24"/>
      <w:szCs w:val="24"/>
      <w:lang w:eastAsia="zh-CN"/>
    </w:rPr>
  </w:style>
  <w:style w:type="paragraph" w:styleId="Title">
    <w:name w:val="Title"/>
    <w:basedOn w:val="Normal"/>
    <w:next w:val="Normal"/>
    <w:link w:val="TitleChar"/>
    <w:uiPriority w:val="10"/>
    <w:qFormat/>
    <w:rsid w:val="00674261"/>
    <w:pPr>
      <w:spacing w:before="240" w:after="60"/>
      <w:jc w:val="center"/>
      <w:outlineLvl w:val="0"/>
    </w:pPr>
    <w:rPr>
      <w:rFonts w:ascii="Calibri Light" w:eastAsia="等线 Light" w:hAnsi="Calibri Light"/>
      <w:b/>
      <w:bCs/>
      <w:kern w:val="28"/>
      <w:sz w:val="32"/>
      <w:szCs w:val="32"/>
    </w:rPr>
  </w:style>
  <w:style w:type="table" w:styleId="TableGrid">
    <w:name w:val="Table Grid"/>
    <w:basedOn w:val="TableNormal"/>
    <w:uiPriority w:val="39"/>
    <w:qFormat/>
    <w:rsid w:val="00674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74261"/>
    <w:rPr>
      <w:b/>
      <w:bCs/>
    </w:rPr>
  </w:style>
  <w:style w:type="character" w:styleId="EndnoteReference">
    <w:name w:val="endnote reference"/>
    <w:uiPriority w:val="99"/>
    <w:semiHidden/>
    <w:unhideWhenUsed/>
    <w:rsid w:val="00674261"/>
    <w:rPr>
      <w:vertAlign w:val="superscript"/>
    </w:rPr>
  </w:style>
  <w:style w:type="character" w:styleId="Hyperlink">
    <w:name w:val="Hyperlink"/>
    <w:basedOn w:val="DefaultParagraphFont"/>
    <w:uiPriority w:val="99"/>
    <w:unhideWhenUsed/>
    <w:rsid w:val="00674261"/>
    <w:rPr>
      <w:color w:val="0000FF"/>
      <w:u w:val="single"/>
    </w:rPr>
  </w:style>
  <w:style w:type="character" w:styleId="FootnoteReference">
    <w:name w:val="footnote reference"/>
    <w:uiPriority w:val="99"/>
    <w:semiHidden/>
    <w:unhideWhenUsed/>
    <w:qFormat/>
    <w:rsid w:val="00674261"/>
    <w:rPr>
      <w:vertAlign w:val="superscript"/>
    </w:rPr>
  </w:style>
  <w:style w:type="character" w:customStyle="1" w:styleId="FootnoteTextChar">
    <w:name w:val="Footnote Text Char"/>
    <w:link w:val="FootnoteText"/>
    <w:uiPriority w:val="99"/>
    <w:semiHidden/>
    <w:qFormat/>
    <w:rsid w:val="00674261"/>
    <w:rPr>
      <w:sz w:val="20"/>
      <w:szCs w:val="20"/>
    </w:rPr>
  </w:style>
  <w:style w:type="paragraph" w:styleId="ListParagraph">
    <w:name w:val="List Paragraph"/>
    <w:basedOn w:val="Normal"/>
    <w:link w:val="ListParagraphChar"/>
    <w:uiPriority w:val="34"/>
    <w:qFormat/>
    <w:rsid w:val="00674261"/>
    <w:pPr>
      <w:ind w:left="720"/>
      <w:contextualSpacing/>
    </w:pPr>
  </w:style>
  <w:style w:type="table" w:customStyle="1" w:styleId="LightShading1">
    <w:name w:val="Light Shading1"/>
    <w:basedOn w:val="TableNormal"/>
    <w:uiPriority w:val="60"/>
    <w:qFormat/>
    <w:rsid w:val="00674261"/>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qFormat/>
    <w:rsid w:val="00674261"/>
    <w:rPr>
      <w:color w:val="808080"/>
    </w:rPr>
  </w:style>
  <w:style w:type="character" w:customStyle="1" w:styleId="BalloonTextChar">
    <w:name w:val="Balloon Text Char"/>
    <w:link w:val="BalloonText"/>
    <w:uiPriority w:val="99"/>
    <w:semiHidden/>
    <w:rsid w:val="00674261"/>
    <w:rPr>
      <w:rFonts w:ascii="Tahoma" w:hAnsi="Tahoma" w:cs="Tahoma"/>
      <w:sz w:val="16"/>
      <w:szCs w:val="16"/>
    </w:rPr>
  </w:style>
  <w:style w:type="character" w:customStyle="1" w:styleId="TitleChar">
    <w:name w:val="Title Char"/>
    <w:link w:val="Title"/>
    <w:uiPriority w:val="10"/>
    <w:qFormat/>
    <w:rsid w:val="00674261"/>
    <w:rPr>
      <w:rFonts w:ascii="Calibri Light" w:eastAsia="等线 Light" w:hAnsi="Calibri Light" w:cs="Times New Roman"/>
      <w:b/>
      <w:bCs/>
      <w:kern w:val="28"/>
      <w:sz w:val="32"/>
      <w:szCs w:val="32"/>
      <w:lang w:eastAsia="en-US"/>
    </w:rPr>
  </w:style>
  <w:style w:type="character" w:customStyle="1" w:styleId="UnresolvedMention">
    <w:name w:val="Unresolved Mention"/>
    <w:uiPriority w:val="99"/>
    <w:semiHidden/>
    <w:unhideWhenUsed/>
    <w:rsid w:val="00674261"/>
    <w:rPr>
      <w:color w:val="605E5C"/>
      <w:shd w:val="clear" w:color="auto" w:fill="E1DFDD"/>
    </w:rPr>
  </w:style>
  <w:style w:type="character" w:customStyle="1" w:styleId="Heading1Char">
    <w:name w:val="Heading 1 Char"/>
    <w:link w:val="Heading1"/>
    <w:uiPriority w:val="9"/>
    <w:qFormat/>
    <w:rsid w:val="00674261"/>
    <w:rPr>
      <w:rFonts w:ascii="Times New Roman" w:eastAsia="Times New Roman" w:hAnsi="Times New Roman"/>
      <w:b/>
      <w:bCs/>
      <w:kern w:val="36"/>
      <w:sz w:val="48"/>
      <w:szCs w:val="48"/>
    </w:rPr>
  </w:style>
  <w:style w:type="character" w:customStyle="1" w:styleId="HeaderChar">
    <w:name w:val="Header Char"/>
    <w:link w:val="Header"/>
    <w:uiPriority w:val="99"/>
    <w:qFormat/>
    <w:rsid w:val="00674261"/>
    <w:rPr>
      <w:sz w:val="22"/>
      <w:szCs w:val="22"/>
      <w:lang w:eastAsia="en-US"/>
    </w:rPr>
  </w:style>
  <w:style w:type="character" w:customStyle="1" w:styleId="FooterChar">
    <w:name w:val="Footer Char"/>
    <w:link w:val="Footer"/>
    <w:uiPriority w:val="99"/>
    <w:rsid w:val="00674261"/>
    <w:rPr>
      <w:sz w:val="22"/>
      <w:szCs w:val="22"/>
      <w:lang w:eastAsia="en-US"/>
    </w:rPr>
  </w:style>
  <w:style w:type="character" w:customStyle="1" w:styleId="ListParagraphChar">
    <w:name w:val="List Paragraph Char"/>
    <w:link w:val="ListParagraph"/>
    <w:uiPriority w:val="34"/>
    <w:rsid w:val="00674261"/>
    <w:rPr>
      <w:sz w:val="22"/>
      <w:szCs w:val="22"/>
      <w:lang w:eastAsia="en-US"/>
    </w:rPr>
  </w:style>
  <w:style w:type="character" w:customStyle="1" w:styleId="EndnoteTextChar">
    <w:name w:val="Endnote Text Char"/>
    <w:link w:val="EndnoteText"/>
    <w:uiPriority w:val="99"/>
    <w:semiHidden/>
    <w:rsid w:val="00674261"/>
    <w:rPr>
      <w:lang w:eastAsia="en-US"/>
    </w:rPr>
  </w:style>
  <w:style w:type="character" w:customStyle="1" w:styleId="MTEquationSection">
    <w:name w:val="MTEquationSection"/>
    <w:rsid w:val="00674261"/>
    <w:rPr>
      <w:rFonts w:ascii="Times New Roman" w:hAnsi="Times New Roman"/>
      <w:vanish/>
      <w:color w:val="FF0000"/>
      <w:sz w:val="20"/>
      <w:szCs w:val="20"/>
    </w:rPr>
  </w:style>
  <w:style w:type="paragraph" w:customStyle="1" w:styleId="MTDisplayEquation">
    <w:name w:val="MTDisplayEquation"/>
    <w:basedOn w:val="Normal"/>
    <w:next w:val="Normal"/>
    <w:link w:val="MTDisplayEquationChar"/>
    <w:rsid w:val="00674261"/>
    <w:pPr>
      <w:tabs>
        <w:tab w:val="center" w:pos="2160"/>
        <w:tab w:val="right" w:pos="4320"/>
      </w:tabs>
      <w:spacing w:after="120" w:line="240" w:lineRule="auto"/>
      <w:ind w:firstLine="720"/>
      <w:jc w:val="both"/>
    </w:pPr>
    <w:rPr>
      <w:rFonts w:ascii="Times New Roman" w:hAnsi="Times New Roman"/>
      <w:sz w:val="20"/>
      <w:szCs w:val="20"/>
    </w:rPr>
  </w:style>
  <w:style w:type="character" w:customStyle="1" w:styleId="MTDisplayEquationChar">
    <w:name w:val="MTDisplayEquation Char"/>
    <w:link w:val="MTDisplayEquation"/>
    <w:rsid w:val="00674261"/>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3.bin"/><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image" Target="media/image25.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oleObject" Target="embeddings/oleObject49.bin"/><Relationship Id="rId16" Type="http://schemas.openxmlformats.org/officeDocument/2006/relationships/image" Target="media/image2.wmf"/><Relationship Id="rId107" Type="http://schemas.openxmlformats.org/officeDocument/2006/relationships/image" Target="media/image47.wmf"/><Relationship Id="rId11" Type="http://schemas.openxmlformats.org/officeDocument/2006/relationships/hyperlink" Target="http://www.dx.doi.org/10.7537/marsnys150622.08"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oleObject" Target="embeddings/oleObject44.bin"/><Relationship Id="rId110" Type="http://schemas.openxmlformats.org/officeDocument/2006/relationships/oleObject" Target="embeddings/oleObject48.bin"/><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1.wmf"/><Relationship Id="rId19" Type="http://schemas.openxmlformats.org/officeDocument/2006/relationships/oleObject" Target="embeddings/oleObject2.bin"/><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image" Target="media/image46.wmf"/><Relationship Id="rId113" Type="http://schemas.openxmlformats.org/officeDocument/2006/relationships/image" Target="media/image50.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47.bin"/><Relationship Id="rId11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7.bin"/><Relationship Id="rId91" Type="http://schemas.openxmlformats.org/officeDocument/2006/relationships/image" Target="media/image39.wmf"/><Relationship Id="rId96" Type="http://schemas.openxmlformats.org/officeDocument/2006/relationships/oleObject" Target="embeddings/oleObject41.bin"/><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oleObject" Target="embeddings/oleObject46.bin"/><Relationship Id="rId114" Type="http://schemas.openxmlformats.org/officeDocument/2006/relationships/oleObject" Target="embeddings/oleObject50.bin"/><Relationship Id="rId10" Type="http://schemas.openxmlformats.org/officeDocument/2006/relationships/hyperlink" Target="http://www.sciencepub.net/newyork" TargetMode="Externa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tyles" Target="styles.xml"/><Relationship Id="rId9" Type="http://schemas.openxmlformats.org/officeDocument/2006/relationships/hyperlink" Target="mailto:wajidali.kh05@hotmail.com" TargetMode="Externa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oleObject" Target="embeddings/oleObject12.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7.bin"/></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B9704-196D-4B99-AC70-937D7579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23121</Words>
  <Characters>131794</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Administrator</cp:lastModifiedBy>
  <cp:revision>4</cp:revision>
  <dcterms:created xsi:type="dcterms:W3CDTF">2021-09-09T02:48:00Z</dcterms:created>
  <dcterms:modified xsi:type="dcterms:W3CDTF">2022-07-02T02:28:00Z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http://www.zotero.org/styles/renewable-energy</vt:lpwstr>
  </property>
  <property fmtid="{D5CDD505-2E9C-101B-9397-08002B2CF9AE}" pid="21" name="Mendeley Recent Style Name 9_1">
    <vt:lpwstr>Renewable Energy</vt:lpwstr>
  </property>
  <property fmtid="{D5CDD505-2E9C-101B-9397-08002B2CF9AE}" pid="22" name="Mendeley Document_1">
    <vt:lpwstr>True</vt:lpwstr>
  </property>
  <property fmtid="{D5CDD505-2E9C-101B-9397-08002B2CF9AE}" pid="23" name="Mendeley Unique User Id_1">
    <vt:lpwstr>5defaeba-cf71-3838-a3e6-6f7717e2dd27</vt:lpwstr>
  </property>
  <property fmtid="{D5CDD505-2E9C-101B-9397-08002B2CF9AE}" pid="24" name="Mendeley Citation Style_1">
    <vt:lpwstr>http://www.zotero.org/styles/apa</vt:lpwstr>
  </property>
  <property fmtid="{D5CDD505-2E9C-101B-9397-08002B2CF9AE}" pid="25" name="MTEquationSection">
    <vt:lpwstr>1</vt:lpwstr>
  </property>
  <property fmtid="{D5CDD505-2E9C-101B-9397-08002B2CF9AE}" pid="26" name="MTWinEqns">
    <vt:bool>true</vt:bool>
  </property>
  <property fmtid="{D5CDD505-2E9C-101B-9397-08002B2CF9AE}" pid="27" name="MTEquationNumber2">
    <vt:lpwstr>1</vt:lpwstr>
  </property>
  <property fmtid="{D5CDD505-2E9C-101B-9397-08002B2CF9AE}" pid="28" name="MTCustomEquationNumber">
    <vt:lpwstr>1</vt:lpwstr>
  </property>
  <property fmtid="{D5CDD505-2E9C-101B-9397-08002B2CF9AE}" pid="29" name="MTEqnNumsOnRight">
    <vt:bool>true</vt:bool>
  </property>
  <property fmtid="{D5CDD505-2E9C-101B-9397-08002B2CF9AE}" pid="30" name="KSOProductBuildVer">
    <vt:lpwstr>2052-11.1.0.11744</vt:lpwstr>
  </property>
  <property fmtid="{D5CDD505-2E9C-101B-9397-08002B2CF9AE}" pid="31" name="ICV">
    <vt:lpwstr>BC7C43E68BEA47B99402C3E24D2C7F83</vt:lpwstr>
  </property>
</Properties>
</file>