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FB" w:rsidRDefault="000D44FB">
      <w:pPr>
        <w:spacing w:after="0" w:line="240" w:lineRule="auto"/>
        <w:jc w:val="center"/>
        <w:rPr>
          <w:rFonts w:ascii="Times New Roman" w:hAnsi="Times New Roman" w:cs="Times New Roman" w:hint="eastAsia"/>
          <w:b/>
          <w:bCs/>
          <w:sz w:val="20"/>
          <w:szCs w:val="20"/>
          <w:lang w:eastAsia="zh-CN" w:bidi="ar-EG"/>
        </w:rPr>
      </w:pPr>
    </w:p>
    <w:p w:rsidR="0061552B" w:rsidRPr="0061552B" w:rsidRDefault="0061552B">
      <w:pPr>
        <w:spacing w:after="0" w:line="240" w:lineRule="auto"/>
        <w:jc w:val="center"/>
        <w:rPr>
          <w:rFonts w:ascii="Times New Roman" w:hAnsi="Times New Roman" w:cs="Times New Roman" w:hint="eastAsia"/>
          <w:b/>
          <w:bCs/>
          <w:sz w:val="20"/>
          <w:szCs w:val="20"/>
          <w:lang w:eastAsia="zh-CN" w:bidi="ar-EG"/>
        </w:rPr>
      </w:pPr>
    </w:p>
    <w:p w:rsidR="000D44FB" w:rsidRPr="0061552B" w:rsidRDefault="00CD6B80">
      <w:pPr>
        <w:spacing w:after="0" w:line="240" w:lineRule="auto"/>
        <w:jc w:val="center"/>
        <w:rPr>
          <w:rFonts w:ascii="Times New Roman" w:eastAsia="Times New Roman" w:hAnsi="Times New Roman" w:cs="Times New Roman"/>
          <w:b/>
          <w:bCs/>
          <w:sz w:val="20"/>
          <w:szCs w:val="20"/>
        </w:rPr>
      </w:pPr>
      <w:r w:rsidRPr="0061552B">
        <w:rPr>
          <w:rFonts w:ascii="Times New Roman" w:eastAsia="Times New Roman" w:hAnsi="Times New Roman" w:cs="Times New Roman"/>
          <w:b/>
          <w:bCs/>
          <w:sz w:val="20"/>
          <w:szCs w:val="20"/>
        </w:rPr>
        <w:t>The clinical utility of tumor necrosis factor alpha 308 gene polymorphism in hepatocellular carcinoma patients with or without helicobacter pylori infection</w:t>
      </w:r>
    </w:p>
    <w:p w:rsidR="000D44FB" w:rsidRPr="0061552B" w:rsidRDefault="000D44FB">
      <w:pPr>
        <w:spacing w:after="0" w:line="240" w:lineRule="auto"/>
        <w:jc w:val="center"/>
        <w:rPr>
          <w:rFonts w:ascii="Times New Roman" w:eastAsia="Times New Roman" w:hAnsi="Times New Roman" w:cs="Times New Roman"/>
          <w:b/>
          <w:sz w:val="20"/>
          <w:szCs w:val="20"/>
        </w:rPr>
      </w:pPr>
    </w:p>
    <w:p w:rsidR="000D44FB" w:rsidRPr="0061552B" w:rsidRDefault="00CD6B80">
      <w:pPr>
        <w:spacing w:after="0" w:line="240" w:lineRule="auto"/>
        <w:jc w:val="center"/>
        <w:rPr>
          <w:rFonts w:ascii="Times New Roman" w:eastAsia="Times New Roman" w:hAnsi="Times New Roman" w:cs="Times New Roman"/>
          <w:bCs/>
          <w:sz w:val="20"/>
          <w:szCs w:val="20"/>
          <w:lang w:bidi="ar-EG"/>
        </w:rPr>
      </w:pPr>
      <w:bookmarkStart w:id="0" w:name="_Hlk105470891"/>
      <w:r w:rsidRPr="0061552B">
        <w:rPr>
          <w:rFonts w:ascii="Times New Roman" w:eastAsia="Times New Roman" w:hAnsi="Times New Roman" w:cs="Times New Roman"/>
          <w:bCs/>
          <w:sz w:val="20"/>
          <w:szCs w:val="20"/>
        </w:rPr>
        <w:t>Ashraf A. Omar</w:t>
      </w:r>
      <w:r w:rsidRPr="0061552B">
        <w:rPr>
          <w:rFonts w:ascii="Times New Roman" w:eastAsia="Times New Roman" w:hAnsi="Times New Roman" w:cs="Times New Roman"/>
          <w:bCs/>
          <w:sz w:val="20"/>
          <w:szCs w:val="20"/>
          <w:vertAlign w:val="superscript"/>
        </w:rPr>
        <w:t>1</w:t>
      </w:r>
      <w:bookmarkStart w:id="1" w:name="_Hlk105470833"/>
      <w:r w:rsidRPr="0061552B">
        <w:rPr>
          <w:rFonts w:ascii="Times New Roman" w:eastAsia="Times New Roman" w:hAnsi="Times New Roman" w:cs="Times New Roman"/>
          <w:bCs/>
          <w:sz w:val="20"/>
          <w:szCs w:val="20"/>
        </w:rPr>
        <w:t xml:space="preserve">, Nancy A. </w:t>
      </w:r>
      <w:r w:rsidRPr="0061552B">
        <w:rPr>
          <w:rFonts w:ascii="Times New Roman" w:eastAsia="Times New Roman" w:hAnsi="Times New Roman" w:cs="Times New Roman"/>
          <w:bCs/>
          <w:sz w:val="20"/>
          <w:szCs w:val="20"/>
        </w:rPr>
        <w:t>Ahmed</w:t>
      </w:r>
      <w:bookmarkEnd w:id="1"/>
      <w:r w:rsidRPr="0061552B">
        <w:rPr>
          <w:rFonts w:ascii="Times New Roman" w:eastAsia="Times New Roman" w:hAnsi="Times New Roman" w:cs="Times New Roman"/>
          <w:bCs/>
          <w:sz w:val="20"/>
          <w:szCs w:val="20"/>
        </w:rPr>
        <w:t>*, Mohammed</w:t>
      </w:r>
      <w:r w:rsidRPr="0061552B">
        <w:rPr>
          <w:rFonts w:ascii="Times New Roman" w:eastAsia="Calibri" w:hAnsi="Times New Roman" w:cs="Times New Roman"/>
          <w:bCs/>
          <w:sz w:val="20"/>
          <w:szCs w:val="20"/>
        </w:rPr>
        <w:t xml:space="preserve"> </w:t>
      </w:r>
      <w:r w:rsidRPr="0061552B">
        <w:rPr>
          <w:rFonts w:ascii="Times New Roman" w:eastAsia="Times New Roman" w:hAnsi="Times New Roman" w:cs="Times New Roman"/>
          <w:bCs/>
          <w:sz w:val="20"/>
          <w:szCs w:val="20"/>
        </w:rPr>
        <w:t>H. Zaghloul</w:t>
      </w:r>
      <w:r w:rsidRPr="0061552B">
        <w:rPr>
          <w:rFonts w:ascii="Times New Roman" w:eastAsia="Times New Roman" w:hAnsi="Times New Roman" w:cs="Times New Roman"/>
          <w:bCs/>
          <w:sz w:val="20"/>
          <w:szCs w:val="20"/>
          <w:vertAlign w:val="superscript"/>
        </w:rPr>
        <w:t>2</w:t>
      </w:r>
      <w:r w:rsidRPr="0061552B">
        <w:rPr>
          <w:rFonts w:ascii="Times New Roman" w:eastAsia="Times New Roman" w:hAnsi="Times New Roman" w:cs="Times New Roman"/>
          <w:bCs/>
          <w:sz w:val="20"/>
          <w:szCs w:val="20"/>
        </w:rPr>
        <w:t xml:space="preserve"> and Ghada M. Badawy</w:t>
      </w:r>
      <w:r w:rsidRPr="0061552B">
        <w:rPr>
          <w:rFonts w:ascii="Times New Roman" w:eastAsia="Times New Roman" w:hAnsi="Times New Roman" w:cs="Times New Roman"/>
          <w:bCs/>
          <w:sz w:val="20"/>
          <w:szCs w:val="20"/>
          <w:vertAlign w:val="superscript"/>
        </w:rPr>
        <w:t>3</w:t>
      </w:r>
    </w:p>
    <w:p w:rsidR="000D44FB" w:rsidRPr="0061552B" w:rsidRDefault="00CD6B80">
      <w:pPr>
        <w:spacing w:after="0" w:line="240" w:lineRule="auto"/>
        <w:jc w:val="center"/>
        <w:rPr>
          <w:rFonts w:ascii="Times New Roman" w:eastAsia="Times New Roman" w:hAnsi="Times New Roman" w:cs="Times New Roman"/>
          <w:bCs/>
          <w:sz w:val="20"/>
          <w:szCs w:val="20"/>
          <w:lang w:bidi="ar-EG"/>
        </w:rPr>
      </w:pPr>
      <w:r w:rsidRPr="0061552B">
        <w:rPr>
          <w:rFonts w:ascii="Times New Roman" w:eastAsia="Calibri" w:hAnsi="Times New Roman" w:cs="Times New Roman"/>
          <w:sz w:val="20"/>
          <w:szCs w:val="20"/>
          <w:lang w:bidi="ar-EG"/>
        </w:rPr>
        <w:t>*</w:t>
      </w:r>
      <w:r w:rsidRPr="0061552B">
        <w:rPr>
          <w:rFonts w:ascii="Times New Roman" w:eastAsia="Calibri" w:hAnsi="Times New Roman" w:cs="Times New Roman"/>
          <w:sz w:val="20"/>
          <w:szCs w:val="20"/>
        </w:rPr>
        <w:t xml:space="preserve">Correspondence to Nancy A. Ahmed, Professor of Internal Medicine, (Hepatology and Gastroenterology), Faculty of Medicine, Mansoura University, E-mail: </w:t>
      </w:r>
      <w:hyperlink r:id="rId9" w:history="1">
        <w:r w:rsidRPr="0061552B">
          <w:rPr>
            <w:rStyle w:val="Hyperlink"/>
            <w:rFonts w:ascii="Times New Roman" w:eastAsia="Calibri" w:hAnsi="Times New Roman" w:cs="Times New Roman"/>
            <w:sz w:val="20"/>
            <w:szCs w:val="20"/>
          </w:rPr>
          <w:t>ziad.emad90</w:t>
        </w:r>
        <w:r w:rsidRPr="0061552B">
          <w:rPr>
            <w:rStyle w:val="Hyperlink"/>
            <w:rFonts w:ascii="Times New Roman" w:eastAsia="Calibri" w:hAnsi="Times New Roman" w:cs="Times New Roman"/>
            <w:sz w:val="20"/>
            <w:szCs w:val="20"/>
          </w:rPr>
          <w:t>@yahoo.com</w:t>
        </w:r>
      </w:hyperlink>
    </w:p>
    <w:p w:rsidR="000D44FB" w:rsidRPr="0061552B" w:rsidRDefault="000D44FB">
      <w:pPr>
        <w:spacing w:after="0" w:line="240" w:lineRule="auto"/>
        <w:jc w:val="center"/>
        <w:rPr>
          <w:rFonts w:ascii="Times New Roman" w:eastAsia="Times New Roman" w:hAnsi="Times New Roman" w:cs="Times New Roman"/>
          <w:bCs/>
          <w:sz w:val="20"/>
          <w:szCs w:val="20"/>
          <w:rtl/>
          <w:lang w:bidi="ar-EG"/>
        </w:rPr>
      </w:pPr>
    </w:p>
    <w:p w:rsidR="000D44FB" w:rsidRPr="0061552B" w:rsidRDefault="00CD6B80">
      <w:pPr>
        <w:spacing w:after="0" w:line="240" w:lineRule="auto"/>
        <w:jc w:val="center"/>
        <w:rPr>
          <w:rStyle w:val="Hyperlink"/>
          <w:rFonts w:ascii="Times New Roman" w:hAnsi="Times New Roman" w:cs="Times New Roman"/>
          <w:color w:val="1155CC"/>
          <w:sz w:val="20"/>
          <w:szCs w:val="20"/>
          <w:shd w:val="clear" w:color="auto" w:fill="FFFFFF"/>
        </w:rPr>
      </w:pPr>
      <w:r w:rsidRPr="0061552B">
        <w:rPr>
          <w:rFonts w:ascii="Times New Roman" w:eastAsia="Times New Roman" w:hAnsi="Times New Roman" w:cs="Times New Roman"/>
          <w:sz w:val="20"/>
          <w:szCs w:val="20"/>
          <w:vertAlign w:val="superscript"/>
        </w:rPr>
        <w:t>1</w:t>
      </w:r>
      <w:r w:rsidRPr="0061552B">
        <w:rPr>
          <w:rFonts w:ascii="Times New Roman" w:eastAsia="Times New Roman" w:hAnsi="Times New Roman" w:cs="Times New Roman"/>
          <w:sz w:val="20"/>
          <w:szCs w:val="20"/>
        </w:rPr>
        <w:t xml:space="preserve">Professor of Internal Medicine, </w:t>
      </w:r>
      <w:bookmarkStart w:id="2" w:name="_Hlk105469581"/>
      <w:r w:rsidRPr="0061552B">
        <w:rPr>
          <w:rFonts w:ascii="Times New Roman" w:eastAsia="Times New Roman" w:hAnsi="Times New Roman" w:cs="Times New Roman"/>
          <w:sz w:val="20"/>
          <w:szCs w:val="20"/>
        </w:rPr>
        <w:t>(Hepatology and Gastroenterology), Faculty of Medicine,</w:t>
      </w:r>
      <w:bookmarkEnd w:id="2"/>
      <w:r w:rsidRPr="0061552B">
        <w:rPr>
          <w:rFonts w:ascii="Times New Roman" w:eastAsia="Times New Roman" w:hAnsi="Times New Roman" w:cs="Times New Roman"/>
          <w:sz w:val="20"/>
          <w:szCs w:val="20"/>
        </w:rPr>
        <w:t xml:space="preserve"> Mansoura University</w:t>
      </w:r>
      <w:r w:rsidRPr="0061552B">
        <w:rPr>
          <w:rFonts w:ascii="Times New Roman" w:hAnsi="Times New Roman" w:cs="Times New Roman"/>
          <w:sz w:val="20"/>
          <w:szCs w:val="20"/>
        </w:rPr>
        <w:t xml:space="preserve">, </w:t>
      </w:r>
      <w:r w:rsidRPr="0061552B">
        <w:rPr>
          <w:rFonts w:ascii="Times New Roman" w:eastAsia="Times New Roman" w:hAnsi="Times New Roman" w:cs="Times New Roman"/>
          <w:sz w:val="20"/>
          <w:szCs w:val="20"/>
        </w:rPr>
        <w:t>Mansoura, Egypt</w:t>
      </w:r>
    </w:p>
    <w:bookmarkEnd w:id="0"/>
    <w:p w:rsidR="000D44FB" w:rsidRPr="0061552B" w:rsidRDefault="00CD6B80">
      <w:pPr>
        <w:spacing w:after="0" w:line="240" w:lineRule="auto"/>
        <w:jc w:val="center"/>
        <w:rPr>
          <w:rStyle w:val="Hyperlink"/>
          <w:rFonts w:ascii="Times New Roman" w:hAnsi="Times New Roman" w:cs="Times New Roman"/>
          <w:color w:val="1155CC"/>
          <w:sz w:val="20"/>
          <w:szCs w:val="20"/>
          <w:shd w:val="clear" w:color="auto" w:fill="FFFFFF"/>
        </w:rPr>
      </w:pPr>
      <w:r w:rsidRPr="0061552B">
        <w:rPr>
          <w:rFonts w:ascii="Times New Roman" w:eastAsia="Times New Roman" w:hAnsi="Times New Roman" w:cs="Times New Roman"/>
          <w:sz w:val="20"/>
          <w:szCs w:val="20"/>
          <w:vertAlign w:val="superscript"/>
        </w:rPr>
        <w:t>2</w:t>
      </w:r>
      <w:r w:rsidRPr="0061552B">
        <w:rPr>
          <w:rFonts w:ascii="Times New Roman" w:eastAsia="Times New Roman" w:hAnsi="Times New Roman" w:cs="Times New Roman"/>
          <w:sz w:val="20"/>
          <w:szCs w:val="20"/>
        </w:rPr>
        <w:t>Professor of Clinical Pathology, Faculty of Medicine, Mansoura University, Mansoura, Egypt</w:t>
      </w:r>
    </w:p>
    <w:p w:rsidR="000D44FB" w:rsidRPr="0061552B" w:rsidRDefault="00CD6B80">
      <w:pPr>
        <w:spacing w:after="0" w:line="240" w:lineRule="auto"/>
        <w:jc w:val="center"/>
        <w:rPr>
          <w:rStyle w:val="Hyperlink"/>
          <w:rFonts w:ascii="Times New Roman" w:hAnsi="Times New Roman" w:cs="Times New Roman"/>
          <w:color w:val="1155CC"/>
          <w:sz w:val="20"/>
          <w:szCs w:val="20"/>
          <w:shd w:val="clear" w:color="auto" w:fill="FFFFFF"/>
        </w:rPr>
      </w:pPr>
      <w:r w:rsidRPr="0061552B">
        <w:rPr>
          <w:rFonts w:ascii="Times New Roman" w:eastAsia="Times New Roman" w:hAnsi="Times New Roman" w:cs="Times New Roman"/>
          <w:sz w:val="20"/>
          <w:szCs w:val="20"/>
          <w:vertAlign w:val="superscript"/>
        </w:rPr>
        <w:t>3</w:t>
      </w:r>
      <w:r w:rsidRPr="0061552B">
        <w:rPr>
          <w:rFonts w:ascii="Times New Roman" w:eastAsia="Times New Roman" w:hAnsi="Times New Roman" w:cs="Times New Roman"/>
          <w:sz w:val="20"/>
          <w:szCs w:val="20"/>
        </w:rPr>
        <w:t xml:space="preserve">Assistant lecturer of Internal Medicine, (Hepatology and Gastroenterology), Faculty of Medicine, Port Said University, Port Said, </w:t>
      </w:r>
      <w:r w:rsidRPr="0061552B">
        <w:rPr>
          <w:rFonts w:ascii="Times New Roman" w:hAnsi="Times New Roman" w:cs="Times New Roman"/>
          <w:sz w:val="20"/>
          <w:szCs w:val="20"/>
        </w:rPr>
        <w:t>Egypt</w:t>
      </w:r>
    </w:p>
    <w:p w:rsidR="000D44FB" w:rsidRPr="0061552B" w:rsidRDefault="000D44FB">
      <w:pPr>
        <w:spacing w:after="0" w:line="240" w:lineRule="auto"/>
        <w:rPr>
          <w:rFonts w:ascii="Times New Roman" w:eastAsia="Calibri" w:hAnsi="Times New Roman" w:cs="Times New Roman"/>
          <w:b/>
          <w:bCs/>
          <w:sz w:val="20"/>
          <w:szCs w:val="20"/>
          <w:lang w:bidi="ar-EG"/>
        </w:rPr>
      </w:pPr>
    </w:p>
    <w:p w:rsidR="000D44FB" w:rsidRPr="0061552B" w:rsidRDefault="00CD6B80">
      <w:pPr>
        <w:spacing w:after="0" w:line="240" w:lineRule="auto"/>
        <w:jc w:val="both"/>
        <w:rPr>
          <w:rFonts w:ascii="Times New Roman" w:hAnsi="Times New Roman" w:cs="Times New Roman"/>
          <w:b/>
          <w:bCs/>
          <w:sz w:val="20"/>
          <w:szCs w:val="20"/>
        </w:rPr>
      </w:pPr>
      <w:r w:rsidRPr="0061552B">
        <w:rPr>
          <w:rFonts w:ascii="Times New Roman" w:eastAsia="Times New Roman" w:hAnsi="Times New Roman" w:cs="Times New Roman"/>
          <w:b/>
          <w:bCs/>
          <w:sz w:val="20"/>
          <w:szCs w:val="20"/>
        </w:rPr>
        <w:t>Abstract</w:t>
      </w:r>
      <w:r w:rsidRPr="0061552B">
        <w:rPr>
          <w:rFonts w:ascii="Times New Roman" w:eastAsia="Times New Roman" w:hAnsi="Times New Roman" w:cs="Times New Roman"/>
          <w:sz w:val="20"/>
          <w:szCs w:val="20"/>
        </w:rPr>
        <w:t>:</w:t>
      </w:r>
      <w:r w:rsidRPr="0061552B">
        <w:rPr>
          <w:rFonts w:ascii="Times New Roman" w:eastAsia="Calibri" w:hAnsi="Times New Roman" w:cs="Times New Roman"/>
          <w:b/>
          <w:bCs/>
          <w:sz w:val="20"/>
          <w:szCs w:val="20"/>
        </w:rPr>
        <w:t xml:space="preserve"> Background: </w:t>
      </w:r>
      <w:r w:rsidRPr="0061552B">
        <w:rPr>
          <w:rFonts w:ascii="Times New Roman" w:eastAsia="Times New Roman" w:hAnsi="Times New Roman" w:cs="Times New Roman"/>
          <w:kern w:val="1"/>
          <w:sz w:val="20"/>
          <w:szCs w:val="20"/>
          <w:lang w:eastAsia="ar-EG"/>
        </w:rPr>
        <w:t>Contribution of Single Nucleotide Polymorphism (SNP) in hepatocellular carcinoma (HCC) developmen</w:t>
      </w:r>
      <w:r w:rsidRPr="0061552B">
        <w:rPr>
          <w:rFonts w:ascii="Times New Roman" w:eastAsia="Times New Roman" w:hAnsi="Times New Roman" w:cs="Times New Roman"/>
          <w:kern w:val="1"/>
          <w:sz w:val="20"/>
          <w:szCs w:val="20"/>
          <w:lang w:eastAsia="ar-EG"/>
        </w:rPr>
        <w:t xml:space="preserve">t is widely studied. Tumor Necrosis alpha (TNF </w:t>
      </w:r>
      <w:r w:rsidRPr="0061552B">
        <w:rPr>
          <w:rFonts w:ascii="Times New Roman" w:eastAsia="Calibri" w:hAnsi="Times New Roman" w:cs="Times New Roman"/>
          <w:sz w:val="20"/>
          <w:szCs w:val="20"/>
          <w:lang w:eastAsia="ar-EG" w:bidi="ar-EG"/>
        </w:rPr>
        <w:t>α</w:t>
      </w:r>
      <w:r w:rsidRPr="0061552B">
        <w:rPr>
          <w:rFonts w:ascii="Times New Roman" w:eastAsia="Times New Roman" w:hAnsi="Times New Roman" w:cs="Times New Roman"/>
          <w:kern w:val="1"/>
          <w:sz w:val="20"/>
          <w:szCs w:val="20"/>
          <w:lang w:eastAsia="ar-EG"/>
        </w:rPr>
        <w:t xml:space="preserve">) 308 gene polymorphism and HCC risk is still controversial. It was hypothesized that helicobacter pylori infection (H. pylori) has systemic impact via cytokines, our purpose was to assess the association </w:t>
      </w:r>
      <w:r w:rsidRPr="0061552B">
        <w:rPr>
          <w:rFonts w:ascii="Times New Roman" w:eastAsia="Times New Roman" w:hAnsi="Times New Roman" w:cs="Times New Roman"/>
          <w:kern w:val="1"/>
          <w:sz w:val="20"/>
          <w:szCs w:val="20"/>
          <w:lang w:eastAsia="ar-EG"/>
        </w:rPr>
        <w:t>between TNF alpha 308 polymorphisms and HCC and</w:t>
      </w:r>
      <w:bookmarkStart w:id="3" w:name="_Hlk105351950"/>
      <w:r w:rsidRPr="0061552B">
        <w:rPr>
          <w:rFonts w:ascii="Times New Roman" w:eastAsia="Times New Roman" w:hAnsi="Times New Roman" w:cs="Times New Roman"/>
          <w:kern w:val="1"/>
          <w:sz w:val="20"/>
          <w:szCs w:val="20"/>
          <w:lang w:eastAsia="ar-EG"/>
        </w:rPr>
        <w:t xml:space="preserve"> to investigate H. pylori infection as a possible associated risk factor of HCC. </w:t>
      </w:r>
      <w:bookmarkEnd w:id="3"/>
      <w:r w:rsidRPr="0061552B">
        <w:rPr>
          <w:rFonts w:ascii="Times New Roman" w:hAnsi="Times New Roman" w:cs="Times New Roman"/>
          <w:b/>
          <w:bCs/>
          <w:sz w:val="20"/>
          <w:szCs w:val="20"/>
        </w:rPr>
        <w:t xml:space="preserve">Methods: </w:t>
      </w:r>
      <w:r w:rsidRPr="0061552B">
        <w:rPr>
          <w:rFonts w:ascii="Times New Roman" w:eastAsia="Times New Roman" w:hAnsi="Times New Roman" w:cs="Times New Roman"/>
          <w:kern w:val="1"/>
          <w:sz w:val="20"/>
          <w:szCs w:val="20"/>
          <w:lang w:eastAsia="ar-EG"/>
        </w:rPr>
        <w:t>This study includes 110 HCC patients and 126 healthy control.</w:t>
      </w:r>
      <w:r w:rsidRPr="0061552B">
        <w:rPr>
          <w:rFonts w:ascii="Times New Roman" w:hAnsi="Times New Roman" w:cs="Times New Roman"/>
          <w:sz w:val="20"/>
          <w:szCs w:val="20"/>
        </w:rPr>
        <w:t xml:space="preserve"> </w:t>
      </w:r>
      <w:r w:rsidRPr="0061552B">
        <w:rPr>
          <w:rFonts w:ascii="Times New Roman" w:eastAsia="Times New Roman" w:hAnsi="Times New Roman" w:cs="Times New Roman"/>
          <w:kern w:val="1"/>
          <w:sz w:val="20"/>
          <w:szCs w:val="20"/>
          <w:lang w:eastAsia="ar-EG"/>
        </w:rPr>
        <w:t>The study was conducted at Mansoura University for 2 year</w:t>
      </w:r>
      <w:r w:rsidRPr="0061552B">
        <w:rPr>
          <w:rFonts w:ascii="Times New Roman" w:eastAsia="Times New Roman" w:hAnsi="Times New Roman" w:cs="Times New Roman"/>
          <w:kern w:val="1"/>
          <w:sz w:val="20"/>
          <w:szCs w:val="20"/>
          <w:lang w:eastAsia="ar-EG"/>
        </w:rPr>
        <w:t>s. H. pylori stool Ag and SNP of TNF alpha 308 gene have been investigated in each group.</w:t>
      </w:r>
      <w:r w:rsidRPr="0061552B">
        <w:rPr>
          <w:rFonts w:ascii="Times New Roman" w:hAnsi="Times New Roman" w:cs="Times New Roman"/>
          <w:kern w:val="1"/>
          <w:sz w:val="20"/>
          <w:szCs w:val="20"/>
          <w:lang w:eastAsia="zh-CN"/>
        </w:rPr>
        <w:t xml:space="preserve"> </w:t>
      </w:r>
      <w:r w:rsidRPr="0061552B">
        <w:rPr>
          <w:rFonts w:ascii="Times New Roman" w:hAnsi="Times New Roman" w:cs="Times New Roman"/>
          <w:b/>
          <w:bCs/>
          <w:sz w:val="20"/>
          <w:szCs w:val="20"/>
        </w:rPr>
        <w:t xml:space="preserve">Results: </w:t>
      </w:r>
      <w:r w:rsidRPr="0061552B">
        <w:rPr>
          <w:rFonts w:ascii="Times New Roman" w:eastAsia="Calibri" w:hAnsi="Times New Roman" w:cs="Times New Roman"/>
          <w:sz w:val="20"/>
          <w:szCs w:val="20"/>
          <w:lang w:eastAsia="ar-EG" w:bidi="ar-EG"/>
        </w:rPr>
        <w:t>A higher positive H.</w:t>
      </w:r>
      <w:r w:rsidRPr="0061552B">
        <w:rPr>
          <w:rFonts w:ascii="Times New Roman" w:eastAsia="Times New Roman" w:hAnsi="Times New Roman" w:cs="Times New Roman"/>
          <w:kern w:val="1"/>
          <w:sz w:val="20"/>
          <w:szCs w:val="20"/>
          <w:lang w:eastAsia="ar-EG"/>
        </w:rPr>
        <w:t xml:space="preserve"> pylori</w:t>
      </w:r>
      <w:r w:rsidRPr="0061552B">
        <w:rPr>
          <w:rFonts w:ascii="Times New Roman" w:eastAsia="Calibri" w:hAnsi="Times New Roman" w:cs="Times New Roman"/>
          <w:sz w:val="20"/>
          <w:szCs w:val="20"/>
          <w:lang w:eastAsia="ar-EG" w:bidi="ar-EG"/>
        </w:rPr>
        <w:t xml:space="preserve"> stool antigen was found in HCC cases. A higher ‘A’ allele was found in HCC cases.</w:t>
      </w:r>
      <w:r w:rsidRPr="0061552B">
        <w:rPr>
          <w:rFonts w:ascii="Times New Roman" w:hAnsi="Times New Roman" w:cs="Times New Roman"/>
          <w:sz w:val="20"/>
          <w:szCs w:val="20"/>
        </w:rPr>
        <w:t xml:space="preserve"> </w:t>
      </w:r>
      <w:r w:rsidRPr="0061552B">
        <w:rPr>
          <w:rFonts w:ascii="Times New Roman" w:eastAsia="Calibri" w:hAnsi="Times New Roman" w:cs="Times New Roman"/>
          <w:sz w:val="20"/>
          <w:szCs w:val="20"/>
          <w:lang w:eastAsia="ar-EG" w:bidi="ar-EG"/>
        </w:rPr>
        <w:t>A participant with ‘A’ allele has 2.5-times hig</w:t>
      </w:r>
      <w:r w:rsidRPr="0061552B">
        <w:rPr>
          <w:rFonts w:ascii="Times New Roman" w:eastAsia="Calibri" w:hAnsi="Times New Roman" w:cs="Times New Roman"/>
          <w:sz w:val="20"/>
          <w:szCs w:val="20"/>
          <w:lang w:eastAsia="ar-EG" w:bidi="ar-EG"/>
        </w:rPr>
        <w:t xml:space="preserve">her odds to exhibit HCC. A higher </w:t>
      </w:r>
      <w:bookmarkStart w:id="4" w:name="_Hlk104132115"/>
      <w:r w:rsidRPr="0061552B">
        <w:rPr>
          <w:rFonts w:ascii="Times New Roman" w:eastAsia="Calibri" w:hAnsi="Times New Roman" w:cs="Times New Roman"/>
          <w:sz w:val="20"/>
          <w:szCs w:val="20"/>
          <w:lang w:eastAsia="ar-EG" w:bidi="ar-EG"/>
        </w:rPr>
        <w:t xml:space="preserve">G/A – A/A genotypes was found </w:t>
      </w:r>
      <w:bookmarkEnd w:id="4"/>
      <w:r w:rsidRPr="0061552B">
        <w:rPr>
          <w:rFonts w:ascii="Times New Roman" w:eastAsia="Calibri" w:hAnsi="Times New Roman" w:cs="Times New Roman"/>
          <w:sz w:val="20"/>
          <w:szCs w:val="20"/>
          <w:lang w:eastAsia="ar-EG" w:bidi="ar-EG"/>
        </w:rPr>
        <w:t xml:space="preserve">in HCC cases than control. A participant with G/A or A/A genotype has 2.8-times higher odds to exhibit HCC. Also participants with positive H. pylori, and </w:t>
      </w:r>
      <w:bookmarkStart w:id="5" w:name="_Hlk105271950"/>
      <w:r w:rsidRPr="0061552B">
        <w:rPr>
          <w:rFonts w:ascii="Times New Roman" w:eastAsia="Calibri" w:hAnsi="Times New Roman" w:cs="Times New Roman"/>
          <w:sz w:val="20"/>
          <w:szCs w:val="20"/>
          <w:lang w:eastAsia="ar-EG" w:bidi="ar-EG"/>
        </w:rPr>
        <w:t xml:space="preserve">G/A-A/A </w:t>
      </w:r>
      <w:bookmarkEnd w:id="5"/>
      <w:r w:rsidRPr="0061552B">
        <w:rPr>
          <w:rFonts w:ascii="Times New Roman" w:eastAsia="Calibri" w:hAnsi="Times New Roman" w:cs="Times New Roman"/>
          <w:sz w:val="20"/>
          <w:szCs w:val="20"/>
          <w:lang w:eastAsia="ar-EG" w:bidi="ar-EG"/>
        </w:rPr>
        <w:t>genotypes have 5.3-, and 2.8-</w:t>
      </w:r>
      <w:r w:rsidRPr="0061552B">
        <w:rPr>
          <w:rFonts w:ascii="Times New Roman" w:eastAsia="Calibri" w:hAnsi="Times New Roman" w:cs="Times New Roman"/>
          <w:sz w:val="20"/>
          <w:szCs w:val="20"/>
          <w:lang w:eastAsia="ar-EG" w:bidi="ar-EG"/>
        </w:rPr>
        <w:t>times higher odds, respectively to exhibit HCC.</w:t>
      </w:r>
      <w:r w:rsidRPr="0061552B">
        <w:rPr>
          <w:rFonts w:ascii="Times New Roman" w:hAnsi="Times New Roman" w:cs="Times New Roman"/>
          <w:sz w:val="20"/>
          <w:szCs w:val="20"/>
          <w:lang w:eastAsia="zh-CN" w:bidi="ar-EG"/>
        </w:rPr>
        <w:t xml:space="preserve"> </w:t>
      </w:r>
      <w:r w:rsidRPr="0061552B">
        <w:rPr>
          <w:rFonts w:ascii="Times New Roman" w:hAnsi="Times New Roman" w:cs="Times New Roman"/>
          <w:b/>
          <w:bCs/>
          <w:sz w:val="20"/>
          <w:szCs w:val="20"/>
        </w:rPr>
        <w:t xml:space="preserve">Conclusion: </w:t>
      </w:r>
      <w:r w:rsidRPr="0061552B">
        <w:rPr>
          <w:rFonts w:ascii="Times New Roman" w:eastAsia="Calibri" w:hAnsi="Times New Roman" w:cs="Times New Roman"/>
          <w:sz w:val="20"/>
          <w:szCs w:val="20"/>
          <w:lang w:eastAsia="ar-EG" w:bidi="ar-EG"/>
        </w:rPr>
        <w:t>TNF alpha 308 single nucleotide gene polymorphism and positive H. pylori stool Ag could be valuable markers for prediction of HCC development.</w:t>
      </w:r>
    </w:p>
    <w:p w:rsidR="000D44FB" w:rsidRPr="0061552B" w:rsidRDefault="00CD6B80">
      <w:pPr>
        <w:tabs>
          <w:tab w:val="right" w:pos="9645"/>
        </w:tabs>
        <w:autoSpaceDE w:val="0"/>
        <w:autoSpaceDN w:val="0"/>
        <w:spacing w:after="0" w:line="240" w:lineRule="auto"/>
        <w:jc w:val="both"/>
        <w:rPr>
          <w:rFonts w:ascii="Times New Roman" w:eastAsia="Calibri" w:hAnsi="Times New Roman" w:cs="Times New Roman"/>
          <w:sz w:val="20"/>
          <w:szCs w:val="20"/>
        </w:rPr>
      </w:pPr>
      <w:r w:rsidRPr="0061552B">
        <w:rPr>
          <w:rFonts w:ascii="Times New Roman" w:eastAsia="Times New Roman" w:hAnsi="Times New Roman" w:cs="Times New Roman"/>
          <w:bCs/>
          <w:sz w:val="20"/>
          <w:szCs w:val="20"/>
        </w:rPr>
        <w:t>[Ashraf A. Omar, Nancy A. Ahmed, Mohammed</w:t>
      </w:r>
      <w:r w:rsidRPr="0061552B">
        <w:rPr>
          <w:rFonts w:ascii="Times New Roman" w:eastAsia="Calibri" w:hAnsi="Times New Roman" w:cs="Times New Roman"/>
          <w:bCs/>
          <w:sz w:val="20"/>
          <w:szCs w:val="20"/>
        </w:rPr>
        <w:t xml:space="preserve"> </w:t>
      </w:r>
      <w:r w:rsidRPr="0061552B">
        <w:rPr>
          <w:rFonts w:ascii="Times New Roman" w:eastAsia="Times New Roman" w:hAnsi="Times New Roman" w:cs="Times New Roman"/>
          <w:bCs/>
          <w:sz w:val="20"/>
          <w:szCs w:val="20"/>
        </w:rPr>
        <w:t>H. Zaghloul</w:t>
      </w:r>
      <w:r w:rsidRPr="0061552B">
        <w:rPr>
          <w:rFonts w:ascii="Times New Roman" w:eastAsia="Times New Roman" w:hAnsi="Times New Roman" w:cs="Times New Roman"/>
          <w:bCs/>
          <w:sz w:val="20"/>
          <w:szCs w:val="20"/>
        </w:rPr>
        <w:t xml:space="preserve"> and Ghada M. Badawy</w:t>
      </w:r>
      <w:r w:rsidRPr="0061552B">
        <w:rPr>
          <w:rFonts w:ascii="Times New Roman" w:eastAsia="Times New Roman" w:hAnsi="Times New Roman" w:cs="Times New Roman"/>
          <w:sz w:val="20"/>
          <w:szCs w:val="20"/>
        </w:rPr>
        <w:t>.</w:t>
      </w:r>
      <w:r w:rsidRPr="0061552B">
        <w:rPr>
          <w:rFonts w:ascii="Times New Roman" w:eastAsia="Times New Roman" w:hAnsi="Times New Roman" w:cs="Times New Roman"/>
          <w:b/>
          <w:bCs/>
          <w:sz w:val="20"/>
          <w:szCs w:val="20"/>
        </w:rPr>
        <w:t xml:space="preserve"> The clinical utility of tumor necrosis factor alpha 308 gene polymorphism in hepatocellular carcinoma patients with or without helicobacter pylori infection</w:t>
      </w:r>
      <w:r w:rsidRPr="0061552B">
        <w:rPr>
          <w:rFonts w:ascii="Times New Roman" w:eastAsia="Calibri" w:hAnsi="Times New Roman" w:cs="Times New Roman"/>
          <w:bCs/>
          <w:i/>
          <w:sz w:val="20"/>
          <w:szCs w:val="20"/>
        </w:rPr>
        <w:t xml:space="preserve"> </w:t>
      </w:r>
      <w:r w:rsidRPr="0061552B">
        <w:rPr>
          <w:rFonts w:ascii="Times New Roman" w:eastAsia="Times New Roman" w:hAnsi="Times New Roman" w:cs="Times New Roman"/>
          <w:bCs/>
          <w:i/>
          <w:sz w:val="20"/>
          <w:szCs w:val="20"/>
        </w:rPr>
        <w:t>N Y Sci J</w:t>
      </w:r>
      <w:r w:rsidRPr="0061552B">
        <w:rPr>
          <w:rFonts w:ascii="Times New Roman" w:hAnsi="Times New Roman" w:cs="Times New Roman"/>
          <w:bCs/>
          <w:i/>
          <w:sz w:val="20"/>
          <w:szCs w:val="20"/>
          <w:lang w:eastAsia="zh-CN"/>
        </w:rPr>
        <w:t xml:space="preserve"> </w:t>
      </w:r>
      <w:r w:rsidRPr="0061552B">
        <w:rPr>
          <w:rFonts w:ascii="Times New Roman" w:hAnsi="Times New Roman" w:cs="Times New Roman"/>
          <w:sz w:val="20"/>
          <w:szCs w:val="20"/>
        </w:rPr>
        <w:t>20</w:t>
      </w:r>
      <w:r w:rsidRPr="0061552B">
        <w:rPr>
          <w:rFonts w:ascii="Times New Roman" w:hAnsi="Times New Roman" w:cs="Times New Roman"/>
          <w:sz w:val="20"/>
          <w:szCs w:val="20"/>
          <w:lang w:eastAsia="zh-CN"/>
        </w:rPr>
        <w:t>22</w:t>
      </w:r>
      <w:r w:rsidRPr="0061552B">
        <w:rPr>
          <w:rFonts w:ascii="Times New Roman" w:hAnsi="Times New Roman" w:cs="Times New Roman"/>
          <w:sz w:val="20"/>
          <w:szCs w:val="20"/>
        </w:rPr>
        <w:t>;1</w:t>
      </w:r>
      <w:r w:rsidRPr="0061552B">
        <w:rPr>
          <w:rFonts w:ascii="Times New Roman" w:hAnsi="Times New Roman" w:cs="Times New Roman"/>
          <w:sz w:val="20"/>
          <w:szCs w:val="20"/>
          <w:lang w:eastAsia="zh-CN"/>
        </w:rPr>
        <w:t>5</w:t>
      </w:r>
      <w:r w:rsidRPr="0061552B">
        <w:rPr>
          <w:rFonts w:ascii="Times New Roman" w:hAnsi="Times New Roman" w:cs="Times New Roman"/>
          <w:iCs/>
          <w:sz w:val="20"/>
          <w:szCs w:val="20"/>
          <w:lang w:eastAsia="zh-CN"/>
        </w:rPr>
        <w:t>(</w:t>
      </w:r>
      <w:r w:rsidRPr="0061552B">
        <w:rPr>
          <w:rFonts w:ascii="Times New Roman" w:hAnsi="Times New Roman" w:cs="Times New Roman"/>
          <w:iCs/>
          <w:sz w:val="20"/>
          <w:szCs w:val="20"/>
          <w:lang w:eastAsia="zh-CN"/>
        </w:rPr>
        <w:t>7</w:t>
      </w:r>
      <w:r w:rsidRPr="0061552B">
        <w:rPr>
          <w:rFonts w:ascii="Times New Roman" w:hAnsi="Times New Roman" w:cs="Times New Roman"/>
          <w:sz w:val="20"/>
          <w:szCs w:val="20"/>
        </w:rPr>
        <w:t>):</w:t>
      </w:r>
      <w:r w:rsidRPr="0061552B">
        <w:rPr>
          <w:rFonts w:ascii="Times New Roman" w:hAnsi="Times New Roman" w:cs="Times New Roman"/>
          <w:sz w:val="20"/>
          <w:szCs w:val="20"/>
          <w:lang w:eastAsia="zh-CN"/>
        </w:rPr>
        <w:t>1</w:t>
      </w:r>
      <w:r w:rsidRPr="0061552B">
        <w:rPr>
          <w:rFonts w:ascii="Times New Roman" w:hAnsi="Times New Roman" w:cs="Times New Roman"/>
          <w:sz w:val="20"/>
          <w:szCs w:val="20"/>
          <w:lang w:eastAsia="zh-CN"/>
        </w:rPr>
        <w:t>-</w:t>
      </w:r>
      <w:r w:rsidR="0061552B">
        <w:rPr>
          <w:rFonts w:ascii="Times New Roman" w:hAnsi="Times New Roman" w:cs="Times New Roman" w:hint="eastAsia"/>
          <w:sz w:val="20"/>
          <w:szCs w:val="20"/>
          <w:lang w:eastAsia="zh-CN"/>
        </w:rPr>
        <w:t>7</w:t>
      </w:r>
      <w:bookmarkStart w:id="6" w:name="_GoBack"/>
      <w:bookmarkEnd w:id="6"/>
      <w:r w:rsidRPr="0061552B">
        <w:rPr>
          <w:rFonts w:ascii="Times New Roman" w:hAnsi="Times New Roman" w:cs="Times New Roman"/>
          <w:sz w:val="20"/>
          <w:szCs w:val="20"/>
        </w:rPr>
        <w:t>]</w:t>
      </w:r>
      <w:r w:rsidRPr="0061552B">
        <w:rPr>
          <w:rFonts w:ascii="Times New Roman" w:hAnsi="Times New Roman" w:cs="Times New Roman"/>
          <w:sz w:val="20"/>
          <w:szCs w:val="20"/>
          <w:lang w:eastAsia="zh-CN"/>
        </w:rPr>
        <w:t xml:space="preserve"> </w:t>
      </w:r>
      <w:r w:rsidRPr="0061552B">
        <w:rPr>
          <w:rFonts w:ascii="Times New Roman" w:hAnsi="Times New Roman" w:cs="Times New Roman"/>
          <w:iCs/>
          <w:sz w:val="20"/>
          <w:szCs w:val="20"/>
          <w:lang w:eastAsia="zh-CN"/>
        </w:rPr>
        <w:t>ISSN 1554-0200</w:t>
      </w:r>
      <w:r w:rsidR="0061552B" w:rsidRPr="0061552B">
        <w:rPr>
          <w:rFonts w:ascii="Times New Roman" w:hAnsi="Times New Roman" w:cs="Times New Roman"/>
          <w:iCs/>
          <w:sz w:val="20"/>
          <w:szCs w:val="20"/>
          <w:lang w:eastAsia="zh-CN"/>
        </w:rPr>
        <w:t xml:space="preserve"> </w:t>
      </w:r>
      <w:r w:rsidRPr="0061552B">
        <w:rPr>
          <w:rFonts w:ascii="Times New Roman" w:hAnsi="Times New Roman" w:cs="Times New Roman"/>
          <w:iCs/>
          <w:sz w:val="20"/>
          <w:szCs w:val="20"/>
          <w:lang w:eastAsia="zh-CN"/>
        </w:rPr>
        <w:t>(print);</w:t>
      </w:r>
      <w:r w:rsidR="0061552B" w:rsidRPr="0061552B">
        <w:rPr>
          <w:rFonts w:ascii="Times New Roman" w:hAnsi="Times New Roman" w:cs="Times New Roman"/>
          <w:iCs/>
          <w:sz w:val="20"/>
          <w:szCs w:val="20"/>
          <w:lang w:eastAsia="zh-CN"/>
        </w:rPr>
        <w:t xml:space="preserve"> </w:t>
      </w:r>
      <w:r w:rsidRPr="0061552B">
        <w:rPr>
          <w:rFonts w:ascii="Times New Roman" w:hAnsi="Times New Roman" w:cs="Times New Roman"/>
          <w:iCs/>
          <w:sz w:val="20"/>
          <w:szCs w:val="20"/>
          <w:lang w:eastAsia="zh-CN"/>
        </w:rPr>
        <w:t xml:space="preserve">ISSN 2375-723X (online) </w:t>
      </w:r>
      <w:hyperlink r:id="rId10" w:history="1">
        <w:r w:rsidRPr="0061552B">
          <w:rPr>
            <w:rStyle w:val="Hyperlink"/>
            <w:rFonts w:ascii="Times New Roman" w:hAnsi="Times New Roman" w:cs="Times New Roman"/>
            <w:color w:val="0000FF"/>
            <w:sz w:val="20"/>
            <w:szCs w:val="20"/>
          </w:rPr>
          <w:t>http://www.sciencepub.net/newyork</w:t>
        </w:r>
      </w:hyperlink>
      <w:r w:rsidRPr="0061552B">
        <w:rPr>
          <w:rFonts w:ascii="Times New Roman" w:hAnsi="Times New Roman" w:cs="Times New Roman"/>
          <w:color w:val="0000FF"/>
          <w:sz w:val="20"/>
          <w:szCs w:val="20"/>
          <w:lang w:eastAsia="zh-CN"/>
        </w:rPr>
        <w:t xml:space="preserve">. </w:t>
      </w:r>
      <w:r w:rsidRPr="0061552B">
        <w:rPr>
          <w:rFonts w:ascii="Times New Roman" w:hAnsi="Times New Roman" w:cs="Times New Roman"/>
          <w:sz w:val="20"/>
          <w:szCs w:val="20"/>
          <w:lang w:eastAsia="zh-CN"/>
        </w:rPr>
        <w:t>1</w:t>
      </w:r>
      <w:r w:rsidRPr="0061552B">
        <w:rPr>
          <w:rFonts w:ascii="Times New Roman" w:hAnsi="Times New Roman" w:cs="Times New Roman"/>
          <w:color w:val="0000FF"/>
          <w:sz w:val="20"/>
          <w:szCs w:val="20"/>
        </w:rPr>
        <w:t>.</w:t>
      </w:r>
      <w:r w:rsidRPr="0061552B">
        <w:rPr>
          <w:rFonts w:ascii="Times New Roman" w:hAnsi="Times New Roman" w:cs="Times New Roman"/>
          <w:color w:val="0000FF"/>
          <w:sz w:val="20"/>
          <w:szCs w:val="20"/>
          <w:lang w:eastAsia="zh-CN"/>
        </w:rPr>
        <w:t xml:space="preserve"> </w:t>
      </w:r>
      <w:r w:rsidRPr="0061552B">
        <w:rPr>
          <w:rFonts w:ascii="Times New Roman" w:hAnsi="Times New Roman" w:cs="Times New Roman"/>
          <w:color w:val="3A42EF"/>
          <w:sz w:val="20"/>
          <w:szCs w:val="20"/>
          <w:u w:val="single"/>
          <w:shd w:val="clear" w:color="auto" w:fill="FFFFFF"/>
        </w:rPr>
        <w:t>do</w:t>
      </w:r>
      <w:r w:rsidRPr="0061552B">
        <w:rPr>
          <w:rStyle w:val="Hyperlink"/>
          <w:rFonts w:ascii="Times New Roman" w:hAnsi="Times New Roman" w:cs="Times New Roman"/>
          <w:color w:val="0000FF"/>
          <w:sz w:val="20"/>
          <w:szCs w:val="20"/>
        </w:rPr>
        <w:t>i:</w:t>
      </w:r>
      <w:hyperlink r:id="rId11" w:history="1">
        <w:r w:rsidRPr="0061552B">
          <w:rPr>
            <w:rStyle w:val="Hyperlink"/>
            <w:rFonts w:ascii="Times New Roman" w:hAnsi="Times New Roman" w:cs="Times New Roman"/>
            <w:color w:val="0000FF"/>
            <w:sz w:val="20"/>
            <w:szCs w:val="20"/>
          </w:rPr>
          <w:t>10.7537/marsnys150722.01</w:t>
        </w:r>
      </w:hyperlink>
      <w:r w:rsidRPr="0061552B">
        <w:rPr>
          <w:rFonts w:ascii="Times New Roman" w:hAnsi="Times New Roman" w:cs="Times New Roman"/>
          <w:color w:val="0000FF"/>
          <w:sz w:val="20"/>
          <w:szCs w:val="20"/>
          <w:lang w:eastAsia="zh-CN"/>
        </w:rPr>
        <w:t>.</w:t>
      </w:r>
    </w:p>
    <w:p w:rsidR="000D44FB" w:rsidRPr="0061552B" w:rsidRDefault="000D44FB">
      <w:pPr>
        <w:spacing w:after="0" w:line="240" w:lineRule="auto"/>
        <w:jc w:val="both"/>
        <w:rPr>
          <w:rFonts w:ascii="Times New Roman" w:hAnsi="Times New Roman" w:cs="Times New Roman"/>
          <w:b/>
          <w:bCs/>
          <w:sz w:val="20"/>
          <w:szCs w:val="20"/>
        </w:rPr>
      </w:pPr>
    </w:p>
    <w:p w:rsidR="000D44FB" w:rsidRPr="0061552B" w:rsidRDefault="00CD6B80">
      <w:pPr>
        <w:spacing w:after="0" w:line="240" w:lineRule="auto"/>
        <w:jc w:val="both"/>
        <w:rPr>
          <w:rFonts w:ascii="Times New Roman" w:eastAsia="Calibri" w:hAnsi="Times New Roman" w:cs="Times New Roman"/>
          <w:b/>
          <w:bCs/>
          <w:color w:val="000000"/>
          <w:sz w:val="20"/>
          <w:szCs w:val="20"/>
          <w:shd w:val="clear" w:color="auto" w:fill="FFFFFF"/>
        </w:rPr>
      </w:pPr>
      <w:r w:rsidRPr="0061552B">
        <w:rPr>
          <w:rFonts w:ascii="Times New Roman" w:hAnsi="Times New Roman" w:cs="Times New Roman"/>
          <w:b/>
          <w:bCs/>
          <w:sz w:val="20"/>
          <w:szCs w:val="20"/>
        </w:rPr>
        <w:t xml:space="preserve">Key words: </w:t>
      </w:r>
      <w:r w:rsidRPr="0061552B">
        <w:rPr>
          <w:rFonts w:ascii="Times New Roman" w:eastAsia="Calibri" w:hAnsi="Times New Roman" w:cs="Times New Roman"/>
          <w:sz w:val="20"/>
          <w:szCs w:val="20"/>
          <w:lang w:eastAsia="ar-EG" w:bidi="ar-EG"/>
        </w:rPr>
        <w:t xml:space="preserve">HCC, TNF-α and H. pylori </w:t>
      </w:r>
    </w:p>
    <w:p w:rsidR="000D44FB" w:rsidRPr="0061552B" w:rsidRDefault="000D44FB">
      <w:pPr>
        <w:spacing w:after="0" w:line="240" w:lineRule="auto"/>
        <w:jc w:val="both"/>
        <w:rPr>
          <w:rFonts w:ascii="Times New Roman" w:eastAsia="Calibri" w:hAnsi="Times New Roman" w:cs="Times New Roman"/>
          <w:b/>
          <w:bCs/>
          <w:color w:val="000000"/>
          <w:sz w:val="20"/>
          <w:szCs w:val="20"/>
          <w:shd w:val="clear" w:color="auto" w:fill="FFFFFF"/>
        </w:rPr>
      </w:pPr>
    </w:p>
    <w:p w:rsidR="000D44FB" w:rsidRDefault="000D44FB">
      <w:pPr>
        <w:spacing w:after="0" w:line="240" w:lineRule="auto"/>
        <w:jc w:val="both"/>
        <w:rPr>
          <w:rFonts w:ascii="Times New Roman" w:hAnsi="Times New Roman" w:cs="Times New Roman" w:hint="eastAsia"/>
          <w:b/>
          <w:bCs/>
          <w:color w:val="000000"/>
          <w:sz w:val="20"/>
          <w:szCs w:val="20"/>
          <w:shd w:val="clear" w:color="auto" w:fill="FFFFFF"/>
          <w:lang w:eastAsia="zh-CN"/>
        </w:rPr>
      </w:pPr>
    </w:p>
    <w:p w:rsidR="0061552B" w:rsidRPr="0061552B" w:rsidRDefault="0061552B">
      <w:pPr>
        <w:spacing w:after="0" w:line="240" w:lineRule="auto"/>
        <w:jc w:val="both"/>
        <w:rPr>
          <w:rFonts w:ascii="Times New Roman" w:hAnsi="Times New Roman" w:cs="Times New Roman" w:hint="eastAsia"/>
          <w:b/>
          <w:bCs/>
          <w:color w:val="000000"/>
          <w:sz w:val="20"/>
          <w:szCs w:val="20"/>
          <w:shd w:val="clear" w:color="auto" w:fill="FFFFFF"/>
          <w:lang w:eastAsia="zh-CN"/>
        </w:rPr>
        <w:sectPr w:rsidR="0061552B" w:rsidRPr="0061552B">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0D44FB" w:rsidRPr="0061552B" w:rsidRDefault="00CD6B80">
      <w:pPr>
        <w:spacing w:after="0" w:line="240" w:lineRule="auto"/>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b/>
          <w:bCs/>
          <w:color w:val="000000"/>
          <w:sz w:val="20"/>
          <w:szCs w:val="20"/>
          <w:shd w:val="clear" w:color="auto" w:fill="FFFFFF"/>
        </w:rPr>
        <w:lastRenderedPageBreak/>
        <w:t xml:space="preserve">1. Introduction: </w:t>
      </w:r>
      <w:bookmarkStart w:id="7" w:name="_Hlk94562415"/>
    </w:p>
    <w:p w:rsidR="000D44FB" w:rsidRPr="0061552B" w:rsidRDefault="00CD6B80">
      <w:pPr>
        <w:spacing w:after="0" w:line="240" w:lineRule="auto"/>
        <w:ind w:firstLine="426"/>
        <w:jc w:val="both"/>
        <w:rPr>
          <w:rFonts w:ascii="Times New Roman" w:eastAsia="Calibri" w:hAnsi="Times New Roman" w:cs="Times New Roman"/>
          <w:b/>
          <w:bCs/>
          <w:sz w:val="20"/>
          <w:szCs w:val="20"/>
          <w:lang w:eastAsia="ar-EG" w:bidi="ar-EG"/>
        </w:rPr>
      </w:pPr>
      <w:r w:rsidRPr="0061552B">
        <w:rPr>
          <w:rFonts w:ascii="Times New Roman" w:eastAsia="Calibri" w:hAnsi="Times New Roman" w:cs="Times New Roman"/>
          <w:sz w:val="20"/>
          <w:szCs w:val="20"/>
          <w:lang w:eastAsia="ar-EG" w:bidi="ar-EG"/>
        </w:rPr>
        <w:t xml:space="preserve">Primary liver cancer has been ranked as the </w:t>
      </w:r>
      <w:r w:rsidRPr="0061552B">
        <w:rPr>
          <w:rFonts w:ascii="Times New Roman" w:eastAsia="Calibri" w:hAnsi="Times New Roman" w:cs="Times New Roman"/>
          <w:sz w:val="20"/>
          <w:szCs w:val="20"/>
          <w:lang w:eastAsia="ar-EG" w:bidi="ar-EG"/>
        </w:rPr>
        <w:t>seventh most frequently occurring cancer in 2020 after breast, lung, colorectal, prostate, skin and stomach cancers and the third most common cause of cancer mortality after lung and colorectal cancer</w:t>
      </w:r>
      <w:r w:rsidRPr="0061552B">
        <w:rPr>
          <w:rFonts w:ascii="Times New Roman" w:eastAsia="Calibri" w:hAnsi="Times New Roman" w:cs="Times New Roman"/>
          <w:sz w:val="20"/>
          <w:szCs w:val="20"/>
          <w:vertAlign w:val="superscript"/>
          <w:lang w:eastAsia="ar-EG" w:bidi="ar-EG"/>
        </w:rPr>
        <w:t>1</w:t>
      </w:r>
      <w:r w:rsidRPr="0061552B">
        <w:rPr>
          <w:rFonts w:ascii="Times New Roman" w:eastAsia="Calibri" w:hAnsi="Times New Roman" w:cs="Times New Roman"/>
          <w:sz w:val="20"/>
          <w:szCs w:val="20"/>
          <w:lang w:eastAsia="ar-EG" w:bidi="ar-EG"/>
        </w:rPr>
        <w:t>.</w:t>
      </w:r>
      <w:bookmarkEnd w:id="7"/>
      <w:r w:rsidRPr="0061552B">
        <w:rPr>
          <w:rFonts w:ascii="Times New Roman" w:eastAsia="Calibri" w:hAnsi="Times New Roman" w:cs="Times New Roman"/>
          <w:sz w:val="20"/>
          <w:szCs w:val="20"/>
          <w:lang w:eastAsia="ar-EG" w:bidi="ar-EG"/>
        </w:rPr>
        <w:t xml:space="preserve"> Globally, HCC is the dominant type of liver cancer, accounting nearly for 75% of all liver cancers</w:t>
      </w:r>
      <w:r w:rsidRPr="0061552B">
        <w:rPr>
          <w:rFonts w:ascii="Times New Roman" w:eastAsia="Calibri" w:hAnsi="Times New Roman" w:cs="Times New Roman"/>
          <w:sz w:val="20"/>
          <w:szCs w:val="20"/>
          <w:vertAlign w:val="superscript"/>
          <w:lang w:eastAsia="ar-EG" w:bidi="ar-EG"/>
        </w:rPr>
        <w:t>2</w:t>
      </w:r>
      <w:r w:rsidRPr="0061552B">
        <w:rPr>
          <w:rFonts w:ascii="Times New Roman" w:eastAsia="Calibri" w:hAnsi="Times New Roman" w:cs="Times New Roman"/>
          <w:sz w:val="20"/>
          <w:szCs w:val="20"/>
          <w:lang w:eastAsia="ar-EG" w:bidi="ar-EG"/>
        </w:rPr>
        <w:t>. Regarding the number of new cases in 2020 (both sexes and all ages), liver cancer was the most common cancer in Egypt in 2020</w:t>
      </w:r>
      <w:r w:rsidRPr="0061552B">
        <w:rPr>
          <w:rFonts w:ascii="Times New Roman" w:eastAsia="Calibri" w:hAnsi="Times New Roman" w:cs="Times New Roman"/>
          <w:sz w:val="20"/>
          <w:szCs w:val="20"/>
          <w:vertAlign w:val="superscript"/>
          <w:lang w:eastAsia="ar-EG" w:bidi="ar-EG"/>
        </w:rPr>
        <w:t>3</w:t>
      </w:r>
      <w:r w:rsidRPr="0061552B">
        <w:rPr>
          <w:rFonts w:ascii="Times New Roman" w:eastAsia="Calibri" w:hAnsi="Times New Roman" w:cs="Times New Roman"/>
          <w:sz w:val="20"/>
          <w:szCs w:val="20"/>
          <w:lang w:eastAsia="ar-EG" w:bidi="ar-EG"/>
        </w:rPr>
        <w:t>. This could be attributed t</w:t>
      </w:r>
      <w:r w:rsidRPr="0061552B">
        <w:rPr>
          <w:rFonts w:ascii="Times New Roman" w:eastAsia="Calibri" w:hAnsi="Times New Roman" w:cs="Times New Roman"/>
          <w:sz w:val="20"/>
          <w:szCs w:val="20"/>
          <w:lang w:eastAsia="ar-EG" w:bidi="ar-EG"/>
        </w:rPr>
        <w:t>o the improvement in screening programs</w:t>
      </w:r>
      <w:r w:rsidRPr="0061552B">
        <w:rPr>
          <w:rFonts w:ascii="Times New Roman" w:eastAsia="Calibri" w:hAnsi="Times New Roman" w:cs="Times New Roman"/>
          <w:sz w:val="20"/>
          <w:szCs w:val="20"/>
          <w:vertAlign w:val="superscript"/>
          <w:lang w:eastAsia="ar-EG" w:bidi="ar-EG"/>
        </w:rPr>
        <w:t>4</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HCC was estimated to be responsible for nearly 9.1% of the total deaths in 2012</w:t>
      </w:r>
      <w:r w:rsidRPr="0061552B">
        <w:rPr>
          <w:rFonts w:ascii="Times New Roman" w:eastAsia="Calibri" w:hAnsi="Times New Roman" w:cs="Times New Roman"/>
          <w:sz w:val="20"/>
          <w:szCs w:val="20"/>
          <w:vertAlign w:val="superscript"/>
          <w:lang w:eastAsia="ar-EG" w:bidi="ar-EG"/>
        </w:rPr>
        <w:t>5</w:t>
      </w:r>
      <w:r w:rsidRPr="0061552B">
        <w:rPr>
          <w:rFonts w:ascii="Times New Roman" w:eastAsia="Calibri" w:hAnsi="Times New Roman" w:cs="Times New Roman"/>
          <w:sz w:val="20"/>
          <w:szCs w:val="20"/>
          <w:lang w:eastAsia="ar-EG" w:bidi="ar-EG"/>
        </w:rPr>
        <w:t>. In Egypt, It is the most common cause of mortality- and morbidity-related cancer</w:t>
      </w:r>
      <w:r w:rsidRPr="0061552B">
        <w:rPr>
          <w:rFonts w:ascii="Times New Roman" w:eastAsia="Calibri" w:hAnsi="Times New Roman" w:cs="Times New Roman"/>
          <w:sz w:val="20"/>
          <w:szCs w:val="20"/>
          <w:vertAlign w:val="superscript"/>
          <w:lang w:eastAsia="ar-EG" w:bidi="ar-EG"/>
        </w:rPr>
        <w:t>6</w:t>
      </w:r>
      <w:r w:rsidRPr="0061552B">
        <w:rPr>
          <w:rFonts w:ascii="Times New Roman" w:eastAsia="Calibri" w:hAnsi="Times New Roman" w:cs="Times New Roman"/>
          <w:sz w:val="20"/>
          <w:szCs w:val="20"/>
          <w:lang w:eastAsia="ar-EG" w:bidi="ar-EG"/>
        </w:rPr>
        <w:t>.</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The development of HCC depends on some factors su</w:t>
      </w:r>
      <w:r w:rsidRPr="0061552B">
        <w:rPr>
          <w:rFonts w:ascii="Times New Roman" w:eastAsia="Calibri" w:hAnsi="Times New Roman" w:cs="Times New Roman"/>
          <w:sz w:val="20"/>
          <w:szCs w:val="20"/>
          <w:lang w:eastAsia="ar-EG" w:bidi="ar-EG"/>
        </w:rPr>
        <w:t xml:space="preserve">ch as viral infection, environmental, </w:t>
      </w:r>
      <w:r w:rsidRPr="0061552B">
        <w:rPr>
          <w:rFonts w:ascii="Times New Roman" w:eastAsia="Calibri" w:hAnsi="Times New Roman" w:cs="Times New Roman"/>
          <w:sz w:val="20"/>
          <w:szCs w:val="20"/>
          <w:lang w:eastAsia="ar-EG" w:bidi="ar-EG"/>
        </w:rPr>
        <w:lastRenderedPageBreak/>
        <w:t>behavioral, metabolism, and genetics</w:t>
      </w:r>
      <w:r w:rsidRPr="0061552B">
        <w:rPr>
          <w:rFonts w:ascii="Times New Roman" w:eastAsia="Calibri" w:hAnsi="Times New Roman" w:cs="Times New Roman"/>
          <w:sz w:val="20"/>
          <w:szCs w:val="20"/>
          <w:vertAlign w:val="superscript"/>
          <w:lang w:eastAsia="ar-EG" w:bidi="ar-EG"/>
        </w:rPr>
        <w:t>7</w:t>
      </w:r>
      <w:r w:rsidRPr="0061552B">
        <w:rPr>
          <w:rFonts w:ascii="Times New Roman" w:eastAsia="Calibri" w:hAnsi="Times New Roman" w:cs="Times New Roman"/>
          <w:sz w:val="20"/>
          <w:szCs w:val="20"/>
          <w:lang w:eastAsia="ar-EG" w:bidi="ar-EG"/>
        </w:rPr>
        <w:t>. TNF</w:t>
      </w:r>
      <w:bookmarkStart w:id="8" w:name="_Hlk92934411"/>
      <w:r w:rsidRPr="0061552B">
        <w:rPr>
          <w:rFonts w:ascii="Times New Roman" w:eastAsia="Calibri" w:hAnsi="Times New Roman" w:cs="Times New Roman"/>
          <w:sz w:val="20"/>
          <w:szCs w:val="20"/>
          <w:lang w:eastAsia="ar-EG" w:bidi="ar-EG"/>
        </w:rPr>
        <w:t>-α</w:t>
      </w:r>
      <w:bookmarkEnd w:id="8"/>
      <w:r w:rsidRPr="0061552B">
        <w:rPr>
          <w:rFonts w:ascii="Times New Roman" w:eastAsia="Calibri" w:hAnsi="Times New Roman" w:cs="Times New Roman"/>
          <w:sz w:val="20"/>
          <w:szCs w:val="20"/>
          <w:lang w:eastAsia="ar-EG" w:bidi="ar-EG"/>
        </w:rPr>
        <w:t xml:space="preserve"> is an important inflammatory cytokine in the development of liver disease. This cytokine can cause hepatic injury, cirrhosis and eventually promote hepatocellular carcinoma</w:t>
      </w:r>
      <w:r w:rsidRPr="0061552B">
        <w:rPr>
          <w:rFonts w:ascii="Times New Roman" w:eastAsia="Calibri" w:hAnsi="Times New Roman" w:cs="Times New Roman"/>
          <w:sz w:val="20"/>
          <w:szCs w:val="20"/>
          <w:vertAlign w:val="superscript"/>
          <w:lang w:eastAsia="ar-EG" w:bidi="ar-EG"/>
        </w:rPr>
        <w:t>8</w:t>
      </w:r>
      <w:r w:rsidRPr="0061552B">
        <w:rPr>
          <w:rFonts w:ascii="Times New Roman" w:eastAsia="Calibri" w:hAnsi="Times New Roman" w:cs="Times New Roman"/>
          <w:sz w:val="20"/>
          <w:szCs w:val="20"/>
          <w:lang w:eastAsia="ar-EG" w:bidi="ar-EG"/>
        </w:rPr>
        <w:t>. SNPs of TNF-α 1031 T/C, 863C/A, 857C/T, 308G/A, and 238G/Aare SNPs in the TNF-α promotor site that have often been investigated regarding their association with HCC in several previous studies</w:t>
      </w:r>
      <w:r w:rsidRPr="0061552B">
        <w:rPr>
          <w:rFonts w:ascii="Times New Roman" w:eastAsia="Calibri" w:hAnsi="Times New Roman" w:cs="Times New Roman"/>
          <w:sz w:val="20"/>
          <w:szCs w:val="20"/>
          <w:vertAlign w:val="superscript"/>
          <w:lang w:eastAsia="ar-EG" w:bidi="ar-EG"/>
        </w:rPr>
        <w:t>9</w:t>
      </w:r>
      <w:r w:rsidRPr="0061552B">
        <w:rPr>
          <w:rFonts w:ascii="Times New Roman" w:eastAsia="Calibri" w:hAnsi="Times New Roman" w:cs="Times New Roman"/>
          <w:sz w:val="20"/>
          <w:szCs w:val="20"/>
          <w:lang w:eastAsia="ar-EG" w:bidi="ar-EG"/>
        </w:rPr>
        <w:t>.</w:t>
      </w:r>
      <w:r w:rsidRPr="0061552B">
        <w:rPr>
          <w:rFonts w:ascii="Times New Roman" w:hAnsi="Times New Roman" w:cs="Times New Roman"/>
          <w:sz w:val="20"/>
          <w:szCs w:val="20"/>
        </w:rPr>
        <w:t xml:space="preserve"> </w:t>
      </w:r>
      <w:r w:rsidRPr="0061552B">
        <w:rPr>
          <w:rFonts w:ascii="Times New Roman" w:eastAsia="Calibri" w:hAnsi="Times New Roman" w:cs="Times New Roman"/>
          <w:sz w:val="20"/>
          <w:szCs w:val="20"/>
          <w:lang w:eastAsia="ar-EG" w:bidi="ar-EG"/>
        </w:rPr>
        <w:t>It was also said that those SNPs could affect TNF-α product</w:t>
      </w:r>
      <w:r w:rsidRPr="0061552B">
        <w:rPr>
          <w:rFonts w:ascii="Times New Roman" w:eastAsia="Calibri" w:hAnsi="Times New Roman" w:cs="Times New Roman"/>
          <w:sz w:val="20"/>
          <w:szCs w:val="20"/>
          <w:lang w:eastAsia="ar-EG" w:bidi="ar-EG"/>
        </w:rPr>
        <w:t>ion at the transcription level</w:t>
      </w:r>
      <w:r w:rsidRPr="0061552B">
        <w:rPr>
          <w:rFonts w:ascii="Times New Roman" w:eastAsia="Calibri" w:hAnsi="Times New Roman" w:cs="Times New Roman"/>
          <w:sz w:val="20"/>
          <w:szCs w:val="20"/>
          <w:vertAlign w:val="superscript"/>
          <w:lang w:eastAsia="ar-EG" w:bidi="ar-EG"/>
        </w:rPr>
        <w:t>10</w:t>
      </w:r>
      <w:r w:rsidRPr="0061552B">
        <w:rPr>
          <w:rFonts w:ascii="Times New Roman" w:eastAsia="Calibri" w:hAnsi="Times New Roman" w:cs="Times New Roman"/>
          <w:sz w:val="20"/>
          <w:szCs w:val="20"/>
          <w:lang w:eastAsia="ar-EG" w:bidi="ar-EG"/>
        </w:rPr>
        <w:t>.  High production of TNF-α is related to the increase of pro-inflammatory cytokine secretion, the activation of proto oncogenes and several genes associated with cell growth, invasion, and cancer cells metastasis</w:t>
      </w:r>
      <w:r w:rsidRPr="0061552B">
        <w:rPr>
          <w:rFonts w:ascii="Times New Roman" w:eastAsia="Calibri" w:hAnsi="Times New Roman" w:cs="Times New Roman"/>
          <w:sz w:val="20"/>
          <w:szCs w:val="20"/>
          <w:vertAlign w:val="superscript"/>
          <w:lang w:eastAsia="ar-EG" w:bidi="ar-EG"/>
        </w:rPr>
        <w:t>11</w:t>
      </w:r>
      <w:r w:rsidRPr="0061552B">
        <w:rPr>
          <w:rFonts w:ascii="Times New Roman" w:eastAsia="Calibri" w:hAnsi="Times New Roman" w:cs="Times New Roman"/>
          <w:sz w:val="20"/>
          <w:szCs w:val="20"/>
          <w:lang w:eastAsia="ar-EG" w:bidi="ar-EG"/>
        </w:rPr>
        <w:t>.</w:t>
      </w:r>
      <w:r w:rsidRPr="0061552B">
        <w:rPr>
          <w:rFonts w:ascii="Times New Roman" w:hAnsi="Times New Roman" w:cs="Times New Roman"/>
          <w:sz w:val="20"/>
          <w:szCs w:val="20"/>
        </w:rPr>
        <w:t xml:space="preserve"> </w:t>
      </w:r>
      <w:r w:rsidRPr="0061552B">
        <w:rPr>
          <w:rFonts w:ascii="Times New Roman" w:eastAsia="Calibri" w:hAnsi="Times New Roman" w:cs="Times New Roman"/>
          <w:sz w:val="20"/>
          <w:szCs w:val="20"/>
          <w:lang w:eastAsia="ar-EG" w:bidi="ar-EG"/>
        </w:rPr>
        <w:t>TNF-α 3</w:t>
      </w:r>
      <w:r w:rsidRPr="0061552B">
        <w:rPr>
          <w:rFonts w:ascii="Times New Roman" w:eastAsia="Calibri" w:hAnsi="Times New Roman" w:cs="Times New Roman"/>
          <w:sz w:val="20"/>
          <w:szCs w:val="20"/>
          <w:lang w:eastAsia="ar-EG" w:bidi="ar-EG"/>
        </w:rPr>
        <w:t>08 G/A is</w:t>
      </w:r>
      <w:r w:rsidRPr="0061552B">
        <w:rPr>
          <w:rFonts w:ascii="Times New Roman" w:hAnsi="Times New Roman" w:cs="Times New Roman"/>
          <w:sz w:val="20"/>
          <w:szCs w:val="20"/>
        </w:rPr>
        <w:t xml:space="preserve"> </w:t>
      </w:r>
      <w:r w:rsidRPr="0061552B">
        <w:rPr>
          <w:rFonts w:ascii="Times New Roman" w:eastAsia="Calibri" w:hAnsi="Times New Roman" w:cs="Times New Roman"/>
          <w:sz w:val="20"/>
          <w:szCs w:val="20"/>
          <w:lang w:eastAsia="ar-EG" w:bidi="ar-EG"/>
        </w:rPr>
        <w:t>the most studied SNP</w:t>
      </w:r>
      <w:r w:rsidRPr="0061552B">
        <w:rPr>
          <w:rFonts w:ascii="Times New Roman" w:hAnsi="Times New Roman" w:cs="Times New Roman"/>
          <w:sz w:val="20"/>
          <w:szCs w:val="20"/>
        </w:rPr>
        <w:t xml:space="preserve"> </w:t>
      </w:r>
      <w:r w:rsidRPr="0061552B">
        <w:rPr>
          <w:rFonts w:ascii="Times New Roman" w:eastAsia="Calibri" w:hAnsi="Times New Roman" w:cs="Times New Roman"/>
          <w:sz w:val="20"/>
          <w:szCs w:val="20"/>
          <w:lang w:eastAsia="ar-EG" w:bidi="ar-EG"/>
        </w:rPr>
        <w:t>which is also correlated with the risk of other cancers, such as breast cancer and gastric cancer</w:t>
      </w:r>
      <w:r w:rsidRPr="0061552B">
        <w:rPr>
          <w:rFonts w:ascii="Times New Roman" w:eastAsia="Calibri" w:hAnsi="Times New Roman" w:cs="Times New Roman"/>
          <w:sz w:val="20"/>
          <w:szCs w:val="20"/>
          <w:vertAlign w:val="superscript"/>
          <w:lang w:eastAsia="ar-EG" w:bidi="ar-EG"/>
        </w:rPr>
        <w:t>12</w:t>
      </w:r>
      <w:r w:rsidRPr="0061552B">
        <w:rPr>
          <w:rFonts w:ascii="Times New Roman" w:eastAsia="Calibri" w:hAnsi="Times New Roman" w:cs="Times New Roman"/>
          <w:sz w:val="20"/>
          <w:szCs w:val="20"/>
          <w:lang w:eastAsia="ar-EG" w:bidi="ar-EG"/>
        </w:rPr>
        <w:t>.</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 xml:space="preserve">However, those studies are still </w:t>
      </w:r>
      <w:r w:rsidRPr="0061552B">
        <w:rPr>
          <w:rFonts w:ascii="Times New Roman" w:eastAsia="Calibri" w:hAnsi="Times New Roman" w:cs="Times New Roman"/>
          <w:sz w:val="20"/>
          <w:szCs w:val="20"/>
          <w:lang w:eastAsia="ar-EG" w:bidi="ar-EG"/>
        </w:rPr>
        <w:lastRenderedPageBreak/>
        <w:t xml:space="preserve">limited and yield conflicting results. </w:t>
      </w:r>
      <w:r w:rsidRPr="0061552B">
        <w:rPr>
          <w:rFonts w:ascii="Times New Roman" w:eastAsia="Times New Roman" w:hAnsi="Times New Roman" w:cs="Times New Roman"/>
          <w:kern w:val="1"/>
          <w:sz w:val="20"/>
          <w:szCs w:val="20"/>
          <w:lang w:eastAsia="ar-EG"/>
        </w:rPr>
        <w:t>Thus, the main aim of the present study was analysis</w:t>
      </w:r>
      <w:r w:rsidRPr="0061552B">
        <w:rPr>
          <w:rFonts w:ascii="Times New Roman" w:eastAsia="Times New Roman" w:hAnsi="Times New Roman" w:cs="Times New Roman"/>
          <w:kern w:val="1"/>
          <w:sz w:val="20"/>
          <w:szCs w:val="20"/>
          <w:lang w:eastAsia="ar-EG"/>
        </w:rPr>
        <w:t xml:space="preserve"> of TNF-α 308</w:t>
      </w:r>
      <w:r w:rsidRPr="0061552B">
        <w:rPr>
          <w:rFonts w:ascii="Times New Roman" w:eastAsia="Calibri" w:hAnsi="Times New Roman" w:cs="Times New Roman"/>
          <w:color w:val="000000"/>
          <w:sz w:val="20"/>
          <w:szCs w:val="20"/>
        </w:rPr>
        <w:t xml:space="preserve"> polymorphism </w:t>
      </w:r>
      <w:r w:rsidRPr="0061552B">
        <w:rPr>
          <w:rFonts w:ascii="Times New Roman" w:eastAsia="Calibri" w:hAnsi="Times New Roman" w:cs="Times New Roman"/>
          <w:sz w:val="20"/>
          <w:szCs w:val="20"/>
          <w:lang w:eastAsia="ar-EG" w:bidi="ar-EG"/>
        </w:rPr>
        <w:t>as a diagnostic tumor marker for HCC. On the other hand, findings concerning the influence of H. pylori on various extra-gastric organs have accumulated including metabolic, allergic, autoimmune and neurodegenerative as well as h</w:t>
      </w:r>
      <w:r w:rsidRPr="0061552B">
        <w:rPr>
          <w:rFonts w:ascii="Times New Roman" w:eastAsia="Calibri" w:hAnsi="Times New Roman" w:cs="Times New Roman"/>
          <w:sz w:val="20"/>
          <w:szCs w:val="20"/>
          <w:lang w:eastAsia="ar-EG" w:bidi="ar-EG"/>
        </w:rPr>
        <w:t>epatobiliary, pancreatic and colorectal diseases</w:t>
      </w:r>
      <w:r w:rsidRPr="0061552B">
        <w:rPr>
          <w:rFonts w:ascii="Times New Roman" w:eastAsia="Calibri" w:hAnsi="Times New Roman" w:cs="Times New Roman"/>
          <w:sz w:val="20"/>
          <w:szCs w:val="20"/>
          <w:vertAlign w:val="superscript"/>
          <w:lang w:eastAsia="ar-EG" w:bidi="ar-EG"/>
        </w:rPr>
        <w:t>13</w:t>
      </w:r>
      <w:r w:rsidRPr="0061552B">
        <w:rPr>
          <w:rFonts w:ascii="Times New Roman" w:eastAsia="Calibri" w:hAnsi="Times New Roman" w:cs="Times New Roman"/>
          <w:sz w:val="20"/>
          <w:szCs w:val="20"/>
          <w:lang w:eastAsia="ar-EG" w:bidi="ar-EG"/>
        </w:rPr>
        <w:t>. Consequently, the relationship between H. pylori and liver diseases has been discussed and still remains controversial</w:t>
      </w:r>
      <w:r w:rsidRPr="0061552B">
        <w:rPr>
          <w:rFonts w:ascii="Times New Roman" w:eastAsia="Calibri" w:hAnsi="Times New Roman" w:cs="Times New Roman"/>
          <w:sz w:val="20"/>
          <w:szCs w:val="20"/>
          <w:vertAlign w:val="superscript"/>
          <w:lang w:eastAsia="ar-EG" w:bidi="ar-EG"/>
        </w:rPr>
        <w:t>14</w:t>
      </w:r>
      <w:r w:rsidRPr="0061552B">
        <w:rPr>
          <w:rFonts w:ascii="Times New Roman" w:eastAsia="Calibri" w:hAnsi="Times New Roman" w:cs="Times New Roman"/>
          <w:sz w:val="20"/>
          <w:szCs w:val="20"/>
          <w:lang w:eastAsia="ar-EG" w:bidi="ar-EG"/>
        </w:rPr>
        <w:t>. Therefore, another aim for our study was to investigate the possible association b</w:t>
      </w:r>
      <w:r w:rsidRPr="0061552B">
        <w:rPr>
          <w:rFonts w:ascii="Times New Roman" w:eastAsia="Calibri" w:hAnsi="Times New Roman" w:cs="Times New Roman"/>
          <w:sz w:val="20"/>
          <w:szCs w:val="20"/>
          <w:lang w:eastAsia="ar-EG" w:bidi="ar-EG"/>
        </w:rPr>
        <w:t>etween H. pylori infection and the risk of HCC in addition to the conventional risk factors of the disease.</w:t>
      </w:r>
    </w:p>
    <w:p w:rsidR="000D44FB" w:rsidRPr="0061552B" w:rsidRDefault="000D44FB">
      <w:pPr>
        <w:spacing w:after="0" w:line="240" w:lineRule="auto"/>
        <w:jc w:val="both"/>
        <w:rPr>
          <w:rFonts w:ascii="Times New Roman" w:eastAsia="Calibri" w:hAnsi="Times New Roman" w:cs="Times New Roman"/>
          <w:b/>
          <w:bCs/>
          <w:sz w:val="20"/>
          <w:szCs w:val="20"/>
          <w:lang w:eastAsia="ar-EG" w:bidi="ar-EG"/>
        </w:rPr>
      </w:pPr>
    </w:p>
    <w:p w:rsidR="000D44FB" w:rsidRPr="0061552B" w:rsidRDefault="00CD6B80">
      <w:pPr>
        <w:spacing w:after="0" w:line="240" w:lineRule="auto"/>
        <w:jc w:val="both"/>
        <w:rPr>
          <w:rFonts w:ascii="Times New Roman" w:eastAsia="Calibri" w:hAnsi="Times New Roman" w:cs="Times New Roman"/>
          <w:b/>
          <w:bCs/>
          <w:sz w:val="20"/>
          <w:szCs w:val="20"/>
          <w:lang w:eastAsia="ar-EG" w:bidi="ar-EG"/>
        </w:rPr>
      </w:pPr>
      <w:r w:rsidRPr="0061552B">
        <w:rPr>
          <w:rFonts w:ascii="Times New Roman" w:eastAsia="Calibri" w:hAnsi="Times New Roman" w:cs="Times New Roman"/>
          <w:b/>
          <w:bCs/>
          <w:sz w:val="20"/>
          <w:szCs w:val="20"/>
          <w:lang w:eastAsia="ar-EG" w:bidi="ar-EG"/>
        </w:rPr>
        <w:t>2. Methods:</w:t>
      </w:r>
    </w:p>
    <w:p w:rsidR="000D44FB" w:rsidRPr="0061552B" w:rsidRDefault="00CD6B80">
      <w:pPr>
        <w:spacing w:after="0" w:line="240" w:lineRule="auto"/>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b/>
          <w:bCs/>
          <w:sz w:val="20"/>
          <w:szCs w:val="20"/>
          <w:lang w:eastAsia="ar-EG" w:bidi="ar-EG"/>
        </w:rPr>
        <w:t xml:space="preserve">Study design: </w:t>
      </w:r>
    </w:p>
    <w:p w:rsidR="000D44FB" w:rsidRDefault="00CD6B80">
      <w:pPr>
        <w:spacing w:after="0" w:line="240" w:lineRule="auto"/>
        <w:ind w:firstLine="426"/>
        <w:jc w:val="both"/>
        <w:rPr>
          <w:rFonts w:ascii="Times New Roman" w:hAnsi="Times New Roman" w:cs="Times New Roman" w:hint="eastAsia"/>
          <w:sz w:val="20"/>
          <w:szCs w:val="20"/>
          <w:lang w:eastAsia="zh-CN" w:bidi="ar-EG"/>
        </w:rPr>
      </w:pPr>
      <w:r w:rsidRPr="0061552B">
        <w:rPr>
          <w:rFonts w:ascii="Times New Roman" w:eastAsia="Calibri" w:hAnsi="Times New Roman" w:cs="Times New Roman"/>
          <w:sz w:val="20"/>
          <w:szCs w:val="20"/>
          <w:lang w:eastAsia="ar-EG" w:bidi="ar-EG"/>
        </w:rPr>
        <w:t>The present study was case control study.</w:t>
      </w:r>
    </w:p>
    <w:p w:rsidR="0061552B" w:rsidRPr="0061552B" w:rsidRDefault="0061552B">
      <w:pPr>
        <w:spacing w:after="0" w:line="240" w:lineRule="auto"/>
        <w:ind w:firstLine="426"/>
        <w:jc w:val="both"/>
        <w:rPr>
          <w:rFonts w:ascii="Times New Roman" w:hAnsi="Times New Roman" w:cs="Times New Roman" w:hint="eastAsia"/>
          <w:sz w:val="20"/>
          <w:szCs w:val="20"/>
          <w:lang w:eastAsia="zh-CN" w:bidi="ar-EG"/>
        </w:rPr>
      </w:pPr>
    </w:p>
    <w:p w:rsidR="000D44FB" w:rsidRPr="0061552B" w:rsidRDefault="00CD6B80">
      <w:pPr>
        <w:spacing w:after="0" w:line="240" w:lineRule="auto"/>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b/>
          <w:bCs/>
          <w:sz w:val="20"/>
          <w:szCs w:val="20"/>
          <w:lang w:eastAsia="ar-EG" w:bidi="ar-EG"/>
        </w:rPr>
        <w:t xml:space="preserve">Settings: </w:t>
      </w:r>
    </w:p>
    <w:p w:rsidR="000D44FB" w:rsidRDefault="00CD6B80">
      <w:pPr>
        <w:spacing w:after="0" w:line="240" w:lineRule="auto"/>
        <w:ind w:firstLine="426"/>
        <w:jc w:val="both"/>
        <w:rPr>
          <w:rFonts w:ascii="Times New Roman" w:hAnsi="Times New Roman" w:cs="Times New Roman" w:hint="eastAsia"/>
          <w:sz w:val="20"/>
          <w:szCs w:val="20"/>
          <w:lang w:eastAsia="zh-CN" w:bidi="ar-EG"/>
        </w:rPr>
      </w:pPr>
      <w:r w:rsidRPr="0061552B">
        <w:rPr>
          <w:rFonts w:ascii="Times New Roman" w:eastAsia="Calibri" w:hAnsi="Times New Roman" w:cs="Times New Roman"/>
          <w:sz w:val="20"/>
          <w:szCs w:val="20"/>
          <w:lang w:eastAsia="ar-EG" w:bidi="ar-EG"/>
        </w:rPr>
        <w:t xml:space="preserve">The study was conducted at Mansoura Specialized </w:t>
      </w:r>
      <w:bookmarkStart w:id="9" w:name="_Hlk105373832"/>
      <w:r w:rsidRPr="0061552B">
        <w:rPr>
          <w:rFonts w:ascii="Times New Roman" w:eastAsia="Calibri" w:hAnsi="Times New Roman" w:cs="Times New Roman"/>
          <w:sz w:val="20"/>
          <w:szCs w:val="20"/>
          <w:lang w:eastAsia="ar-EG" w:bidi="ar-EG"/>
        </w:rPr>
        <w:t xml:space="preserve">Medical Hospital </w:t>
      </w:r>
      <w:bookmarkStart w:id="10" w:name="_Hlk105352546"/>
      <w:bookmarkEnd w:id="9"/>
      <w:r w:rsidRPr="0061552B">
        <w:rPr>
          <w:rFonts w:ascii="Times New Roman" w:eastAsia="Calibri" w:hAnsi="Times New Roman" w:cs="Times New Roman"/>
          <w:sz w:val="20"/>
          <w:szCs w:val="20"/>
          <w:lang w:eastAsia="ar-EG" w:bidi="ar-EG"/>
        </w:rPr>
        <w:t xml:space="preserve">outpatient HCC clinic for 2 years </w:t>
      </w:r>
      <w:bookmarkEnd w:id="10"/>
      <w:r w:rsidRPr="0061552B">
        <w:rPr>
          <w:rFonts w:ascii="Times New Roman" w:eastAsia="Calibri" w:hAnsi="Times New Roman" w:cs="Times New Roman"/>
          <w:sz w:val="20"/>
          <w:szCs w:val="20"/>
          <w:lang w:eastAsia="ar-EG" w:bidi="ar-EG"/>
        </w:rPr>
        <w:t xml:space="preserve">(from April 2019 to May 2021).  </w:t>
      </w:r>
    </w:p>
    <w:p w:rsidR="0061552B" w:rsidRPr="0061552B" w:rsidRDefault="0061552B">
      <w:pPr>
        <w:spacing w:after="0" w:line="240" w:lineRule="auto"/>
        <w:ind w:firstLine="426"/>
        <w:jc w:val="both"/>
        <w:rPr>
          <w:rFonts w:ascii="Times New Roman" w:hAnsi="Times New Roman" w:cs="Times New Roman" w:hint="eastAsia"/>
          <w:sz w:val="20"/>
          <w:szCs w:val="20"/>
          <w:lang w:eastAsia="zh-CN" w:bidi="ar-EG"/>
        </w:rPr>
      </w:pPr>
    </w:p>
    <w:p w:rsidR="000D44FB" w:rsidRPr="0061552B" w:rsidRDefault="00CD6B80">
      <w:pPr>
        <w:spacing w:after="0" w:line="240" w:lineRule="auto"/>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b/>
          <w:bCs/>
          <w:sz w:val="20"/>
          <w:szCs w:val="20"/>
          <w:lang w:eastAsia="ar-EG" w:bidi="ar-EG"/>
        </w:rPr>
        <w:t xml:space="preserve">Sample and sampling technique: </w:t>
      </w:r>
    </w:p>
    <w:p w:rsidR="000D44FB" w:rsidRDefault="00CD6B80">
      <w:pPr>
        <w:spacing w:after="0" w:line="240" w:lineRule="auto"/>
        <w:ind w:firstLine="426"/>
        <w:jc w:val="both"/>
        <w:rPr>
          <w:rFonts w:ascii="Times New Roman" w:hAnsi="Times New Roman" w:cs="Times New Roman" w:hint="eastAsia"/>
          <w:sz w:val="20"/>
          <w:szCs w:val="20"/>
          <w:lang w:eastAsia="zh-CN" w:bidi="ar-EG"/>
        </w:rPr>
      </w:pPr>
      <w:r w:rsidRPr="0061552B">
        <w:rPr>
          <w:rFonts w:ascii="Times New Roman" w:eastAsia="Calibri" w:hAnsi="Times New Roman" w:cs="Times New Roman"/>
          <w:sz w:val="20"/>
          <w:szCs w:val="20"/>
          <w:lang w:eastAsia="ar-EG" w:bidi="ar-EG"/>
        </w:rPr>
        <w:t>Sample size was calculated by using An Online Sample Size Estimator (OSSE)</w:t>
      </w:r>
      <w:r w:rsidRPr="0061552B">
        <w:rPr>
          <w:rFonts w:ascii="Times New Roman" w:eastAsia="Calibri" w:hAnsi="Times New Roman" w:cs="Times New Roman"/>
          <w:sz w:val="20"/>
          <w:szCs w:val="20"/>
          <w:rtl/>
          <w:lang w:eastAsia="ar-EG"/>
        </w:rPr>
        <w:t xml:space="preserve"> </w:t>
      </w:r>
      <w:hyperlink r:id="rId16" w:history="1">
        <w:r w:rsidRPr="0061552B">
          <w:rPr>
            <w:rStyle w:val="Hyperlink"/>
            <w:rFonts w:ascii="Times New Roman" w:eastAsia="Calibri" w:hAnsi="Times New Roman" w:cs="Times New Roman"/>
            <w:sz w:val="20"/>
            <w:szCs w:val="20"/>
            <w:lang w:eastAsia="ar-EG" w:bidi="ar-EG"/>
          </w:rPr>
          <w:t>http://osse.bii.a-star.edu.sg</w:t>
        </w:r>
        <w:r w:rsidRPr="0061552B">
          <w:rPr>
            <w:rStyle w:val="Hyperlink"/>
            <w:rFonts w:ascii="Times New Roman" w:eastAsia="Calibri" w:hAnsi="Times New Roman" w:cs="Times New Roman"/>
            <w:sz w:val="20"/>
            <w:szCs w:val="20"/>
            <w:lang w:eastAsia="ar-EG" w:bidi="ar-EG"/>
          </w:rPr>
          <w:t>/index.php</w:t>
        </w:r>
      </w:hyperlink>
      <w:r w:rsidRPr="0061552B">
        <w:rPr>
          <w:rFonts w:ascii="Times New Roman" w:eastAsia="Calibri" w:hAnsi="Times New Roman" w:cs="Times New Roman"/>
          <w:sz w:val="20"/>
          <w:szCs w:val="20"/>
          <w:lang w:eastAsia="ar-EG" w:bidi="ar-EG"/>
        </w:rPr>
        <w:t>. Based on data from three Egyptian studies: This study included 110 HCC patients (case group) and 126 control persons (control group) and all of them were from Mansoura Specialized Medical Hospital outpatient HCC clinic for 2 years. H. pylori</w:t>
      </w:r>
      <w:r w:rsidRPr="0061552B">
        <w:rPr>
          <w:rFonts w:ascii="Times New Roman" w:eastAsia="Calibri" w:hAnsi="Times New Roman" w:cs="Times New Roman"/>
          <w:sz w:val="20"/>
          <w:szCs w:val="20"/>
          <w:lang w:eastAsia="ar-EG" w:bidi="ar-EG"/>
        </w:rPr>
        <w:t xml:space="preserve"> stool Ag and SNP of TNF-α 308 by polymerase chain reaction (PCR) restriction fragment length polymorphism assays have been investigated in each group after thorough history and physical examination.</w:t>
      </w:r>
    </w:p>
    <w:p w:rsidR="0061552B" w:rsidRPr="0061552B" w:rsidRDefault="0061552B">
      <w:pPr>
        <w:spacing w:after="0" w:line="240" w:lineRule="auto"/>
        <w:ind w:firstLine="426"/>
        <w:jc w:val="both"/>
        <w:rPr>
          <w:rFonts w:ascii="Times New Roman" w:hAnsi="Times New Roman" w:cs="Times New Roman" w:hint="eastAsia"/>
          <w:sz w:val="20"/>
          <w:szCs w:val="20"/>
          <w:rtl/>
          <w:lang w:eastAsia="zh-CN" w:bidi="ar-EG"/>
        </w:rPr>
      </w:pPr>
    </w:p>
    <w:p w:rsidR="000D44FB" w:rsidRPr="0061552B" w:rsidRDefault="00CD6B80">
      <w:pPr>
        <w:autoSpaceDE w:val="0"/>
        <w:autoSpaceDN w:val="0"/>
        <w:adjustRightInd w:val="0"/>
        <w:spacing w:after="0" w:line="240" w:lineRule="auto"/>
        <w:rPr>
          <w:rFonts w:ascii="Times New Roman" w:eastAsia="Calibri" w:hAnsi="Times New Roman" w:cs="Times New Roman"/>
          <w:sz w:val="20"/>
          <w:szCs w:val="20"/>
          <w:lang w:eastAsia="ar-EG"/>
        </w:rPr>
      </w:pPr>
      <w:r w:rsidRPr="0061552B">
        <w:rPr>
          <w:rFonts w:ascii="Times New Roman" w:eastAsia="Calibri" w:hAnsi="Times New Roman" w:cs="Times New Roman"/>
          <w:b/>
          <w:bCs/>
          <w:sz w:val="20"/>
          <w:szCs w:val="20"/>
          <w:lang w:eastAsia="ar-EG"/>
        </w:rPr>
        <w:t xml:space="preserve">Data collection: </w:t>
      </w:r>
    </w:p>
    <w:p w:rsidR="000D44FB" w:rsidRDefault="00CD6B80">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r w:rsidRPr="0061552B">
        <w:rPr>
          <w:rFonts w:ascii="Times New Roman" w:eastAsia="Calibri" w:hAnsi="Times New Roman" w:cs="Times New Roman"/>
          <w:sz w:val="20"/>
          <w:szCs w:val="20"/>
          <w:lang w:eastAsia="ar-EG"/>
        </w:rPr>
        <w:t xml:space="preserve">All patients were subjected to </w:t>
      </w:r>
      <w:r w:rsidRPr="0061552B">
        <w:rPr>
          <w:rFonts w:ascii="Times New Roman" w:eastAsia="Calibri" w:hAnsi="Times New Roman" w:cs="Times New Roman"/>
          <w:sz w:val="20"/>
          <w:szCs w:val="20"/>
          <w:lang w:eastAsia="ar-EG"/>
        </w:rPr>
        <w:t>thorough history taking and physical examination. Investigations have included radiology in the form of abdominal ultrasound and triphasic abdominal computed tomography (CT). Laboratory investigations have been done in the form of complete blood picture, l</w:t>
      </w:r>
      <w:r w:rsidRPr="0061552B">
        <w:rPr>
          <w:rFonts w:ascii="Times New Roman" w:eastAsia="Calibri" w:hAnsi="Times New Roman" w:cs="Times New Roman"/>
          <w:sz w:val="20"/>
          <w:szCs w:val="20"/>
          <w:lang w:eastAsia="ar-EG"/>
        </w:rPr>
        <w:t>iver function tests as ALT</w:t>
      </w:r>
      <w:r w:rsidR="0061552B">
        <w:rPr>
          <w:rFonts w:ascii="Times New Roman" w:hAnsi="Times New Roman" w:cs="Times New Roman" w:hint="eastAsia"/>
          <w:sz w:val="20"/>
          <w:szCs w:val="20"/>
          <w:lang w:eastAsia="zh-CN"/>
        </w:rPr>
        <w:t xml:space="preserve"> </w:t>
      </w:r>
      <w:r w:rsidRPr="0061552B">
        <w:rPr>
          <w:rFonts w:ascii="Times New Roman" w:eastAsia="Calibri" w:hAnsi="Times New Roman" w:cs="Times New Roman"/>
          <w:sz w:val="20"/>
          <w:szCs w:val="20"/>
          <w:lang w:eastAsia="ar-EG"/>
        </w:rPr>
        <w:t>(</w:t>
      </w:r>
      <w:r w:rsidRPr="0061552B">
        <w:rPr>
          <w:rFonts w:ascii="Times New Roman" w:hAnsi="Times New Roman" w:cs="Times New Roman"/>
          <w:sz w:val="20"/>
          <w:szCs w:val="20"/>
        </w:rPr>
        <w:t>Alanine aminotransferase</w:t>
      </w:r>
      <w:r w:rsidRPr="0061552B">
        <w:rPr>
          <w:rFonts w:ascii="Times New Roman" w:eastAsia="Calibri" w:hAnsi="Times New Roman" w:cs="Times New Roman"/>
          <w:sz w:val="20"/>
          <w:szCs w:val="20"/>
          <w:lang w:eastAsia="ar-EG"/>
        </w:rPr>
        <w:t>)and AST</w:t>
      </w:r>
      <w:r w:rsidR="0061552B">
        <w:rPr>
          <w:rFonts w:ascii="Times New Roman" w:hAnsi="Times New Roman" w:cs="Times New Roman" w:hint="eastAsia"/>
          <w:sz w:val="20"/>
          <w:szCs w:val="20"/>
          <w:lang w:eastAsia="zh-CN"/>
        </w:rPr>
        <w:t xml:space="preserve"> </w:t>
      </w:r>
      <w:r w:rsidRPr="0061552B">
        <w:rPr>
          <w:rFonts w:ascii="Times New Roman" w:eastAsia="Calibri" w:hAnsi="Times New Roman" w:cs="Times New Roman"/>
          <w:sz w:val="20"/>
          <w:szCs w:val="20"/>
          <w:lang w:eastAsia="ar-EG"/>
        </w:rPr>
        <w:t>(</w:t>
      </w:r>
      <w:r w:rsidRPr="0061552B">
        <w:rPr>
          <w:rFonts w:ascii="Times New Roman" w:hAnsi="Times New Roman" w:cs="Times New Roman"/>
          <w:sz w:val="20"/>
          <w:szCs w:val="20"/>
        </w:rPr>
        <w:t>Aspartate</w:t>
      </w:r>
      <w:r w:rsidRPr="0061552B">
        <w:rPr>
          <w:rFonts w:ascii="Times New Roman" w:eastAsia="Calibri" w:hAnsi="Times New Roman" w:cs="Times New Roman"/>
          <w:sz w:val="20"/>
          <w:szCs w:val="20"/>
          <w:lang w:eastAsia="ar-EG"/>
        </w:rPr>
        <w:t xml:space="preserve"> </w:t>
      </w:r>
      <w:r w:rsidRPr="0061552B">
        <w:rPr>
          <w:rFonts w:ascii="Times New Roman" w:hAnsi="Times New Roman" w:cs="Times New Roman"/>
          <w:sz w:val="20"/>
          <w:szCs w:val="20"/>
        </w:rPr>
        <w:t>transaminase</w:t>
      </w:r>
      <w:r w:rsidRPr="0061552B">
        <w:rPr>
          <w:rFonts w:ascii="Times New Roman" w:eastAsia="Calibri" w:hAnsi="Times New Roman" w:cs="Times New Roman"/>
          <w:sz w:val="20"/>
          <w:szCs w:val="20"/>
          <w:lang w:eastAsia="ar-EG"/>
        </w:rPr>
        <w:t>)</w:t>
      </w:r>
      <w:r w:rsidRPr="0061552B">
        <w:rPr>
          <w:rFonts w:ascii="Times New Roman" w:hAnsi="Times New Roman" w:cs="Times New Roman"/>
          <w:sz w:val="20"/>
          <w:szCs w:val="20"/>
        </w:rPr>
        <w:t xml:space="preserve"> Serum total bilirubin</w:t>
      </w:r>
      <w:r w:rsidRPr="0061552B">
        <w:rPr>
          <w:rFonts w:ascii="Times New Roman" w:eastAsia="Calibri" w:hAnsi="Times New Roman" w:cs="Times New Roman"/>
          <w:sz w:val="20"/>
          <w:szCs w:val="20"/>
          <w:lang w:eastAsia="ar-EG"/>
        </w:rPr>
        <w:t xml:space="preserve">, albumin, also </w:t>
      </w:r>
      <w:r w:rsidRPr="0061552B">
        <w:rPr>
          <w:rFonts w:ascii="Times New Roman" w:hAnsi="Times New Roman" w:cs="Times New Roman"/>
          <w:sz w:val="20"/>
          <w:szCs w:val="20"/>
        </w:rPr>
        <w:t>Hemoglobin</w:t>
      </w:r>
      <w:r w:rsidRPr="0061552B">
        <w:rPr>
          <w:rFonts w:ascii="Times New Roman" w:eastAsia="Calibri" w:hAnsi="Times New Roman" w:cs="Times New Roman"/>
          <w:sz w:val="20"/>
          <w:szCs w:val="20"/>
          <w:lang w:eastAsia="ar-EG"/>
        </w:rPr>
        <w:t xml:space="preserve"> serum creatinine, H.</w:t>
      </w:r>
      <w:r w:rsidRPr="0061552B">
        <w:rPr>
          <w:rFonts w:ascii="Times New Roman" w:eastAsia="Times New Roman" w:hAnsi="Times New Roman" w:cs="Times New Roman"/>
          <w:kern w:val="1"/>
          <w:sz w:val="20"/>
          <w:szCs w:val="20"/>
          <w:lang w:eastAsia="ar-EG"/>
        </w:rPr>
        <w:t xml:space="preserve"> pylori</w:t>
      </w:r>
      <w:r w:rsidRPr="0061552B">
        <w:rPr>
          <w:rFonts w:ascii="Times New Roman" w:eastAsia="Calibri" w:hAnsi="Times New Roman" w:cs="Times New Roman"/>
          <w:sz w:val="20"/>
          <w:szCs w:val="20"/>
          <w:lang w:eastAsia="ar-EG"/>
        </w:rPr>
        <w:t xml:space="preserve"> stool Ag and TNF-α genotyping at position 308 using restriction fragment length polymorphism </w:t>
      </w:r>
      <w:r w:rsidRPr="0061552B">
        <w:rPr>
          <w:rFonts w:ascii="Times New Roman" w:eastAsia="Calibri" w:hAnsi="Times New Roman" w:cs="Times New Roman"/>
          <w:sz w:val="20"/>
          <w:szCs w:val="20"/>
          <w:lang w:eastAsia="ar-EG"/>
        </w:rPr>
        <w:t>(RFLP)</w:t>
      </w:r>
    </w:p>
    <w:p w:rsidR="0061552B" w:rsidRPr="0061552B" w:rsidRDefault="0061552B">
      <w:pPr>
        <w:autoSpaceDE w:val="0"/>
        <w:autoSpaceDN w:val="0"/>
        <w:adjustRightInd w:val="0"/>
        <w:spacing w:after="0" w:line="240" w:lineRule="auto"/>
        <w:ind w:firstLine="426"/>
        <w:jc w:val="both"/>
        <w:rPr>
          <w:rFonts w:ascii="Times New Roman" w:hAnsi="Times New Roman" w:cs="Times New Roman" w:hint="eastAsia"/>
          <w:sz w:val="20"/>
          <w:szCs w:val="20"/>
          <w:lang w:eastAsia="zh-CN"/>
        </w:rPr>
      </w:pPr>
    </w:p>
    <w:p w:rsidR="000D44FB" w:rsidRPr="0061552B" w:rsidRDefault="00CD6B80">
      <w:pPr>
        <w:autoSpaceDE w:val="0"/>
        <w:autoSpaceDN w:val="0"/>
        <w:adjustRightInd w:val="0"/>
        <w:spacing w:after="0" w:line="240" w:lineRule="auto"/>
        <w:rPr>
          <w:rFonts w:ascii="Times New Roman" w:hAnsi="Times New Roman" w:cs="Times New Roman"/>
          <w:b/>
          <w:bCs/>
          <w:sz w:val="20"/>
          <w:szCs w:val="20"/>
        </w:rPr>
      </w:pPr>
      <w:r w:rsidRPr="0061552B">
        <w:rPr>
          <w:rFonts w:ascii="Times New Roman" w:hAnsi="Times New Roman" w:cs="Times New Roman"/>
          <w:b/>
          <w:bCs/>
          <w:sz w:val="20"/>
          <w:szCs w:val="20"/>
        </w:rPr>
        <w:t>Inclusion criteria:</w:t>
      </w:r>
    </w:p>
    <w:p w:rsidR="000D44FB" w:rsidRPr="0061552B" w:rsidRDefault="00CD6B80">
      <w:pPr>
        <w:autoSpaceDE w:val="0"/>
        <w:autoSpaceDN w:val="0"/>
        <w:adjustRightInd w:val="0"/>
        <w:spacing w:after="0" w:line="240" w:lineRule="auto"/>
        <w:ind w:firstLine="426"/>
        <w:rPr>
          <w:rFonts w:ascii="Times New Roman" w:hAnsi="Times New Roman" w:cs="Times New Roman"/>
          <w:sz w:val="20"/>
          <w:szCs w:val="20"/>
        </w:rPr>
      </w:pPr>
      <w:r w:rsidRPr="0061552B">
        <w:rPr>
          <w:rFonts w:ascii="Times New Roman" w:hAnsi="Times New Roman" w:cs="Times New Roman"/>
          <w:sz w:val="20"/>
          <w:szCs w:val="20"/>
        </w:rPr>
        <w:t>Cirrhotic patients with HCC having or not H. Pylori infection coming to</w:t>
      </w:r>
      <w:r w:rsidRPr="0061552B">
        <w:rPr>
          <w:rFonts w:ascii="Times New Roman" w:eastAsia="Calibri" w:hAnsi="Times New Roman" w:cs="Times New Roman"/>
          <w:sz w:val="20"/>
          <w:szCs w:val="20"/>
          <w:lang w:eastAsia="ar-EG" w:bidi="ar-EG"/>
        </w:rPr>
        <w:t xml:space="preserve"> Mansoura Specialized Medical Hospital outpatient HCC clinic</w:t>
      </w:r>
      <w:r w:rsidRPr="0061552B">
        <w:rPr>
          <w:rFonts w:ascii="Times New Roman" w:hAnsi="Times New Roman" w:cs="Times New Roman"/>
          <w:sz w:val="20"/>
          <w:szCs w:val="20"/>
        </w:rPr>
        <w:t xml:space="preserve"> .</w:t>
      </w:r>
    </w:p>
    <w:p w:rsidR="0061552B" w:rsidRDefault="0061552B">
      <w:pPr>
        <w:autoSpaceDE w:val="0"/>
        <w:autoSpaceDN w:val="0"/>
        <w:adjustRightInd w:val="0"/>
        <w:spacing w:after="0" w:line="240" w:lineRule="auto"/>
        <w:rPr>
          <w:rFonts w:ascii="Times New Roman" w:hAnsi="Times New Roman" w:cs="Times New Roman" w:hint="eastAsia"/>
          <w:b/>
          <w:bCs/>
          <w:sz w:val="20"/>
          <w:szCs w:val="20"/>
          <w:lang w:eastAsia="zh-CN"/>
        </w:rPr>
      </w:pPr>
    </w:p>
    <w:p w:rsidR="000D44FB" w:rsidRPr="0061552B" w:rsidRDefault="00CD6B80">
      <w:pPr>
        <w:autoSpaceDE w:val="0"/>
        <w:autoSpaceDN w:val="0"/>
        <w:adjustRightInd w:val="0"/>
        <w:spacing w:after="0" w:line="240" w:lineRule="auto"/>
        <w:rPr>
          <w:rFonts w:ascii="Times New Roman" w:hAnsi="Times New Roman" w:cs="Times New Roman"/>
          <w:b/>
          <w:bCs/>
          <w:sz w:val="20"/>
          <w:szCs w:val="20"/>
        </w:rPr>
      </w:pPr>
      <w:r w:rsidRPr="0061552B">
        <w:rPr>
          <w:rFonts w:ascii="Times New Roman" w:hAnsi="Times New Roman" w:cs="Times New Roman"/>
          <w:b/>
          <w:bCs/>
          <w:sz w:val="20"/>
          <w:szCs w:val="20"/>
        </w:rPr>
        <w:t>Exclusion criteria:</w:t>
      </w:r>
    </w:p>
    <w:p w:rsidR="000D44FB" w:rsidRPr="0061552B" w:rsidRDefault="00CD6B80">
      <w:pPr>
        <w:autoSpaceDE w:val="0"/>
        <w:autoSpaceDN w:val="0"/>
        <w:adjustRightInd w:val="0"/>
        <w:spacing w:after="0" w:line="240" w:lineRule="auto"/>
        <w:rPr>
          <w:rFonts w:ascii="Times New Roman" w:hAnsi="Times New Roman" w:cs="Times New Roman"/>
          <w:sz w:val="20"/>
          <w:szCs w:val="20"/>
        </w:rPr>
      </w:pPr>
      <w:r w:rsidRPr="0061552B">
        <w:rPr>
          <w:rFonts w:ascii="Times New Roman" w:hAnsi="Times New Roman" w:cs="Times New Roman"/>
          <w:sz w:val="20"/>
          <w:szCs w:val="20"/>
        </w:rPr>
        <w:t>1-Evidence of extrahepatic malignancies.</w:t>
      </w:r>
    </w:p>
    <w:p w:rsidR="000D44FB" w:rsidRPr="0061552B" w:rsidRDefault="00CD6B80">
      <w:pPr>
        <w:autoSpaceDE w:val="0"/>
        <w:autoSpaceDN w:val="0"/>
        <w:adjustRightInd w:val="0"/>
        <w:spacing w:after="0" w:line="240" w:lineRule="auto"/>
        <w:rPr>
          <w:rFonts w:ascii="Times New Roman" w:hAnsi="Times New Roman" w:cs="Times New Roman"/>
          <w:sz w:val="20"/>
          <w:szCs w:val="20"/>
        </w:rPr>
      </w:pPr>
      <w:r w:rsidRPr="0061552B">
        <w:rPr>
          <w:rFonts w:ascii="Times New Roman" w:hAnsi="Times New Roman" w:cs="Times New Roman"/>
          <w:sz w:val="20"/>
          <w:szCs w:val="20"/>
        </w:rPr>
        <w:t>2-Hepatic  secondaries.</w:t>
      </w:r>
    </w:p>
    <w:p w:rsidR="000D44FB" w:rsidRPr="0061552B" w:rsidRDefault="00CD6B80">
      <w:pPr>
        <w:autoSpaceDE w:val="0"/>
        <w:autoSpaceDN w:val="0"/>
        <w:adjustRightInd w:val="0"/>
        <w:spacing w:after="0" w:line="240" w:lineRule="auto"/>
        <w:rPr>
          <w:rFonts w:ascii="Times New Roman" w:hAnsi="Times New Roman" w:cs="Times New Roman"/>
          <w:sz w:val="20"/>
          <w:szCs w:val="20"/>
        </w:rPr>
      </w:pPr>
      <w:r w:rsidRPr="0061552B">
        <w:rPr>
          <w:rFonts w:ascii="Times New Roman" w:hAnsi="Times New Roman" w:cs="Times New Roman"/>
          <w:sz w:val="20"/>
          <w:szCs w:val="20"/>
        </w:rPr>
        <w:t xml:space="preserve">3-History </w:t>
      </w:r>
      <w:r w:rsidRPr="0061552B">
        <w:rPr>
          <w:rFonts w:ascii="Times New Roman" w:hAnsi="Times New Roman" w:cs="Times New Roman"/>
          <w:sz w:val="20"/>
          <w:szCs w:val="20"/>
        </w:rPr>
        <w:t>of recent antibiotics or PPI in last 2weeks.</w:t>
      </w:r>
    </w:p>
    <w:p w:rsidR="000D44FB" w:rsidRPr="0061552B" w:rsidRDefault="00CD6B80">
      <w:pPr>
        <w:autoSpaceDE w:val="0"/>
        <w:autoSpaceDN w:val="0"/>
        <w:adjustRightInd w:val="0"/>
        <w:spacing w:after="0" w:line="240" w:lineRule="auto"/>
        <w:rPr>
          <w:rFonts w:ascii="Times New Roman" w:hAnsi="Times New Roman" w:cs="Times New Roman"/>
          <w:sz w:val="20"/>
          <w:szCs w:val="20"/>
        </w:rPr>
      </w:pPr>
      <w:r w:rsidRPr="0061552B">
        <w:rPr>
          <w:rFonts w:ascii="Times New Roman" w:hAnsi="Times New Roman" w:cs="Times New Roman"/>
          <w:sz w:val="20"/>
          <w:szCs w:val="20"/>
        </w:rPr>
        <w:t>4-Known drug abuse .</w:t>
      </w:r>
    </w:p>
    <w:p w:rsidR="000D44FB" w:rsidRPr="0061552B" w:rsidRDefault="00CD6B80">
      <w:pPr>
        <w:autoSpaceDE w:val="0"/>
        <w:autoSpaceDN w:val="0"/>
        <w:adjustRightInd w:val="0"/>
        <w:spacing w:after="0" w:line="240" w:lineRule="auto"/>
        <w:rPr>
          <w:rFonts w:ascii="Times New Roman" w:hAnsi="Times New Roman" w:cs="Times New Roman"/>
          <w:sz w:val="20"/>
          <w:szCs w:val="20"/>
        </w:rPr>
      </w:pPr>
      <w:r w:rsidRPr="0061552B">
        <w:rPr>
          <w:rFonts w:ascii="Times New Roman" w:hAnsi="Times New Roman" w:cs="Times New Roman"/>
          <w:sz w:val="20"/>
          <w:szCs w:val="20"/>
        </w:rPr>
        <w:t>5-Pregnant females.</w:t>
      </w:r>
    </w:p>
    <w:p w:rsidR="000D44FB" w:rsidRDefault="00CD6B80">
      <w:pPr>
        <w:autoSpaceDE w:val="0"/>
        <w:autoSpaceDN w:val="0"/>
        <w:adjustRightInd w:val="0"/>
        <w:spacing w:after="0" w:line="240" w:lineRule="auto"/>
        <w:rPr>
          <w:rFonts w:ascii="Times New Roman" w:hAnsi="Times New Roman" w:cs="Times New Roman" w:hint="eastAsia"/>
          <w:sz w:val="20"/>
          <w:szCs w:val="20"/>
          <w:lang w:eastAsia="zh-CN"/>
        </w:rPr>
      </w:pPr>
      <w:r w:rsidRPr="0061552B">
        <w:rPr>
          <w:rFonts w:ascii="Times New Roman" w:hAnsi="Times New Roman" w:cs="Times New Roman"/>
          <w:sz w:val="20"/>
          <w:szCs w:val="20"/>
        </w:rPr>
        <w:t>6-Organ failure: heart failure, respiratory failure, renal failure..</w:t>
      </w:r>
    </w:p>
    <w:p w:rsidR="0061552B" w:rsidRPr="0061552B" w:rsidRDefault="0061552B">
      <w:pPr>
        <w:autoSpaceDE w:val="0"/>
        <w:autoSpaceDN w:val="0"/>
        <w:adjustRightInd w:val="0"/>
        <w:spacing w:after="0" w:line="240" w:lineRule="auto"/>
        <w:rPr>
          <w:rFonts w:ascii="Times New Roman" w:eastAsia="Calibri" w:hAnsi="Times New Roman" w:cs="Times New Roman" w:hint="eastAsia"/>
          <w:sz w:val="20"/>
          <w:szCs w:val="20"/>
          <w:lang w:eastAsia="zh-CN"/>
        </w:rPr>
      </w:pPr>
    </w:p>
    <w:p w:rsidR="000D44FB" w:rsidRPr="0061552B" w:rsidRDefault="00CD6B80">
      <w:pPr>
        <w:spacing w:after="0" w:line="240" w:lineRule="auto"/>
        <w:jc w:val="both"/>
        <w:rPr>
          <w:rFonts w:ascii="Times New Roman" w:eastAsia="Calibri" w:hAnsi="Times New Roman" w:cs="Times New Roman"/>
          <w:sz w:val="20"/>
          <w:szCs w:val="20"/>
          <w:lang w:eastAsia="ar-EG"/>
        </w:rPr>
      </w:pPr>
      <w:r w:rsidRPr="0061552B">
        <w:rPr>
          <w:rFonts w:ascii="Times New Roman" w:eastAsia="Calibri" w:hAnsi="Times New Roman" w:cs="Times New Roman"/>
          <w:b/>
          <w:bCs/>
          <w:sz w:val="20"/>
          <w:szCs w:val="20"/>
          <w:lang w:eastAsia="ar-EG"/>
        </w:rPr>
        <w:t xml:space="preserve">Statistical analysis: </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rPr>
      </w:pPr>
      <w:r w:rsidRPr="0061552B">
        <w:rPr>
          <w:rFonts w:ascii="Times New Roman" w:eastAsia="Calibri" w:hAnsi="Times New Roman" w:cs="Times New Roman"/>
          <w:sz w:val="20"/>
          <w:szCs w:val="20"/>
          <w:lang w:eastAsia="ar-EG"/>
        </w:rPr>
        <w:t>The collected data were entered and analyzed using IBM-SPSS software (IBM Corp</w:t>
      </w:r>
      <w:r w:rsidRPr="0061552B">
        <w:rPr>
          <w:rFonts w:ascii="Times New Roman" w:eastAsia="Calibri" w:hAnsi="Times New Roman" w:cs="Times New Roman"/>
          <w:sz w:val="20"/>
          <w:szCs w:val="20"/>
          <w:lang w:eastAsia="ar-EG"/>
        </w:rPr>
        <w:t>. Released 2019. IBM SPSS Statistics for Windows, Version 26.0. Armonk, NY: IBM Corp).</w:t>
      </w:r>
    </w:p>
    <w:p w:rsidR="000D44FB" w:rsidRPr="0061552B" w:rsidRDefault="00CD6B80">
      <w:pPr>
        <w:spacing w:after="0" w:line="240" w:lineRule="auto"/>
        <w:jc w:val="both"/>
        <w:rPr>
          <w:rFonts w:ascii="Times New Roman" w:eastAsia="Calibri" w:hAnsi="Times New Roman" w:cs="Times New Roman"/>
          <w:sz w:val="20"/>
          <w:szCs w:val="20"/>
          <w:lang w:eastAsia="ar-EG"/>
        </w:rPr>
      </w:pPr>
      <w:r w:rsidRPr="0061552B">
        <w:rPr>
          <w:rFonts w:ascii="Times New Roman" w:eastAsia="Calibri" w:hAnsi="Times New Roman" w:cs="Times New Roman"/>
          <w:sz w:val="20"/>
          <w:szCs w:val="20"/>
          <w:lang w:eastAsia="ar-EG" w:bidi="ar-EG"/>
        </w:rPr>
        <w:t xml:space="preserve"> All cases (N=236), HCC cases (N=110) and control subjects (N=126) were in</w:t>
      </w:r>
      <w:r w:rsidRPr="0061552B">
        <w:rPr>
          <w:rFonts w:ascii="Times New Roman" w:hAnsi="Times New Roman" w:cs="Times New Roman"/>
          <w:b/>
          <w:bCs/>
          <w:sz w:val="20"/>
          <w:szCs w:val="20"/>
        </w:rPr>
        <w:t xml:space="preserve"> </w:t>
      </w:r>
      <w:r w:rsidRPr="0061552B">
        <w:rPr>
          <w:rFonts w:ascii="Times New Roman" w:eastAsia="Calibri" w:hAnsi="Times New Roman" w:cs="Times New Roman"/>
          <w:sz w:val="20"/>
          <w:szCs w:val="20"/>
          <w:lang w:eastAsia="ar-EG" w:bidi="ar-EG"/>
        </w:rPr>
        <w:t>Hardy-Weinberg equilibrium (HWE).</w:t>
      </w:r>
    </w:p>
    <w:p w:rsidR="000D44FB" w:rsidRPr="0061552B" w:rsidRDefault="000D44FB">
      <w:pPr>
        <w:spacing w:after="0" w:line="240" w:lineRule="auto"/>
        <w:jc w:val="both"/>
        <w:rPr>
          <w:rFonts w:ascii="Times New Roman" w:eastAsia="Calibri" w:hAnsi="Times New Roman" w:cs="Times New Roman"/>
          <w:b/>
          <w:bCs/>
          <w:sz w:val="20"/>
          <w:szCs w:val="20"/>
          <w:lang w:eastAsia="ar-EG"/>
        </w:rPr>
      </w:pPr>
    </w:p>
    <w:p w:rsidR="000D44FB" w:rsidRPr="0061552B" w:rsidRDefault="00CD6B80">
      <w:pPr>
        <w:spacing w:after="0" w:line="240" w:lineRule="auto"/>
        <w:jc w:val="both"/>
        <w:rPr>
          <w:rFonts w:ascii="Times New Roman" w:eastAsia="Calibri" w:hAnsi="Times New Roman" w:cs="Times New Roman"/>
          <w:b/>
          <w:bCs/>
          <w:sz w:val="20"/>
          <w:szCs w:val="20"/>
          <w:lang w:eastAsia="ar-EG"/>
        </w:rPr>
      </w:pPr>
      <w:r w:rsidRPr="0061552B">
        <w:rPr>
          <w:rFonts w:ascii="Times New Roman" w:eastAsia="Calibri" w:hAnsi="Times New Roman" w:cs="Times New Roman"/>
          <w:b/>
          <w:bCs/>
          <w:sz w:val="20"/>
          <w:szCs w:val="20"/>
          <w:lang w:eastAsia="ar-EG"/>
        </w:rPr>
        <w:t xml:space="preserve">3. Results: </w:t>
      </w:r>
    </w:p>
    <w:p w:rsidR="000D44FB" w:rsidRPr="0061552B" w:rsidRDefault="00CD6B80">
      <w:pPr>
        <w:spacing w:after="0" w:line="240" w:lineRule="auto"/>
        <w:jc w:val="both"/>
        <w:rPr>
          <w:rFonts w:ascii="Times New Roman" w:eastAsia="Calibri" w:hAnsi="Times New Roman" w:cs="Times New Roman"/>
          <w:b/>
          <w:bCs/>
          <w:sz w:val="20"/>
          <w:szCs w:val="20"/>
          <w:lang w:eastAsia="ar-EG"/>
        </w:rPr>
      </w:pPr>
      <w:r w:rsidRPr="0061552B">
        <w:rPr>
          <w:rFonts w:ascii="Times New Roman" w:eastAsia="Calibri" w:hAnsi="Times New Roman" w:cs="Times New Roman"/>
          <w:b/>
          <w:bCs/>
          <w:sz w:val="20"/>
          <w:szCs w:val="20"/>
          <w:lang w:eastAsia="ar-EG"/>
        </w:rPr>
        <w:t>The main findings were:</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 xml:space="preserve">Table 1 shows no </w:t>
      </w:r>
      <w:r w:rsidRPr="0061552B">
        <w:rPr>
          <w:rFonts w:ascii="Times New Roman" w:eastAsia="Calibri" w:hAnsi="Times New Roman" w:cs="Times New Roman"/>
          <w:sz w:val="20"/>
          <w:szCs w:val="20"/>
          <w:lang w:eastAsia="ar-EG" w:bidi="ar-EG"/>
        </w:rPr>
        <w:t>statistically significant difference in sex distribution between HCC cases vs control subjects. A statistically significantly higher proportion of ex-smokers and a statistically significantly lower proportion of non-smokers were observed in HCC vs control.</w:t>
      </w:r>
      <w:r w:rsidRPr="0061552B">
        <w:rPr>
          <w:rFonts w:ascii="Times New Roman" w:eastAsia="Calibri" w:hAnsi="Times New Roman" w:cs="Times New Roman"/>
          <w:sz w:val="20"/>
          <w:szCs w:val="20"/>
          <w:lang w:eastAsia="ar-EG" w:bidi="ar-EG"/>
        </w:rPr>
        <w:t xml:space="preserve"> A statistically significantly higher proportion of DM and positive H. pylori stool antigen test were found in HCC cases vs control subjects.</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 xml:space="preserve">Table 2 shows no statistically significant difference in age distribution and serum creatinine levels between HCC </w:t>
      </w:r>
      <w:r w:rsidRPr="0061552B">
        <w:rPr>
          <w:rFonts w:ascii="Times New Roman" w:eastAsia="Calibri" w:hAnsi="Times New Roman" w:cs="Times New Roman"/>
          <w:sz w:val="20"/>
          <w:szCs w:val="20"/>
          <w:lang w:eastAsia="ar-EG" w:bidi="ar-EG"/>
        </w:rPr>
        <w:t>cases vs control subjects. A statistically significantly higher ALT, AST, and serum total bilirubin were observed in HCC vs control. A statistically significantly lower BMI, hemoglobin, platelet count, and serum albumin were found in HCC cases vs control s</w:t>
      </w:r>
      <w:r w:rsidRPr="0061552B">
        <w:rPr>
          <w:rFonts w:ascii="Times New Roman" w:eastAsia="Calibri" w:hAnsi="Times New Roman" w:cs="Times New Roman"/>
          <w:sz w:val="20"/>
          <w:szCs w:val="20"/>
          <w:lang w:eastAsia="ar-EG" w:bidi="ar-EG"/>
        </w:rPr>
        <w:t>ubjects.</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Table 3 shows a statistically significantly higher ‘A’ allele in HCC vs control (risk allele). This association is of low strength. A participant with ‘A’ allele has 2.5-times higher odds to exhibit HCC.</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Table 4 shows a statistically significantly</w:t>
      </w:r>
      <w:r w:rsidRPr="0061552B">
        <w:rPr>
          <w:rFonts w:ascii="Times New Roman" w:eastAsia="Calibri" w:hAnsi="Times New Roman" w:cs="Times New Roman"/>
          <w:sz w:val="20"/>
          <w:szCs w:val="20"/>
          <w:lang w:eastAsia="ar-EG" w:bidi="ar-EG"/>
        </w:rPr>
        <w:t xml:space="preserve"> higher G/A – A/A genotypes in HCC vs. control (risk genotypes). This association is of low strength. A participant with G/A or A/A genotype has 2.8-times higher odds to exhibit HCC.</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Table 5</w:t>
      </w:r>
      <w:r w:rsidRPr="0061552B">
        <w:rPr>
          <w:rFonts w:ascii="Times New Roman" w:hAnsi="Times New Roman" w:cs="Times New Roman"/>
          <w:sz w:val="20"/>
          <w:szCs w:val="20"/>
        </w:rPr>
        <w:t xml:space="preserve"> </w:t>
      </w:r>
      <w:r w:rsidRPr="0061552B">
        <w:rPr>
          <w:rFonts w:ascii="Times New Roman" w:eastAsia="Calibri" w:hAnsi="Times New Roman" w:cs="Times New Roman"/>
          <w:sz w:val="20"/>
          <w:szCs w:val="20"/>
          <w:lang w:eastAsia="ar-EG" w:bidi="ar-EG"/>
        </w:rPr>
        <w:t>shows that the best inheritance model is the dominant model. Part</w:t>
      </w:r>
      <w:r w:rsidRPr="0061552B">
        <w:rPr>
          <w:rFonts w:ascii="Times New Roman" w:eastAsia="Calibri" w:hAnsi="Times New Roman" w:cs="Times New Roman"/>
          <w:sz w:val="20"/>
          <w:szCs w:val="20"/>
          <w:lang w:eastAsia="ar-EG" w:bidi="ar-EG"/>
        </w:rPr>
        <w:t>icipants with G/A or A/A genotype have 2.8-times higher odds (adjusted for age and sex) to exhibit HCC</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 xml:space="preserve">Table 6 shows the results of binary logistic regression, which was run to ascertain the effects of diabetes, positive H. Pylori, current or ex-smoker, </w:t>
      </w:r>
      <w:r w:rsidRPr="0061552B">
        <w:rPr>
          <w:rFonts w:ascii="Times New Roman" w:eastAsia="Calibri" w:hAnsi="Times New Roman" w:cs="Times New Roman"/>
          <w:sz w:val="20"/>
          <w:szCs w:val="20"/>
          <w:lang w:eastAsia="ar-EG" w:bidi="ar-EG"/>
        </w:rPr>
        <w:t xml:space="preserve">and G/A-A/A genotypes of TNF-α 308 on the likelihood of occurrence of HCC. All 4 variables </w:t>
      </w:r>
      <w:r w:rsidRPr="0061552B">
        <w:rPr>
          <w:rFonts w:ascii="Times New Roman" w:eastAsia="Calibri" w:hAnsi="Times New Roman" w:cs="Times New Roman"/>
          <w:sz w:val="20"/>
          <w:szCs w:val="20"/>
          <w:lang w:eastAsia="ar-EG" w:bidi="ar-EG"/>
        </w:rPr>
        <w:lastRenderedPageBreak/>
        <w:t>were statistically significant on univariate analysis. However, on multivariate analysis, diabetes was no longer statistically significant predictor. The model corre</w:t>
      </w:r>
      <w:r w:rsidRPr="0061552B">
        <w:rPr>
          <w:rFonts w:ascii="Times New Roman" w:eastAsia="Calibri" w:hAnsi="Times New Roman" w:cs="Times New Roman"/>
          <w:sz w:val="20"/>
          <w:szCs w:val="20"/>
          <w:lang w:eastAsia="ar-EG" w:bidi="ar-EG"/>
        </w:rPr>
        <w:t xml:space="preserve">ctly classifies 69% of cases, with 71% sensitivity and 67% specificity. The model was </w:t>
      </w:r>
      <w:r w:rsidRPr="0061552B">
        <w:rPr>
          <w:rFonts w:ascii="Times New Roman" w:eastAsia="Calibri" w:hAnsi="Times New Roman" w:cs="Times New Roman"/>
          <w:sz w:val="20"/>
          <w:szCs w:val="20"/>
          <w:lang w:eastAsia="ar-EG" w:bidi="ar-EG"/>
        </w:rPr>
        <w:lastRenderedPageBreak/>
        <w:t>statistically significant (</w:t>
      </w:r>
      <w:r w:rsidRPr="0061552B">
        <w:rPr>
          <w:rFonts w:ascii="Times New Roman" w:eastAsia="Calibri" w:hAnsi="Times New Roman" w:cs="Times New Roman"/>
          <w:sz w:val="20"/>
          <w:szCs w:val="20"/>
          <w:lang w:eastAsia="ar-EG" w:bidi="ar-EG"/>
        </w:rPr>
        <w:sym w:font="Symbol" w:char="F063"/>
      </w:r>
      <w:r w:rsidRPr="0061552B">
        <w:rPr>
          <w:rFonts w:ascii="Times New Roman" w:eastAsia="Calibri" w:hAnsi="Times New Roman" w:cs="Times New Roman"/>
          <w:sz w:val="20"/>
          <w:szCs w:val="20"/>
          <w:vertAlign w:val="superscript"/>
          <w:lang w:eastAsia="ar-EG" w:bidi="ar-EG"/>
        </w:rPr>
        <w:t xml:space="preserve">2 </w:t>
      </w:r>
      <w:r w:rsidRPr="0061552B">
        <w:rPr>
          <w:rFonts w:ascii="Times New Roman" w:eastAsia="Calibri" w:hAnsi="Times New Roman" w:cs="Times New Roman"/>
          <w:sz w:val="20"/>
          <w:szCs w:val="20"/>
          <w:lang w:eastAsia="ar-EG" w:bidi="ar-EG"/>
        </w:rPr>
        <w:t>[4] = 57.034, P &lt;0.001).  Participants with history of smoking (ex-smoker and current), positive H. pylori, and G/A-A/A genotypes have 2.5-,</w:t>
      </w:r>
      <w:r w:rsidRPr="0061552B">
        <w:rPr>
          <w:rFonts w:ascii="Times New Roman" w:eastAsia="Calibri" w:hAnsi="Times New Roman" w:cs="Times New Roman"/>
          <w:sz w:val="20"/>
          <w:szCs w:val="20"/>
          <w:lang w:eastAsia="ar-EG" w:bidi="ar-EG"/>
        </w:rPr>
        <w:t xml:space="preserve"> 5.3-, and 2.8-times higher odds, respectively to exhibit HCC.</w:t>
      </w:r>
    </w:p>
    <w:p w:rsidR="000D44FB" w:rsidRPr="0061552B" w:rsidRDefault="000D44FB">
      <w:pPr>
        <w:spacing w:after="0" w:line="240" w:lineRule="auto"/>
        <w:jc w:val="both"/>
        <w:rPr>
          <w:rFonts w:ascii="Times New Roman" w:eastAsia="Calibri" w:hAnsi="Times New Roman" w:cs="Times New Roman"/>
          <w:b/>
          <w:bCs/>
          <w:sz w:val="20"/>
          <w:szCs w:val="20"/>
          <w:lang w:eastAsia="ar-EG" w:bidi="ar-EG"/>
        </w:rPr>
        <w:sectPr w:rsidR="000D44FB" w:rsidRPr="0061552B">
          <w:type w:val="continuous"/>
          <w:pgSz w:w="12240" w:h="15840"/>
          <w:pgMar w:top="1440" w:right="1440" w:bottom="1440" w:left="1440" w:header="720" w:footer="720" w:gutter="0"/>
          <w:cols w:num="2" w:space="709"/>
          <w:titlePg/>
          <w:docGrid w:linePitch="360"/>
        </w:sectPr>
      </w:pPr>
    </w:p>
    <w:p w:rsidR="0061552B" w:rsidRDefault="0061552B">
      <w:pPr>
        <w:spacing w:after="0" w:line="240" w:lineRule="auto"/>
        <w:rPr>
          <w:rFonts w:ascii="Times New Roman" w:hAnsi="Times New Roman" w:cs="Times New Roman" w:hint="eastAsia"/>
          <w:b/>
          <w:bCs/>
          <w:sz w:val="20"/>
          <w:szCs w:val="20"/>
          <w:lang w:eastAsia="zh-CN"/>
        </w:rPr>
      </w:pPr>
    </w:p>
    <w:p w:rsidR="000D44FB" w:rsidRPr="0061552B" w:rsidRDefault="00CD6B80">
      <w:pPr>
        <w:spacing w:after="0" w:line="240" w:lineRule="auto"/>
        <w:rPr>
          <w:rFonts w:ascii="Times New Roman" w:hAnsi="Times New Roman" w:cs="Times New Roman"/>
          <w:b/>
          <w:bCs/>
          <w:sz w:val="20"/>
          <w:szCs w:val="20"/>
        </w:rPr>
      </w:pPr>
      <w:r w:rsidRPr="0061552B">
        <w:rPr>
          <w:rFonts w:ascii="Times New Roman" w:hAnsi="Times New Roman" w:cs="Times New Roman"/>
          <w:b/>
          <w:bCs/>
          <w:sz w:val="20"/>
          <w:szCs w:val="20"/>
        </w:rPr>
        <w:t>Table (1): Comparisons of categorical parameters between HCC and control groups</w:t>
      </w:r>
    </w:p>
    <w:tbl>
      <w:tblPr>
        <w:tblStyle w:val="PlainTable2"/>
        <w:tblW w:w="9358" w:type="dxa"/>
        <w:jc w:val="center"/>
        <w:tblLook w:val="04A0"/>
      </w:tblPr>
      <w:tblGrid>
        <w:gridCol w:w="2084"/>
        <w:gridCol w:w="1709"/>
        <w:gridCol w:w="1710"/>
        <w:gridCol w:w="1207"/>
        <w:gridCol w:w="1488"/>
        <w:gridCol w:w="1160"/>
      </w:tblGrid>
      <w:tr w:rsidR="000D44FB" w:rsidRPr="0061552B" w:rsidTr="000D44FB">
        <w:trPr>
          <w:cnfStyle w:val="100000000000"/>
          <w:trHeight w:val="249"/>
          <w:jc w:val="center"/>
        </w:trPr>
        <w:tc>
          <w:tcPr>
            <w:cnfStyle w:val="001000000000"/>
            <w:tcW w:w="2084"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Parameter</w:t>
            </w:r>
          </w:p>
        </w:tc>
        <w:tc>
          <w:tcPr>
            <w:tcW w:w="1709"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Control</w:t>
            </w:r>
          </w:p>
        </w:tc>
        <w:tc>
          <w:tcPr>
            <w:tcW w:w="1710"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HCC</w:t>
            </w:r>
          </w:p>
        </w:tc>
        <w:tc>
          <w:tcPr>
            <w:tcW w:w="1207"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sym w:font="Symbol" w:char="F063"/>
            </w:r>
            <w:r w:rsidRPr="0061552B">
              <w:rPr>
                <w:rFonts w:ascii="Times New Roman" w:hAnsi="Times New Roman" w:cs="Times New Roman"/>
                <w:sz w:val="20"/>
                <w:szCs w:val="20"/>
                <w:vertAlign w:val="superscript"/>
              </w:rPr>
              <w:t>2</w:t>
            </w:r>
          </w:p>
        </w:tc>
        <w:tc>
          <w:tcPr>
            <w:tcW w:w="1488"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sym w:font="Symbol" w:char="F06A"/>
            </w:r>
            <w:r w:rsidRPr="0061552B">
              <w:rPr>
                <w:rFonts w:ascii="Times New Roman" w:hAnsi="Times New Roman" w:cs="Times New Roman"/>
                <w:sz w:val="20"/>
                <w:szCs w:val="20"/>
              </w:rPr>
              <w:t xml:space="preserve"> / Cramer’s V</w:t>
            </w:r>
          </w:p>
        </w:tc>
        <w:tc>
          <w:tcPr>
            <w:tcW w:w="1160"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P value</w:t>
            </w:r>
          </w:p>
        </w:tc>
      </w:tr>
      <w:tr w:rsidR="000D44FB" w:rsidRPr="0061552B" w:rsidTr="000D44FB">
        <w:trPr>
          <w:trHeight w:val="653"/>
          <w:jc w:val="center"/>
        </w:trPr>
        <w:tc>
          <w:tcPr>
            <w:cnfStyle w:val="001000000000"/>
            <w:tcW w:w="208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Sex</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Male</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Female</w:t>
            </w:r>
          </w:p>
        </w:tc>
        <w:tc>
          <w:tcPr>
            <w:tcW w:w="1709"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114 (90.5%)</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12 (9.5%)</w:t>
            </w:r>
          </w:p>
        </w:tc>
        <w:tc>
          <w:tcPr>
            <w:tcW w:w="1710"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 xml:space="preserve">92 </w:t>
            </w:r>
            <w:r w:rsidRPr="0061552B">
              <w:rPr>
                <w:rFonts w:ascii="Times New Roman" w:hAnsi="Times New Roman" w:cs="Times New Roman"/>
                <w:sz w:val="20"/>
                <w:szCs w:val="20"/>
              </w:rPr>
              <w:t>(83.6%)</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18 (16.4%)</w:t>
            </w:r>
          </w:p>
        </w:tc>
        <w:tc>
          <w:tcPr>
            <w:tcW w:w="120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2.476</w:t>
            </w:r>
          </w:p>
        </w:tc>
        <w:tc>
          <w:tcPr>
            <w:tcW w:w="1488"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0.102</w:t>
            </w:r>
          </w:p>
        </w:tc>
        <w:tc>
          <w:tcPr>
            <w:tcW w:w="116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0.116</w:t>
            </w:r>
          </w:p>
        </w:tc>
      </w:tr>
      <w:tr w:rsidR="000D44FB" w:rsidRPr="0061552B" w:rsidTr="000D44FB">
        <w:trPr>
          <w:trHeight w:val="868"/>
          <w:jc w:val="center"/>
        </w:trPr>
        <w:tc>
          <w:tcPr>
            <w:cnfStyle w:val="001000000000"/>
            <w:tcW w:w="2084"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Smoking</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Never smoker</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Ex-smoker</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Current smoker</w:t>
            </w:r>
          </w:p>
        </w:tc>
        <w:tc>
          <w:tcPr>
            <w:tcW w:w="1709"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102 (81%) a</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 (2.4%) a</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21 (16.7%) a</w:t>
            </w:r>
          </w:p>
        </w:tc>
        <w:tc>
          <w:tcPr>
            <w:tcW w:w="1710"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68 (61.8%) b</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16 (14.5%) b</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26 (23.6%) a</w:t>
            </w:r>
          </w:p>
        </w:tc>
        <w:tc>
          <w:tcPr>
            <w:tcW w:w="120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15.212</w:t>
            </w:r>
          </w:p>
        </w:tc>
        <w:tc>
          <w:tcPr>
            <w:tcW w:w="1488"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0.254</w:t>
            </w:r>
          </w:p>
        </w:tc>
        <w:tc>
          <w:tcPr>
            <w:tcW w:w="116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&lt;0.001</w:t>
            </w:r>
          </w:p>
        </w:tc>
      </w:tr>
      <w:tr w:rsidR="000D44FB" w:rsidRPr="0061552B" w:rsidTr="000D44FB">
        <w:trPr>
          <w:trHeight w:val="234"/>
          <w:jc w:val="center"/>
        </w:trPr>
        <w:tc>
          <w:tcPr>
            <w:cnfStyle w:val="001000000000"/>
            <w:tcW w:w="208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Diabetes</w:t>
            </w:r>
          </w:p>
        </w:tc>
        <w:tc>
          <w:tcPr>
            <w:tcW w:w="1709"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27 (21.4%)</w:t>
            </w:r>
          </w:p>
        </w:tc>
        <w:tc>
          <w:tcPr>
            <w:tcW w:w="171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38 (34.5%)</w:t>
            </w:r>
          </w:p>
        </w:tc>
        <w:tc>
          <w:tcPr>
            <w:tcW w:w="120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5.063</w:t>
            </w:r>
          </w:p>
        </w:tc>
        <w:tc>
          <w:tcPr>
            <w:tcW w:w="1488"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0.146</w:t>
            </w:r>
          </w:p>
        </w:tc>
        <w:tc>
          <w:tcPr>
            <w:tcW w:w="116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0.024</w:t>
            </w:r>
          </w:p>
        </w:tc>
      </w:tr>
      <w:tr w:rsidR="000D44FB" w:rsidRPr="0061552B" w:rsidTr="000D44FB">
        <w:trPr>
          <w:trHeight w:val="265"/>
          <w:jc w:val="center"/>
        </w:trPr>
        <w:tc>
          <w:tcPr>
            <w:cnfStyle w:val="001000000000"/>
            <w:tcW w:w="2084" w:type="dxa"/>
            <w:tcBorders>
              <w:top w:val="nil"/>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H. pylori</w:t>
            </w:r>
          </w:p>
        </w:tc>
        <w:tc>
          <w:tcPr>
            <w:tcW w:w="1709"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 xml:space="preserve">33 </w:t>
            </w:r>
            <w:r w:rsidRPr="0061552B">
              <w:rPr>
                <w:rFonts w:ascii="Times New Roman" w:hAnsi="Times New Roman" w:cs="Times New Roman"/>
                <w:sz w:val="20"/>
                <w:szCs w:val="20"/>
              </w:rPr>
              <w:t>(26.2%)</w:t>
            </w:r>
          </w:p>
        </w:tc>
        <w:tc>
          <w:tcPr>
            <w:tcW w:w="1710"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70 (63.6%)</w:t>
            </w:r>
          </w:p>
        </w:tc>
        <w:tc>
          <w:tcPr>
            <w:tcW w:w="1207"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33.481</w:t>
            </w:r>
          </w:p>
        </w:tc>
        <w:tc>
          <w:tcPr>
            <w:tcW w:w="1488"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0.377</w:t>
            </w:r>
          </w:p>
        </w:tc>
        <w:tc>
          <w:tcPr>
            <w:tcW w:w="1160"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bl>
    <w:p w:rsidR="000D44FB" w:rsidRPr="0061552B" w:rsidRDefault="00CD6B80">
      <w:pPr>
        <w:spacing w:after="0" w:line="240" w:lineRule="auto"/>
        <w:ind w:right="4"/>
        <w:jc w:val="both"/>
        <w:rPr>
          <w:rFonts w:ascii="Times New Roman" w:hAnsi="Times New Roman" w:cs="Times New Roman"/>
          <w:b/>
          <w:bCs/>
          <w:sz w:val="20"/>
          <w:szCs w:val="20"/>
        </w:rPr>
      </w:pPr>
      <w:r w:rsidRPr="0061552B">
        <w:rPr>
          <w:rFonts w:ascii="Times New Roman" w:hAnsi="Times New Roman" w:cs="Times New Roman"/>
          <w:sz w:val="20"/>
          <w:szCs w:val="20"/>
        </w:rPr>
        <w:t xml:space="preserve">Notes: Data is N (%). Measures of the strength of association are </w:t>
      </w:r>
      <w:r w:rsidRPr="0061552B">
        <w:rPr>
          <w:rFonts w:ascii="Times New Roman" w:hAnsi="Times New Roman" w:cs="Times New Roman"/>
          <w:sz w:val="20"/>
          <w:szCs w:val="20"/>
        </w:rPr>
        <w:sym w:font="Symbol" w:char="F06A"/>
      </w:r>
      <w:r w:rsidRPr="0061552B">
        <w:rPr>
          <w:rFonts w:ascii="Times New Roman" w:hAnsi="Times New Roman" w:cs="Times New Roman"/>
          <w:sz w:val="20"/>
          <w:szCs w:val="20"/>
        </w:rPr>
        <w:t xml:space="preserve"> (phi) for 2X2 table and Cramer’s V for 2X3 table (smoking). Test of significance is Chi-Square test.</w:t>
      </w:r>
    </w:p>
    <w:p w:rsidR="000D44FB" w:rsidRPr="0061552B" w:rsidRDefault="000D44FB">
      <w:pPr>
        <w:spacing w:after="0" w:line="240" w:lineRule="auto"/>
        <w:jc w:val="both"/>
        <w:rPr>
          <w:rFonts w:ascii="Times New Roman" w:hAnsi="Times New Roman" w:cs="Times New Roman"/>
          <w:b/>
          <w:bCs/>
          <w:sz w:val="20"/>
          <w:szCs w:val="20"/>
        </w:rPr>
      </w:pPr>
    </w:p>
    <w:p w:rsidR="000D44FB" w:rsidRPr="0061552B" w:rsidRDefault="00CD6B80">
      <w:pPr>
        <w:spacing w:after="0" w:line="240" w:lineRule="auto"/>
        <w:jc w:val="both"/>
        <w:rPr>
          <w:rFonts w:ascii="Times New Roman" w:hAnsi="Times New Roman" w:cs="Times New Roman"/>
          <w:b/>
          <w:bCs/>
          <w:sz w:val="20"/>
          <w:szCs w:val="20"/>
        </w:rPr>
      </w:pPr>
      <w:r w:rsidRPr="0061552B">
        <w:rPr>
          <w:rFonts w:ascii="Times New Roman" w:hAnsi="Times New Roman" w:cs="Times New Roman"/>
          <w:b/>
          <w:bCs/>
          <w:sz w:val="20"/>
          <w:szCs w:val="20"/>
        </w:rPr>
        <w:t xml:space="preserve">Table (2): Comparisons of quantitative </w:t>
      </w:r>
      <w:r w:rsidRPr="0061552B">
        <w:rPr>
          <w:rFonts w:ascii="Times New Roman" w:hAnsi="Times New Roman" w:cs="Times New Roman"/>
          <w:b/>
          <w:bCs/>
          <w:sz w:val="20"/>
          <w:szCs w:val="20"/>
        </w:rPr>
        <w:t>parameters between HCC and control groups</w:t>
      </w:r>
    </w:p>
    <w:tbl>
      <w:tblPr>
        <w:tblStyle w:val="PlainTable2"/>
        <w:tblW w:w="9378" w:type="dxa"/>
        <w:jc w:val="center"/>
        <w:tblLook w:val="04A0"/>
      </w:tblPr>
      <w:tblGrid>
        <w:gridCol w:w="2634"/>
        <w:gridCol w:w="2017"/>
        <w:gridCol w:w="2017"/>
        <w:gridCol w:w="1355"/>
        <w:gridCol w:w="1355"/>
      </w:tblGrid>
      <w:tr w:rsidR="000D44FB" w:rsidRPr="0061552B" w:rsidTr="000D44FB">
        <w:trPr>
          <w:cnfStyle w:val="100000000000"/>
          <w:trHeight w:val="252"/>
          <w:jc w:val="center"/>
        </w:trPr>
        <w:tc>
          <w:tcPr>
            <w:cnfStyle w:val="001000000000"/>
            <w:tcW w:w="2634"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Parameter</w:t>
            </w:r>
          </w:p>
        </w:tc>
        <w:tc>
          <w:tcPr>
            <w:tcW w:w="2017"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Control</w:t>
            </w:r>
          </w:p>
        </w:tc>
        <w:tc>
          <w:tcPr>
            <w:tcW w:w="2017"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HCC</w:t>
            </w:r>
          </w:p>
        </w:tc>
        <w:tc>
          <w:tcPr>
            <w:tcW w:w="1355"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Z value</w:t>
            </w:r>
          </w:p>
        </w:tc>
        <w:tc>
          <w:tcPr>
            <w:tcW w:w="1355"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P value</w:t>
            </w:r>
          </w:p>
        </w:tc>
      </w:tr>
      <w:tr w:rsidR="000D44FB" w:rsidRPr="0061552B" w:rsidTr="000D44FB">
        <w:trPr>
          <w:trHeight w:val="252"/>
          <w:jc w:val="center"/>
        </w:trPr>
        <w:tc>
          <w:tcPr>
            <w:cnfStyle w:val="001000000000"/>
            <w:tcW w:w="263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Age (years)</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60 (55 – 64)</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60 (55 – 65)</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-0.448</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0.654</w:t>
            </w:r>
          </w:p>
        </w:tc>
      </w:tr>
      <w:tr w:rsidR="000D44FB" w:rsidRPr="0061552B" w:rsidTr="000D44FB">
        <w:trPr>
          <w:trHeight w:val="252"/>
          <w:jc w:val="center"/>
        </w:trPr>
        <w:tc>
          <w:tcPr>
            <w:cnfStyle w:val="001000000000"/>
            <w:tcW w:w="2634"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BMI (kg/m</w:t>
            </w:r>
            <w:r w:rsidRPr="0061552B">
              <w:rPr>
                <w:rFonts w:ascii="Times New Roman" w:hAnsi="Times New Roman" w:cs="Times New Roman"/>
                <w:sz w:val="20"/>
                <w:szCs w:val="20"/>
                <w:vertAlign w:val="superscript"/>
              </w:rPr>
              <w:t>2</w:t>
            </w:r>
            <w:r w:rsidRPr="0061552B">
              <w:rPr>
                <w:rFonts w:ascii="Times New Roman" w:hAnsi="Times New Roman" w:cs="Times New Roman"/>
                <w:sz w:val="20"/>
                <w:szCs w:val="20"/>
              </w:rPr>
              <w:t>)</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29.7 (27.1 – 31.9)</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25.9 (24 – 30.2)</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-5.918</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&lt;0.001</w:t>
            </w:r>
          </w:p>
        </w:tc>
      </w:tr>
      <w:tr w:rsidR="000D44FB" w:rsidRPr="0061552B" w:rsidTr="000D44FB">
        <w:trPr>
          <w:trHeight w:val="252"/>
          <w:jc w:val="center"/>
        </w:trPr>
        <w:tc>
          <w:tcPr>
            <w:cnfStyle w:val="001000000000"/>
            <w:tcW w:w="263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Hemoglobin level (g/dl)</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13.3 (12.5 – 14)</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11.2 (10.3 – 12.8)</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-7.166</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r w:rsidR="000D44FB" w:rsidRPr="0061552B" w:rsidTr="000D44FB">
        <w:trPr>
          <w:trHeight w:val="252"/>
          <w:jc w:val="center"/>
        </w:trPr>
        <w:tc>
          <w:tcPr>
            <w:cnfStyle w:val="001000000000"/>
            <w:tcW w:w="2634"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Platelet count</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290 (251 – 350)</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135 (88 – 194)</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-11.740</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r w:rsidR="000D44FB" w:rsidRPr="0061552B" w:rsidTr="000D44FB">
        <w:trPr>
          <w:trHeight w:val="252"/>
          <w:jc w:val="center"/>
        </w:trPr>
        <w:tc>
          <w:tcPr>
            <w:cnfStyle w:val="001000000000"/>
            <w:tcW w:w="263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Serum albumin (g/dl)</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3.8 (3.6 – 4)</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3.5 (3.2 – 3.9)</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-4.535</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r w:rsidR="000D44FB" w:rsidRPr="0061552B" w:rsidTr="000D44FB">
        <w:trPr>
          <w:trHeight w:val="252"/>
          <w:jc w:val="center"/>
        </w:trPr>
        <w:tc>
          <w:tcPr>
            <w:cnfStyle w:val="001000000000"/>
            <w:tcW w:w="2634"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ALT (IU/L)</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24.5 (15 – 31)</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42 (30 – 63)</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-8.593</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r w:rsidR="000D44FB" w:rsidRPr="0061552B" w:rsidTr="000D44FB">
        <w:trPr>
          <w:trHeight w:val="252"/>
          <w:jc w:val="center"/>
        </w:trPr>
        <w:tc>
          <w:tcPr>
            <w:cnfStyle w:val="001000000000"/>
            <w:tcW w:w="263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AST (IU/L)</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21.5 (15 – 30)</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55.4 (41 – 74)</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-11.806</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r w:rsidR="000D44FB" w:rsidRPr="0061552B" w:rsidTr="000D44FB">
        <w:trPr>
          <w:trHeight w:val="252"/>
          <w:jc w:val="center"/>
        </w:trPr>
        <w:tc>
          <w:tcPr>
            <w:cnfStyle w:val="001000000000"/>
            <w:tcW w:w="2634"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Serum total bilirubin (mg/dl)</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0.9 (0.8 – 1.0)</w:t>
            </w:r>
          </w:p>
        </w:tc>
        <w:tc>
          <w:tcPr>
            <w:tcW w:w="201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 (0.8 – 1.3)</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-5.496</w:t>
            </w:r>
          </w:p>
        </w:tc>
        <w:tc>
          <w:tcPr>
            <w:tcW w:w="1355"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r>
      <w:tr w:rsidR="000D44FB" w:rsidRPr="0061552B" w:rsidTr="000D44FB">
        <w:trPr>
          <w:trHeight w:val="285"/>
          <w:jc w:val="center"/>
        </w:trPr>
        <w:tc>
          <w:tcPr>
            <w:cnfStyle w:val="001000000000"/>
            <w:tcW w:w="2634"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Serum creatinine (mg/dl)</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 (0.9 – 1.1)</w:t>
            </w:r>
          </w:p>
        </w:tc>
        <w:tc>
          <w:tcPr>
            <w:tcW w:w="201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0.9 (0.8 – 1.1)</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-1.005</w:t>
            </w:r>
          </w:p>
        </w:tc>
        <w:tc>
          <w:tcPr>
            <w:tcW w:w="1355"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0.315</w:t>
            </w:r>
          </w:p>
        </w:tc>
      </w:tr>
    </w:tbl>
    <w:p w:rsidR="000D44FB" w:rsidRPr="0061552B" w:rsidRDefault="00CD6B80">
      <w:pPr>
        <w:spacing w:after="0" w:line="240" w:lineRule="auto"/>
        <w:jc w:val="both"/>
        <w:rPr>
          <w:rFonts w:ascii="Times New Roman" w:hAnsi="Times New Roman" w:cs="Times New Roman"/>
          <w:sz w:val="20"/>
          <w:szCs w:val="20"/>
        </w:rPr>
      </w:pPr>
      <w:r w:rsidRPr="0061552B">
        <w:rPr>
          <w:rFonts w:ascii="Times New Roman" w:hAnsi="Times New Roman" w:cs="Times New Roman"/>
          <w:sz w:val="20"/>
          <w:szCs w:val="20"/>
        </w:rPr>
        <w:t>Notes: Data is median (Q1 – Q3). Test of significance is Mann-Whitney U-test.</w:t>
      </w:r>
    </w:p>
    <w:p w:rsidR="000D44FB" w:rsidRPr="0061552B" w:rsidRDefault="000D44FB">
      <w:pPr>
        <w:spacing w:after="0" w:line="240" w:lineRule="auto"/>
        <w:jc w:val="both"/>
        <w:rPr>
          <w:rFonts w:ascii="Times New Roman" w:hAnsi="Times New Roman" w:cs="Times New Roman"/>
          <w:b/>
          <w:bCs/>
          <w:sz w:val="20"/>
          <w:szCs w:val="20"/>
        </w:rPr>
      </w:pPr>
    </w:p>
    <w:p w:rsidR="000D44FB" w:rsidRPr="0061552B" w:rsidRDefault="00CD6B80">
      <w:pPr>
        <w:spacing w:after="0" w:line="240" w:lineRule="auto"/>
        <w:jc w:val="both"/>
        <w:rPr>
          <w:rFonts w:ascii="Times New Roman" w:hAnsi="Times New Roman" w:cs="Times New Roman"/>
          <w:b/>
          <w:bCs/>
          <w:sz w:val="20"/>
          <w:szCs w:val="20"/>
        </w:rPr>
      </w:pPr>
      <w:r w:rsidRPr="0061552B">
        <w:rPr>
          <w:rFonts w:ascii="Times New Roman" w:hAnsi="Times New Roman" w:cs="Times New Roman"/>
          <w:b/>
          <w:bCs/>
          <w:sz w:val="20"/>
          <w:szCs w:val="20"/>
        </w:rPr>
        <w:t xml:space="preserve">Table (3): Comparisons of </w:t>
      </w:r>
      <w:r w:rsidRPr="0061552B">
        <w:rPr>
          <w:rFonts w:ascii="Times New Roman" w:hAnsi="Times New Roman" w:cs="Times New Roman"/>
          <w:b/>
          <w:bCs/>
          <w:sz w:val="20"/>
          <w:szCs w:val="20"/>
        </w:rPr>
        <w:t>TNF-α 308 alleles between HCC and control groups</w:t>
      </w:r>
    </w:p>
    <w:tbl>
      <w:tblPr>
        <w:tblStyle w:val="PlainTable21"/>
        <w:tblW w:w="9462" w:type="dxa"/>
        <w:jc w:val="center"/>
        <w:tblLook w:val="04A0"/>
      </w:tblPr>
      <w:tblGrid>
        <w:gridCol w:w="1633"/>
        <w:gridCol w:w="1467"/>
        <w:gridCol w:w="1413"/>
        <w:gridCol w:w="785"/>
        <w:gridCol w:w="676"/>
        <w:gridCol w:w="892"/>
        <w:gridCol w:w="1138"/>
        <w:gridCol w:w="1458"/>
      </w:tblGrid>
      <w:tr w:rsidR="000D44FB" w:rsidRPr="0061552B" w:rsidTr="000D44FB">
        <w:trPr>
          <w:cnfStyle w:val="100000000000"/>
          <w:trHeight w:val="208"/>
          <w:jc w:val="center"/>
        </w:trPr>
        <w:tc>
          <w:tcPr>
            <w:cnfStyle w:val="001000000000"/>
            <w:tcW w:w="1633"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Allele</w:t>
            </w:r>
          </w:p>
        </w:tc>
        <w:tc>
          <w:tcPr>
            <w:tcW w:w="1467"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Control</w:t>
            </w:r>
          </w:p>
        </w:tc>
        <w:tc>
          <w:tcPr>
            <w:tcW w:w="1413"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HCC</w:t>
            </w:r>
          </w:p>
        </w:tc>
        <w:tc>
          <w:tcPr>
            <w:tcW w:w="2353" w:type="dxa"/>
            <w:gridSpan w:val="3"/>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Chi-square test</w:t>
            </w:r>
          </w:p>
        </w:tc>
        <w:tc>
          <w:tcPr>
            <w:tcW w:w="2596" w:type="dxa"/>
            <w:gridSpan w:val="2"/>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Binary logistic regression</w:t>
            </w:r>
          </w:p>
        </w:tc>
      </w:tr>
      <w:tr w:rsidR="000D44FB" w:rsidRPr="0061552B" w:rsidTr="000D44FB">
        <w:trPr>
          <w:trHeight w:val="222"/>
          <w:jc w:val="center"/>
        </w:trPr>
        <w:tc>
          <w:tcPr>
            <w:cnfStyle w:val="001000000000"/>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rPr>
                <w:rFonts w:ascii="Times New Roman" w:hAnsi="Times New Roman" w:cs="Times New Roman"/>
                <w:b w:val="0"/>
                <w:bCs w:val="0"/>
                <w:sz w:val="20"/>
                <w:szCs w:val="20"/>
              </w:rPr>
            </w:pPr>
          </w:p>
        </w:tc>
        <w:tc>
          <w:tcPr>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cnfStyle w:val="000000000000"/>
              <w:rPr>
                <w:rFonts w:ascii="Times New Roman" w:hAnsi="Times New Roman" w:cs="Times New Roman"/>
                <w:b/>
                <w:bCs/>
                <w:sz w:val="20"/>
                <w:szCs w:val="20"/>
              </w:rPr>
            </w:pPr>
          </w:p>
        </w:tc>
        <w:tc>
          <w:tcPr>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cnfStyle w:val="000000000000"/>
              <w:rPr>
                <w:rFonts w:ascii="Times New Roman" w:hAnsi="Times New Roman" w:cs="Times New Roman"/>
                <w:b/>
                <w:bCs/>
                <w:sz w:val="20"/>
                <w:szCs w:val="20"/>
              </w:rPr>
            </w:pPr>
          </w:p>
        </w:tc>
        <w:tc>
          <w:tcPr>
            <w:tcW w:w="785"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sym w:font="Symbol" w:char="F063"/>
            </w:r>
            <w:r w:rsidRPr="0061552B">
              <w:rPr>
                <w:rFonts w:ascii="Times New Roman" w:hAnsi="Times New Roman" w:cs="Times New Roman"/>
                <w:b/>
                <w:bCs/>
                <w:sz w:val="20"/>
                <w:szCs w:val="20"/>
                <w:vertAlign w:val="superscript"/>
              </w:rPr>
              <w:t>2</w:t>
            </w:r>
          </w:p>
        </w:tc>
        <w:tc>
          <w:tcPr>
            <w:tcW w:w="676"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sym w:font="Symbol" w:char="F06A"/>
            </w:r>
          </w:p>
        </w:tc>
        <w:tc>
          <w:tcPr>
            <w:tcW w:w="892"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P value</w:t>
            </w:r>
          </w:p>
        </w:tc>
        <w:tc>
          <w:tcPr>
            <w:tcW w:w="1138"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COR</w:t>
            </w:r>
          </w:p>
        </w:tc>
        <w:tc>
          <w:tcPr>
            <w:tcW w:w="1458"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95% CI</w:t>
            </w:r>
          </w:p>
        </w:tc>
      </w:tr>
      <w:tr w:rsidR="000D44FB" w:rsidRPr="0061552B" w:rsidTr="000D44FB">
        <w:trPr>
          <w:trHeight w:val="417"/>
          <w:jc w:val="center"/>
        </w:trPr>
        <w:tc>
          <w:tcPr>
            <w:cnfStyle w:val="001000000000"/>
            <w:tcW w:w="1633" w:type="dxa"/>
            <w:tcBorders>
              <w:top w:val="nil"/>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‘G’ allele</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‘A’ allele</w:t>
            </w:r>
          </w:p>
        </w:tc>
        <w:tc>
          <w:tcPr>
            <w:tcW w:w="1467"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222 (88.1%)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30 (11.9%)</w:t>
            </w:r>
          </w:p>
        </w:tc>
        <w:tc>
          <w:tcPr>
            <w:tcW w:w="1413"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164 (74.5%)</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56 (25.5%)</w:t>
            </w:r>
          </w:p>
        </w:tc>
        <w:tc>
          <w:tcPr>
            <w:tcW w:w="785"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14.473</w:t>
            </w:r>
          </w:p>
        </w:tc>
        <w:tc>
          <w:tcPr>
            <w:tcW w:w="676"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0.175</w:t>
            </w:r>
          </w:p>
        </w:tc>
        <w:tc>
          <w:tcPr>
            <w:tcW w:w="892"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&lt;0.001</w:t>
            </w:r>
          </w:p>
        </w:tc>
        <w:tc>
          <w:tcPr>
            <w:tcW w:w="1138"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2.5</w:t>
            </w:r>
          </w:p>
        </w:tc>
        <w:tc>
          <w:tcPr>
            <w:tcW w:w="1458"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1.6 – 4.1</w:t>
            </w:r>
          </w:p>
        </w:tc>
      </w:tr>
    </w:tbl>
    <w:p w:rsidR="000D44FB" w:rsidRPr="0061552B" w:rsidRDefault="00CD6B80">
      <w:pPr>
        <w:spacing w:after="0" w:line="240" w:lineRule="auto"/>
        <w:jc w:val="both"/>
        <w:rPr>
          <w:rFonts w:ascii="Times New Roman" w:hAnsi="Times New Roman" w:cs="Times New Roman"/>
          <w:sz w:val="20"/>
          <w:szCs w:val="20"/>
        </w:rPr>
      </w:pPr>
      <w:r w:rsidRPr="0061552B">
        <w:rPr>
          <w:rFonts w:ascii="Times New Roman" w:hAnsi="Times New Roman" w:cs="Times New Roman"/>
          <w:sz w:val="20"/>
          <w:szCs w:val="20"/>
        </w:rPr>
        <w:t xml:space="preserve">Notes: Data is N (%). </w:t>
      </w:r>
      <w:r w:rsidRPr="0061552B">
        <w:rPr>
          <w:rFonts w:ascii="Times New Roman" w:hAnsi="Times New Roman" w:cs="Times New Roman"/>
          <w:sz w:val="20"/>
          <w:szCs w:val="20"/>
        </w:rPr>
        <w:sym w:font="Symbol" w:char="F06A"/>
      </w:r>
      <w:r w:rsidRPr="0061552B">
        <w:rPr>
          <w:rFonts w:ascii="Times New Roman" w:hAnsi="Times New Roman" w:cs="Times New Roman"/>
          <w:sz w:val="20"/>
          <w:szCs w:val="20"/>
        </w:rPr>
        <w:t xml:space="preserve"> (phi) is a measure of the strength of association. r(1) = reference category. COR = crude odds ratio. CI=confidence interval.</w:t>
      </w:r>
    </w:p>
    <w:p w:rsidR="000D44FB" w:rsidRPr="0061552B" w:rsidRDefault="000D44FB">
      <w:pPr>
        <w:spacing w:after="0" w:line="240" w:lineRule="auto"/>
        <w:jc w:val="both"/>
        <w:rPr>
          <w:rFonts w:ascii="Times New Roman" w:hAnsi="Times New Roman" w:cs="Times New Roman"/>
          <w:sz w:val="20"/>
          <w:szCs w:val="20"/>
        </w:rPr>
      </w:pPr>
    </w:p>
    <w:p w:rsidR="000D44FB" w:rsidRPr="0061552B" w:rsidRDefault="00CD6B80">
      <w:pPr>
        <w:spacing w:after="0" w:line="240" w:lineRule="auto"/>
        <w:jc w:val="both"/>
        <w:rPr>
          <w:rFonts w:ascii="Times New Roman" w:hAnsi="Times New Roman" w:cs="Times New Roman"/>
          <w:b/>
          <w:bCs/>
          <w:sz w:val="20"/>
          <w:szCs w:val="20"/>
        </w:rPr>
      </w:pPr>
      <w:r w:rsidRPr="0061552B">
        <w:rPr>
          <w:rFonts w:ascii="Times New Roman" w:hAnsi="Times New Roman" w:cs="Times New Roman"/>
          <w:b/>
          <w:bCs/>
          <w:sz w:val="20"/>
          <w:szCs w:val="20"/>
        </w:rPr>
        <w:t>Table (4): Comparisons of TNF-α 308 genotypes between HCC and control groups</w:t>
      </w:r>
    </w:p>
    <w:tbl>
      <w:tblPr>
        <w:tblStyle w:val="PlainTable22"/>
        <w:tblW w:w="9451" w:type="dxa"/>
        <w:jc w:val="center"/>
        <w:tblLook w:val="04A0"/>
      </w:tblPr>
      <w:tblGrid>
        <w:gridCol w:w="1651"/>
        <w:gridCol w:w="1483"/>
        <w:gridCol w:w="1429"/>
        <w:gridCol w:w="793"/>
        <w:gridCol w:w="685"/>
        <w:gridCol w:w="899"/>
        <w:gridCol w:w="1150"/>
        <w:gridCol w:w="1361"/>
      </w:tblGrid>
      <w:tr w:rsidR="000D44FB" w:rsidRPr="0061552B" w:rsidTr="000D44FB">
        <w:trPr>
          <w:cnfStyle w:val="100000000000"/>
          <w:trHeight w:val="198"/>
          <w:jc w:val="center"/>
        </w:trPr>
        <w:tc>
          <w:tcPr>
            <w:cnfStyle w:val="001000000000"/>
            <w:tcW w:w="1651"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Genotype</w:t>
            </w:r>
          </w:p>
        </w:tc>
        <w:tc>
          <w:tcPr>
            <w:tcW w:w="1483"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Control</w:t>
            </w:r>
          </w:p>
        </w:tc>
        <w:tc>
          <w:tcPr>
            <w:tcW w:w="1429"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HCC</w:t>
            </w:r>
          </w:p>
        </w:tc>
        <w:tc>
          <w:tcPr>
            <w:tcW w:w="2377" w:type="dxa"/>
            <w:gridSpan w:val="3"/>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Chi-square test</w:t>
            </w:r>
          </w:p>
        </w:tc>
        <w:tc>
          <w:tcPr>
            <w:tcW w:w="2511" w:type="dxa"/>
            <w:gridSpan w:val="2"/>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Binary logistic regression</w:t>
            </w:r>
          </w:p>
        </w:tc>
      </w:tr>
      <w:tr w:rsidR="000D44FB" w:rsidRPr="0061552B" w:rsidTr="000D44FB">
        <w:trPr>
          <w:trHeight w:val="211"/>
          <w:jc w:val="center"/>
        </w:trPr>
        <w:tc>
          <w:tcPr>
            <w:cnfStyle w:val="001000000000"/>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rPr>
                <w:rFonts w:ascii="Times New Roman" w:hAnsi="Times New Roman" w:cs="Times New Roman"/>
                <w:b w:val="0"/>
                <w:bCs w:val="0"/>
                <w:sz w:val="20"/>
                <w:szCs w:val="20"/>
              </w:rPr>
            </w:pPr>
          </w:p>
        </w:tc>
        <w:tc>
          <w:tcPr>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cnfStyle w:val="000000000000"/>
              <w:rPr>
                <w:rFonts w:ascii="Times New Roman" w:hAnsi="Times New Roman" w:cs="Times New Roman"/>
                <w:b/>
                <w:bCs/>
                <w:sz w:val="20"/>
                <w:szCs w:val="20"/>
              </w:rPr>
            </w:pPr>
          </w:p>
        </w:tc>
        <w:tc>
          <w:tcPr>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cnfStyle w:val="000000000000"/>
              <w:rPr>
                <w:rFonts w:ascii="Times New Roman" w:hAnsi="Times New Roman" w:cs="Times New Roman"/>
                <w:b/>
                <w:bCs/>
                <w:sz w:val="20"/>
                <w:szCs w:val="20"/>
              </w:rPr>
            </w:pPr>
          </w:p>
        </w:tc>
        <w:tc>
          <w:tcPr>
            <w:tcW w:w="793"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sym w:font="Symbol" w:char="F063"/>
            </w:r>
            <w:r w:rsidRPr="0061552B">
              <w:rPr>
                <w:rFonts w:ascii="Times New Roman" w:hAnsi="Times New Roman" w:cs="Times New Roman"/>
                <w:b/>
                <w:bCs/>
                <w:sz w:val="20"/>
                <w:szCs w:val="20"/>
                <w:vertAlign w:val="superscript"/>
              </w:rPr>
              <w:t>2</w:t>
            </w:r>
          </w:p>
        </w:tc>
        <w:tc>
          <w:tcPr>
            <w:tcW w:w="685"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sym w:font="Symbol" w:char="F06A"/>
            </w:r>
          </w:p>
        </w:tc>
        <w:tc>
          <w:tcPr>
            <w:tcW w:w="899"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P value</w:t>
            </w:r>
          </w:p>
        </w:tc>
        <w:tc>
          <w:tcPr>
            <w:tcW w:w="1150"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COR</w:t>
            </w:r>
          </w:p>
        </w:tc>
        <w:tc>
          <w:tcPr>
            <w:tcW w:w="1361"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95% CI</w:t>
            </w:r>
          </w:p>
        </w:tc>
      </w:tr>
      <w:tr w:rsidR="000D44FB" w:rsidRPr="0061552B" w:rsidTr="000D44FB">
        <w:trPr>
          <w:trHeight w:val="397"/>
          <w:jc w:val="center"/>
        </w:trPr>
        <w:tc>
          <w:tcPr>
            <w:cnfStyle w:val="001000000000"/>
            <w:tcW w:w="1651" w:type="dxa"/>
            <w:tcBorders>
              <w:top w:val="nil"/>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G/G</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G/A – A/A</w:t>
            </w:r>
          </w:p>
        </w:tc>
        <w:tc>
          <w:tcPr>
            <w:tcW w:w="1483"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99 (78.6%)</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27 (21.4%)</w:t>
            </w:r>
          </w:p>
        </w:tc>
        <w:tc>
          <w:tcPr>
            <w:tcW w:w="1429"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62 (56.4%)</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48 (43.6%)</w:t>
            </w:r>
          </w:p>
        </w:tc>
        <w:tc>
          <w:tcPr>
            <w:tcW w:w="793"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13.360</w:t>
            </w:r>
          </w:p>
        </w:tc>
        <w:tc>
          <w:tcPr>
            <w:tcW w:w="685"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0.238</w:t>
            </w:r>
          </w:p>
        </w:tc>
        <w:tc>
          <w:tcPr>
            <w:tcW w:w="899"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&lt;0.001</w:t>
            </w:r>
          </w:p>
        </w:tc>
        <w:tc>
          <w:tcPr>
            <w:tcW w:w="1150"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2.8</w:t>
            </w:r>
          </w:p>
        </w:tc>
        <w:tc>
          <w:tcPr>
            <w:tcW w:w="1361" w:type="dxa"/>
            <w:tcBorders>
              <w:top w:val="nil"/>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1.6 – 5.0</w:t>
            </w:r>
          </w:p>
        </w:tc>
      </w:tr>
    </w:tbl>
    <w:p w:rsidR="000D44FB" w:rsidRPr="0061552B" w:rsidRDefault="00CD6B80">
      <w:pPr>
        <w:spacing w:after="0" w:line="240" w:lineRule="auto"/>
        <w:jc w:val="both"/>
        <w:rPr>
          <w:rFonts w:ascii="Times New Roman" w:hAnsi="Times New Roman" w:cs="Times New Roman"/>
          <w:sz w:val="20"/>
          <w:szCs w:val="20"/>
        </w:rPr>
      </w:pPr>
      <w:r w:rsidRPr="0061552B">
        <w:rPr>
          <w:rFonts w:ascii="Times New Roman" w:hAnsi="Times New Roman" w:cs="Times New Roman"/>
          <w:sz w:val="20"/>
          <w:szCs w:val="20"/>
        </w:rPr>
        <w:t xml:space="preserve">Notes: Data is N (%). </w:t>
      </w:r>
      <w:r w:rsidRPr="0061552B">
        <w:rPr>
          <w:rFonts w:ascii="Times New Roman" w:hAnsi="Times New Roman" w:cs="Times New Roman"/>
          <w:sz w:val="20"/>
          <w:szCs w:val="20"/>
        </w:rPr>
        <w:sym w:font="Symbol" w:char="F06A"/>
      </w:r>
      <w:r w:rsidRPr="0061552B">
        <w:rPr>
          <w:rFonts w:ascii="Times New Roman" w:hAnsi="Times New Roman" w:cs="Times New Roman"/>
          <w:sz w:val="20"/>
          <w:szCs w:val="20"/>
        </w:rPr>
        <w:t xml:space="preserve"> (phi) is a measure of the strength of association. r(1) = reference category. COR = crude odds ratio. CI=confidence interval.</w:t>
      </w:r>
    </w:p>
    <w:p w:rsidR="000D44FB" w:rsidRDefault="000D44FB">
      <w:pPr>
        <w:spacing w:after="0" w:line="240" w:lineRule="auto"/>
        <w:jc w:val="both"/>
        <w:rPr>
          <w:rFonts w:ascii="Times New Roman" w:hAnsi="Times New Roman" w:cs="Times New Roman" w:hint="eastAsia"/>
          <w:b/>
          <w:bCs/>
          <w:sz w:val="20"/>
          <w:szCs w:val="20"/>
          <w:lang w:eastAsia="zh-CN"/>
        </w:rPr>
      </w:pPr>
    </w:p>
    <w:p w:rsidR="0061552B" w:rsidRDefault="0061552B">
      <w:pPr>
        <w:spacing w:after="0" w:line="240" w:lineRule="auto"/>
        <w:jc w:val="both"/>
        <w:rPr>
          <w:rFonts w:ascii="Times New Roman" w:hAnsi="Times New Roman" w:cs="Times New Roman" w:hint="eastAsia"/>
          <w:b/>
          <w:bCs/>
          <w:sz w:val="20"/>
          <w:szCs w:val="20"/>
          <w:lang w:eastAsia="zh-CN"/>
        </w:rPr>
      </w:pPr>
    </w:p>
    <w:p w:rsidR="0061552B" w:rsidRDefault="0061552B">
      <w:pPr>
        <w:spacing w:after="0" w:line="240" w:lineRule="auto"/>
        <w:jc w:val="both"/>
        <w:rPr>
          <w:rFonts w:ascii="Times New Roman" w:hAnsi="Times New Roman" w:cs="Times New Roman" w:hint="eastAsia"/>
          <w:b/>
          <w:bCs/>
          <w:sz w:val="20"/>
          <w:szCs w:val="20"/>
          <w:lang w:eastAsia="zh-CN"/>
        </w:rPr>
      </w:pPr>
    </w:p>
    <w:p w:rsidR="0061552B" w:rsidRPr="0061552B" w:rsidRDefault="0061552B">
      <w:pPr>
        <w:spacing w:after="0" w:line="240" w:lineRule="auto"/>
        <w:jc w:val="both"/>
        <w:rPr>
          <w:rFonts w:ascii="Times New Roman" w:hAnsi="Times New Roman" w:cs="Times New Roman" w:hint="eastAsia"/>
          <w:b/>
          <w:bCs/>
          <w:sz w:val="20"/>
          <w:szCs w:val="20"/>
          <w:lang w:eastAsia="zh-CN"/>
        </w:rPr>
      </w:pPr>
    </w:p>
    <w:p w:rsidR="000D44FB" w:rsidRPr="0061552B" w:rsidRDefault="00CD6B80">
      <w:pPr>
        <w:spacing w:after="0" w:line="240" w:lineRule="auto"/>
        <w:jc w:val="both"/>
        <w:rPr>
          <w:rFonts w:ascii="Times New Roman" w:hAnsi="Times New Roman" w:cs="Times New Roman"/>
          <w:b/>
          <w:bCs/>
          <w:sz w:val="20"/>
          <w:szCs w:val="20"/>
        </w:rPr>
      </w:pPr>
      <w:r w:rsidRPr="0061552B">
        <w:rPr>
          <w:rFonts w:ascii="Times New Roman" w:hAnsi="Times New Roman" w:cs="Times New Roman"/>
          <w:b/>
          <w:bCs/>
          <w:sz w:val="20"/>
          <w:szCs w:val="20"/>
        </w:rPr>
        <w:t>Table (5): TNF-α 308 SNP association with HCC (adjusted by age and sex).</w:t>
      </w:r>
    </w:p>
    <w:tbl>
      <w:tblPr>
        <w:tblStyle w:val="PlainTable24"/>
        <w:tblW w:w="9493" w:type="dxa"/>
        <w:jc w:val="center"/>
        <w:tblLook w:val="04A0"/>
      </w:tblPr>
      <w:tblGrid>
        <w:gridCol w:w="1472"/>
        <w:gridCol w:w="1039"/>
        <w:gridCol w:w="1201"/>
        <w:gridCol w:w="1200"/>
        <w:gridCol w:w="661"/>
        <w:gridCol w:w="997"/>
        <w:gridCol w:w="1010"/>
        <w:gridCol w:w="1001"/>
        <w:gridCol w:w="912"/>
      </w:tblGrid>
      <w:tr w:rsidR="000D44FB" w:rsidRPr="0061552B" w:rsidTr="000D44FB">
        <w:trPr>
          <w:cnfStyle w:val="100000000000"/>
          <w:trHeight w:val="230"/>
          <w:jc w:val="center"/>
        </w:trPr>
        <w:tc>
          <w:tcPr>
            <w:cnfStyle w:val="001000000000"/>
            <w:tcW w:w="1400"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Model</w:t>
            </w:r>
          </w:p>
        </w:tc>
        <w:tc>
          <w:tcPr>
            <w:tcW w:w="1030"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Genotype</w:t>
            </w:r>
          </w:p>
        </w:tc>
        <w:tc>
          <w:tcPr>
            <w:tcW w:w="1220"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Control</w:t>
            </w:r>
          </w:p>
        </w:tc>
        <w:tc>
          <w:tcPr>
            <w:tcW w:w="1220"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HCC</w:t>
            </w:r>
          </w:p>
        </w:tc>
        <w:tc>
          <w:tcPr>
            <w:tcW w:w="633"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AOR</w:t>
            </w:r>
          </w:p>
        </w:tc>
        <w:tc>
          <w:tcPr>
            <w:tcW w:w="1019"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95% CI</w:t>
            </w:r>
          </w:p>
        </w:tc>
        <w:tc>
          <w:tcPr>
            <w:tcW w:w="1024"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P value</w:t>
            </w:r>
          </w:p>
        </w:tc>
        <w:tc>
          <w:tcPr>
            <w:tcW w:w="1021"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AIC</w:t>
            </w:r>
          </w:p>
        </w:tc>
        <w:tc>
          <w:tcPr>
            <w:tcW w:w="926" w:type="dxa"/>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BIC</w:t>
            </w:r>
          </w:p>
        </w:tc>
      </w:tr>
      <w:tr w:rsidR="000D44FB" w:rsidRPr="0061552B" w:rsidTr="000D44FB">
        <w:trPr>
          <w:trHeight w:val="654"/>
          <w:jc w:val="center"/>
        </w:trPr>
        <w:tc>
          <w:tcPr>
            <w:cnfStyle w:val="001000000000"/>
            <w:tcW w:w="1400"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Co-dominant</w:t>
            </w:r>
          </w:p>
        </w:tc>
        <w:tc>
          <w:tcPr>
            <w:tcW w:w="103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G/G</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G/A</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A/A</w:t>
            </w:r>
          </w:p>
        </w:tc>
        <w:tc>
          <w:tcPr>
            <w:tcW w:w="122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99 (78.6%)</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24 (19.1%)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 (2.4%)</w:t>
            </w:r>
          </w:p>
        </w:tc>
        <w:tc>
          <w:tcPr>
            <w:tcW w:w="122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62 (56.4%)</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40 (36.4%)</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8 (7.3%)</w:t>
            </w:r>
          </w:p>
        </w:tc>
        <w:tc>
          <w:tcPr>
            <w:tcW w:w="633"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2.7</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4.1</w:t>
            </w:r>
          </w:p>
        </w:tc>
        <w:tc>
          <w:tcPr>
            <w:tcW w:w="1019"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1.5-5.0</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1.1-16.4</w:t>
            </w:r>
          </w:p>
        </w:tc>
        <w:tc>
          <w:tcPr>
            <w:tcW w:w="1024"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0.001</w:t>
            </w:r>
          </w:p>
        </w:tc>
        <w:tc>
          <w:tcPr>
            <w:tcW w:w="1021"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318.8</w:t>
            </w:r>
          </w:p>
        </w:tc>
        <w:tc>
          <w:tcPr>
            <w:tcW w:w="926"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336.1</w:t>
            </w:r>
          </w:p>
        </w:tc>
      </w:tr>
      <w:tr w:rsidR="000D44FB" w:rsidRPr="0061552B" w:rsidTr="000D44FB">
        <w:trPr>
          <w:trHeight w:val="442"/>
          <w:jc w:val="center"/>
        </w:trPr>
        <w:tc>
          <w:tcPr>
            <w:cnfStyle w:val="001000000000"/>
            <w:tcW w:w="1400"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Dominant</w:t>
            </w:r>
          </w:p>
        </w:tc>
        <w:tc>
          <w:tcPr>
            <w:tcW w:w="103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G/G</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G/A-A/A</w:t>
            </w:r>
          </w:p>
        </w:tc>
        <w:tc>
          <w:tcPr>
            <w:tcW w:w="122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99 (78.6%)</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27 (21.4%)</w:t>
            </w:r>
          </w:p>
        </w:tc>
        <w:tc>
          <w:tcPr>
            <w:tcW w:w="122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62 (56.4%)</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48 (43.6%)</w:t>
            </w:r>
          </w:p>
        </w:tc>
        <w:tc>
          <w:tcPr>
            <w:tcW w:w="633"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2.8</w:t>
            </w:r>
          </w:p>
        </w:tc>
        <w:tc>
          <w:tcPr>
            <w:tcW w:w="1019"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1.6-5.1</w:t>
            </w:r>
          </w:p>
        </w:tc>
        <w:tc>
          <w:tcPr>
            <w:tcW w:w="1024"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0.0002</w:t>
            </w:r>
          </w:p>
        </w:tc>
        <w:tc>
          <w:tcPr>
            <w:tcW w:w="1021"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317.1</w:t>
            </w:r>
          </w:p>
        </w:tc>
        <w:tc>
          <w:tcPr>
            <w:tcW w:w="926"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331.0</w:t>
            </w:r>
          </w:p>
        </w:tc>
      </w:tr>
      <w:tr w:rsidR="000D44FB" w:rsidRPr="0061552B" w:rsidTr="000D44FB">
        <w:trPr>
          <w:trHeight w:val="442"/>
          <w:jc w:val="center"/>
        </w:trPr>
        <w:tc>
          <w:tcPr>
            <w:cnfStyle w:val="001000000000"/>
            <w:tcW w:w="1400"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Recessive</w:t>
            </w:r>
          </w:p>
        </w:tc>
        <w:tc>
          <w:tcPr>
            <w:tcW w:w="103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G/G-G/A</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A/A</w:t>
            </w:r>
          </w:p>
        </w:tc>
        <w:tc>
          <w:tcPr>
            <w:tcW w:w="122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123 (97.6%)</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 (2.4%)</w:t>
            </w:r>
          </w:p>
        </w:tc>
        <w:tc>
          <w:tcPr>
            <w:tcW w:w="122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102 (92.7%)</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8 (7.3%)</w:t>
            </w:r>
          </w:p>
        </w:tc>
        <w:tc>
          <w:tcPr>
            <w:tcW w:w="633"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3.1</w:t>
            </w:r>
          </w:p>
        </w:tc>
        <w:tc>
          <w:tcPr>
            <w:tcW w:w="1019"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0.8-12.0</w:t>
            </w:r>
          </w:p>
        </w:tc>
        <w:tc>
          <w:tcPr>
            <w:tcW w:w="1024"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0.084</w:t>
            </w:r>
          </w:p>
        </w:tc>
        <w:tc>
          <w:tcPr>
            <w:tcW w:w="1021"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327.6</w:t>
            </w:r>
          </w:p>
        </w:tc>
        <w:tc>
          <w:tcPr>
            <w:tcW w:w="926"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341.4</w:t>
            </w:r>
          </w:p>
        </w:tc>
      </w:tr>
      <w:tr w:rsidR="000D44FB" w:rsidRPr="0061552B" w:rsidTr="000D44FB">
        <w:trPr>
          <w:trHeight w:val="442"/>
          <w:jc w:val="center"/>
        </w:trPr>
        <w:tc>
          <w:tcPr>
            <w:cnfStyle w:val="001000000000"/>
            <w:tcW w:w="1400"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Overdominant</w:t>
            </w:r>
          </w:p>
        </w:tc>
        <w:tc>
          <w:tcPr>
            <w:tcW w:w="103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G/G-A/A</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G/A</w:t>
            </w:r>
          </w:p>
        </w:tc>
        <w:tc>
          <w:tcPr>
            <w:tcW w:w="122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102 (81%)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24 (19.1%)</w:t>
            </w:r>
          </w:p>
        </w:tc>
        <w:tc>
          <w:tcPr>
            <w:tcW w:w="122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70 (63.6%)</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40 (36.4%)</w:t>
            </w:r>
          </w:p>
        </w:tc>
        <w:tc>
          <w:tcPr>
            <w:tcW w:w="633"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2.5</w:t>
            </w:r>
          </w:p>
        </w:tc>
        <w:tc>
          <w:tcPr>
            <w:tcW w:w="1019"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1.4-4.5</w:t>
            </w:r>
          </w:p>
        </w:tc>
        <w:tc>
          <w:tcPr>
            <w:tcW w:w="1024"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0.0026</w:t>
            </w:r>
          </w:p>
        </w:tc>
        <w:tc>
          <w:tcPr>
            <w:tcW w:w="1021"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321.5</w:t>
            </w:r>
          </w:p>
        </w:tc>
        <w:tc>
          <w:tcPr>
            <w:tcW w:w="926"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335.3</w:t>
            </w:r>
          </w:p>
        </w:tc>
      </w:tr>
      <w:tr w:rsidR="000D44FB" w:rsidRPr="0061552B" w:rsidTr="000D44FB">
        <w:trPr>
          <w:trHeight w:val="251"/>
          <w:jc w:val="center"/>
        </w:trPr>
        <w:tc>
          <w:tcPr>
            <w:cnfStyle w:val="001000000000"/>
            <w:tcW w:w="1400"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Log-additive</w:t>
            </w:r>
          </w:p>
        </w:tc>
        <w:tc>
          <w:tcPr>
            <w:tcW w:w="103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w:t>
            </w:r>
          </w:p>
        </w:tc>
        <w:tc>
          <w:tcPr>
            <w:tcW w:w="122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w:t>
            </w:r>
          </w:p>
        </w:tc>
        <w:tc>
          <w:tcPr>
            <w:tcW w:w="122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w:t>
            </w:r>
          </w:p>
        </w:tc>
        <w:tc>
          <w:tcPr>
            <w:tcW w:w="633"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2.4</w:t>
            </w:r>
          </w:p>
        </w:tc>
        <w:tc>
          <w:tcPr>
            <w:tcW w:w="1019"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1.5-4.0</w:t>
            </w:r>
          </w:p>
        </w:tc>
        <w:tc>
          <w:tcPr>
            <w:tcW w:w="1024"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0.0003</w:t>
            </w:r>
          </w:p>
        </w:tc>
        <w:tc>
          <w:tcPr>
            <w:tcW w:w="1021"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317.2</w:t>
            </w:r>
          </w:p>
        </w:tc>
        <w:tc>
          <w:tcPr>
            <w:tcW w:w="926"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331.1</w:t>
            </w:r>
          </w:p>
        </w:tc>
      </w:tr>
    </w:tbl>
    <w:p w:rsidR="000D44FB" w:rsidRDefault="00CD6B80">
      <w:pPr>
        <w:spacing w:after="0" w:line="240" w:lineRule="auto"/>
        <w:jc w:val="both"/>
        <w:rPr>
          <w:rFonts w:ascii="Times New Roman" w:hAnsi="Times New Roman" w:cs="Times New Roman" w:hint="eastAsia"/>
          <w:sz w:val="20"/>
          <w:szCs w:val="20"/>
          <w:lang w:eastAsia="zh-CN"/>
        </w:rPr>
      </w:pPr>
      <w:r w:rsidRPr="0061552B">
        <w:rPr>
          <w:rFonts w:ascii="Times New Roman" w:hAnsi="Times New Roman" w:cs="Times New Roman"/>
          <w:sz w:val="20"/>
          <w:szCs w:val="20"/>
        </w:rPr>
        <w:t>AOR = adjusted odds ratio. AIC = Akaiki information criterion BIC = Bayesian information criterion. CI = confidence interval.</w:t>
      </w:r>
    </w:p>
    <w:p w:rsidR="0061552B" w:rsidRDefault="0061552B">
      <w:pPr>
        <w:spacing w:after="0" w:line="240" w:lineRule="auto"/>
        <w:jc w:val="both"/>
        <w:rPr>
          <w:rFonts w:ascii="Times New Roman" w:hAnsi="Times New Roman" w:cs="Times New Roman" w:hint="eastAsia"/>
          <w:sz w:val="20"/>
          <w:szCs w:val="20"/>
          <w:lang w:eastAsia="zh-CN"/>
        </w:rPr>
      </w:pPr>
    </w:p>
    <w:p w:rsidR="0061552B" w:rsidRPr="0061552B" w:rsidRDefault="0061552B">
      <w:pPr>
        <w:spacing w:after="0" w:line="240" w:lineRule="auto"/>
        <w:jc w:val="both"/>
        <w:rPr>
          <w:rFonts w:ascii="Times New Roman" w:hAnsi="Times New Roman" w:cs="Times New Roman" w:hint="eastAsia"/>
          <w:sz w:val="20"/>
          <w:szCs w:val="20"/>
          <w:lang w:eastAsia="zh-CN"/>
        </w:rPr>
      </w:pPr>
    </w:p>
    <w:p w:rsidR="000D44FB" w:rsidRPr="0061552B" w:rsidRDefault="00CD6B80">
      <w:pPr>
        <w:spacing w:after="0" w:line="240" w:lineRule="auto"/>
        <w:jc w:val="both"/>
        <w:rPr>
          <w:rFonts w:ascii="Times New Roman" w:hAnsi="Times New Roman" w:cs="Times New Roman"/>
          <w:b/>
          <w:bCs/>
          <w:sz w:val="20"/>
          <w:szCs w:val="20"/>
        </w:rPr>
      </w:pPr>
      <w:r w:rsidRPr="0061552B">
        <w:rPr>
          <w:rFonts w:ascii="Times New Roman" w:hAnsi="Times New Roman" w:cs="Times New Roman"/>
          <w:b/>
          <w:bCs/>
          <w:sz w:val="20"/>
          <w:szCs w:val="20"/>
        </w:rPr>
        <w:t>Table (6): Predictors of the likelihood of occurrence HCC</w:t>
      </w:r>
    </w:p>
    <w:tbl>
      <w:tblPr>
        <w:tblStyle w:val="PlainTable25"/>
        <w:tblW w:w="9319" w:type="dxa"/>
        <w:jc w:val="center"/>
        <w:tblLook w:val="04A0"/>
      </w:tblPr>
      <w:tblGrid>
        <w:gridCol w:w="2402"/>
        <w:gridCol w:w="1147"/>
        <w:gridCol w:w="1143"/>
        <w:gridCol w:w="1146"/>
        <w:gridCol w:w="1190"/>
        <w:gridCol w:w="1143"/>
        <w:gridCol w:w="1148"/>
      </w:tblGrid>
      <w:tr w:rsidR="000D44FB" w:rsidRPr="0061552B" w:rsidTr="000D44FB">
        <w:trPr>
          <w:cnfStyle w:val="100000000000"/>
          <w:trHeight w:val="235"/>
          <w:jc w:val="center"/>
        </w:trPr>
        <w:tc>
          <w:tcPr>
            <w:cnfStyle w:val="001000000000"/>
            <w:tcW w:w="2402" w:type="dxa"/>
            <w:vMerge w:val="restart"/>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Predictor</w:t>
            </w:r>
          </w:p>
        </w:tc>
        <w:tc>
          <w:tcPr>
            <w:tcW w:w="3436" w:type="dxa"/>
            <w:gridSpan w:val="3"/>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Univariate</w:t>
            </w:r>
          </w:p>
        </w:tc>
        <w:tc>
          <w:tcPr>
            <w:tcW w:w="3481" w:type="dxa"/>
            <w:gridSpan w:val="3"/>
            <w:tcBorders>
              <w:top w:val="single" w:sz="4" w:space="0" w:color="7F7F7F" w:themeColor="text1" w:themeTint="80"/>
              <w:left w:val="nil"/>
              <w:right w:val="nil"/>
            </w:tcBorders>
            <w:shd w:val="clear" w:color="auto" w:fill="BDD6EE" w:themeFill="accent5" w:themeFillTint="66"/>
          </w:tcPr>
          <w:p w:rsidR="000D44FB" w:rsidRPr="0061552B" w:rsidRDefault="00CD6B80">
            <w:pPr>
              <w:spacing w:after="0" w:line="240" w:lineRule="auto"/>
              <w:jc w:val="both"/>
              <w:cnfStyle w:val="100000000000"/>
              <w:rPr>
                <w:rFonts w:ascii="Times New Roman" w:hAnsi="Times New Roman" w:cs="Times New Roman"/>
                <w:b w:val="0"/>
                <w:bCs w:val="0"/>
                <w:sz w:val="20"/>
                <w:szCs w:val="20"/>
              </w:rPr>
            </w:pPr>
            <w:r w:rsidRPr="0061552B">
              <w:rPr>
                <w:rFonts w:ascii="Times New Roman" w:hAnsi="Times New Roman" w:cs="Times New Roman"/>
                <w:sz w:val="20"/>
                <w:szCs w:val="20"/>
              </w:rPr>
              <w:t>Multivariate</w:t>
            </w:r>
          </w:p>
        </w:tc>
      </w:tr>
      <w:tr w:rsidR="000D44FB" w:rsidRPr="0061552B" w:rsidTr="000D44FB">
        <w:trPr>
          <w:trHeight w:val="235"/>
          <w:jc w:val="center"/>
        </w:trPr>
        <w:tc>
          <w:tcPr>
            <w:cnfStyle w:val="001000000000"/>
            <w:tcW w:w="0" w:type="auto"/>
            <w:vMerge/>
            <w:tcBorders>
              <w:top w:val="single" w:sz="4" w:space="0" w:color="7F7F7F" w:themeColor="text1" w:themeTint="80"/>
              <w:left w:val="nil"/>
              <w:bottom w:val="single" w:sz="4" w:space="0" w:color="7F7F7F" w:themeColor="text1" w:themeTint="80"/>
              <w:right w:val="nil"/>
            </w:tcBorders>
            <w:vAlign w:val="center"/>
          </w:tcPr>
          <w:p w:rsidR="000D44FB" w:rsidRPr="0061552B" w:rsidRDefault="000D44FB">
            <w:pPr>
              <w:spacing w:after="0" w:line="240" w:lineRule="auto"/>
              <w:rPr>
                <w:rFonts w:ascii="Times New Roman" w:hAnsi="Times New Roman" w:cs="Times New Roman"/>
                <w:b w:val="0"/>
                <w:bCs w:val="0"/>
                <w:sz w:val="20"/>
                <w:szCs w:val="20"/>
              </w:rPr>
            </w:pPr>
          </w:p>
        </w:tc>
        <w:tc>
          <w:tcPr>
            <w:tcW w:w="1147" w:type="dxa"/>
            <w:tcBorders>
              <w:top w:val="single" w:sz="4" w:space="0" w:color="7F7F7F" w:themeColor="text1" w:themeTint="80"/>
              <w:left w:val="nil"/>
              <w:bottom w:val="single" w:sz="4" w:space="0" w:color="7F7F7F" w:themeColor="text1" w:themeTint="80"/>
              <w:right w:val="nil"/>
            </w:tcBorders>
            <w:shd w:val="clear" w:color="auto" w:fill="FFE599" w:themeFill="accent4"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P value</w:t>
            </w:r>
          </w:p>
        </w:tc>
        <w:tc>
          <w:tcPr>
            <w:tcW w:w="1143" w:type="dxa"/>
            <w:tcBorders>
              <w:top w:val="single" w:sz="4" w:space="0" w:color="7F7F7F" w:themeColor="text1" w:themeTint="80"/>
              <w:left w:val="nil"/>
              <w:bottom w:val="single" w:sz="4" w:space="0" w:color="7F7F7F" w:themeColor="text1" w:themeTint="80"/>
              <w:right w:val="nil"/>
            </w:tcBorders>
            <w:shd w:val="clear" w:color="auto" w:fill="FFE599" w:themeFill="accent4"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COR</w:t>
            </w:r>
          </w:p>
        </w:tc>
        <w:tc>
          <w:tcPr>
            <w:tcW w:w="1146" w:type="dxa"/>
            <w:tcBorders>
              <w:top w:val="single" w:sz="4" w:space="0" w:color="7F7F7F" w:themeColor="text1" w:themeTint="80"/>
              <w:left w:val="nil"/>
              <w:bottom w:val="single" w:sz="4" w:space="0" w:color="7F7F7F" w:themeColor="text1" w:themeTint="80"/>
              <w:right w:val="nil"/>
            </w:tcBorders>
            <w:shd w:val="clear" w:color="auto" w:fill="FFE599" w:themeFill="accent4"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95% CI</w:t>
            </w:r>
          </w:p>
        </w:tc>
        <w:tc>
          <w:tcPr>
            <w:tcW w:w="1190" w:type="dxa"/>
            <w:tcBorders>
              <w:top w:val="single" w:sz="4" w:space="0" w:color="7F7F7F" w:themeColor="text1" w:themeTint="80"/>
              <w:left w:val="nil"/>
              <w:bottom w:val="single" w:sz="4" w:space="0" w:color="7F7F7F" w:themeColor="text1" w:themeTint="80"/>
              <w:right w:val="nil"/>
            </w:tcBorders>
            <w:shd w:val="clear" w:color="auto" w:fill="FFE599" w:themeFill="accent4"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P value</w:t>
            </w:r>
          </w:p>
        </w:tc>
        <w:tc>
          <w:tcPr>
            <w:tcW w:w="1143" w:type="dxa"/>
            <w:tcBorders>
              <w:top w:val="single" w:sz="4" w:space="0" w:color="7F7F7F" w:themeColor="text1" w:themeTint="80"/>
              <w:left w:val="nil"/>
              <w:bottom w:val="single" w:sz="4" w:space="0" w:color="7F7F7F" w:themeColor="text1" w:themeTint="80"/>
              <w:right w:val="nil"/>
            </w:tcBorders>
            <w:shd w:val="clear" w:color="auto" w:fill="FFE599" w:themeFill="accent4"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AOR</w:t>
            </w:r>
          </w:p>
        </w:tc>
        <w:tc>
          <w:tcPr>
            <w:tcW w:w="1148" w:type="dxa"/>
            <w:tcBorders>
              <w:top w:val="single" w:sz="4" w:space="0" w:color="7F7F7F" w:themeColor="text1" w:themeTint="80"/>
              <w:left w:val="nil"/>
              <w:bottom w:val="single" w:sz="4" w:space="0" w:color="7F7F7F" w:themeColor="text1" w:themeTint="80"/>
              <w:right w:val="nil"/>
            </w:tcBorders>
            <w:shd w:val="clear" w:color="auto" w:fill="FFE599" w:themeFill="accent4" w:themeFillTint="66"/>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95%</w:t>
            </w:r>
            <w:r w:rsidRPr="0061552B">
              <w:rPr>
                <w:rFonts w:ascii="Times New Roman" w:hAnsi="Times New Roman" w:cs="Times New Roman"/>
                <w:b/>
                <w:bCs/>
                <w:sz w:val="20"/>
                <w:szCs w:val="20"/>
              </w:rPr>
              <w:t xml:space="preserve"> CI</w:t>
            </w:r>
          </w:p>
        </w:tc>
      </w:tr>
      <w:tr w:rsidR="000D44FB" w:rsidRPr="0061552B" w:rsidTr="000D44FB">
        <w:trPr>
          <w:trHeight w:val="685"/>
          <w:jc w:val="center"/>
        </w:trPr>
        <w:tc>
          <w:tcPr>
            <w:cnfStyle w:val="001000000000"/>
            <w:tcW w:w="2402"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Diabetes</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Absent</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Present</w:t>
            </w:r>
          </w:p>
        </w:tc>
        <w:tc>
          <w:tcPr>
            <w:tcW w:w="114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0.025</w:t>
            </w:r>
          </w:p>
        </w:tc>
        <w:tc>
          <w:tcPr>
            <w:tcW w:w="1143"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1.9</w:t>
            </w:r>
          </w:p>
        </w:tc>
        <w:tc>
          <w:tcPr>
            <w:tcW w:w="1146"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1.08-3.45</w:t>
            </w:r>
          </w:p>
        </w:tc>
        <w:tc>
          <w:tcPr>
            <w:tcW w:w="119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0.364</w:t>
            </w:r>
          </w:p>
        </w:tc>
        <w:tc>
          <w:tcPr>
            <w:tcW w:w="1143"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1.4</w:t>
            </w:r>
          </w:p>
        </w:tc>
        <w:tc>
          <w:tcPr>
            <w:tcW w:w="1148"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0.695-2.7</w:t>
            </w:r>
          </w:p>
        </w:tc>
      </w:tr>
      <w:tr w:rsidR="000D44FB" w:rsidRPr="0061552B" w:rsidTr="000D44FB">
        <w:trPr>
          <w:trHeight w:val="685"/>
          <w:jc w:val="center"/>
        </w:trPr>
        <w:tc>
          <w:tcPr>
            <w:cnfStyle w:val="001000000000"/>
            <w:tcW w:w="2402"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H. pylori test</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Negative</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Positive</w:t>
            </w:r>
          </w:p>
        </w:tc>
        <w:tc>
          <w:tcPr>
            <w:tcW w:w="114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&lt;0.001</w:t>
            </w:r>
          </w:p>
        </w:tc>
        <w:tc>
          <w:tcPr>
            <w:tcW w:w="1143"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4.9</w:t>
            </w:r>
          </w:p>
        </w:tc>
        <w:tc>
          <w:tcPr>
            <w:tcW w:w="1146"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2.8-8.6</w:t>
            </w:r>
          </w:p>
        </w:tc>
        <w:tc>
          <w:tcPr>
            <w:tcW w:w="119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c>
          <w:tcPr>
            <w:tcW w:w="1143"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5.3</w:t>
            </w:r>
          </w:p>
        </w:tc>
        <w:tc>
          <w:tcPr>
            <w:tcW w:w="1148"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2.9-9.6</w:t>
            </w:r>
          </w:p>
        </w:tc>
      </w:tr>
      <w:tr w:rsidR="000D44FB" w:rsidRPr="0061552B" w:rsidTr="000D44FB">
        <w:trPr>
          <w:trHeight w:val="685"/>
          <w:jc w:val="center"/>
        </w:trPr>
        <w:tc>
          <w:tcPr>
            <w:cnfStyle w:val="001000000000"/>
            <w:tcW w:w="2402" w:type="dxa"/>
            <w:tcBorders>
              <w:top w:val="nil"/>
              <w:left w:val="nil"/>
              <w:bottom w:val="nil"/>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Smoking</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Never smoke</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Ex- or current-smoker</w:t>
            </w:r>
          </w:p>
        </w:tc>
        <w:tc>
          <w:tcPr>
            <w:tcW w:w="1147"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0.001</w:t>
            </w:r>
          </w:p>
        </w:tc>
        <w:tc>
          <w:tcPr>
            <w:tcW w:w="1143"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2.6</w:t>
            </w:r>
          </w:p>
        </w:tc>
        <w:tc>
          <w:tcPr>
            <w:tcW w:w="1146"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1.5-4.7</w:t>
            </w:r>
          </w:p>
        </w:tc>
        <w:tc>
          <w:tcPr>
            <w:tcW w:w="1190" w:type="dxa"/>
            <w:tcBorders>
              <w:top w:val="nil"/>
              <w:left w:val="nil"/>
              <w:bottom w:val="nil"/>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0.009</w:t>
            </w:r>
          </w:p>
        </w:tc>
        <w:tc>
          <w:tcPr>
            <w:tcW w:w="1143"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2.5</w:t>
            </w:r>
          </w:p>
        </w:tc>
        <w:tc>
          <w:tcPr>
            <w:tcW w:w="1148" w:type="dxa"/>
            <w:tcBorders>
              <w:top w:val="nil"/>
              <w:left w:val="nil"/>
              <w:bottom w:val="nil"/>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1.3-4.9</w:t>
            </w:r>
          </w:p>
        </w:tc>
      </w:tr>
      <w:tr w:rsidR="000D44FB" w:rsidRPr="0061552B" w:rsidTr="000D44FB">
        <w:trPr>
          <w:trHeight w:val="695"/>
          <w:jc w:val="center"/>
        </w:trPr>
        <w:tc>
          <w:tcPr>
            <w:cnfStyle w:val="001000000000"/>
            <w:tcW w:w="2402" w:type="dxa"/>
            <w:tcBorders>
              <w:top w:val="single" w:sz="4" w:space="0" w:color="7F7F7F" w:themeColor="text1" w:themeTint="80"/>
              <w:left w:val="nil"/>
              <w:bottom w:val="single" w:sz="4" w:space="0" w:color="7F7F7F" w:themeColor="text1" w:themeTint="80"/>
              <w:right w:val="nil"/>
            </w:tcBorders>
            <w:shd w:val="clear" w:color="auto" w:fill="BDD6EE" w:themeFill="accent5" w:themeFillTint="66"/>
          </w:tcPr>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TNF-α 308 genotype</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G/G</w:t>
            </w:r>
          </w:p>
          <w:p w:rsidR="000D44FB" w:rsidRPr="0061552B" w:rsidRDefault="00CD6B80">
            <w:pPr>
              <w:spacing w:after="0" w:line="240" w:lineRule="auto"/>
              <w:jc w:val="both"/>
              <w:rPr>
                <w:rFonts w:ascii="Times New Roman" w:hAnsi="Times New Roman" w:cs="Times New Roman"/>
                <w:b w:val="0"/>
                <w:bCs w:val="0"/>
                <w:sz w:val="20"/>
                <w:szCs w:val="20"/>
              </w:rPr>
            </w:pPr>
            <w:r w:rsidRPr="0061552B">
              <w:rPr>
                <w:rFonts w:ascii="Times New Roman" w:hAnsi="Times New Roman" w:cs="Times New Roman"/>
                <w:sz w:val="20"/>
                <w:szCs w:val="20"/>
              </w:rPr>
              <w:t xml:space="preserve">   G/A – A/A</w:t>
            </w:r>
          </w:p>
        </w:tc>
        <w:tc>
          <w:tcPr>
            <w:tcW w:w="1147"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b/>
                <w:bCs/>
                <w:sz w:val="20"/>
                <w:szCs w:val="20"/>
              </w:rPr>
              <w:t>&lt;0.001</w:t>
            </w:r>
          </w:p>
        </w:tc>
        <w:tc>
          <w:tcPr>
            <w:tcW w:w="1143"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2.8</w:t>
            </w:r>
          </w:p>
        </w:tc>
        <w:tc>
          <w:tcPr>
            <w:tcW w:w="1146"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1.6-5.0</w:t>
            </w:r>
          </w:p>
        </w:tc>
        <w:tc>
          <w:tcPr>
            <w:tcW w:w="1190" w:type="dxa"/>
            <w:tcBorders>
              <w:top w:val="single" w:sz="4" w:space="0" w:color="7F7F7F" w:themeColor="text1" w:themeTint="80"/>
              <w:left w:val="nil"/>
              <w:bottom w:val="single" w:sz="4" w:space="0" w:color="7F7F7F" w:themeColor="text1" w:themeTint="80"/>
              <w:right w:val="nil"/>
            </w:tcBorders>
          </w:tcPr>
          <w:p w:rsidR="000D44FB" w:rsidRPr="0061552B" w:rsidRDefault="00CD6B80">
            <w:pPr>
              <w:spacing w:after="0" w:line="240" w:lineRule="auto"/>
              <w:jc w:val="both"/>
              <w:cnfStyle w:val="000000000000"/>
              <w:rPr>
                <w:rFonts w:ascii="Times New Roman" w:hAnsi="Times New Roman" w:cs="Times New Roman"/>
                <w:b/>
                <w:bCs/>
                <w:sz w:val="20"/>
                <w:szCs w:val="20"/>
              </w:rPr>
            </w:pPr>
            <w:r w:rsidRPr="0061552B">
              <w:rPr>
                <w:rFonts w:ascii="Times New Roman" w:hAnsi="Times New Roman" w:cs="Times New Roman"/>
                <w:b/>
                <w:bCs/>
                <w:sz w:val="20"/>
                <w:szCs w:val="20"/>
              </w:rPr>
              <w:t>0.002</w:t>
            </w:r>
          </w:p>
        </w:tc>
        <w:tc>
          <w:tcPr>
            <w:tcW w:w="1143"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2.8</w:t>
            </w:r>
          </w:p>
        </w:tc>
        <w:tc>
          <w:tcPr>
            <w:tcW w:w="1148" w:type="dxa"/>
            <w:tcBorders>
              <w:top w:val="single" w:sz="4" w:space="0" w:color="7F7F7F" w:themeColor="text1" w:themeTint="80"/>
              <w:left w:val="nil"/>
              <w:bottom w:val="single" w:sz="4" w:space="0" w:color="7F7F7F" w:themeColor="text1" w:themeTint="80"/>
              <w:right w:val="nil"/>
            </w:tcBorders>
          </w:tcPr>
          <w:p w:rsidR="000D44FB" w:rsidRPr="0061552B" w:rsidRDefault="000D44FB">
            <w:pPr>
              <w:spacing w:after="0" w:line="240" w:lineRule="auto"/>
              <w:jc w:val="both"/>
              <w:cnfStyle w:val="000000000000"/>
              <w:rPr>
                <w:rFonts w:ascii="Times New Roman" w:hAnsi="Times New Roman" w:cs="Times New Roman"/>
                <w:sz w:val="20"/>
                <w:szCs w:val="20"/>
              </w:rPr>
            </w:pP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r(1)</w:t>
            </w:r>
          </w:p>
          <w:p w:rsidR="000D44FB" w:rsidRPr="0061552B" w:rsidRDefault="00CD6B80">
            <w:pPr>
              <w:spacing w:after="0" w:line="240" w:lineRule="auto"/>
              <w:jc w:val="both"/>
              <w:cnfStyle w:val="000000000000"/>
              <w:rPr>
                <w:rFonts w:ascii="Times New Roman" w:hAnsi="Times New Roman" w:cs="Times New Roman"/>
                <w:sz w:val="20"/>
                <w:szCs w:val="20"/>
              </w:rPr>
            </w:pPr>
            <w:r w:rsidRPr="0061552B">
              <w:rPr>
                <w:rFonts w:ascii="Times New Roman" w:hAnsi="Times New Roman" w:cs="Times New Roman"/>
                <w:sz w:val="20"/>
                <w:szCs w:val="20"/>
              </w:rPr>
              <w:t>1.5-5.3</w:t>
            </w:r>
          </w:p>
        </w:tc>
      </w:tr>
    </w:tbl>
    <w:p w:rsidR="000D44FB" w:rsidRPr="0061552B" w:rsidRDefault="00CD6B80">
      <w:pPr>
        <w:spacing w:after="0" w:line="240" w:lineRule="auto"/>
        <w:jc w:val="both"/>
        <w:rPr>
          <w:rFonts w:ascii="Times New Roman" w:eastAsia="Calibri" w:hAnsi="Times New Roman" w:cs="Times New Roman"/>
          <w:sz w:val="20"/>
          <w:szCs w:val="20"/>
          <w:lang w:eastAsia="ar-EG" w:bidi="ar-EG"/>
        </w:rPr>
      </w:pPr>
      <w:r w:rsidRPr="0061552B">
        <w:rPr>
          <w:rFonts w:ascii="Times New Roman" w:hAnsi="Times New Roman" w:cs="Times New Roman"/>
          <w:sz w:val="20"/>
          <w:szCs w:val="20"/>
        </w:rPr>
        <w:t xml:space="preserve">Notes: COR=crude odds ratio. AOR=adjusted odds ratio. CI=confidence interval. r(1)=reference </w:t>
      </w:r>
      <w:r w:rsidRPr="0061552B">
        <w:rPr>
          <w:rFonts w:ascii="Times New Roman" w:hAnsi="Times New Roman" w:cs="Times New Roman"/>
          <w:sz w:val="20"/>
          <w:szCs w:val="20"/>
        </w:rPr>
        <w:t>category. Test of significance is binary logistic regression.</w:t>
      </w:r>
    </w:p>
    <w:p w:rsidR="000D44FB" w:rsidRPr="0061552B" w:rsidRDefault="000D44FB">
      <w:pPr>
        <w:spacing w:after="0" w:line="240" w:lineRule="auto"/>
        <w:jc w:val="both"/>
        <w:rPr>
          <w:rFonts w:ascii="Times New Roman" w:eastAsia="Calibri" w:hAnsi="Times New Roman" w:cs="Times New Roman"/>
          <w:b/>
          <w:bCs/>
          <w:sz w:val="20"/>
          <w:szCs w:val="20"/>
          <w:lang w:eastAsia="ar-EG" w:bidi="ar-EG"/>
        </w:rPr>
      </w:pPr>
    </w:p>
    <w:p w:rsidR="000D44FB" w:rsidRDefault="000D44FB">
      <w:pPr>
        <w:spacing w:after="0" w:line="240" w:lineRule="auto"/>
        <w:jc w:val="both"/>
        <w:rPr>
          <w:rFonts w:ascii="Times New Roman" w:hAnsi="Times New Roman" w:cs="Times New Roman" w:hint="eastAsia"/>
          <w:b/>
          <w:bCs/>
          <w:sz w:val="20"/>
          <w:szCs w:val="20"/>
          <w:lang w:eastAsia="zh-CN" w:bidi="ar-EG"/>
        </w:rPr>
      </w:pPr>
    </w:p>
    <w:p w:rsidR="0061552B" w:rsidRPr="0061552B" w:rsidRDefault="0061552B">
      <w:pPr>
        <w:spacing w:after="0" w:line="240" w:lineRule="auto"/>
        <w:jc w:val="both"/>
        <w:rPr>
          <w:rFonts w:ascii="Times New Roman" w:hAnsi="Times New Roman" w:cs="Times New Roman" w:hint="eastAsia"/>
          <w:b/>
          <w:bCs/>
          <w:sz w:val="20"/>
          <w:szCs w:val="20"/>
          <w:lang w:eastAsia="zh-CN" w:bidi="ar-EG"/>
        </w:rPr>
        <w:sectPr w:rsidR="0061552B" w:rsidRPr="0061552B">
          <w:type w:val="continuous"/>
          <w:pgSz w:w="12240" w:h="15840"/>
          <w:pgMar w:top="1440" w:right="1440" w:bottom="1440" w:left="1440" w:header="720" w:footer="720" w:gutter="0"/>
          <w:cols w:space="720"/>
          <w:docGrid w:linePitch="360"/>
        </w:sectPr>
      </w:pPr>
    </w:p>
    <w:p w:rsidR="000D44FB" w:rsidRPr="0061552B" w:rsidRDefault="00CD6B80">
      <w:pPr>
        <w:spacing w:after="0" w:line="240" w:lineRule="auto"/>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b/>
          <w:bCs/>
          <w:sz w:val="20"/>
          <w:szCs w:val="20"/>
          <w:lang w:eastAsia="ar-EG" w:bidi="ar-EG"/>
        </w:rPr>
        <w:lastRenderedPageBreak/>
        <w:t>4. Discussion:</w:t>
      </w:r>
      <w:r w:rsidRPr="0061552B">
        <w:rPr>
          <w:rFonts w:ascii="Times New Roman" w:eastAsia="Calibri" w:hAnsi="Times New Roman" w:cs="Times New Roman"/>
          <w:sz w:val="20"/>
          <w:szCs w:val="20"/>
          <w:lang w:eastAsia="ar-EG" w:bidi="ar-EG"/>
        </w:rPr>
        <w:t xml:space="preserve">  </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Our study showed, regarding smoking, 23.6% of HCC patients were current smokers in comparison with 16.7% in control group. A statistically significant higher proporti</w:t>
      </w:r>
      <w:r w:rsidRPr="0061552B">
        <w:rPr>
          <w:rFonts w:ascii="Times New Roman" w:eastAsia="Calibri" w:hAnsi="Times New Roman" w:cs="Times New Roman"/>
          <w:sz w:val="20"/>
          <w:szCs w:val="20"/>
          <w:lang w:eastAsia="ar-EG" w:bidi="ar-EG"/>
        </w:rPr>
        <w:t xml:space="preserve">on of past history of smoking (ex-smoker) was found in HCC patients (14.5%) vs (2.4%) in control group and a statistically significant higher proportion of never smoker (81%) was observed in control group vs HCC group (61.8%) with a P value </w:t>
      </w:r>
      <w:bookmarkStart w:id="11" w:name="_Hlk105021350"/>
      <w:r w:rsidRPr="0061552B">
        <w:rPr>
          <w:rFonts w:ascii="Times New Roman" w:eastAsia="Calibri" w:hAnsi="Times New Roman" w:cs="Times New Roman"/>
          <w:sz w:val="20"/>
          <w:szCs w:val="20"/>
          <w:lang w:eastAsia="ar-EG" w:bidi="ar-EG"/>
        </w:rPr>
        <w:t>˂0.001</w:t>
      </w:r>
      <w:bookmarkEnd w:id="11"/>
      <w:r w:rsidRPr="0061552B">
        <w:rPr>
          <w:rFonts w:ascii="Times New Roman" w:eastAsia="Calibri" w:hAnsi="Times New Roman" w:cs="Times New Roman"/>
          <w:sz w:val="20"/>
          <w:szCs w:val="20"/>
          <w:lang w:eastAsia="ar-EG" w:bidi="ar-EG"/>
        </w:rPr>
        <w:t xml:space="preserve"> as shown</w:t>
      </w:r>
      <w:r w:rsidRPr="0061552B">
        <w:rPr>
          <w:rFonts w:ascii="Times New Roman" w:eastAsia="Calibri" w:hAnsi="Times New Roman" w:cs="Times New Roman"/>
          <w:sz w:val="20"/>
          <w:szCs w:val="20"/>
          <w:lang w:eastAsia="ar-EG" w:bidi="ar-EG"/>
        </w:rPr>
        <w:t xml:space="preserve"> in table 1.</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These findings are in agreement with the study of</w:t>
      </w:r>
      <w:r w:rsidRPr="0061552B">
        <w:rPr>
          <w:rFonts w:ascii="Times New Roman" w:eastAsia="Calibri" w:hAnsi="Times New Roman" w:cs="Times New Roman"/>
          <w:b/>
          <w:bCs/>
          <w:sz w:val="20"/>
          <w:szCs w:val="20"/>
          <w:lang w:eastAsia="ar-EG" w:bidi="ar-EG"/>
        </w:rPr>
        <w:t xml:space="preserve"> Abdel-Rahman et al, 2017</w:t>
      </w:r>
      <w:r w:rsidRPr="0061552B">
        <w:rPr>
          <w:rFonts w:ascii="Times New Roman" w:eastAsia="Calibri" w:hAnsi="Times New Roman" w:cs="Times New Roman"/>
          <w:sz w:val="20"/>
          <w:szCs w:val="20"/>
          <w:vertAlign w:val="superscript"/>
          <w:lang w:eastAsia="ar-EG" w:bidi="ar-EG"/>
        </w:rPr>
        <w:t>15</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who reported smoking as a relative risk factor for development of HCC cirrhosis.</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A statistically significant higher proportion of DM was found in HCC patients (34.5%)</w:t>
      </w:r>
      <w:r w:rsidRPr="0061552B">
        <w:rPr>
          <w:rFonts w:ascii="Times New Roman" w:eastAsia="Calibri" w:hAnsi="Times New Roman" w:cs="Times New Roman"/>
          <w:sz w:val="20"/>
          <w:szCs w:val="20"/>
          <w:lang w:eastAsia="ar-EG" w:bidi="ar-EG"/>
        </w:rPr>
        <w:t xml:space="preserve"> vs (21.4%) in control group with a P value of 0.024 (Table 1).</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lastRenderedPageBreak/>
        <w:t xml:space="preserve">This finding is in agreement with </w:t>
      </w:r>
      <w:r w:rsidRPr="0061552B">
        <w:rPr>
          <w:rFonts w:ascii="Times New Roman" w:eastAsia="Calibri" w:hAnsi="Times New Roman" w:cs="Times New Roman"/>
          <w:b/>
          <w:bCs/>
          <w:sz w:val="20"/>
          <w:szCs w:val="20"/>
          <w:lang w:eastAsia="ar-EG" w:bidi="ar-EG"/>
        </w:rPr>
        <w:t>Ohkuma et al., 2018</w:t>
      </w:r>
      <w:r w:rsidRPr="0061552B">
        <w:rPr>
          <w:rFonts w:ascii="Times New Roman" w:eastAsia="Calibri" w:hAnsi="Times New Roman" w:cs="Times New Roman"/>
          <w:sz w:val="20"/>
          <w:szCs w:val="20"/>
          <w:vertAlign w:val="superscript"/>
          <w:lang w:eastAsia="ar-EG" w:bidi="ar-EG"/>
        </w:rPr>
        <w:t>16</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 xml:space="preserve">who reported that DM was associated with a 2 to 3 fold increased risk of HCC, with a significantly greater relative risk among men than </w:t>
      </w:r>
      <w:r w:rsidRPr="0061552B">
        <w:rPr>
          <w:rFonts w:ascii="Times New Roman" w:eastAsia="Calibri" w:hAnsi="Times New Roman" w:cs="Times New Roman"/>
          <w:sz w:val="20"/>
          <w:szCs w:val="20"/>
          <w:lang w:eastAsia="ar-EG" w:bidi="ar-EG"/>
        </w:rPr>
        <w:t>women.</w:t>
      </w:r>
    </w:p>
    <w:p w:rsidR="000D44FB" w:rsidRPr="0061552B" w:rsidRDefault="00CD6B80">
      <w:pPr>
        <w:spacing w:after="0" w:line="240" w:lineRule="auto"/>
        <w:ind w:firstLine="426"/>
        <w:jc w:val="both"/>
        <w:rPr>
          <w:rFonts w:ascii="Times New Roman" w:eastAsia="Calibri" w:hAnsi="Times New Roman" w:cs="Times New Roman"/>
          <w:bCs/>
          <w:sz w:val="20"/>
          <w:szCs w:val="20"/>
          <w:lang w:eastAsia="ar-EG" w:bidi="ar-EG"/>
        </w:rPr>
      </w:pPr>
      <w:r w:rsidRPr="0061552B">
        <w:rPr>
          <w:rFonts w:ascii="Times New Roman" w:eastAsia="Calibri" w:hAnsi="Times New Roman" w:cs="Times New Roman"/>
          <w:bCs/>
          <w:sz w:val="20"/>
          <w:szCs w:val="20"/>
          <w:lang w:eastAsia="ar-EG" w:bidi="ar-EG"/>
        </w:rPr>
        <w:t xml:space="preserve">A statistically higher proportion of positive H. pylori stool antigen test in HCC patients (63.6%) vs (26.2%) in control group with a P value ˂0.001 (Table 1). This finding is in agreement with </w:t>
      </w:r>
      <w:bookmarkStart w:id="12" w:name="_Hlk105023680"/>
      <w:r w:rsidRPr="0061552B">
        <w:rPr>
          <w:rFonts w:ascii="Times New Roman" w:eastAsia="Calibri" w:hAnsi="Times New Roman" w:cs="Times New Roman"/>
          <w:b/>
          <w:bCs/>
          <w:sz w:val="20"/>
          <w:szCs w:val="20"/>
          <w:lang w:eastAsia="ar-EG" w:bidi="ar-EG"/>
        </w:rPr>
        <w:t>Mekonnen</w:t>
      </w:r>
      <w:r w:rsidRPr="0061552B">
        <w:rPr>
          <w:rFonts w:ascii="Times New Roman" w:eastAsia="Calibri" w:hAnsi="Times New Roman" w:cs="Times New Roman"/>
          <w:bCs/>
          <w:sz w:val="20"/>
          <w:szCs w:val="20"/>
          <w:lang w:eastAsia="ar-EG" w:bidi="ar-EG"/>
        </w:rPr>
        <w:t xml:space="preserve"> </w:t>
      </w:r>
      <w:r w:rsidRPr="0061552B">
        <w:rPr>
          <w:rFonts w:ascii="Times New Roman" w:eastAsia="Calibri" w:hAnsi="Times New Roman" w:cs="Times New Roman"/>
          <w:b/>
          <w:bCs/>
          <w:sz w:val="20"/>
          <w:szCs w:val="20"/>
          <w:lang w:eastAsia="ar-EG" w:bidi="ar-EG"/>
        </w:rPr>
        <w:t>et al., 2018</w:t>
      </w:r>
      <w:bookmarkEnd w:id="12"/>
      <w:r w:rsidRPr="0061552B">
        <w:rPr>
          <w:rFonts w:ascii="Times New Roman" w:eastAsia="Calibri" w:hAnsi="Times New Roman" w:cs="Times New Roman"/>
          <w:sz w:val="20"/>
          <w:szCs w:val="20"/>
          <w:vertAlign w:val="superscript"/>
          <w:lang w:eastAsia="ar-EG" w:bidi="ar-EG"/>
        </w:rPr>
        <w:t>17</w:t>
      </w:r>
      <w:r w:rsidRPr="0061552B">
        <w:rPr>
          <w:rFonts w:ascii="Times New Roman" w:eastAsia="Calibri" w:hAnsi="Times New Roman" w:cs="Times New Roman"/>
          <w:sz w:val="20"/>
          <w:szCs w:val="20"/>
          <w:lang w:eastAsia="ar-EG" w:bidi="ar-EG"/>
        </w:rPr>
        <w:t>.</w:t>
      </w:r>
    </w:p>
    <w:p w:rsidR="000D44FB" w:rsidRPr="0061552B" w:rsidRDefault="00CD6B80">
      <w:pPr>
        <w:spacing w:after="0" w:line="240" w:lineRule="auto"/>
        <w:ind w:firstLine="426"/>
        <w:jc w:val="both"/>
        <w:rPr>
          <w:rFonts w:ascii="Times New Roman" w:eastAsia="Calibri" w:hAnsi="Times New Roman" w:cs="Times New Roman"/>
          <w:b/>
          <w:bCs/>
          <w:sz w:val="20"/>
          <w:szCs w:val="20"/>
          <w:lang w:val="en-GB" w:eastAsia="ar-EG" w:bidi="ar-EG"/>
        </w:rPr>
      </w:pPr>
      <w:r w:rsidRPr="0061552B">
        <w:rPr>
          <w:rFonts w:ascii="Times New Roman" w:eastAsia="Calibri" w:hAnsi="Times New Roman" w:cs="Times New Roman"/>
          <w:bCs/>
          <w:sz w:val="20"/>
          <w:szCs w:val="20"/>
          <w:lang w:eastAsia="ar-EG" w:bidi="ar-EG"/>
        </w:rPr>
        <w:t xml:space="preserve">A statistically significantly </w:t>
      </w:r>
      <w:r w:rsidRPr="0061552B">
        <w:rPr>
          <w:rFonts w:ascii="Times New Roman" w:eastAsia="Calibri" w:hAnsi="Times New Roman" w:cs="Times New Roman"/>
          <w:bCs/>
          <w:sz w:val="20"/>
          <w:szCs w:val="20"/>
          <w:lang w:eastAsia="ar-EG" w:bidi="ar-EG"/>
        </w:rPr>
        <w:t xml:space="preserve">higher ALT, AST, and serum total bilirubin were observed in HCC patients vs control group </w:t>
      </w:r>
      <w:bookmarkStart w:id="13" w:name="_Hlk105031503"/>
      <w:r w:rsidRPr="0061552B">
        <w:rPr>
          <w:rFonts w:ascii="Times New Roman" w:eastAsia="Calibri" w:hAnsi="Times New Roman" w:cs="Times New Roman"/>
          <w:bCs/>
          <w:sz w:val="20"/>
          <w:szCs w:val="20"/>
          <w:lang w:eastAsia="ar-EG" w:bidi="ar-EG"/>
        </w:rPr>
        <w:t>with a P value of ˂0.001 each</w:t>
      </w:r>
      <w:bookmarkEnd w:id="13"/>
      <w:r w:rsidRPr="0061552B">
        <w:rPr>
          <w:rFonts w:ascii="Times New Roman" w:eastAsia="Calibri" w:hAnsi="Times New Roman" w:cs="Times New Roman"/>
          <w:bCs/>
          <w:sz w:val="20"/>
          <w:szCs w:val="20"/>
          <w:lang w:eastAsia="ar-EG" w:bidi="ar-EG"/>
        </w:rPr>
        <w:t xml:space="preserve">. A statistically significantly lower BMI, hemoglobin, platelet count, and serum albumin were found in HCC cases vs control group with a </w:t>
      </w:r>
      <w:r w:rsidRPr="0061552B">
        <w:rPr>
          <w:rFonts w:ascii="Times New Roman" w:eastAsia="Calibri" w:hAnsi="Times New Roman" w:cs="Times New Roman"/>
          <w:bCs/>
          <w:sz w:val="20"/>
          <w:szCs w:val="20"/>
          <w:lang w:eastAsia="ar-EG" w:bidi="ar-EG"/>
        </w:rPr>
        <w:t xml:space="preserve">P value of </w:t>
      </w:r>
      <w:bookmarkStart w:id="14" w:name="_Hlk105032272"/>
      <w:r w:rsidRPr="0061552B">
        <w:rPr>
          <w:rFonts w:ascii="Times New Roman" w:eastAsia="Calibri" w:hAnsi="Times New Roman" w:cs="Times New Roman"/>
          <w:bCs/>
          <w:sz w:val="20"/>
          <w:szCs w:val="20"/>
          <w:lang w:eastAsia="ar-EG" w:bidi="ar-EG"/>
        </w:rPr>
        <w:t xml:space="preserve">˂0.001 </w:t>
      </w:r>
      <w:bookmarkEnd w:id="14"/>
      <w:r w:rsidRPr="0061552B">
        <w:rPr>
          <w:rFonts w:ascii="Times New Roman" w:eastAsia="Calibri" w:hAnsi="Times New Roman" w:cs="Times New Roman"/>
          <w:bCs/>
          <w:sz w:val="20"/>
          <w:szCs w:val="20"/>
          <w:lang w:eastAsia="ar-EG" w:bidi="ar-EG"/>
        </w:rPr>
        <w:t xml:space="preserve">each (Table 2). These findings are in parallel to </w:t>
      </w:r>
      <w:r w:rsidRPr="0061552B">
        <w:rPr>
          <w:rFonts w:ascii="Times New Roman" w:eastAsia="Calibri" w:hAnsi="Times New Roman" w:cs="Times New Roman"/>
          <w:b/>
          <w:bCs/>
          <w:sz w:val="20"/>
          <w:szCs w:val="20"/>
          <w:lang w:val="en-GB" w:eastAsia="ar-EG" w:bidi="ar-EG"/>
        </w:rPr>
        <w:t>Gopal et al., 2014</w:t>
      </w:r>
      <w:r w:rsidRPr="0061552B">
        <w:rPr>
          <w:rFonts w:ascii="Times New Roman" w:eastAsia="Calibri" w:hAnsi="Times New Roman" w:cs="Times New Roman"/>
          <w:sz w:val="20"/>
          <w:szCs w:val="20"/>
          <w:vertAlign w:val="superscript"/>
          <w:lang w:val="en-GB" w:eastAsia="ar-EG" w:bidi="ar-EG"/>
        </w:rPr>
        <w:t>18</w:t>
      </w:r>
      <w:r w:rsidRPr="0061552B">
        <w:rPr>
          <w:rFonts w:ascii="Times New Roman" w:eastAsia="Calibri" w:hAnsi="Times New Roman" w:cs="Times New Roman"/>
          <w:sz w:val="20"/>
          <w:szCs w:val="20"/>
          <w:lang w:val="en-GB" w:eastAsia="ar-EG" w:bidi="ar-EG"/>
        </w:rPr>
        <w:t>.</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val="en-GB" w:eastAsia="ar-EG" w:bidi="ar-EG"/>
        </w:rPr>
        <w:lastRenderedPageBreak/>
        <w:t xml:space="preserve">Regarding </w:t>
      </w:r>
      <w:bookmarkStart w:id="15" w:name="_Hlk105032514"/>
      <w:r w:rsidRPr="0061552B">
        <w:rPr>
          <w:rFonts w:ascii="Times New Roman" w:eastAsia="Calibri" w:hAnsi="Times New Roman" w:cs="Times New Roman"/>
          <w:sz w:val="20"/>
          <w:szCs w:val="20"/>
          <w:lang w:val="en-GB" w:eastAsia="ar-EG" w:bidi="ar-EG"/>
        </w:rPr>
        <w:t xml:space="preserve">TNF-α 308 </w:t>
      </w:r>
      <w:bookmarkEnd w:id="15"/>
      <w:r w:rsidRPr="0061552B">
        <w:rPr>
          <w:rFonts w:ascii="Times New Roman" w:eastAsia="Calibri" w:hAnsi="Times New Roman" w:cs="Times New Roman"/>
          <w:sz w:val="20"/>
          <w:szCs w:val="20"/>
          <w:lang w:val="en-GB" w:eastAsia="ar-EG" w:bidi="ar-EG"/>
        </w:rPr>
        <w:t xml:space="preserve">alleles, Table 3 shows </w:t>
      </w:r>
      <w:r w:rsidRPr="0061552B">
        <w:rPr>
          <w:rFonts w:ascii="Times New Roman" w:eastAsia="Calibri" w:hAnsi="Times New Roman" w:cs="Times New Roman"/>
          <w:sz w:val="20"/>
          <w:szCs w:val="20"/>
          <w:lang w:eastAsia="ar-EG" w:bidi="ar-EG"/>
        </w:rPr>
        <w:t xml:space="preserve">a statistically significantly higher ‘A’ allele in HCC cases (25.5%) vs. control group (11.9%) with a P value of </w:t>
      </w:r>
      <w:bookmarkStart w:id="16" w:name="_Hlk105032684"/>
      <w:r w:rsidRPr="0061552B">
        <w:rPr>
          <w:rFonts w:ascii="Times New Roman" w:eastAsia="Calibri" w:hAnsi="Times New Roman" w:cs="Times New Roman"/>
          <w:bCs/>
          <w:sz w:val="20"/>
          <w:szCs w:val="20"/>
          <w:lang w:eastAsia="ar-EG" w:bidi="ar-EG"/>
        </w:rPr>
        <w:t>˂</w:t>
      </w:r>
      <w:r w:rsidRPr="0061552B">
        <w:rPr>
          <w:rFonts w:ascii="Times New Roman" w:eastAsia="Calibri" w:hAnsi="Times New Roman" w:cs="Times New Roman"/>
          <w:bCs/>
          <w:sz w:val="20"/>
          <w:szCs w:val="20"/>
          <w:lang w:eastAsia="ar-EG" w:bidi="ar-EG"/>
        </w:rPr>
        <w:t>0.001</w:t>
      </w:r>
      <w:r w:rsidRPr="0061552B">
        <w:rPr>
          <w:rFonts w:ascii="Times New Roman" w:eastAsia="Calibri" w:hAnsi="Times New Roman" w:cs="Times New Roman"/>
          <w:sz w:val="20"/>
          <w:szCs w:val="20"/>
          <w:lang w:eastAsia="ar-EG" w:bidi="ar-EG"/>
        </w:rPr>
        <w:t xml:space="preserve"> </w:t>
      </w:r>
      <w:bookmarkEnd w:id="16"/>
      <w:r w:rsidRPr="0061552B">
        <w:rPr>
          <w:rFonts w:ascii="Times New Roman" w:eastAsia="Calibri" w:hAnsi="Times New Roman" w:cs="Times New Roman"/>
          <w:sz w:val="20"/>
          <w:szCs w:val="20"/>
          <w:lang w:eastAsia="ar-EG" w:bidi="ar-EG"/>
        </w:rPr>
        <w:t>(risk allele). A participant with ‘A’ allele has 2.5 times higher odds to exhibit HCC.</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 xml:space="preserve">Regarding </w:t>
      </w:r>
      <w:r w:rsidRPr="0061552B">
        <w:rPr>
          <w:rFonts w:ascii="Times New Roman" w:eastAsia="Calibri" w:hAnsi="Times New Roman" w:cs="Times New Roman"/>
          <w:sz w:val="20"/>
          <w:szCs w:val="20"/>
          <w:lang w:val="en-GB" w:eastAsia="ar-EG" w:bidi="ar-EG"/>
        </w:rPr>
        <w:t xml:space="preserve">TNF-α 308 genotypes, </w:t>
      </w:r>
      <w:r w:rsidRPr="0061552B">
        <w:rPr>
          <w:rFonts w:ascii="Times New Roman" w:eastAsia="Calibri" w:hAnsi="Times New Roman" w:cs="Times New Roman"/>
          <w:sz w:val="20"/>
          <w:szCs w:val="20"/>
          <w:lang w:eastAsia="ar-EG" w:bidi="ar-EG"/>
        </w:rPr>
        <w:t xml:space="preserve">a statistically significantly higher G/A – A/A genotypes in HCC cases (43.6%) vs. control group (21.4%) with a P value of </w:t>
      </w:r>
      <w:r w:rsidRPr="0061552B">
        <w:rPr>
          <w:rFonts w:ascii="Times New Roman" w:eastAsia="Calibri" w:hAnsi="Times New Roman" w:cs="Times New Roman"/>
          <w:bCs/>
          <w:sz w:val="20"/>
          <w:szCs w:val="20"/>
          <w:lang w:eastAsia="ar-EG" w:bidi="ar-EG"/>
        </w:rPr>
        <w:t>˂</w:t>
      </w:r>
      <w:r w:rsidRPr="0061552B">
        <w:rPr>
          <w:rFonts w:ascii="Times New Roman" w:eastAsia="Calibri" w:hAnsi="Times New Roman" w:cs="Times New Roman"/>
          <w:bCs/>
          <w:sz w:val="20"/>
          <w:szCs w:val="20"/>
          <w:lang w:eastAsia="ar-EG" w:bidi="ar-EG"/>
        </w:rPr>
        <w:t>0.001</w:t>
      </w:r>
      <w:r w:rsidRPr="0061552B">
        <w:rPr>
          <w:rFonts w:ascii="Times New Roman" w:eastAsia="Calibri" w:hAnsi="Times New Roman" w:cs="Times New Roman"/>
          <w:sz w:val="20"/>
          <w:szCs w:val="20"/>
          <w:lang w:eastAsia="ar-EG" w:bidi="ar-EG"/>
        </w:rPr>
        <w:t xml:space="preserve">  (risk ge</w:t>
      </w:r>
      <w:r w:rsidRPr="0061552B">
        <w:rPr>
          <w:rFonts w:ascii="Times New Roman" w:eastAsia="Calibri" w:hAnsi="Times New Roman" w:cs="Times New Roman"/>
          <w:sz w:val="20"/>
          <w:szCs w:val="20"/>
          <w:lang w:eastAsia="ar-EG" w:bidi="ar-EG"/>
        </w:rPr>
        <w:t>notypes). A participant with G/A or A/A genotype has 2.8 times higher odds to exhibit HCC (Table 4).</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Table 5 shows the different inheritance models for TNF-α 308 SNP and their association with HCC. All inheritance models showed significant relationship bet</w:t>
      </w:r>
      <w:r w:rsidRPr="0061552B">
        <w:rPr>
          <w:rFonts w:ascii="Times New Roman" w:eastAsia="Calibri" w:hAnsi="Times New Roman" w:cs="Times New Roman"/>
          <w:sz w:val="20"/>
          <w:szCs w:val="20"/>
          <w:lang w:eastAsia="ar-EG" w:bidi="ar-EG"/>
        </w:rPr>
        <w:t>ween the SNP and HCC risk except the recessive model. However the best inheritance model was the dominant model (P value 0.0002). Participants with G/A or A/A genotype have 2.8-times higher odds (adjusted for age and sex) to exhibit HCC.</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These findings are</w:t>
      </w:r>
      <w:r w:rsidRPr="0061552B">
        <w:rPr>
          <w:rFonts w:ascii="Times New Roman" w:eastAsia="Calibri" w:hAnsi="Times New Roman" w:cs="Times New Roman"/>
          <w:sz w:val="20"/>
          <w:szCs w:val="20"/>
          <w:lang w:eastAsia="ar-EG" w:bidi="ar-EG"/>
        </w:rPr>
        <w:t xml:space="preserve"> in line with</w:t>
      </w:r>
      <w:r w:rsidRPr="0061552B">
        <w:rPr>
          <w:rFonts w:ascii="Times New Roman" w:eastAsia="Calibri" w:hAnsi="Times New Roman" w:cs="Times New Roman"/>
          <w:b/>
          <w:bCs/>
          <w:sz w:val="20"/>
          <w:szCs w:val="20"/>
          <w:lang w:eastAsia="ar-EG" w:bidi="ar-EG"/>
        </w:rPr>
        <w:t xml:space="preserve"> Xiao et al.</w:t>
      </w:r>
      <w:r w:rsidRPr="0061552B">
        <w:rPr>
          <w:rFonts w:ascii="Times New Roman" w:eastAsia="Calibri" w:hAnsi="Times New Roman" w:cs="Times New Roman"/>
          <w:sz w:val="20"/>
          <w:szCs w:val="20"/>
          <w:lang w:eastAsia="ar-EG" w:bidi="ar-EG"/>
        </w:rPr>
        <w:t xml:space="preserve">, </w:t>
      </w:r>
      <w:r w:rsidRPr="0061552B">
        <w:rPr>
          <w:rFonts w:ascii="Times New Roman" w:eastAsia="Calibri" w:hAnsi="Times New Roman" w:cs="Times New Roman"/>
          <w:b/>
          <w:bCs/>
          <w:sz w:val="20"/>
          <w:szCs w:val="20"/>
          <w:lang w:eastAsia="ar-EG" w:bidi="ar-EG"/>
        </w:rPr>
        <w:t>2016</w:t>
      </w:r>
      <w:r w:rsidRPr="0061552B">
        <w:rPr>
          <w:rFonts w:ascii="Times New Roman" w:eastAsia="Calibri" w:hAnsi="Times New Roman" w:cs="Times New Roman"/>
          <w:sz w:val="20"/>
          <w:szCs w:val="20"/>
          <w:vertAlign w:val="superscript"/>
          <w:lang w:eastAsia="ar-EG" w:bidi="ar-EG"/>
        </w:rPr>
        <w:t>19</w:t>
      </w:r>
      <w:r w:rsidRPr="0061552B">
        <w:rPr>
          <w:rFonts w:ascii="Times New Roman" w:eastAsia="Calibri" w:hAnsi="Times New Roman" w:cs="Times New Roman"/>
          <w:sz w:val="20"/>
          <w:szCs w:val="20"/>
          <w:lang w:eastAsia="ar-EG" w:bidi="ar-EG"/>
        </w:rPr>
        <w:t xml:space="preserve">. Also in line with </w:t>
      </w:r>
      <w:r w:rsidRPr="0061552B">
        <w:rPr>
          <w:rFonts w:ascii="Times New Roman" w:eastAsia="Calibri" w:hAnsi="Times New Roman" w:cs="Times New Roman"/>
          <w:b/>
          <w:bCs/>
          <w:sz w:val="20"/>
          <w:szCs w:val="20"/>
          <w:lang w:eastAsia="ar-EG" w:bidi="ar-EG"/>
        </w:rPr>
        <w:t>Hu et al., 2014</w:t>
      </w:r>
      <w:r w:rsidRPr="0061552B">
        <w:rPr>
          <w:rFonts w:ascii="Times New Roman" w:eastAsia="Calibri" w:hAnsi="Times New Roman" w:cs="Times New Roman"/>
          <w:sz w:val="20"/>
          <w:szCs w:val="20"/>
          <w:vertAlign w:val="superscript"/>
          <w:lang w:eastAsia="ar-EG" w:bidi="ar-EG"/>
        </w:rPr>
        <w:t>20</w:t>
      </w:r>
      <w:r w:rsidRPr="0061552B">
        <w:rPr>
          <w:rFonts w:ascii="Times New Roman" w:eastAsia="Calibri" w:hAnsi="Times New Roman" w:cs="Times New Roman"/>
          <w:sz w:val="20"/>
          <w:szCs w:val="20"/>
          <w:lang w:eastAsia="ar-EG" w:bidi="ar-EG"/>
        </w:rPr>
        <w:t xml:space="preserve"> and </w:t>
      </w:r>
      <w:r w:rsidRPr="0061552B">
        <w:rPr>
          <w:rFonts w:ascii="Times New Roman" w:eastAsia="Calibri" w:hAnsi="Times New Roman" w:cs="Times New Roman"/>
          <w:b/>
          <w:bCs/>
          <w:sz w:val="20"/>
          <w:szCs w:val="20"/>
          <w:lang w:eastAsia="ar-EG" w:bidi="ar-EG"/>
        </w:rPr>
        <w:t>Tavakolpour and Sali, 2016</w:t>
      </w:r>
      <w:r w:rsidRPr="0061552B">
        <w:rPr>
          <w:rFonts w:ascii="Times New Roman" w:eastAsia="Calibri" w:hAnsi="Times New Roman" w:cs="Times New Roman"/>
          <w:sz w:val="20"/>
          <w:szCs w:val="20"/>
          <w:vertAlign w:val="superscript"/>
          <w:lang w:eastAsia="ar-EG" w:bidi="ar-EG"/>
        </w:rPr>
        <w:t>21</w:t>
      </w:r>
      <w:r w:rsidRPr="0061552B">
        <w:rPr>
          <w:rFonts w:ascii="Times New Roman" w:eastAsia="Calibri" w:hAnsi="Times New Roman" w:cs="Times New Roman"/>
          <w:sz w:val="20"/>
          <w:szCs w:val="20"/>
          <w:lang w:eastAsia="ar-EG" w:bidi="ar-EG"/>
        </w:rPr>
        <w:t xml:space="preserve"> on allele models and dominant model analyses.</w:t>
      </w:r>
      <w:r w:rsidRPr="0061552B">
        <w:rPr>
          <w:rFonts w:ascii="Times New Roman" w:eastAsia="Calibri" w:hAnsi="Times New Roman" w:cs="Times New Roman"/>
          <w:b/>
          <w:bCs/>
          <w:sz w:val="20"/>
          <w:szCs w:val="20"/>
          <w:lang w:eastAsia="ar-EG" w:bidi="ar-EG"/>
        </w:rPr>
        <w:t xml:space="preserve"> Wungu et al., 2020</w:t>
      </w:r>
      <w:r w:rsidRPr="0061552B">
        <w:rPr>
          <w:rFonts w:ascii="Times New Roman" w:eastAsia="Calibri" w:hAnsi="Times New Roman" w:cs="Times New Roman"/>
          <w:sz w:val="20"/>
          <w:szCs w:val="20"/>
          <w:vertAlign w:val="superscript"/>
          <w:lang w:eastAsia="ar-EG" w:bidi="ar-EG"/>
        </w:rPr>
        <w:t>22</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showed a significant relationship between the SNP and HCC risk in all five genetic an</w:t>
      </w:r>
      <w:r w:rsidRPr="0061552B">
        <w:rPr>
          <w:rFonts w:ascii="Times New Roman" w:eastAsia="Calibri" w:hAnsi="Times New Roman" w:cs="Times New Roman"/>
          <w:sz w:val="20"/>
          <w:szCs w:val="20"/>
          <w:lang w:eastAsia="ar-EG" w:bidi="ar-EG"/>
        </w:rPr>
        <w:t>alysis models.</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 xml:space="preserve">However, </w:t>
      </w:r>
      <w:r w:rsidRPr="0061552B">
        <w:rPr>
          <w:rFonts w:ascii="Times New Roman" w:eastAsia="Calibri" w:hAnsi="Times New Roman" w:cs="Times New Roman"/>
          <w:b/>
          <w:bCs/>
          <w:sz w:val="20"/>
          <w:szCs w:val="20"/>
          <w:lang w:eastAsia="ar-EG" w:bidi="ar-EG"/>
        </w:rPr>
        <w:t>Wei et al., 2011</w:t>
      </w:r>
      <w:r w:rsidRPr="0061552B">
        <w:rPr>
          <w:rFonts w:ascii="Times New Roman" w:eastAsia="Calibri" w:hAnsi="Times New Roman" w:cs="Times New Roman"/>
          <w:sz w:val="20"/>
          <w:szCs w:val="20"/>
          <w:vertAlign w:val="superscript"/>
          <w:lang w:eastAsia="ar-EG" w:bidi="ar-EG"/>
        </w:rPr>
        <w:t>23</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reported that SNP 308 AA was associated with an increased risk of HCC in Asian ethnicities, but not for Caucasian. On the other hand, a study conducted on South Korean population showed that TNF-α 308 SNP alone wa</w:t>
      </w:r>
      <w:r w:rsidRPr="0061552B">
        <w:rPr>
          <w:rFonts w:ascii="Times New Roman" w:eastAsia="Calibri" w:hAnsi="Times New Roman" w:cs="Times New Roman"/>
          <w:sz w:val="20"/>
          <w:szCs w:val="20"/>
          <w:lang w:eastAsia="ar-EG" w:bidi="ar-EG"/>
        </w:rPr>
        <w:t>s not significantly associated with HCC, but when several genotypes were combined (e.g. 1031 / 308 / 238), there was a significant association with the incidence of HCC</w:t>
      </w:r>
      <w:r w:rsidRPr="0061552B">
        <w:rPr>
          <w:rFonts w:ascii="Times New Roman" w:eastAsia="Calibri" w:hAnsi="Times New Roman" w:cs="Times New Roman"/>
          <w:sz w:val="20"/>
          <w:szCs w:val="20"/>
          <w:vertAlign w:val="superscript"/>
          <w:lang w:eastAsia="ar-EG" w:bidi="ar-EG"/>
        </w:rPr>
        <w:t>24</w:t>
      </w:r>
      <w:r w:rsidRPr="0061552B">
        <w:rPr>
          <w:rFonts w:ascii="Times New Roman" w:eastAsia="Calibri" w:hAnsi="Times New Roman" w:cs="Times New Roman"/>
          <w:sz w:val="20"/>
          <w:szCs w:val="20"/>
          <w:lang w:eastAsia="ar-EG" w:bidi="ar-EG"/>
        </w:rPr>
        <w:t>. Those findings suggest that TNF-α 308 SNP seems to be variable within ethnicities</w:t>
      </w:r>
    </w:p>
    <w:p w:rsidR="000D44FB" w:rsidRPr="0061552B" w:rsidRDefault="00CD6B80">
      <w:pPr>
        <w:spacing w:after="0" w:line="240" w:lineRule="auto"/>
        <w:ind w:firstLine="426"/>
        <w:jc w:val="both"/>
        <w:rPr>
          <w:rFonts w:ascii="Times New Roman" w:eastAsia="Calibri" w:hAnsi="Times New Roman" w:cs="Times New Roman"/>
          <w:sz w:val="20"/>
          <w:szCs w:val="20"/>
          <w:lang w:eastAsia="ar-EG" w:bidi="ar-EG"/>
        </w:rPr>
      </w:pPr>
      <w:r w:rsidRPr="0061552B">
        <w:rPr>
          <w:rFonts w:ascii="Times New Roman" w:eastAsia="Calibri" w:hAnsi="Times New Roman" w:cs="Times New Roman"/>
          <w:sz w:val="20"/>
          <w:szCs w:val="20"/>
          <w:lang w:eastAsia="ar-EG" w:bidi="ar-EG"/>
        </w:rPr>
        <w:t>Bi</w:t>
      </w:r>
      <w:r w:rsidRPr="0061552B">
        <w:rPr>
          <w:rFonts w:ascii="Times New Roman" w:eastAsia="Calibri" w:hAnsi="Times New Roman" w:cs="Times New Roman"/>
          <w:sz w:val="20"/>
          <w:szCs w:val="20"/>
          <w:lang w:eastAsia="ar-EG" w:bidi="ar-EG"/>
        </w:rPr>
        <w:t>nary logistic regression was run to ascertain the effects of diabetes, positive H. pylori, current or ex-smoker, and G/A-A/A genotypes of TNF α 308 on the likelihood of occurrence of HCC (Table 6). All 4 variables were statistically significant on univaria</w:t>
      </w:r>
      <w:r w:rsidRPr="0061552B">
        <w:rPr>
          <w:rFonts w:ascii="Times New Roman" w:eastAsia="Calibri" w:hAnsi="Times New Roman" w:cs="Times New Roman"/>
          <w:sz w:val="20"/>
          <w:szCs w:val="20"/>
          <w:lang w:eastAsia="ar-EG" w:bidi="ar-EG"/>
        </w:rPr>
        <w:t>te analysis. However, on multivariate analysis, DM was no longer a statistically significant predictor. participants with history of smoking (ex-smoker and current), positive H. pylori stool Ag, and G/A-A/A genotypes have 2.5-, 5.3-, and 2.8-times higher o</w:t>
      </w:r>
      <w:r w:rsidRPr="0061552B">
        <w:rPr>
          <w:rFonts w:ascii="Times New Roman" w:eastAsia="Calibri" w:hAnsi="Times New Roman" w:cs="Times New Roman"/>
          <w:sz w:val="20"/>
          <w:szCs w:val="20"/>
          <w:lang w:eastAsia="ar-EG" w:bidi="ar-EG"/>
        </w:rPr>
        <w:t xml:space="preserve">dds, respectively to exhibit HCC and these findings are in line with </w:t>
      </w:r>
      <w:r w:rsidRPr="0061552B">
        <w:rPr>
          <w:rFonts w:ascii="Times New Roman" w:eastAsia="Calibri" w:hAnsi="Times New Roman" w:cs="Times New Roman"/>
          <w:b/>
          <w:bCs/>
          <w:sz w:val="20"/>
          <w:szCs w:val="20"/>
          <w:lang w:eastAsia="ar-EG" w:bidi="ar-EG"/>
        </w:rPr>
        <w:t>Abdel-Rahman et al., 2017</w:t>
      </w:r>
      <w:r w:rsidRPr="0061552B">
        <w:rPr>
          <w:rFonts w:ascii="Times New Roman" w:eastAsia="Calibri" w:hAnsi="Times New Roman" w:cs="Times New Roman"/>
          <w:sz w:val="20"/>
          <w:szCs w:val="20"/>
          <w:vertAlign w:val="superscript"/>
          <w:lang w:eastAsia="ar-EG" w:bidi="ar-EG"/>
        </w:rPr>
        <w:t>15</w:t>
      </w:r>
      <w:r w:rsidRPr="0061552B">
        <w:rPr>
          <w:rFonts w:ascii="Times New Roman" w:eastAsia="Calibri" w:hAnsi="Times New Roman" w:cs="Times New Roman"/>
          <w:b/>
          <w:bCs/>
          <w:sz w:val="20"/>
          <w:szCs w:val="20"/>
          <w:lang w:eastAsia="ar-EG" w:bidi="ar-EG"/>
        </w:rPr>
        <w:t>, Mekonnen et al., 2018</w:t>
      </w:r>
      <w:r w:rsidRPr="0061552B">
        <w:rPr>
          <w:rFonts w:ascii="Times New Roman" w:eastAsia="Calibri" w:hAnsi="Times New Roman" w:cs="Times New Roman"/>
          <w:sz w:val="20"/>
          <w:szCs w:val="20"/>
          <w:vertAlign w:val="superscript"/>
          <w:lang w:eastAsia="ar-EG" w:bidi="ar-EG"/>
        </w:rPr>
        <w:t>17</w:t>
      </w:r>
      <w:r w:rsidRPr="0061552B">
        <w:rPr>
          <w:rFonts w:ascii="Times New Roman" w:eastAsia="Calibri" w:hAnsi="Times New Roman" w:cs="Times New Roman"/>
          <w:b/>
          <w:bCs/>
          <w:sz w:val="20"/>
          <w:szCs w:val="20"/>
          <w:lang w:eastAsia="ar-EG" w:bidi="ar-EG"/>
        </w:rPr>
        <w:t xml:space="preserve"> and Tavakolpour and Sali, 2016</w:t>
      </w:r>
      <w:r w:rsidRPr="0061552B">
        <w:rPr>
          <w:rFonts w:ascii="Times New Roman" w:eastAsia="Calibri" w:hAnsi="Times New Roman" w:cs="Times New Roman"/>
          <w:sz w:val="20"/>
          <w:szCs w:val="20"/>
          <w:vertAlign w:val="superscript"/>
          <w:lang w:eastAsia="ar-EG" w:bidi="ar-EG"/>
        </w:rPr>
        <w:t>21</w:t>
      </w:r>
      <w:r w:rsidRPr="0061552B">
        <w:rPr>
          <w:rFonts w:ascii="Times New Roman" w:eastAsia="Calibri" w:hAnsi="Times New Roman" w:cs="Times New Roman"/>
          <w:b/>
          <w:bCs/>
          <w:sz w:val="20"/>
          <w:szCs w:val="20"/>
          <w:lang w:eastAsia="ar-EG" w:bidi="ar-EG"/>
        </w:rPr>
        <w:t xml:space="preserve"> </w:t>
      </w:r>
      <w:r w:rsidRPr="0061552B">
        <w:rPr>
          <w:rFonts w:ascii="Times New Roman" w:eastAsia="Calibri" w:hAnsi="Times New Roman" w:cs="Times New Roman"/>
          <w:sz w:val="20"/>
          <w:szCs w:val="20"/>
          <w:lang w:eastAsia="ar-EG" w:bidi="ar-EG"/>
        </w:rPr>
        <w:t xml:space="preserve">respectively. </w:t>
      </w:r>
    </w:p>
    <w:p w:rsidR="000D44FB" w:rsidRPr="0061552B" w:rsidRDefault="000D44FB">
      <w:pPr>
        <w:spacing w:after="0" w:line="240" w:lineRule="auto"/>
        <w:rPr>
          <w:rFonts w:ascii="Times New Roman" w:eastAsia="Calibri" w:hAnsi="Times New Roman" w:cs="Times New Roman"/>
          <w:b/>
          <w:bCs/>
          <w:sz w:val="20"/>
          <w:szCs w:val="20"/>
          <w:lang w:bidi="ar-EG"/>
        </w:rPr>
      </w:pPr>
    </w:p>
    <w:p w:rsidR="000D44FB" w:rsidRPr="0061552B" w:rsidRDefault="00CD6B80">
      <w:pPr>
        <w:spacing w:after="0" w:line="240" w:lineRule="auto"/>
        <w:rPr>
          <w:rFonts w:ascii="Times New Roman" w:eastAsia="Calibri" w:hAnsi="Times New Roman" w:cs="Times New Roman"/>
          <w:b/>
          <w:bCs/>
          <w:sz w:val="20"/>
          <w:szCs w:val="20"/>
          <w:lang w:bidi="ar-EG"/>
        </w:rPr>
      </w:pPr>
      <w:r w:rsidRPr="0061552B">
        <w:rPr>
          <w:rFonts w:ascii="Times New Roman" w:eastAsia="Calibri" w:hAnsi="Times New Roman" w:cs="Times New Roman"/>
          <w:b/>
          <w:bCs/>
          <w:sz w:val="20"/>
          <w:szCs w:val="20"/>
          <w:lang w:bidi="ar-EG"/>
        </w:rPr>
        <w:t xml:space="preserve">Limitations: </w:t>
      </w:r>
    </w:p>
    <w:p w:rsidR="000D44FB" w:rsidRDefault="00CD6B80" w:rsidP="0061552B">
      <w:pPr>
        <w:spacing w:after="0" w:line="240" w:lineRule="auto"/>
        <w:ind w:firstLine="426"/>
        <w:jc w:val="both"/>
        <w:rPr>
          <w:rFonts w:ascii="Times New Roman" w:hAnsi="Times New Roman" w:cs="Times New Roman" w:hint="eastAsia"/>
          <w:sz w:val="20"/>
          <w:szCs w:val="20"/>
          <w:lang w:eastAsia="zh-CN"/>
        </w:rPr>
      </w:pPr>
      <w:r w:rsidRPr="0061552B">
        <w:rPr>
          <w:rFonts w:ascii="Times New Roman" w:eastAsia="Times New Roman" w:hAnsi="Times New Roman" w:cs="Times New Roman"/>
          <w:sz w:val="20"/>
          <w:szCs w:val="20"/>
        </w:rPr>
        <w:t xml:space="preserve">First limitation of the present study is that it was hospital-based case-control study, and patients were selected at a single institution (Mansoura Specialized </w:t>
      </w:r>
      <w:r w:rsidRPr="0061552B">
        <w:rPr>
          <w:rFonts w:ascii="Times New Roman" w:eastAsia="Times New Roman" w:hAnsi="Times New Roman" w:cs="Times New Roman"/>
          <w:sz w:val="20"/>
          <w:szCs w:val="20"/>
        </w:rPr>
        <w:lastRenderedPageBreak/>
        <w:t xml:space="preserve">Medical Hospital) and thus may have been unrepresentative of hepatocellular carcinoma patients </w:t>
      </w:r>
      <w:r w:rsidRPr="0061552B">
        <w:rPr>
          <w:rFonts w:ascii="Times New Roman" w:eastAsia="Times New Roman" w:hAnsi="Times New Roman" w:cs="Times New Roman"/>
          <w:sz w:val="20"/>
          <w:szCs w:val="20"/>
        </w:rPr>
        <w:t xml:space="preserve">in the general population. Also, the relatively small number of patients was due to the difficulty in acceptance by patients to be included in a research study in addition to the high expense of the kits. </w:t>
      </w:r>
    </w:p>
    <w:p w:rsidR="0061552B" w:rsidRPr="0061552B" w:rsidRDefault="0061552B">
      <w:pPr>
        <w:spacing w:after="0" w:line="240" w:lineRule="auto"/>
        <w:ind w:firstLine="426"/>
        <w:rPr>
          <w:rFonts w:ascii="Times New Roman" w:hAnsi="Times New Roman" w:cs="Times New Roman" w:hint="eastAsia"/>
          <w:sz w:val="20"/>
          <w:szCs w:val="20"/>
          <w:lang w:eastAsia="zh-CN"/>
        </w:rPr>
      </w:pPr>
    </w:p>
    <w:p w:rsidR="000D44FB" w:rsidRPr="0061552B" w:rsidRDefault="00CD6B80">
      <w:pPr>
        <w:spacing w:after="0" w:line="240" w:lineRule="auto"/>
        <w:rPr>
          <w:rFonts w:ascii="Times New Roman" w:eastAsia="Times New Roman" w:hAnsi="Times New Roman" w:cs="Times New Roman"/>
          <w:sz w:val="20"/>
          <w:szCs w:val="20"/>
        </w:rPr>
      </w:pPr>
      <w:r w:rsidRPr="0061552B">
        <w:rPr>
          <w:rFonts w:ascii="Times New Roman" w:eastAsia="Calibri" w:hAnsi="Times New Roman" w:cs="Times New Roman"/>
          <w:b/>
          <w:bCs/>
          <w:sz w:val="20"/>
          <w:szCs w:val="20"/>
          <w:lang w:bidi="ar-EG"/>
        </w:rPr>
        <w:t>Conclusion:</w:t>
      </w:r>
      <w:r w:rsidRPr="0061552B">
        <w:rPr>
          <w:rFonts w:ascii="Times New Roman" w:eastAsia="Times New Roman" w:hAnsi="Times New Roman" w:cs="Times New Roman"/>
          <w:sz w:val="20"/>
          <w:szCs w:val="20"/>
        </w:rPr>
        <w:t xml:space="preserve"> </w:t>
      </w:r>
    </w:p>
    <w:p w:rsidR="000D44FB" w:rsidRPr="0061552B" w:rsidRDefault="00CD6B80">
      <w:pPr>
        <w:spacing w:after="0" w:line="240" w:lineRule="auto"/>
        <w:ind w:firstLine="426"/>
        <w:jc w:val="both"/>
        <w:rPr>
          <w:rFonts w:ascii="Times New Roman" w:eastAsia="Times New Roman" w:hAnsi="Times New Roman" w:cs="Times New Roman"/>
          <w:sz w:val="20"/>
          <w:szCs w:val="20"/>
        </w:rPr>
      </w:pPr>
      <w:r w:rsidRPr="0061552B">
        <w:rPr>
          <w:rFonts w:ascii="Times New Roman" w:eastAsia="Times New Roman" w:hAnsi="Times New Roman" w:cs="Times New Roman"/>
          <w:sz w:val="20"/>
          <w:szCs w:val="20"/>
        </w:rPr>
        <w:t>H. pylori stool Ag and TNF-α 308 sing</w:t>
      </w:r>
      <w:r w:rsidRPr="0061552B">
        <w:rPr>
          <w:rFonts w:ascii="Times New Roman" w:eastAsia="Times New Roman" w:hAnsi="Times New Roman" w:cs="Times New Roman"/>
          <w:sz w:val="20"/>
          <w:szCs w:val="20"/>
        </w:rPr>
        <w:t>le nucleotide gene polymorphism could be valuable markers for prediction of HCC.</w:t>
      </w:r>
    </w:p>
    <w:p w:rsidR="000D44FB" w:rsidRPr="0061552B" w:rsidRDefault="000D44FB">
      <w:pPr>
        <w:spacing w:after="0" w:line="240" w:lineRule="auto"/>
        <w:rPr>
          <w:rFonts w:ascii="Times New Roman" w:eastAsia="Calibri" w:hAnsi="Times New Roman" w:cs="Times New Roman"/>
          <w:b/>
          <w:bCs/>
          <w:sz w:val="20"/>
          <w:szCs w:val="20"/>
          <w:lang w:bidi="ar-EG"/>
        </w:rPr>
      </w:pPr>
    </w:p>
    <w:p w:rsidR="000D44FB" w:rsidRPr="0061552B" w:rsidRDefault="00CD6B80">
      <w:pPr>
        <w:spacing w:after="0" w:line="240" w:lineRule="auto"/>
        <w:rPr>
          <w:rFonts w:ascii="Times New Roman" w:eastAsia="Calibri" w:hAnsi="Times New Roman" w:cs="Times New Roman"/>
          <w:sz w:val="20"/>
          <w:szCs w:val="20"/>
          <w:lang w:bidi="ar-EG"/>
        </w:rPr>
      </w:pPr>
      <w:r w:rsidRPr="0061552B">
        <w:rPr>
          <w:rFonts w:ascii="Times New Roman" w:eastAsia="Calibri" w:hAnsi="Times New Roman" w:cs="Times New Roman"/>
          <w:b/>
          <w:bCs/>
          <w:sz w:val="20"/>
          <w:szCs w:val="20"/>
          <w:lang w:bidi="ar-EG"/>
        </w:rPr>
        <w:t xml:space="preserve">Recommendations: </w:t>
      </w:r>
    </w:p>
    <w:p w:rsidR="000D44FB" w:rsidRPr="0061552B" w:rsidRDefault="00CD6B80">
      <w:pPr>
        <w:spacing w:after="0" w:line="240" w:lineRule="auto"/>
        <w:ind w:firstLine="426"/>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This was a pilot study with small sample size so further large scale studies are warranted to confirm the possible role of analysis of H. pylori stool Ag an</w:t>
      </w:r>
      <w:r w:rsidRPr="0061552B">
        <w:rPr>
          <w:rFonts w:ascii="Times New Roman" w:eastAsia="Calibri" w:hAnsi="Times New Roman" w:cs="Times New Roman"/>
          <w:sz w:val="20"/>
          <w:szCs w:val="20"/>
          <w:lang w:bidi="ar-EG"/>
        </w:rPr>
        <w:t xml:space="preserve">d TNF-α 308 SNP in the prediction of HCC development. </w:t>
      </w:r>
    </w:p>
    <w:p w:rsidR="000D44FB" w:rsidRPr="0061552B" w:rsidRDefault="000D44FB">
      <w:pPr>
        <w:spacing w:after="0" w:line="240" w:lineRule="auto"/>
        <w:rPr>
          <w:rFonts w:ascii="Times New Roman" w:eastAsia="Calibri" w:hAnsi="Times New Roman" w:cs="Times New Roman"/>
          <w:b/>
          <w:bCs/>
          <w:sz w:val="20"/>
          <w:szCs w:val="20"/>
          <w:lang w:bidi="ar-EG"/>
        </w:rPr>
      </w:pPr>
    </w:p>
    <w:p w:rsidR="000D44FB" w:rsidRPr="0061552B" w:rsidRDefault="00CD6B80">
      <w:pPr>
        <w:spacing w:after="0" w:line="240" w:lineRule="auto"/>
        <w:rPr>
          <w:rFonts w:ascii="Times New Roman" w:eastAsia="Calibri" w:hAnsi="Times New Roman" w:cs="Times New Roman"/>
          <w:sz w:val="20"/>
          <w:szCs w:val="20"/>
          <w:lang w:bidi="ar-EG"/>
        </w:rPr>
      </w:pPr>
      <w:r w:rsidRPr="0061552B">
        <w:rPr>
          <w:rFonts w:ascii="Times New Roman" w:eastAsia="Calibri" w:hAnsi="Times New Roman" w:cs="Times New Roman"/>
          <w:b/>
          <w:bCs/>
          <w:sz w:val="20"/>
          <w:szCs w:val="20"/>
          <w:lang w:bidi="ar-EG"/>
        </w:rPr>
        <w:t>Acknowledgments:</w:t>
      </w:r>
      <w:r w:rsidRPr="0061552B">
        <w:rPr>
          <w:rFonts w:ascii="Times New Roman" w:eastAsia="Calibri" w:hAnsi="Times New Roman" w:cs="Times New Roman"/>
          <w:sz w:val="20"/>
          <w:szCs w:val="20"/>
          <w:lang w:bidi="ar-EG"/>
        </w:rPr>
        <w:t xml:space="preserve"> </w:t>
      </w:r>
    </w:p>
    <w:p w:rsidR="000D44FB" w:rsidRPr="0061552B" w:rsidRDefault="00CD6B80">
      <w:pPr>
        <w:spacing w:after="0" w:line="240" w:lineRule="auto"/>
        <w:ind w:firstLine="426"/>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Thanks to every person shared in this work and to the soul of Dr. Ayman A. Eldesoky.</w:t>
      </w:r>
    </w:p>
    <w:p w:rsidR="000D44FB" w:rsidRPr="0061552B" w:rsidRDefault="000D44FB">
      <w:pPr>
        <w:spacing w:after="0" w:line="240" w:lineRule="auto"/>
        <w:rPr>
          <w:rFonts w:ascii="Times New Roman" w:eastAsia="Calibri" w:hAnsi="Times New Roman" w:cs="Times New Roman"/>
          <w:b/>
          <w:bCs/>
          <w:sz w:val="20"/>
          <w:szCs w:val="20"/>
          <w:lang w:bidi="ar-EG"/>
        </w:rPr>
      </w:pPr>
    </w:p>
    <w:p w:rsidR="000D44FB" w:rsidRPr="0061552B" w:rsidRDefault="00CD6B80">
      <w:pPr>
        <w:pStyle w:val="NormalWeb"/>
        <w:shd w:val="clear" w:color="auto" w:fill="FCFCFC"/>
        <w:spacing w:before="0" w:beforeAutospacing="0" w:after="0" w:afterAutospacing="0"/>
        <w:rPr>
          <w:b/>
          <w:bCs/>
          <w:color w:val="333333"/>
          <w:sz w:val="20"/>
          <w:szCs w:val="20"/>
        </w:rPr>
      </w:pPr>
      <w:r w:rsidRPr="0061552B">
        <w:rPr>
          <w:b/>
          <w:bCs/>
          <w:color w:val="333333"/>
          <w:sz w:val="20"/>
          <w:szCs w:val="20"/>
        </w:rPr>
        <w:t>Statements &amp; Declarations:</w:t>
      </w:r>
    </w:p>
    <w:p w:rsidR="000D44FB" w:rsidRPr="0061552B" w:rsidRDefault="00CD6B80">
      <w:pPr>
        <w:pStyle w:val="NormalWeb"/>
        <w:shd w:val="clear" w:color="auto" w:fill="FCFCFC"/>
        <w:spacing w:before="0" w:beforeAutospacing="0" w:after="0" w:afterAutospacing="0"/>
        <w:rPr>
          <w:b/>
          <w:bCs/>
          <w:color w:val="333333"/>
          <w:sz w:val="20"/>
          <w:szCs w:val="20"/>
        </w:rPr>
      </w:pPr>
      <w:r w:rsidRPr="0061552B">
        <w:rPr>
          <w:b/>
          <w:bCs/>
          <w:color w:val="333333"/>
          <w:sz w:val="20"/>
          <w:szCs w:val="20"/>
        </w:rPr>
        <w:t>Funding:</w:t>
      </w:r>
    </w:p>
    <w:p w:rsidR="000D44FB" w:rsidRPr="0061552B" w:rsidRDefault="00CD6B80">
      <w:pPr>
        <w:pStyle w:val="NormalWeb"/>
        <w:shd w:val="clear" w:color="auto" w:fill="FCFCFC"/>
        <w:spacing w:before="0" w:beforeAutospacing="0" w:after="0" w:afterAutospacing="0"/>
        <w:ind w:firstLine="426"/>
        <w:rPr>
          <w:rFonts w:eastAsia="Calibri"/>
          <w:sz w:val="20"/>
          <w:szCs w:val="20"/>
          <w:lang w:bidi="ar-EG"/>
        </w:rPr>
      </w:pPr>
      <w:r w:rsidRPr="0061552B">
        <w:rPr>
          <w:rFonts w:eastAsia="Calibri"/>
          <w:sz w:val="20"/>
          <w:szCs w:val="20"/>
          <w:lang w:bidi="ar-EG"/>
        </w:rPr>
        <w:t xml:space="preserve">The authors declare that no funds, grants, or other support </w:t>
      </w:r>
      <w:r w:rsidRPr="0061552B">
        <w:rPr>
          <w:rFonts w:eastAsia="Calibri"/>
          <w:sz w:val="20"/>
          <w:szCs w:val="20"/>
          <w:lang w:bidi="ar-EG"/>
        </w:rPr>
        <w:t>were received during the preparation of this manuscript.</w:t>
      </w:r>
    </w:p>
    <w:p w:rsidR="000D44FB" w:rsidRPr="0061552B" w:rsidRDefault="000D44FB">
      <w:pPr>
        <w:pStyle w:val="NormalWeb"/>
        <w:shd w:val="clear" w:color="auto" w:fill="FCFCFC"/>
        <w:spacing w:before="0" w:beforeAutospacing="0" w:after="0" w:afterAutospacing="0"/>
        <w:rPr>
          <w:b/>
          <w:bCs/>
          <w:color w:val="333333"/>
          <w:sz w:val="20"/>
          <w:szCs w:val="20"/>
        </w:rPr>
      </w:pPr>
    </w:p>
    <w:p w:rsidR="000D44FB" w:rsidRPr="0061552B" w:rsidRDefault="00CD6B80">
      <w:pPr>
        <w:pStyle w:val="NormalWeb"/>
        <w:shd w:val="clear" w:color="auto" w:fill="FCFCFC"/>
        <w:spacing w:before="0" w:beforeAutospacing="0" w:after="0" w:afterAutospacing="0"/>
        <w:rPr>
          <w:b/>
          <w:bCs/>
          <w:color w:val="333333"/>
          <w:sz w:val="20"/>
          <w:szCs w:val="20"/>
        </w:rPr>
      </w:pPr>
      <w:r w:rsidRPr="0061552B">
        <w:rPr>
          <w:b/>
          <w:bCs/>
          <w:color w:val="333333"/>
          <w:sz w:val="20"/>
          <w:szCs w:val="20"/>
        </w:rPr>
        <w:t>Competing Interests:</w:t>
      </w:r>
    </w:p>
    <w:p w:rsidR="000D44FB" w:rsidRPr="0061552B" w:rsidRDefault="00CD6B80">
      <w:pPr>
        <w:pStyle w:val="NormalWeb"/>
        <w:shd w:val="clear" w:color="auto" w:fill="FCFCFC"/>
        <w:spacing w:before="0" w:beforeAutospacing="0" w:after="0" w:afterAutospacing="0"/>
        <w:ind w:firstLine="426"/>
        <w:rPr>
          <w:b/>
          <w:bCs/>
          <w:color w:val="333333"/>
          <w:sz w:val="20"/>
          <w:szCs w:val="20"/>
        </w:rPr>
      </w:pPr>
      <w:r w:rsidRPr="0061552B">
        <w:rPr>
          <w:rFonts w:eastAsia="Calibri"/>
          <w:sz w:val="20"/>
          <w:szCs w:val="20"/>
          <w:lang w:bidi="ar-EG"/>
        </w:rPr>
        <w:t>The authors have no relevant financial or non-financial interests to disclose</w:t>
      </w:r>
      <w:r w:rsidRPr="0061552B">
        <w:rPr>
          <w:b/>
          <w:bCs/>
          <w:color w:val="333333"/>
          <w:sz w:val="20"/>
          <w:szCs w:val="20"/>
        </w:rPr>
        <w:t>.</w:t>
      </w:r>
    </w:p>
    <w:p w:rsidR="000D44FB" w:rsidRPr="0061552B" w:rsidRDefault="000D44FB">
      <w:pPr>
        <w:spacing w:after="0" w:line="240" w:lineRule="auto"/>
        <w:jc w:val="both"/>
        <w:rPr>
          <w:rFonts w:ascii="Times New Roman" w:eastAsia="Times New Roman" w:hAnsi="Times New Roman" w:cs="Times New Roman"/>
          <w:b/>
          <w:bCs/>
          <w:color w:val="333333"/>
          <w:sz w:val="20"/>
          <w:szCs w:val="20"/>
        </w:rPr>
      </w:pPr>
    </w:p>
    <w:p w:rsidR="000D44FB" w:rsidRPr="0061552B" w:rsidRDefault="00CD6B80">
      <w:pPr>
        <w:spacing w:after="0" w:line="240" w:lineRule="auto"/>
        <w:jc w:val="both"/>
        <w:rPr>
          <w:rFonts w:ascii="Times New Roman" w:eastAsia="Calibri" w:hAnsi="Times New Roman" w:cs="Times New Roman"/>
          <w:sz w:val="20"/>
          <w:szCs w:val="20"/>
          <w:lang w:bidi="ar-EG"/>
        </w:rPr>
      </w:pPr>
      <w:r w:rsidRPr="0061552B">
        <w:rPr>
          <w:rFonts w:ascii="Times New Roman" w:eastAsia="Times New Roman" w:hAnsi="Times New Roman" w:cs="Times New Roman"/>
          <w:b/>
          <w:bCs/>
          <w:color w:val="333333"/>
          <w:sz w:val="20"/>
          <w:szCs w:val="20"/>
        </w:rPr>
        <w:t>Author Contributions:</w:t>
      </w:r>
    </w:p>
    <w:p w:rsidR="000D44FB" w:rsidRPr="0061552B" w:rsidRDefault="00CD6B80">
      <w:pPr>
        <w:spacing w:after="0" w:line="240" w:lineRule="auto"/>
        <w:ind w:firstLine="426"/>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All authors contributed to the study conception and design. Manuscript review, editing, publishing and final revision. were performed by Prof. Nancy Abdel-Fattah Ahmed, idea of the study and data collection by Prof.  Ashraf Ahmed Omar, laboratory investiga</w:t>
      </w:r>
      <w:r w:rsidRPr="0061552B">
        <w:rPr>
          <w:rFonts w:ascii="Times New Roman" w:eastAsia="Calibri" w:hAnsi="Times New Roman" w:cs="Times New Roman"/>
          <w:sz w:val="20"/>
          <w:szCs w:val="20"/>
          <w:lang w:bidi="ar-EG"/>
        </w:rPr>
        <w:t xml:space="preserve">tions by Prof. Mohammed Hosamel Deen Zaghloul and literatures, clinical and statistics by Dr.Ghada Mostafa Badawy. All authors read and approved the final manuscript. </w:t>
      </w:r>
    </w:p>
    <w:p w:rsidR="000D44FB" w:rsidRPr="0061552B" w:rsidRDefault="000D44FB">
      <w:pPr>
        <w:pStyle w:val="Heading4"/>
        <w:shd w:val="clear" w:color="auto" w:fill="FCFCFC"/>
        <w:spacing w:before="0" w:line="240" w:lineRule="auto"/>
        <w:rPr>
          <w:rFonts w:ascii="Times New Roman" w:eastAsia="Times New Roman" w:hAnsi="Times New Roman" w:cs="Times New Roman"/>
          <w:i w:val="0"/>
          <w:iCs w:val="0"/>
          <w:color w:val="333333"/>
          <w:sz w:val="20"/>
          <w:szCs w:val="20"/>
        </w:rPr>
      </w:pPr>
    </w:p>
    <w:p w:rsidR="000D44FB" w:rsidRPr="0061552B" w:rsidRDefault="00CD6B80">
      <w:pPr>
        <w:pStyle w:val="Heading4"/>
        <w:shd w:val="clear" w:color="auto" w:fill="FCFCFC"/>
        <w:spacing w:before="0" w:line="240" w:lineRule="auto"/>
        <w:rPr>
          <w:rFonts w:ascii="Times New Roman" w:eastAsia="Calibri" w:hAnsi="Times New Roman" w:cs="Times New Roman"/>
          <w:b w:val="0"/>
          <w:bCs w:val="0"/>
          <w:i w:val="0"/>
          <w:iCs w:val="0"/>
          <w:color w:val="auto"/>
          <w:sz w:val="20"/>
          <w:szCs w:val="20"/>
          <w:lang w:bidi="ar-EG"/>
        </w:rPr>
      </w:pPr>
      <w:r w:rsidRPr="0061552B">
        <w:rPr>
          <w:rFonts w:ascii="Times New Roman" w:eastAsia="Times New Roman" w:hAnsi="Times New Roman" w:cs="Times New Roman"/>
          <w:i w:val="0"/>
          <w:iCs w:val="0"/>
          <w:color w:val="333333"/>
          <w:sz w:val="20"/>
          <w:szCs w:val="20"/>
        </w:rPr>
        <w:t>Data Availability:</w:t>
      </w:r>
    </w:p>
    <w:p w:rsidR="000D44FB" w:rsidRPr="0061552B" w:rsidRDefault="00CD6B80">
      <w:pPr>
        <w:spacing w:after="0" w:line="240" w:lineRule="auto"/>
        <w:ind w:firstLine="426"/>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 xml:space="preserve">The datasets generated during and analyzed during the current study </w:t>
      </w:r>
      <w:r w:rsidRPr="0061552B">
        <w:rPr>
          <w:rFonts w:ascii="Times New Roman" w:eastAsia="Calibri" w:hAnsi="Times New Roman" w:cs="Times New Roman"/>
          <w:sz w:val="20"/>
          <w:szCs w:val="20"/>
          <w:lang w:bidi="ar-EG"/>
        </w:rPr>
        <w:t>are available from the corresponding author on reasonable request.</w:t>
      </w:r>
    </w:p>
    <w:p w:rsidR="000D44FB" w:rsidRPr="0061552B" w:rsidRDefault="000D44FB">
      <w:pPr>
        <w:pStyle w:val="NormalWeb"/>
        <w:shd w:val="clear" w:color="auto" w:fill="FCFCFC"/>
        <w:spacing w:before="0" w:beforeAutospacing="0" w:after="0" w:afterAutospacing="0"/>
        <w:rPr>
          <w:b/>
          <w:bCs/>
          <w:color w:val="333333"/>
          <w:sz w:val="20"/>
          <w:szCs w:val="20"/>
        </w:rPr>
      </w:pPr>
    </w:p>
    <w:p w:rsidR="000D44FB" w:rsidRPr="0061552B" w:rsidRDefault="00CD6B80">
      <w:pPr>
        <w:pStyle w:val="NormalWeb"/>
        <w:shd w:val="clear" w:color="auto" w:fill="FCFCFC"/>
        <w:spacing w:before="0" w:beforeAutospacing="0" w:after="0" w:afterAutospacing="0"/>
        <w:rPr>
          <w:b/>
          <w:bCs/>
          <w:color w:val="333333"/>
          <w:sz w:val="20"/>
          <w:szCs w:val="20"/>
        </w:rPr>
      </w:pPr>
      <w:r w:rsidRPr="0061552B">
        <w:rPr>
          <w:b/>
          <w:bCs/>
          <w:color w:val="333333"/>
          <w:sz w:val="20"/>
          <w:szCs w:val="20"/>
        </w:rPr>
        <w:t>Ethics approval:</w:t>
      </w:r>
    </w:p>
    <w:p w:rsidR="000D44FB" w:rsidRPr="0061552B" w:rsidRDefault="00CD6B80">
      <w:pPr>
        <w:autoSpaceDE w:val="0"/>
        <w:autoSpaceDN w:val="0"/>
        <w:adjustRightInd w:val="0"/>
        <w:spacing w:after="0" w:line="240" w:lineRule="auto"/>
        <w:ind w:firstLine="426"/>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 xml:space="preserve">This study was performed in line with the principles of the Declaration of Helsinki. Approval was granted by the Medical Ethics Research Team, Faculty of Medicine, Mansoura University code number: MD/17.07.102 </w:t>
      </w:r>
    </w:p>
    <w:p w:rsidR="000D44FB" w:rsidRPr="0061552B" w:rsidRDefault="000D44FB">
      <w:pPr>
        <w:pStyle w:val="NormalWeb"/>
        <w:shd w:val="clear" w:color="auto" w:fill="FCFCFC"/>
        <w:spacing w:before="0" w:beforeAutospacing="0" w:after="0" w:afterAutospacing="0"/>
        <w:rPr>
          <w:b/>
          <w:bCs/>
          <w:color w:val="333333"/>
          <w:sz w:val="20"/>
          <w:szCs w:val="20"/>
        </w:rPr>
      </w:pPr>
    </w:p>
    <w:p w:rsidR="000D44FB" w:rsidRPr="0061552B" w:rsidRDefault="00CD6B80">
      <w:pPr>
        <w:pStyle w:val="NormalWeb"/>
        <w:shd w:val="clear" w:color="auto" w:fill="FCFCFC"/>
        <w:spacing w:before="0" w:beforeAutospacing="0" w:after="0" w:afterAutospacing="0"/>
        <w:rPr>
          <w:rFonts w:eastAsia="Calibri"/>
          <w:sz w:val="20"/>
          <w:szCs w:val="20"/>
          <w:lang w:bidi="ar-EG"/>
        </w:rPr>
      </w:pPr>
      <w:r w:rsidRPr="0061552B">
        <w:rPr>
          <w:b/>
          <w:bCs/>
          <w:color w:val="333333"/>
          <w:sz w:val="20"/>
          <w:szCs w:val="20"/>
        </w:rPr>
        <w:lastRenderedPageBreak/>
        <w:t>Consent to participate:</w:t>
      </w:r>
    </w:p>
    <w:p w:rsidR="000D44FB" w:rsidRPr="0061552B" w:rsidRDefault="00CD6B80">
      <w:pPr>
        <w:pStyle w:val="NormalWeb"/>
        <w:shd w:val="clear" w:color="auto" w:fill="FCFCFC"/>
        <w:spacing w:before="0" w:beforeAutospacing="0" w:after="0" w:afterAutospacing="0"/>
        <w:ind w:firstLine="426"/>
        <w:rPr>
          <w:b/>
          <w:bCs/>
          <w:i/>
          <w:iCs/>
          <w:sz w:val="20"/>
          <w:szCs w:val="20"/>
        </w:rPr>
      </w:pPr>
      <w:r w:rsidRPr="0061552B">
        <w:rPr>
          <w:rFonts w:eastAsia="Calibri"/>
          <w:sz w:val="20"/>
          <w:szCs w:val="20"/>
          <w:lang w:bidi="ar-EG"/>
        </w:rPr>
        <w:t>Informed consent was</w:t>
      </w:r>
      <w:r w:rsidRPr="0061552B">
        <w:rPr>
          <w:rFonts w:eastAsia="Calibri"/>
          <w:sz w:val="20"/>
          <w:szCs w:val="20"/>
          <w:lang w:bidi="ar-EG"/>
        </w:rPr>
        <w:t xml:space="preserve"> obtained from all individual participants included in the study</w:t>
      </w:r>
      <w:r w:rsidRPr="0061552B">
        <w:rPr>
          <w:b/>
          <w:bCs/>
          <w:i/>
          <w:iCs/>
          <w:sz w:val="20"/>
          <w:szCs w:val="20"/>
        </w:rPr>
        <w:t>.</w:t>
      </w:r>
    </w:p>
    <w:p w:rsidR="000D44FB" w:rsidRDefault="000D44FB">
      <w:pPr>
        <w:spacing w:after="0" w:line="240" w:lineRule="auto"/>
        <w:rPr>
          <w:rFonts w:ascii="Times New Roman" w:hAnsi="Times New Roman" w:cs="Times New Roman" w:hint="eastAsia"/>
          <w:b/>
          <w:bCs/>
          <w:sz w:val="20"/>
          <w:szCs w:val="20"/>
          <w:lang w:eastAsia="zh-CN" w:bidi="ar-EG"/>
        </w:rPr>
      </w:pPr>
    </w:p>
    <w:p w:rsidR="0061552B" w:rsidRPr="0061552B" w:rsidRDefault="0061552B">
      <w:pPr>
        <w:spacing w:after="0" w:line="240" w:lineRule="auto"/>
        <w:rPr>
          <w:rFonts w:ascii="Times New Roman" w:hAnsi="Times New Roman" w:cs="Times New Roman" w:hint="eastAsia"/>
          <w:b/>
          <w:bCs/>
          <w:sz w:val="20"/>
          <w:szCs w:val="20"/>
          <w:lang w:eastAsia="zh-CN" w:bidi="ar-EG"/>
        </w:rPr>
      </w:pPr>
    </w:p>
    <w:p w:rsidR="000D44FB" w:rsidRPr="0061552B" w:rsidRDefault="00CD6B80">
      <w:pPr>
        <w:spacing w:after="0" w:line="240" w:lineRule="auto"/>
        <w:rPr>
          <w:rFonts w:ascii="Times New Roman" w:eastAsia="Calibri" w:hAnsi="Times New Roman" w:cs="Times New Roman"/>
          <w:b/>
          <w:bCs/>
          <w:sz w:val="20"/>
          <w:szCs w:val="20"/>
          <w:lang w:bidi="ar-EG"/>
        </w:rPr>
      </w:pPr>
      <w:r w:rsidRPr="0061552B">
        <w:rPr>
          <w:rFonts w:ascii="Times New Roman" w:eastAsia="Calibri" w:hAnsi="Times New Roman" w:cs="Times New Roman"/>
          <w:b/>
          <w:bCs/>
          <w:sz w:val="20"/>
          <w:szCs w:val="20"/>
          <w:lang w:bidi="ar-EG"/>
        </w:rPr>
        <w:t>References:</w:t>
      </w:r>
    </w:p>
    <w:p w:rsidR="000D44FB" w:rsidRPr="0061552B" w:rsidRDefault="00CD6B80" w:rsidP="0061552B">
      <w:pPr>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17" w:name="_Hlk94554297"/>
      <w:r w:rsidRPr="0061552B">
        <w:rPr>
          <w:rFonts w:ascii="Times New Roman" w:eastAsia="Calibri" w:hAnsi="Times New Roman" w:cs="Times New Roman"/>
          <w:sz w:val="20"/>
          <w:szCs w:val="20"/>
          <w:lang w:bidi="ar-EG"/>
        </w:rPr>
        <w:t>Ferlay</w:t>
      </w:r>
      <w:bookmarkEnd w:id="17"/>
      <w:r w:rsidRPr="0061552B">
        <w:rPr>
          <w:rFonts w:ascii="Times New Roman" w:eastAsia="Calibri" w:hAnsi="Times New Roman" w:cs="Times New Roman"/>
          <w:sz w:val="20"/>
          <w:szCs w:val="20"/>
          <w:lang w:bidi="ar-EG"/>
        </w:rPr>
        <w:t xml:space="preserve"> J, Ervik M, Lam F, Colombet M, Mery L, Piñeros M, et al. Global Cancer Observatory: Cancer Today. Lyon: International Agency for Research on Cancer; 2020 (</w:t>
      </w:r>
      <w:hyperlink r:id="rId17" w:history="1">
        <w:r w:rsidRPr="0061552B">
          <w:rPr>
            <w:rFonts w:ascii="Times New Roman" w:hAnsi="Times New Roman" w:cs="Times New Roman"/>
            <w:sz w:val="20"/>
            <w:szCs w:val="20"/>
            <w:lang w:bidi="ar-EG"/>
          </w:rPr>
          <w:t>https://gco.iarc.fr/today</w:t>
        </w:r>
      </w:hyperlink>
      <w:r w:rsidRPr="0061552B">
        <w:rPr>
          <w:rFonts w:ascii="Times New Roman" w:eastAsia="Calibri" w:hAnsi="Times New Roman" w:cs="Times New Roman"/>
          <w:sz w:val="20"/>
          <w:szCs w:val="20"/>
          <w:lang w:bidi="ar-EG"/>
        </w:rPr>
        <w:t>, accessed February 2021).</w:t>
      </w:r>
    </w:p>
    <w:p w:rsidR="000D44FB" w:rsidRPr="0061552B" w:rsidRDefault="00CD6B80" w:rsidP="0061552B">
      <w:pPr>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Petrick JL, Florio AA, Znaor A, Ruggieri D, Laversanne M, Alvarez CS, et al. International trends in hepatocellular carcinoma incidence, 1978-2012. Int J Cancer 2019 Oct 9. http</w:t>
      </w:r>
      <w:r w:rsidRPr="0061552B">
        <w:rPr>
          <w:rFonts w:ascii="Times New Roman" w:eastAsia="Calibri" w:hAnsi="Times New Roman" w:cs="Times New Roman"/>
          <w:sz w:val="20"/>
          <w:szCs w:val="20"/>
          <w:lang w:bidi="ar-EG"/>
        </w:rPr>
        <w:t>s://doi.org/10.1002/ijc.32723. [Epub ahead of print]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World Health Organization/International Agency for Research on Cancer: Egypt. December 2020. Available at https://gco.iarc.fr/today/data/factsheets/populations/818-egypt-fact-sheets.pdf. Accessed March 5</w:t>
      </w:r>
      <w:r w:rsidRPr="0061552B">
        <w:rPr>
          <w:rFonts w:ascii="Times New Roman" w:eastAsia="Calibri" w:hAnsi="Times New Roman" w:cs="Times New Roman"/>
          <w:sz w:val="20"/>
          <w:szCs w:val="20"/>
          <w:lang w:bidi="ar-EG"/>
        </w:rPr>
        <w:t>, 2021.</w:t>
      </w:r>
    </w:p>
    <w:p w:rsidR="000D44FB" w:rsidRPr="0061552B" w:rsidRDefault="00CD6B80" w:rsidP="0061552B">
      <w:pPr>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Abd-Elsalam S, Elwan N, Soliman H, Ziada D, Elkhalawany W, Salama M, et al. Epidemiology of liver cancer in Nile delta over a decade: a single-center study. South Asian J Cancer. 2018;7:24. https://doi.org/10.4103/sajc.sajc_82_17.</w:t>
      </w:r>
    </w:p>
    <w:p w:rsidR="000D44FB" w:rsidRPr="0061552B" w:rsidRDefault="00CD6B80" w:rsidP="0061552B">
      <w:pPr>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Ferlay J, Soerjom</w:t>
      </w:r>
      <w:r w:rsidRPr="0061552B">
        <w:rPr>
          <w:rFonts w:ascii="Times New Roman" w:eastAsia="Calibri" w:hAnsi="Times New Roman" w:cs="Times New Roman"/>
          <w:sz w:val="20"/>
          <w:szCs w:val="20"/>
          <w:lang w:bidi="ar-EG"/>
        </w:rPr>
        <w:t xml:space="preserve">ataram I, Dikshit R, Eser S, Mathers C, Rebelo M, et al. Cancer incidence and mortality worldwide: Sources, methods and major patterns in GLOBOCAN 2012. Int J Cancer. 2015;136:E359–86. </w:t>
      </w:r>
      <w:hyperlink r:id="rId18" w:history="1">
        <w:r w:rsidRPr="0061552B">
          <w:rPr>
            <w:rFonts w:ascii="Times New Roman" w:hAnsi="Times New Roman" w:cs="Times New Roman"/>
            <w:sz w:val="20"/>
            <w:szCs w:val="20"/>
            <w:lang w:bidi="ar-EG"/>
          </w:rPr>
          <w:t>https://doi.org/</w:t>
        </w:r>
      </w:hyperlink>
      <w:r w:rsidRPr="0061552B">
        <w:rPr>
          <w:rFonts w:ascii="Times New Roman" w:eastAsia="Calibri" w:hAnsi="Times New Roman" w:cs="Times New Roman"/>
          <w:sz w:val="20"/>
          <w:szCs w:val="20"/>
          <w:lang w:bidi="ar-EG"/>
        </w:rPr>
        <w:t xml:space="preserve"> 10.1002/ijc.29210.</w:t>
      </w:r>
    </w:p>
    <w:p w:rsidR="000D44FB" w:rsidRPr="0061552B" w:rsidRDefault="00CD6B80" w:rsidP="0061552B">
      <w:pPr>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Ra</w:t>
      </w:r>
      <w:r w:rsidRPr="0061552B">
        <w:rPr>
          <w:rFonts w:ascii="Times New Roman" w:eastAsia="Calibri" w:hAnsi="Times New Roman" w:cs="Times New Roman"/>
          <w:sz w:val="20"/>
          <w:szCs w:val="20"/>
          <w:lang w:bidi="ar-EG"/>
        </w:rPr>
        <w:t>shed, W. M., Kandeil, M. A. M., Mahmoud, M. O., &amp; Ezzat, S. (2020). Hepatocellular Carcinoma (HCC) in Egypt: A comprehensive overview. Journal of the Egyptian National Cancer Institute, 32(1), 1-11.</w:t>
      </w:r>
      <w:r w:rsidRPr="0061552B">
        <w:rPr>
          <w:rFonts w:ascii="Times New Roman" w:eastAsia="Calibri" w:hAnsi="Times New Roman" w:cs="Times New Roman"/>
          <w:sz w:val="20"/>
          <w:szCs w:val="20"/>
          <w:rtl/>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 xml:space="preserve">An P, Xu J, Yu Y, Winkler CA. Host and viral genetic variation in HBV-related hepatocellular carcinoma. Front Genet. 2018;9:261. </w:t>
      </w:r>
      <w:hyperlink r:id="rId19" w:history="1">
        <w:r w:rsidRPr="0061552B">
          <w:rPr>
            <w:rFonts w:ascii="Times New Roman" w:eastAsia="Calibri" w:hAnsi="Times New Roman" w:cs="Times New Roman"/>
            <w:sz w:val="20"/>
            <w:szCs w:val="20"/>
            <w:lang w:bidi="ar-EG"/>
          </w:rPr>
          <w:t>https://doi.org/10.3389/</w:t>
        </w:r>
      </w:hyperlink>
      <w:r w:rsidRPr="0061552B">
        <w:rPr>
          <w:rFonts w:ascii="Times New Roman" w:eastAsia="Calibri" w:hAnsi="Times New Roman" w:cs="Times New Roman"/>
          <w:sz w:val="20"/>
          <w:szCs w:val="20"/>
          <w:lang w:bidi="ar-EG"/>
        </w:rPr>
        <w:t xml:space="preserve"> fgene.2018.00261.</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 xml:space="preserve">Ma L, Chen S, Mao X, Lu Y, Zhang X, Lao X, </w:t>
      </w:r>
      <w:r w:rsidRPr="0061552B">
        <w:rPr>
          <w:rFonts w:ascii="Times New Roman" w:eastAsia="Calibri" w:hAnsi="Times New Roman" w:cs="Times New Roman"/>
          <w:sz w:val="20"/>
          <w:szCs w:val="20"/>
          <w:lang w:bidi="ar-EG"/>
        </w:rPr>
        <w:t xml:space="preserve">Qin X, Li S. The association between TNFR gene polymorphisms and the risk of hepatitis B virus-related liver diseases in Chinese population. Sci Rep. 2018;8(1):9240. </w:t>
      </w:r>
      <w:hyperlink r:id="rId20" w:history="1">
        <w:r w:rsidRPr="0061552B">
          <w:rPr>
            <w:rFonts w:ascii="Times New Roman" w:eastAsia="Calibri" w:hAnsi="Times New Roman" w:cs="Times New Roman"/>
            <w:sz w:val="20"/>
            <w:szCs w:val="20"/>
            <w:lang w:bidi="ar-EG"/>
          </w:rPr>
          <w:t>https://doi.org/</w:t>
        </w:r>
      </w:hyperlink>
      <w:r w:rsidRPr="0061552B">
        <w:rPr>
          <w:rFonts w:ascii="Times New Roman" w:eastAsia="Calibri" w:hAnsi="Times New Roman" w:cs="Times New Roman"/>
          <w:sz w:val="20"/>
          <w:szCs w:val="20"/>
          <w:lang w:bidi="ar-EG"/>
        </w:rPr>
        <w:t xml:space="preserve"> 10.1038/s41598-018-27623-7.</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lastRenderedPageBreak/>
        <w:t>Shin SP, Kim</w:t>
      </w:r>
      <w:r w:rsidRPr="0061552B">
        <w:rPr>
          <w:rFonts w:ascii="Times New Roman" w:eastAsia="Calibri" w:hAnsi="Times New Roman" w:cs="Times New Roman"/>
          <w:sz w:val="20"/>
          <w:szCs w:val="20"/>
          <w:lang w:bidi="ar-EG"/>
        </w:rPr>
        <w:t xml:space="preserve"> NK, Kim JH, Lee JH, Kim JO, Cho SH, Park H, Kim MN, Rim KS, Hwang SG. Association between hepatocellular carcinoma and tumor necrosis factor alpha polymorphisms in South Korea. World J Gastroenterol. 2015;21(46):13064–72. </w:t>
      </w:r>
      <w:hyperlink r:id="rId21" w:history="1">
        <w:r w:rsidRPr="0061552B">
          <w:rPr>
            <w:rFonts w:ascii="Times New Roman" w:eastAsia="Calibri" w:hAnsi="Times New Roman" w:cs="Times New Roman"/>
            <w:sz w:val="20"/>
            <w:szCs w:val="20"/>
            <w:lang w:bidi="ar-EG"/>
          </w:rPr>
          <w:t>https://doi.org/10.3748/wjg.v21.i46.13064</w:t>
        </w:r>
      </w:hyperlink>
      <w:r w:rsidRPr="0061552B">
        <w:rPr>
          <w:rFonts w:ascii="Times New Roman" w:eastAsia="Calibri" w:hAnsi="Times New Roman" w:cs="Times New Roman"/>
          <w:sz w:val="20"/>
          <w:szCs w:val="20"/>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18" w:name="_Hlk92963235"/>
      <w:r w:rsidRPr="0061552B">
        <w:rPr>
          <w:rFonts w:ascii="Times New Roman" w:eastAsia="Calibri" w:hAnsi="Times New Roman" w:cs="Times New Roman"/>
          <w:sz w:val="20"/>
          <w:szCs w:val="20"/>
          <w:lang w:bidi="ar-EG"/>
        </w:rPr>
        <w:t xml:space="preserve">El-Tahan </w:t>
      </w:r>
      <w:bookmarkEnd w:id="18"/>
      <w:r w:rsidRPr="0061552B">
        <w:rPr>
          <w:rFonts w:ascii="Times New Roman" w:eastAsia="Calibri" w:hAnsi="Times New Roman" w:cs="Times New Roman"/>
          <w:sz w:val="20"/>
          <w:szCs w:val="20"/>
          <w:lang w:bidi="ar-EG"/>
        </w:rPr>
        <w:t>RR, Ghoneim AM, El-Mashad N. TNF-α gene polymorphisms and expression. Springer</w:t>
      </w:r>
      <w:r w:rsidR="0061552B">
        <w:rPr>
          <w:rFonts w:ascii="Times New Roman" w:hAnsi="Times New Roman" w:cs="Times New Roman" w:hint="eastAsia"/>
          <w:sz w:val="20"/>
          <w:szCs w:val="20"/>
          <w:lang w:eastAsia="zh-CN" w:bidi="ar-EG"/>
        </w:rPr>
        <w:t xml:space="preserve"> </w:t>
      </w:r>
      <w:r w:rsidRPr="0061552B">
        <w:rPr>
          <w:rFonts w:ascii="Times New Roman" w:eastAsia="Calibri" w:hAnsi="Times New Roman" w:cs="Times New Roman"/>
          <w:sz w:val="20"/>
          <w:szCs w:val="20"/>
          <w:lang w:bidi="ar-EG"/>
        </w:rPr>
        <w:t xml:space="preserve">Plus. 2016;5(1):1508. </w:t>
      </w:r>
      <w:hyperlink r:id="rId22" w:history="1">
        <w:r w:rsidRPr="0061552B">
          <w:rPr>
            <w:rFonts w:ascii="Times New Roman" w:eastAsia="Calibri" w:hAnsi="Times New Roman" w:cs="Times New Roman"/>
            <w:sz w:val="20"/>
            <w:szCs w:val="20"/>
            <w:lang w:bidi="ar-EG"/>
          </w:rPr>
          <w:t>https://doi.org/10.1186/s40064</w:t>
        </w:r>
        <w:r w:rsidRPr="0061552B">
          <w:rPr>
            <w:rFonts w:ascii="Times New Roman" w:eastAsia="Calibri" w:hAnsi="Times New Roman" w:cs="Times New Roman"/>
            <w:sz w:val="20"/>
            <w:szCs w:val="20"/>
            <w:lang w:bidi="ar-EG"/>
          </w:rPr>
          <w:t>-016-</w:t>
        </w:r>
      </w:hyperlink>
      <w:r w:rsidRPr="0061552B">
        <w:rPr>
          <w:rFonts w:ascii="Times New Roman" w:eastAsia="Calibri" w:hAnsi="Times New Roman" w:cs="Times New Roman"/>
          <w:sz w:val="20"/>
          <w:szCs w:val="20"/>
          <w:lang w:bidi="ar-EG"/>
        </w:rPr>
        <w:t xml:space="preserve"> 3197-y</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19" w:name="_Hlk92963363"/>
      <w:r w:rsidRPr="0061552B">
        <w:rPr>
          <w:rFonts w:ascii="Times New Roman" w:eastAsia="Calibri" w:hAnsi="Times New Roman" w:cs="Times New Roman"/>
          <w:sz w:val="20"/>
          <w:szCs w:val="20"/>
          <w:lang w:bidi="ar-EG"/>
        </w:rPr>
        <w:t xml:space="preserve">Méndez-García </w:t>
      </w:r>
      <w:bookmarkEnd w:id="19"/>
      <w:r w:rsidRPr="0061552B">
        <w:rPr>
          <w:rFonts w:ascii="Times New Roman" w:eastAsia="Calibri" w:hAnsi="Times New Roman" w:cs="Times New Roman"/>
          <w:sz w:val="20"/>
          <w:szCs w:val="20"/>
          <w:lang w:bidi="ar-EG"/>
        </w:rPr>
        <w:t>LA, Nava-Castro KE, Ochoa-Mercado TL, Palacios-Arreola MI, Ruiz-Manzano RA, Segovia-Mendoza M, Solleiro-Villavicencio H, Cázarez-Martínez C, Morales-Montor J. Breast Cancer metastasis: are cytokines important players during it</w:t>
      </w:r>
      <w:r w:rsidRPr="0061552B">
        <w:rPr>
          <w:rFonts w:ascii="Times New Roman" w:eastAsia="Calibri" w:hAnsi="Times New Roman" w:cs="Times New Roman"/>
          <w:sz w:val="20"/>
          <w:szCs w:val="20"/>
          <w:lang w:bidi="ar-EG"/>
        </w:rPr>
        <w:t xml:space="preserve">s development and progression? J Interferon Cytokine Res. 2019;39(1):39–55. </w:t>
      </w:r>
      <w:hyperlink r:id="rId23" w:history="1">
        <w:r w:rsidRPr="0061552B">
          <w:rPr>
            <w:rFonts w:ascii="Times New Roman" w:eastAsia="Calibri" w:hAnsi="Times New Roman" w:cs="Times New Roman"/>
            <w:sz w:val="20"/>
            <w:szCs w:val="20"/>
            <w:lang w:bidi="ar-EG"/>
          </w:rPr>
          <w:t>https://doi.org/10.1089/jir.2018.0024</w:t>
        </w:r>
      </w:hyperlink>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20" w:name="_Hlk92963833"/>
      <w:r w:rsidRPr="0061552B">
        <w:rPr>
          <w:rFonts w:ascii="Times New Roman" w:eastAsia="Calibri" w:hAnsi="Times New Roman" w:cs="Times New Roman"/>
          <w:sz w:val="20"/>
          <w:szCs w:val="20"/>
          <w:lang w:bidi="ar-EG"/>
        </w:rPr>
        <w:t>Ahmad</w:t>
      </w:r>
      <w:bookmarkEnd w:id="20"/>
      <w:r w:rsidRPr="0061552B">
        <w:rPr>
          <w:rFonts w:ascii="Times New Roman" w:eastAsia="Calibri" w:hAnsi="Times New Roman" w:cs="Times New Roman"/>
          <w:sz w:val="20"/>
          <w:szCs w:val="20"/>
          <w:lang w:bidi="ar-EG"/>
        </w:rPr>
        <w:t xml:space="preserve"> MM, Parveen F, Akhter N, Siddiqui JA, Shukla NK, Husain SA. Genetic polymorphism in TNF-α-308 G/a and TNF-β +252 a/G, as prognostic biomarker in breast Cancer patients among Indian population. Asian Pacific J Cancer Prev. 2020;21(2):301–8. </w:t>
      </w:r>
      <w:hyperlink r:id="rId24" w:history="1">
        <w:r w:rsidRPr="0061552B">
          <w:rPr>
            <w:rFonts w:ascii="Times New Roman" w:eastAsia="Calibri" w:hAnsi="Times New Roman" w:cs="Times New Roman"/>
            <w:sz w:val="20"/>
            <w:szCs w:val="20"/>
            <w:lang w:bidi="ar-EG"/>
          </w:rPr>
          <w:t>https://doi.org/10.31557/apjcp.2020.21.2.301</w:t>
        </w:r>
      </w:hyperlink>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 xml:space="preserve">De Korwin JD, Ianiro G, Gibiino G, Gasbarrini A. Helicobacter Pylori infection and extragastric diseases in 2017. Helicobacter 2017; 22 Suppl 1 [PMID: 28891133 DOI: </w:t>
      </w:r>
      <w:r w:rsidRPr="0061552B">
        <w:rPr>
          <w:rFonts w:ascii="Times New Roman" w:eastAsia="Calibri" w:hAnsi="Times New Roman" w:cs="Times New Roman"/>
          <w:sz w:val="20"/>
          <w:szCs w:val="20"/>
          <w:lang w:bidi="ar-EG"/>
        </w:rPr>
        <w:t>10.1111/hel.12411]</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Waluga M, Kukla M, Żorniak M, Bacik A, Kotulski R. From the stomach to other organs: Helicobacter Pylori and the liver. World J Hepatol 2015; 7: 2136-2146 [PMID: 26328025 DOI: 10.4254/wjh.v7.i18.2136]</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21" w:name="_Hlk105465000"/>
      <w:r w:rsidRPr="0061552B">
        <w:rPr>
          <w:rFonts w:ascii="Times New Roman" w:eastAsia="Calibri" w:hAnsi="Times New Roman" w:cs="Times New Roman"/>
          <w:sz w:val="20"/>
          <w:szCs w:val="20"/>
          <w:lang w:bidi="ar-EG"/>
        </w:rPr>
        <w:t xml:space="preserve">Abdel-Rahman </w:t>
      </w:r>
      <w:bookmarkEnd w:id="21"/>
      <w:r w:rsidRPr="0061552B">
        <w:rPr>
          <w:rFonts w:ascii="Times New Roman" w:eastAsia="Calibri" w:hAnsi="Times New Roman" w:cs="Times New Roman"/>
          <w:sz w:val="20"/>
          <w:szCs w:val="20"/>
          <w:lang w:bidi="ar-EG"/>
        </w:rPr>
        <w:t>O, Helbling D and Schöb</w:t>
      </w:r>
      <w:r w:rsidRPr="0061552B">
        <w:rPr>
          <w:rFonts w:ascii="Times New Roman" w:eastAsia="Calibri" w:hAnsi="Times New Roman" w:cs="Times New Roman"/>
          <w:sz w:val="20"/>
          <w:szCs w:val="20"/>
          <w:lang w:bidi="ar-EG"/>
        </w:rPr>
        <w:t xml:space="preserve"> O et al., (2017). Cigarette smoking as a risk factor for the development of and mortality from hepatocellular carcinoma: An updated systematic review of 81 epidemiological studies. J Evid Based Med; (4): 245-254.</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Ohkuma T, Peters SAE, Woodward M. Sex diff</w:t>
      </w:r>
      <w:r w:rsidRPr="0061552B">
        <w:rPr>
          <w:rFonts w:ascii="Times New Roman" w:eastAsia="Calibri" w:hAnsi="Times New Roman" w:cs="Times New Roman"/>
          <w:sz w:val="20"/>
          <w:szCs w:val="20"/>
          <w:lang w:bidi="ar-EG"/>
        </w:rPr>
        <w:t>erences in the association between diabetes and cancer: a systematic review and meta-analysis of 121 cohorts including 20 million individuals and one million events. Diabetologia 2018;61:2140-2154.</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22" w:name="_Hlk105465088"/>
      <w:r w:rsidRPr="0061552B">
        <w:rPr>
          <w:rFonts w:ascii="Times New Roman" w:eastAsia="Calibri" w:hAnsi="Times New Roman" w:cs="Times New Roman"/>
          <w:sz w:val="20"/>
          <w:szCs w:val="20"/>
          <w:lang w:bidi="ar-EG"/>
        </w:rPr>
        <w:t xml:space="preserve">Mekonnen, </w:t>
      </w:r>
      <w:bookmarkEnd w:id="22"/>
      <w:r w:rsidRPr="0061552B">
        <w:rPr>
          <w:rFonts w:ascii="Times New Roman" w:eastAsia="Calibri" w:hAnsi="Times New Roman" w:cs="Times New Roman"/>
          <w:sz w:val="20"/>
          <w:szCs w:val="20"/>
          <w:lang w:bidi="ar-EG"/>
        </w:rPr>
        <w:t>H. D., Fisseha, H., Getinet, T., Tekle, F., &amp; Ga</w:t>
      </w:r>
      <w:r w:rsidRPr="0061552B">
        <w:rPr>
          <w:rFonts w:ascii="Times New Roman" w:eastAsia="Calibri" w:hAnsi="Times New Roman" w:cs="Times New Roman"/>
          <w:sz w:val="20"/>
          <w:szCs w:val="20"/>
          <w:lang w:bidi="ar-EG"/>
        </w:rPr>
        <w:t xml:space="preserve">lle, P. R. (2018). Helicobacter Pylori infection as a risk factor </w:t>
      </w:r>
      <w:r w:rsidRPr="0061552B">
        <w:rPr>
          <w:rFonts w:ascii="Times New Roman" w:eastAsia="Calibri" w:hAnsi="Times New Roman" w:cs="Times New Roman"/>
          <w:sz w:val="20"/>
          <w:szCs w:val="20"/>
          <w:lang w:bidi="ar-EG"/>
        </w:rPr>
        <w:lastRenderedPageBreak/>
        <w:t>for hepatocellular carcinoma: a case-control study in ethiopia. International Journal of Hepatology, 2018.</w:t>
      </w:r>
      <w:r w:rsidRPr="0061552B">
        <w:rPr>
          <w:rFonts w:ascii="Times New Roman" w:eastAsia="Calibri" w:hAnsi="Times New Roman" w:cs="Times New Roman"/>
          <w:sz w:val="20"/>
          <w:szCs w:val="20"/>
          <w:rtl/>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Gopal P, Yopp AC and Waljee AK et al., (2014). Factors that affect accuracy of alp</w:t>
      </w:r>
      <w:r w:rsidRPr="0061552B">
        <w:rPr>
          <w:rFonts w:ascii="Times New Roman" w:eastAsia="Calibri" w:hAnsi="Times New Roman" w:cs="Times New Roman"/>
          <w:sz w:val="20"/>
          <w:szCs w:val="20"/>
          <w:lang w:bidi="ar-EG"/>
        </w:rPr>
        <w:t>ha-fetoprotein test in detection of hepatocellular carcinoma in patients with cirrhosis. Clin Gastroenterol Hepatol; 12: 870-7.</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Xiao Q, Fu B, Chen P, Liu ZZ, Wang W, Ye Q. Three polymorphisms of tumor necrosis factor-alpha and hepatitis B virus related hep</w:t>
      </w:r>
      <w:r w:rsidRPr="0061552B">
        <w:rPr>
          <w:rFonts w:ascii="Times New Roman" w:eastAsia="Calibri" w:hAnsi="Times New Roman" w:cs="Times New Roman"/>
          <w:sz w:val="20"/>
          <w:szCs w:val="20"/>
          <w:lang w:bidi="ar-EG"/>
        </w:rPr>
        <w:t xml:space="preserve">atocellular carcinoma: a meta-analysis. Medicine (Baltimore). 2016;95(50):e5609. </w:t>
      </w:r>
      <w:hyperlink r:id="rId25" w:history="1">
        <w:r w:rsidRPr="0061552B">
          <w:rPr>
            <w:rFonts w:ascii="Times New Roman" w:eastAsia="Calibri" w:hAnsi="Times New Roman" w:cs="Times New Roman"/>
            <w:sz w:val="20"/>
            <w:szCs w:val="20"/>
            <w:lang w:bidi="ar-EG"/>
          </w:rPr>
          <w:t>https://doi.org/10. 1097/MD.0000000000005609</w:t>
        </w:r>
      </w:hyperlink>
      <w:r w:rsidRPr="0061552B">
        <w:rPr>
          <w:rFonts w:ascii="Times New Roman" w:eastAsia="Calibri" w:hAnsi="Times New Roman" w:cs="Times New Roman"/>
          <w:sz w:val="20"/>
          <w:szCs w:val="20"/>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Hu Q, Lou G-G, Liu Y-C, Qian L, Lv B-D. The tumor necrosis factor-</w:t>
      </w:r>
      <w:r w:rsidRPr="0061552B">
        <w:rPr>
          <w:rFonts w:ascii="Times New Roman" w:eastAsia="Calibri" w:hAnsi="Times New Roman" w:cs="Times New Roman"/>
          <w:sz w:val="20"/>
          <w:szCs w:val="20"/>
          <w:lang w:bidi="ar-EG"/>
        </w:rPr>
        <w:t>α-308 and -238 polymorphisms and risk of hepatocellular carcinoma for Asian populations: a meta-analysis. Curr Ther Res. 2014;76:70–5. https://doi.org/10. 1016/j.curtheres.2014.04.001.</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bookmarkStart w:id="23" w:name="_Hlk105465146"/>
      <w:r w:rsidRPr="0061552B">
        <w:rPr>
          <w:rFonts w:ascii="Times New Roman" w:eastAsia="Calibri" w:hAnsi="Times New Roman" w:cs="Times New Roman"/>
          <w:sz w:val="20"/>
          <w:szCs w:val="20"/>
          <w:lang w:bidi="ar-EG"/>
        </w:rPr>
        <w:t xml:space="preserve">Tavakolpour S, Sali </w:t>
      </w:r>
      <w:bookmarkEnd w:id="23"/>
      <w:r w:rsidRPr="0061552B">
        <w:rPr>
          <w:rFonts w:ascii="Times New Roman" w:eastAsia="Calibri" w:hAnsi="Times New Roman" w:cs="Times New Roman"/>
          <w:sz w:val="20"/>
          <w:szCs w:val="20"/>
          <w:lang w:bidi="ar-EG"/>
        </w:rPr>
        <w:t>S. Tumor necrosis factor-α−308 G/a polymorphisms an</w:t>
      </w:r>
      <w:r w:rsidRPr="0061552B">
        <w:rPr>
          <w:rFonts w:ascii="Times New Roman" w:eastAsia="Calibri" w:hAnsi="Times New Roman" w:cs="Times New Roman"/>
          <w:sz w:val="20"/>
          <w:szCs w:val="20"/>
          <w:lang w:bidi="ar-EG"/>
        </w:rPr>
        <w:t xml:space="preserve">d risk of </w:t>
      </w:r>
      <w:r w:rsidRPr="0061552B">
        <w:rPr>
          <w:rFonts w:ascii="Times New Roman" w:eastAsia="Calibri" w:hAnsi="Times New Roman" w:cs="Times New Roman"/>
          <w:sz w:val="20"/>
          <w:szCs w:val="20"/>
          <w:lang w:bidi="ar-EG"/>
        </w:rPr>
        <w:lastRenderedPageBreak/>
        <w:t xml:space="preserve">hepatocellular carcinoma: a meta-analysis. Hepat Mon. 2016;16(4): e33537. </w:t>
      </w:r>
      <w:hyperlink r:id="rId26" w:history="1">
        <w:r w:rsidRPr="0061552B">
          <w:rPr>
            <w:rFonts w:ascii="Times New Roman" w:eastAsia="Calibri" w:hAnsi="Times New Roman" w:cs="Times New Roman"/>
            <w:sz w:val="20"/>
            <w:szCs w:val="20"/>
            <w:lang w:bidi="ar-EG"/>
          </w:rPr>
          <w:t>https://doi.org/10.5812/hepatmon.33537</w:t>
        </w:r>
      </w:hyperlink>
      <w:r w:rsidRPr="0061552B">
        <w:rPr>
          <w:rFonts w:ascii="Times New Roman" w:eastAsia="Calibri" w:hAnsi="Times New Roman" w:cs="Times New Roman"/>
          <w:sz w:val="20"/>
          <w:szCs w:val="20"/>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Wungu, C. D. K., Ariyanto, F. C., Prabowo, G. I., &amp; Handajani, R. (2020). Ass</w:t>
      </w:r>
      <w:r w:rsidRPr="0061552B">
        <w:rPr>
          <w:rFonts w:ascii="Times New Roman" w:eastAsia="Calibri" w:hAnsi="Times New Roman" w:cs="Times New Roman"/>
          <w:sz w:val="20"/>
          <w:szCs w:val="20"/>
          <w:lang w:bidi="ar-EG"/>
        </w:rPr>
        <w:t>ociation between five types of Tumor Necrosis Factor-α gene polymorphism and hepatocellular carcinoma risk: a meta-analysis. BMC cancer, 20(1), 1-11.</w:t>
      </w:r>
      <w:r w:rsidRPr="0061552B">
        <w:rPr>
          <w:rFonts w:ascii="Times New Roman" w:eastAsia="Calibri" w:hAnsi="Times New Roman" w:cs="Times New Roman"/>
          <w:sz w:val="20"/>
          <w:szCs w:val="20"/>
          <w:rtl/>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eastAsia="Calibri" w:hAnsi="Times New Roman" w:cs="Times New Roman"/>
          <w:sz w:val="20"/>
          <w:szCs w:val="20"/>
          <w:lang w:bidi="ar-EG"/>
        </w:rPr>
      </w:pPr>
      <w:r w:rsidRPr="0061552B">
        <w:rPr>
          <w:rFonts w:ascii="Times New Roman" w:eastAsia="Calibri" w:hAnsi="Times New Roman" w:cs="Times New Roman"/>
          <w:sz w:val="20"/>
          <w:szCs w:val="20"/>
          <w:lang w:bidi="ar-EG"/>
        </w:rPr>
        <w:t>Wei Y, Liu F, Li B, Chen X, Ma Y, Yan L, Wen T, Xu M, Wang W, Yang J. Polymorphisms of tumor necrosis fac</w:t>
      </w:r>
      <w:r w:rsidRPr="0061552B">
        <w:rPr>
          <w:rFonts w:ascii="Times New Roman" w:eastAsia="Calibri" w:hAnsi="Times New Roman" w:cs="Times New Roman"/>
          <w:sz w:val="20"/>
          <w:szCs w:val="20"/>
          <w:lang w:bidi="ar-EG"/>
        </w:rPr>
        <w:t xml:space="preserve">tor-alpha and hepatocellular carcinoma risk: a HuGE systematic review and meta-analysis. Dig Dis Sci. 2011;56(8):2227–36. </w:t>
      </w:r>
      <w:hyperlink r:id="rId27" w:history="1">
        <w:r w:rsidRPr="0061552B">
          <w:rPr>
            <w:rFonts w:ascii="Times New Roman" w:eastAsia="Calibri" w:hAnsi="Times New Roman" w:cs="Times New Roman"/>
            <w:sz w:val="20"/>
            <w:szCs w:val="20"/>
            <w:lang w:bidi="ar-EG"/>
          </w:rPr>
          <w:t>https://doi.org/10.1007/s10620-011-1617-y</w:t>
        </w:r>
      </w:hyperlink>
      <w:r w:rsidRPr="0061552B">
        <w:rPr>
          <w:rFonts w:ascii="Times New Roman" w:eastAsia="Calibri" w:hAnsi="Times New Roman" w:cs="Times New Roman"/>
          <w:sz w:val="20"/>
          <w:szCs w:val="20"/>
          <w:lang w:bidi="ar-EG"/>
        </w:rPr>
        <w:t>.</w:t>
      </w:r>
    </w:p>
    <w:p w:rsidR="000D44FB" w:rsidRPr="0061552B" w:rsidRDefault="00CD6B80" w:rsidP="0061552B">
      <w:pPr>
        <w:pStyle w:val="ListParagraph"/>
        <w:numPr>
          <w:ilvl w:val="0"/>
          <w:numId w:val="1"/>
        </w:numPr>
        <w:spacing w:after="0" w:line="240" w:lineRule="auto"/>
        <w:ind w:left="709" w:hanging="567"/>
        <w:jc w:val="both"/>
        <w:rPr>
          <w:rFonts w:ascii="Times New Roman" w:hAnsi="Times New Roman" w:cs="Times New Roman"/>
          <w:b/>
          <w:bCs/>
          <w:color w:val="333333"/>
          <w:sz w:val="20"/>
          <w:szCs w:val="20"/>
        </w:rPr>
      </w:pPr>
      <w:r w:rsidRPr="0061552B">
        <w:rPr>
          <w:rFonts w:ascii="Times New Roman" w:eastAsia="Calibri" w:hAnsi="Times New Roman" w:cs="Times New Roman"/>
          <w:sz w:val="20"/>
          <w:szCs w:val="20"/>
          <w:lang w:bidi="ar-EG"/>
        </w:rPr>
        <w:t>Shin SP, Kim NK, Kim</w:t>
      </w:r>
      <w:r w:rsidRPr="0061552B">
        <w:rPr>
          <w:rFonts w:ascii="Times New Roman" w:eastAsia="Calibri" w:hAnsi="Times New Roman" w:cs="Times New Roman"/>
          <w:sz w:val="20"/>
          <w:szCs w:val="20"/>
          <w:lang w:bidi="ar-EG"/>
        </w:rPr>
        <w:t xml:space="preserve"> JH, Lee JH, Kim JO, Cho SH, Park H, Kim MN, Rim KS, Hwang SG. Association between hepatocellular carcinoma and tumor necrosis factor alpha polymorphisms in South Korea. World J Gastroenterol. 2015;21(46):13064–72.</w:t>
      </w:r>
    </w:p>
    <w:p w:rsidR="0061552B" w:rsidRPr="0061552B" w:rsidRDefault="0061552B" w:rsidP="0061552B">
      <w:pPr>
        <w:pStyle w:val="ListParagraph"/>
        <w:numPr>
          <w:ilvl w:val="0"/>
          <w:numId w:val="1"/>
        </w:numPr>
        <w:spacing w:after="0" w:line="240" w:lineRule="auto"/>
        <w:ind w:left="709" w:hanging="567"/>
        <w:jc w:val="both"/>
        <w:rPr>
          <w:rFonts w:ascii="Times New Roman" w:hAnsi="Times New Roman" w:cs="Times New Roman"/>
          <w:b/>
          <w:bCs/>
          <w:color w:val="333333"/>
          <w:sz w:val="20"/>
          <w:szCs w:val="20"/>
        </w:rPr>
        <w:sectPr w:rsidR="0061552B" w:rsidRPr="0061552B">
          <w:type w:val="continuous"/>
          <w:pgSz w:w="12240" w:h="15840"/>
          <w:pgMar w:top="1440" w:right="1440" w:bottom="1440" w:left="1440" w:header="720" w:footer="720" w:gutter="0"/>
          <w:cols w:num="2" w:space="709"/>
          <w:docGrid w:linePitch="360"/>
        </w:sectPr>
      </w:pPr>
    </w:p>
    <w:p w:rsidR="0061552B" w:rsidRPr="0061552B" w:rsidRDefault="0061552B">
      <w:pPr>
        <w:spacing w:after="0" w:line="240" w:lineRule="auto"/>
        <w:jc w:val="right"/>
        <w:rPr>
          <w:rFonts w:ascii="Times New Roman" w:hAnsi="Times New Roman" w:cs="Times New Roman"/>
          <w:sz w:val="20"/>
          <w:szCs w:val="20"/>
          <w:lang w:eastAsia="zh-CN"/>
        </w:rPr>
      </w:pPr>
    </w:p>
    <w:p w:rsidR="0061552B" w:rsidRPr="0061552B" w:rsidRDefault="0061552B">
      <w:pPr>
        <w:spacing w:after="0" w:line="240" w:lineRule="auto"/>
        <w:jc w:val="right"/>
        <w:rPr>
          <w:rFonts w:ascii="Times New Roman" w:hAnsi="Times New Roman" w:cs="Times New Roman"/>
          <w:sz w:val="20"/>
          <w:szCs w:val="20"/>
          <w:lang w:eastAsia="zh-CN"/>
        </w:rPr>
      </w:pPr>
    </w:p>
    <w:p w:rsidR="000D44FB" w:rsidRPr="0061552B" w:rsidRDefault="00CD6B80">
      <w:pPr>
        <w:spacing w:after="0" w:line="240" w:lineRule="auto"/>
        <w:jc w:val="right"/>
        <w:rPr>
          <w:rFonts w:ascii="Times New Roman" w:eastAsia="Calibri" w:hAnsi="Times New Roman" w:cs="Times New Roman"/>
          <w:sz w:val="20"/>
          <w:szCs w:val="20"/>
          <w:lang w:eastAsia="ar-EG" w:bidi="ar-EG"/>
        </w:rPr>
      </w:pPr>
      <w:r w:rsidRPr="0061552B">
        <w:rPr>
          <w:rFonts w:ascii="Times New Roman" w:hAnsi="Times New Roman" w:cs="Times New Roman"/>
          <w:sz w:val="20"/>
          <w:szCs w:val="20"/>
          <w:lang w:eastAsia="zh-CN"/>
        </w:rPr>
        <w:t>7/21/2022</w:t>
      </w:r>
    </w:p>
    <w:sectPr w:rsidR="000D44FB" w:rsidRPr="0061552B" w:rsidSect="000D44F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80" w:rsidRDefault="00CD6B80">
      <w:pPr>
        <w:spacing w:line="240" w:lineRule="auto"/>
      </w:pPr>
      <w:r>
        <w:separator/>
      </w:r>
    </w:p>
  </w:endnote>
  <w:endnote w:type="continuationSeparator" w:id="0">
    <w:p w:rsidR="00CD6B80" w:rsidRDefault="00CD6B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charset w:val="80"/>
    <w:family w:val="roman"/>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FB" w:rsidRDefault="000D44FB">
    <w:pPr>
      <w:pStyle w:val="Footer"/>
      <w:jc w:val="center"/>
      <w:rPr>
        <w:rFonts w:asciiTheme="majorBidi" w:hAnsiTheme="majorBidi" w:cstheme="majorBidi"/>
        <w:sz w:val="20"/>
        <w:szCs w:val="20"/>
      </w:rPr>
    </w:pPr>
    <w:r w:rsidRPr="000D44FB">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sdt>
                <w:sdtPr>
                  <w:rPr>
                    <w:rFonts w:asciiTheme="majorBidi" w:hAnsiTheme="majorBidi" w:cstheme="majorBidi"/>
                    <w:sz w:val="20"/>
                    <w:szCs w:val="20"/>
                  </w:rPr>
                  <w:id w:val="1494300406"/>
                </w:sdtPr>
                <w:sdtContent>
                  <w:p w:rsidR="000D44FB" w:rsidRDefault="000D44FB">
                    <w:pPr>
                      <w:pStyle w:val="Footer"/>
                      <w:jc w:val="center"/>
                      <w:rPr>
                        <w:rFonts w:asciiTheme="majorBidi" w:hAnsiTheme="majorBidi" w:cstheme="majorBidi"/>
                        <w:sz w:val="20"/>
                        <w:szCs w:val="20"/>
                      </w:rPr>
                    </w:pPr>
                    <w:r>
                      <w:rPr>
                        <w:rFonts w:asciiTheme="majorBidi" w:hAnsiTheme="majorBidi" w:cstheme="majorBidi"/>
                        <w:sz w:val="20"/>
                        <w:szCs w:val="20"/>
                      </w:rPr>
                      <w:fldChar w:fldCharType="begin"/>
                    </w:r>
                    <w:r w:rsidR="00CD6B80">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sidR="0061552B">
                      <w:rPr>
                        <w:rFonts w:asciiTheme="majorBidi" w:hAnsiTheme="majorBidi" w:cstheme="majorBidi"/>
                        <w:noProof/>
                        <w:sz w:val="20"/>
                        <w:szCs w:val="20"/>
                      </w:rPr>
                      <w:t>2</w:t>
                    </w:r>
                    <w:r>
                      <w:rPr>
                        <w:rFonts w:asciiTheme="majorBidi" w:hAnsiTheme="majorBidi" w:cstheme="majorBidi"/>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FB" w:rsidRDefault="000D44FB">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0D44FB" w:rsidRDefault="000D44FB">
                <w:pPr>
                  <w:pStyle w:val="Footer"/>
                </w:pPr>
                <w:r>
                  <w:rPr>
                    <w:rFonts w:ascii="Times New Roman" w:hAnsi="Times New Roman" w:cs="Times New Roman"/>
                    <w:sz w:val="20"/>
                    <w:szCs w:val="20"/>
                  </w:rPr>
                  <w:fldChar w:fldCharType="begin"/>
                </w:r>
                <w:r w:rsidR="00CD6B8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1552B">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80" w:rsidRDefault="00CD6B80">
      <w:pPr>
        <w:spacing w:after="0"/>
      </w:pPr>
      <w:r>
        <w:separator/>
      </w:r>
    </w:p>
  </w:footnote>
  <w:footnote w:type="continuationSeparator" w:id="0">
    <w:p w:rsidR="00CD6B80" w:rsidRDefault="00CD6B8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FB" w:rsidRDefault="00CD6B80">
    <w:pPr>
      <w:pBdr>
        <w:bottom w:val="thinThickMediumGap" w:sz="12" w:space="1" w:color="auto"/>
      </w:pBdr>
      <w:tabs>
        <w:tab w:val="left" w:pos="851"/>
        <w:tab w:val="right" w:pos="8364"/>
      </w:tabs>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New York Science Journal 2022;15(</w:t>
    </w:r>
    <w:r>
      <w:rPr>
        <w:rFonts w:ascii="Times New Roma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FB" w:rsidRDefault="00CD6B80">
    <w:pPr>
      <w:pStyle w:val="Header"/>
    </w:pPr>
    <w:r>
      <w:rPr>
        <w:rFonts w:ascii="Times New Roman" w:eastAsia="Calibri" w:hAnsi="Times New Roman" w:cs="Times New Roman" w:hint="eastAsia"/>
        <w:noProof/>
        <w:sz w:val="20"/>
        <w:lang w:eastAsia="zh-CN"/>
      </w:rPr>
      <w:drawing>
        <wp:inline distT="0" distB="0" distL="0" distR="0">
          <wp:extent cx="5963920" cy="789305"/>
          <wp:effectExtent l="0" t="0" r="17780" b="10795"/>
          <wp:docPr id="2" name="图片 1" descr="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新其它\Scij\Logo\Mslndlogo-nys.png"/>
                  <pic:cNvPicPr>
                    <a:picLocks noChangeAspect="1" noChangeArrowheads="1"/>
                  </pic:cNvPicPr>
                </pic:nvPicPr>
                <pic:blipFill>
                  <a:blip r:embed="rId1"/>
                  <a:srcRect/>
                  <a:stretch>
                    <a:fillRect/>
                  </a:stretch>
                </pic:blipFill>
                <pic:spPr>
                  <a:xfrm>
                    <a:off x="0" y="0"/>
                    <a:ext cx="5963920" cy="7893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40CE2"/>
    <w:multiLevelType w:val="multilevel"/>
    <w:tmpl w:val="8E140CE2"/>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817C43"/>
    <w:rsid w:val="00034639"/>
    <w:rsid w:val="000405CD"/>
    <w:rsid w:val="00061592"/>
    <w:rsid w:val="0008241B"/>
    <w:rsid w:val="000B18EF"/>
    <w:rsid w:val="000C172A"/>
    <w:rsid w:val="000C4E4C"/>
    <w:rsid w:val="000D44FB"/>
    <w:rsid w:val="000D5F96"/>
    <w:rsid w:val="000F3084"/>
    <w:rsid w:val="000F4CC7"/>
    <w:rsid w:val="001028C6"/>
    <w:rsid w:val="00102B17"/>
    <w:rsid w:val="00113D22"/>
    <w:rsid w:val="00116E83"/>
    <w:rsid w:val="00145832"/>
    <w:rsid w:val="00150DC5"/>
    <w:rsid w:val="00156BC0"/>
    <w:rsid w:val="00164710"/>
    <w:rsid w:val="001702EF"/>
    <w:rsid w:val="00172B6A"/>
    <w:rsid w:val="00176A9A"/>
    <w:rsid w:val="00184C81"/>
    <w:rsid w:val="001875B8"/>
    <w:rsid w:val="00191360"/>
    <w:rsid w:val="001A0CD9"/>
    <w:rsid w:val="001B14EE"/>
    <w:rsid w:val="001B28EA"/>
    <w:rsid w:val="001B3D6E"/>
    <w:rsid w:val="001C784A"/>
    <w:rsid w:val="001D266B"/>
    <w:rsid w:val="001D2D60"/>
    <w:rsid w:val="001E3DBD"/>
    <w:rsid w:val="001E6FCA"/>
    <w:rsid w:val="001F0F0F"/>
    <w:rsid w:val="001F7A96"/>
    <w:rsid w:val="00203C18"/>
    <w:rsid w:val="00215C2F"/>
    <w:rsid w:val="00216014"/>
    <w:rsid w:val="002168C8"/>
    <w:rsid w:val="00235554"/>
    <w:rsid w:val="002454F9"/>
    <w:rsid w:val="00270F71"/>
    <w:rsid w:val="002773FD"/>
    <w:rsid w:val="002A1517"/>
    <w:rsid w:val="002A6D36"/>
    <w:rsid w:val="00334401"/>
    <w:rsid w:val="003442C6"/>
    <w:rsid w:val="00352C70"/>
    <w:rsid w:val="003649F1"/>
    <w:rsid w:val="00365C75"/>
    <w:rsid w:val="00366535"/>
    <w:rsid w:val="0038096F"/>
    <w:rsid w:val="0038419B"/>
    <w:rsid w:val="003928A9"/>
    <w:rsid w:val="003D385C"/>
    <w:rsid w:val="004023BF"/>
    <w:rsid w:val="004118C2"/>
    <w:rsid w:val="00421328"/>
    <w:rsid w:val="00426310"/>
    <w:rsid w:val="00452F94"/>
    <w:rsid w:val="00471156"/>
    <w:rsid w:val="004821FB"/>
    <w:rsid w:val="004833C1"/>
    <w:rsid w:val="00496EE7"/>
    <w:rsid w:val="004B4A6B"/>
    <w:rsid w:val="004C0FC0"/>
    <w:rsid w:val="004D2892"/>
    <w:rsid w:val="004D4FF8"/>
    <w:rsid w:val="004F374D"/>
    <w:rsid w:val="00517767"/>
    <w:rsid w:val="00520E03"/>
    <w:rsid w:val="00524787"/>
    <w:rsid w:val="00540AF3"/>
    <w:rsid w:val="005678BA"/>
    <w:rsid w:val="00573996"/>
    <w:rsid w:val="00573B9E"/>
    <w:rsid w:val="005956D8"/>
    <w:rsid w:val="005A51CE"/>
    <w:rsid w:val="005B0A88"/>
    <w:rsid w:val="005B5D62"/>
    <w:rsid w:val="005C792F"/>
    <w:rsid w:val="00600AF8"/>
    <w:rsid w:val="0061552B"/>
    <w:rsid w:val="00624226"/>
    <w:rsid w:val="00631344"/>
    <w:rsid w:val="00657E5B"/>
    <w:rsid w:val="00666201"/>
    <w:rsid w:val="0067125D"/>
    <w:rsid w:val="00683FA6"/>
    <w:rsid w:val="0069001E"/>
    <w:rsid w:val="00694266"/>
    <w:rsid w:val="006C0949"/>
    <w:rsid w:val="006C307E"/>
    <w:rsid w:val="006C7FBC"/>
    <w:rsid w:val="00741383"/>
    <w:rsid w:val="00755AE0"/>
    <w:rsid w:val="00781885"/>
    <w:rsid w:val="00783244"/>
    <w:rsid w:val="00793CCE"/>
    <w:rsid w:val="00793D31"/>
    <w:rsid w:val="007C2203"/>
    <w:rsid w:val="007C73E2"/>
    <w:rsid w:val="007E4BC5"/>
    <w:rsid w:val="007F41F3"/>
    <w:rsid w:val="00800794"/>
    <w:rsid w:val="00817C43"/>
    <w:rsid w:val="008317E7"/>
    <w:rsid w:val="00832585"/>
    <w:rsid w:val="008758E0"/>
    <w:rsid w:val="00890378"/>
    <w:rsid w:val="008A2646"/>
    <w:rsid w:val="008D49B3"/>
    <w:rsid w:val="008D7906"/>
    <w:rsid w:val="008F1F85"/>
    <w:rsid w:val="00905241"/>
    <w:rsid w:val="00905CCC"/>
    <w:rsid w:val="00933A2F"/>
    <w:rsid w:val="0095038F"/>
    <w:rsid w:val="00952C07"/>
    <w:rsid w:val="009533C1"/>
    <w:rsid w:val="009617AB"/>
    <w:rsid w:val="00987349"/>
    <w:rsid w:val="009A3F09"/>
    <w:rsid w:val="009B6E09"/>
    <w:rsid w:val="009C2F7A"/>
    <w:rsid w:val="009C306B"/>
    <w:rsid w:val="009D0528"/>
    <w:rsid w:val="009D265C"/>
    <w:rsid w:val="009D4DD8"/>
    <w:rsid w:val="009E4336"/>
    <w:rsid w:val="009F37C9"/>
    <w:rsid w:val="00A15891"/>
    <w:rsid w:val="00A31064"/>
    <w:rsid w:val="00A6072E"/>
    <w:rsid w:val="00A6407E"/>
    <w:rsid w:val="00A653B6"/>
    <w:rsid w:val="00A84046"/>
    <w:rsid w:val="00A865BB"/>
    <w:rsid w:val="00A879AF"/>
    <w:rsid w:val="00A9710A"/>
    <w:rsid w:val="00AA5354"/>
    <w:rsid w:val="00AB70E5"/>
    <w:rsid w:val="00B16815"/>
    <w:rsid w:val="00B16D5D"/>
    <w:rsid w:val="00B411E2"/>
    <w:rsid w:val="00B5382C"/>
    <w:rsid w:val="00BB288B"/>
    <w:rsid w:val="00BB52CD"/>
    <w:rsid w:val="00BF10D8"/>
    <w:rsid w:val="00BF23F3"/>
    <w:rsid w:val="00BF2CC2"/>
    <w:rsid w:val="00C0560A"/>
    <w:rsid w:val="00C0746E"/>
    <w:rsid w:val="00C12E7E"/>
    <w:rsid w:val="00C24CCB"/>
    <w:rsid w:val="00C33718"/>
    <w:rsid w:val="00C365DF"/>
    <w:rsid w:val="00C422AE"/>
    <w:rsid w:val="00C43CC4"/>
    <w:rsid w:val="00C8455C"/>
    <w:rsid w:val="00CB08B8"/>
    <w:rsid w:val="00CB1039"/>
    <w:rsid w:val="00CB246A"/>
    <w:rsid w:val="00CB3D79"/>
    <w:rsid w:val="00CC462C"/>
    <w:rsid w:val="00CD4697"/>
    <w:rsid w:val="00CD6B80"/>
    <w:rsid w:val="00CE653F"/>
    <w:rsid w:val="00CF5FF9"/>
    <w:rsid w:val="00D01661"/>
    <w:rsid w:val="00D06D98"/>
    <w:rsid w:val="00D13217"/>
    <w:rsid w:val="00D2041E"/>
    <w:rsid w:val="00D20E45"/>
    <w:rsid w:val="00D37376"/>
    <w:rsid w:val="00D478ED"/>
    <w:rsid w:val="00D50832"/>
    <w:rsid w:val="00D57F85"/>
    <w:rsid w:val="00D80653"/>
    <w:rsid w:val="00D93EE7"/>
    <w:rsid w:val="00D9471A"/>
    <w:rsid w:val="00DA53BC"/>
    <w:rsid w:val="00DB0E58"/>
    <w:rsid w:val="00DD602D"/>
    <w:rsid w:val="00DE56E7"/>
    <w:rsid w:val="00E01A1C"/>
    <w:rsid w:val="00E31D13"/>
    <w:rsid w:val="00E62511"/>
    <w:rsid w:val="00E74940"/>
    <w:rsid w:val="00E80CC6"/>
    <w:rsid w:val="00E9278C"/>
    <w:rsid w:val="00EA49C2"/>
    <w:rsid w:val="00EA6087"/>
    <w:rsid w:val="00ED41D3"/>
    <w:rsid w:val="00F11F32"/>
    <w:rsid w:val="00F158ED"/>
    <w:rsid w:val="00F17191"/>
    <w:rsid w:val="00F22A26"/>
    <w:rsid w:val="00F369A4"/>
    <w:rsid w:val="00F40316"/>
    <w:rsid w:val="00F47257"/>
    <w:rsid w:val="00F61617"/>
    <w:rsid w:val="00F66FA7"/>
    <w:rsid w:val="00F7057F"/>
    <w:rsid w:val="00F87D94"/>
    <w:rsid w:val="00F906BE"/>
    <w:rsid w:val="00FA1BCF"/>
    <w:rsid w:val="00FB06B4"/>
    <w:rsid w:val="00FD319E"/>
    <w:rsid w:val="00FD4C20"/>
    <w:rsid w:val="00FE1078"/>
    <w:rsid w:val="00FF0646"/>
    <w:rsid w:val="00FF2B05"/>
    <w:rsid w:val="181E117A"/>
    <w:rsid w:val="25FC4770"/>
    <w:rsid w:val="511F5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FB"/>
    <w:pPr>
      <w:spacing w:after="160" w:line="259" w:lineRule="auto"/>
    </w:pPr>
    <w:rPr>
      <w:sz w:val="22"/>
      <w:szCs w:val="22"/>
      <w:lang w:eastAsia="en-US"/>
    </w:rPr>
  </w:style>
  <w:style w:type="paragraph" w:styleId="Heading3">
    <w:name w:val="heading 3"/>
    <w:basedOn w:val="Normal"/>
    <w:next w:val="Normal"/>
    <w:link w:val="Heading3Char"/>
    <w:uiPriority w:val="9"/>
    <w:semiHidden/>
    <w:unhideWhenUsed/>
    <w:qFormat/>
    <w:rsid w:val="000D4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D44F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4FB"/>
    <w:pPr>
      <w:spacing w:after="0" w:line="240" w:lineRule="auto"/>
    </w:pPr>
    <w:rPr>
      <w:rFonts w:ascii="Tahoma" w:hAnsi="Tahoma" w:cs="Tahoma"/>
      <w:sz w:val="16"/>
      <w:szCs w:val="16"/>
    </w:rPr>
  </w:style>
  <w:style w:type="paragraph" w:styleId="Footer">
    <w:name w:val="footer"/>
    <w:basedOn w:val="Normal"/>
    <w:link w:val="FooterChar"/>
    <w:uiPriority w:val="99"/>
    <w:unhideWhenUsed/>
    <w:rsid w:val="000D44FB"/>
    <w:pPr>
      <w:tabs>
        <w:tab w:val="center" w:pos="4153"/>
        <w:tab w:val="right" w:pos="8306"/>
      </w:tabs>
      <w:spacing w:after="0" w:line="240" w:lineRule="auto"/>
    </w:pPr>
  </w:style>
  <w:style w:type="paragraph" w:styleId="Header">
    <w:name w:val="header"/>
    <w:basedOn w:val="Normal"/>
    <w:link w:val="HeaderChar"/>
    <w:uiPriority w:val="99"/>
    <w:unhideWhenUsed/>
    <w:rsid w:val="000D44FB"/>
    <w:pPr>
      <w:tabs>
        <w:tab w:val="center" w:pos="4153"/>
        <w:tab w:val="right" w:pos="8306"/>
      </w:tabs>
      <w:spacing w:after="0" w:line="240" w:lineRule="auto"/>
    </w:pPr>
  </w:style>
  <w:style w:type="paragraph" w:styleId="NormalWeb">
    <w:name w:val="Normal (Web)"/>
    <w:basedOn w:val="Normal"/>
    <w:uiPriority w:val="99"/>
    <w:unhideWhenUsed/>
    <w:rsid w:val="000D44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44FB"/>
    <w:rPr>
      <w:i/>
      <w:iCs/>
    </w:rPr>
  </w:style>
  <w:style w:type="character" w:styleId="Hyperlink">
    <w:name w:val="Hyperlink"/>
    <w:basedOn w:val="DefaultParagraphFont"/>
    <w:uiPriority w:val="99"/>
    <w:unhideWhenUsed/>
    <w:rsid w:val="000D44FB"/>
    <w:rPr>
      <w:color w:val="0563C1" w:themeColor="hyperlink"/>
      <w:u w:val="single"/>
    </w:rPr>
  </w:style>
  <w:style w:type="character" w:customStyle="1" w:styleId="UnresolvedMention">
    <w:name w:val="Unresolved Mention"/>
    <w:basedOn w:val="DefaultParagraphFont"/>
    <w:uiPriority w:val="99"/>
    <w:semiHidden/>
    <w:unhideWhenUsed/>
    <w:rsid w:val="000D44FB"/>
    <w:rPr>
      <w:color w:val="605E5C"/>
      <w:shd w:val="clear" w:color="auto" w:fill="E1DFDD"/>
    </w:rPr>
  </w:style>
  <w:style w:type="table" w:customStyle="1" w:styleId="PlainTable2">
    <w:name w:val="Plain Table 2"/>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5">
    <w:name w:val="Plain Table 25"/>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6">
    <w:name w:val="Plain Table 26"/>
    <w:basedOn w:val="TableNormal"/>
    <w:uiPriority w:val="42"/>
    <w:rsid w:val="000D44F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D44FB"/>
    <w:pPr>
      <w:ind w:left="720"/>
      <w:contextualSpacing/>
    </w:pPr>
  </w:style>
  <w:style w:type="character" w:customStyle="1" w:styleId="Heading3Char">
    <w:name w:val="Heading 3 Char"/>
    <w:basedOn w:val="DefaultParagraphFont"/>
    <w:link w:val="Heading3"/>
    <w:uiPriority w:val="9"/>
    <w:semiHidden/>
    <w:rsid w:val="000D44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D44FB"/>
    <w:rPr>
      <w:rFonts w:asciiTheme="majorHAnsi" w:eastAsiaTheme="majorEastAsia" w:hAnsiTheme="majorHAnsi" w:cstheme="majorBidi"/>
      <w:b/>
      <w:bCs/>
      <w:i/>
      <w:iCs/>
      <w:color w:val="4472C4" w:themeColor="accent1"/>
    </w:rPr>
  </w:style>
  <w:style w:type="character" w:customStyle="1" w:styleId="HeaderChar">
    <w:name w:val="Header Char"/>
    <w:basedOn w:val="DefaultParagraphFont"/>
    <w:link w:val="Header"/>
    <w:uiPriority w:val="99"/>
    <w:rsid w:val="000D44FB"/>
  </w:style>
  <w:style w:type="character" w:customStyle="1" w:styleId="FooterChar">
    <w:name w:val="Footer Char"/>
    <w:basedOn w:val="DefaultParagraphFont"/>
    <w:link w:val="Footer"/>
    <w:uiPriority w:val="99"/>
    <w:rsid w:val="000D44FB"/>
  </w:style>
  <w:style w:type="character" w:customStyle="1" w:styleId="BalloonTextChar">
    <w:name w:val="Balloon Text Char"/>
    <w:basedOn w:val="DefaultParagraphFont"/>
    <w:link w:val="BalloonText"/>
    <w:uiPriority w:val="99"/>
    <w:semiHidden/>
    <w:rsid w:val="000D44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 TargetMode="External"/><Relationship Id="rId26" Type="http://schemas.openxmlformats.org/officeDocument/2006/relationships/hyperlink" Target="https://doi.org/10.5812/hepatmon.33537" TargetMode="External"/><Relationship Id="rId3" Type="http://schemas.openxmlformats.org/officeDocument/2006/relationships/numbering" Target="numbering.xml"/><Relationship Id="rId21" Type="http://schemas.openxmlformats.org/officeDocument/2006/relationships/hyperlink" Target="https://doi.org/10.3748/wjg.v21.i46.130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gco.iarc.fr/today" TargetMode="External"/><Relationship Id="rId25" Type="http://schemas.openxmlformats.org/officeDocument/2006/relationships/hyperlink" Target="https://doi.org/10.%201097/MD.0000000000005609" TargetMode="External"/><Relationship Id="rId2" Type="http://schemas.openxmlformats.org/officeDocument/2006/relationships/customXml" Target="../customXml/item2.xml"/><Relationship Id="rId16" Type="http://schemas.openxmlformats.org/officeDocument/2006/relationships/hyperlink" Target="http://osse.bii.a-star.edu.sg/index.php" TargetMode="External"/><Relationship Id="rId20" Type="http://schemas.openxmlformats.org/officeDocument/2006/relationships/hyperlink" Target="https://do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722.01" TargetMode="External"/><Relationship Id="rId24" Type="http://schemas.openxmlformats.org/officeDocument/2006/relationships/hyperlink" Target="https://doi.org/10.31557/apjcp.2020.21.2.301"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doi.org/10.1089/jir.2018.0024" TargetMode="External"/><Relationship Id="rId28"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hyperlink" Target="https://doi.org/10.3389/" TargetMode="External"/><Relationship Id="rId4" Type="http://schemas.openxmlformats.org/officeDocument/2006/relationships/styles" Target="styles.xml"/><Relationship Id="rId9" Type="http://schemas.openxmlformats.org/officeDocument/2006/relationships/hyperlink" Target="mailto:ziad.emad90@yahoo.com" TargetMode="External"/><Relationship Id="rId14" Type="http://schemas.openxmlformats.org/officeDocument/2006/relationships/header" Target="header2.xml"/><Relationship Id="rId22" Type="http://schemas.openxmlformats.org/officeDocument/2006/relationships/hyperlink" Target="https://doi.org/10.1186/s40064-016-" TargetMode="External"/><Relationship Id="rId27" Type="http://schemas.openxmlformats.org/officeDocument/2006/relationships/hyperlink" Target="https://doi.org/10.1007/s10620-011-1617-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FD961-E274-43A7-96A0-672A7A22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3787</Words>
  <Characters>21588</Characters>
  <Application>Microsoft Office Word</Application>
  <DocSecurity>0</DocSecurity>
  <Lines>179</Lines>
  <Paragraphs>50</Paragraphs>
  <ScaleCrop>false</ScaleCrop>
  <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Badawy</dc:creator>
  <cp:lastModifiedBy>Administrator</cp:lastModifiedBy>
  <cp:revision>4</cp:revision>
  <cp:lastPrinted>2022-06-07T06:10:00Z</cp:lastPrinted>
  <dcterms:created xsi:type="dcterms:W3CDTF">2022-07-17T21:19:00Z</dcterms:created>
  <dcterms:modified xsi:type="dcterms:W3CDTF">2022-07-23T20:45:00Z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048E567FD6214FBFA1C3DC64EFE40B41</vt:lpwstr>
  </property>
</Properties>
</file>