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B8" w:rsidRDefault="00A839B8">
      <w:pPr>
        <w:jc w:val="center"/>
        <w:rPr>
          <w:b/>
          <w:sz w:val="20"/>
          <w:szCs w:val="20"/>
        </w:rPr>
      </w:pPr>
    </w:p>
    <w:p w:rsidR="00A839B8" w:rsidRDefault="00E64F33">
      <w:pPr>
        <w:jc w:val="center"/>
        <w:rPr>
          <w:sz w:val="20"/>
          <w:szCs w:val="20"/>
          <w:lang w:eastAsia="zh-CN"/>
        </w:rPr>
      </w:pPr>
      <w:r>
        <w:rPr>
          <w:b/>
          <w:sz w:val="20"/>
          <w:szCs w:val="20"/>
        </w:rPr>
        <w:t>C</w:t>
      </w:r>
      <w:r>
        <w:rPr>
          <w:b/>
          <w:sz w:val="20"/>
          <w:szCs w:val="20"/>
          <w:vertAlign w:val="subscript"/>
        </w:rPr>
        <w:t>20</w:t>
      </w:r>
      <w:r>
        <w:rPr>
          <w:b/>
          <w:sz w:val="20"/>
          <w:szCs w:val="20"/>
        </w:rPr>
        <w:t xml:space="preserve"> and C</w:t>
      </w:r>
      <w:r>
        <w:rPr>
          <w:b/>
          <w:sz w:val="20"/>
          <w:szCs w:val="20"/>
          <w:vertAlign w:val="subscript"/>
        </w:rPr>
        <w:t>21</w:t>
      </w:r>
      <w:r>
        <w:rPr>
          <w:b/>
          <w:sz w:val="20"/>
          <w:szCs w:val="20"/>
        </w:rPr>
        <w:t xml:space="preserve"> Tricyclic Terpanes in Niger Delta Crude Oils 1: Unusual Distribution and Characterization</w:t>
      </w:r>
    </w:p>
    <w:p w:rsidR="00A839B8" w:rsidRDefault="00A839B8">
      <w:pPr>
        <w:jc w:val="center"/>
        <w:rPr>
          <w:sz w:val="20"/>
          <w:szCs w:val="20"/>
        </w:rPr>
      </w:pPr>
    </w:p>
    <w:p w:rsidR="00A839B8" w:rsidRDefault="00E64F33">
      <w:pPr>
        <w:jc w:val="center"/>
        <w:rPr>
          <w:sz w:val="20"/>
          <w:szCs w:val="20"/>
        </w:rPr>
      </w:pPr>
      <w:r>
        <w:rPr>
          <w:sz w:val="20"/>
          <w:szCs w:val="20"/>
        </w:rPr>
        <w:t>Mark Obinna Onyema</w:t>
      </w:r>
      <w:r>
        <w:rPr>
          <w:sz w:val="20"/>
          <w:szCs w:val="20"/>
          <w:vertAlign w:val="superscript"/>
        </w:rPr>
        <w:t>*</w:t>
      </w:r>
      <w:r>
        <w:rPr>
          <w:sz w:val="20"/>
          <w:szCs w:val="20"/>
        </w:rPr>
        <w:t xml:space="preserve">, Michael Junior Ajie </w:t>
      </w:r>
    </w:p>
    <w:p w:rsidR="00A839B8" w:rsidRDefault="00A839B8">
      <w:pPr>
        <w:jc w:val="center"/>
        <w:rPr>
          <w:sz w:val="20"/>
          <w:szCs w:val="20"/>
        </w:rPr>
      </w:pPr>
    </w:p>
    <w:p w:rsidR="00A839B8" w:rsidRDefault="00E64F33">
      <w:pPr>
        <w:jc w:val="center"/>
        <w:rPr>
          <w:sz w:val="20"/>
          <w:szCs w:val="20"/>
        </w:rPr>
      </w:pPr>
      <w:r>
        <w:rPr>
          <w:sz w:val="20"/>
          <w:szCs w:val="20"/>
        </w:rPr>
        <w:t xml:space="preserve">Petroleum and Environmental Geochemistry Research group, Department of Pure and Industrial Chemistry, </w:t>
      </w:r>
      <w:r>
        <w:rPr>
          <w:sz w:val="20"/>
          <w:szCs w:val="20"/>
        </w:rPr>
        <w:t>University of Port Harcourt, Port Harcourt, River State 500001</w:t>
      </w:r>
      <w:r>
        <w:rPr>
          <w:iCs/>
          <w:sz w:val="20"/>
          <w:szCs w:val="20"/>
        </w:rPr>
        <w:t>, Nigeria</w:t>
      </w:r>
      <w:r>
        <w:rPr>
          <w:sz w:val="20"/>
          <w:szCs w:val="20"/>
        </w:rPr>
        <w:t xml:space="preserve"> </w:t>
      </w:r>
    </w:p>
    <w:p w:rsidR="00A839B8" w:rsidRDefault="00E64F33">
      <w:pPr>
        <w:jc w:val="center"/>
        <w:rPr>
          <w:sz w:val="20"/>
          <w:szCs w:val="20"/>
        </w:rPr>
      </w:pPr>
      <w:hyperlink r:id="rId8" w:history="1">
        <w:r>
          <w:rPr>
            <w:rStyle w:val="Hyperlink"/>
            <w:sz w:val="20"/>
            <w:szCs w:val="20"/>
          </w:rPr>
          <w:t>onyemark@yahoo.com</w:t>
        </w:r>
      </w:hyperlink>
    </w:p>
    <w:p w:rsidR="00A839B8" w:rsidRDefault="00A839B8">
      <w:pPr>
        <w:jc w:val="both"/>
        <w:rPr>
          <w:sz w:val="20"/>
          <w:szCs w:val="20"/>
        </w:rPr>
      </w:pPr>
    </w:p>
    <w:p w:rsidR="00A839B8" w:rsidRDefault="00E64F33">
      <w:pPr>
        <w:jc w:val="both"/>
        <w:rPr>
          <w:sz w:val="20"/>
          <w:szCs w:val="20"/>
        </w:rPr>
      </w:pPr>
      <w:r>
        <w:rPr>
          <w:b/>
          <w:sz w:val="20"/>
          <w:szCs w:val="20"/>
        </w:rPr>
        <w:t xml:space="preserve">Abstract: </w:t>
      </w:r>
      <w:r>
        <w:rPr>
          <w:sz w:val="20"/>
          <w:szCs w:val="20"/>
        </w:rPr>
        <w:t>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 Niger Delta crude oils were investigated and characterized. From comparison o</w:t>
      </w:r>
      <w:r>
        <w:rPr>
          <w:sz w:val="20"/>
          <w:szCs w:val="20"/>
        </w:rPr>
        <w:t>f the partial m/z 191 mass chromatograms of two crude oil samples (</w:t>
      </w:r>
      <w:r>
        <w:rPr>
          <w:bCs/>
          <w:sz w:val="20"/>
          <w:szCs w:val="20"/>
        </w:rPr>
        <w:t xml:space="preserve">RV-35 and DT-80) </w:t>
      </w:r>
      <w:r>
        <w:rPr>
          <w:sz w:val="20"/>
          <w:szCs w:val="20"/>
        </w:rPr>
        <w:t>to that of related literatures, 12 peaks which eluted from the gas chromatography (GC) at a given retention time, were designated as C</w:t>
      </w:r>
      <w:r>
        <w:rPr>
          <w:sz w:val="20"/>
          <w:szCs w:val="20"/>
          <w:vertAlign w:val="subscript"/>
        </w:rPr>
        <w:t>20</w:t>
      </w:r>
      <w:r>
        <w:rPr>
          <w:sz w:val="20"/>
          <w:szCs w:val="20"/>
        </w:rPr>
        <w:t xml:space="preserve"> (</w:t>
      </w:r>
      <w:r>
        <w:rPr>
          <w:bCs/>
          <w:sz w:val="20"/>
          <w:szCs w:val="20"/>
        </w:rPr>
        <w:t>TR20a-e</w:t>
      </w:r>
      <w:r>
        <w:rPr>
          <w:sz w:val="20"/>
          <w:szCs w:val="20"/>
        </w:rPr>
        <w:t>) and C</w:t>
      </w:r>
      <w:r>
        <w:rPr>
          <w:sz w:val="20"/>
          <w:szCs w:val="20"/>
          <w:vertAlign w:val="subscript"/>
        </w:rPr>
        <w:t>21</w:t>
      </w:r>
      <w:r>
        <w:rPr>
          <w:sz w:val="20"/>
          <w:szCs w:val="20"/>
        </w:rPr>
        <w:t xml:space="preserve"> (</w:t>
      </w:r>
      <w:r>
        <w:rPr>
          <w:bCs/>
          <w:sz w:val="20"/>
          <w:szCs w:val="20"/>
        </w:rPr>
        <w:t>TR21a-g</w:t>
      </w:r>
      <w:r>
        <w:rPr>
          <w:sz w:val="20"/>
          <w:szCs w:val="20"/>
        </w:rPr>
        <w:t>) tricycl</w:t>
      </w:r>
      <w:r>
        <w:rPr>
          <w:sz w:val="20"/>
          <w:szCs w:val="20"/>
        </w:rPr>
        <w:t xml:space="preserve">ic terpane isomers. </w:t>
      </w:r>
      <w:r>
        <w:rPr>
          <w:rFonts w:eastAsia="AdvOT863180fb"/>
          <w:sz w:val="20"/>
          <w:szCs w:val="20"/>
        </w:rPr>
        <w:t xml:space="preserve">This </w:t>
      </w:r>
      <w:r>
        <w:rPr>
          <w:sz w:val="20"/>
          <w:szCs w:val="20"/>
        </w:rPr>
        <w:t>reveal an unusual distribution of the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 Niger Delta crude oils. Total abundance of the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w:t>
      </w:r>
      <w:r>
        <w:rPr>
          <w:bCs/>
          <w:sz w:val="20"/>
          <w:szCs w:val="20"/>
        </w:rPr>
        <w:t xml:space="preserve">suggest </w:t>
      </w:r>
      <w:r>
        <w:rPr>
          <w:sz w:val="20"/>
          <w:szCs w:val="20"/>
        </w:rPr>
        <w:t xml:space="preserve">RV-35, with </w:t>
      </w:r>
      <w:r>
        <w:rPr>
          <w:bCs/>
          <w:sz w:val="20"/>
          <w:szCs w:val="20"/>
        </w:rPr>
        <w:t xml:space="preserve">considerably </w:t>
      </w:r>
      <w:r>
        <w:rPr>
          <w:sz w:val="20"/>
          <w:szCs w:val="20"/>
        </w:rPr>
        <w:t xml:space="preserve">higher abundance, was </w:t>
      </w:r>
      <w:r>
        <w:rPr>
          <w:bCs/>
          <w:sz w:val="20"/>
          <w:szCs w:val="20"/>
        </w:rPr>
        <w:t xml:space="preserve">more mature than DT-80 </w:t>
      </w:r>
      <w:r>
        <w:rPr>
          <w:sz w:val="20"/>
          <w:szCs w:val="20"/>
        </w:rPr>
        <w:t>and</w:t>
      </w:r>
      <w:r>
        <w:rPr>
          <w:sz w:val="20"/>
          <w:szCs w:val="20"/>
        </w:rPr>
        <w:t xml:space="preserve"> that the C</w:t>
      </w:r>
      <w:r>
        <w:rPr>
          <w:sz w:val="20"/>
          <w:szCs w:val="20"/>
          <w:vertAlign w:val="subscript"/>
        </w:rPr>
        <w:t>20</w:t>
      </w:r>
      <w:r>
        <w:rPr>
          <w:sz w:val="20"/>
          <w:szCs w:val="20"/>
        </w:rPr>
        <w:t xml:space="preserve"> tricyclic terpanes were generated more than C</w:t>
      </w:r>
      <w:r>
        <w:rPr>
          <w:sz w:val="20"/>
          <w:szCs w:val="20"/>
          <w:vertAlign w:val="subscript"/>
        </w:rPr>
        <w:t>21</w:t>
      </w:r>
      <w:r>
        <w:rPr>
          <w:sz w:val="20"/>
          <w:szCs w:val="20"/>
        </w:rPr>
        <w:t xml:space="preserve"> tricyclic terpanes with increase in crude oil maturity. </w:t>
      </w:r>
      <w:r>
        <w:rPr>
          <w:bCs/>
          <w:sz w:val="20"/>
          <w:szCs w:val="20"/>
        </w:rPr>
        <w:t>I</w:t>
      </w:r>
      <w:r>
        <w:rPr>
          <w:sz w:val="20"/>
          <w:szCs w:val="20"/>
        </w:rPr>
        <w:t>ndividual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w:t>
      </w:r>
      <w:r>
        <w:rPr>
          <w:bCs/>
          <w:sz w:val="20"/>
          <w:szCs w:val="20"/>
        </w:rPr>
        <w:t xml:space="preserve"> </w:t>
      </w:r>
      <w:r>
        <w:rPr>
          <w:sz w:val="20"/>
          <w:szCs w:val="20"/>
        </w:rPr>
        <w:t xml:space="preserve">terpane abundances were mostly higher in RV-35, except TR20c and TR21g which were </w:t>
      </w:r>
      <w:r>
        <w:rPr>
          <w:rFonts w:eastAsia="AdvEPSTIM"/>
          <w:sz w:val="20"/>
          <w:szCs w:val="20"/>
        </w:rPr>
        <w:t xml:space="preserve">slightly </w:t>
      </w:r>
      <w:r>
        <w:rPr>
          <w:sz w:val="20"/>
          <w:szCs w:val="20"/>
        </w:rPr>
        <w:t xml:space="preserve">higher </w:t>
      </w:r>
      <w:r>
        <w:rPr>
          <w:rFonts w:eastAsia="AdvEPSTIM"/>
          <w:sz w:val="20"/>
          <w:szCs w:val="20"/>
        </w:rPr>
        <w:t xml:space="preserve">in </w:t>
      </w:r>
      <w:r>
        <w:rPr>
          <w:bCs/>
          <w:sz w:val="20"/>
          <w:szCs w:val="20"/>
        </w:rPr>
        <w:t xml:space="preserve">DT-80. </w:t>
      </w:r>
      <w:r>
        <w:rPr>
          <w:sz w:val="20"/>
          <w:szCs w:val="20"/>
        </w:rPr>
        <w:t>Similarities in the profiles of abundance, composition and ratios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indicate that the </w:t>
      </w:r>
      <w:r>
        <w:rPr>
          <w:rFonts w:eastAsia="AdvEPSTIM"/>
          <w:sz w:val="20"/>
          <w:szCs w:val="20"/>
        </w:rPr>
        <w:t xml:space="preserve">Niger Delta crude oils </w:t>
      </w:r>
      <w:r>
        <w:rPr>
          <w:sz w:val="20"/>
          <w:szCs w:val="20"/>
        </w:rPr>
        <w:t xml:space="preserve">are </w:t>
      </w:r>
      <w:r>
        <w:rPr>
          <w:rFonts w:eastAsia="AdvEPSTIM"/>
          <w:sz w:val="20"/>
          <w:szCs w:val="20"/>
        </w:rPr>
        <w:t xml:space="preserve">derived from </w:t>
      </w:r>
      <w:r>
        <w:rPr>
          <w:sz w:val="20"/>
          <w:szCs w:val="20"/>
        </w:rPr>
        <w:t>terrigenous Tertiary deltaic petroleum</w:t>
      </w:r>
      <w:r>
        <w:rPr>
          <w:rFonts w:eastAsia="AdvEPSTIM"/>
          <w:sz w:val="20"/>
          <w:szCs w:val="20"/>
        </w:rPr>
        <w:t xml:space="preserve"> system</w:t>
      </w:r>
      <w:r>
        <w:rPr>
          <w:sz w:val="20"/>
          <w:szCs w:val="20"/>
        </w:rPr>
        <w:t xml:space="preserve">. </w:t>
      </w:r>
      <w:r>
        <w:rPr>
          <w:rFonts w:eastAsia="AdvEPSTIM"/>
          <w:sz w:val="20"/>
          <w:szCs w:val="20"/>
        </w:rPr>
        <w:t>However, s</w:t>
      </w:r>
      <w:r>
        <w:rPr>
          <w:sz w:val="20"/>
          <w:szCs w:val="20"/>
        </w:rPr>
        <w:t>ome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w:t>
      </w:r>
      <w:r>
        <w:rPr>
          <w:sz w:val="20"/>
          <w:szCs w:val="20"/>
        </w:rPr>
        <w:t xml:space="preserve">ratios permitted </w:t>
      </w:r>
      <w:r>
        <w:rPr>
          <w:rFonts w:eastAsia="AdvEPSTIM"/>
          <w:sz w:val="20"/>
          <w:szCs w:val="20"/>
        </w:rPr>
        <w:t xml:space="preserve">differentiation of </w:t>
      </w:r>
      <w:r>
        <w:rPr>
          <w:sz w:val="20"/>
          <w:szCs w:val="20"/>
        </w:rPr>
        <w:t xml:space="preserve">the oil samples and are suggestive as indicator of maturity and source/depositional environment. Multivariate plot showed moderate similarities in paths followed by both oil samples </w:t>
      </w:r>
      <w:r>
        <w:rPr>
          <w:rFonts w:eastAsia="AdvEPSTIM"/>
          <w:sz w:val="20"/>
          <w:szCs w:val="20"/>
        </w:rPr>
        <w:t xml:space="preserve">suggesting </w:t>
      </w:r>
      <w:r>
        <w:rPr>
          <w:sz w:val="20"/>
          <w:szCs w:val="20"/>
        </w:rPr>
        <w:t xml:space="preserve">the </w:t>
      </w:r>
      <w:r>
        <w:rPr>
          <w:rFonts w:eastAsia="AdvEPSTIM"/>
          <w:sz w:val="20"/>
          <w:szCs w:val="20"/>
        </w:rPr>
        <w:t xml:space="preserve">Niger Delta crude oils </w:t>
      </w:r>
      <w:r>
        <w:rPr>
          <w:rFonts w:eastAsia="AdvEPSTIM"/>
          <w:sz w:val="20"/>
          <w:szCs w:val="20"/>
        </w:rPr>
        <w:t xml:space="preserve">were derived from the same </w:t>
      </w:r>
      <w:r>
        <w:rPr>
          <w:bCs/>
          <w:sz w:val="20"/>
          <w:szCs w:val="20"/>
        </w:rPr>
        <w:t xml:space="preserve">terrestrial </w:t>
      </w:r>
      <w:r>
        <w:rPr>
          <w:rFonts w:eastAsia="AdvEPSTIM"/>
          <w:sz w:val="20"/>
          <w:szCs w:val="20"/>
        </w:rPr>
        <w:t>source</w:t>
      </w:r>
      <w:r>
        <w:rPr>
          <w:bCs/>
          <w:sz w:val="20"/>
          <w:szCs w:val="20"/>
        </w:rPr>
        <w:t xml:space="preserve">, </w:t>
      </w:r>
      <w:r>
        <w:rPr>
          <w:rFonts w:eastAsia="AdvEPSTIM"/>
          <w:sz w:val="20"/>
          <w:szCs w:val="20"/>
        </w:rPr>
        <w:t xml:space="preserve">with </w:t>
      </w:r>
      <w:r>
        <w:rPr>
          <w:sz w:val="20"/>
          <w:szCs w:val="20"/>
        </w:rPr>
        <w:t>input from a different source/</w:t>
      </w:r>
      <w:r>
        <w:rPr>
          <w:bCs/>
          <w:sz w:val="20"/>
          <w:szCs w:val="20"/>
        </w:rPr>
        <w:t>depositional environment</w:t>
      </w:r>
      <w:r>
        <w:rPr>
          <w:sz w:val="20"/>
          <w:szCs w:val="20"/>
        </w:rPr>
        <w:t xml:space="preserve">, marine, to </w:t>
      </w:r>
      <w:r>
        <w:rPr>
          <w:bCs/>
          <w:sz w:val="20"/>
          <w:szCs w:val="20"/>
        </w:rPr>
        <w:t xml:space="preserve">one of the </w:t>
      </w:r>
      <w:r>
        <w:rPr>
          <w:sz w:val="20"/>
          <w:szCs w:val="20"/>
        </w:rPr>
        <w:t>crude oils.</w:t>
      </w:r>
    </w:p>
    <w:p w:rsidR="00A839B8" w:rsidRDefault="00E64F33">
      <w:pPr>
        <w:widowControl w:val="0"/>
        <w:wordWrap w:val="0"/>
        <w:snapToGrid w:val="0"/>
        <w:jc w:val="both"/>
        <w:rPr>
          <w:rStyle w:val="Hyperlink"/>
          <w:rFonts w:eastAsia="Times New Roman"/>
          <w:sz w:val="20"/>
          <w:szCs w:val="20"/>
          <w:lang w:eastAsia="zh-CN"/>
        </w:rPr>
      </w:pPr>
      <w:r>
        <w:rPr>
          <w:sz w:val="20"/>
          <w:szCs w:val="20"/>
        </w:rPr>
        <w:t>[</w:t>
      </w:r>
      <w:r>
        <w:rPr>
          <w:sz w:val="20"/>
          <w:szCs w:val="20"/>
        </w:rPr>
        <w:t>Mark Obinna Onyema, Michael Junior Ajie</w:t>
      </w:r>
      <w:r>
        <w:rPr>
          <w:rFonts w:eastAsiaTheme="minorEastAsia"/>
          <w:bCs/>
          <w:sz w:val="20"/>
          <w:szCs w:val="20"/>
          <w:lang w:eastAsia="zh-CN"/>
        </w:rPr>
        <w:t>.</w:t>
      </w:r>
      <w:r>
        <w:rPr>
          <w:b/>
          <w:sz w:val="20"/>
          <w:szCs w:val="20"/>
        </w:rPr>
        <w:t>C</w:t>
      </w:r>
      <w:r>
        <w:rPr>
          <w:b/>
          <w:sz w:val="20"/>
          <w:szCs w:val="20"/>
          <w:vertAlign w:val="subscript"/>
        </w:rPr>
        <w:t>20</w:t>
      </w:r>
      <w:r>
        <w:rPr>
          <w:b/>
          <w:sz w:val="20"/>
          <w:szCs w:val="20"/>
        </w:rPr>
        <w:t xml:space="preserve"> and C</w:t>
      </w:r>
      <w:r>
        <w:rPr>
          <w:b/>
          <w:sz w:val="20"/>
          <w:szCs w:val="20"/>
          <w:vertAlign w:val="subscript"/>
        </w:rPr>
        <w:t>21</w:t>
      </w:r>
      <w:r>
        <w:rPr>
          <w:b/>
          <w:sz w:val="20"/>
          <w:szCs w:val="20"/>
        </w:rPr>
        <w:t xml:space="preserve"> Tricyclic Terpanes in Niger Delta Crude Oils 1: Unusual Distr</w:t>
      </w:r>
      <w:r>
        <w:rPr>
          <w:b/>
          <w:sz w:val="20"/>
          <w:szCs w:val="20"/>
        </w:rPr>
        <w:t>ibution and Characterization</w:t>
      </w:r>
      <w:r>
        <w:rPr>
          <w:b/>
          <w:sz w:val="20"/>
          <w:szCs w:val="20"/>
        </w:rPr>
        <w:t>.</w:t>
      </w:r>
      <w:r>
        <w:rPr>
          <w:sz w:val="20"/>
          <w:szCs w:val="20"/>
        </w:rPr>
        <w:t xml:space="preserve"> </w:t>
      </w:r>
      <w:r>
        <w:rPr>
          <w:rFonts w:eastAsia="Times New Roman"/>
          <w:bCs/>
          <w:i/>
          <w:sz w:val="20"/>
          <w:szCs w:val="20"/>
        </w:rPr>
        <w:t>N Y Sci J</w:t>
      </w:r>
      <w:r>
        <w:rPr>
          <w:rFonts w:eastAsia="Times New Roman"/>
          <w:bCs/>
          <w:sz w:val="20"/>
          <w:szCs w:val="20"/>
        </w:rPr>
        <w:t xml:space="preserve"> </w:t>
      </w:r>
      <w:r>
        <w:rPr>
          <w:sz w:val="20"/>
          <w:szCs w:val="20"/>
        </w:rPr>
        <w:t>20</w:t>
      </w:r>
      <w:r>
        <w:rPr>
          <w:sz w:val="20"/>
          <w:szCs w:val="20"/>
          <w:lang w:eastAsia="zh-CN"/>
        </w:rPr>
        <w:t>23</w:t>
      </w:r>
      <w:r>
        <w:rPr>
          <w:sz w:val="20"/>
          <w:szCs w:val="20"/>
        </w:rPr>
        <w:t>;1</w:t>
      </w:r>
      <w:r>
        <w:rPr>
          <w:sz w:val="20"/>
          <w:szCs w:val="20"/>
          <w:lang w:eastAsia="zh-CN"/>
        </w:rPr>
        <w:t>6</w:t>
      </w:r>
      <w:r>
        <w:rPr>
          <w:sz w:val="20"/>
          <w:szCs w:val="20"/>
        </w:rPr>
        <w:t>(</w:t>
      </w:r>
      <w:r>
        <w:rPr>
          <w:sz w:val="20"/>
          <w:szCs w:val="20"/>
          <w:lang w:eastAsia="zh-CN"/>
        </w:rPr>
        <w:t>5</w:t>
      </w:r>
      <w:r>
        <w:rPr>
          <w:sz w:val="20"/>
          <w:szCs w:val="20"/>
        </w:rPr>
        <w:t>):</w:t>
      </w:r>
      <w:r>
        <w:rPr>
          <w:sz w:val="20"/>
          <w:szCs w:val="20"/>
          <w:lang w:eastAsia="zh-CN"/>
        </w:rPr>
        <w:t>4</w:t>
      </w:r>
      <w:r>
        <w:rPr>
          <w:rFonts w:hint="eastAsia"/>
          <w:sz w:val="20"/>
          <w:szCs w:val="20"/>
          <w:lang w:eastAsia="zh-CN"/>
        </w:rPr>
        <w:t>9</w:t>
      </w:r>
      <w:r>
        <w:rPr>
          <w:sz w:val="20"/>
          <w:szCs w:val="20"/>
          <w:lang w:eastAsia="zh-CN"/>
        </w:rPr>
        <w:t>-</w:t>
      </w:r>
      <w:r>
        <w:rPr>
          <w:rFonts w:hint="eastAsia"/>
          <w:sz w:val="20"/>
          <w:szCs w:val="20"/>
          <w:lang w:eastAsia="zh-CN"/>
        </w:rPr>
        <w:t>55</w:t>
      </w:r>
      <w:r>
        <w:rPr>
          <w:sz w:val="20"/>
          <w:szCs w:val="20"/>
        </w:rPr>
        <w:t xml:space="preserve">]. </w:t>
      </w:r>
      <w:r>
        <w:rPr>
          <w:iCs/>
          <w:color w:val="000000"/>
          <w:sz w:val="20"/>
          <w:szCs w:val="20"/>
          <w:lang w:eastAsia="zh-CN"/>
        </w:rPr>
        <w:t>ISSN 1554-0200 (print); ISSN 2375-723X (online).</w:t>
      </w:r>
      <w:r>
        <w:rPr>
          <w:sz w:val="20"/>
          <w:szCs w:val="20"/>
        </w:rPr>
        <w:t xml:space="preserve"> </w:t>
      </w:r>
      <w:hyperlink r:id="rId9" w:history="1">
        <w:r>
          <w:rPr>
            <w:rStyle w:val="Hyperlink"/>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5</w:t>
      </w:r>
      <w:r>
        <w:rPr>
          <w:color w:val="0000FF"/>
          <w:sz w:val="20"/>
          <w:szCs w:val="20"/>
        </w:rPr>
        <w:t>.</w:t>
      </w:r>
      <w:r>
        <w:rPr>
          <w:color w:val="0000FF"/>
          <w:sz w:val="20"/>
          <w:szCs w:val="20"/>
          <w:u w:val="single"/>
          <w:shd w:val="clear" w:color="auto" w:fill="FFFFFF"/>
        </w:rPr>
        <w:t>doi:</w:t>
      </w:r>
      <w:hyperlink r:id="rId10" w:history="1">
        <w:r>
          <w:rPr>
            <w:rStyle w:val="Hyperlink"/>
            <w:sz w:val="20"/>
            <w:szCs w:val="20"/>
            <w:shd w:val="clear" w:color="auto" w:fill="FFFFFF"/>
          </w:rPr>
          <w:t>10.7537/marsnys160523.05</w:t>
        </w:r>
      </w:hyperlink>
      <w:r>
        <w:rPr>
          <w:color w:val="0000FF"/>
          <w:sz w:val="20"/>
          <w:szCs w:val="20"/>
          <w:u w:val="single"/>
          <w:shd w:val="clear" w:color="auto" w:fill="FFFFFF"/>
          <w:lang w:eastAsia="zh-CN"/>
        </w:rPr>
        <w:t>.</w:t>
      </w:r>
    </w:p>
    <w:p w:rsidR="00A839B8" w:rsidRDefault="00A839B8">
      <w:pPr>
        <w:jc w:val="both"/>
        <w:rPr>
          <w:sz w:val="20"/>
          <w:szCs w:val="20"/>
        </w:rPr>
      </w:pPr>
    </w:p>
    <w:p w:rsidR="00A839B8" w:rsidRDefault="00E64F33">
      <w:pPr>
        <w:jc w:val="both"/>
        <w:rPr>
          <w:sz w:val="20"/>
          <w:szCs w:val="20"/>
        </w:rPr>
      </w:pPr>
      <w:r>
        <w:rPr>
          <w:b/>
          <w:sz w:val="20"/>
          <w:szCs w:val="20"/>
        </w:rPr>
        <w:t xml:space="preserve">Keywords: </w:t>
      </w:r>
      <w:r>
        <w:rPr>
          <w:sz w:val="20"/>
          <w:szCs w:val="20"/>
        </w:rPr>
        <w:t>Tricyclic</w:t>
      </w:r>
      <w:r>
        <w:rPr>
          <w:bCs/>
          <w:sz w:val="20"/>
          <w:szCs w:val="20"/>
        </w:rPr>
        <w:t xml:space="preserve"> </w:t>
      </w:r>
      <w:r>
        <w:rPr>
          <w:sz w:val="20"/>
          <w:szCs w:val="20"/>
        </w:rPr>
        <w:t>terpane;</w:t>
      </w:r>
      <w:r>
        <w:rPr>
          <w:rFonts w:eastAsia="Calibri"/>
          <w:sz w:val="20"/>
          <w:szCs w:val="20"/>
        </w:rPr>
        <w:t xml:space="preserve"> c</w:t>
      </w:r>
      <w:r>
        <w:rPr>
          <w:sz w:val="20"/>
          <w:szCs w:val="20"/>
        </w:rPr>
        <w:t>haracterization;</w:t>
      </w:r>
      <w:r>
        <w:rPr>
          <w:rFonts w:eastAsia="Calibri"/>
          <w:sz w:val="20"/>
          <w:szCs w:val="20"/>
        </w:rPr>
        <w:t xml:space="preserve"> </w:t>
      </w:r>
      <w:r>
        <w:rPr>
          <w:sz w:val="20"/>
          <w:szCs w:val="20"/>
        </w:rPr>
        <w:t>Niger Delta; correlation; crude oil</w:t>
      </w:r>
    </w:p>
    <w:p w:rsidR="00A839B8" w:rsidRDefault="00A839B8">
      <w:pPr>
        <w:jc w:val="both"/>
        <w:rPr>
          <w:b/>
          <w:sz w:val="20"/>
          <w:szCs w:val="20"/>
        </w:rPr>
      </w:pPr>
    </w:p>
    <w:p w:rsidR="00A839B8" w:rsidRDefault="00A839B8">
      <w:pPr>
        <w:jc w:val="both"/>
        <w:rPr>
          <w:b/>
          <w:sz w:val="20"/>
          <w:szCs w:val="20"/>
        </w:rPr>
        <w:sectPr w:rsidR="00A839B8">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49"/>
          <w:cols w:space="720"/>
          <w:titlePg/>
          <w:docGrid w:linePitch="360"/>
        </w:sectPr>
      </w:pPr>
    </w:p>
    <w:p w:rsidR="00A839B8" w:rsidRDefault="00E64F33">
      <w:pPr>
        <w:jc w:val="both"/>
        <w:rPr>
          <w:b/>
          <w:sz w:val="20"/>
          <w:szCs w:val="20"/>
        </w:rPr>
      </w:pPr>
      <w:r>
        <w:rPr>
          <w:b/>
          <w:sz w:val="20"/>
          <w:szCs w:val="20"/>
        </w:rPr>
        <w:lastRenderedPageBreak/>
        <w:t>1. Introduction</w:t>
      </w:r>
    </w:p>
    <w:p w:rsidR="00A839B8" w:rsidRDefault="00E64F33">
      <w:pPr>
        <w:ind w:firstLine="720"/>
        <w:jc w:val="both"/>
        <w:rPr>
          <w:sz w:val="20"/>
          <w:szCs w:val="20"/>
        </w:rPr>
      </w:pPr>
      <w:r>
        <w:rPr>
          <w:sz w:val="20"/>
          <w:szCs w:val="20"/>
        </w:rPr>
        <w:t xml:space="preserve">Tricyclic terpanes are hydrocarbon compounds made up of three fused 6-carbon rings with an alkyl side </w:t>
      </w:r>
      <w:r>
        <w:rPr>
          <w:sz w:val="20"/>
          <w:szCs w:val="20"/>
        </w:rPr>
        <w:t>chain. The most common tricyclic terpanes are cheilanthanes (13-methyl, 14-alkylpodocarpanes), which are generated from cheilanthatriol, a natural product of the plant Cheilanthes farinose (Khan et al., 1971). Other sources of tricyclic terpanes include ba</w:t>
      </w:r>
      <w:r>
        <w:rPr>
          <w:sz w:val="20"/>
          <w:szCs w:val="20"/>
        </w:rPr>
        <w:t>cteria, tasmanite algae which they have been discovered to occur frequently with, and the thermal breakdown of triterpanes in kerogen, where they are cogenerated with related monoaromatic to triaromatic tricyclic hydrocarbons (</w:t>
      </w:r>
      <w:r>
        <w:rPr>
          <w:rFonts w:eastAsia="Calibri"/>
          <w:sz w:val="20"/>
          <w:szCs w:val="20"/>
        </w:rPr>
        <w:t xml:space="preserve">Tissot and Welte, 1984; </w:t>
      </w:r>
      <w:r>
        <w:rPr>
          <w:sz w:val="20"/>
          <w:szCs w:val="20"/>
        </w:rPr>
        <w:t>Revil</w:t>
      </w:r>
      <w:r>
        <w:rPr>
          <w:sz w:val="20"/>
          <w:szCs w:val="20"/>
        </w:rPr>
        <w:t xml:space="preserve">l et al., 1994; </w:t>
      </w:r>
      <w:r>
        <w:rPr>
          <w:rFonts w:eastAsia="Calibri"/>
          <w:sz w:val="20"/>
          <w:szCs w:val="20"/>
        </w:rPr>
        <w:t>Greenwood et al., 2000)</w:t>
      </w:r>
      <w:r>
        <w:rPr>
          <w:sz w:val="20"/>
          <w:szCs w:val="20"/>
        </w:rPr>
        <w:t>.</w:t>
      </w:r>
    </w:p>
    <w:p w:rsidR="00A839B8" w:rsidRDefault="00E64F33">
      <w:pPr>
        <w:ind w:firstLine="720"/>
        <w:jc w:val="both"/>
        <w:rPr>
          <w:sz w:val="20"/>
          <w:szCs w:val="20"/>
          <w:vertAlign w:val="subscript"/>
        </w:rPr>
      </w:pPr>
      <w:r>
        <w:rPr>
          <w:sz w:val="20"/>
          <w:szCs w:val="20"/>
        </w:rPr>
        <w:t xml:space="preserve">Tricyclic terpanes are frequently found in the saturated hydrocarbon fraction of petroleum oils and source rock extracts. They are determined using gas chromatography-mass spectrometry (GC-MS) by utilizing the mass </w:t>
      </w:r>
      <w:r>
        <w:rPr>
          <w:sz w:val="20"/>
          <w:szCs w:val="20"/>
        </w:rPr>
        <w:t>to charge (m/z) 191 fragment ion. The C</w:t>
      </w:r>
      <w:r>
        <w:rPr>
          <w:sz w:val="20"/>
          <w:szCs w:val="20"/>
          <w:vertAlign w:val="subscript"/>
        </w:rPr>
        <w:t>19</w:t>
      </w:r>
      <w:r>
        <w:rPr>
          <w:sz w:val="20"/>
          <w:szCs w:val="20"/>
        </w:rPr>
        <w:t xml:space="preserve"> to C</w:t>
      </w:r>
      <w:r>
        <w:rPr>
          <w:sz w:val="20"/>
          <w:szCs w:val="20"/>
          <w:vertAlign w:val="subscript"/>
        </w:rPr>
        <w:t>29</w:t>
      </w:r>
      <w:r>
        <w:rPr>
          <w:sz w:val="20"/>
          <w:szCs w:val="20"/>
        </w:rPr>
        <w:t xml:space="preserve"> homologous series are often observed in the m/z 191 mass chromatogram, with the higher members up to C</w:t>
      </w:r>
      <w:r>
        <w:rPr>
          <w:sz w:val="20"/>
          <w:szCs w:val="20"/>
          <w:vertAlign w:val="subscript"/>
        </w:rPr>
        <w:t>54</w:t>
      </w:r>
      <w:r>
        <w:rPr>
          <w:sz w:val="20"/>
          <w:szCs w:val="20"/>
        </w:rPr>
        <w:t xml:space="preserve"> obscured by the abundance of hopanes (</w:t>
      </w:r>
      <w:r>
        <w:rPr>
          <w:rFonts w:eastAsia="Calibri"/>
          <w:sz w:val="20"/>
          <w:szCs w:val="20"/>
        </w:rPr>
        <w:t xml:space="preserve">Moldowan et al., 1983; </w:t>
      </w:r>
      <w:r>
        <w:rPr>
          <w:sz w:val="20"/>
          <w:szCs w:val="20"/>
        </w:rPr>
        <w:t>d</w:t>
      </w:r>
      <w:r>
        <w:rPr>
          <w:rFonts w:eastAsia="Calibri"/>
          <w:sz w:val="20"/>
          <w:szCs w:val="20"/>
        </w:rPr>
        <w:t>e Grande et al., 1993).</w:t>
      </w:r>
      <w:r>
        <w:rPr>
          <w:sz w:val="20"/>
          <w:szCs w:val="20"/>
        </w:rPr>
        <w:t xml:space="preserve"> C</w:t>
      </w:r>
      <w:r>
        <w:rPr>
          <w:sz w:val="20"/>
          <w:szCs w:val="20"/>
          <w:vertAlign w:val="subscript"/>
        </w:rPr>
        <w:t>19</w:t>
      </w:r>
      <w:r>
        <w:rPr>
          <w:sz w:val="20"/>
          <w:szCs w:val="20"/>
        </w:rPr>
        <w:t xml:space="preserve"> to C</w:t>
      </w:r>
      <w:r>
        <w:rPr>
          <w:sz w:val="20"/>
          <w:szCs w:val="20"/>
          <w:vertAlign w:val="subscript"/>
        </w:rPr>
        <w:t xml:space="preserve">24 </w:t>
      </w:r>
      <w:r>
        <w:rPr>
          <w:sz w:val="20"/>
          <w:szCs w:val="20"/>
        </w:rPr>
        <w:t>tricy</w:t>
      </w:r>
      <w:r>
        <w:rPr>
          <w:sz w:val="20"/>
          <w:szCs w:val="20"/>
        </w:rPr>
        <w:t xml:space="preserve">clic terpanes usually show a </w:t>
      </w:r>
      <w:r>
        <w:rPr>
          <w:sz w:val="20"/>
          <w:szCs w:val="20"/>
        </w:rPr>
        <w:lastRenderedPageBreak/>
        <w:t>single peak on the mass chromatogram and a pair of peaks for C</w:t>
      </w:r>
      <w:r>
        <w:rPr>
          <w:sz w:val="20"/>
          <w:szCs w:val="20"/>
          <w:vertAlign w:val="subscript"/>
        </w:rPr>
        <w:t>25</w:t>
      </w:r>
      <w:r>
        <w:rPr>
          <w:sz w:val="20"/>
          <w:szCs w:val="20"/>
        </w:rPr>
        <w:t xml:space="preserve"> and higher (Peters, 2000; Younes, 2001; </w:t>
      </w:r>
      <w:r>
        <w:rPr>
          <w:rFonts w:eastAsia="Calibri"/>
          <w:sz w:val="20"/>
          <w:szCs w:val="20"/>
        </w:rPr>
        <w:t>Wang et al., 2006)</w:t>
      </w:r>
      <w:r>
        <w:rPr>
          <w:sz w:val="20"/>
          <w:szCs w:val="20"/>
        </w:rPr>
        <w:t>.</w:t>
      </w:r>
      <w:r>
        <w:rPr>
          <w:sz w:val="20"/>
          <w:szCs w:val="20"/>
          <w:vertAlign w:val="subscript"/>
        </w:rPr>
        <w:t xml:space="preserve"> </w:t>
      </w:r>
      <w:r>
        <w:rPr>
          <w:sz w:val="20"/>
          <w:szCs w:val="20"/>
        </w:rPr>
        <w:t>This is due to the presence of a chiral centre at C-22 in C</w:t>
      </w:r>
      <w:r>
        <w:rPr>
          <w:sz w:val="20"/>
          <w:szCs w:val="20"/>
          <w:vertAlign w:val="subscript"/>
        </w:rPr>
        <w:t>25</w:t>
      </w:r>
      <w:r>
        <w:rPr>
          <w:sz w:val="20"/>
          <w:szCs w:val="20"/>
        </w:rPr>
        <w:t xml:space="preserve"> and higher tricyclic terpanes, resulting</w:t>
      </w:r>
      <w:r>
        <w:rPr>
          <w:sz w:val="20"/>
          <w:szCs w:val="20"/>
        </w:rPr>
        <w:t xml:space="preserve"> in two peaks, R and S isomers (</w:t>
      </w:r>
      <w:r>
        <w:rPr>
          <w:rFonts w:eastAsia="Calibri"/>
          <w:sz w:val="20"/>
          <w:szCs w:val="20"/>
        </w:rPr>
        <w:t>Ekweozor and Strausz, 198</w:t>
      </w:r>
      <w:r>
        <w:rPr>
          <w:sz w:val="20"/>
          <w:szCs w:val="20"/>
        </w:rPr>
        <w:t>3).</w:t>
      </w:r>
    </w:p>
    <w:p w:rsidR="00A839B8" w:rsidRDefault="00E64F33">
      <w:pPr>
        <w:ind w:firstLine="720"/>
        <w:jc w:val="both"/>
        <w:rPr>
          <w:sz w:val="20"/>
          <w:szCs w:val="20"/>
        </w:rPr>
      </w:pPr>
      <w:r>
        <w:rPr>
          <w:sz w:val="20"/>
          <w:szCs w:val="20"/>
        </w:rPr>
        <w:t xml:space="preserve">   Tricyclic terpanes have been used to successfully correlate crude oils and source-rock extracts, predict source-rock characteristics, and assess thermal maturity and biodegradationb (</w:t>
      </w:r>
      <w:r>
        <w:rPr>
          <w:rFonts w:eastAsia="Calibri"/>
          <w:sz w:val="20"/>
          <w:szCs w:val="20"/>
        </w:rPr>
        <w:t>Seifert a</w:t>
      </w:r>
      <w:r>
        <w:rPr>
          <w:rFonts w:eastAsia="Calibri"/>
          <w:sz w:val="20"/>
          <w:szCs w:val="20"/>
        </w:rPr>
        <w:t xml:space="preserve">nd Moldowan, 1981; </w:t>
      </w:r>
      <w:r>
        <w:rPr>
          <w:sz w:val="20"/>
          <w:szCs w:val="20"/>
        </w:rPr>
        <w:t>Zumberge</w:t>
      </w:r>
      <w:r>
        <w:rPr>
          <w:iCs/>
          <w:sz w:val="20"/>
          <w:szCs w:val="20"/>
        </w:rPr>
        <w:t>,</w:t>
      </w:r>
      <w:r>
        <w:rPr>
          <w:sz w:val="20"/>
          <w:szCs w:val="20"/>
        </w:rPr>
        <w:t xml:space="preserve"> 1987; </w:t>
      </w:r>
      <w:r>
        <w:rPr>
          <w:rFonts w:eastAsia="Calibri"/>
          <w:sz w:val="20"/>
          <w:szCs w:val="20"/>
        </w:rPr>
        <w:t>Peters and Moldowan, 1993)</w:t>
      </w:r>
      <w:r>
        <w:rPr>
          <w:sz w:val="20"/>
          <w:szCs w:val="20"/>
        </w:rPr>
        <w:t>. Crude oils from the Niger Delta region of southern Nigeria have been characterized and correlated using their bulk properties, light hydrocarbons, aliphatic hydrocarbons, triterpanes, alkylated</w:t>
      </w:r>
      <w:r>
        <w:rPr>
          <w:sz w:val="20"/>
          <w:szCs w:val="20"/>
        </w:rPr>
        <w:t xml:space="preserve"> polycyclic aromatic hydrocarbons (Alkyl-PAHs) and aromatic steranes (</w:t>
      </w:r>
      <w:r>
        <w:rPr>
          <w:rFonts w:eastAsia="Calibri"/>
          <w:sz w:val="20"/>
          <w:szCs w:val="20"/>
        </w:rPr>
        <w:t xml:space="preserve">Ekweozor et al., 1979; Eneogwe, 2004; Sonibare et al., 2008; Onyema, and Osuji, 2015; Onyema et al., 2018; </w:t>
      </w:r>
      <w:r>
        <w:rPr>
          <w:rFonts w:eastAsia="Calibri"/>
          <w:bCs/>
          <w:sz w:val="20"/>
          <w:szCs w:val="20"/>
        </w:rPr>
        <w:t xml:space="preserve">Okoroh et al., </w:t>
      </w:r>
      <w:r>
        <w:rPr>
          <w:rFonts w:eastAsia="Calibri"/>
          <w:sz w:val="20"/>
          <w:szCs w:val="20"/>
        </w:rPr>
        <w:t xml:space="preserve">2020). </w:t>
      </w:r>
      <w:r>
        <w:rPr>
          <w:sz w:val="20"/>
          <w:szCs w:val="20"/>
        </w:rPr>
        <w:t>This study investigates the occurrence and distribution o</w:t>
      </w:r>
      <w:r>
        <w:rPr>
          <w:sz w:val="20"/>
          <w:szCs w:val="20"/>
        </w:rPr>
        <w:t>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 Niger Delta crude oils. Furthermore, the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will be characterized with a view to providing another geochemical means for crude oil correlation studies.</w:t>
      </w:r>
    </w:p>
    <w:p w:rsidR="00A839B8" w:rsidRDefault="00A839B8">
      <w:pPr>
        <w:jc w:val="both"/>
        <w:rPr>
          <w:b/>
          <w:sz w:val="20"/>
          <w:szCs w:val="20"/>
        </w:rPr>
      </w:pPr>
    </w:p>
    <w:p w:rsidR="00A839B8" w:rsidRDefault="00E64F33">
      <w:pPr>
        <w:jc w:val="both"/>
        <w:rPr>
          <w:b/>
          <w:sz w:val="20"/>
          <w:szCs w:val="20"/>
        </w:rPr>
      </w:pPr>
      <w:r>
        <w:rPr>
          <w:b/>
          <w:sz w:val="20"/>
          <w:szCs w:val="20"/>
        </w:rPr>
        <w:lastRenderedPageBreak/>
        <w:t xml:space="preserve">2. Material and Methods </w:t>
      </w:r>
    </w:p>
    <w:p w:rsidR="00A839B8" w:rsidRDefault="00E64F33">
      <w:pPr>
        <w:jc w:val="both"/>
        <w:rPr>
          <w:i/>
          <w:sz w:val="20"/>
          <w:szCs w:val="20"/>
        </w:rPr>
      </w:pPr>
      <w:r>
        <w:rPr>
          <w:b/>
          <w:i/>
          <w:sz w:val="20"/>
          <w:szCs w:val="20"/>
        </w:rPr>
        <w:t>2.1. Sample co</w:t>
      </w:r>
      <w:r>
        <w:rPr>
          <w:b/>
          <w:i/>
          <w:sz w:val="20"/>
          <w:szCs w:val="20"/>
        </w:rPr>
        <w:t>llection</w:t>
      </w:r>
    </w:p>
    <w:p w:rsidR="00A839B8" w:rsidRDefault="00E64F33">
      <w:pPr>
        <w:ind w:firstLine="720"/>
        <w:jc w:val="both"/>
        <w:rPr>
          <w:sz w:val="20"/>
          <w:szCs w:val="20"/>
        </w:rPr>
      </w:pPr>
      <w:r>
        <w:rPr>
          <w:rFonts w:eastAsia="Calibri"/>
          <w:sz w:val="20"/>
          <w:szCs w:val="20"/>
          <w:lang w:eastAsia="en-US"/>
        </w:rPr>
        <w:t xml:space="preserve">The </w:t>
      </w:r>
      <w:r>
        <w:rPr>
          <w:sz w:val="20"/>
          <w:szCs w:val="20"/>
        </w:rPr>
        <w:t xml:space="preserve">Niger Delta region is located in southern Nigeria at the apex of the Gulf of Guinea between longitudes 5°- 8° E and latitudes 3° - 6° N. </w:t>
      </w:r>
      <w:r>
        <w:rPr>
          <w:rFonts w:eastAsia="Calibri"/>
          <w:sz w:val="20"/>
          <w:szCs w:val="20"/>
          <w:lang w:eastAsia="en-US"/>
        </w:rPr>
        <w:t>The region covers an area of about 75,000 km</w:t>
      </w:r>
      <w:r>
        <w:rPr>
          <w:rFonts w:eastAsia="Calibri"/>
          <w:sz w:val="20"/>
          <w:szCs w:val="20"/>
          <w:vertAlign w:val="superscript"/>
          <w:lang w:eastAsia="en-US"/>
        </w:rPr>
        <w:t>2</w:t>
      </w:r>
      <w:r>
        <w:rPr>
          <w:rFonts w:eastAsia="Calibri"/>
          <w:sz w:val="20"/>
          <w:szCs w:val="20"/>
          <w:lang w:eastAsia="en-US"/>
        </w:rPr>
        <w:t xml:space="preserve"> and was </w:t>
      </w:r>
      <w:r>
        <w:rPr>
          <w:sz w:val="20"/>
          <w:szCs w:val="20"/>
        </w:rPr>
        <w:t xml:space="preserve">formed from the late Cretaceous </w:t>
      </w:r>
      <w:r>
        <w:rPr>
          <w:rFonts w:eastAsia="Calibri"/>
          <w:sz w:val="20"/>
          <w:szCs w:val="20"/>
          <w:lang w:eastAsia="en-US"/>
        </w:rPr>
        <w:t>to Recent age</w:t>
      </w:r>
      <w:r>
        <w:rPr>
          <w:sz w:val="20"/>
          <w:szCs w:val="20"/>
        </w:rPr>
        <w:t xml:space="preserve"> with depositions of sediments south westward into the Gulf of Guinea (</w:t>
      </w:r>
      <w:r>
        <w:rPr>
          <w:rFonts w:eastAsia="Calibri"/>
          <w:sz w:val="20"/>
          <w:szCs w:val="20"/>
        </w:rPr>
        <w:t>Short and Stauble</w:t>
      </w:r>
      <w:r>
        <w:rPr>
          <w:rFonts w:eastAsia="Calibri"/>
          <w:iCs/>
          <w:sz w:val="20"/>
          <w:szCs w:val="20"/>
        </w:rPr>
        <w:t xml:space="preserve">, </w:t>
      </w:r>
      <w:r>
        <w:rPr>
          <w:rFonts w:eastAsia="Calibri"/>
          <w:sz w:val="20"/>
          <w:szCs w:val="20"/>
        </w:rPr>
        <w:t>1967)</w:t>
      </w:r>
      <w:r>
        <w:rPr>
          <w:rFonts w:eastAsia="Calibri"/>
          <w:sz w:val="20"/>
          <w:szCs w:val="20"/>
          <w:lang w:eastAsia="en-US"/>
        </w:rPr>
        <w:t>. C</w:t>
      </w:r>
      <w:r>
        <w:rPr>
          <w:sz w:val="20"/>
          <w:szCs w:val="20"/>
        </w:rPr>
        <w:t>rude oil samples (one each) were obtained from oil producing fields (</w:t>
      </w:r>
      <w:r>
        <w:rPr>
          <w:rFonts w:eastAsia="Calibri"/>
          <w:sz w:val="20"/>
          <w:szCs w:val="20"/>
          <w:lang w:eastAsia="en-US"/>
        </w:rPr>
        <w:t xml:space="preserve">onshore) in </w:t>
      </w:r>
      <w:r>
        <w:rPr>
          <w:sz w:val="20"/>
          <w:szCs w:val="20"/>
        </w:rPr>
        <w:t xml:space="preserve">Rivers and Delta states, both located in </w:t>
      </w:r>
      <w:r>
        <w:rPr>
          <w:rFonts w:eastAsia="Calibri"/>
          <w:sz w:val="20"/>
          <w:szCs w:val="20"/>
          <w:lang w:eastAsia="en-US"/>
        </w:rPr>
        <w:t xml:space="preserve">the </w:t>
      </w:r>
      <w:r>
        <w:rPr>
          <w:sz w:val="20"/>
          <w:szCs w:val="20"/>
        </w:rPr>
        <w:t>Niger Delta region. The crude oi</w:t>
      </w:r>
      <w:r>
        <w:rPr>
          <w:sz w:val="20"/>
          <w:szCs w:val="20"/>
        </w:rPr>
        <w:t>l samples were obtained with the assistance of field technicians, labelled appropriately (</w:t>
      </w:r>
      <w:r>
        <w:rPr>
          <w:bCs/>
          <w:sz w:val="20"/>
          <w:szCs w:val="20"/>
        </w:rPr>
        <w:t xml:space="preserve">RV-35 and DT-80, </w:t>
      </w:r>
      <w:r>
        <w:rPr>
          <w:sz w:val="20"/>
          <w:szCs w:val="20"/>
        </w:rPr>
        <w:t>respectively</w:t>
      </w:r>
      <w:r>
        <w:rPr>
          <w:bCs/>
          <w:sz w:val="20"/>
          <w:szCs w:val="20"/>
        </w:rPr>
        <w:t xml:space="preserve">) </w:t>
      </w:r>
      <w:r>
        <w:rPr>
          <w:sz w:val="20"/>
          <w:szCs w:val="20"/>
        </w:rPr>
        <w:t>and taken to the laboratory for analysis.</w:t>
      </w:r>
    </w:p>
    <w:p w:rsidR="00A839B8" w:rsidRDefault="00A839B8">
      <w:pPr>
        <w:jc w:val="both"/>
        <w:rPr>
          <w:sz w:val="20"/>
          <w:szCs w:val="20"/>
        </w:rPr>
      </w:pPr>
    </w:p>
    <w:p w:rsidR="00A839B8" w:rsidRDefault="00E64F33">
      <w:pPr>
        <w:jc w:val="both"/>
        <w:rPr>
          <w:b/>
          <w:i/>
          <w:sz w:val="20"/>
          <w:szCs w:val="20"/>
        </w:rPr>
      </w:pPr>
      <w:r>
        <w:rPr>
          <w:b/>
          <w:i/>
          <w:sz w:val="20"/>
          <w:szCs w:val="20"/>
        </w:rPr>
        <w:t xml:space="preserve">2.2. </w:t>
      </w:r>
      <w:r>
        <w:rPr>
          <w:rFonts w:eastAsia="Calibri"/>
          <w:b/>
          <w:i/>
          <w:sz w:val="20"/>
          <w:szCs w:val="20"/>
          <w:lang w:eastAsia="en-US"/>
        </w:rPr>
        <w:t xml:space="preserve">Crude oil </w:t>
      </w:r>
      <w:r>
        <w:rPr>
          <w:b/>
          <w:i/>
          <w:sz w:val="20"/>
          <w:szCs w:val="20"/>
        </w:rPr>
        <w:t>fractionation</w:t>
      </w:r>
    </w:p>
    <w:p w:rsidR="00A839B8" w:rsidRDefault="00E64F33">
      <w:pPr>
        <w:ind w:firstLine="720"/>
        <w:jc w:val="both"/>
        <w:rPr>
          <w:sz w:val="20"/>
          <w:szCs w:val="20"/>
        </w:rPr>
      </w:pPr>
      <w:r>
        <w:rPr>
          <w:sz w:val="20"/>
          <w:szCs w:val="20"/>
        </w:rPr>
        <w:t>50 mg of each crude oil sample was weighed into a labelled centrifuge tube and excess pentane added. The mixture was allowed to stand for three hours to precipitate the asphaltenes, and centrifuged for 30 minutes to coalesce the precipitated asphaltenes. T</w:t>
      </w:r>
      <w:r>
        <w:rPr>
          <w:sz w:val="20"/>
          <w:szCs w:val="20"/>
        </w:rPr>
        <w:t xml:space="preserve">he pentane soluble fraction was decanted, concentrated with nitrogen gas at 40°C, and put on top a glass column (30 cm x 1 cm) packed with silica and stuffed with glass wool at the bottom. </w:t>
      </w:r>
      <w:r>
        <w:rPr>
          <w:i/>
          <w:sz w:val="20"/>
          <w:szCs w:val="20"/>
        </w:rPr>
        <w:t>n</w:t>
      </w:r>
      <w:r>
        <w:rPr>
          <w:sz w:val="20"/>
          <w:szCs w:val="20"/>
        </w:rPr>
        <w:t xml:space="preserve">-hexane was poured into the packed column to elute the saturates. </w:t>
      </w:r>
      <w:r>
        <w:rPr>
          <w:sz w:val="20"/>
          <w:szCs w:val="20"/>
        </w:rPr>
        <w:t>The eluent (</w:t>
      </w:r>
      <w:r>
        <w:rPr>
          <w:i/>
          <w:sz w:val="20"/>
          <w:szCs w:val="20"/>
        </w:rPr>
        <w:t>n</w:t>
      </w:r>
      <w:r>
        <w:rPr>
          <w:sz w:val="20"/>
          <w:szCs w:val="20"/>
        </w:rPr>
        <w:t>-hexane and saturates) was concentrated using nitrogen gas at 40°C.</w:t>
      </w:r>
    </w:p>
    <w:p w:rsidR="00A839B8" w:rsidRDefault="00A839B8">
      <w:pPr>
        <w:jc w:val="both"/>
        <w:rPr>
          <w:b/>
          <w:i/>
          <w:sz w:val="20"/>
          <w:szCs w:val="20"/>
        </w:rPr>
      </w:pPr>
    </w:p>
    <w:p w:rsidR="00A839B8" w:rsidRDefault="00E64F33">
      <w:pPr>
        <w:jc w:val="both"/>
        <w:rPr>
          <w:b/>
          <w:i/>
          <w:sz w:val="20"/>
          <w:szCs w:val="20"/>
        </w:rPr>
      </w:pPr>
      <w:r>
        <w:rPr>
          <w:b/>
          <w:i/>
          <w:sz w:val="20"/>
          <w:szCs w:val="20"/>
        </w:rPr>
        <w:t xml:space="preserve">2.3. </w:t>
      </w:r>
      <w:r>
        <w:rPr>
          <w:rFonts w:eastAsia="Calibri"/>
          <w:b/>
          <w:i/>
          <w:sz w:val="20"/>
          <w:szCs w:val="20"/>
          <w:lang w:eastAsia="en-US"/>
        </w:rPr>
        <w:t>Gas Chromatography-Mass Spectrometry (GC-MS) Analysis</w:t>
      </w:r>
    </w:p>
    <w:p w:rsidR="00A839B8" w:rsidRDefault="00E64F33">
      <w:pPr>
        <w:ind w:firstLine="720"/>
        <w:jc w:val="both"/>
        <w:rPr>
          <w:rFonts w:eastAsia="Calibri"/>
          <w:sz w:val="20"/>
          <w:szCs w:val="20"/>
          <w:lang w:eastAsia="en-US"/>
        </w:rPr>
      </w:pPr>
      <w:r>
        <w:rPr>
          <w:rFonts w:eastAsia="Calibri"/>
          <w:sz w:val="20"/>
          <w:szCs w:val="20"/>
          <w:lang w:eastAsia="en-US"/>
        </w:rPr>
        <w:t xml:space="preserve">The saturate fraction of the crude oil samples were analyzed on an </w:t>
      </w:r>
      <w:r>
        <w:rPr>
          <w:sz w:val="20"/>
          <w:szCs w:val="20"/>
        </w:rPr>
        <w:t xml:space="preserve">Agilent 7890A </w:t>
      </w:r>
      <w:r>
        <w:rPr>
          <w:rFonts w:eastAsia="Calibri"/>
          <w:sz w:val="20"/>
          <w:szCs w:val="20"/>
          <w:lang w:eastAsia="en-US"/>
        </w:rPr>
        <w:t xml:space="preserve">gas chromatograph </w:t>
      </w:r>
      <w:r>
        <w:rPr>
          <w:sz w:val="20"/>
          <w:szCs w:val="20"/>
        </w:rPr>
        <w:t xml:space="preserve">(GC) system </w:t>
      </w:r>
      <w:r>
        <w:rPr>
          <w:rFonts w:eastAsia="Calibri"/>
          <w:sz w:val="20"/>
          <w:szCs w:val="20"/>
          <w:lang w:eastAsia="en-US"/>
        </w:rPr>
        <w:t>equi</w:t>
      </w:r>
      <w:r>
        <w:rPr>
          <w:rFonts w:eastAsia="Calibri"/>
          <w:sz w:val="20"/>
          <w:szCs w:val="20"/>
          <w:lang w:eastAsia="en-US"/>
        </w:rPr>
        <w:t xml:space="preserve">pped with a </w:t>
      </w:r>
      <w:r>
        <w:rPr>
          <w:sz w:val="20"/>
          <w:szCs w:val="20"/>
        </w:rPr>
        <w:t xml:space="preserve">HP-5 silica capillary column (50 m x 320 μm </w:t>
      </w:r>
      <w:r>
        <w:rPr>
          <w:rFonts w:eastAsia="Calibri"/>
          <w:sz w:val="20"/>
          <w:szCs w:val="20"/>
          <w:lang w:eastAsia="en-US"/>
        </w:rPr>
        <w:t xml:space="preserve">i.d </w:t>
      </w:r>
      <w:r>
        <w:rPr>
          <w:sz w:val="20"/>
          <w:szCs w:val="20"/>
        </w:rPr>
        <w:t>and 0.25μm film thickness</w:t>
      </w:r>
      <w:r>
        <w:rPr>
          <w:rFonts w:eastAsia="Calibri"/>
          <w:sz w:val="20"/>
          <w:szCs w:val="20"/>
          <w:lang w:eastAsia="en-US"/>
        </w:rPr>
        <w:t xml:space="preserve">) and an </w:t>
      </w:r>
      <w:r>
        <w:rPr>
          <w:sz w:val="20"/>
          <w:szCs w:val="20"/>
        </w:rPr>
        <w:t xml:space="preserve">Agilent </w:t>
      </w:r>
      <w:r>
        <w:rPr>
          <w:rFonts w:eastAsia="Calibri"/>
          <w:sz w:val="20"/>
          <w:szCs w:val="20"/>
          <w:lang w:eastAsia="en-US"/>
        </w:rPr>
        <w:t>5975 mass selective detector (</w:t>
      </w:r>
      <w:r>
        <w:rPr>
          <w:sz w:val="20"/>
          <w:szCs w:val="20"/>
        </w:rPr>
        <w:t>MSD</w:t>
      </w:r>
      <w:r>
        <w:rPr>
          <w:rFonts w:eastAsia="Calibri"/>
          <w:sz w:val="20"/>
          <w:szCs w:val="20"/>
          <w:lang w:eastAsia="en-US"/>
        </w:rPr>
        <w:t xml:space="preserve">). An </w:t>
      </w:r>
      <w:r>
        <w:rPr>
          <w:rFonts w:eastAsia="AdvOT863180fb"/>
          <w:sz w:val="20"/>
          <w:szCs w:val="20"/>
          <w:lang w:eastAsia="en-US"/>
        </w:rPr>
        <w:t>automatic liquid sampler (G4513A) was used to inject 1 microliter of the saturate fraction into the GC capillary co</w:t>
      </w:r>
      <w:r>
        <w:rPr>
          <w:rFonts w:eastAsia="AdvOT863180fb"/>
          <w:sz w:val="20"/>
          <w:szCs w:val="20"/>
          <w:lang w:eastAsia="en-US"/>
        </w:rPr>
        <w:t>lumn in splitless mode. The GC oven was set to an initial temperature of 80</w:t>
      </w:r>
      <w:r>
        <w:rPr>
          <w:sz w:val="20"/>
          <w:szCs w:val="20"/>
        </w:rPr>
        <w:t xml:space="preserve">°C </w:t>
      </w:r>
      <w:r>
        <w:rPr>
          <w:rFonts w:eastAsia="Calibri"/>
          <w:sz w:val="20"/>
          <w:szCs w:val="20"/>
          <w:lang w:eastAsia="en-US"/>
        </w:rPr>
        <w:t>for 5 min.</w:t>
      </w:r>
      <w:r>
        <w:rPr>
          <w:rFonts w:eastAsia="AdvOT863180fb"/>
          <w:sz w:val="20"/>
          <w:szCs w:val="20"/>
          <w:lang w:eastAsia="en-US"/>
        </w:rPr>
        <w:t>, then ramped to 300</w:t>
      </w:r>
      <w:r>
        <w:rPr>
          <w:sz w:val="20"/>
          <w:szCs w:val="20"/>
        </w:rPr>
        <w:t xml:space="preserve">°C </w:t>
      </w:r>
      <w:r>
        <w:rPr>
          <w:rFonts w:eastAsia="AdvOT863180fb"/>
          <w:sz w:val="20"/>
          <w:szCs w:val="20"/>
          <w:lang w:eastAsia="en-US"/>
        </w:rPr>
        <w:t>at a rate of 4</w:t>
      </w:r>
      <w:r>
        <w:rPr>
          <w:sz w:val="20"/>
          <w:szCs w:val="20"/>
        </w:rPr>
        <w:t>°C</w:t>
      </w:r>
      <w:r>
        <w:rPr>
          <w:rFonts w:eastAsia="AdvOT863180fb"/>
          <w:sz w:val="20"/>
          <w:szCs w:val="20"/>
          <w:lang w:eastAsia="en-US"/>
        </w:rPr>
        <w:t xml:space="preserve"> /min. and held at this temperature for 30 min. The GC </w:t>
      </w:r>
      <w:r>
        <w:rPr>
          <w:rFonts w:eastAsia="Calibri"/>
          <w:sz w:val="20"/>
          <w:szCs w:val="20"/>
          <w:lang w:eastAsia="en-US"/>
        </w:rPr>
        <w:t>analyses of the samples were monitored at the mass to charge (</w:t>
      </w:r>
      <w:r>
        <w:rPr>
          <w:rFonts w:eastAsia="AdvOT863180fb"/>
          <w:sz w:val="20"/>
          <w:szCs w:val="20"/>
          <w:lang w:eastAsia="en-US"/>
        </w:rPr>
        <w:t xml:space="preserve">m/z) 191 </w:t>
      </w:r>
      <w:r>
        <w:rPr>
          <w:rFonts w:eastAsia="Calibri"/>
          <w:sz w:val="20"/>
          <w:szCs w:val="20"/>
          <w:lang w:eastAsia="en-US"/>
        </w:rPr>
        <w:t>fra</w:t>
      </w:r>
      <w:r>
        <w:rPr>
          <w:rFonts w:eastAsia="Calibri"/>
          <w:sz w:val="20"/>
          <w:szCs w:val="20"/>
          <w:lang w:eastAsia="en-US"/>
        </w:rPr>
        <w:t>gmentation ion.</w:t>
      </w:r>
      <w:r>
        <w:rPr>
          <w:rFonts w:eastAsia="AdvOT863180fb"/>
          <w:sz w:val="20"/>
          <w:szCs w:val="20"/>
          <w:lang w:eastAsia="en-US"/>
        </w:rPr>
        <w:t xml:space="preserve"> </w:t>
      </w:r>
      <w:r>
        <w:rPr>
          <w:rFonts w:eastAsia="Calibri"/>
          <w:sz w:val="20"/>
          <w:szCs w:val="20"/>
          <w:lang w:eastAsia="en-US"/>
        </w:rPr>
        <w:t xml:space="preserve">Quantification of each peak was obtained by area integration which was processed by Chemstation OPEN LAB CDS software. </w:t>
      </w:r>
    </w:p>
    <w:p w:rsidR="00A839B8" w:rsidRDefault="00A839B8">
      <w:pPr>
        <w:jc w:val="both"/>
        <w:rPr>
          <w:rFonts w:eastAsia="Calibri"/>
          <w:sz w:val="20"/>
          <w:szCs w:val="20"/>
          <w:lang w:eastAsia="en-US"/>
        </w:rPr>
      </w:pPr>
    </w:p>
    <w:p w:rsidR="00A839B8" w:rsidRDefault="00E64F33">
      <w:pPr>
        <w:jc w:val="both"/>
        <w:rPr>
          <w:b/>
          <w:sz w:val="20"/>
          <w:szCs w:val="20"/>
        </w:rPr>
      </w:pPr>
      <w:r>
        <w:rPr>
          <w:b/>
          <w:sz w:val="20"/>
          <w:szCs w:val="20"/>
        </w:rPr>
        <w:t>3. 3. Results and Discussion</w:t>
      </w:r>
    </w:p>
    <w:p w:rsidR="00A839B8" w:rsidRDefault="00E64F33">
      <w:pPr>
        <w:rPr>
          <w:b/>
          <w:i/>
          <w:sz w:val="20"/>
          <w:szCs w:val="20"/>
        </w:rPr>
      </w:pPr>
      <w:r>
        <w:rPr>
          <w:b/>
          <w:i/>
          <w:sz w:val="20"/>
          <w:szCs w:val="20"/>
        </w:rPr>
        <w:t xml:space="preserve">3.1. </w:t>
      </w:r>
      <w:r>
        <w:rPr>
          <w:rFonts w:eastAsia="Calibri"/>
          <w:b/>
          <w:i/>
          <w:sz w:val="20"/>
          <w:szCs w:val="20"/>
          <w:lang w:eastAsia="en-US"/>
        </w:rPr>
        <w:t xml:space="preserve">Distribution of </w:t>
      </w:r>
      <w:r>
        <w:rPr>
          <w:b/>
          <w:i/>
          <w:sz w:val="20"/>
          <w:szCs w:val="20"/>
        </w:rPr>
        <w:t>C</w:t>
      </w:r>
      <w:r>
        <w:rPr>
          <w:b/>
          <w:i/>
          <w:sz w:val="20"/>
          <w:szCs w:val="20"/>
          <w:vertAlign w:val="subscript"/>
        </w:rPr>
        <w:t>20</w:t>
      </w:r>
      <w:r>
        <w:rPr>
          <w:b/>
          <w:i/>
          <w:sz w:val="20"/>
          <w:szCs w:val="20"/>
        </w:rPr>
        <w:t xml:space="preserve"> and C</w:t>
      </w:r>
      <w:r>
        <w:rPr>
          <w:b/>
          <w:i/>
          <w:sz w:val="20"/>
          <w:szCs w:val="20"/>
          <w:vertAlign w:val="subscript"/>
        </w:rPr>
        <w:t>21</w:t>
      </w:r>
      <w:r>
        <w:rPr>
          <w:b/>
          <w:i/>
          <w:sz w:val="20"/>
          <w:szCs w:val="20"/>
        </w:rPr>
        <w:t xml:space="preserve"> Tricyclic Terpanes</w:t>
      </w:r>
    </w:p>
    <w:p w:rsidR="00A839B8" w:rsidRDefault="00E64F33">
      <w:pPr>
        <w:ind w:firstLine="720"/>
        <w:jc w:val="both"/>
        <w:rPr>
          <w:sz w:val="20"/>
          <w:szCs w:val="20"/>
        </w:rPr>
      </w:pPr>
      <w:r>
        <w:rPr>
          <w:sz w:val="20"/>
          <w:szCs w:val="20"/>
        </w:rPr>
        <w:t xml:space="preserve">Comparing the mass chromatograms (m/z 191) of the oil samples to </w:t>
      </w:r>
      <w:r>
        <w:rPr>
          <w:rFonts w:eastAsia="AdvOT863180fb"/>
          <w:sz w:val="20"/>
          <w:szCs w:val="20"/>
          <w:lang w:eastAsia="en-US"/>
        </w:rPr>
        <w:t>that of related literatures, t</w:t>
      </w:r>
      <w:r>
        <w:rPr>
          <w:sz w:val="20"/>
          <w:szCs w:val="20"/>
        </w:rPr>
        <w:t>welve (12) peaks were selected as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(figs 1 and 2). The 12 peaks selected were well-resolved and eluted from the GC between 21 and 2</w:t>
      </w:r>
      <w:r>
        <w:rPr>
          <w:sz w:val="20"/>
          <w:szCs w:val="20"/>
        </w:rPr>
        <w:t xml:space="preserve">5 minutes. </w:t>
      </w:r>
    </w:p>
    <w:p w:rsidR="00A839B8" w:rsidRDefault="00A839B8">
      <w:pPr>
        <w:jc w:val="both"/>
        <w:rPr>
          <w:sz w:val="20"/>
          <w:szCs w:val="20"/>
        </w:rPr>
        <w:sectPr w:rsidR="00A839B8">
          <w:footnotePr>
            <w:pos w:val="beneathText"/>
          </w:footnotePr>
          <w:type w:val="continuous"/>
          <w:pgSz w:w="12240" w:h="15840"/>
          <w:pgMar w:top="1440" w:right="1440" w:bottom="1440" w:left="1440" w:header="720" w:footer="720" w:gutter="0"/>
          <w:cols w:num="2" w:space="576"/>
          <w:docGrid w:linePitch="360"/>
        </w:sectPr>
      </w:pPr>
    </w:p>
    <w:p w:rsidR="00A839B8" w:rsidRDefault="00A839B8">
      <w:pPr>
        <w:jc w:val="center"/>
        <w:rPr>
          <w:sz w:val="20"/>
          <w:szCs w:val="20"/>
          <w:lang w:val="en-GB" w:eastAsia="en-GB"/>
        </w:rPr>
      </w:pPr>
    </w:p>
    <w:p w:rsidR="00A839B8" w:rsidRDefault="00A839B8">
      <w:pPr>
        <w:jc w:val="center"/>
        <w:rPr>
          <w:sz w:val="20"/>
          <w:szCs w:val="20"/>
          <w:lang w:eastAsia="zh-CN"/>
        </w:rPr>
      </w:pPr>
    </w:p>
    <w:p w:rsidR="00A839B8" w:rsidRDefault="00E64F33">
      <w:pPr>
        <w:jc w:val="center"/>
        <w:rPr>
          <w:sz w:val="20"/>
          <w:szCs w:val="20"/>
        </w:rPr>
      </w:pPr>
      <w:r>
        <w:rPr>
          <w:noProof/>
          <w:sz w:val="20"/>
          <w:szCs w:val="20"/>
          <w:lang w:eastAsia="zh-CN"/>
        </w:rPr>
        <w:drawing>
          <wp:inline distT="0" distB="0" distL="0" distR="0">
            <wp:extent cx="5774055" cy="3244215"/>
            <wp:effectExtent l="0" t="0" r="17145" b="1333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6">
                      <a:extLst>
                        <a:ext uri="{28A0092B-C50C-407E-A947-70E740481C1C}">
                          <a14:useLocalDpi xmlns:a14="http://schemas.microsoft.com/office/drawing/2010/main" val="0"/>
                        </a:ext>
                      </a:extLst>
                    </a:blip>
                    <a:srcRect t="12308" b="2287"/>
                    <a:stretch>
                      <a:fillRect/>
                    </a:stretch>
                  </pic:blipFill>
                  <pic:spPr>
                    <a:xfrm>
                      <a:off x="0" y="0"/>
                      <a:ext cx="5774055" cy="3244215"/>
                    </a:xfrm>
                    <a:prstGeom prst="rect">
                      <a:avLst/>
                    </a:prstGeom>
                    <a:noFill/>
                    <a:ln>
                      <a:noFill/>
                    </a:ln>
                  </pic:spPr>
                </pic:pic>
              </a:graphicData>
            </a:graphic>
          </wp:inline>
        </w:drawing>
      </w:r>
    </w:p>
    <w:p w:rsidR="00A839B8" w:rsidRDefault="00E64F33">
      <w:pPr>
        <w:rPr>
          <w:i/>
          <w:sz w:val="20"/>
          <w:szCs w:val="20"/>
        </w:rPr>
      </w:pPr>
      <w:r>
        <w:rPr>
          <w:sz w:val="20"/>
          <w:szCs w:val="20"/>
        </w:rPr>
        <w:t>Figure 1.</w:t>
      </w:r>
      <w:r>
        <w:rPr>
          <w:b/>
          <w:sz w:val="20"/>
          <w:szCs w:val="20"/>
        </w:rPr>
        <w:t xml:space="preserve"> </w:t>
      </w:r>
      <w:r>
        <w:rPr>
          <w:sz w:val="20"/>
          <w:szCs w:val="20"/>
        </w:rPr>
        <w:t xml:space="preserve">Partial </w:t>
      </w:r>
      <w:r>
        <w:rPr>
          <w:rFonts w:eastAsia="Calibri"/>
          <w:sz w:val="20"/>
          <w:szCs w:val="20"/>
          <w:lang w:eastAsia="en-US"/>
        </w:rPr>
        <w:t xml:space="preserve">m/z 191 mass </w:t>
      </w:r>
      <w:r>
        <w:rPr>
          <w:sz w:val="20"/>
          <w:szCs w:val="20"/>
        </w:rPr>
        <w:t xml:space="preserve">chromatogram </w:t>
      </w:r>
      <w:r>
        <w:rPr>
          <w:rFonts w:eastAsia="Calibri"/>
          <w:sz w:val="20"/>
          <w:szCs w:val="20"/>
          <w:lang w:eastAsia="en-US"/>
        </w:rPr>
        <w:t xml:space="preserve">of Niger </w:t>
      </w:r>
      <w:r>
        <w:rPr>
          <w:sz w:val="20"/>
          <w:szCs w:val="20"/>
        </w:rPr>
        <w:t xml:space="preserve">Delta crude oil sample </w:t>
      </w:r>
      <w:r>
        <w:rPr>
          <w:bCs/>
          <w:sz w:val="20"/>
          <w:szCs w:val="20"/>
        </w:rPr>
        <w:t>RV-35</w:t>
      </w:r>
      <w:r>
        <w:rPr>
          <w:sz w:val="20"/>
          <w:szCs w:val="20"/>
        </w:rPr>
        <w:t xml:space="preserve"> showing the selected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peaks</w:t>
      </w:r>
    </w:p>
    <w:p w:rsidR="00A839B8" w:rsidRDefault="00A839B8">
      <w:pPr>
        <w:jc w:val="both"/>
        <w:rPr>
          <w:sz w:val="20"/>
          <w:szCs w:val="20"/>
        </w:rPr>
        <w:sectPr w:rsidR="00A839B8">
          <w:footnotePr>
            <w:pos w:val="beneathText"/>
          </w:footnotePr>
          <w:type w:val="continuous"/>
          <w:pgSz w:w="12240" w:h="15840"/>
          <w:pgMar w:top="1440" w:right="1440" w:bottom="1440" w:left="1440" w:header="720" w:footer="720" w:gutter="0"/>
          <w:cols w:space="576"/>
          <w:docGrid w:linePitch="360"/>
        </w:sectPr>
      </w:pPr>
    </w:p>
    <w:p w:rsidR="00A839B8" w:rsidRDefault="00A839B8">
      <w:pPr>
        <w:jc w:val="both"/>
        <w:rPr>
          <w:sz w:val="20"/>
          <w:szCs w:val="20"/>
        </w:rPr>
      </w:pPr>
    </w:p>
    <w:p w:rsidR="00A839B8" w:rsidRDefault="00A839B8">
      <w:pPr>
        <w:jc w:val="both"/>
        <w:rPr>
          <w:sz w:val="20"/>
          <w:szCs w:val="20"/>
        </w:rPr>
        <w:sectPr w:rsidR="00A839B8">
          <w:footnotePr>
            <w:pos w:val="beneathText"/>
          </w:footnotePr>
          <w:type w:val="continuous"/>
          <w:pgSz w:w="12240" w:h="15840"/>
          <w:pgMar w:top="1440" w:right="1440" w:bottom="1440" w:left="1440" w:header="720" w:footer="720" w:gutter="0"/>
          <w:cols w:num="2" w:space="576"/>
          <w:docGrid w:linePitch="360"/>
        </w:sectPr>
      </w:pPr>
    </w:p>
    <w:p w:rsidR="00A839B8" w:rsidRDefault="00E64F33">
      <w:pPr>
        <w:jc w:val="center"/>
        <w:rPr>
          <w:sz w:val="20"/>
          <w:szCs w:val="20"/>
        </w:rPr>
      </w:pPr>
      <w:r>
        <w:rPr>
          <w:noProof/>
          <w:sz w:val="20"/>
          <w:szCs w:val="20"/>
          <w:lang w:eastAsia="zh-CN"/>
        </w:rPr>
        <w:lastRenderedPageBreak/>
        <w:drawing>
          <wp:inline distT="0" distB="0" distL="0" distR="0">
            <wp:extent cx="5847715" cy="3648075"/>
            <wp:effectExtent l="0" t="0" r="635" b="952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7">
                      <a:extLst>
                        <a:ext uri="{28A0092B-C50C-407E-A947-70E740481C1C}">
                          <a14:useLocalDpi xmlns:a14="http://schemas.microsoft.com/office/drawing/2010/main" val="0"/>
                        </a:ext>
                      </a:extLst>
                    </a:blip>
                    <a:srcRect b="14091"/>
                    <a:stretch>
                      <a:fillRect/>
                    </a:stretch>
                  </pic:blipFill>
                  <pic:spPr>
                    <a:xfrm>
                      <a:off x="0" y="0"/>
                      <a:ext cx="5847715" cy="3648075"/>
                    </a:xfrm>
                    <a:prstGeom prst="rect">
                      <a:avLst/>
                    </a:prstGeom>
                    <a:noFill/>
                    <a:ln>
                      <a:noFill/>
                    </a:ln>
                  </pic:spPr>
                </pic:pic>
              </a:graphicData>
            </a:graphic>
          </wp:inline>
        </w:drawing>
      </w:r>
    </w:p>
    <w:p w:rsidR="00A839B8" w:rsidRDefault="00E64F33">
      <w:pPr>
        <w:rPr>
          <w:sz w:val="20"/>
          <w:szCs w:val="20"/>
        </w:rPr>
      </w:pPr>
      <w:r>
        <w:rPr>
          <w:sz w:val="20"/>
          <w:szCs w:val="20"/>
        </w:rPr>
        <w:t xml:space="preserve">Figure 2. Partial </w:t>
      </w:r>
      <w:r>
        <w:rPr>
          <w:rFonts w:eastAsia="Calibri"/>
          <w:sz w:val="20"/>
          <w:szCs w:val="20"/>
          <w:lang w:eastAsia="en-US"/>
        </w:rPr>
        <w:t xml:space="preserve">m/z 191 mass </w:t>
      </w:r>
      <w:r>
        <w:rPr>
          <w:sz w:val="20"/>
          <w:szCs w:val="20"/>
        </w:rPr>
        <w:t xml:space="preserve">chromatogram </w:t>
      </w:r>
      <w:r>
        <w:rPr>
          <w:rFonts w:eastAsia="Calibri"/>
          <w:sz w:val="20"/>
          <w:szCs w:val="20"/>
          <w:lang w:eastAsia="en-US"/>
        </w:rPr>
        <w:t xml:space="preserve">of Niger </w:t>
      </w:r>
      <w:r>
        <w:rPr>
          <w:sz w:val="20"/>
          <w:szCs w:val="20"/>
        </w:rPr>
        <w:t xml:space="preserve">Delta crude oil sample </w:t>
      </w:r>
      <w:r>
        <w:rPr>
          <w:bCs/>
          <w:sz w:val="20"/>
          <w:szCs w:val="20"/>
        </w:rPr>
        <w:t xml:space="preserve">DT-80 </w:t>
      </w:r>
      <w:r>
        <w:rPr>
          <w:sz w:val="20"/>
          <w:szCs w:val="20"/>
        </w:rPr>
        <w:t>showing the selected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peaks</w:t>
      </w:r>
    </w:p>
    <w:p w:rsidR="00A839B8" w:rsidRDefault="00A839B8">
      <w:pPr>
        <w:snapToGrid w:val="0"/>
        <w:rPr>
          <w:sz w:val="20"/>
          <w:szCs w:val="20"/>
        </w:rPr>
      </w:pPr>
    </w:p>
    <w:p w:rsidR="00A839B8" w:rsidRDefault="00A839B8">
      <w:pPr>
        <w:rPr>
          <w:sz w:val="20"/>
          <w:szCs w:val="20"/>
        </w:rPr>
        <w:sectPr w:rsidR="00A839B8">
          <w:footnotePr>
            <w:pos w:val="beneathText"/>
          </w:footnotePr>
          <w:type w:val="continuous"/>
          <w:pgSz w:w="12240" w:h="15840"/>
          <w:pgMar w:top="1440" w:right="1440" w:bottom="1440" w:left="1440" w:header="720" w:footer="720" w:gutter="0"/>
          <w:cols w:space="576"/>
          <w:docGrid w:linePitch="360"/>
        </w:sectPr>
      </w:pPr>
    </w:p>
    <w:p w:rsidR="00A839B8" w:rsidRDefault="00E64F33">
      <w:pPr>
        <w:ind w:firstLine="720"/>
        <w:jc w:val="both"/>
        <w:rPr>
          <w:sz w:val="20"/>
          <w:szCs w:val="20"/>
        </w:rPr>
      </w:pPr>
      <w:r>
        <w:rPr>
          <w:sz w:val="20"/>
          <w:szCs w:val="20"/>
        </w:rPr>
        <w:lastRenderedPageBreak/>
        <w:t>The 12 selected peaks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occurred in both crude oil samples (figures 1 and 2). Generally, the mass chromatograms of tricyclic ter</w:t>
      </w:r>
      <w:r>
        <w:rPr>
          <w:sz w:val="20"/>
          <w:szCs w:val="20"/>
        </w:rPr>
        <w:t>panes show a single peak each for C</w:t>
      </w:r>
      <w:r>
        <w:rPr>
          <w:sz w:val="20"/>
          <w:szCs w:val="20"/>
          <w:vertAlign w:val="subscript"/>
        </w:rPr>
        <w:t>20</w:t>
      </w:r>
      <w:r>
        <w:rPr>
          <w:sz w:val="20"/>
          <w:szCs w:val="20"/>
        </w:rPr>
        <w:t xml:space="preserve"> and C</w:t>
      </w:r>
      <w:r>
        <w:rPr>
          <w:sz w:val="20"/>
          <w:szCs w:val="20"/>
          <w:vertAlign w:val="subscript"/>
        </w:rPr>
        <w:t xml:space="preserve">21 </w:t>
      </w:r>
      <w:r>
        <w:rPr>
          <w:sz w:val="20"/>
          <w:szCs w:val="20"/>
        </w:rPr>
        <w:t>(Peters, 2000; Younes, 2001</w:t>
      </w:r>
      <w:r>
        <w:rPr>
          <w:rFonts w:eastAsia="Calibri"/>
          <w:sz w:val="20"/>
          <w:szCs w:val="20"/>
        </w:rPr>
        <w:t>)</w:t>
      </w:r>
      <w:r>
        <w:rPr>
          <w:sz w:val="20"/>
          <w:szCs w:val="20"/>
        </w:rPr>
        <w:t xml:space="preserve">. From the </w:t>
      </w:r>
      <w:r>
        <w:rPr>
          <w:rFonts w:eastAsia="Calibri"/>
          <w:sz w:val="20"/>
          <w:szCs w:val="20"/>
          <w:lang w:eastAsia="en-US"/>
        </w:rPr>
        <w:t xml:space="preserve">comparisons to related literatures, </w:t>
      </w:r>
      <w:r>
        <w:rPr>
          <w:rFonts w:eastAsia="AdvOT863180fb"/>
          <w:sz w:val="20"/>
          <w:szCs w:val="20"/>
          <w:lang w:eastAsia="en-US"/>
        </w:rPr>
        <w:t>t</w:t>
      </w:r>
      <w:r>
        <w:rPr>
          <w:sz w:val="20"/>
          <w:szCs w:val="20"/>
        </w:rPr>
        <w:t>his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w:t>
      </w:r>
      <w:r>
        <w:rPr>
          <w:rFonts w:eastAsia="Calibri"/>
          <w:sz w:val="20"/>
          <w:szCs w:val="20"/>
          <w:lang w:eastAsia="en-US"/>
        </w:rPr>
        <w:t xml:space="preserve"> distribution is </w:t>
      </w:r>
      <w:r>
        <w:rPr>
          <w:sz w:val="20"/>
          <w:szCs w:val="20"/>
        </w:rPr>
        <w:t xml:space="preserve">uncommon in crude oils and </w:t>
      </w:r>
      <w:r>
        <w:rPr>
          <w:rFonts w:eastAsia="Calibri"/>
          <w:sz w:val="20"/>
          <w:szCs w:val="20"/>
          <w:lang w:eastAsia="en-US"/>
        </w:rPr>
        <w:t>the distribution in the Niger Delta crude oils is unusual</w:t>
      </w:r>
      <w:r>
        <w:rPr>
          <w:rFonts w:eastAsia="Calibri"/>
          <w:sz w:val="20"/>
          <w:szCs w:val="20"/>
          <w:lang w:eastAsia="en-US"/>
        </w:rPr>
        <w:t xml:space="preserve">. </w:t>
      </w:r>
      <w:r>
        <w:rPr>
          <w:sz w:val="20"/>
          <w:szCs w:val="20"/>
        </w:rPr>
        <w:t xml:space="preserve">From </w:t>
      </w:r>
      <w:r>
        <w:rPr>
          <w:bCs/>
          <w:sz w:val="20"/>
          <w:szCs w:val="20"/>
        </w:rPr>
        <w:t>figures. 1 and 2, the 12 peaks separated into two groups. P</w:t>
      </w:r>
      <w:r>
        <w:rPr>
          <w:sz w:val="20"/>
          <w:szCs w:val="20"/>
        </w:rPr>
        <w:t xml:space="preserve">eaks 1 - 5 were </w:t>
      </w:r>
      <w:r>
        <w:rPr>
          <w:rFonts w:eastAsia="Calibri"/>
          <w:sz w:val="20"/>
          <w:szCs w:val="20"/>
          <w:lang w:eastAsia="en-US"/>
        </w:rPr>
        <w:t xml:space="preserve">tightly </w:t>
      </w:r>
      <w:r>
        <w:rPr>
          <w:sz w:val="20"/>
          <w:szCs w:val="20"/>
        </w:rPr>
        <w:t xml:space="preserve">clustered and eluted from the GC about 22 minutes, whereas peaks 6 </w:t>
      </w:r>
      <w:r>
        <w:rPr>
          <w:bCs/>
          <w:sz w:val="20"/>
          <w:szCs w:val="20"/>
        </w:rPr>
        <w:t>- 12</w:t>
      </w:r>
      <w:r>
        <w:rPr>
          <w:sz w:val="20"/>
          <w:szCs w:val="20"/>
        </w:rPr>
        <w:t xml:space="preserve"> were loosely clustered and eluted from the GC about 24 minutes. The mass chromatogram of an io</w:t>
      </w:r>
      <w:r>
        <w:rPr>
          <w:sz w:val="20"/>
          <w:szCs w:val="20"/>
        </w:rPr>
        <w:t xml:space="preserve">n (m/z) at a given GC retention time is often </w:t>
      </w:r>
      <w:r>
        <w:rPr>
          <w:rFonts w:eastAsia="Calibri"/>
          <w:sz w:val="20"/>
          <w:szCs w:val="20"/>
          <w:lang w:eastAsia="en-US"/>
        </w:rPr>
        <w:t xml:space="preserve">indicative </w:t>
      </w:r>
      <w:r>
        <w:rPr>
          <w:sz w:val="20"/>
          <w:szCs w:val="20"/>
        </w:rPr>
        <w:t>of a class of homologous compounds with similar carbon numbers but different structures and isomerism (</w:t>
      </w:r>
      <w:r>
        <w:rPr>
          <w:rFonts w:eastAsia="Calibri"/>
          <w:sz w:val="20"/>
          <w:szCs w:val="20"/>
        </w:rPr>
        <w:t>Wang et al., 2006)</w:t>
      </w:r>
      <w:r>
        <w:rPr>
          <w:sz w:val="20"/>
          <w:szCs w:val="20"/>
        </w:rPr>
        <w:t xml:space="preserve">. This </w:t>
      </w:r>
      <w:r>
        <w:rPr>
          <w:rFonts w:eastAsia="AdvOT863180fb"/>
          <w:sz w:val="20"/>
          <w:szCs w:val="20"/>
          <w:lang w:eastAsia="en-US"/>
        </w:rPr>
        <w:t xml:space="preserve">suggest </w:t>
      </w:r>
      <w:r>
        <w:rPr>
          <w:sz w:val="20"/>
          <w:szCs w:val="20"/>
        </w:rPr>
        <w:t>peaks 1 - 5 as C</w:t>
      </w:r>
      <w:r>
        <w:rPr>
          <w:sz w:val="20"/>
          <w:szCs w:val="20"/>
          <w:vertAlign w:val="subscript"/>
        </w:rPr>
        <w:t>20</w:t>
      </w:r>
      <w:r>
        <w:rPr>
          <w:sz w:val="20"/>
          <w:szCs w:val="20"/>
        </w:rPr>
        <w:t xml:space="preserve"> tricyclic terpane isomers and peaks 6 - 12 a</w:t>
      </w:r>
      <w:r>
        <w:rPr>
          <w:sz w:val="20"/>
          <w:szCs w:val="20"/>
        </w:rPr>
        <w:t>s C</w:t>
      </w:r>
      <w:r>
        <w:rPr>
          <w:sz w:val="20"/>
          <w:szCs w:val="20"/>
          <w:vertAlign w:val="subscript"/>
        </w:rPr>
        <w:t>21</w:t>
      </w:r>
      <w:r>
        <w:rPr>
          <w:sz w:val="20"/>
          <w:szCs w:val="20"/>
        </w:rPr>
        <w:t xml:space="preserve"> tricyclic terpane isomers. </w:t>
      </w:r>
    </w:p>
    <w:p w:rsidR="00A839B8" w:rsidRDefault="00E64F33">
      <w:pPr>
        <w:ind w:firstLine="720"/>
        <w:jc w:val="both"/>
        <w:rPr>
          <w:bCs/>
          <w:sz w:val="20"/>
          <w:szCs w:val="20"/>
        </w:rPr>
      </w:pPr>
      <w:r>
        <w:rPr>
          <w:sz w:val="20"/>
          <w:szCs w:val="20"/>
        </w:rPr>
        <w:t>C</w:t>
      </w:r>
      <w:r>
        <w:rPr>
          <w:sz w:val="20"/>
          <w:szCs w:val="20"/>
          <w:vertAlign w:val="subscript"/>
        </w:rPr>
        <w:t>20</w:t>
      </w:r>
      <w:r>
        <w:rPr>
          <w:sz w:val="20"/>
          <w:szCs w:val="20"/>
        </w:rPr>
        <w:t xml:space="preserve"> tricyclic terpane peaks 1, 2, 4 and 5 were </w:t>
      </w:r>
      <w:r>
        <w:rPr>
          <w:rFonts w:eastAsia="Calibri"/>
          <w:sz w:val="20"/>
          <w:szCs w:val="20"/>
          <w:lang w:eastAsia="en-US"/>
        </w:rPr>
        <w:t xml:space="preserve">more prominent </w:t>
      </w:r>
      <w:r>
        <w:rPr>
          <w:sz w:val="20"/>
          <w:szCs w:val="20"/>
        </w:rPr>
        <w:t xml:space="preserve">than peak 3 in both mass chromatograms, and also </w:t>
      </w:r>
      <w:r>
        <w:rPr>
          <w:rFonts w:eastAsia="Calibri"/>
          <w:sz w:val="20"/>
          <w:szCs w:val="20"/>
          <w:lang w:eastAsia="en-US"/>
        </w:rPr>
        <w:t>were more prominent in RV-35 (fig</w:t>
      </w:r>
      <w:r>
        <w:rPr>
          <w:sz w:val="20"/>
          <w:szCs w:val="20"/>
        </w:rPr>
        <w:t>ure</w:t>
      </w:r>
      <w:r>
        <w:rPr>
          <w:rFonts w:eastAsia="Calibri"/>
          <w:sz w:val="20"/>
          <w:szCs w:val="20"/>
          <w:lang w:eastAsia="en-US"/>
        </w:rPr>
        <w:t xml:space="preserve"> 1) than in DT-80 (fig</w:t>
      </w:r>
      <w:r>
        <w:rPr>
          <w:sz w:val="20"/>
          <w:szCs w:val="20"/>
        </w:rPr>
        <w:t>ure</w:t>
      </w:r>
      <w:r>
        <w:rPr>
          <w:rFonts w:eastAsia="Calibri"/>
          <w:sz w:val="20"/>
          <w:szCs w:val="20"/>
          <w:lang w:eastAsia="en-US"/>
        </w:rPr>
        <w:t xml:space="preserve"> 2). </w:t>
      </w:r>
      <w:r>
        <w:rPr>
          <w:bCs/>
          <w:sz w:val="20"/>
          <w:szCs w:val="20"/>
        </w:rPr>
        <w:t>P</w:t>
      </w:r>
      <w:r>
        <w:rPr>
          <w:sz w:val="20"/>
          <w:szCs w:val="20"/>
        </w:rPr>
        <w:t xml:space="preserve">eaks 1, 2 and 4, 5 were also tightly clustered and </w:t>
      </w:r>
      <w:r>
        <w:rPr>
          <w:rFonts w:eastAsia="Calibri"/>
          <w:sz w:val="20"/>
          <w:szCs w:val="20"/>
          <w:lang w:eastAsia="en-US"/>
        </w:rPr>
        <w:t xml:space="preserve">nearly </w:t>
      </w:r>
      <w:r>
        <w:rPr>
          <w:sz w:val="20"/>
          <w:szCs w:val="20"/>
        </w:rPr>
        <w:t>equal in height. C</w:t>
      </w:r>
      <w:r>
        <w:rPr>
          <w:sz w:val="20"/>
          <w:szCs w:val="20"/>
          <w:vertAlign w:val="subscript"/>
        </w:rPr>
        <w:t>21</w:t>
      </w:r>
      <w:r>
        <w:rPr>
          <w:sz w:val="20"/>
          <w:szCs w:val="20"/>
        </w:rPr>
        <w:t xml:space="preserve"> tricyclic terpane peaks </w:t>
      </w:r>
      <w:r>
        <w:rPr>
          <w:bCs/>
          <w:sz w:val="20"/>
          <w:szCs w:val="20"/>
        </w:rPr>
        <w:t xml:space="preserve">7, 8 and 10, 11 in </w:t>
      </w:r>
      <w:r>
        <w:rPr>
          <w:sz w:val="20"/>
          <w:szCs w:val="20"/>
        </w:rPr>
        <w:t xml:space="preserve">both oil samples and </w:t>
      </w:r>
      <w:r>
        <w:rPr>
          <w:bCs/>
          <w:sz w:val="20"/>
          <w:szCs w:val="20"/>
        </w:rPr>
        <w:t xml:space="preserve">9, 12 in DT-80, were </w:t>
      </w:r>
      <w:r>
        <w:rPr>
          <w:sz w:val="20"/>
          <w:szCs w:val="20"/>
        </w:rPr>
        <w:t xml:space="preserve">closely clustered and </w:t>
      </w:r>
      <w:r>
        <w:rPr>
          <w:rFonts w:eastAsia="Calibri"/>
          <w:sz w:val="20"/>
          <w:szCs w:val="20"/>
          <w:lang w:eastAsia="en-US"/>
        </w:rPr>
        <w:lastRenderedPageBreak/>
        <w:t xml:space="preserve">nearly </w:t>
      </w:r>
      <w:r>
        <w:rPr>
          <w:sz w:val="20"/>
          <w:szCs w:val="20"/>
        </w:rPr>
        <w:t>equal in heights</w:t>
      </w:r>
      <w:r>
        <w:rPr>
          <w:bCs/>
          <w:sz w:val="20"/>
          <w:szCs w:val="20"/>
        </w:rPr>
        <w:t xml:space="preserve">. </w:t>
      </w:r>
      <w:r>
        <w:rPr>
          <w:rFonts w:eastAsia="Calibri"/>
          <w:sz w:val="20"/>
          <w:szCs w:val="20"/>
          <w:lang w:eastAsia="en-US"/>
        </w:rPr>
        <w:t xml:space="preserve">The most </w:t>
      </w:r>
      <w:r>
        <w:rPr>
          <w:sz w:val="20"/>
          <w:szCs w:val="20"/>
        </w:rPr>
        <w:t>common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w:t>
      </w:r>
      <w:r>
        <w:rPr>
          <w:sz w:val="20"/>
          <w:szCs w:val="20"/>
        </w:rPr>
        <w:t>s discovered in crude oil and source rock samples include 13</w:t>
      </w:r>
      <w:r>
        <w:rPr>
          <w:sz w:val="20"/>
          <w:szCs w:val="20"/>
        </w:rPr>
        <w:sym w:font="Symbol" w:char="F061"/>
      </w:r>
      <w:r>
        <w:rPr>
          <w:sz w:val="20"/>
          <w:szCs w:val="20"/>
        </w:rPr>
        <w:t>(H), 14</w:t>
      </w:r>
      <w:r>
        <w:rPr>
          <w:sz w:val="20"/>
          <w:szCs w:val="20"/>
        </w:rPr>
        <w:sym w:font="Symbol" w:char="F061"/>
      </w:r>
      <w:r>
        <w:rPr>
          <w:sz w:val="20"/>
          <w:szCs w:val="20"/>
        </w:rPr>
        <w:t>(H) and 13β(H), 14</w:t>
      </w:r>
      <w:r>
        <w:rPr>
          <w:sz w:val="20"/>
          <w:szCs w:val="20"/>
        </w:rPr>
        <w:sym w:font="Symbol" w:char="F061"/>
      </w:r>
      <w:r>
        <w:rPr>
          <w:sz w:val="20"/>
          <w:szCs w:val="20"/>
        </w:rPr>
        <w:t xml:space="preserve">(H) isomers, </w:t>
      </w:r>
      <w:r>
        <w:rPr>
          <w:rFonts w:eastAsia="Calibri"/>
          <w:sz w:val="20"/>
          <w:szCs w:val="20"/>
          <w:lang w:eastAsia="en-US"/>
        </w:rPr>
        <w:t xml:space="preserve">as well as the </w:t>
      </w:r>
      <w:r>
        <w:rPr>
          <w:sz w:val="20"/>
          <w:szCs w:val="20"/>
        </w:rPr>
        <w:t xml:space="preserve">ββ and </w:t>
      </w:r>
      <w:r>
        <w:rPr>
          <w:sz w:val="20"/>
          <w:szCs w:val="20"/>
        </w:rPr>
        <w:sym w:font="Symbol" w:char="F061"/>
      </w:r>
      <w:r>
        <w:rPr>
          <w:sz w:val="20"/>
          <w:szCs w:val="20"/>
        </w:rPr>
        <w:t>β isomers (</w:t>
      </w:r>
      <w:r>
        <w:rPr>
          <w:rFonts w:eastAsia="Calibri"/>
          <w:sz w:val="20"/>
          <w:szCs w:val="20"/>
        </w:rPr>
        <w:t>Chicarelli et al., 1988)</w:t>
      </w:r>
      <w:r>
        <w:rPr>
          <w:sz w:val="20"/>
          <w:szCs w:val="20"/>
        </w:rPr>
        <w:t>. These isomers often occur in almost equal abundance (</w:t>
      </w:r>
      <w:r>
        <w:rPr>
          <w:rFonts w:eastAsia="Calibri"/>
          <w:sz w:val="20"/>
          <w:szCs w:val="20"/>
        </w:rPr>
        <w:t>Ekweozor and Strausz, 198</w:t>
      </w:r>
      <w:r>
        <w:rPr>
          <w:sz w:val="20"/>
          <w:szCs w:val="20"/>
        </w:rPr>
        <w:t xml:space="preserve">3). This suggest </w:t>
      </w:r>
      <w:r>
        <w:rPr>
          <w:sz w:val="20"/>
          <w:szCs w:val="20"/>
        </w:rPr>
        <w:t>C</w:t>
      </w:r>
      <w:r>
        <w:rPr>
          <w:sz w:val="20"/>
          <w:szCs w:val="20"/>
          <w:vertAlign w:val="subscript"/>
        </w:rPr>
        <w:t>20</w:t>
      </w:r>
      <w:r>
        <w:rPr>
          <w:sz w:val="20"/>
          <w:szCs w:val="20"/>
        </w:rPr>
        <w:t xml:space="preserve"> tricyclic terpane peaks 1, 2 and 4, 5 as well as C</w:t>
      </w:r>
      <w:r>
        <w:rPr>
          <w:sz w:val="20"/>
          <w:szCs w:val="20"/>
          <w:vertAlign w:val="subscript"/>
        </w:rPr>
        <w:t>21</w:t>
      </w:r>
      <w:r>
        <w:rPr>
          <w:sz w:val="20"/>
          <w:szCs w:val="20"/>
        </w:rPr>
        <w:t xml:space="preserve"> tricyclic terpane peaks </w:t>
      </w:r>
      <w:r>
        <w:rPr>
          <w:bCs/>
          <w:sz w:val="20"/>
          <w:szCs w:val="20"/>
        </w:rPr>
        <w:t xml:space="preserve">7, 8 and 10, 11 </w:t>
      </w:r>
      <w:r>
        <w:rPr>
          <w:sz w:val="20"/>
          <w:szCs w:val="20"/>
        </w:rPr>
        <w:t xml:space="preserve">are isomers with different isomerism possibly derived </w:t>
      </w:r>
      <w:r>
        <w:rPr>
          <w:rFonts w:eastAsia="Calibri"/>
          <w:sz w:val="20"/>
          <w:szCs w:val="20"/>
          <w:lang w:eastAsia="en-US"/>
        </w:rPr>
        <w:t xml:space="preserve">from </w:t>
      </w:r>
      <w:r>
        <w:rPr>
          <w:sz w:val="20"/>
          <w:szCs w:val="20"/>
        </w:rPr>
        <w:t>similar source/</w:t>
      </w:r>
      <w:r>
        <w:rPr>
          <w:bCs/>
          <w:sz w:val="20"/>
          <w:szCs w:val="20"/>
        </w:rPr>
        <w:t>depositional environment</w:t>
      </w:r>
      <w:r>
        <w:rPr>
          <w:sz w:val="20"/>
          <w:szCs w:val="20"/>
        </w:rPr>
        <w:t xml:space="preserve">. </w:t>
      </w:r>
      <w:r>
        <w:rPr>
          <w:bCs/>
          <w:sz w:val="20"/>
          <w:szCs w:val="20"/>
        </w:rPr>
        <w:t xml:space="preserve">Peak 3 was </w:t>
      </w:r>
      <w:r>
        <w:rPr>
          <w:sz w:val="20"/>
          <w:szCs w:val="20"/>
        </w:rPr>
        <w:t xml:space="preserve">considerable </w:t>
      </w:r>
      <w:r>
        <w:rPr>
          <w:bCs/>
          <w:sz w:val="20"/>
          <w:szCs w:val="20"/>
        </w:rPr>
        <w:t xml:space="preserve">diminished </w:t>
      </w:r>
      <w:r>
        <w:rPr>
          <w:sz w:val="20"/>
          <w:szCs w:val="20"/>
        </w:rPr>
        <w:t>in height</w:t>
      </w:r>
      <w:r>
        <w:rPr>
          <w:bCs/>
          <w:sz w:val="20"/>
          <w:szCs w:val="20"/>
        </w:rPr>
        <w:t xml:space="preserve"> compared to p</w:t>
      </w:r>
      <w:r>
        <w:rPr>
          <w:sz w:val="20"/>
          <w:szCs w:val="20"/>
        </w:rPr>
        <w:t>e</w:t>
      </w:r>
      <w:r>
        <w:rPr>
          <w:sz w:val="20"/>
          <w:szCs w:val="20"/>
        </w:rPr>
        <w:t xml:space="preserve">aks 1, 2, 4 and </w:t>
      </w:r>
      <w:r>
        <w:rPr>
          <w:rFonts w:eastAsia="Calibri"/>
          <w:sz w:val="20"/>
          <w:szCs w:val="20"/>
          <w:lang w:eastAsia="en-US"/>
        </w:rPr>
        <w:t>5, with which it is clustered (fig</w:t>
      </w:r>
      <w:r>
        <w:rPr>
          <w:sz w:val="20"/>
          <w:szCs w:val="20"/>
        </w:rPr>
        <w:t>ure</w:t>
      </w:r>
      <w:r>
        <w:rPr>
          <w:rFonts w:eastAsia="Calibri"/>
          <w:sz w:val="20"/>
          <w:szCs w:val="20"/>
          <w:lang w:eastAsia="en-US"/>
        </w:rPr>
        <w:t xml:space="preserve">s 1 and 2), </w:t>
      </w:r>
      <w:r>
        <w:rPr>
          <w:bCs/>
          <w:sz w:val="20"/>
          <w:szCs w:val="20"/>
        </w:rPr>
        <w:t xml:space="preserve">suggesting </w:t>
      </w:r>
      <w:r>
        <w:rPr>
          <w:sz w:val="20"/>
          <w:szCs w:val="20"/>
        </w:rPr>
        <w:t xml:space="preserve">isomers possibly derived </w:t>
      </w:r>
      <w:r>
        <w:rPr>
          <w:rFonts w:eastAsia="Calibri"/>
          <w:sz w:val="20"/>
          <w:szCs w:val="20"/>
          <w:lang w:eastAsia="en-US"/>
        </w:rPr>
        <w:t xml:space="preserve">from </w:t>
      </w:r>
      <w:r>
        <w:rPr>
          <w:sz w:val="20"/>
          <w:szCs w:val="20"/>
        </w:rPr>
        <w:t>different source/</w:t>
      </w:r>
      <w:r>
        <w:rPr>
          <w:bCs/>
          <w:sz w:val="20"/>
          <w:szCs w:val="20"/>
        </w:rPr>
        <w:t>depositional environment</w:t>
      </w:r>
      <w:r>
        <w:rPr>
          <w:sz w:val="20"/>
          <w:szCs w:val="20"/>
        </w:rPr>
        <w:t xml:space="preserve">. </w:t>
      </w:r>
      <w:r>
        <w:rPr>
          <w:rFonts w:eastAsia="Calibri"/>
          <w:sz w:val="20"/>
          <w:szCs w:val="20"/>
          <w:lang w:eastAsia="en-US"/>
        </w:rPr>
        <w:t xml:space="preserve">Peaks 9 and 12 in DT-80 have nearly </w:t>
      </w:r>
      <w:r>
        <w:rPr>
          <w:sz w:val="20"/>
          <w:szCs w:val="20"/>
        </w:rPr>
        <w:t xml:space="preserve">equal </w:t>
      </w:r>
      <w:r>
        <w:rPr>
          <w:rFonts w:eastAsia="Calibri"/>
          <w:sz w:val="20"/>
          <w:szCs w:val="20"/>
          <w:lang w:eastAsia="en-US"/>
        </w:rPr>
        <w:t xml:space="preserve">heights, but differ in RV-35, </w:t>
      </w:r>
      <w:r>
        <w:rPr>
          <w:bCs/>
          <w:sz w:val="20"/>
          <w:szCs w:val="20"/>
        </w:rPr>
        <w:t>suggest</w:t>
      </w:r>
      <w:r>
        <w:rPr>
          <w:rFonts w:eastAsia="Calibri"/>
          <w:sz w:val="20"/>
          <w:szCs w:val="20"/>
          <w:lang w:eastAsia="en-US"/>
        </w:rPr>
        <w:t xml:space="preserve">ing they are </w:t>
      </w:r>
      <w:r>
        <w:rPr>
          <w:sz w:val="20"/>
          <w:szCs w:val="20"/>
        </w:rPr>
        <w:t>C</w:t>
      </w:r>
      <w:r>
        <w:rPr>
          <w:sz w:val="20"/>
          <w:szCs w:val="20"/>
          <w:vertAlign w:val="subscript"/>
        </w:rPr>
        <w:t>21</w:t>
      </w:r>
      <w:r>
        <w:rPr>
          <w:sz w:val="20"/>
          <w:szCs w:val="20"/>
        </w:rPr>
        <w:t xml:space="preserve"> tricyclic t</w:t>
      </w:r>
      <w:r>
        <w:rPr>
          <w:sz w:val="20"/>
          <w:szCs w:val="20"/>
        </w:rPr>
        <w:t xml:space="preserve">erpane isomers possibly derived </w:t>
      </w:r>
      <w:r>
        <w:rPr>
          <w:rFonts w:eastAsia="Calibri"/>
          <w:sz w:val="20"/>
          <w:szCs w:val="20"/>
          <w:lang w:eastAsia="en-US"/>
        </w:rPr>
        <w:t xml:space="preserve">from </w:t>
      </w:r>
      <w:r>
        <w:rPr>
          <w:sz w:val="20"/>
          <w:szCs w:val="20"/>
        </w:rPr>
        <w:t>different source/</w:t>
      </w:r>
      <w:r>
        <w:rPr>
          <w:bCs/>
          <w:sz w:val="20"/>
          <w:szCs w:val="20"/>
        </w:rPr>
        <w:t>depositional environment.</w:t>
      </w:r>
    </w:p>
    <w:p w:rsidR="00A839B8" w:rsidRDefault="00A839B8">
      <w:pPr>
        <w:jc w:val="both"/>
        <w:rPr>
          <w:bCs/>
          <w:sz w:val="20"/>
          <w:szCs w:val="20"/>
        </w:rPr>
      </w:pPr>
    </w:p>
    <w:p w:rsidR="00A839B8" w:rsidRDefault="00E64F33">
      <w:pPr>
        <w:rPr>
          <w:b/>
          <w:i/>
          <w:sz w:val="20"/>
          <w:szCs w:val="20"/>
        </w:rPr>
      </w:pPr>
      <w:r>
        <w:rPr>
          <w:b/>
          <w:i/>
          <w:sz w:val="20"/>
          <w:szCs w:val="20"/>
        </w:rPr>
        <w:t xml:space="preserve">3.2. </w:t>
      </w:r>
      <w:r>
        <w:rPr>
          <w:rFonts w:eastAsia="Calibri"/>
          <w:b/>
          <w:i/>
          <w:sz w:val="20"/>
          <w:szCs w:val="20"/>
          <w:lang w:eastAsia="en-US"/>
        </w:rPr>
        <w:t xml:space="preserve">Abundance and </w:t>
      </w:r>
      <w:r>
        <w:rPr>
          <w:b/>
          <w:i/>
          <w:sz w:val="20"/>
          <w:szCs w:val="20"/>
        </w:rPr>
        <w:t>Composition Profiles</w:t>
      </w:r>
    </w:p>
    <w:p w:rsidR="00A839B8" w:rsidRDefault="00E64F33">
      <w:pPr>
        <w:ind w:firstLine="720"/>
        <w:jc w:val="both"/>
        <w:rPr>
          <w:sz w:val="20"/>
          <w:szCs w:val="20"/>
        </w:rPr>
      </w:pPr>
      <w:r>
        <w:rPr>
          <w:sz w:val="20"/>
          <w:szCs w:val="20"/>
        </w:rPr>
        <w:t>Abundances of the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isomers were calculated </w:t>
      </w:r>
      <w:r>
        <w:rPr>
          <w:rFonts w:eastAsia="Calibri"/>
          <w:sz w:val="20"/>
          <w:szCs w:val="20"/>
          <w:lang w:eastAsia="en-US"/>
        </w:rPr>
        <w:t xml:space="preserve">by area integration of </w:t>
      </w:r>
      <w:r>
        <w:rPr>
          <w:sz w:val="20"/>
          <w:szCs w:val="20"/>
        </w:rPr>
        <w:t xml:space="preserve">the </w:t>
      </w:r>
      <w:r>
        <w:rPr>
          <w:rFonts w:eastAsia="Calibri"/>
          <w:sz w:val="20"/>
          <w:szCs w:val="20"/>
          <w:lang w:eastAsia="en-US"/>
        </w:rPr>
        <w:t xml:space="preserve">selected </w:t>
      </w:r>
      <w:r>
        <w:rPr>
          <w:sz w:val="20"/>
          <w:szCs w:val="20"/>
        </w:rPr>
        <w:t xml:space="preserve">peaks. </w:t>
      </w:r>
      <w:r>
        <w:rPr>
          <w:rFonts w:eastAsia="Calibri"/>
          <w:sz w:val="20"/>
          <w:szCs w:val="20"/>
          <w:lang w:eastAsia="en-US"/>
        </w:rPr>
        <w:t xml:space="preserve">Table 1 shows the selected peaks for the </w:t>
      </w:r>
      <w:r>
        <w:rPr>
          <w:sz w:val="20"/>
          <w:szCs w:val="20"/>
        </w:rPr>
        <w:t>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isomers, labels and </w:t>
      </w:r>
      <w:r>
        <w:rPr>
          <w:rFonts w:eastAsia="Calibri"/>
          <w:sz w:val="20"/>
          <w:szCs w:val="20"/>
          <w:lang w:eastAsia="en-US"/>
        </w:rPr>
        <w:t>abundances.</w:t>
      </w:r>
      <w:r>
        <w:rPr>
          <w:sz w:val="20"/>
          <w:szCs w:val="20"/>
        </w:rPr>
        <w:t xml:space="preserve"> </w:t>
      </w:r>
    </w:p>
    <w:p w:rsidR="00A839B8" w:rsidRDefault="00A839B8">
      <w:pPr>
        <w:jc w:val="both"/>
        <w:rPr>
          <w:sz w:val="20"/>
          <w:szCs w:val="20"/>
        </w:rPr>
        <w:sectPr w:rsidR="00A839B8">
          <w:footnotePr>
            <w:pos w:val="beneathText"/>
          </w:footnotePr>
          <w:type w:val="continuous"/>
          <w:pgSz w:w="12240" w:h="15840"/>
          <w:pgMar w:top="1440" w:right="1440" w:bottom="1440" w:left="1440" w:header="720" w:footer="720" w:gutter="0"/>
          <w:cols w:num="2" w:space="576"/>
          <w:docGrid w:linePitch="360"/>
        </w:sectPr>
      </w:pPr>
    </w:p>
    <w:p w:rsidR="00A839B8" w:rsidRDefault="00A839B8">
      <w:pPr>
        <w:jc w:val="both"/>
        <w:rPr>
          <w:sz w:val="20"/>
          <w:szCs w:val="20"/>
        </w:rPr>
      </w:pPr>
    </w:p>
    <w:p w:rsidR="00A839B8" w:rsidRDefault="00A839B8">
      <w:pPr>
        <w:jc w:val="both"/>
        <w:rPr>
          <w:sz w:val="20"/>
          <w:szCs w:val="20"/>
        </w:rPr>
      </w:pPr>
    </w:p>
    <w:p w:rsidR="00A839B8" w:rsidRDefault="00E64F33">
      <w:pPr>
        <w:jc w:val="both"/>
        <w:rPr>
          <w:sz w:val="20"/>
          <w:szCs w:val="20"/>
        </w:rPr>
      </w:pPr>
      <w:r>
        <w:rPr>
          <w:sz w:val="20"/>
          <w:szCs w:val="20"/>
        </w:rPr>
        <w:lastRenderedPageBreak/>
        <w:t>Table 1.</w:t>
      </w:r>
      <w:r>
        <w:rPr>
          <w:b/>
          <w:sz w:val="20"/>
          <w:szCs w:val="20"/>
        </w:rPr>
        <w:t xml:space="preserve"> </w:t>
      </w:r>
      <w:r>
        <w:rPr>
          <w:sz w:val="20"/>
          <w:szCs w:val="20"/>
        </w:rPr>
        <w:t>Peak labels and abundances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isomers in crude oil samples</w:t>
      </w:r>
      <w:r>
        <w:rPr>
          <w:rFonts w:eastAsia="Calibri"/>
          <w:sz w:val="20"/>
          <w:szCs w:val="20"/>
          <w:lang w:eastAsia="en-US"/>
        </w:rPr>
        <w:t xml:space="preserve"> from </w:t>
      </w:r>
      <w:r>
        <w:rPr>
          <w:sz w:val="20"/>
          <w:szCs w:val="20"/>
        </w:rPr>
        <w:t>Niger Delta, Nigeria</w:t>
      </w:r>
    </w:p>
    <w:tbl>
      <w:tblPr>
        <w:tblW w:w="4677" w:type="pct"/>
        <w:jc w:val="center"/>
        <w:tblLayout w:type="fixed"/>
        <w:tblLook w:val="04A0" w:firstRow="1" w:lastRow="0" w:firstColumn="1" w:lastColumn="0" w:noHBand="0" w:noVBand="1"/>
      </w:tblPr>
      <w:tblGrid>
        <w:gridCol w:w="1215"/>
        <w:gridCol w:w="3292"/>
        <w:gridCol w:w="1130"/>
        <w:gridCol w:w="1590"/>
        <w:gridCol w:w="1528"/>
      </w:tblGrid>
      <w:tr w:rsidR="00A839B8">
        <w:trPr>
          <w:trHeight w:val="283"/>
          <w:jc w:val="center"/>
        </w:trPr>
        <w:tc>
          <w:tcPr>
            <w:tcW w:w="1242" w:type="dxa"/>
            <w:vMerge w:val="restart"/>
            <w:tcBorders>
              <w:top w:val="single" w:sz="4" w:space="0" w:color="auto"/>
            </w:tcBorders>
            <w:shd w:val="clear" w:color="auto" w:fill="auto"/>
            <w:noWrap/>
            <w:vAlign w:val="center"/>
          </w:tcPr>
          <w:p w:rsidR="00A839B8" w:rsidRDefault="00E64F33">
            <w:pPr>
              <w:jc w:val="center"/>
              <w:rPr>
                <w:sz w:val="20"/>
                <w:szCs w:val="20"/>
              </w:rPr>
            </w:pPr>
            <w:r>
              <w:rPr>
                <w:sz w:val="20"/>
                <w:szCs w:val="20"/>
              </w:rPr>
              <w:t>Peak No.</w:t>
            </w:r>
          </w:p>
        </w:tc>
        <w:tc>
          <w:tcPr>
            <w:tcW w:w="3374" w:type="dxa"/>
            <w:vMerge w:val="restart"/>
            <w:tcBorders>
              <w:top w:val="single" w:sz="4" w:space="0" w:color="auto"/>
            </w:tcBorders>
            <w:shd w:val="clear" w:color="auto" w:fill="auto"/>
            <w:noWrap/>
            <w:vAlign w:val="center"/>
          </w:tcPr>
          <w:p w:rsidR="00A839B8" w:rsidRDefault="00E64F33">
            <w:pPr>
              <w:jc w:val="center"/>
              <w:rPr>
                <w:sz w:val="20"/>
                <w:szCs w:val="20"/>
              </w:rPr>
            </w:pPr>
            <w:r>
              <w:rPr>
                <w:sz w:val="20"/>
                <w:szCs w:val="20"/>
              </w:rPr>
              <w:t>Tricyclic Terpanes (TR)</w:t>
            </w:r>
          </w:p>
        </w:tc>
        <w:tc>
          <w:tcPr>
            <w:tcW w:w="1154" w:type="dxa"/>
            <w:vMerge w:val="restart"/>
            <w:tcBorders>
              <w:top w:val="single" w:sz="4" w:space="0" w:color="auto"/>
            </w:tcBorders>
            <w:shd w:val="clear" w:color="auto" w:fill="auto"/>
            <w:noWrap/>
            <w:vAlign w:val="center"/>
          </w:tcPr>
          <w:p w:rsidR="00A839B8" w:rsidRDefault="00E64F33">
            <w:pPr>
              <w:jc w:val="center"/>
              <w:rPr>
                <w:sz w:val="20"/>
                <w:szCs w:val="20"/>
              </w:rPr>
            </w:pPr>
            <w:r>
              <w:rPr>
                <w:sz w:val="20"/>
                <w:szCs w:val="20"/>
              </w:rPr>
              <w:t>Code</w:t>
            </w:r>
          </w:p>
        </w:tc>
        <w:tc>
          <w:tcPr>
            <w:tcW w:w="3189" w:type="dxa"/>
            <w:gridSpan w:val="2"/>
            <w:tcBorders>
              <w:top w:val="single" w:sz="4" w:space="0" w:color="auto"/>
            </w:tcBorders>
            <w:shd w:val="clear" w:color="auto" w:fill="auto"/>
            <w:vAlign w:val="center"/>
          </w:tcPr>
          <w:p w:rsidR="00A839B8" w:rsidRDefault="00E64F33">
            <w:pPr>
              <w:jc w:val="center"/>
              <w:rPr>
                <w:sz w:val="20"/>
                <w:szCs w:val="20"/>
              </w:rPr>
            </w:pPr>
            <w:r>
              <w:rPr>
                <w:sz w:val="20"/>
                <w:szCs w:val="20"/>
              </w:rPr>
              <w:t xml:space="preserve">     Abundance</w:t>
            </w:r>
          </w:p>
        </w:tc>
      </w:tr>
      <w:tr w:rsidR="00A839B8">
        <w:trPr>
          <w:trHeight w:val="244"/>
          <w:jc w:val="center"/>
        </w:trPr>
        <w:tc>
          <w:tcPr>
            <w:tcW w:w="1242" w:type="dxa"/>
            <w:vMerge/>
            <w:tcBorders>
              <w:bottom w:val="single" w:sz="4" w:space="0" w:color="auto"/>
            </w:tcBorders>
            <w:shd w:val="clear" w:color="auto" w:fill="auto"/>
            <w:noWrap/>
            <w:vAlign w:val="center"/>
          </w:tcPr>
          <w:p w:rsidR="00A839B8" w:rsidRDefault="00A839B8">
            <w:pPr>
              <w:jc w:val="center"/>
              <w:rPr>
                <w:sz w:val="20"/>
                <w:szCs w:val="20"/>
              </w:rPr>
            </w:pPr>
          </w:p>
        </w:tc>
        <w:tc>
          <w:tcPr>
            <w:tcW w:w="3374" w:type="dxa"/>
            <w:vMerge/>
            <w:tcBorders>
              <w:bottom w:val="single" w:sz="4" w:space="0" w:color="auto"/>
            </w:tcBorders>
            <w:shd w:val="clear" w:color="auto" w:fill="auto"/>
            <w:noWrap/>
            <w:vAlign w:val="center"/>
          </w:tcPr>
          <w:p w:rsidR="00A839B8" w:rsidRDefault="00A839B8">
            <w:pPr>
              <w:jc w:val="center"/>
              <w:rPr>
                <w:sz w:val="20"/>
                <w:szCs w:val="20"/>
              </w:rPr>
            </w:pPr>
          </w:p>
        </w:tc>
        <w:tc>
          <w:tcPr>
            <w:tcW w:w="1154" w:type="dxa"/>
            <w:vMerge/>
            <w:tcBorders>
              <w:bottom w:val="single" w:sz="4" w:space="0" w:color="auto"/>
            </w:tcBorders>
            <w:shd w:val="clear" w:color="auto" w:fill="auto"/>
            <w:noWrap/>
            <w:vAlign w:val="center"/>
          </w:tcPr>
          <w:p w:rsidR="00A839B8" w:rsidRDefault="00A839B8">
            <w:pPr>
              <w:jc w:val="center"/>
              <w:rPr>
                <w:sz w:val="20"/>
                <w:szCs w:val="20"/>
              </w:rPr>
            </w:pPr>
          </w:p>
        </w:tc>
        <w:tc>
          <w:tcPr>
            <w:tcW w:w="1626" w:type="dxa"/>
            <w:tcBorders>
              <w:bottom w:val="single" w:sz="4" w:space="0" w:color="auto"/>
            </w:tcBorders>
            <w:shd w:val="clear" w:color="auto" w:fill="auto"/>
            <w:vAlign w:val="center"/>
          </w:tcPr>
          <w:p w:rsidR="00A839B8" w:rsidRDefault="00E64F33">
            <w:pPr>
              <w:jc w:val="right"/>
              <w:rPr>
                <w:sz w:val="20"/>
                <w:szCs w:val="20"/>
              </w:rPr>
            </w:pPr>
            <w:r>
              <w:rPr>
                <w:sz w:val="20"/>
                <w:szCs w:val="20"/>
              </w:rPr>
              <w:t>RV-35</w:t>
            </w:r>
          </w:p>
        </w:tc>
        <w:tc>
          <w:tcPr>
            <w:tcW w:w="1563" w:type="dxa"/>
            <w:tcBorders>
              <w:bottom w:val="single" w:sz="4" w:space="0" w:color="auto"/>
            </w:tcBorders>
            <w:shd w:val="clear" w:color="auto" w:fill="auto"/>
            <w:vAlign w:val="center"/>
          </w:tcPr>
          <w:p w:rsidR="00A839B8" w:rsidRDefault="00E64F33">
            <w:pPr>
              <w:jc w:val="right"/>
              <w:rPr>
                <w:sz w:val="20"/>
                <w:szCs w:val="20"/>
              </w:rPr>
            </w:pPr>
            <w:r>
              <w:rPr>
                <w:sz w:val="20"/>
                <w:szCs w:val="20"/>
              </w:rPr>
              <w:t>DT-80</w:t>
            </w:r>
          </w:p>
        </w:tc>
      </w:tr>
      <w:tr w:rsidR="00A839B8">
        <w:trPr>
          <w:trHeight w:val="283"/>
          <w:jc w:val="center"/>
        </w:trPr>
        <w:tc>
          <w:tcPr>
            <w:tcW w:w="1242" w:type="dxa"/>
            <w:tcBorders>
              <w:top w:val="single" w:sz="4" w:space="0" w:color="auto"/>
            </w:tcBorders>
            <w:shd w:val="clear" w:color="auto" w:fill="auto"/>
            <w:noWrap/>
            <w:vAlign w:val="center"/>
          </w:tcPr>
          <w:p w:rsidR="00A839B8" w:rsidRDefault="00E64F33">
            <w:pPr>
              <w:jc w:val="center"/>
              <w:rPr>
                <w:sz w:val="20"/>
                <w:szCs w:val="20"/>
              </w:rPr>
            </w:pPr>
            <w:r>
              <w:rPr>
                <w:sz w:val="20"/>
                <w:szCs w:val="20"/>
              </w:rPr>
              <w:t>1</w:t>
            </w:r>
          </w:p>
        </w:tc>
        <w:tc>
          <w:tcPr>
            <w:tcW w:w="3374" w:type="dxa"/>
            <w:tcBorders>
              <w:top w:val="single" w:sz="4" w:space="0" w:color="auto"/>
            </w:tcBorders>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20</w:t>
            </w:r>
            <w:r>
              <w:rPr>
                <w:sz w:val="20"/>
                <w:szCs w:val="20"/>
              </w:rPr>
              <w:t xml:space="preserve"> tricyclic terpane (a)</w:t>
            </w:r>
          </w:p>
        </w:tc>
        <w:tc>
          <w:tcPr>
            <w:tcW w:w="1154" w:type="dxa"/>
            <w:tcBorders>
              <w:top w:val="single" w:sz="4" w:space="0" w:color="auto"/>
            </w:tcBorders>
            <w:shd w:val="clear" w:color="auto" w:fill="auto"/>
            <w:noWrap/>
            <w:vAlign w:val="center"/>
          </w:tcPr>
          <w:p w:rsidR="00A839B8" w:rsidRDefault="00E64F33">
            <w:pPr>
              <w:jc w:val="center"/>
              <w:rPr>
                <w:sz w:val="20"/>
                <w:szCs w:val="20"/>
              </w:rPr>
            </w:pPr>
            <w:r>
              <w:rPr>
                <w:sz w:val="20"/>
                <w:szCs w:val="20"/>
              </w:rPr>
              <w:t>TR20a</w:t>
            </w:r>
          </w:p>
        </w:tc>
        <w:tc>
          <w:tcPr>
            <w:tcW w:w="1626" w:type="dxa"/>
            <w:tcBorders>
              <w:top w:val="single" w:sz="4" w:space="0" w:color="auto"/>
            </w:tcBorders>
            <w:shd w:val="clear" w:color="auto" w:fill="auto"/>
            <w:vAlign w:val="center"/>
          </w:tcPr>
          <w:p w:rsidR="00A839B8" w:rsidRDefault="00E64F33">
            <w:pPr>
              <w:jc w:val="right"/>
              <w:rPr>
                <w:sz w:val="20"/>
                <w:szCs w:val="20"/>
              </w:rPr>
            </w:pPr>
            <w:r>
              <w:rPr>
                <w:sz w:val="20"/>
                <w:szCs w:val="20"/>
              </w:rPr>
              <w:t>366,124</w:t>
            </w:r>
          </w:p>
        </w:tc>
        <w:tc>
          <w:tcPr>
            <w:tcW w:w="1563" w:type="dxa"/>
            <w:tcBorders>
              <w:top w:val="single" w:sz="4" w:space="0" w:color="auto"/>
            </w:tcBorders>
            <w:shd w:val="clear" w:color="auto" w:fill="auto"/>
            <w:vAlign w:val="center"/>
          </w:tcPr>
          <w:p w:rsidR="00A839B8" w:rsidRDefault="00E64F33">
            <w:pPr>
              <w:jc w:val="right"/>
              <w:rPr>
                <w:sz w:val="20"/>
                <w:szCs w:val="20"/>
              </w:rPr>
            </w:pPr>
            <w:r>
              <w:rPr>
                <w:sz w:val="20"/>
                <w:szCs w:val="20"/>
              </w:rPr>
              <w:t>93,621</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2</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20</w:t>
            </w:r>
            <w:r>
              <w:rPr>
                <w:sz w:val="20"/>
                <w:szCs w:val="20"/>
              </w:rPr>
              <w:t xml:space="preserve"> tricyclic terpane (b)</w:t>
            </w:r>
          </w:p>
        </w:tc>
        <w:tc>
          <w:tcPr>
            <w:tcW w:w="1154" w:type="dxa"/>
            <w:shd w:val="clear" w:color="auto" w:fill="auto"/>
            <w:noWrap/>
            <w:vAlign w:val="center"/>
          </w:tcPr>
          <w:p w:rsidR="00A839B8" w:rsidRDefault="00E64F33">
            <w:pPr>
              <w:jc w:val="center"/>
              <w:rPr>
                <w:sz w:val="20"/>
                <w:szCs w:val="20"/>
              </w:rPr>
            </w:pPr>
            <w:r>
              <w:rPr>
                <w:sz w:val="20"/>
                <w:szCs w:val="20"/>
              </w:rPr>
              <w:t>TR20b</w:t>
            </w:r>
          </w:p>
        </w:tc>
        <w:tc>
          <w:tcPr>
            <w:tcW w:w="1626" w:type="dxa"/>
            <w:shd w:val="clear" w:color="auto" w:fill="auto"/>
            <w:vAlign w:val="center"/>
          </w:tcPr>
          <w:p w:rsidR="00A839B8" w:rsidRDefault="00E64F33">
            <w:pPr>
              <w:jc w:val="right"/>
              <w:rPr>
                <w:sz w:val="20"/>
                <w:szCs w:val="20"/>
              </w:rPr>
            </w:pPr>
            <w:r>
              <w:rPr>
                <w:sz w:val="20"/>
                <w:szCs w:val="20"/>
              </w:rPr>
              <w:t>391,817</w:t>
            </w:r>
          </w:p>
        </w:tc>
        <w:tc>
          <w:tcPr>
            <w:tcW w:w="1563" w:type="dxa"/>
            <w:shd w:val="clear" w:color="auto" w:fill="auto"/>
            <w:vAlign w:val="center"/>
          </w:tcPr>
          <w:p w:rsidR="00A839B8" w:rsidRDefault="00E64F33">
            <w:pPr>
              <w:jc w:val="right"/>
              <w:rPr>
                <w:sz w:val="20"/>
                <w:szCs w:val="20"/>
              </w:rPr>
            </w:pPr>
            <w:r>
              <w:rPr>
                <w:sz w:val="20"/>
                <w:szCs w:val="20"/>
              </w:rPr>
              <w:t>110,218</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3</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20</w:t>
            </w:r>
            <w:r>
              <w:rPr>
                <w:sz w:val="20"/>
                <w:szCs w:val="20"/>
              </w:rPr>
              <w:t xml:space="preserve"> tricyclic terpane (c)</w:t>
            </w:r>
          </w:p>
        </w:tc>
        <w:tc>
          <w:tcPr>
            <w:tcW w:w="1154" w:type="dxa"/>
            <w:shd w:val="clear" w:color="auto" w:fill="auto"/>
            <w:noWrap/>
            <w:vAlign w:val="center"/>
          </w:tcPr>
          <w:p w:rsidR="00A839B8" w:rsidRDefault="00E64F33">
            <w:pPr>
              <w:jc w:val="center"/>
              <w:rPr>
                <w:sz w:val="20"/>
                <w:szCs w:val="20"/>
              </w:rPr>
            </w:pPr>
            <w:r>
              <w:rPr>
                <w:sz w:val="20"/>
                <w:szCs w:val="20"/>
              </w:rPr>
              <w:t>TR20c</w:t>
            </w:r>
          </w:p>
        </w:tc>
        <w:tc>
          <w:tcPr>
            <w:tcW w:w="1626" w:type="dxa"/>
            <w:shd w:val="clear" w:color="auto" w:fill="auto"/>
            <w:vAlign w:val="center"/>
          </w:tcPr>
          <w:p w:rsidR="00A839B8" w:rsidRDefault="00E64F33">
            <w:pPr>
              <w:jc w:val="right"/>
              <w:rPr>
                <w:sz w:val="20"/>
                <w:szCs w:val="20"/>
              </w:rPr>
            </w:pPr>
            <w:r>
              <w:rPr>
                <w:sz w:val="20"/>
                <w:szCs w:val="20"/>
              </w:rPr>
              <w:t>16,020</w:t>
            </w:r>
          </w:p>
        </w:tc>
        <w:tc>
          <w:tcPr>
            <w:tcW w:w="1563" w:type="dxa"/>
            <w:shd w:val="clear" w:color="auto" w:fill="auto"/>
            <w:vAlign w:val="center"/>
          </w:tcPr>
          <w:p w:rsidR="00A839B8" w:rsidRDefault="00E64F33">
            <w:pPr>
              <w:jc w:val="right"/>
              <w:rPr>
                <w:sz w:val="20"/>
                <w:szCs w:val="20"/>
              </w:rPr>
            </w:pPr>
            <w:r>
              <w:rPr>
                <w:sz w:val="20"/>
                <w:szCs w:val="20"/>
              </w:rPr>
              <w:t>28,941</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4</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20</w:t>
            </w:r>
            <w:r>
              <w:rPr>
                <w:sz w:val="20"/>
                <w:szCs w:val="20"/>
              </w:rPr>
              <w:t xml:space="preserve"> tricyclic terpane (d)</w:t>
            </w:r>
          </w:p>
        </w:tc>
        <w:tc>
          <w:tcPr>
            <w:tcW w:w="1154" w:type="dxa"/>
            <w:shd w:val="clear" w:color="auto" w:fill="auto"/>
            <w:noWrap/>
            <w:vAlign w:val="center"/>
          </w:tcPr>
          <w:p w:rsidR="00A839B8" w:rsidRDefault="00E64F33">
            <w:pPr>
              <w:jc w:val="center"/>
              <w:rPr>
                <w:sz w:val="20"/>
                <w:szCs w:val="20"/>
              </w:rPr>
            </w:pPr>
            <w:r>
              <w:rPr>
                <w:sz w:val="20"/>
                <w:szCs w:val="20"/>
              </w:rPr>
              <w:t>TR20d</w:t>
            </w:r>
          </w:p>
        </w:tc>
        <w:tc>
          <w:tcPr>
            <w:tcW w:w="1626" w:type="dxa"/>
            <w:shd w:val="clear" w:color="auto" w:fill="auto"/>
            <w:vAlign w:val="center"/>
          </w:tcPr>
          <w:p w:rsidR="00A839B8" w:rsidRDefault="00E64F33">
            <w:pPr>
              <w:jc w:val="right"/>
              <w:rPr>
                <w:sz w:val="20"/>
                <w:szCs w:val="20"/>
              </w:rPr>
            </w:pPr>
            <w:r>
              <w:rPr>
                <w:sz w:val="20"/>
                <w:szCs w:val="20"/>
              </w:rPr>
              <w:t>275,646</w:t>
            </w:r>
          </w:p>
        </w:tc>
        <w:tc>
          <w:tcPr>
            <w:tcW w:w="1563" w:type="dxa"/>
            <w:shd w:val="clear" w:color="auto" w:fill="auto"/>
            <w:vAlign w:val="center"/>
          </w:tcPr>
          <w:p w:rsidR="00A839B8" w:rsidRDefault="00E64F33">
            <w:pPr>
              <w:jc w:val="right"/>
              <w:rPr>
                <w:sz w:val="20"/>
                <w:szCs w:val="20"/>
              </w:rPr>
            </w:pPr>
            <w:r>
              <w:rPr>
                <w:sz w:val="20"/>
                <w:szCs w:val="20"/>
              </w:rPr>
              <w:t>103,863</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5</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20</w:t>
            </w:r>
            <w:r>
              <w:rPr>
                <w:sz w:val="20"/>
                <w:szCs w:val="20"/>
              </w:rPr>
              <w:t xml:space="preserve"> tricyclic terpane (e)</w:t>
            </w:r>
          </w:p>
        </w:tc>
        <w:tc>
          <w:tcPr>
            <w:tcW w:w="1154" w:type="dxa"/>
            <w:shd w:val="clear" w:color="auto" w:fill="auto"/>
            <w:noWrap/>
            <w:vAlign w:val="center"/>
          </w:tcPr>
          <w:p w:rsidR="00A839B8" w:rsidRDefault="00E64F33">
            <w:pPr>
              <w:jc w:val="center"/>
              <w:rPr>
                <w:sz w:val="20"/>
                <w:szCs w:val="20"/>
              </w:rPr>
            </w:pPr>
            <w:r>
              <w:rPr>
                <w:sz w:val="20"/>
                <w:szCs w:val="20"/>
              </w:rPr>
              <w:t>TR20e</w:t>
            </w:r>
          </w:p>
        </w:tc>
        <w:tc>
          <w:tcPr>
            <w:tcW w:w="1626" w:type="dxa"/>
            <w:shd w:val="clear" w:color="auto" w:fill="auto"/>
            <w:vAlign w:val="center"/>
          </w:tcPr>
          <w:p w:rsidR="00A839B8" w:rsidRDefault="00E64F33">
            <w:pPr>
              <w:jc w:val="right"/>
              <w:rPr>
                <w:sz w:val="20"/>
                <w:szCs w:val="20"/>
              </w:rPr>
            </w:pPr>
            <w:r>
              <w:rPr>
                <w:sz w:val="20"/>
                <w:szCs w:val="20"/>
              </w:rPr>
              <w:t>202,053</w:t>
            </w:r>
          </w:p>
        </w:tc>
        <w:tc>
          <w:tcPr>
            <w:tcW w:w="1563" w:type="dxa"/>
            <w:shd w:val="clear" w:color="auto" w:fill="auto"/>
            <w:vAlign w:val="center"/>
          </w:tcPr>
          <w:p w:rsidR="00A839B8" w:rsidRDefault="00E64F33">
            <w:pPr>
              <w:jc w:val="right"/>
              <w:rPr>
                <w:sz w:val="20"/>
                <w:szCs w:val="20"/>
              </w:rPr>
            </w:pPr>
            <w:r>
              <w:rPr>
                <w:sz w:val="20"/>
                <w:szCs w:val="20"/>
              </w:rPr>
              <w:t>71,337</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6</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(a)</w:t>
            </w:r>
          </w:p>
        </w:tc>
        <w:tc>
          <w:tcPr>
            <w:tcW w:w="1154" w:type="dxa"/>
            <w:shd w:val="clear" w:color="auto" w:fill="auto"/>
            <w:noWrap/>
            <w:vAlign w:val="center"/>
          </w:tcPr>
          <w:p w:rsidR="00A839B8" w:rsidRDefault="00E64F33">
            <w:pPr>
              <w:jc w:val="center"/>
              <w:rPr>
                <w:sz w:val="20"/>
                <w:szCs w:val="20"/>
              </w:rPr>
            </w:pPr>
            <w:r>
              <w:rPr>
                <w:sz w:val="20"/>
                <w:szCs w:val="20"/>
              </w:rPr>
              <w:t>TR21a</w:t>
            </w:r>
          </w:p>
        </w:tc>
        <w:tc>
          <w:tcPr>
            <w:tcW w:w="1626" w:type="dxa"/>
            <w:shd w:val="clear" w:color="auto" w:fill="auto"/>
            <w:vAlign w:val="center"/>
          </w:tcPr>
          <w:p w:rsidR="00A839B8" w:rsidRDefault="00E64F33">
            <w:pPr>
              <w:jc w:val="right"/>
              <w:rPr>
                <w:sz w:val="20"/>
                <w:szCs w:val="20"/>
              </w:rPr>
            </w:pPr>
            <w:r>
              <w:rPr>
                <w:sz w:val="20"/>
                <w:szCs w:val="20"/>
              </w:rPr>
              <w:t>69,523</w:t>
            </w:r>
          </w:p>
        </w:tc>
        <w:tc>
          <w:tcPr>
            <w:tcW w:w="1563" w:type="dxa"/>
            <w:shd w:val="clear" w:color="auto" w:fill="auto"/>
            <w:vAlign w:val="center"/>
          </w:tcPr>
          <w:p w:rsidR="00A839B8" w:rsidRDefault="00E64F33">
            <w:pPr>
              <w:jc w:val="right"/>
              <w:rPr>
                <w:sz w:val="20"/>
                <w:szCs w:val="20"/>
              </w:rPr>
            </w:pPr>
            <w:r>
              <w:rPr>
                <w:sz w:val="20"/>
                <w:szCs w:val="20"/>
              </w:rPr>
              <w:t>38,008</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7</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(b)</w:t>
            </w:r>
          </w:p>
        </w:tc>
        <w:tc>
          <w:tcPr>
            <w:tcW w:w="1154" w:type="dxa"/>
            <w:shd w:val="clear" w:color="auto" w:fill="auto"/>
            <w:noWrap/>
            <w:vAlign w:val="center"/>
          </w:tcPr>
          <w:p w:rsidR="00A839B8" w:rsidRDefault="00E64F33">
            <w:pPr>
              <w:jc w:val="center"/>
              <w:rPr>
                <w:sz w:val="20"/>
                <w:szCs w:val="20"/>
              </w:rPr>
            </w:pPr>
            <w:r>
              <w:rPr>
                <w:sz w:val="20"/>
                <w:szCs w:val="20"/>
              </w:rPr>
              <w:t>TR21b</w:t>
            </w:r>
          </w:p>
        </w:tc>
        <w:tc>
          <w:tcPr>
            <w:tcW w:w="1626" w:type="dxa"/>
            <w:shd w:val="clear" w:color="auto" w:fill="auto"/>
            <w:vAlign w:val="center"/>
          </w:tcPr>
          <w:p w:rsidR="00A839B8" w:rsidRDefault="00E64F33">
            <w:pPr>
              <w:jc w:val="right"/>
              <w:rPr>
                <w:sz w:val="20"/>
                <w:szCs w:val="20"/>
              </w:rPr>
            </w:pPr>
            <w:r>
              <w:rPr>
                <w:sz w:val="20"/>
                <w:szCs w:val="20"/>
              </w:rPr>
              <w:t>150,939</w:t>
            </w:r>
          </w:p>
        </w:tc>
        <w:tc>
          <w:tcPr>
            <w:tcW w:w="1563" w:type="dxa"/>
            <w:shd w:val="clear" w:color="auto" w:fill="auto"/>
            <w:vAlign w:val="center"/>
          </w:tcPr>
          <w:p w:rsidR="00A839B8" w:rsidRDefault="00E64F33">
            <w:pPr>
              <w:jc w:val="right"/>
              <w:rPr>
                <w:sz w:val="20"/>
                <w:szCs w:val="20"/>
              </w:rPr>
            </w:pPr>
            <w:r>
              <w:rPr>
                <w:sz w:val="20"/>
                <w:szCs w:val="20"/>
              </w:rPr>
              <w:t>42,236</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8</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(c)</w:t>
            </w:r>
          </w:p>
        </w:tc>
        <w:tc>
          <w:tcPr>
            <w:tcW w:w="1154" w:type="dxa"/>
            <w:shd w:val="clear" w:color="auto" w:fill="auto"/>
            <w:noWrap/>
            <w:vAlign w:val="center"/>
          </w:tcPr>
          <w:p w:rsidR="00A839B8" w:rsidRDefault="00E64F33">
            <w:pPr>
              <w:jc w:val="center"/>
              <w:rPr>
                <w:sz w:val="20"/>
                <w:szCs w:val="20"/>
              </w:rPr>
            </w:pPr>
            <w:r>
              <w:rPr>
                <w:sz w:val="20"/>
                <w:szCs w:val="20"/>
              </w:rPr>
              <w:t>TR21c</w:t>
            </w:r>
          </w:p>
        </w:tc>
        <w:tc>
          <w:tcPr>
            <w:tcW w:w="1626" w:type="dxa"/>
            <w:shd w:val="clear" w:color="auto" w:fill="auto"/>
            <w:vAlign w:val="center"/>
          </w:tcPr>
          <w:p w:rsidR="00A839B8" w:rsidRDefault="00E64F33">
            <w:pPr>
              <w:jc w:val="right"/>
              <w:rPr>
                <w:sz w:val="20"/>
                <w:szCs w:val="20"/>
              </w:rPr>
            </w:pPr>
            <w:r>
              <w:rPr>
                <w:sz w:val="20"/>
                <w:szCs w:val="20"/>
              </w:rPr>
              <w:t>93,007</w:t>
            </w:r>
          </w:p>
        </w:tc>
        <w:tc>
          <w:tcPr>
            <w:tcW w:w="1563" w:type="dxa"/>
            <w:shd w:val="clear" w:color="auto" w:fill="auto"/>
            <w:vAlign w:val="center"/>
          </w:tcPr>
          <w:p w:rsidR="00A839B8" w:rsidRDefault="00E64F33">
            <w:pPr>
              <w:jc w:val="right"/>
              <w:rPr>
                <w:sz w:val="20"/>
                <w:szCs w:val="20"/>
              </w:rPr>
            </w:pPr>
            <w:r>
              <w:rPr>
                <w:sz w:val="20"/>
                <w:szCs w:val="20"/>
              </w:rPr>
              <w:t>51,410</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9</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(d)</w:t>
            </w:r>
          </w:p>
        </w:tc>
        <w:tc>
          <w:tcPr>
            <w:tcW w:w="1154" w:type="dxa"/>
            <w:shd w:val="clear" w:color="auto" w:fill="auto"/>
            <w:noWrap/>
            <w:vAlign w:val="center"/>
          </w:tcPr>
          <w:p w:rsidR="00A839B8" w:rsidRDefault="00E64F33">
            <w:pPr>
              <w:jc w:val="center"/>
              <w:rPr>
                <w:sz w:val="20"/>
                <w:szCs w:val="20"/>
              </w:rPr>
            </w:pPr>
            <w:r>
              <w:rPr>
                <w:sz w:val="20"/>
                <w:szCs w:val="20"/>
              </w:rPr>
              <w:t>TR21d</w:t>
            </w:r>
          </w:p>
        </w:tc>
        <w:tc>
          <w:tcPr>
            <w:tcW w:w="1626" w:type="dxa"/>
            <w:shd w:val="clear" w:color="auto" w:fill="auto"/>
            <w:vAlign w:val="center"/>
          </w:tcPr>
          <w:p w:rsidR="00A839B8" w:rsidRDefault="00E64F33">
            <w:pPr>
              <w:jc w:val="right"/>
              <w:rPr>
                <w:sz w:val="20"/>
                <w:szCs w:val="20"/>
              </w:rPr>
            </w:pPr>
            <w:r>
              <w:rPr>
                <w:sz w:val="20"/>
                <w:szCs w:val="20"/>
              </w:rPr>
              <w:t>252,643</w:t>
            </w:r>
          </w:p>
        </w:tc>
        <w:tc>
          <w:tcPr>
            <w:tcW w:w="1563" w:type="dxa"/>
            <w:shd w:val="clear" w:color="auto" w:fill="auto"/>
            <w:vAlign w:val="center"/>
          </w:tcPr>
          <w:p w:rsidR="00A839B8" w:rsidRDefault="00E64F33">
            <w:pPr>
              <w:jc w:val="right"/>
              <w:rPr>
                <w:sz w:val="20"/>
                <w:szCs w:val="20"/>
              </w:rPr>
            </w:pPr>
            <w:r>
              <w:rPr>
                <w:sz w:val="20"/>
                <w:szCs w:val="20"/>
              </w:rPr>
              <w:t>126,261</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10</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(e)</w:t>
            </w:r>
          </w:p>
        </w:tc>
        <w:tc>
          <w:tcPr>
            <w:tcW w:w="1154" w:type="dxa"/>
            <w:shd w:val="clear" w:color="auto" w:fill="auto"/>
            <w:noWrap/>
            <w:vAlign w:val="center"/>
          </w:tcPr>
          <w:p w:rsidR="00A839B8" w:rsidRDefault="00E64F33">
            <w:pPr>
              <w:jc w:val="center"/>
              <w:rPr>
                <w:sz w:val="20"/>
                <w:szCs w:val="20"/>
              </w:rPr>
            </w:pPr>
            <w:r>
              <w:rPr>
                <w:sz w:val="20"/>
                <w:szCs w:val="20"/>
              </w:rPr>
              <w:t>TR21e</w:t>
            </w:r>
          </w:p>
        </w:tc>
        <w:tc>
          <w:tcPr>
            <w:tcW w:w="1626" w:type="dxa"/>
            <w:shd w:val="clear" w:color="auto" w:fill="auto"/>
            <w:vAlign w:val="center"/>
          </w:tcPr>
          <w:p w:rsidR="00A839B8" w:rsidRDefault="00E64F33">
            <w:pPr>
              <w:jc w:val="right"/>
              <w:rPr>
                <w:sz w:val="20"/>
                <w:szCs w:val="20"/>
              </w:rPr>
            </w:pPr>
            <w:r>
              <w:rPr>
                <w:sz w:val="20"/>
                <w:szCs w:val="20"/>
              </w:rPr>
              <w:t>105,559</w:t>
            </w:r>
          </w:p>
        </w:tc>
        <w:tc>
          <w:tcPr>
            <w:tcW w:w="1563" w:type="dxa"/>
            <w:shd w:val="clear" w:color="auto" w:fill="auto"/>
            <w:vAlign w:val="center"/>
          </w:tcPr>
          <w:p w:rsidR="00A839B8" w:rsidRDefault="00E64F33">
            <w:pPr>
              <w:jc w:val="right"/>
              <w:rPr>
                <w:sz w:val="20"/>
                <w:szCs w:val="20"/>
              </w:rPr>
            </w:pPr>
            <w:r>
              <w:rPr>
                <w:sz w:val="20"/>
                <w:szCs w:val="20"/>
              </w:rPr>
              <w:t>55,733</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11</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(f)</w:t>
            </w:r>
          </w:p>
        </w:tc>
        <w:tc>
          <w:tcPr>
            <w:tcW w:w="1154" w:type="dxa"/>
            <w:shd w:val="clear" w:color="auto" w:fill="auto"/>
            <w:noWrap/>
            <w:vAlign w:val="center"/>
          </w:tcPr>
          <w:p w:rsidR="00A839B8" w:rsidRDefault="00E64F33">
            <w:pPr>
              <w:jc w:val="center"/>
              <w:rPr>
                <w:sz w:val="20"/>
                <w:szCs w:val="20"/>
              </w:rPr>
            </w:pPr>
            <w:r>
              <w:rPr>
                <w:sz w:val="20"/>
                <w:szCs w:val="20"/>
              </w:rPr>
              <w:t>TR21f</w:t>
            </w:r>
          </w:p>
        </w:tc>
        <w:tc>
          <w:tcPr>
            <w:tcW w:w="1626" w:type="dxa"/>
            <w:shd w:val="clear" w:color="auto" w:fill="auto"/>
            <w:vAlign w:val="center"/>
          </w:tcPr>
          <w:p w:rsidR="00A839B8" w:rsidRDefault="00E64F33">
            <w:pPr>
              <w:jc w:val="right"/>
              <w:rPr>
                <w:sz w:val="20"/>
                <w:szCs w:val="20"/>
              </w:rPr>
            </w:pPr>
            <w:r>
              <w:rPr>
                <w:sz w:val="20"/>
                <w:szCs w:val="20"/>
              </w:rPr>
              <w:t>67,180</w:t>
            </w:r>
          </w:p>
        </w:tc>
        <w:tc>
          <w:tcPr>
            <w:tcW w:w="1563" w:type="dxa"/>
            <w:shd w:val="clear" w:color="auto" w:fill="auto"/>
            <w:vAlign w:val="center"/>
          </w:tcPr>
          <w:p w:rsidR="00A839B8" w:rsidRDefault="00E64F33">
            <w:pPr>
              <w:jc w:val="right"/>
              <w:rPr>
                <w:sz w:val="20"/>
                <w:szCs w:val="20"/>
              </w:rPr>
            </w:pPr>
            <w:r>
              <w:rPr>
                <w:sz w:val="20"/>
                <w:szCs w:val="20"/>
              </w:rPr>
              <w:t>47,132</w:t>
            </w:r>
          </w:p>
        </w:tc>
      </w:tr>
      <w:tr w:rsidR="00A839B8">
        <w:trPr>
          <w:trHeight w:val="244"/>
          <w:jc w:val="center"/>
        </w:trPr>
        <w:tc>
          <w:tcPr>
            <w:tcW w:w="1242" w:type="dxa"/>
            <w:shd w:val="clear" w:color="auto" w:fill="auto"/>
            <w:noWrap/>
            <w:vAlign w:val="center"/>
          </w:tcPr>
          <w:p w:rsidR="00A839B8" w:rsidRDefault="00E64F33">
            <w:pPr>
              <w:jc w:val="center"/>
              <w:rPr>
                <w:sz w:val="20"/>
                <w:szCs w:val="20"/>
              </w:rPr>
            </w:pPr>
            <w:r>
              <w:rPr>
                <w:sz w:val="20"/>
                <w:szCs w:val="20"/>
              </w:rPr>
              <w:t>12</w:t>
            </w:r>
          </w:p>
        </w:tc>
        <w:tc>
          <w:tcPr>
            <w:tcW w:w="3374" w:type="dxa"/>
            <w:shd w:val="clear" w:color="auto" w:fill="auto"/>
            <w:noWrap/>
            <w:vAlign w:val="center"/>
          </w:tcPr>
          <w:p w:rsidR="00A839B8" w:rsidRDefault="00E64F33">
            <w:pPr>
              <w:jc w:val="center"/>
              <w:rPr>
                <w:sz w:val="20"/>
                <w:szCs w:val="20"/>
              </w:rPr>
            </w:pPr>
            <w:r>
              <w:rPr>
                <w:sz w:val="20"/>
                <w:szCs w:val="20"/>
              </w:rPr>
              <w:t>C</w:t>
            </w:r>
            <w:r>
              <w:rPr>
                <w:sz w:val="20"/>
                <w:szCs w:val="20"/>
                <w:vertAlign w:val="subscript"/>
              </w:rPr>
              <w:t>21</w:t>
            </w:r>
            <w:r>
              <w:rPr>
                <w:sz w:val="20"/>
                <w:szCs w:val="20"/>
              </w:rPr>
              <w:t xml:space="preserve"> tricyclic terpane (g)</w:t>
            </w:r>
          </w:p>
        </w:tc>
        <w:tc>
          <w:tcPr>
            <w:tcW w:w="1154" w:type="dxa"/>
            <w:shd w:val="clear" w:color="auto" w:fill="auto"/>
            <w:noWrap/>
            <w:vAlign w:val="center"/>
          </w:tcPr>
          <w:p w:rsidR="00A839B8" w:rsidRDefault="00E64F33">
            <w:pPr>
              <w:jc w:val="center"/>
              <w:rPr>
                <w:sz w:val="20"/>
                <w:szCs w:val="20"/>
              </w:rPr>
            </w:pPr>
            <w:r>
              <w:rPr>
                <w:sz w:val="20"/>
                <w:szCs w:val="20"/>
              </w:rPr>
              <w:t>TR21g</w:t>
            </w:r>
          </w:p>
        </w:tc>
        <w:tc>
          <w:tcPr>
            <w:tcW w:w="1626" w:type="dxa"/>
            <w:shd w:val="clear" w:color="auto" w:fill="auto"/>
            <w:vAlign w:val="center"/>
          </w:tcPr>
          <w:p w:rsidR="00A839B8" w:rsidRDefault="00E64F33">
            <w:pPr>
              <w:jc w:val="right"/>
              <w:rPr>
                <w:sz w:val="20"/>
                <w:szCs w:val="20"/>
              </w:rPr>
            </w:pPr>
            <w:r>
              <w:rPr>
                <w:sz w:val="20"/>
                <w:szCs w:val="20"/>
              </w:rPr>
              <w:t>72,831</w:t>
            </w:r>
          </w:p>
        </w:tc>
        <w:tc>
          <w:tcPr>
            <w:tcW w:w="1563" w:type="dxa"/>
            <w:shd w:val="clear" w:color="auto" w:fill="auto"/>
            <w:vAlign w:val="center"/>
          </w:tcPr>
          <w:p w:rsidR="00A839B8" w:rsidRDefault="00E64F33">
            <w:pPr>
              <w:jc w:val="right"/>
              <w:rPr>
                <w:sz w:val="20"/>
                <w:szCs w:val="20"/>
              </w:rPr>
            </w:pPr>
            <w:r>
              <w:rPr>
                <w:sz w:val="20"/>
                <w:szCs w:val="20"/>
              </w:rPr>
              <w:t>81,286</w:t>
            </w:r>
          </w:p>
        </w:tc>
      </w:tr>
      <w:tr w:rsidR="00A839B8">
        <w:trPr>
          <w:trHeight w:val="244"/>
          <w:jc w:val="center"/>
        </w:trPr>
        <w:tc>
          <w:tcPr>
            <w:tcW w:w="1242" w:type="dxa"/>
            <w:shd w:val="clear" w:color="auto" w:fill="auto"/>
            <w:noWrap/>
            <w:vAlign w:val="center"/>
          </w:tcPr>
          <w:p w:rsidR="00A839B8" w:rsidRDefault="00A839B8">
            <w:pPr>
              <w:jc w:val="center"/>
              <w:rPr>
                <w:sz w:val="20"/>
                <w:szCs w:val="20"/>
              </w:rPr>
            </w:pPr>
          </w:p>
        </w:tc>
        <w:tc>
          <w:tcPr>
            <w:tcW w:w="3374" w:type="dxa"/>
            <w:shd w:val="clear" w:color="auto" w:fill="auto"/>
            <w:noWrap/>
            <w:vAlign w:val="center"/>
          </w:tcPr>
          <w:p w:rsidR="00A839B8" w:rsidRDefault="00E64F33">
            <w:pPr>
              <w:jc w:val="center"/>
              <w:rPr>
                <w:sz w:val="20"/>
                <w:szCs w:val="20"/>
              </w:rPr>
            </w:pPr>
            <w:r>
              <w:rPr>
                <w:sz w:val="20"/>
                <w:szCs w:val="20"/>
              </w:rPr>
              <w:t>Total C</w:t>
            </w:r>
            <w:r>
              <w:rPr>
                <w:sz w:val="20"/>
                <w:szCs w:val="20"/>
                <w:vertAlign w:val="subscript"/>
              </w:rPr>
              <w:t>20</w:t>
            </w:r>
            <w:r>
              <w:rPr>
                <w:sz w:val="20"/>
                <w:szCs w:val="20"/>
              </w:rPr>
              <w:t xml:space="preserve"> tricyclic terpanes</w:t>
            </w:r>
          </w:p>
        </w:tc>
        <w:tc>
          <w:tcPr>
            <w:tcW w:w="1154" w:type="dxa"/>
            <w:shd w:val="clear" w:color="auto" w:fill="auto"/>
            <w:noWrap/>
            <w:vAlign w:val="center"/>
          </w:tcPr>
          <w:p w:rsidR="00A839B8" w:rsidRDefault="00A839B8">
            <w:pPr>
              <w:jc w:val="center"/>
              <w:rPr>
                <w:sz w:val="20"/>
                <w:szCs w:val="20"/>
              </w:rPr>
            </w:pPr>
          </w:p>
        </w:tc>
        <w:tc>
          <w:tcPr>
            <w:tcW w:w="1626" w:type="dxa"/>
            <w:shd w:val="clear" w:color="auto" w:fill="auto"/>
            <w:vAlign w:val="center"/>
          </w:tcPr>
          <w:p w:rsidR="00A839B8" w:rsidRDefault="00E64F33">
            <w:pPr>
              <w:jc w:val="right"/>
              <w:rPr>
                <w:sz w:val="20"/>
                <w:szCs w:val="20"/>
              </w:rPr>
            </w:pPr>
            <w:r>
              <w:rPr>
                <w:sz w:val="20"/>
                <w:szCs w:val="20"/>
              </w:rPr>
              <w:t>1,251,660</w:t>
            </w:r>
          </w:p>
        </w:tc>
        <w:tc>
          <w:tcPr>
            <w:tcW w:w="1563" w:type="dxa"/>
            <w:shd w:val="clear" w:color="auto" w:fill="auto"/>
            <w:vAlign w:val="center"/>
          </w:tcPr>
          <w:p w:rsidR="00A839B8" w:rsidRDefault="00E64F33">
            <w:pPr>
              <w:jc w:val="right"/>
              <w:rPr>
                <w:sz w:val="20"/>
                <w:szCs w:val="20"/>
              </w:rPr>
            </w:pPr>
            <w:r>
              <w:rPr>
                <w:sz w:val="20"/>
                <w:szCs w:val="20"/>
              </w:rPr>
              <w:t>407,980</w:t>
            </w:r>
          </w:p>
        </w:tc>
      </w:tr>
      <w:tr w:rsidR="00A839B8">
        <w:trPr>
          <w:trHeight w:val="244"/>
          <w:jc w:val="center"/>
        </w:trPr>
        <w:tc>
          <w:tcPr>
            <w:tcW w:w="1242" w:type="dxa"/>
            <w:shd w:val="clear" w:color="auto" w:fill="auto"/>
            <w:noWrap/>
            <w:vAlign w:val="center"/>
          </w:tcPr>
          <w:p w:rsidR="00A839B8" w:rsidRDefault="00A839B8">
            <w:pPr>
              <w:jc w:val="center"/>
              <w:rPr>
                <w:sz w:val="20"/>
                <w:szCs w:val="20"/>
              </w:rPr>
            </w:pPr>
          </w:p>
        </w:tc>
        <w:tc>
          <w:tcPr>
            <w:tcW w:w="3374" w:type="dxa"/>
            <w:shd w:val="clear" w:color="auto" w:fill="auto"/>
            <w:noWrap/>
            <w:vAlign w:val="center"/>
          </w:tcPr>
          <w:p w:rsidR="00A839B8" w:rsidRDefault="00E64F33">
            <w:pPr>
              <w:jc w:val="center"/>
              <w:rPr>
                <w:sz w:val="20"/>
                <w:szCs w:val="20"/>
              </w:rPr>
            </w:pPr>
            <w:r>
              <w:rPr>
                <w:sz w:val="20"/>
                <w:szCs w:val="20"/>
              </w:rPr>
              <w:t>Total C</w:t>
            </w:r>
            <w:r>
              <w:rPr>
                <w:sz w:val="20"/>
                <w:szCs w:val="20"/>
                <w:vertAlign w:val="subscript"/>
              </w:rPr>
              <w:t>21</w:t>
            </w:r>
            <w:r>
              <w:rPr>
                <w:sz w:val="20"/>
                <w:szCs w:val="20"/>
              </w:rPr>
              <w:t xml:space="preserve"> tricyclic terpanes</w:t>
            </w:r>
          </w:p>
        </w:tc>
        <w:tc>
          <w:tcPr>
            <w:tcW w:w="1154" w:type="dxa"/>
            <w:shd w:val="clear" w:color="auto" w:fill="auto"/>
            <w:noWrap/>
            <w:vAlign w:val="center"/>
          </w:tcPr>
          <w:p w:rsidR="00A839B8" w:rsidRDefault="00A839B8">
            <w:pPr>
              <w:jc w:val="center"/>
              <w:rPr>
                <w:sz w:val="20"/>
                <w:szCs w:val="20"/>
              </w:rPr>
            </w:pPr>
          </w:p>
        </w:tc>
        <w:tc>
          <w:tcPr>
            <w:tcW w:w="1626" w:type="dxa"/>
            <w:shd w:val="clear" w:color="auto" w:fill="auto"/>
            <w:vAlign w:val="center"/>
          </w:tcPr>
          <w:p w:rsidR="00A839B8" w:rsidRDefault="00E64F33">
            <w:pPr>
              <w:jc w:val="right"/>
              <w:rPr>
                <w:sz w:val="20"/>
                <w:szCs w:val="20"/>
              </w:rPr>
            </w:pPr>
            <w:r>
              <w:rPr>
                <w:sz w:val="20"/>
                <w:szCs w:val="20"/>
              </w:rPr>
              <w:t>811,682</w:t>
            </w:r>
          </w:p>
        </w:tc>
        <w:tc>
          <w:tcPr>
            <w:tcW w:w="1563" w:type="dxa"/>
            <w:shd w:val="clear" w:color="auto" w:fill="auto"/>
            <w:vAlign w:val="center"/>
          </w:tcPr>
          <w:p w:rsidR="00A839B8" w:rsidRDefault="00E64F33">
            <w:pPr>
              <w:jc w:val="right"/>
              <w:rPr>
                <w:sz w:val="20"/>
                <w:szCs w:val="20"/>
              </w:rPr>
            </w:pPr>
            <w:r>
              <w:rPr>
                <w:sz w:val="20"/>
                <w:szCs w:val="20"/>
              </w:rPr>
              <w:t>442,066</w:t>
            </w:r>
          </w:p>
        </w:tc>
      </w:tr>
      <w:tr w:rsidR="00A839B8">
        <w:trPr>
          <w:trHeight w:val="283"/>
          <w:jc w:val="center"/>
        </w:trPr>
        <w:tc>
          <w:tcPr>
            <w:tcW w:w="1242" w:type="dxa"/>
            <w:tcBorders>
              <w:bottom w:val="single" w:sz="4" w:space="0" w:color="auto"/>
            </w:tcBorders>
            <w:shd w:val="clear" w:color="auto" w:fill="auto"/>
            <w:noWrap/>
            <w:vAlign w:val="center"/>
          </w:tcPr>
          <w:p w:rsidR="00A839B8" w:rsidRDefault="00A839B8">
            <w:pPr>
              <w:jc w:val="center"/>
              <w:rPr>
                <w:sz w:val="20"/>
                <w:szCs w:val="20"/>
              </w:rPr>
            </w:pPr>
          </w:p>
        </w:tc>
        <w:tc>
          <w:tcPr>
            <w:tcW w:w="3374" w:type="dxa"/>
            <w:tcBorders>
              <w:bottom w:val="single" w:sz="4" w:space="0" w:color="auto"/>
            </w:tcBorders>
            <w:shd w:val="clear" w:color="auto" w:fill="auto"/>
            <w:noWrap/>
            <w:vAlign w:val="center"/>
          </w:tcPr>
          <w:p w:rsidR="00A839B8" w:rsidRDefault="00E64F33">
            <w:pPr>
              <w:jc w:val="center"/>
              <w:rPr>
                <w:sz w:val="20"/>
                <w:szCs w:val="20"/>
              </w:rPr>
            </w:pPr>
            <w:r>
              <w:rPr>
                <w:sz w:val="20"/>
                <w:szCs w:val="20"/>
              </w:rPr>
              <w:t>Total Tricyclic Terpanes</w:t>
            </w:r>
          </w:p>
        </w:tc>
        <w:tc>
          <w:tcPr>
            <w:tcW w:w="1154" w:type="dxa"/>
            <w:tcBorders>
              <w:bottom w:val="single" w:sz="4" w:space="0" w:color="auto"/>
            </w:tcBorders>
            <w:shd w:val="clear" w:color="auto" w:fill="auto"/>
            <w:noWrap/>
            <w:vAlign w:val="center"/>
          </w:tcPr>
          <w:p w:rsidR="00A839B8" w:rsidRDefault="00A839B8">
            <w:pPr>
              <w:jc w:val="center"/>
              <w:rPr>
                <w:sz w:val="20"/>
                <w:szCs w:val="20"/>
              </w:rPr>
            </w:pPr>
          </w:p>
        </w:tc>
        <w:tc>
          <w:tcPr>
            <w:tcW w:w="1626" w:type="dxa"/>
            <w:tcBorders>
              <w:bottom w:val="single" w:sz="4" w:space="0" w:color="auto"/>
            </w:tcBorders>
            <w:shd w:val="clear" w:color="auto" w:fill="auto"/>
            <w:vAlign w:val="center"/>
          </w:tcPr>
          <w:p w:rsidR="00A839B8" w:rsidRDefault="00E64F33">
            <w:pPr>
              <w:jc w:val="right"/>
              <w:rPr>
                <w:sz w:val="20"/>
                <w:szCs w:val="20"/>
              </w:rPr>
            </w:pPr>
            <w:r>
              <w:rPr>
                <w:sz w:val="20"/>
                <w:szCs w:val="20"/>
              </w:rPr>
              <w:t>2,063,342</w:t>
            </w:r>
          </w:p>
        </w:tc>
        <w:tc>
          <w:tcPr>
            <w:tcW w:w="1563" w:type="dxa"/>
            <w:tcBorders>
              <w:bottom w:val="single" w:sz="4" w:space="0" w:color="auto"/>
            </w:tcBorders>
            <w:shd w:val="clear" w:color="auto" w:fill="auto"/>
            <w:vAlign w:val="center"/>
          </w:tcPr>
          <w:p w:rsidR="00A839B8" w:rsidRDefault="00E64F33">
            <w:pPr>
              <w:jc w:val="right"/>
              <w:rPr>
                <w:sz w:val="20"/>
                <w:szCs w:val="20"/>
              </w:rPr>
            </w:pPr>
            <w:r>
              <w:rPr>
                <w:sz w:val="20"/>
                <w:szCs w:val="20"/>
              </w:rPr>
              <w:t>850,046</w:t>
            </w:r>
          </w:p>
        </w:tc>
      </w:tr>
    </w:tbl>
    <w:p w:rsidR="00A839B8" w:rsidRDefault="00A839B8">
      <w:pPr>
        <w:jc w:val="both"/>
        <w:rPr>
          <w:sz w:val="20"/>
          <w:szCs w:val="20"/>
        </w:rPr>
      </w:pPr>
    </w:p>
    <w:p w:rsidR="00A839B8" w:rsidRDefault="00A839B8">
      <w:pPr>
        <w:jc w:val="both"/>
        <w:rPr>
          <w:sz w:val="20"/>
          <w:szCs w:val="20"/>
        </w:rPr>
        <w:sectPr w:rsidR="00A839B8">
          <w:footnotePr>
            <w:pos w:val="beneathText"/>
          </w:footnotePr>
          <w:type w:val="continuous"/>
          <w:pgSz w:w="12240" w:h="15840"/>
          <w:pgMar w:top="1440" w:right="1440" w:bottom="1440" w:left="1440" w:header="720" w:footer="720" w:gutter="0"/>
          <w:cols w:space="576"/>
          <w:docGrid w:linePitch="360"/>
        </w:sectPr>
      </w:pPr>
    </w:p>
    <w:p w:rsidR="00A839B8" w:rsidRDefault="00E64F33">
      <w:pPr>
        <w:ind w:firstLine="720"/>
        <w:jc w:val="both"/>
        <w:rPr>
          <w:sz w:val="20"/>
          <w:szCs w:val="20"/>
        </w:rPr>
      </w:pPr>
      <w:r>
        <w:rPr>
          <w:sz w:val="20"/>
          <w:szCs w:val="20"/>
        </w:rPr>
        <w:lastRenderedPageBreak/>
        <w:t>The total abundance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 RV-35 was 2.43 times more than the total abundance in DT-80 (table 1). </w:t>
      </w:r>
      <w:r>
        <w:rPr>
          <w:rFonts w:eastAsia="Calibri"/>
          <w:sz w:val="20"/>
          <w:szCs w:val="20"/>
          <w:lang w:eastAsia="en-US"/>
        </w:rPr>
        <w:t xml:space="preserve">During the transformation of organic matter to crude oil, </w:t>
      </w:r>
      <w:r>
        <w:rPr>
          <w:sz w:val="20"/>
          <w:szCs w:val="20"/>
        </w:rPr>
        <w:t>high molecular weight hydrocarbons are thermally cracked to low molecular weight hydrocarbons (Waples, 1985). As a result, sesterterpanes and triterpanes in kerogen are thermally cracked to tricyclic terpanes, which are always abundant in high maturity cru</w:t>
      </w:r>
      <w:r>
        <w:rPr>
          <w:sz w:val="20"/>
          <w:szCs w:val="20"/>
        </w:rPr>
        <w:t xml:space="preserve">de oils regardless of the organic matter source (Farrimond et al., 1999). </w:t>
      </w:r>
      <w:r>
        <w:rPr>
          <w:bCs/>
          <w:sz w:val="20"/>
          <w:szCs w:val="20"/>
        </w:rPr>
        <w:t xml:space="preserve">This suggest oil sample RV-35 was significantly more matured than DT-80. </w:t>
      </w:r>
      <w:r>
        <w:rPr>
          <w:sz w:val="20"/>
          <w:szCs w:val="20"/>
        </w:rPr>
        <w:t xml:space="preserve">From table 1, the total </w:t>
      </w:r>
      <w:r>
        <w:rPr>
          <w:bCs/>
          <w:sz w:val="20"/>
          <w:szCs w:val="20"/>
        </w:rPr>
        <w:t>abundance</w:t>
      </w:r>
      <w:r>
        <w:rPr>
          <w:sz w:val="20"/>
          <w:szCs w:val="20"/>
        </w:rPr>
        <w:t xml:space="preserve">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w:t>
      </w:r>
      <w:r>
        <w:rPr>
          <w:rFonts w:eastAsia="Calibri"/>
          <w:sz w:val="20"/>
          <w:szCs w:val="20"/>
          <w:lang w:eastAsia="en-US"/>
        </w:rPr>
        <w:t xml:space="preserve"> </w:t>
      </w:r>
      <w:r>
        <w:rPr>
          <w:bCs/>
          <w:sz w:val="20"/>
          <w:szCs w:val="20"/>
        </w:rPr>
        <w:t xml:space="preserve">is </w:t>
      </w:r>
      <w:r>
        <w:rPr>
          <w:sz w:val="20"/>
          <w:szCs w:val="20"/>
        </w:rPr>
        <w:t xml:space="preserve">3.07 and 1.84 times </w:t>
      </w:r>
      <w:r>
        <w:rPr>
          <w:bCs/>
          <w:sz w:val="20"/>
          <w:szCs w:val="20"/>
        </w:rPr>
        <w:t>more i</w:t>
      </w:r>
      <w:r>
        <w:rPr>
          <w:sz w:val="20"/>
          <w:szCs w:val="20"/>
        </w:rPr>
        <w:t xml:space="preserve">n </w:t>
      </w:r>
      <w:r>
        <w:rPr>
          <w:bCs/>
          <w:sz w:val="20"/>
          <w:szCs w:val="20"/>
        </w:rPr>
        <w:t>RV-35 than</w:t>
      </w:r>
      <w:r>
        <w:rPr>
          <w:bCs/>
          <w:sz w:val="20"/>
          <w:szCs w:val="20"/>
        </w:rPr>
        <w:t xml:space="preserve"> DT-80,</w:t>
      </w:r>
      <w:r>
        <w:rPr>
          <w:sz w:val="20"/>
          <w:szCs w:val="20"/>
        </w:rPr>
        <w:t xml:space="preserve"> respectively. Furthermore, the total abundance of C</w:t>
      </w:r>
      <w:r>
        <w:rPr>
          <w:sz w:val="20"/>
          <w:szCs w:val="20"/>
          <w:vertAlign w:val="subscript"/>
        </w:rPr>
        <w:t>20</w:t>
      </w:r>
      <w:r>
        <w:rPr>
          <w:sz w:val="20"/>
          <w:szCs w:val="20"/>
        </w:rPr>
        <w:t xml:space="preserve"> tricyclic terpane isomers (TR20a - TR20e; see peak labels in table 1) was 1.54 times more than total abundance of C</w:t>
      </w:r>
      <w:r>
        <w:rPr>
          <w:sz w:val="20"/>
          <w:szCs w:val="20"/>
          <w:vertAlign w:val="subscript"/>
        </w:rPr>
        <w:t>21</w:t>
      </w:r>
      <w:r>
        <w:rPr>
          <w:sz w:val="20"/>
          <w:szCs w:val="20"/>
        </w:rPr>
        <w:t xml:space="preserve"> tricyclic</w:t>
      </w:r>
      <w:r>
        <w:rPr>
          <w:bCs/>
          <w:sz w:val="20"/>
          <w:szCs w:val="20"/>
        </w:rPr>
        <w:t xml:space="preserve"> </w:t>
      </w:r>
      <w:r>
        <w:rPr>
          <w:sz w:val="20"/>
          <w:szCs w:val="20"/>
        </w:rPr>
        <w:t>terpane isomers (TR21a - TR21g; see peak labels in table 1) in RV-</w:t>
      </w:r>
      <w:r>
        <w:rPr>
          <w:sz w:val="20"/>
          <w:szCs w:val="20"/>
        </w:rPr>
        <w:t>35, but was slightly lower (0.92 times) in DT-80.</w:t>
      </w:r>
      <w:r>
        <w:rPr>
          <w:bCs/>
          <w:sz w:val="20"/>
          <w:szCs w:val="20"/>
        </w:rPr>
        <w:t xml:space="preserve"> </w:t>
      </w:r>
      <w:r>
        <w:rPr>
          <w:sz w:val="20"/>
          <w:szCs w:val="20"/>
        </w:rPr>
        <w:t>This suggests that the C</w:t>
      </w:r>
      <w:r>
        <w:rPr>
          <w:sz w:val="20"/>
          <w:szCs w:val="20"/>
          <w:vertAlign w:val="subscript"/>
        </w:rPr>
        <w:t>20</w:t>
      </w:r>
      <w:r>
        <w:rPr>
          <w:sz w:val="20"/>
          <w:szCs w:val="20"/>
        </w:rPr>
        <w:t xml:space="preserve"> tricyclic terpanes are </w:t>
      </w:r>
      <w:r>
        <w:rPr>
          <w:rFonts w:eastAsia="Calibri"/>
          <w:sz w:val="20"/>
          <w:szCs w:val="20"/>
          <w:lang w:eastAsia="en-US"/>
        </w:rPr>
        <w:t xml:space="preserve">generated </w:t>
      </w:r>
      <w:r>
        <w:rPr>
          <w:sz w:val="20"/>
          <w:szCs w:val="20"/>
        </w:rPr>
        <w:t>more than the C</w:t>
      </w:r>
      <w:r>
        <w:rPr>
          <w:sz w:val="20"/>
          <w:szCs w:val="20"/>
          <w:vertAlign w:val="subscript"/>
        </w:rPr>
        <w:t>21</w:t>
      </w:r>
      <w:r>
        <w:rPr>
          <w:sz w:val="20"/>
          <w:szCs w:val="20"/>
        </w:rPr>
        <w:t xml:space="preserve"> tricyclic terpanes as crude oils mature.</w:t>
      </w:r>
    </w:p>
    <w:p w:rsidR="00A839B8" w:rsidRDefault="00E64F33">
      <w:pPr>
        <w:ind w:firstLine="720"/>
        <w:jc w:val="both"/>
        <w:rPr>
          <w:rFonts w:eastAsia="Calibri"/>
          <w:sz w:val="20"/>
          <w:szCs w:val="20"/>
          <w:lang w:eastAsia="en-US"/>
        </w:rPr>
      </w:pPr>
      <w:r>
        <w:rPr>
          <w:rFonts w:eastAsia="Calibri"/>
          <w:sz w:val="20"/>
          <w:szCs w:val="20"/>
          <w:lang w:eastAsia="en-US"/>
        </w:rPr>
        <w:t xml:space="preserve">Individual </w:t>
      </w:r>
      <w:r>
        <w:rPr>
          <w:sz w:val="20"/>
          <w:szCs w:val="20"/>
        </w:rPr>
        <w:t>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w:t>
      </w:r>
      <w:r>
        <w:rPr>
          <w:bCs/>
          <w:sz w:val="20"/>
          <w:szCs w:val="20"/>
        </w:rPr>
        <w:t xml:space="preserve"> </w:t>
      </w:r>
      <w:r>
        <w:rPr>
          <w:sz w:val="20"/>
          <w:szCs w:val="20"/>
        </w:rPr>
        <w:t>terpanes</w:t>
      </w:r>
      <w:r>
        <w:rPr>
          <w:rFonts w:eastAsia="Calibri"/>
          <w:sz w:val="20"/>
          <w:szCs w:val="20"/>
          <w:lang w:eastAsia="en-US"/>
        </w:rPr>
        <w:t xml:space="preserve"> </w:t>
      </w:r>
      <w:r>
        <w:rPr>
          <w:sz w:val="20"/>
          <w:szCs w:val="20"/>
        </w:rPr>
        <w:t xml:space="preserve">were generally more abundant in RV-35 than DT-80, except TR20c and TR21g which were </w:t>
      </w:r>
      <w:r>
        <w:rPr>
          <w:rFonts w:eastAsia="AdvEPSTIM"/>
          <w:sz w:val="20"/>
          <w:szCs w:val="20"/>
          <w:lang w:eastAsia="en-US"/>
        </w:rPr>
        <w:t xml:space="preserve">slightly more abundant in </w:t>
      </w:r>
      <w:r>
        <w:rPr>
          <w:bCs/>
          <w:sz w:val="20"/>
          <w:szCs w:val="20"/>
        </w:rPr>
        <w:t xml:space="preserve">DT-80 than RV-35. TR20a, TR20b, TR20d and TR21d were the most abundant </w:t>
      </w:r>
      <w:r>
        <w:rPr>
          <w:sz w:val="20"/>
          <w:szCs w:val="20"/>
        </w:rPr>
        <w:t>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 both oil samples. TR20b, TR20a, TR20d, an</w:t>
      </w:r>
      <w:r>
        <w:rPr>
          <w:sz w:val="20"/>
          <w:szCs w:val="20"/>
        </w:rPr>
        <w:t xml:space="preserve">d TR21d were the most </w:t>
      </w:r>
      <w:r>
        <w:rPr>
          <w:bCs/>
          <w:sz w:val="20"/>
          <w:szCs w:val="20"/>
        </w:rPr>
        <w:t xml:space="preserve">abundant </w:t>
      </w:r>
      <w:r>
        <w:rPr>
          <w:sz w:val="20"/>
          <w:szCs w:val="20"/>
        </w:rPr>
        <w:t>in RV-35, constituting 18.99%, 17.74%,</w:t>
      </w:r>
      <w:r>
        <w:rPr>
          <w:bCs/>
          <w:sz w:val="20"/>
          <w:szCs w:val="20"/>
        </w:rPr>
        <w:t xml:space="preserve"> </w:t>
      </w:r>
      <w:r>
        <w:rPr>
          <w:sz w:val="20"/>
          <w:szCs w:val="20"/>
        </w:rPr>
        <w:t xml:space="preserve">13.36% </w:t>
      </w:r>
      <w:r>
        <w:rPr>
          <w:bCs/>
          <w:sz w:val="20"/>
          <w:szCs w:val="20"/>
        </w:rPr>
        <w:t xml:space="preserve">and </w:t>
      </w:r>
      <w:r>
        <w:rPr>
          <w:sz w:val="20"/>
          <w:szCs w:val="20"/>
        </w:rPr>
        <w:t>12.24% of total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abundances</w:t>
      </w:r>
      <w:r>
        <w:rPr>
          <w:rFonts w:eastAsia="AdvEPSTIM"/>
          <w:sz w:val="20"/>
          <w:szCs w:val="20"/>
          <w:lang w:eastAsia="en-US"/>
        </w:rPr>
        <w:t xml:space="preserve">, </w:t>
      </w:r>
      <w:r>
        <w:rPr>
          <w:sz w:val="20"/>
          <w:szCs w:val="20"/>
        </w:rPr>
        <w:t xml:space="preserve">while TR21d, TR20b, TR20d, and TR20a were the most </w:t>
      </w:r>
      <w:r>
        <w:rPr>
          <w:bCs/>
          <w:sz w:val="20"/>
          <w:szCs w:val="20"/>
        </w:rPr>
        <w:t xml:space="preserve">abundant </w:t>
      </w:r>
      <w:r>
        <w:rPr>
          <w:sz w:val="20"/>
          <w:szCs w:val="20"/>
        </w:rPr>
        <w:t>in DT-80, constituting 14.85%</w:t>
      </w:r>
      <w:r>
        <w:rPr>
          <w:rFonts w:eastAsia="AdvEPSTIM"/>
          <w:sz w:val="20"/>
          <w:szCs w:val="20"/>
          <w:lang w:eastAsia="en-US"/>
        </w:rPr>
        <w:t xml:space="preserve">, </w:t>
      </w:r>
      <w:r>
        <w:rPr>
          <w:sz w:val="20"/>
          <w:szCs w:val="20"/>
        </w:rPr>
        <w:t>12.97%,</w:t>
      </w:r>
      <w:r>
        <w:rPr>
          <w:bCs/>
          <w:sz w:val="20"/>
          <w:szCs w:val="20"/>
        </w:rPr>
        <w:t xml:space="preserve"> </w:t>
      </w:r>
      <w:r>
        <w:rPr>
          <w:sz w:val="20"/>
          <w:szCs w:val="20"/>
        </w:rPr>
        <w:t xml:space="preserve">12.22% </w:t>
      </w:r>
      <w:r>
        <w:rPr>
          <w:bCs/>
          <w:sz w:val="20"/>
          <w:szCs w:val="20"/>
        </w:rPr>
        <w:t xml:space="preserve">and </w:t>
      </w:r>
      <w:r>
        <w:rPr>
          <w:sz w:val="20"/>
          <w:szCs w:val="20"/>
        </w:rPr>
        <w:t xml:space="preserve">11.01% </w:t>
      </w:r>
      <w:r>
        <w:rPr>
          <w:sz w:val="20"/>
          <w:szCs w:val="20"/>
        </w:rPr>
        <w:t>of total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w:t>
      </w:r>
      <w:r>
        <w:rPr>
          <w:sz w:val="20"/>
          <w:szCs w:val="20"/>
        </w:rPr>
        <w:lastRenderedPageBreak/>
        <w:t xml:space="preserve">terpane abundances, </w:t>
      </w:r>
      <w:r>
        <w:rPr>
          <w:rFonts w:eastAsia="AdvEPSTIM"/>
          <w:sz w:val="20"/>
          <w:szCs w:val="20"/>
          <w:lang w:eastAsia="en-US"/>
        </w:rPr>
        <w:t xml:space="preserve">respectively. </w:t>
      </w:r>
      <w:r>
        <w:rPr>
          <w:bCs/>
          <w:sz w:val="20"/>
          <w:szCs w:val="20"/>
        </w:rPr>
        <w:t xml:space="preserve">TR20c was </w:t>
      </w:r>
      <w:r>
        <w:rPr>
          <w:rFonts w:eastAsia="AdvEPSTIM"/>
          <w:sz w:val="20"/>
          <w:szCs w:val="20"/>
          <w:lang w:eastAsia="en-US"/>
        </w:rPr>
        <w:t xml:space="preserve">the least abundant in </w:t>
      </w:r>
      <w:r>
        <w:rPr>
          <w:bCs/>
          <w:sz w:val="20"/>
          <w:szCs w:val="20"/>
        </w:rPr>
        <w:t xml:space="preserve">RV-35 and DT-80 </w:t>
      </w:r>
      <w:r>
        <w:rPr>
          <w:sz w:val="20"/>
          <w:szCs w:val="20"/>
        </w:rPr>
        <w:t xml:space="preserve">constituting </w:t>
      </w:r>
      <w:r>
        <w:rPr>
          <w:rFonts w:eastAsia="AdvEPSTIM"/>
          <w:sz w:val="20"/>
          <w:szCs w:val="20"/>
          <w:lang w:eastAsia="en-US"/>
        </w:rPr>
        <w:t>0.78% and 3.40%, respectively (table 1). Terpanes derived from different sources have distinct compositions and their characterist</w:t>
      </w:r>
      <w:r>
        <w:rPr>
          <w:rFonts w:eastAsia="AdvEPSTIM"/>
          <w:sz w:val="20"/>
          <w:szCs w:val="20"/>
          <w:lang w:eastAsia="en-US"/>
        </w:rPr>
        <w:t xml:space="preserve">ic profiles are </w:t>
      </w:r>
      <w:r>
        <w:rPr>
          <w:sz w:val="20"/>
          <w:szCs w:val="20"/>
        </w:rPr>
        <w:t xml:space="preserve">employed as fingerprints </w:t>
      </w:r>
      <w:r>
        <w:rPr>
          <w:rFonts w:eastAsia="AdvEPSTIM"/>
          <w:sz w:val="20"/>
          <w:szCs w:val="20"/>
          <w:lang w:eastAsia="en-US"/>
        </w:rPr>
        <w:t>for crude oil correlation and/or differentiation (</w:t>
      </w:r>
      <w:r>
        <w:rPr>
          <w:sz w:val="20"/>
          <w:szCs w:val="20"/>
        </w:rPr>
        <w:t>Peters et al., 2005). The degree of similarity in the abundance profile and compositions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indicates that the </w:t>
      </w:r>
      <w:r>
        <w:rPr>
          <w:rFonts w:eastAsia="AdvEPSTIM"/>
          <w:sz w:val="20"/>
          <w:szCs w:val="20"/>
          <w:lang w:eastAsia="en-US"/>
        </w:rPr>
        <w:t xml:space="preserve">Niger Delta crude oils </w:t>
      </w:r>
      <w:r>
        <w:rPr>
          <w:sz w:val="20"/>
          <w:szCs w:val="20"/>
        </w:rPr>
        <w:t xml:space="preserve">are </w:t>
      </w:r>
      <w:r>
        <w:rPr>
          <w:rFonts w:eastAsia="AdvEPSTIM"/>
          <w:sz w:val="20"/>
          <w:szCs w:val="20"/>
          <w:lang w:eastAsia="en-US"/>
        </w:rPr>
        <w:t>not distinct</w:t>
      </w:r>
      <w:r>
        <w:rPr>
          <w:sz w:val="20"/>
          <w:szCs w:val="20"/>
        </w:rPr>
        <w:t xml:space="preserve"> </w:t>
      </w:r>
      <w:r>
        <w:rPr>
          <w:rFonts w:eastAsia="AdvEPSTIM"/>
          <w:sz w:val="20"/>
          <w:szCs w:val="20"/>
          <w:lang w:eastAsia="en-US"/>
        </w:rPr>
        <w:t xml:space="preserve">but </w:t>
      </w:r>
      <w:r>
        <w:rPr>
          <w:sz w:val="20"/>
          <w:szCs w:val="20"/>
        </w:rPr>
        <w:t xml:space="preserve">rather </w:t>
      </w:r>
      <w:r>
        <w:rPr>
          <w:rFonts w:eastAsia="AdvEPSTIM"/>
          <w:sz w:val="20"/>
          <w:szCs w:val="20"/>
          <w:lang w:eastAsia="en-US"/>
        </w:rPr>
        <w:t>are predominantly derived from the same source organic matter</w:t>
      </w:r>
      <w:r>
        <w:rPr>
          <w:sz w:val="20"/>
          <w:szCs w:val="20"/>
        </w:rPr>
        <w:t>/</w:t>
      </w:r>
      <w:r>
        <w:rPr>
          <w:bCs/>
          <w:sz w:val="20"/>
          <w:szCs w:val="20"/>
        </w:rPr>
        <w:t>depositional environment</w:t>
      </w:r>
      <w:r>
        <w:rPr>
          <w:rFonts w:eastAsia="AdvEPSTIM"/>
          <w:sz w:val="20"/>
          <w:szCs w:val="20"/>
          <w:lang w:eastAsia="en-US"/>
        </w:rPr>
        <w:t xml:space="preserve">. The slightly more abundance of </w:t>
      </w:r>
      <w:r>
        <w:rPr>
          <w:sz w:val="20"/>
          <w:szCs w:val="20"/>
        </w:rPr>
        <w:t xml:space="preserve">TR20c and TR21g </w:t>
      </w:r>
      <w:r>
        <w:rPr>
          <w:rFonts w:eastAsia="AdvEPSTIM"/>
          <w:sz w:val="20"/>
          <w:szCs w:val="20"/>
          <w:lang w:eastAsia="en-US"/>
        </w:rPr>
        <w:t xml:space="preserve">in </w:t>
      </w:r>
      <w:r>
        <w:rPr>
          <w:bCs/>
          <w:sz w:val="20"/>
          <w:szCs w:val="20"/>
        </w:rPr>
        <w:t>DT-80 than RV-35</w:t>
      </w:r>
      <w:r>
        <w:rPr>
          <w:sz w:val="20"/>
          <w:szCs w:val="20"/>
        </w:rPr>
        <w:t xml:space="preserve"> suggest contribution from a different source/</w:t>
      </w:r>
      <w:r>
        <w:rPr>
          <w:bCs/>
          <w:sz w:val="20"/>
          <w:szCs w:val="20"/>
        </w:rPr>
        <w:t>depositional environment</w:t>
      </w:r>
      <w:r>
        <w:rPr>
          <w:sz w:val="20"/>
          <w:szCs w:val="20"/>
        </w:rPr>
        <w:t xml:space="preserve"> </w:t>
      </w:r>
      <w:r>
        <w:rPr>
          <w:bCs/>
          <w:sz w:val="20"/>
          <w:szCs w:val="20"/>
        </w:rPr>
        <w:t xml:space="preserve">to </w:t>
      </w:r>
      <w:r>
        <w:rPr>
          <w:bCs/>
          <w:sz w:val="20"/>
          <w:szCs w:val="20"/>
        </w:rPr>
        <w:t xml:space="preserve">the </w:t>
      </w:r>
      <w:r>
        <w:rPr>
          <w:rFonts w:eastAsia="Calibri"/>
          <w:sz w:val="20"/>
          <w:szCs w:val="20"/>
          <w:lang w:eastAsia="en-US"/>
        </w:rPr>
        <w:t>DT-80 crude oil.</w:t>
      </w:r>
    </w:p>
    <w:p w:rsidR="00A839B8" w:rsidRDefault="00A839B8">
      <w:pPr>
        <w:jc w:val="both"/>
        <w:rPr>
          <w:rFonts w:eastAsia="Calibri"/>
          <w:sz w:val="20"/>
          <w:szCs w:val="20"/>
          <w:lang w:eastAsia="en-US"/>
        </w:rPr>
      </w:pPr>
    </w:p>
    <w:p w:rsidR="00A839B8" w:rsidRDefault="00E64F33">
      <w:pPr>
        <w:rPr>
          <w:b/>
          <w:i/>
          <w:sz w:val="20"/>
          <w:szCs w:val="20"/>
        </w:rPr>
      </w:pPr>
      <w:r>
        <w:rPr>
          <w:b/>
          <w:i/>
          <w:sz w:val="20"/>
          <w:szCs w:val="20"/>
        </w:rPr>
        <w:t xml:space="preserve">3.3. </w:t>
      </w:r>
      <w:r>
        <w:rPr>
          <w:rFonts w:eastAsia="AdvEPSTIM"/>
          <w:b/>
          <w:i/>
          <w:sz w:val="20"/>
          <w:szCs w:val="20"/>
          <w:lang w:eastAsia="en-US"/>
        </w:rPr>
        <w:t>Correlation of Niger Delta Crude oils</w:t>
      </w:r>
    </w:p>
    <w:p w:rsidR="00A839B8" w:rsidRDefault="00E64F33">
      <w:pPr>
        <w:ind w:firstLine="720"/>
        <w:jc w:val="both"/>
        <w:rPr>
          <w:sz w:val="20"/>
          <w:szCs w:val="20"/>
        </w:rPr>
      </w:pPr>
      <w:r>
        <w:rPr>
          <w:sz w:val="20"/>
          <w:szCs w:val="20"/>
        </w:rPr>
        <w:t>From the abundances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 RV-35 and DT-80</w:t>
      </w:r>
      <w:r>
        <w:rPr>
          <w:rFonts w:eastAsia="Calibri"/>
          <w:sz w:val="20"/>
          <w:szCs w:val="20"/>
          <w:lang w:eastAsia="en-US"/>
        </w:rPr>
        <w:t xml:space="preserve">, 66 ratios </w:t>
      </w:r>
      <w:r>
        <w:rPr>
          <w:sz w:val="20"/>
          <w:szCs w:val="20"/>
        </w:rPr>
        <w:t xml:space="preserve">were derived and calculated. Majority of the derived ratios exhibited little/no </w:t>
      </w:r>
      <w:r>
        <w:rPr>
          <w:rFonts w:eastAsia="Calibri"/>
          <w:sz w:val="20"/>
          <w:szCs w:val="20"/>
          <w:lang w:eastAsia="en-US"/>
        </w:rPr>
        <w:t>difference</w:t>
      </w:r>
      <w:r>
        <w:rPr>
          <w:sz w:val="20"/>
          <w:szCs w:val="20"/>
        </w:rPr>
        <w:t xml:space="preserve"> in their calculated values which did not allow for clear differentiation of the </w:t>
      </w:r>
      <w:r>
        <w:rPr>
          <w:rFonts w:eastAsia="Calibri"/>
          <w:sz w:val="20"/>
          <w:szCs w:val="20"/>
          <w:lang w:eastAsia="en-US"/>
        </w:rPr>
        <w:t xml:space="preserve">crude </w:t>
      </w:r>
      <w:r>
        <w:rPr>
          <w:sz w:val="20"/>
          <w:szCs w:val="20"/>
        </w:rPr>
        <w:t>oil samples. Crude oils which show little variation in tricyclic terpane distributions and derivable ratios are mostly from terrigenous Tertiary deltaic petroleum system</w:t>
      </w:r>
      <w:r>
        <w:rPr>
          <w:sz w:val="20"/>
          <w:szCs w:val="20"/>
        </w:rPr>
        <w:t xml:space="preserve">s (Samuel et al., 2010). </w:t>
      </w:r>
      <w:r>
        <w:rPr>
          <w:rFonts w:eastAsia="Calibri"/>
          <w:sz w:val="20"/>
          <w:szCs w:val="20"/>
          <w:lang w:eastAsia="en-US"/>
        </w:rPr>
        <w:t xml:space="preserve">The </w:t>
      </w:r>
      <w:r>
        <w:rPr>
          <w:sz w:val="20"/>
          <w:szCs w:val="20"/>
        </w:rPr>
        <w:t xml:space="preserve">little/no </w:t>
      </w:r>
      <w:r>
        <w:rPr>
          <w:rFonts w:eastAsia="Calibri"/>
          <w:sz w:val="20"/>
          <w:szCs w:val="20"/>
          <w:lang w:eastAsia="en-US"/>
        </w:rPr>
        <w:t>difference</w:t>
      </w:r>
      <w:r>
        <w:rPr>
          <w:sz w:val="20"/>
          <w:szCs w:val="20"/>
        </w:rPr>
        <w:t xml:space="preserve"> </w:t>
      </w:r>
      <w:r>
        <w:rPr>
          <w:rFonts w:eastAsia="Calibri"/>
          <w:sz w:val="20"/>
          <w:szCs w:val="20"/>
          <w:lang w:eastAsia="en-US"/>
        </w:rPr>
        <w:t xml:space="preserve">in the </w:t>
      </w:r>
      <w:r>
        <w:rPr>
          <w:sz w:val="20"/>
          <w:szCs w:val="20"/>
        </w:rPr>
        <w:t>values of majority of the calculated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ratios indicate the </w:t>
      </w:r>
      <w:r>
        <w:rPr>
          <w:rFonts w:eastAsia="AdvEPSTIM"/>
          <w:sz w:val="20"/>
          <w:szCs w:val="20"/>
          <w:lang w:eastAsia="en-US"/>
        </w:rPr>
        <w:t xml:space="preserve">Niger Delta crude oil samples are </w:t>
      </w:r>
      <w:r>
        <w:rPr>
          <w:sz w:val="20"/>
          <w:szCs w:val="20"/>
        </w:rPr>
        <w:t>from terrigenous Tertiary deltaic petroleum systems. However, some of the calc</w:t>
      </w:r>
      <w:r>
        <w:rPr>
          <w:sz w:val="20"/>
          <w:szCs w:val="20"/>
        </w:rPr>
        <w:t>ulated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ratios gave values that permit </w:t>
      </w:r>
      <w:r>
        <w:rPr>
          <w:rFonts w:eastAsia="AdvEPSTIM"/>
          <w:sz w:val="20"/>
          <w:szCs w:val="20"/>
          <w:lang w:eastAsia="en-US"/>
        </w:rPr>
        <w:t xml:space="preserve">differentiation of </w:t>
      </w:r>
      <w:r>
        <w:rPr>
          <w:sz w:val="20"/>
          <w:szCs w:val="20"/>
        </w:rPr>
        <w:t>the oil samples (table 2).</w:t>
      </w:r>
    </w:p>
    <w:p w:rsidR="00A839B8" w:rsidRDefault="00A839B8">
      <w:pPr>
        <w:jc w:val="both"/>
        <w:rPr>
          <w:sz w:val="20"/>
          <w:szCs w:val="20"/>
        </w:rPr>
      </w:pPr>
    </w:p>
    <w:p w:rsidR="00017DB2" w:rsidRDefault="00017DB2">
      <w:pPr>
        <w:jc w:val="both"/>
        <w:rPr>
          <w:sz w:val="20"/>
          <w:szCs w:val="20"/>
        </w:rPr>
      </w:pPr>
    </w:p>
    <w:p w:rsidR="00A839B8" w:rsidRDefault="00E64F33">
      <w:pPr>
        <w:jc w:val="both"/>
        <w:rPr>
          <w:rFonts w:eastAsia="Calibri"/>
          <w:sz w:val="20"/>
          <w:szCs w:val="20"/>
          <w:lang w:eastAsia="en-US"/>
        </w:rPr>
      </w:pPr>
      <w:r>
        <w:rPr>
          <w:sz w:val="20"/>
          <w:szCs w:val="20"/>
        </w:rPr>
        <w:lastRenderedPageBreak/>
        <w:t>Table 2.</w:t>
      </w:r>
      <w:r>
        <w:rPr>
          <w:b/>
          <w:sz w:val="20"/>
          <w:szCs w:val="20"/>
        </w:rPr>
        <w:t xml:space="preserve"> </w:t>
      </w:r>
      <w:r>
        <w:rPr>
          <w:sz w:val="20"/>
          <w:szCs w:val="20"/>
        </w:rPr>
        <w:t>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ratios that permit differentiation of the </w:t>
      </w:r>
      <w:r>
        <w:rPr>
          <w:rFonts w:eastAsia="Calibri"/>
          <w:sz w:val="20"/>
          <w:szCs w:val="20"/>
          <w:lang w:eastAsia="en-US"/>
        </w:rPr>
        <w:t>crude oil samples, Niger Delta, Nigeria</w:t>
      </w:r>
    </w:p>
    <w:p w:rsidR="00A839B8" w:rsidRDefault="00A839B8">
      <w:pPr>
        <w:jc w:val="both"/>
        <w:rPr>
          <w:rFonts w:eastAsia="Calibri"/>
          <w:sz w:val="20"/>
          <w:szCs w:val="20"/>
          <w:lang w:eastAsia="en-US"/>
        </w:rPr>
      </w:pPr>
    </w:p>
    <w:tbl>
      <w:tblPr>
        <w:tblW w:w="4773" w:type="pct"/>
        <w:jc w:val="center"/>
        <w:tblBorders>
          <w:top w:val="single" w:sz="12" w:space="0" w:color="auto"/>
          <w:bottom w:val="single" w:sz="12" w:space="0" w:color="auto"/>
        </w:tblBorders>
        <w:tblLook w:val="04A0" w:firstRow="1" w:lastRow="0" w:firstColumn="1" w:lastColumn="0" w:noHBand="0" w:noVBand="1"/>
      </w:tblPr>
      <w:tblGrid>
        <w:gridCol w:w="2096"/>
        <w:gridCol w:w="1198"/>
        <w:gridCol w:w="1098"/>
      </w:tblGrid>
      <w:tr w:rsidR="00A839B8">
        <w:trPr>
          <w:trHeight w:val="296"/>
          <w:jc w:val="center"/>
        </w:trPr>
        <w:tc>
          <w:tcPr>
            <w:tcW w:w="2099" w:type="dxa"/>
            <w:tcBorders>
              <w:bottom w:val="single" w:sz="4" w:space="0" w:color="auto"/>
            </w:tcBorders>
            <w:shd w:val="clear" w:color="auto" w:fill="auto"/>
            <w:noWrap/>
            <w:vAlign w:val="center"/>
          </w:tcPr>
          <w:p w:rsidR="00A839B8" w:rsidRDefault="00E64F33">
            <w:pPr>
              <w:jc w:val="center"/>
              <w:rPr>
                <w:sz w:val="20"/>
                <w:szCs w:val="20"/>
              </w:rPr>
            </w:pPr>
            <w:r>
              <w:rPr>
                <w:sz w:val="20"/>
                <w:szCs w:val="20"/>
              </w:rPr>
              <w:t>Ratios</w:t>
            </w:r>
          </w:p>
        </w:tc>
        <w:tc>
          <w:tcPr>
            <w:tcW w:w="1200" w:type="dxa"/>
            <w:tcBorders>
              <w:bottom w:val="single" w:sz="4" w:space="0" w:color="auto"/>
            </w:tcBorders>
            <w:shd w:val="clear" w:color="auto" w:fill="auto"/>
            <w:noWrap/>
            <w:vAlign w:val="center"/>
          </w:tcPr>
          <w:p w:rsidR="00A839B8" w:rsidRDefault="00E64F33">
            <w:pPr>
              <w:jc w:val="center"/>
              <w:rPr>
                <w:sz w:val="20"/>
                <w:szCs w:val="20"/>
              </w:rPr>
            </w:pPr>
            <w:r>
              <w:rPr>
                <w:sz w:val="20"/>
                <w:szCs w:val="20"/>
              </w:rPr>
              <w:t>RV-35</w:t>
            </w:r>
          </w:p>
        </w:tc>
        <w:tc>
          <w:tcPr>
            <w:tcW w:w="1100" w:type="dxa"/>
            <w:tcBorders>
              <w:bottom w:val="single" w:sz="4" w:space="0" w:color="auto"/>
            </w:tcBorders>
            <w:shd w:val="clear" w:color="auto" w:fill="auto"/>
            <w:noWrap/>
            <w:vAlign w:val="center"/>
          </w:tcPr>
          <w:p w:rsidR="00A839B8" w:rsidRDefault="00E64F33">
            <w:pPr>
              <w:jc w:val="center"/>
              <w:rPr>
                <w:sz w:val="20"/>
                <w:szCs w:val="20"/>
              </w:rPr>
            </w:pPr>
            <w:r>
              <w:rPr>
                <w:sz w:val="20"/>
                <w:szCs w:val="20"/>
              </w:rPr>
              <w:t>DT-80</w:t>
            </w:r>
          </w:p>
        </w:tc>
      </w:tr>
      <w:tr w:rsidR="00A839B8">
        <w:trPr>
          <w:trHeight w:val="256"/>
          <w:jc w:val="center"/>
        </w:trPr>
        <w:tc>
          <w:tcPr>
            <w:tcW w:w="2099" w:type="dxa"/>
            <w:tcBorders>
              <w:top w:val="single" w:sz="4" w:space="0" w:color="auto"/>
            </w:tcBorders>
            <w:shd w:val="clear" w:color="auto" w:fill="auto"/>
            <w:noWrap/>
            <w:vAlign w:val="center"/>
          </w:tcPr>
          <w:p w:rsidR="00A839B8" w:rsidRDefault="00E64F33">
            <w:pPr>
              <w:jc w:val="center"/>
              <w:rPr>
                <w:sz w:val="20"/>
                <w:szCs w:val="20"/>
              </w:rPr>
            </w:pPr>
            <w:r>
              <w:rPr>
                <w:sz w:val="20"/>
                <w:szCs w:val="20"/>
              </w:rPr>
              <w:t>TR20a/TR20c</w:t>
            </w:r>
          </w:p>
        </w:tc>
        <w:tc>
          <w:tcPr>
            <w:tcW w:w="1200" w:type="dxa"/>
            <w:tcBorders>
              <w:top w:val="single" w:sz="4" w:space="0" w:color="auto"/>
            </w:tcBorders>
            <w:shd w:val="clear" w:color="auto" w:fill="auto"/>
            <w:noWrap/>
            <w:vAlign w:val="center"/>
          </w:tcPr>
          <w:p w:rsidR="00A839B8" w:rsidRDefault="00E64F33">
            <w:pPr>
              <w:jc w:val="center"/>
              <w:rPr>
                <w:sz w:val="20"/>
                <w:szCs w:val="20"/>
              </w:rPr>
            </w:pPr>
            <w:r>
              <w:rPr>
                <w:sz w:val="20"/>
                <w:szCs w:val="20"/>
              </w:rPr>
              <w:t>22.85</w:t>
            </w:r>
          </w:p>
        </w:tc>
        <w:tc>
          <w:tcPr>
            <w:tcW w:w="1100" w:type="dxa"/>
            <w:tcBorders>
              <w:top w:val="single" w:sz="4" w:space="0" w:color="auto"/>
            </w:tcBorders>
            <w:shd w:val="clear" w:color="auto" w:fill="auto"/>
            <w:noWrap/>
            <w:vAlign w:val="center"/>
          </w:tcPr>
          <w:p w:rsidR="00A839B8" w:rsidRDefault="00E64F33">
            <w:pPr>
              <w:jc w:val="center"/>
              <w:rPr>
                <w:sz w:val="20"/>
                <w:szCs w:val="20"/>
              </w:rPr>
            </w:pPr>
            <w:r>
              <w:rPr>
                <w:sz w:val="20"/>
                <w:szCs w:val="20"/>
              </w:rPr>
              <w:t>3.23</w:t>
            </w:r>
          </w:p>
        </w:tc>
      </w:tr>
      <w:tr w:rsidR="00A839B8">
        <w:trPr>
          <w:trHeight w:val="235"/>
          <w:jc w:val="center"/>
        </w:trPr>
        <w:tc>
          <w:tcPr>
            <w:tcW w:w="2099" w:type="dxa"/>
            <w:shd w:val="clear" w:color="auto" w:fill="auto"/>
            <w:noWrap/>
            <w:vAlign w:val="center"/>
          </w:tcPr>
          <w:p w:rsidR="00A839B8" w:rsidRDefault="00E64F33">
            <w:pPr>
              <w:jc w:val="center"/>
              <w:rPr>
                <w:sz w:val="20"/>
                <w:szCs w:val="20"/>
              </w:rPr>
            </w:pPr>
            <w:r>
              <w:rPr>
                <w:sz w:val="20"/>
                <w:szCs w:val="20"/>
              </w:rPr>
              <w:t>TR20a/TR21g</w:t>
            </w:r>
          </w:p>
        </w:tc>
        <w:tc>
          <w:tcPr>
            <w:tcW w:w="1200" w:type="dxa"/>
            <w:shd w:val="clear" w:color="auto" w:fill="auto"/>
            <w:noWrap/>
            <w:vAlign w:val="center"/>
          </w:tcPr>
          <w:p w:rsidR="00A839B8" w:rsidRDefault="00E64F33">
            <w:pPr>
              <w:jc w:val="center"/>
              <w:rPr>
                <w:sz w:val="20"/>
                <w:szCs w:val="20"/>
              </w:rPr>
            </w:pPr>
            <w:r>
              <w:rPr>
                <w:sz w:val="20"/>
                <w:szCs w:val="20"/>
              </w:rPr>
              <w:t>5.03</w:t>
            </w:r>
          </w:p>
        </w:tc>
        <w:tc>
          <w:tcPr>
            <w:tcW w:w="1100" w:type="dxa"/>
            <w:shd w:val="clear" w:color="auto" w:fill="auto"/>
            <w:noWrap/>
            <w:vAlign w:val="center"/>
          </w:tcPr>
          <w:p w:rsidR="00A839B8" w:rsidRDefault="00E64F33">
            <w:pPr>
              <w:jc w:val="center"/>
              <w:rPr>
                <w:sz w:val="20"/>
                <w:szCs w:val="20"/>
              </w:rPr>
            </w:pPr>
            <w:r>
              <w:rPr>
                <w:sz w:val="20"/>
                <w:szCs w:val="20"/>
              </w:rPr>
              <w:t>1.15</w:t>
            </w:r>
          </w:p>
        </w:tc>
      </w:tr>
      <w:tr w:rsidR="00A839B8">
        <w:trPr>
          <w:trHeight w:val="235"/>
          <w:jc w:val="center"/>
        </w:trPr>
        <w:tc>
          <w:tcPr>
            <w:tcW w:w="2099" w:type="dxa"/>
            <w:shd w:val="clear" w:color="auto" w:fill="auto"/>
            <w:noWrap/>
            <w:vAlign w:val="center"/>
          </w:tcPr>
          <w:p w:rsidR="00A839B8" w:rsidRDefault="00E64F33">
            <w:pPr>
              <w:jc w:val="center"/>
              <w:rPr>
                <w:sz w:val="20"/>
                <w:szCs w:val="20"/>
              </w:rPr>
            </w:pPr>
            <w:r>
              <w:rPr>
                <w:sz w:val="20"/>
                <w:szCs w:val="20"/>
              </w:rPr>
              <w:t>TR20b/TR20c</w:t>
            </w:r>
          </w:p>
        </w:tc>
        <w:tc>
          <w:tcPr>
            <w:tcW w:w="1200" w:type="dxa"/>
            <w:shd w:val="clear" w:color="auto" w:fill="auto"/>
            <w:noWrap/>
            <w:vAlign w:val="center"/>
          </w:tcPr>
          <w:p w:rsidR="00A839B8" w:rsidRDefault="00E64F33">
            <w:pPr>
              <w:jc w:val="center"/>
              <w:rPr>
                <w:sz w:val="20"/>
                <w:szCs w:val="20"/>
              </w:rPr>
            </w:pPr>
            <w:r>
              <w:rPr>
                <w:sz w:val="20"/>
                <w:szCs w:val="20"/>
              </w:rPr>
              <w:t>24.46</w:t>
            </w:r>
          </w:p>
        </w:tc>
        <w:tc>
          <w:tcPr>
            <w:tcW w:w="1100" w:type="dxa"/>
            <w:shd w:val="clear" w:color="auto" w:fill="auto"/>
            <w:noWrap/>
            <w:vAlign w:val="center"/>
          </w:tcPr>
          <w:p w:rsidR="00A839B8" w:rsidRDefault="00E64F33">
            <w:pPr>
              <w:jc w:val="center"/>
              <w:rPr>
                <w:sz w:val="20"/>
                <w:szCs w:val="20"/>
              </w:rPr>
            </w:pPr>
            <w:r>
              <w:rPr>
                <w:sz w:val="20"/>
                <w:szCs w:val="20"/>
              </w:rPr>
              <w:t>3.81</w:t>
            </w:r>
          </w:p>
        </w:tc>
      </w:tr>
      <w:tr w:rsidR="00A839B8">
        <w:trPr>
          <w:trHeight w:val="235"/>
          <w:jc w:val="center"/>
        </w:trPr>
        <w:tc>
          <w:tcPr>
            <w:tcW w:w="2099" w:type="dxa"/>
            <w:shd w:val="clear" w:color="auto" w:fill="auto"/>
            <w:noWrap/>
            <w:vAlign w:val="center"/>
          </w:tcPr>
          <w:p w:rsidR="00A839B8" w:rsidRDefault="00E64F33">
            <w:pPr>
              <w:jc w:val="center"/>
              <w:rPr>
                <w:sz w:val="20"/>
                <w:szCs w:val="20"/>
              </w:rPr>
            </w:pPr>
            <w:r>
              <w:rPr>
                <w:sz w:val="20"/>
                <w:szCs w:val="20"/>
              </w:rPr>
              <w:t>TR20b/TR21g</w:t>
            </w:r>
          </w:p>
        </w:tc>
        <w:tc>
          <w:tcPr>
            <w:tcW w:w="1200" w:type="dxa"/>
            <w:shd w:val="clear" w:color="auto" w:fill="auto"/>
            <w:noWrap/>
            <w:vAlign w:val="center"/>
          </w:tcPr>
          <w:p w:rsidR="00A839B8" w:rsidRDefault="00E64F33">
            <w:pPr>
              <w:jc w:val="center"/>
              <w:rPr>
                <w:sz w:val="20"/>
                <w:szCs w:val="20"/>
              </w:rPr>
            </w:pPr>
            <w:r>
              <w:rPr>
                <w:sz w:val="20"/>
                <w:szCs w:val="20"/>
              </w:rPr>
              <w:t>5.38</w:t>
            </w:r>
          </w:p>
        </w:tc>
        <w:tc>
          <w:tcPr>
            <w:tcW w:w="1100" w:type="dxa"/>
            <w:shd w:val="clear" w:color="auto" w:fill="auto"/>
            <w:noWrap/>
            <w:vAlign w:val="center"/>
          </w:tcPr>
          <w:p w:rsidR="00A839B8" w:rsidRDefault="00E64F33">
            <w:pPr>
              <w:jc w:val="center"/>
              <w:rPr>
                <w:sz w:val="20"/>
                <w:szCs w:val="20"/>
              </w:rPr>
            </w:pPr>
            <w:r>
              <w:rPr>
                <w:sz w:val="20"/>
                <w:szCs w:val="20"/>
              </w:rPr>
              <w:t>1.36</w:t>
            </w:r>
          </w:p>
        </w:tc>
      </w:tr>
      <w:tr w:rsidR="00A839B8">
        <w:trPr>
          <w:trHeight w:val="235"/>
          <w:jc w:val="center"/>
        </w:trPr>
        <w:tc>
          <w:tcPr>
            <w:tcW w:w="2099" w:type="dxa"/>
            <w:shd w:val="clear" w:color="auto" w:fill="auto"/>
            <w:noWrap/>
            <w:vAlign w:val="center"/>
          </w:tcPr>
          <w:p w:rsidR="00A839B8" w:rsidRDefault="00E64F33">
            <w:pPr>
              <w:jc w:val="center"/>
              <w:rPr>
                <w:sz w:val="20"/>
                <w:szCs w:val="20"/>
              </w:rPr>
            </w:pPr>
            <w:r>
              <w:rPr>
                <w:sz w:val="20"/>
                <w:szCs w:val="20"/>
              </w:rPr>
              <w:t>TR20c/TR20d</w:t>
            </w:r>
          </w:p>
        </w:tc>
        <w:tc>
          <w:tcPr>
            <w:tcW w:w="1200" w:type="dxa"/>
            <w:shd w:val="clear" w:color="auto" w:fill="auto"/>
            <w:noWrap/>
            <w:vAlign w:val="center"/>
          </w:tcPr>
          <w:p w:rsidR="00A839B8" w:rsidRDefault="00E64F33">
            <w:pPr>
              <w:jc w:val="center"/>
              <w:rPr>
                <w:sz w:val="20"/>
                <w:szCs w:val="20"/>
              </w:rPr>
            </w:pPr>
            <w:r>
              <w:rPr>
                <w:sz w:val="20"/>
                <w:szCs w:val="20"/>
              </w:rPr>
              <w:t>0.06</w:t>
            </w:r>
          </w:p>
        </w:tc>
        <w:tc>
          <w:tcPr>
            <w:tcW w:w="1100" w:type="dxa"/>
            <w:shd w:val="clear" w:color="auto" w:fill="auto"/>
            <w:noWrap/>
            <w:vAlign w:val="center"/>
          </w:tcPr>
          <w:p w:rsidR="00A839B8" w:rsidRDefault="00E64F33">
            <w:pPr>
              <w:jc w:val="center"/>
              <w:rPr>
                <w:sz w:val="20"/>
                <w:szCs w:val="20"/>
              </w:rPr>
            </w:pPr>
            <w:r>
              <w:rPr>
                <w:sz w:val="20"/>
                <w:szCs w:val="20"/>
              </w:rPr>
              <w:t>0.28</w:t>
            </w:r>
          </w:p>
        </w:tc>
      </w:tr>
      <w:tr w:rsidR="00A839B8">
        <w:trPr>
          <w:trHeight w:val="235"/>
          <w:jc w:val="center"/>
        </w:trPr>
        <w:tc>
          <w:tcPr>
            <w:tcW w:w="2099" w:type="dxa"/>
            <w:tcBorders>
              <w:bottom w:val="nil"/>
            </w:tcBorders>
            <w:shd w:val="clear" w:color="auto" w:fill="auto"/>
            <w:noWrap/>
            <w:vAlign w:val="center"/>
          </w:tcPr>
          <w:p w:rsidR="00A839B8" w:rsidRDefault="00E64F33">
            <w:pPr>
              <w:jc w:val="center"/>
              <w:rPr>
                <w:sz w:val="20"/>
                <w:szCs w:val="20"/>
              </w:rPr>
            </w:pPr>
            <w:r>
              <w:rPr>
                <w:sz w:val="20"/>
                <w:szCs w:val="20"/>
              </w:rPr>
              <w:t>TR20c/TR20e</w:t>
            </w:r>
          </w:p>
        </w:tc>
        <w:tc>
          <w:tcPr>
            <w:tcW w:w="1200" w:type="dxa"/>
            <w:tcBorders>
              <w:bottom w:val="nil"/>
            </w:tcBorders>
            <w:shd w:val="clear" w:color="auto" w:fill="auto"/>
            <w:noWrap/>
            <w:vAlign w:val="center"/>
          </w:tcPr>
          <w:p w:rsidR="00A839B8" w:rsidRDefault="00E64F33">
            <w:pPr>
              <w:jc w:val="center"/>
              <w:rPr>
                <w:sz w:val="20"/>
                <w:szCs w:val="20"/>
              </w:rPr>
            </w:pPr>
            <w:r>
              <w:rPr>
                <w:sz w:val="20"/>
                <w:szCs w:val="20"/>
              </w:rPr>
              <w:t>0.08</w:t>
            </w:r>
          </w:p>
        </w:tc>
        <w:tc>
          <w:tcPr>
            <w:tcW w:w="1100" w:type="dxa"/>
            <w:tcBorders>
              <w:bottom w:val="nil"/>
            </w:tcBorders>
            <w:shd w:val="clear" w:color="auto" w:fill="auto"/>
            <w:noWrap/>
            <w:vAlign w:val="center"/>
          </w:tcPr>
          <w:p w:rsidR="00A839B8" w:rsidRDefault="00E64F33">
            <w:pPr>
              <w:jc w:val="center"/>
              <w:rPr>
                <w:sz w:val="20"/>
                <w:szCs w:val="20"/>
              </w:rPr>
            </w:pPr>
            <w:r>
              <w:rPr>
                <w:sz w:val="20"/>
                <w:szCs w:val="20"/>
              </w:rPr>
              <w:t>0.41</w:t>
            </w:r>
          </w:p>
        </w:tc>
      </w:tr>
      <w:tr w:rsidR="00A839B8">
        <w:trPr>
          <w:trHeight w:val="235"/>
          <w:jc w:val="center"/>
        </w:trPr>
        <w:tc>
          <w:tcPr>
            <w:tcW w:w="2099" w:type="dxa"/>
            <w:tcBorders>
              <w:top w:val="nil"/>
              <w:bottom w:val="nil"/>
            </w:tcBorders>
            <w:shd w:val="clear" w:color="auto" w:fill="auto"/>
            <w:noWrap/>
            <w:vAlign w:val="center"/>
          </w:tcPr>
          <w:p w:rsidR="00A839B8" w:rsidRDefault="00E64F33">
            <w:pPr>
              <w:jc w:val="center"/>
              <w:rPr>
                <w:sz w:val="20"/>
                <w:szCs w:val="20"/>
              </w:rPr>
            </w:pPr>
            <w:r>
              <w:rPr>
                <w:sz w:val="20"/>
                <w:szCs w:val="20"/>
              </w:rPr>
              <w:t>TR20c/TR21b</w:t>
            </w:r>
          </w:p>
        </w:tc>
        <w:tc>
          <w:tcPr>
            <w:tcW w:w="1200" w:type="dxa"/>
            <w:tcBorders>
              <w:top w:val="nil"/>
              <w:bottom w:val="nil"/>
            </w:tcBorders>
            <w:shd w:val="clear" w:color="auto" w:fill="auto"/>
            <w:noWrap/>
            <w:vAlign w:val="center"/>
          </w:tcPr>
          <w:p w:rsidR="00A839B8" w:rsidRDefault="00E64F33">
            <w:pPr>
              <w:jc w:val="center"/>
              <w:rPr>
                <w:sz w:val="20"/>
                <w:szCs w:val="20"/>
              </w:rPr>
            </w:pPr>
            <w:r>
              <w:rPr>
                <w:sz w:val="20"/>
                <w:szCs w:val="20"/>
              </w:rPr>
              <w:t>0.11</w:t>
            </w:r>
          </w:p>
        </w:tc>
        <w:tc>
          <w:tcPr>
            <w:tcW w:w="1100" w:type="dxa"/>
            <w:tcBorders>
              <w:top w:val="nil"/>
              <w:bottom w:val="nil"/>
            </w:tcBorders>
            <w:shd w:val="clear" w:color="auto" w:fill="auto"/>
            <w:noWrap/>
            <w:vAlign w:val="center"/>
          </w:tcPr>
          <w:p w:rsidR="00A839B8" w:rsidRDefault="00E64F33">
            <w:pPr>
              <w:jc w:val="center"/>
              <w:rPr>
                <w:sz w:val="20"/>
                <w:szCs w:val="20"/>
              </w:rPr>
            </w:pPr>
            <w:r>
              <w:rPr>
                <w:sz w:val="20"/>
                <w:szCs w:val="20"/>
              </w:rPr>
              <w:t>0.69</w:t>
            </w:r>
          </w:p>
        </w:tc>
      </w:tr>
      <w:tr w:rsidR="00A839B8">
        <w:trPr>
          <w:trHeight w:val="235"/>
          <w:jc w:val="center"/>
        </w:trPr>
        <w:tc>
          <w:tcPr>
            <w:tcW w:w="2099" w:type="dxa"/>
            <w:tcBorders>
              <w:top w:val="nil"/>
            </w:tcBorders>
            <w:shd w:val="clear" w:color="auto" w:fill="auto"/>
            <w:noWrap/>
            <w:vAlign w:val="center"/>
          </w:tcPr>
          <w:p w:rsidR="00A839B8" w:rsidRDefault="00E64F33">
            <w:pPr>
              <w:jc w:val="center"/>
              <w:rPr>
                <w:sz w:val="20"/>
                <w:szCs w:val="20"/>
              </w:rPr>
            </w:pPr>
            <w:r>
              <w:rPr>
                <w:sz w:val="20"/>
                <w:szCs w:val="20"/>
              </w:rPr>
              <w:t>TR20c/TR21d</w:t>
            </w:r>
          </w:p>
        </w:tc>
        <w:tc>
          <w:tcPr>
            <w:tcW w:w="1200" w:type="dxa"/>
            <w:tcBorders>
              <w:top w:val="nil"/>
            </w:tcBorders>
            <w:shd w:val="clear" w:color="auto" w:fill="auto"/>
            <w:noWrap/>
            <w:vAlign w:val="center"/>
          </w:tcPr>
          <w:p w:rsidR="00A839B8" w:rsidRDefault="00E64F33">
            <w:pPr>
              <w:jc w:val="center"/>
              <w:rPr>
                <w:sz w:val="20"/>
                <w:szCs w:val="20"/>
              </w:rPr>
            </w:pPr>
            <w:r>
              <w:rPr>
                <w:sz w:val="20"/>
                <w:szCs w:val="20"/>
              </w:rPr>
              <w:t>0.06</w:t>
            </w:r>
          </w:p>
        </w:tc>
        <w:tc>
          <w:tcPr>
            <w:tcW w:w="1100" w:type="dxa"/>
            <w:tcBorders>
              <w:top w:val="nil"/>
            </w:tcBorders>
            <w:shd w:val="clear" w:color="auto" w:fill="auto"/>
            <w:noWrap/>
            <w:vAlign w:val="center"/>
          </w:tcPr>
          <w:p w:rsidR="00A839B8" w:rsidRDefault="00E64F33">
            <w:pPr>
              <w:jc w:val="center"/>
              <w:rPr>
                <w:sz w:val="20"/>
                <w:szCs w:val="20"/>
              </w:rPr>
            </w:pPr>
            <w:r>
              <w:rPr>
                <w:sz w:val="20"/>
                <w:szCs w:val="20"/>
              </w:rPr>
              <w:t>0.23</w:t>
            </w:r>
          </w:p>
        </w:tc>
      </w:tr>
      <w:tr w:rsidR="00A839B8">
        <w:trPr>
          <w:trHeight w:val="296"/>
          <w:jc w:val="center"/>
        </w:trPr>
        <w:tc>
          <w:tcPr>
            <w:tcW w:w="2099" w:type="dxa"/>
            <w:shd w:val="clear" w:color="auto" w:fill="auto"/>
            <w:noWrap/>
            <w:vAlign w:val="center"/>
          </w:tcPr>
          <w:p w:rsidR="00A839B8" w:rsidRDefault="00E64F33">
            <w:pPr>
              <w:jc w:val="center"/>
              <w:rPr>
                <w:sz w:val="20"/>
                <w:szCs w:val="20"/>
              </w:rPr>
            </w:pPr>
            <w:r>
              <w:rPr>
                <w:bCs/>
                <w:sz w:val="20"/>
                <w:szCs w:val="20"/>
              </w:rPr>
              <w:t>TR21b/TR21g</w:t>
            </w:r>
          </w:p>
        </w:tc>
        <w:tc>
          <w:tcPr>
            <w:tcW w:w="1200" w:type="dxa"/>
            <w:shd w:val="clear" w:color="auto" w:fill="auto"/>
            <w:noWrap/>
            <w:vAlign w:val="center"/>
          </w:tcPr>
          <w:p w:rsidR="00A839B8" w:rsidRDefault="00E64F33">
            <w:pPr>
              <w:jc w:val="center"/>
              <w:rPr>
                <w:sz w:val="20"/>
                <w:szCs w:val="20"/>
              </w:rPr>
            </w:pPr>
            <w:r>
              <w:rPr>
                <w:sz w:val="20"/>
                <w:szCs w:val="20"/>
              </w:rPr>
              <w:t>2.07</w:t>
            </w:r>
          </w:p>
        </w:tc>
        <w:tc>
          <w:tcPr>
            <w:tcW w:w="1100" w:type="dxa"/>
            <w:shd w:val="clear" w:color="auto" w:fill="auto"/>
            <w:noWrap/>
            <w:vAlign w:val="center"/>
          </w:tcPr>
          <w:p w:rsidR="00A839B8" w:rsidRDefault="00E64F33">
            <w:pPr>
              <w:jc w:val="center"/>
              <w:rPr>
                <w:sz w:val="20"/>
                <w:szCs w:val="20"/>
              </w:rPr>
            </w:pPr>
            <w:r>
              <w:rPr>
                <w:sz w:val="20"/>
                <w:szCs w:val="20"/>
              </w:rPr>
              <w:t>0.52</w:t>
            </w:r>
          </w:p>
        </w:tc>
      </w:tr>
    </w:tbl>
    <w:p w:rsidR="00A839B8" w:rsidRDefault="00E64F33">
      <w:pPr>
        <w:rPr>
          <w:sz w:val="20"/>
          <w:szCs w:val="20"/>
        </w:rPr>
      </w:pPr>
      <w:r>
        <w:rPr>
          <w:sz w:val="20"/>
          <w:szCs w:val="20"/>
          <w:vertAlign w:val="superscript"/>
        </w:rPr>
        <w:t>*</w:t>
      </w:r>
      <w:r>
        <w:rPr>
          <w:sz w:val="20"/>
          <w:szCs w:val="20"/>
        </w:rPr>
        <w:t xml:space="preserve"> see peak labels in table 1</w:t>
      </w:r>
    </w:p>
    <w:p w:rsidR="00A839B8" w:rsidRDefault="00A839B8">
      <w:pPr>
        <w:jc w:val="both"/>
        <w:rPr>
          <w:rFonts w:eastAsia="Calibri"/>
          <w:sz w:val="20"/>
          <w:szCs w:val="20"/>
          <w:lang w:eastAsia="en-US"/>
        </w:rPr>
      </w:pPr>
    </w:p>
    <w:p w:rsidR="00A839B8" w:rsidRDefault="00E64F33">
      <w:pPr>
        <w:ind w:firstLine="720"/>
        <w:jc w:val="both"/>
        <w:rPr>
          <w:sz w:val="20"/>
          <w:szCs w:val="20"/>
        </w:rPr>
      </w:pPr>
      <w:r>
        <w:rPr>
          <w:sz w:val="20"/>
          <w:szCs w:val="20"/>
        </w:rPr>
        <w:t xml:space="preserve">Table 2 shows nine (9) ratios with values that differentiated </w:t>
      </w:r>
      <w:r>
        <w:rPr>
          <w:rFonts w:eastAsia="AdvOT863180fb"/>
          <w:sz w:val="20"/>
          <w:szCs w:val="20"/>
        </w:rPr>
        <w:t xml:space="preserve">the </w:t>
      </w:r>
      <w:r>
        <w:rPr>
          <w:sz w:val="20"/>
          <w:szCs w:val="20"/>
        </w:rPr>
        <w:t xml:space="preserve">Niger Delta crude oil samples. TR20a/TR20c and TR20b/TR20c ratios had considerably high values of 22.85 and 24.46 for RV-35 </w:t>
      </w:r>
      <w:r>
        <w:rPr>
          <w:sz w:val="20"/>
          <w:szCs w:val="20"/>
        </w:rPr>
        <w:lastRenderedPageBreak/>
        <w:t>and low values of 3.23 and 3.81 for DT-80, respectively. Inversely</w:t>
      </w:r>
      <w:r>
        <w:rPr>
          <w:sz w:val="20"/>
          <w:szCs w:val="20"/>
        </w:rPr>
        <w:t xml:space="preserve">, TR20c/TR20d, TR20c/TR20e, and TR20c/TR21d ratios had relatively low values of 0.06, 0.08 and 0.06 for RV-35 compared to values of 0.28, 0.41, and 0.23 for DT-80, respectively. These </w:t>
      </w:r>
      <w:r>
        <w:rPr>
          <w:rFonts w:eastAsia="AdvOT863180fb"/>
          <w:sz w:val="20"/>
          <w:szCs w:val="20"/>
        </w:rPr>
        <w:t xml:space="preserve">ratios </w:t>
      </w:r>
      <w:r>
        <w:rPr>
          <w:sz w:val="20"/>
          <w:szCs w:val="20"/>
        </w:rPr>
        <w:t>indicate that TR20a, TR20b, TR20d, TR20e and TR21d</w:t>
      </w:r>
      <w:r>
        <w:rPr>
          <w:rFonts w:eastAsia="AdvOT863180fb"/>
          <w:sz w:val="20"/>
          <w:szCs w:val="20"/>
        </w:rPr>
        <w:t xml:space="preserve"> were </w:t>
      </w:r>
      <w:r>
        <w:rPr>
          <w:sz w:val="20"/>
          <w:szCs w:val="20"/>
        </w:rPr>
        <w:t>predomina</w:t>
      </w:r>
      <w:r>
        <w:rPr>
          <w:sz w:val="20"/>
          <w:szCs w:val="20"/>
        </w:rPr>
        <w:t xml:space="preserve">nt </w:t>
      </w:r>
      <w:r>
        <w:rPr>
          <w:rFonts w:eastAsia="AdvOT863180fb"/>
          <w:sz w:val="20"/>
          <w:szCs w:val="20"/>
        </w:rPr>
        <w:t xml:space="preserve">in </w:t>
      </w:r>
      <w:r>
        <w:rPr>
          <w:sz w:val="20"/>
          <w:szCs w:val="20"/>
        </w:rPr>
        <w:t xml:space="preserve">RV-35 (which is more matured) than DT-80, suggesting these ratios for use as maturity indicators. Ratios of TR20a/TR21g, TR20b/TR21g, TR20c/TR21b and </w:t>
      </w:r>
      <w:r>
        <w:rPr>
          <w:bCs/>
          <w:sz w:val="20"/>
          <w:szCs w:val="20"/>
        </w:rPr>
        <w:t>TR21b/TR21g</w:t>
      </w:r>
      <w:r>
        <w:rPr>
          <w:sz w:val="20"/>
          <w:szCs w:val="20"/>
        </w:rPr>
        <w:t xml:space="preserve"> also showed values that differentiated </w:t>
      </w:r>
      <w:r>
        <w:rPr>
          <w:rFonts w:eastAsia="AdvOT863180fb"/>
          <w:sz w:val="20"/>
          <w:szCs w:val="20"/>
        </w:rPr>
        <w:t xml:space="preserve">the </w:t>
      </w:r>
      <w:r>
        <w:rPr>
          <w:sz w:val="20"/>
          <w:szCs w:val="20"/>
        </w:rPr>
        <w:t>crude oil samples. TR20a/TR21g, TR20b/TR21g a</w:t>
      </w:r>
      <w:r>
        <w:rPr>
          <w:sz w:val="20"/>
          <w:szCs w:val="20"/>
        </w:rPr>
        <w:t xml:space="preserve">nd </w:t>
      </w:r>
      <w:r>
        <w:rPr>
          <w:bCs/>
          <w:sz w:val="20"/>
          <w:szCs w:val="20"/>
        </w:rPr>
        <w:t>TR21b/TR21g</w:t>
      </w:r>
      <w:r>
        <w:rPr>
          <w:sz w:val="20"/>
          <w:szCs w:val="20"/>
        </w:rPr>
        <w:t xml:space="preserve"> ratios had high values of 5.03, 5.38 and 2.07 for RV-35 and low values of 1.15, 1.36 and 0.52 for DT-80, respectively. Inversely, TR20c/TR21b ratio had a low value of 0.11 for RV-35 and a high value of 0.69 for DT-80. These </w:t>
      </w:r>
      <w:r>
        <w:rPr>
          <w:rFonts w:eastAsia="AdvOT863180fb"/>
          <w:sz w:val="20"/>
          <w:szCs w:val="20"/>
        </w:rPr>
        <w:t xml:space="preserve">ratios </w:t>
      </w:r>
      <w:r>
        <w:rPr>
          <w:sz w:val="20"/>
          <w:szCs w:val="20"/>
        </w:rPr>
        <w:t>indicate T</w:t>
      </w:r>
      <w:r>
        <w:rPr>
          <w:sz w:val="20"/>
          <w:szCs w:val="20"/>
        </w:rPr>
        <w:t xml:space="preserve">R20a, TR20b and TR21b were more abundant in </w:t>
      </w:r>
      <w:r>
        <w:rPr>
          <w:bCs/>
          <w:sz w:val="20"/>
          <w:szCs w:val="20"/>
        </w:rPr>
        <w:t xml:space="preserve">RV-35, whereas </w:t>
      </w:r>
      <w:r>
        <w:rPr>
          <w:sz w:val="20"/>
          <w:szCs w:val="20"/>
        </w:rPr>
        <w:t xml:space="preserve">TR20c and TR21g were more abundant in </w:t>
      </w:r>
      <w:r>
        <w:rPr>
          <w:bCs/>
          <w:sz w:val="20"/>
          <w:szCs w:val="20"/>
        </w:rPr>
        <w:t xml:space="preserve">DT-80, </w:t>
      </w:r>
      <w:r>
        <w:rPr>
          <w:sz w:val="20"/>
          <w:szCs w:val="20"/>
        </w:rPr>
        <w:t>suggesting these ratios for use as for source/depositional environment indicators</w:t>
      </w:r>
    </w:p>
    <w:p w:rsidR="00A839B8" w:rsidRDefault="00A839B8">
      <w:pPr>
        <w:jc w:val="both"/>
        <w:rPr>
          <w:rFonts w:eastAsia="Calibri"/>
          <w:sz w:val="20"/>
          <w:szCs w:val="20"/>
          <w:lang w:eastAsia="en-US"/>
        </w:rPr>
        <w:sectPr w:rsidR="00A839B8">
          <w:footnotePr>
            <w:pos w:val="beneathText"/>
          </w:footnotePr>
          <w:type w:val="continuous"/>
          <w:pgSz w:w="12240" w:h="15840"/>
          <w:pgMar w:top="1440" w:right="1440" w:bottom="1440" w:left="1440" w:header="720" w:footer="720" w:gutter="0"/>
          <w:cols w:num="2" w:space="576"/>
          <w:docGrid w:linePitch="360"/>
        </w:sectPr>
      </w:pPr>
    </w:p>
    <w:p w:rsidR="00A839B8" w:rsidRDefault="00A839B8">
      <w:pPr>
        <w:jc w:val="both"/>
        <w:rPr>
          <w:rFonts w:eastAsia="Calibri"/>
          <w:sz w:val="20"/>
          <w:szCs w:val="20"/>
          <w:lang w:eastAsia="en-US"/>
        </w:rPr>
      </w:pPr>
    </w:p>
    <w:p w:rsidR="00A839B8" w:rsidRDefault="00E64F33">
      <w:pPr>
        <w:jc w:val="center"/>
        <w:rPr>
          <w:rFonts w:eastAsia="Calibri"/>
          <w:sz w:val="20"/>
          <w:szCs w:val="20"/>
          <w:lang w:eastAsia="en-US"/>
        </w:rPr>
      </w:pPr>
      <w:r>
        <w:rPr>
          <w:noProof/>
          <w:sz w:val="20"/>
          <w:szCs w:val="20"/>
          <w:lang w:eastAsia="zh-CN"/>
        </w:rPr>
        <w:drawing>
          <wp:inline distT="0" distB="0" distL="0" distR="0">
            <wp:extent cx="5894705" cy="4523105"/>
            <wp:effectExtent l="0" t="0" r="10795" b="1079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894705" cy="4523105"/>
                    </a:xfrm>
                    <a:prstGeom prst="rect">
                      <a:avLst/>
                    </a:prstGeom>
                    <a:noFill/>
                    <a:ln>
                      <a:noFill/>
                    </a:ln>
                  </pic:spPr>
                </pic:pic>
              </a:graphicData>
            </a:graphic>
          </wp:inline>
        </w:drawing>
      </w:r>
    </w:p>
    <w:p w:rsidR="00A839B8" w:rsidRDefault="00E64F33">
      <w:pPr>
        <w:jc w:val="both"/>
        <w:rPr>
          <w:rFonts w:eastAsia="Calibri"/>
          <w:sz w:val="20"/>
          <w:szCs w:val="20"/>
          <w:lang w:eastAsia="en-US"/>
        </w:rPr>
      </w:pPr>
      <w:r>
        <w:rPr>
          <w:sz w:val="20"/>
          <w:szCs w:val="20"/>
        </w:rPr>
        <w:t>Figure 3.</w:t>
      </w:r>
      <w:r>
        <w:rPr>
          <w:b/>
          <w:sz w:val="20"/>
          <w:szCs w:val="20"/>
        </w:rPr>
        <w:t xml:space="preserve"> </w:t>
      </w:r>
      <w:r>
        <w:rPr>
          <w:rFonts w:eastAsia="Calibri"/>
          <w:sz w:val="20"/>
          <w:szCs w:val="20"/>
          <w:lang w:eastAsia="en-US"/>
        </w:rPr>
        <w:t>Plot</w:t>
      </w:r>
      <w:r>
        <w:rPr>
          <w:sz w:val="20"/>
          <w:szCs w:val="20"/>
        </w:rPr>
        <w:t xml:space="preserve"> of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ratios used for m</w:t>
      </w:r>
      <w:r>
        <w:rPr>
          <w:rFonts w:eastAsia="Calibri"/>
          <w:sz w:val="20"/>
          <w:szCs w:val="20"/>
          <w:lang w:eastAsia="en-US"/>
        </w:rPr>
        <w:t>ultivariate correlation of the Niger Delta crude oil samples</w:t>
      </w:r>
    </w:p>
    <w:p w:rsidR="00A839B8" w:rsidRDefault="00A839B8">
      <w:pPr>
        <w:jc w:val="both"/>
        <w:rPr>
          <w:rFonts w:eastAsia="Calibri"/>
          <w:sz w:val="20"/>
          <w:szCs w:val="20"/>
          <w:lang w:eastAsia="en-US"/>
        </w:rPr>
      </w:pPr>
    </w:p>
    <w:p w:rsidR="00A839B8" w:rsidRDefault="00A839B8">
      <w:pPr>
        <w:jc w:val="both"/>
        <w:rPr>
          <w:rFonts w:eastAsia="Calibri"/>
          <w:sz w:val="20"/>
          <w:szCs w:val="20"/>
          <w:lang w:eastAsia="en-US"/>
        </w:rPr>
        <w:sectPr w:rsidR="00A839B8">
          <w:footnotePr>
            <w:pos w:val="beneathText"/>
          </w:footnotePr>
          <w:type w:val="continuous"/>
          <w:pgSz w:w="12240" w:h="15840"/>
          <w:pgMar w:top="1440" w:right="1440" w:bottom="1440" w:left="1440" w:header="720" w:footer="720" w:gutter="0"/>
          <w:cols w:space="576"/>
          <w:docGrid w:linePitch="360"/>
        </w:sectPr>
      </w:pPr>
    </w:p>
    <w:p w:rsidR="00A839B8" w:rsidRDefault="00E64F33">
      <w:pPr>
        <w:ind w:firstLine="720"/>
        <w:jc w:val="both"/>
        <w:rPr>
          <w:sz w:val="20"/>
          <w:szCs w:val="20"/>
        </w:rPr>
      </w:pPr>
      <w:r>
        <w:rPr>
          <w:sz w:val="20"/>
          <w:szCs w:val="20"/>
        </w:rPr>
        <w:lastRenderedPageBreak/>
        <w:t>The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ratios that </w:t>
      </w:r>
      <w:r>
        <w:rPr>
          <w:rFonts w:eastAsia="AdvEPSTIM"/>
          <w:sz w:val="20"/>
          <w:szCs w:val="20"/>
          <w:lang w:eastAsia="en-US"/>
        </w:rPr>
        <w:t xml:space="preserve">differentiated </w:t>
      </w:r>
      <w:r>
        <w:rPr>
          <w:sz w:val="20"/>
          <w:szCs w:val="20"/>
        </w:rPr>
        <w:t>the oil samples (table 2) were normalized and put in a multivariate plot with nine (9) a</w:t>
      </w:r>
      <w:r>
        <w:rPr>
          <w:sz w:val="20"/>
          <w:szCs w:val="20"/>
        </w:rPr>
        <w:t>xis f</w:t>
      </w:r>
      <w:r>
        <w:rPr>
          <w:rFonts w:eastAsia="Calibri"/>
          <w:sz w:val="20"/>
          <w:szCs w:val="20"/>
          <w:lang w:eastAsia="en-US"/>
        </w:rPr>
        <w:t>or comparison (figure 3)</w:t>
      </w:r>
      <w:r>
        <w:rPr>
          <w:sz w:val="20"/>
          <w:szCs w:val="20"/>
        </w:rPr>
        <w:t xml:space="preserve">. Multivariate plots </w:t>
      </w:r>
      <w:r>
        <w:rPr>
          <w:rFonts w:eastAsia="Calibri"/>
          <w:sz w:val="20"/>
          <w:szCs w:val="20"/>
          <w:lang w:eastAsia="en-US"/>
        </w:rPr>
        <w:t xml:space="preserve">are based on recognition of hydrocarbon compositional similarities that discriminate a homologous suit of oils from </w:t>
      </w:r>
      <w:r>
        <w:rPr>
          <w:sz w:val="20"/>
          <w:szCs w:val="20"/>
        </w:rPr>
        <w:t>a different source (</w:t>
      </w:r>
      <w:r>
        <w:rPr>
          <w:rFonts w:eastAsia="Calibri"/>
          <w:sz w:val="20"/>
          <w:szCs w:val="20"/>
        </w:rPr>
        <w:t xml:space="preserve">Halpern, 1995; </w:t>
      </w:r>
      <w:r>
        <w:rPr>
          <w:sz w:val="20"/>
          <w:szCs w:val="20"/>
        </w:rPr>
        <w:t xml:space="preserve">Onyema and Manilla, 2010). They are used to complement </w:t>
      </w:r>
      <w:r>
        <w:rPr>
          <w:sz w:val="20"/>
          <w:szCs w:val="20"/>
        </w:rPr>
        <w:t xml:space="preserve">correlation </w:t>
      </w:r>
      <w:r>
        <w:rPr>
          <w:rFonts w:eastAsia="Calibri"/>
          <w:sz w:val="20"/>
          <w:szCs w:val="20"/>
          <w:lang w:eastAsia="en-US"/>
        </w:rPr>
        <w:t>studies</w:t>
      </w:r>
      <w:r>
        <w:rPr>
          <w:sz w:val="20"/>
          <w:szCs w:val="20"/>
        </w:rPr>
        <w:t xml:space="preserve"> of crude oils (Ali et al., 2002; Volk et al., 2005)</w:t>
      </w:r>
      <w:r>
        <w:rPr>
          <w:rFonts w:eastAsia="Calibri"/>
          <w:sz w:val="20"/>
          <w:szCs w:val="20"/>
          <w:lang w:eastAsia="en-US"/>
        </w:rPr>
        <w:t xml:space="preserve">. </w:t>
      </w:r>
      <w:r>
        <w:rPr>
          <w:sz w:val="20"/>
          <w:szCs w:val="20"/>
        </w:rPr>
        <w:t>From figure 3, t</w:t>
      </w:r>
      <w:r>
        <w:rPr>
          <w:rFonts w:eastAsia="Calibri"/>
          <w:sz w:val="20"/>
          <w:szCs w:val="20"/>
          <w:lang w:eastAsia="en-US"/>
        </w:rPr>
        <w:t xml:space="preserve">he multivariate plot showed that </w:t>
      </w:r>
      <w:r>
        <w:rPr>
          <w:sz w:val="20"/>
          <w:szCs w:val="20"/>
        </w:rPr>
        <w:t xml:space="preserve">the shapes formed from the paths followed, from axis-1 to -9, by both oil samples were not completely different. </w:t>
      </w:r>
      <w:r>
        <w:rPr>
          <w:rFonts w:eastAsia="Calibri"/>
          <w:sz w:val="20"/>
          <w:szCs w:val="20"/>
          <w:lang w:eastAsia="en-US"/>
        </w:rPr>
        <w:t xml:space="preserve">The crude </w:t>
      </w:r>
      <w:r>
        <w:rPr>
          <w:sz w:val="20"/>
          <w:szCs w:val="20"/>
        </w:rPr>
        <w:t>oil samples</w:t>
      </w:r>
      <w:r>
        <w:rPr>
          <w:sz w:val="20"/>
          <w:szCs w:val="20"/>
        </w:rPr>
        <w:t xml:space="preserve"> followed</w:t>
      </w:r>
      <w:r>
        <w:rPr>
          <w:rFonts w:eastAsia="Calibri"/>
          <w:sz w:val="20"/>
          <w:szCs w:val="20"/>
          <w:lang w:eastAsia="en-US"/>
        </w:rPr>
        <w:t xml:space="preserve"> similar </w:t>
      </w:r>
      <w:r>
        <w:rPr>
          <w:sz w:val="20"/>
          <w:szCs w:val="20"/>
        </w:rPr>
        <w:t>paths on axis-</w:t>
      </w:r>
      <w:r>
        <w:rPr>
          <w:rFonts w:eastAsia="Calibri"/>
          <w:sz w:val="20"/>
          <w:szCs w:val="20"/>
          <w:lang w:eastAsia="en-US"/>
        </w:rPr>
        <w:t xml:space="preserve">1, -3, -5, -6, -7 and -8. Axis-1 and -3 of RV-35 were </w:t>
      </w:r>
      <w:r>
        <w:rPr>
          <w:sz w:val="20"/>
          <w:szCs w:val="20"/>
        </w:rPr>
        <w:t>enhanced</w:t>
      </w:r>
      <w:r>
        <w:rPr>
          <w:rFonts w:eastAsia="Calibri"/>
          <w:sz w:val="20"/>
          <w:szCs w:val="20"/>
          <w:lang w:eastAsia="en-US"/>
        </w:rPr>
        <w:t xml:space="preserve">, while </w:t>
      </w:r>
      <w:r>
        <w:rPr>
          <w:sz w:val="20"/>
          <w:szCs w:val="20"/>
        </w:rPr>
        <w:t>axis</w:t>
      </w:r>
      <w:r>
        <w:rPr>
          <w:rFonts w:eastAsia="Calibri"/>
          <w:sz w:val="20"/>
          <w:szCs w:val="20"/>
          <w:lang w:eastAsia="en-US"/>
        </w:rPr>
        <w:t xml:space="preserve">-5, -6, -7 and -8 of DT-80 were </w:t>
      </w:r>
      <w:r>
        <w:rPr>
          <w:sz w:val="20"/>
          <w:szCs w:val="20"/>
        </w:rPr>
        <w:t>amplified. D</w:t>
      </w:r>
      <w:r>
        <w:rPr>
          <w:rFonts w:eastAsia="Calibri"/>
          <w:sz w:val="20"/>
          <w:szCs w:val="20"/>
          <w:lang w:eastAsia="en-US"/>
        </w:rPr>
        <w:t xml:space="preserve">ifferences were observed in the </w:t>
      </w:r>
      <w:r>
        <w:rPr>
          <w:sz w:val="20"/>
          <w:szCs w:val="20"/>
        </w:rPr>
        <w:t>paths followed</w:t>
      </w:r>
      <w:r>
        <w:rPr>
          <w:rFonts w:eastAsia="Calibri"/>
          <w:sz w:val="20"/>
          <w:szCs w:val="20"/>
          <w:lang w:eastAsia="en-US"/>
        </w:rPr>
        <w:t xml:space="preserve"> on axis-2, -4 and -9, with RV-35 </w:t>
      </w:r>
      <w:r>
        <w:rPr>
          <w:sz w:val="20"/>
          <w:szCs w:val="20"/>
        </w:rPr>
        <w:t xml:space="preserve">more enhanced </w:t>
      </w:r>
      <w:r>
        <w:rPr>
          <w:rFonts w:eastAsia="Calibri"/>
          <w:sz w:val="20"/>
          <w:szCs w:val="20"/>
          <w:lang w:eastAsia="en-US"/>
        </w:rPr>
        <w:t xml:space="preserve">than DT-80. </w:t>
      </w:r>
      <w:r>
        <w:rPr>
          <w:rFonts w:eastAsia="Calibri"/>
          <w:sz w:val="20"/>
          <w:szCs w:val="20"/>
          <w:lang w:eastAsia="en-US"/>
        </w:rPr>
        <w:t xml:space="preserve">This showed that the </w:t>
      </w:r>
      <w:r>
        <w:rPr>
          <w:sz w:val="20"/>
          <w:szCs w:val="20"/>
        </w:rPr>
        <w:t>paths followed</w:t>
      </w:r>
      <w:r>
        <w:rPr>
          <w:rFonts w:eastAsia="Calibri"/>
          <w:sz w:val="20"/>
          <w:szCs w:val="20"/>
          <w:lang w:eastAsia="en-US"/>
        </w:rPr>
        <w:t xml:space="preserve"> by both crude oil samples on their multivariate plots were mostly similar and reveal a strong genetic relationship between the oils with minor differences in the </w:t>
      </w:r>
      <w:r>
        <w:rPr>
          <w:sz w:val="20"/>
          <w:szCs w:val="20"/>
        </w:rPr>
        <w:t>paths followed</w:t>
      </w:r>
      <w:r>
        <w:rPr>
          <w:rFonts w:eastAsia="Calibri"/>
          <w:sz w:val="20"/>
          <w:szCs w:val="20"/>
          <w:lang w:eastAsia="en-US"/>
        </w:rPr>
        <w:t xml:space="preserve"> </w:t>
      </w:r>
      <w:r>
        <w:rPr>
          <w:sz w:val="20"/>
          <w:szCs w:val="20"/>
        </w:rPr>
        <w:t>suggesting input from a different source/de</w:t>
      </w:r>
      <w:r>
        <w:rPr>
          <w:sz w:val="20"/>
          <w:szCs w:val="20"/>
        </w:rPr>
        <w:t xml:space="preserve">positional environment. </w:t>
      </w:r>
      <w:r>
        <w:rPr>
          <w:rFonts w:eastAsia="Calibri"/>
          <w:sz w:val="20"/>
          <w:szCs w:val="20"/>
          <w:lang w:eastAsia="en-US"/>
        </w:rPr>
        <w:t xml:space="preserve">The multivariate plots of both samples </w:t>
      </w:r>
      <w:r>
        <w:rPr>
          <w:rFonts w:eastAsia="AdvEPSTIM"/>
          <w:sz w:val="20"/>
          <w:szCs w:val="20"/>
          <w:lang w:eastAsia="en-US"/>
        </w:rPr>
        <w:t xml:space="preserve">suggest that </w:t>
      </w:r>
      <w:r>
        <w:rPr>
          <w:rFonts w:eastAsia="Calibri"/>
          <w:sz w:val="20"/>
          <w:szCs w:val="20"/>
          <w:lang w:eastAsia="en-US"/>
        </w:rPr>
        <w:t xml:space="preserve">the </w:t>
      </w:r>
      <w:r>
        <w:rPr>
          <w:rFonts w:eastAsia="AdvEPSTIM"/>
          <w:sz w:val="20"/>
          <w:szCs w:val="20"/>
          <w:lang w:eastAsia="en-US"/>
        </w:rPr>
        <w:t>Niger Delta crude oils are predominantly derived from the same source</w:t>
      </w:r>
      <w:r>
        <w:rPr>
          <w:bCs/>
          <w:sz w:val="20"/>
          <w:szCs w:val="20"/>
        </w:rPr>
        <w:t xml:space="preserve">, terrestrial </w:t>
      </w:r>
      <w:r>
        <w:rPr>
          <w:rFonts w:eastAsia="AdvEPSTIM"/>
          <w:sz w:val="20"/>
          <w:szCs w:val="20"/>
          <w:lang w:eastAsia="en-US"/>
        </w:rPr>
        <w:t>organic matter (</w:t>
      </w:r>
      <w:r>
        <w:rPr>
          <w:sz w:val="20"/>
          <w:szCs w:val="20"/>
        </w:rPr>
        <w:t>Ekweozor and Udo, 1988; Eneogwe and Ekundayo, 2003)</w:t>
      </w:r>
      <w:r>
        <w:rPr>
          <w:rFonts w:eastAsia="AdvEPSTIM"/>
          <w:sz w:val="20"/>
          <w:szCs w:val="20"/>
          <w:lang w:eastAsia="en-US"/>
        </w:rPr>
        <w:t xml:space="preserve">, with </w:t>
      </w:r>
      <w:r>
        <w:rPr>
          <w:sz w:val="20"/>
          <w:szCs w:val="20"/>
        </w:rPr>
        <w:t>input from a differ</w:t>
      </w:r>
      <w:r>
        <w:rPr>
          <w:sz w:val="20"/>
          <w:szCs w:val="20"/>
        </w:rPr>
        <w:t>ent source organic matter/depositional environment, marine.</w:t>
      </w:r>
    </w:p>
    <w:p w:rsidR="00A839B8" w:rsidRDefault="00A839B8">
      <w:pPr>
        <w:jc w:val="both"/>
        <w:rPr>
          <w:sz w:val="20"/>
          <w:szCs w:val="20"/>
        </w:rPr>
      </w:pPr>
    </w:p>
    <w:p w:rsidR="00A839B8" w:rsidRDefault="00E64F33">
      <w:pPr>
        <w:jc w:val="both"/>
        <w:rPr>
          <w:b/>
          <w:sz w:val="20"/>
          <w:szCs w:val="20"/>
        </w:rPr>
      </w:pPr>
      <w:r>
        <w:rPr>
          <w:b/>
          <w:sz w:val="20"/>
          <w:szCs w:val="20"/>
        </w:rPr>
        <w:t>4. Conclusion</w:t>
      </w:r>
    </w:p>
    <w:p w:rsidR="00A839B8" w:rsidRDefault="00E64F33">
      <w:pPr>
        <w:ind w:firstLine="720"/>
        <w:jc w:val="both"/>
        <w:rPr>
          <w:sz w:val="20"/>
          <w:szCs w:val="20"/>
        </w:rPr>
      </w:pPr>
      <w:r>
        <w:rPr>
          <w:sz w:val="20"/>
          <w:szCs w:val="20"/>
        </w:rPr>
        <w:t>12 peaks which eluted from the GC, at a given retention time, were selected from the mass chromatogram (m/z 191) of two Niger Delta crude oils and identified as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 isomers. Total abundance </w:t>
      </w:r>
      <w:r>
        <w:rPr>
          <w:bCs/>
          <w:sz w:val="20"/>
          <w:szCs w:val="20"/>
        </w:rPr>
        <w:t xml:space="preserve">suggest </w:t>
      </w:r>
      <w:r>
        <w:rPr>
          <w:sz w:val="20"/>
          <w:szCs w:val="20"/>
        </w:rPr>
        <w:t>that the C</w:t>
      </w:r>
      <w:r>
        <w:rPr>
          <w:sz w:val="20"/>
          <w:szCs w:val="20"/>
          <w:vertAlign w:val="subscript"/>
        </w:rPr>
        <w:t>20</w:t>
      </w:r>
      <w:r>
        <w:rPr>
          <w:sz w:val="20"/>
          <w:szCs w:val="20"/>
        </w:rPr>
        <w:t xml:space="preserve"> tricyclic terpanes were </w:t>
      </w:r>
      <w:r>
        <w:rPr>
          <w:rFonts w:eastAsia="Calibri"/>
          <w:sz w:val="20"/>
          <w:szCs w:val="20"/>
          <w:lang w:eastAsia="en-US"/>
        </w:rPr>
        <w:t xml:space="preserve">generated </w:t>
      </w:r>
      <w:r>
        <w:rPr>
          <w:sz w:val="20"/>
          <w:szCs w:val="20"/>
        </w:rPr>
        <w:t>more than the C</w:t>
      </w:r>
      <w:r>
        <w:rPr>
          <w:sz w:val="20"/>
          <w:szCs w:val="20"/>
          <w:vertAlign w:val="subscript"/>
        </w:rPr>
        <w:t>21</w:t>
      </w:r>
      <w:r>
        <w:rPr>
          <w:sz w:val="20"/>
          <w:szCs w:val="20"/>
        </w:rPr>
        <w:t xml:space="preserve"> tricyclic terpanes as the crude oils mature. I</w:t>
      </w:r>
      <w:r>
        <w:rPr>
          <w:rFonts w:eastAsia="Calibri"/>
          <w:sz w:val="20"/>
          <w:szCs w:val="20"/>
          <w:lang w:eastAsia="en-US"/>
        </w:rPr>
        <w:t xml:space="preserve">ndividual </w:t>
      </w:r>
      <w:r>
        <w:rPr>
          <w:sz w:val="20"/>
          <w:szCs w:val="20"/>
        </w:rPr>
        <w:t>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w:t>
      </w:r>
      <w:r>
        <w:rPr>
          <w:bCs/>
          <w:sz w:val="20"/>
          <w:szCs w:val="20"/>
        </w:rPr>
        <w:t xml:space="preserve"> </w:t>
      </w:r>
      <w:r>
        <w:rPr>
          <w:sz w:val="20"/>
          <w:szCs w:val="20"/>
        </w:rPr>
        <w:t>terpanes</w:t>
      </w:r>
      <w:r>
        <w:rPr>
          <w:rFonts w:eastAsia="Calibri"/>
          <w:sz w:val="20"/>
          <w:szCs w:val="20"/>
          <w:lang w:eastAsia="en-US"/>
        </w:rPr>
        <w:t xml:space="preserve"> </w:t>
      </w:r>
      <w:r>
        <w:rPr>
          <w:sz w:val="20"/>
          <w:szCs w:val="20"/>
        </w:rPr>
        <w:t xml:space="preserve">were generally more abundant in RV-35, except TR20c </w:t>
      </w:r>
      <w:r>
        <w:rPr>
          <w:sz w:val="20"/>
          <w:szCs w:val="20"/>
        </w:rPr>
        <w:t xml:space="preserve">and TR21g which were </w:t>
      </w:r>
      <w:r>
        <w:rPr>
          <w:rFonts w:eastAsia="AdvEPSTIM"/>
          <w:sz w:val="20"/>
          <w:szCs w:val="20"/>
          <w:lang w:eastAsia="en-US"/>
        </w:rPr>
        <w:t xml:space="preserve">slightly more abundant in </w:t>
      </w:r>
      <w:r>
        <w:rPr>
          <w:bCs/>
          <w:sz w:val="20"/>
          <w:szCs w:val="20"/>
        </w:rPr>
        <w:t>DT-80.</w:t>
      </w:r>
      <w:r>
        <w:rPr>
          <w:sz w:val="20"/>
          <w:szCs w:val="20"/>
        </w:rPr>
        <w:t xml:space="preserve"> Similarities in the abundances and compositions of the C</w:t>
      </w:r>
      <w:r>
        <w:rPr>
          <w:sz w:val="20"/>
          <w:szCs w:val="20"/>
          <w:vertAlign w:val="subscript"/>
        </w:rPr>
        <w:t>20</w:t>
      </w:r>
      <w:r>
        <w:rPr>
          <w:sz w:val="20"/>
          <w:szCs w:val="20"/>
        </w:rPr>
        <w:t xml:space="preserve"> and C</w:t>
      </w:r>
      <w:r>
        <w:rPr>
          <w:sz w:val="20"/>
          <w:szCs w:val="20"/>
          <w:vertAlign w:val="subscript"/>
        </w:rPr>
        <w:t>21</w:t>
      </w:r>
      <w:r>
        <w:rPr>
          <w:sz w:val="20"/>
          <w:szCs w:val="20"/>
        </w:rPr>
        <w:t xml:space="preserve"> tricyclic terpanes indicate that the </w:t>
      </w:r>
      <w:r>
        <w:rPr>
          <w:rFonts w:eastAsia="AdvEPSTIM"/>
          <w:sz w:val="20"/>
          <w:szCs w:val="20"/>
          <w:lang w:eastAsia="en-US"/>
        </w:rPr>
        <w:t xml:space="preserve">Niger Delta crude oils </w:t>
      </w:r>
      <w:r>
        <w:rPr>
          <w:sz w:val="20"/>
          <w:szCs w:val="20"/>
        </w:rPr>
        <w:t xml:space="preserve">are </w:t>
      </w:r>
      <w:r>
        <w:rPr>
          <w:rFonts w:eastAsia="AdvEPSTIM"/>
          <w:sz w:val="20"/>
          <w:szCs w:val="20"/>
          <w:lang w:eastAsia="en-US"/>
        </w:rPr>
        <w:t>not distinct</w:t>
      </w:r>
      <w:r>
        <w:rPr>
          <w:rFonts w:eastAsia="AdvEPSTIM"/>
          <w:sz w:val="20"/>
          <w:szCs w:val="20"/>
        </w:rPr>
        <w:t xml:space="preserve">, </w:t>
      </w:r>
      <w:r>
        <w:rPr>
          <w:rFonts w:eastAsia="AdvEPSTIM"/>
          <w:sz w:val="20"/>
          <w:szCs w:val="20"/>
          <w:lang w:eastAsia="en-US"/>
        </w:rPr>
        <w:t xml:space="preserve">but </w:t>
      </w:r>
      <w:r>
        <w:rPr>
          <w:rFonts w:eastAsia="AdvEPSTIM"/>
          <w:sz w:val="20"/>
          <w:szCs w:val="20"/>
        </w:rPr>
        <w:t xml:space="preserve">derived from </w:t>
      </w:r>
      <w:r>
        <w:rPr>
          <w:sz w:val="20"/>
          <w:szCs w:val="20"/>
        </w:rPr>
        <w:t>terrigenous Tertiary deltaic petroleum</w:t>
      </w:r>
      <w:r>
        <w:rPr>
          <w:rFonts w:eastAsia="AdvEPSTIM"/>
          <w:sz w:val="20"/>
          <w:szCs w:val="20"/>
        </w:rPr>
        <w:t xml:space="preserve"> s</w:t>
      </w:r>
      <w:r>
        <w:rPr>
          <w:rFonts w:eastAsia="AdvEPSTIM"/>
          <w:sz w:val="20"/>
          <w:szCs w:val="20"/>
        </w:rPr>
        <w:t xml:space="preserve">ource. </w:t>
      </w:r>
      <w:r>
        <w:rPr>
          <w:sz w:val="20"/>
          <w:szCs w:val="20"/>
        </w:rPr>
        <w:t xml:space="preserve">Multivariate plot of the normalized ratios showed reasonable similarity in paths followed by both oil samples </w:t>
      </w:r>
      <w:r>
        <w:rPr>
          <w:rFonts w:eastAsia="AdvEPSTIM"/>
          <w:sz w:val="20"/>
          <w:szCs w:val="20"/>
          <w:lang w:eastAsia="en-US"/>
        </w:rPr>
        <w:t>suggest</w:t>
      </w:r>
      <w:r>
        <w:rPr>
          <w:rFonts w:eastAsia="AdvEPSTIM"/>
          <w:sz w:val="20"/>
          <w:szCs w:val="20"/>
        </w:rPr>
        <w:t>ing</w:t>
      </w:r>
      <w:r>
        <w:rPr>
          <w:rFonts w:eastAsia="AdvEPSTIM"/>
          <w:sz w:val="20"/>
          <w:szCs w:val="20"/>
          <w:lang w:eastAsia="en-US"/>
        </w:rPr>
        <w:t xml:space="preserve"> </w:t>
      </w:r>
      <w:r>
        <w:rPr>
          <w:rFonts w:eastAsia="Calibri"/>
          <w:sz w:val="20"/>
          <w:szCs w:val="20"/>
          <w:lang w:eastAsia="en-US"/>
        </w:rPr>
        <w:t xml:space="preserve">the </w:t>
      </w:r>
      <w:r>
        <w:rPr>
          <w:rFonts w:eastAsia="AdvEPSTIM"/>
          <w:sz w:val="20"/>
          <w:szCs w:val="20"/>
          <w:lang w:eastAsia="en-US"/>
        </w:rPr>
        <w:t>Niger Delta crude oils are predominantly derived from</w:t>
      </w:r>
      <w:r>
        <w:rPr>
          <w:bCs/>
          <w:sz w:val="20"/>
          <w:szCs w:val="20"/>
        </w:rPr>
        <w:t xml:space="preserve"> terrestrial </w:t>
      </w:r>
      <w:r>
        <w:rPr>
          <w:rFonts w:eastAsia="AdvEPSTIM"/>
          <w:sz w:val="20"/>
          <w:szCs w:val="20"/>
          <w:lang w:eastAsia="en-US"/>
        </w:rPr>
        <w:t xml:space="preserve">organic matter source. </w:t>
      </w:r>
      <w:r>
        <w:rPr>
          <w:rFonts w:eastAsia="AdvEPSTIM"/>
          <w:sz w:val="20"/>
          <w:szCs w:val="20"/>
        </w:rPr>
        <w:t>M</w:t>
      </w:r>
      <w:r>
        <w:rPr>
          <w:rFonts w:eastAsia="Calibri"/>
          <w:sz w:val="20"/>
          <w:szCs w:val="20"/>
          <w:lang w:eastAsia="en-US"/>
        </w:rPr>
        <w:t>inor differences observed on the m</w:t>
      </w:r>
      <w:r>
        <w:rPr>
          <w:sz w:val="20"/>
          <w:szCs w:val="20"/>
        </w:rPr>
        <w:t>ultivariate plot suggest one of the Niger Delta crude oil received input from a different source/depositional environment, marine.</w:t>
      </w:r>
    </w:p>
    <w:p w:rsidR="00A839B8" w:rsidRDefault="00A839B8">
      <w:pPr>
        <w:jc w:val="both"/>
        <w:rPr>
          <w:sz w:val="20"/>
          <w:szCs w:val="20"/>
        </w:rPr>
      </w:pPr>
    </w:p>
    <w:p w:rsidR="00A839B8" w:rsidRDefault="00E64F33">
      <w:pPr>
        <w:jc w:val="both"/>
        <w:rPr>
          <w:b/>
          <w:sz w:val="20"/>
          <w:szCs w:val="20"/>
        </w:rPr>
      </w:pPr>
      <w:r>
        <w:rPr>
          <w:b/>
          <w:sz w:val="20"/>
          <w:szCs w:val="20"/>
        </w:rPr>
        <w:t xml:space="preserve">Acknowledgements: </w:t>
      </w:r>
    </w:p>
    <w:p w:rsidR="00A839B8" w:rsidRDefault="00E64F33">
      <w:pPr>
        <w:ind w:firstLine="720"/>
        <w:jc w:val="both"/>
        <w:rPr>
          <w:snapToGrid w:val="0"/>
          <w:sz w:val="20"/>
          <w:szCs w:val="20"/>
        </w:rPr>
      </w:pPr>
      <w:r>
        <w:rPr>
          <w:snapToGrid w:val="0"/>
          <w:sz w:val="20"/>
          <w:szCs w:val="20"/>
        </w:rPr>
        <w:t xml:space="preserve">The authors are grateful </w:t>
      </w:r>
      <w:r>
        <w:rPr>
          <w:sz w:val="20"/>
          <w:szCs w:val="20"/>
        </w:rPr>
        <w:t xml:space="preserve">to Rofnel </w:t>
      </w:r>
      <w:r>
        <w:rPr>
          <w:snapToGrid w:val="0"/>
          <w:sz w:val="20"/>
          <w:szCs w:val="20"/>
        </w:rPr>
        <w:t xml:space="preserve">Energy Limited for permitting us use their facilities for </w:t>
      </w:r>
      <w:r>
        <w:rPr>
          <w:snapToGrid w:val="0"/>
          <w:sz w:val="20"/>
          <w:szCs w:val="20"/>
        </w:rPr>
        <w:lastRenderedPageBreak/>
        <w:t xml:space="preserve">analyses. </w:t>
      </w:r>
      <w:r>
        <w:rPr>
          <w:rFonts w:eastAsia="Calibri"/>
          <w:color w:val="000000"/>
          <w:sz w:val="20"/>
          <w:szCs w:val="20"/>
          <w:lang w:val="en-GB" w:eastAsia="en-US"/>
        </w:rPr>
        <w:t xml:space="preserve">We are equally grateful to Prof. Leo C. Osuji and Dr. Chidi I. Eneogwe for introducing us to petroleum hydrocarbon research and </w:t>
      </w:r>
      <w:r>
        <w:rPr>
          <w:snapToGrid w:val="0"/>
          <w:sz w:val="20"/>
          <w:szCs w:val="20"/>
        </w:rPr>
        <w:t>Mrs Nneka C. Ofodu for her proficiency.</w:t>
      </w:r>
    </w:p>
    <w:p w:rsidR="00A839B8" w:rsidRDefault="00A839B8">
      <w:pPr>
        <w:jc w:val="both"/>
        <w:rPr>
          <w:sz w:val="20"/>
          <w:szCs w:val="20"/>
        </w:rPr>
      </w:pPr>
    </w:p>
    <w:p w:rsidR="00A839B8" w:rsidRDefault="00E64F33">
      <w:pPr>
        <w:jc w:val="both"/>
        <w:rPr>
          <w:b/>
          <w:sz w:val="20"/>
          <w:szCs w:val="20"/>
        </w:rPr>
      </w:pPr>
      <w:r>
        <w:rPr>
          <w:b/>
          <w:sz w:val="20"/>
          <w:szCs w:val="20"/>
        </w:rPr>
        <w:t>Corresponding Author:</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Mark O. Onyema</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 xml:space="preserve">Petroleum and Environmental Geochemistry Research </w:t>
      </w:r>
      <w:r>
        <w:rPr>
          <w:rFonts w:eastAsia="Calibri"/>
          <w:color w:val="000000"/>
          <w:sz w:val="20"/>
          <w:szCs w:val="20"/>
          <w:lang w:val="en-GB" w:eastAsia="en-US"/>
        </w:rPr>
        <w:t>group</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Department of Pure and Industrial Chemistry</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University of Port Harcourt</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Choba, Port Harcourt, 500001,</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Rivers State, Nigeria</w:t>
      </w:r>
    </w:p>
    <w:p w:rsidR="00A839B8" w:rsidRDefault="00E64F33">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Telephone: +234 803 041 5230</w:t>
      </w:r>
    </w:p>
    <w:p w:rsidR="00A839B8" w:rsidRDefault="00E64F33">
      <w:pPr>
        <w:jc w:val="both"/>
        <w:rPr>
          <w:sz w:val="20"/>
          <w:szCs w:val="20"/>
        </w:rPr>
      </w:pPr>
      <w:r>
        <w:rPr>
          <w:rFonts w:eastAsia="Calibri"/>
          <w:color w:val="000000"/>
          <w:sz w:val="20"/>
          <w:szCs w:val="20"/>
          <w:lang w:val="en-GB" w:eastAsia="en-US"/>
        </w:rPr>
        <w:t xml:space="preserve">E-mail: </w:t>
      </w:r>
      <w:hyperlink r:id="rId19" w:history="1">
        <w:r>
          <w:rPr>
            <w:rStyle w:val="Hyperlink"/>
            <w:rFonts w:eastAsia="Calibri"/>
            <w:sz w:val="20"/>
            <w:szCs w:val="20"/>
            <w:lang w:val="en-GB" w:eastAsia="en-US"/>
          </w:rPr>
          <w:t>onyemark@yahoo.com</w:t>
        </w:r>
      </w:hyperlink>
    </w:p>
    <w:p w:rsidR="00A839B8" w:rsidRDefault="00A839B8">
      <w:pPr>
        <w:jc w:val="both"/>
        <w:rPr>
          <w:sz w:val="20"/>
          <w:szCs w:val="20"/>
        </w:rPr>
      </w:pPr>
    </w:p>
    <w:p w:rsidR="00A839B8" w:rsidRDefault="00E64F33">
      <w:pPr>
        <w:jc w:val="both"/>
        <w:rPr>
          <w:b/>
          <w:sz w:val="20"/>
          <w:szCs w:val="20"/>
        </w:rPr>
      </w:pPr>
      <w:r>
        <w:rPr>
          <w:b/>
          <w:sz w:val="20"/>
          <w:szCs w:val="20"/>
        </w:rPr>
        <w:t>References</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Khan H, Zaman A,</w:t>
      </w:r>
      <w:r>
        <w:rPr>
          <w:rFonts w:ascii="Times New Roman" w:hAnsi="Times New Roman"/>
          <w:sz w:val="20"/>
          <w:szCs w:val="20"/>
        </w:rPr>
        <w:t xml:space="preserve"> Chetty GL, Gupta AS and Dev S. Cheilanthatriol a new fundamental type in sesterterpenes. Tetrahedron Letters, 1971; 12: 4443-4446.</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eastAsia="Calibri" w:hAnsi="Times New Roman"/>
          <w:sz w:val="20"/>
          <w:szCs w:val="20"/>
        </w:rPr>
        <w:t>Tissot BP and Welte DH. Petroleum formation and occurrence, a new approach to oil and gas exploration. 2</w:t>
      </w:r>
      <w:r>
        <w:rPr>
          <w:rFonts w:ascii="Times New Roman" w:eastAsia="Calibri" w:hAnsi="Times New Roman"/>
          <w:sz w:val="20"/>
          <w:szCs w:val="20"/>
          <w:vertAlign w:val="superscript"/>
        </w:rPr>
        <w:t>nd</w:t>
      </w:r>
      <w:r>
        <w:rPr>
          <w:rFonts w:ascii="Times New Roman" w:eastAsia="Calibri" w:hAnsi="Times New Roman"/>
          <w:sz w:val="20"/>
          <w:szCs w:val="20"/>
        </w:rPr>
        <w:t xml:space="preserve"> ed; Springer-Verl</w:t>
      </w:r>
      <w:r>
        <w:rPr>
          <w:rFonts w:ascii="Times New Roman" w:eastAsia="Calibri" w:hAnsi="Times New Roman"/>
          <w:sz w:val="20"/>
          <w:szCs w:val="20"/>
        </w:rPr>
        <w:t>ag: Berlin, 1984.</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Revill AT, Volkman JK, O’Leary T, Summons RE, Boreham CJ, Banks MR and Denwer K. Depositional setting, hydrocarbon biomarkers and thermal maturity of Tasmanite oil shales from Tasmania, Australia. Geochimica et Cosmochimica Acta, 1994; 58</w:t>
      </w:r>
      <w:r>
        <w:rPr>
          <w:rFonts w:ascii="Times New Roman" w:hAnsi="Times New Roman"/>
          <w:sz w:val="20"/>
          <w:szCs w:val="20"/>
        </w:rPr>
        <w:t xml:space="preserve">: 3803–3822. </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eastAsia="Calibri" w:hAnsi="Times New Roman"/>
          <w:sz w:val="20"/>
          <w:szCs w:val="20"/>
        </w:rPr>
        <w:t>Greenwood PF, Arouri KR and George SC. Tricyclic terpenoid composition of Tasmanites kerogen as determined by pyrolysis GC–MS. Geochimica et Cosmochimica Acta, 2000; 64: 1249-1263.</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eastAsia="Calibri" w:hAnsi="Times New Roman"/>
          <w:sz w:val="20"/>
          <w:szCs w:val="20"/>
        </w:rPr>
        <w:t>Moldowan JM, Seifert WK and Gallegos EJ. Identification of an</w:t>
      </w:r>
      <w:r>
        <w:rPr>
          <w:rFonts w:ascii="Times New Roman" w:eastAsia="Calibri" w:hAnsi="Times New Roman"/>
          <w:sz w:val="20"/>
          <w:szCs w:val="20"/>
        </w:rPr>
        <w:t xml:space="preserve"> extended series of tricyclic terpanes in petroleum. Geochimica et Cosmochimica Acta, 1983; 47: 1531-1534.</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d</w:t>
      </w:r>
      <w:r>
        <w:rPr>
          <w:rFonts w:ascii="Times New Roman" w:eastAsia="Calibri" w:hAnsi="Times New Roman"/>
          <w:sz w:val="20"/>
          <w:szCs w:val="20"/>
        </w:rPr>
        <w:t>e Grande SMB, Aquino Neto FR and Mello MR. Extended tricyclic terpanes in sediments and petroleum. Organic Geochemistry, 1993; 20: 1039-1047.</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Peters</w:t>
      </w:r>
      <w:r>
        <w:rPr>
          <w:rFonts w:ascii="Times New Roman" w:hAnsi="Times New Roman"/>
          <w:sz w:val="20"/>
          <w:szCs w:val="20"/>
        </w:rPr>
        <w:t xml:space="preserve"> KE. Petroleum tricyclic terpanes: Predicted physicochemical behavior from molecular mechanics calculations. Organic Geochemistry, 2000; 31: 497-507.</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Younes MA. Source-rocks dependent biomarker properties and stable carbon isotopes composition of crude oil</w:t>
      </w:r>
      <w:r>
        <w:rPr>
          <w:rFonts w:ascii="Times New Roman" w:hAnsi="Times New Roman"/>
          <w:sz w:val="20"/>
          <w:szCs w:val="20"/>
        </w:rPr>
        <w:t>s from West Bakr Fields, Onshore Gult of Suez, Egypt: A case study. Petroleum Science and Technology, 2001; 19: 1197-1218.</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eastAsia="Calibri" w:hAnsi="Times New Roman"/>
          <w:sz w:val="20"/>
          <w:szCs w:val="20"/>
        </w:rPr>
        <w:t xml:space="preserve">Wang Z, Stout A and Fingas M. Forensic fingerprinting of biomarkers for oil spill </w:t>
      </w:r>
      <w:r>
        <w:rPr>
          <w:rFonts w:ascii="Times New Roman" w:eastAsia="Calibri" w:hAnsi="Times New Roman"/>
          <w:sz w:val="20"/>
          <w:szCs w:val="20"/>
        </w:rPr>
        <w:lastRenderedPageBreak/>
        <w:t xml:space="preserve">characterization and source identification. </w:t>
      </w:r>
      <w:r>
        <w:rPr>
          <w:rFonts w:ascii="Times New Roman" w:eastAsia="Calibri" w:hAnsi="Times New Roman"/>
          <w:iCs/>
          <w:sz w:val="20"/>
          <w:szCs w:val="20"/>
        </w:rPr>
        <w:t>Environ</w:t>
      </w:r>
      <w:r>
        <w:rPr>
          <w:rFonts w:ascii="Times New Roman" w:eastAsia="Calibri" w:hAnsi="Times New Roman"/>
          <w:iCs/>
          <w:sz w:val="20"/>
          <w:szCs w:val="20"/>
        </w:rPr>
        <w:t xml:space="preserve">mental Forensics, </w:t>
      </w:r>
      <w:r>
        <w:rPr>
          <w:rFonts w:ascii="Times New Roman" w:eastAsia="Calibri" w:hAnsi="Times New Roman"/>
          <w:sz w:val="20"/>
          <w:szCs w:val="20"/>
        </w:rPr>
        <w:t>2006; 7</w:t>
      </w:r>
      <w:r>
        <w:rPr>
          <w:rFonts w:ascii="Times New Roman" w:hAnsi="Times New Roman"/>
          <w:sz w:val="20"/>
          <w:szCs w:val="20"/>
        </w:rPr>
        <w:t xml:space="preserve"> </w:t>
      </w:r>
      <w:r>
        <w:rPr>
          <w:rFonts w:ascii="Times New Roman" w:eastAsia="Calibri" w:hAnsi="Times New Roman"/>
          <w:sz w:val="20"/>
          <w:szCs w:val="20"/>
        </w:rPr>
        <w:t>(2): 105-146.</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Ekweozor CM and Strausz OP. 18,19-Bisnor-13βH, 14</w:t>
      </w:r>
      <w:r>
        <w:rPr>
          <w:rFonts w:ascii="Times New Roman" w:hAnsi="Times New Roman"/>
          <w:sz w:val="20"/>
          <w:szCs w:val="20"/>
        </w:rPr>
        <w:sym w:font="Symbol" w:char="F061"/>
      </w:r>
      <w:r>
        <w:rPr>
          <w:rFonts w:ascii="Times New Roman" w:eastAsia="Calibri" w:hAnsi="Times New Roman"/>
          <w:sz w:val="20"/>
          <w:szCs w:val="20"/>
        </w:rPr>
        <w:t>H-Cheilanthane: A novel degraded tricyclic sesterterpenoid-type hydrocarbon from the Athabasca oil sands. Tetrahedron Letter, 198</w:t>
      </w:r>
      <w:r>
        <w:rPr>
          <w:rFonts w:ascii="Times New Roman" w:hAnsi="Times New Roman"/>
          <w:sz w:val="20"/>
          <w:szCs w:val="20"/>
        </w:rPr>
        <w:t xml:space="preserve">3; </w:t>
      </w:r>
      <w:r>
        <w:rPr>
          <w:rFonts w:ascii="Times New Roman" w:eastAsia="Calibri" w:hAnsi="Times New Roman"/>
          <w:sz w:val="20"/>
          <w:szCs w:val="20"/>
        </w:rPr>
        <w:t>23: 2711-2714.</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eastAsia="Calibri" w:hAnsi="Times New Roman"/>
          <w:sz w:val="20"/>
          <w:szCs w:val="20"/>
        </w:rPr>
        <w:t xml:space="preserve">Seifert WK and </w:t>
      </w:r>
      <w:r>
        <w:rPr>
          <w:rFonts w:ascii="Times New Roman" w:eastAsia="Calibri" w:hAnsi="Times New Roman"/>
          <w:sz w:val="20"/>
          <w:szCs w:val="20"/>
        </w:rPr>
        <w:t>Moldowan JM. Paleoreconstruction by biological markers. Geochimica et Cosmochimica Acta, 1981; 45: 783-794.</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 xml:space="preserve">Zumberge JE. Terpenoid biomarker distributions in low maturity crude oils. </w:t>
      </w:r>
      <w:r>
        <w:rPr>
          <w:rFonts w:ascii="Times New Roman" w:hAnsi="Times New Roman"/>
          <w:iCs/>
          <w:sz w:val="20"/>
          <w:szCs w:val="20"/>
        </w:rPr>
        <w:t>Organic Geochemistry,</w:t>
      </w:r>
      <w:r>
        <w:rPr>
          <w:rFonts w:ascii="Times New Roman" w:hAnsi="Times New Roman"/>
          <w:sz w:val="20"/>
          <w:szCs w:val="20"/>
        </w:rPr>
        <w:t xml:space="preserve"> 1987; 11: 479-496.</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Peters KE and Moldowan JM. The b</w:t>
      </w:r>
      <w:r>
        <w:rPr>
          <w:rFonts w:ascii="Times New Roman" w:eastAsia="Calibri" w:hAnsi="Times New Roman"/>
          <w:sz w:val="20"/>
          <w:szCs w:val="20"/>
        </w:rPr>
        <w:t xml:space="preserve">iomarker guide: Interpreting molecular fossils in petroleum and ancient sediments. Prentice-hall: New Jersey, 1993. </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Ekweozor CM, Okogun JI, Ekong DEU and Maxwell JR. Preliminary organic geochemical studies of samples from the Niger Delta, Nigeria I: Analy</w:t>
      </w:r>
      <w:r>
        <w:rPr>
          <w:rFonts w:ascii="Times New Roman" w:eastAsia="Calibri" w:hAnsi="Times New Roman"/>
          <w:sz w:val="20"/>
          <w:szCs w:val="20"/>
        </w:rPr>
        <w:t>sis of crude oils for triterpanes. Chemical Geology, 1979; 27</w:t>
      </w:r>
      <w:r>
        <w:rPr>
          <w:rFonts w:ascii="Times New Roman" w:hAnsi="Times New Roman"/>
          <w:sz w:val="20"/>
          <w:szCs w:val="20"/>
        </w:rPr>
        <w:t xml:space="preserve"> </w:t>
      </w:r>
      <w:r>
        <w:rPr>
          <w:rFonts w:ascii="Times New Roman" w:eastAsia="Calibri" w:hAnsi="Times New Roman"/>
          <w:sz w:val="20"/>
          <w:szCs w:val="20"/>
        </w:rPr>
        <w:t>(1 and 2): 11-28.</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Eneogwe CI. The invariance ratio in isoheptanes: A powerful tool for oil-oil correlation in the tertiary Niger Delta, Nigeria. Organic Geochemistry, 2004; 35: 989-992.</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Sonibare</w:t>
      </w:r>
      <w:r>
        <w:rPr>
          <w:rFonts w:ascii="Times New Roman" w:eastAsia="Calibri" w:hAnsi="Times New Roman"/>
          <w:sz w:val="20"/>
          <w:szCs w:val="20"/>
        </w:rPr>
        <w:t xml:space="preserve"> O, Alimi H, Jarvie D and Ehinola OA. Origin and occurrence of crude oil in the Niger Delta, Nigeria. Journal of Petroleum Science and Engineering, 2008; 61</w:t>
      </w:r>
      <w:r>
        <w:rPr>
          <w:rFonts w:ascii="Times New Roman" w:hAnsi="Times New Roman"/>
          <w:sz w:val="20"/>
          <w:szCs w:val="20"/>
        </w:rPr>
        <w:t xml:space="preserve"> </w:t>
      </w:r>
      <w:r>
        <w:rPr>
          <w:rFonts w:ascii="Times New Roman" w:eastAsia="Calibri" w:hAnsi="Times New Roman"/>
          <w:sz w:val="20"/>
          <w:szCs w:val="20"/>
        </w:rPr>
        <w:t>(2-4): 99-107.</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 xml:space="preserve">Onyema, M. O. and Osuji, L. C. (2015). </w:t>
      </w:r>
      <w:r>
        <w:rPr>
          <w:rFonts w:ascii="Times New Roman" w:hAnsi="Times New Roman"/>
          <w:sz w:val="20"/>
          <w:szCs w:val="20"/>
        </w:rPr>
        <w:t xml:space="preserve">Gas chromatography-mass spectrometry (GC-MS) </w:t>
      </w:r>
      <w:r>
        <w:rPr>
          <w:rFonts w:ascii="Times New Roman" w:hAnsi="Times New Roman"/>
          <w:sz w:val="20"/>
          <w:szCs w:val="20"/>
        </w:rPr>
        <w:t xml:space="preserve">compositional analyses of aromatic hydrocarbons in Niger Delta crude oils. </w:t>
      </w:r>
      <w:r>
        <w:rPr>
          <w:rFonts w:ascii="Times New Roman" w:eastAsia="Calibri" w:hAnsi="Times New Roman"/>
          <w:sz w:val="20"/>
          <w:szCs w:val="20"/>
        </w:rPr>
        <w:t>Petroleum and Coal, 57</w:t>
      </w:r>
      <w:r>
        <w:rPr>
          <w:rFonts w:ascii="Times New Roman" w:hAnsi="Times New Roman"/>
          <w:sz w:val="20"/>
          <w:szCs w:val="20"/>
        </w:rPr>
        <w:t xml:space="preserve"> </w:t>
      </w:r>
      <w:r>
        <w:rPr>
          <w:rFonts w:ascii="Times New Roman" w:eastAsia="Calibri" w:hAnsi="Times New Roman"/>
          <w:sz w:val="20"/>
          <w:szCs w:val="20"/>
        </w:rPr>
        <w:t xml:space="preserve">(5): 526-531. </w:t>
      </w:r>
    </w:p>
    <w:p w:rsidR="00A839B8" w:rsidRDefault="00E64F33">
      <w:pPr>
        <w:pStyle w:val="ListParagraph"/>
        <w:numPr>
          <w:ilvl w:val="0"/>
          <w:numId w:val="2"/>
        </w:numPr>
        <w:ind w:left="363" w:hanging="363"/>
        <w:rPr>
          <w:rFonts w:ascii="Times New Roman" w:hAnsi="Times New Roman"/>
          <w:bCs/>
          <w:sz w:val="20"/>
          <w:szCs w:val="20"/>
        </w:rPr>
      </w:pPr>
      <w:r>
        <w:rPr>
          <w:rFonts w:ascii="Times New Roman" w:eastAsia="Calibri" w:hAnsi="Times New Roman"/>
          <w:sz w:val="20"/>
          <w:szCs w:val="20"/>
        </w:rPr>
        <w:t xml:space="preserve">Onyema MO, Okoroh NC, Okorie IH and Osuji LC. Geochemical characterization of two Niger Delta crude oils and their mixtures I: Bulk properties </w:t>
      </w:r>
      <w:r>
        <w:rPr>
          <w:rFonts w:ascii="Times New Roman" w:eastAsia="Calibri" w:hAnsi="Times New Roman"/>
          <w:sz w:val="20"/>
          <w:szCs w:val="20"/>
        </w:rPr>
        <w:t xml:space="preserve">and aliphatic hydrocarbon distributions. </w:t>
      </w:r>
      <w:r>
        <w:rPr>
          <w:rFonts w:ascii="Times New Roman" w:eastAsia="Calibri" w:hAnsi="Times New Roman"/>
          <w:iCs/>
          <w:sz w:val="20"/>
          <w:szCs w:val="20"/>
        </w:rPr>
        <w:t>Modern Chemistry,</w:t>
      </w:r>
      <w:r>
        <w:rPr>
          <w:rFonts w:ascii="Times New Roman" w:eastAsia="Calibri" w:hAnsi="Times New Roman"/>
          <w:sz w:val="20"/>
          <w:szCs w:val="20"/>
        </w:rPr>
        <w:t xml:space="preserve"> 2018; 6</w:t>
      </w:r>
      <w:r>
        <w:rPr>
          <w:rFonts w:ascii="Times New Roman" w:hAnsi="Times New Roman"/>
          <w:sz w:val="20"/>
          <w:szCs w:val="20"/>
        </w:rPr>
        <w:t xml:space="preserve"> </w:t>
      </w:r>
      <w:r>
        <w:rPr>
          <w:rFonts w:ascii="Times New Roman" w:eastAsia="Calibri" w:hAnsi="Times New Roman"/>
          <w:sz w:val="20"/>
          <w:szCs w:val="20"/>
        </w:rPr>
        <w:t>(3): 39-43.</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bCs/>
          <w:sz w:val="20"/>
          <w:szCs w:val="20"/>
        </w:rPr>
        <w:t xml:space="preserve">Okoroh NC, Onyema MO and Osuji LC. </w:t>
      </w:r>
      <w:r>
        <w:rPr>
          <w:rFonts w:ascii="Times New Roman" w:eastAsia="Calibri" w:hAnsi="Times New Roman"/>
          <w:sz w:val="20"/>
          <w:szCs w:val="20"/>
        </w:rPr>
        <w:t xml:space="preserve">Aromatic hydrocarbons as indicators of maturation and source: correlative geochemical evaluation of commingled Niger Delta crude oils. </w:t>
      </w:r>
      <w:r>
        <w:rPr>
          <w:rFonts w:ascii="Times New Roman" w:eastAsia="Calibri" w:hAnsi="Times New Roman"/>
          <w:bCs/>
          <w:sz w:val="20"/>
          <w:szCs w:val="20"/>
        </w:rPr>
        <w:t>Petrole</w:t>
      </w:r>
      <w:r>
        <w:rPr>
          <w:rFonts w:ascii="Times New Roman" w:eastAsia="Calibri" w:hAnsi="Times New Roman"/>
          <w:bCs/>
          <w:sz w:val="20"/>
          <w:szCs w:val="20"/>
        </w:rPr>
        <w:t xml:space="preserve">um and Petrochemical Engineering Journal, </w:t>
      </w:r>
      <w:r>
        <w:rPr>
          <w:rFonts w:ascii="Times New Roman" w:eastAsia="Calibri" w:hAnsi="Times New Roman"/>
          <w:sz w:val="20"/>
          <w:szCs w:val="20"/>
        </w:rPr>
        <w:t>2020; 4</w:t>
      </w:r>
      <w:r>
        <w:rPr>
          <w:rFonts w:ascii="Times New Roman" w:hAnsi="Times New Roman"/>
          <w:sz w:val="20"/>
          <w:szCs w:val="20"/>
        </w:rPr>
        <w:t xml:space="preserve"> </w:t>
      </w:r>
      <w:r>
        <w:rPr>
          <w:rFonts w:ascii="Times New Roman" w:eastAsia="Calibri" w:hAnsi="Times New Roman"/>
          <w:sz w:val="20"/>
          <w:szCs w:val="20"/>
        </w:rPr>
        <w:t>(2): 1-9.</w:t>
      </w:r>
    </w:p>
    <w:p w:rsidR="00A839B8" w:rsidRDefault="00E64F33">
      <w:pPr>
        <w:pStyle w:val="ListParagraph"/>
        <w:numPr>
          <w:ilvl w:val="0"/>
          <w:numId w:val="2"/>
        </w:numPr>
        <w:ind w:left="363" w:hanging="363"/>
        <w:rPr>
          <w:rFonts w:ascii="Times New Roman" w:eastAsia="Calibri" w:hAnsi="Times New Roman"/>
          <w:sz w:val="20"/>
          <w:szCs w:val="20"/>
        </w:rPr>
      </w:pPr>
      <w:r>
        <w:rPr>
          <w:rFonts w:ascii="Times New Roman" w:eastAsia="Calibri" w:hAnsi="Times New Roman"/>
          <w:sz w:val="20"/>
          <w:szCs w:val="20"/>
        </w:rPr>
        <w:t xml:space="preserve">Short KC and Stauble AJ. (). Outline of the Geology of Niger Delta. American Association of </w:t>
      </w:r>
      <w:r>
        <w:rPr>
          <w:rFonts w:ascii="Times New Roman" w:eastAsia="Calibri" w:hAnsi="Times New Roman"/>
          <w:sz w:val="20"/>
          <w:szCs w:val="20"/>
        </w:rPr>
        <w:lastRenderedPageBreak/>
        <w:t>Petroleum Geologists Bulletin</w:t>
      </w:r>
      <w:r>
        <w:rPr>
          <w:rFonts w:ascii="Times New Roman" w:eastAsia="Calibri" w:hAnsi="Times New Roman"/>
          <w:iCs/>
          <w:sz w:val="20"/>
          <w:szCs w:val="20"/>
        </w:rPr>
        <w:t xml:space="preserve">, </w:t>
      </w:r>
      <w:r>
        <w:rPr>
          <w:rFonts w:ascii="Times New Roman" w:eastAsia="Calibri" w:hAnsi="Times New Roman"/>
          <w:sz w:val="20"/>
          <w:szCs w:val="20"/>
        </w:rPr>
        <w:t>1967; 51: 761 -799.</w:t>
      </w:r>
    </w:p>
    <w:p w:rsidR="00A839B8" w:rsidRDefault="00E64F33">
      <w:pPr>
        <w:pStyle w:val="ListParagraph"/>
        <w:numPr>
          <w:ilvl w:val="0"/>
          <w:numId w:val="2"/>
        </w:numPr>
        <w:ind w:left="363" w:hanging="363"/>
        <w:rPr>
          <w:rFonts w:ascii="Times New Roman" w:hAnsi="Times New Roman"/>
          <w:sz w:val="20"/>
          <w:szCs w:val="20"/>
        </w:rPr>
      </w:pPr>
      <w:r>
        <w:rPr>
          <w:rFonts w:ascii="Times New Roman" w:eastAsia="Calibri" w:hAnsi="Times New Roman"/>
          <w:sz w:val="20"/>
          <w:szCs w:val="20"/>
        </w:rPr>
        <w:t>Chicarelli MI, Aquino Neto FR and Albrecht P. Occurre</w:t>
      </w:r>
      <w:r>
        <w:rPr>
          <w:rFonts w:ascii="Times New Roman" w:eastAsia="Calibri" w:hAnsi="Times New Roman"/>
          <w:sz w:val="20"/>
          <w:szCs w:val="20"/>
        </w:rPr>
        <w:t>nce of four stereoisometric tricyclic terpanes series in immature Brazilian shales. Geochimica et Cosmochimica Acta, 1988; 52: 1955-1959.</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Waples DW. Geochemistry in Petroleum Exploration. International Human Resources Development Corporation: Boston, 1985.</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Farrimond P, Bevan CJ and Bishop AN. Tricyclic terpane maturity parameters: Response to heating by an igneous intrusion. Organic Geochemistry, 1999; 30: 1011–1019.</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 xml:space="preserve">Peters KE, Walters CC and Moldowan JM. </w:t>
      </w:r>
      <w:r>
        <w:rPr>
          <w:rFonts w:ascii="Times New Roman" w:hAnsi="Times New Roman"/>
          <w:iCs/>
          <w:sz w:val="20"/>
          <w:szCs w:val="20"/>
        </w:rPr>
        <w:t>The biomarker guide: Biomarkers and isotopes in petr</w:t>
      </w:r>
      <w:r>
        <w:rPr>
          <w:rFonts w:ascii="Times New Roman" w:hAnsi="Times New Roman"/>
          <w:iCs/>
          <w:sz w:val="20"/>
          <w:szCs w:val="20"/>
        </w:rPr>
        <w:t xml:space="preserve">oleum exploration and earth history. </w:t>
      </w:r>
      <w:r>
        <w:rPr>
          <w:rFonts w:ascii="Times New Roman" w:hAnsi="Times New Roman"/>
          <w:sz w:val="20"/>
          <w:szCs w:val="20"/>
        </w:rPr>
        <w:t>2</w:t>
      </w:r>
      <w:r>
        <w:rPr>
          <w:rFonts w:ascii="Times New Roman" w:hAnsi="Times New Roman"/>
          <w:sz w:val="20"/>
          <w:szCs w:val="20"/>
          <w:vertAlign w:val="superscript"/>
        </w:rPr>
        <w:t>nd</w:t>
      </w:r>
      <w:r>
        <w:rPr>
          <w:rFonts w:ascii="Times New Roman" w:hAnsi="Times New Roman"/>
          <w:sz w:val="20"/>
          <w:szCs w:val="20"/>
        </w:rPr>
        <w:t xml:space="preserve"> ed; Cambridge University Press: England, 2005.</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 xml:space="preserve">Samuel OJ, Kildahl-Andersen G, Nytoft HP, Johansen JE and Jones M. Novel tricyclic and tetracyclic terpanes in Tertiary deltaic oils: Structural identification, origin </w:t>
      </w:r>
      <w:r>
        <w:rPr>
          <w:rFonts w:ascii="Times New Roman" w:hAnsi="Times New Roman"/>
          <w:sz w:val="20"/>
          <w:szCs w:val="20"/>
        </w:rPr>
        <w:t>and application to petroleum correlation. Organic Geochemistry, 2010; 41: 1326-1337.</w:t>
      </w:r>
    </w:p>
    <w:p w:rsidR="00A839B8" w:rsidRDefault="00E64F33">
      <w:pPr>
        <w:pStyle w:val="ListParagraph"/>
        <w:numPr>
          <w:ilvl w:val="0"/>
          <w:numId w:val="2"/>
        </w:numPr>
        <w:ind w:left="363" w:hanging="363"/>
        <w:rPr>
          <w:rFonts w:ascii="Times New Roman" w:eastAsia="Calibri" w:hAnsi="Times New Roman"/>
          <w:sz w:val="20"/>
          <w:szCs w:val="20"/>
        </w:rPr>
      </w:pPr>
      <w:r>
        <w:rPr>
          <w:rFonts w:ascii="Times New Roman" w:eastAsia="Calibri" w:hAnsi="Times New Roman"/>
          <w:sz w:val="20"/>
          <w:szCs w:val="20"/>
        </w:rPr>
        <w:t>Halpern HI. Development and applications of light-hydrocarbon-based star diagrams. American Association of Petroleum Geologists Bulletin, 1995; 76: 801-815.</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Onyema M O and</w:t>
      </w:r>
      <w:r>
        <w:rPr>
          <w:rFonts w:ascii="Times New Roman" w:hAnsi="Times New Roman"/>
          <w:sz w:val="20"/>
          <w:szCs w:val="20"/>
        </w:rPr>
        <w:t xml:space="preserve"> Manilla PN. Light hydrocarbon correlation of Niger Delta crude oils. Journal of American Science, 2010; 6(6): 82-88.</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Ali FM, Al-Khadrawi RM, Perzanowski H and Halpern HJ. Central Saudi Arabia crude oil: A geochemical investigation. Petroleum Science and T</w:t>
      </w:r>
      <w:r>
        <w:rPr>
          <w:rFonts w:ascii="Times New Roman" w:hAnsi="Times New Roman"/>
          <w:sz w:val="20"/>
          <w:szCs w:val="20"/>
        </w:rPr>
        <w:t>echnology, 2002; 20: 633-654.</w:t>
      </w:r>
    </w:p>
    <w:p w:rsidR="00A839B8" w:rsidRDefault="00E64F33">
      <w:pPr>
        <w:pStyle w:val="ListParagraph"/>
        <w:numPr>
          <w:ilvl w:val="0"/>
          <w:numId w:val="2"/>
        </w:numPr>
        <w:ind w:left="363" w:hanging="363"/>
        <w:rPr>
          <w:rFonts w:ascii="Times New Roman" w:hAnsi="Times New Roman"/>
          <w:sz w:val="20"/>
          <w:szCs w:val="20"/>
        </w:rPr>
      </w:pPr>
      <w:r>
        <w:rPr>
          <w:rFonts w:ascii="Times New Roman" w:hAnsi="Times New Roman"/>
          <w:sz w:val="20"/>
          <w:szCs w:val="20"/>
        </w:rPr>
        <w:t>Volk H, George SC, Middleton H and Schofield S. Geochemical comparison of fluid inclusion and present-day oil accumulations in the Papuan Forland -Evidence for previously unrecognized petroleum source rocks. Organic Geochemist</w:t>
      </w:r>
      <w:r>
        <w:rPr>
          <w:rFonts w:ascii="Times New Roman" w:hAnsi="Times New Roman"/>
          <w:sz w:val="20"/>
          <w:szCs w:val="20"/>
        </w:rPr>
        <w:t>ry, 2005; 36: 29-51.</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Ekweozor CM and Udo OT. The oleananes: Origin, maturation and limits of occurrence in southern Nigeria’s sedimentary basins. Organic Geochemistry, 1988; 13(1-3): 131-140.</w:t>
      </w:r>
    </w:p>
    <w:p w:rsidR="00A839B8" w:rsidRDefault="00E64F33">
      <w:pPr>
        <w:pStyle w:val="ListParagraph"/>
        <w:numPr>
          <w:ilvl w:val="0"/>
          <w:numId w:val="2"/>
        </w:numPr>
        <w:ind w:left="363" w:hanging="363"/>
        <w:rPr>
          <w:rFonts w:ascii="Times New Roman" w:eastAsia="SimSun" w:hAnsi="Times New Roman"/>
          <w:sz w:val="20"/>
          <w:szCs w:val="20"/>
        </w:rPr>
      </w:pPr>
      <w:r>
        <w:rPr>
          <w:rFonts w:ascii="Times New Roman" w:hAnsi="Times New Roman"/>
          <w:sz w:val="20"/>
          <w:szCs w:val="20"/>
        </w:rPr>
        <w:t>Eneogwe CI and Ekundayo O. Geochemical correlation of crude oils</w:t>
      </w:r>
      <w:r>
        <w:rPr>
          <w:rFonts w:ascii="Times New Roman" w:hAnsi="Times New Roman"/>
          <w:sz w:val="20"/>
          <w:szCs w:val="20"/>
        </w:rPr>
        <w:t xml:space="preserve"> in the NW Niger Delta, Nigeria. Journal of Petroleum Geology, 2003; 26: 95-103.</w:t>
      </w:r>
    </w:p>
    <w:p w:rsidR="00A839B8" w:rsidRDefault="00A839B8">
      <w:pPr>
        <w:jc w:val="both"/>
        <w:rPr>
          <w:sz w:val="20"/>
          <w:szCs w:val="20"/>
        </w:rPr>
        <w:sectPr w:rsidR="00A839B8">
          <w:footnotePr>
            <w:pos w:val="beneathText"/>
          </w:footnotePr>
          <w:type w:val="continuous"/>
          <w:pgSz w:w="12240" w:h="15840"/>
          <w:pgMar w:top="1440" w:right="1440" w:bottom="1440" w:left="1440" w:header="720" w:footer="720" w:gutter="0"/>
          <w:cols w:num="2" w:space="576"/>
          <w:docGrid w:linePitch="360"/>
        </w:sectPr>
      </w:pPr>
    </w:p>
    <w:p w:rsidR="00A839B8" w:rsidRDefault="00A839B8">
      <w:pPr>
        <w:jc w:val="both"/>
        <w:rPr>
          <w:sz w:val="20"/>
          <w:szCs w:val="20"/>
        </w:rPr>
      </w:pPr>
    </w:p>
    <w:p w:rsidR="00A839B8" w:rsidRDefault="00E64F33">
      <w:pPr>
        <w:jc w:val="right"/>
        <w:rPr>
          <w:sz w:val="20"/>
          <w:szCs w:val="20"/>
        </w:rPr>
      </w:pPr>
      <w:bookmarkStart w:id="0" w:name="_GoBack"/>
      <w:bookmarkEnd w:id="0"/>
      <w:r>
        <w:rPr>
          <w:sz w:val="20"/>
          <w:szCs w:val="20"/>
          <w:lang w:eastAsia="zh-CN"/>
        </w:rPr>
        <w:t>5/20/2023</w:t>
      </w:r>
    </w:p>
    <w:sectPr w:rsidR="00A839B8">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33" w:rsidRDefault="00E64F33">
      <w:r>
        <w:separator/>
      </w:r>
    </w:p>
  </w:endnote>
  <w:endnote w:type="continuationSeparator" w:id="0">
    <w:p w:rsidR="00E64F33" w:rsidRDefault="00E6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dvOT863180fb">
    <w:altName w:val="Yu Gothic"/>
    <w:charset w:val="80"/>
    <w:family w:val="auto"/>
    <w:pitch w:val="default"/>
    <w:sig w:usb0="00000000" w:usb1="00000000" w:usb2="00000010" w:usb3="00000000" w:csb0="00020000" w:csb1="00000000"/>
  </w:font>
  <w:font w:name="AdvEPSTIM">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B8" w:rsidRDefault="00E64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39B8" w:rsidRDefault="00A839B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B8" w:rsidRDefault="00E64F33">
    <w:pPr>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39B8" w:rsidRDefault="00E64F33">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017DB2">
                            <w:rPr>
                              <w:rStyle w:val="PageNumber"/>
                              <w:noProof/>
                              <w:sz w:val="20"/>
                              <w:szCs w:val="20"/>
                            </w:rPr>
                            <w:t>54</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839B8" w:rsidRDefault="00E64F33">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017DB2">
                      <w:rPr>
                        <w:rStyle w:val="PageNumber"/>
                        <w:noProof/>
                        <w:sz w:val="20"/>
                        <w:szCs w:val="20"/>
                      </w:rPr>
                      <w:t>54</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A839B8" w:rsidRDefault="00A839B8">
    <w:pPr>
      <w:jc w:val="center"/>
      <w:rPr>
        <w:lang w:eastAsia="zh-C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B8" w:rsidRDefault="00E64F33">
    <w:pPr>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39B8" w:rsidRDefault="00E64F33">
                          <w:pPr>
                            <w:pStyle w:val="Footer"/>
                          </w:pPr>
                          <w:r>
                            <w:rPr>
                              <w:sz w:val="20"/>
                              <w:szCs w:val="20"/>
                            </w:rPr>
                            <w:fldChar w:fldCharType="begin"/>
                          </w:r>
                          <w:r>
                            <w:rPr>
                              <w:sz w:val="20"/>
                              <w:szCs w:val="20"/>
                            </w:rPr>
                            <w:instrText xml:space="preserve"> PAGE  \* MERGEFORMAT </w:instrText>
                          </w:r>
                          <w:r>
                            <w:rPr>
                              <w:sz w:val="20"/>
                              <w:szCs w:val="20"/>
                            </w:rPr>
                            <w:fldChar w:fldCharType="separate"/>
                          </w:r>
                          <w:r w:rsidR="00017DB2">
                            <w:rPr>
                              <w:noProof/>
                              <w:sz w:val="20"/>
                              <w:szCs w:val="20"/>
                            </w:rPr>
                            <w:t>49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A839B8" w:rsidRDefault="00E64F33">
                    <w:pPr>
                      <w:pStyle w:val="Footer"/>
                    </w:pPr>
                    <w:r>
                      <w:rPr>
                        <w:sz w:val="20"/>
                        <w:szCs w:val="20"/>
                      </w:rPr>
                      <w:fldChar w:fldCharType="begin"/>
                    </w:r>
                    <w:r>
                      <w:rPr>
                        <w:sz w:val="20"/>
                        <w:szCs w:val="20"/>
                      </w:rPr>
                      <w:instrText xml:space="preserve"> PAGE  \* MERGEFORMAT </w:instrText>
                    </w:r>
                    <w:r>
                      <w:rPr>
                        <w:sz w:val="20"/>
                        <w:szCs w:val="20"/>
                      </w:rPr>
                      <w:fldChar w:fldCharType="separate"/>
                    </w:r>
                    <w:r w:rsidR="00017DB2">
                      <w:rPr>
                        <w:noProof/>
                        <w:sz w:val="20"/>
                        <w:szCs w:val="20"/>
                      </w:rPr>
                      <w:t>49</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A839B8" w:rsidRDefault="00A839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33" w:rsidRDefault="00E64F33">
      <w:r>
        <w:separator/>
      </w:r>
    </w:p>
  </w:footnote>
  <w:footnote w:type="continuationSeparator" w:id="0">
    <w:p w:rsidR="00E64F33" w:rsidRDefault="00E64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B8" w:rsidRDefault="00E64F33">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 xml:space="preserve">New York Science Journal </w:t>
    </w:r>
    <w:r>
      <w:rPr>
        <w:rFonts w:eastAsia="Calibri"/>
        <w:sz w:val="20"/>
        <w:szCs w:val="20"/>
      </w:rPr>
      <w:t>202</w:t>
    </w:r>
    <w:r>
      <w:rPr>
        <w:rFonts w:hint="eastAsia"/>
        <w:sz w:val="20"/>
        <w:szCs w:val="20"/>
        <w:lang w:eastAsia="zh-CN"/>
      </w:rPr>
      <w:t>3</w:t>
    </w:r>
    <w:r>
      <w:rPr>
        <w:rFonts w:eastAsia="Calibri"/>
        <w:sz w:val="20"/>
        <w:szCs w:val="20"/>
      </w:rPr>
      <w:t>;1</w:t>
    </w:r>
    <w:r>
      <w:rPr>
        <w:rFonts w:hint="eastAsia"/>
        <w:sz w:val="20"/>
        <w:szCs w:val="20"/>
        <w:lang w:eastAsia="zh-CN"/>
      </w:rPr>
      <w:t>6</w:t>
    </w:r>
    <w:r>
      <w:rPr>
        <w:rFonts w:eastAsia="Calibri"/>
        <w:sz w:val="20"/>
        <w:szCs w:val="20"/>
      </w:rPr>
      <w:t>(</w:t>
    </w:r>
    <w:r>
      <w:rPr>
        <w:rFonts w:hint="eastAsia"/>
        <w:sz w:val="20"/>
        <w:szCs w:val="20"/>
        <w:lang w:eastAsia="zh-CN"/>
      </w:rPr>
      <w:t>5</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r>
      <w:rPr>
        <w:rFonts w:hint="eastAsia"/>
        <w:iCs/>
        <w:sz w:val="20"/>
        <w:szCs w:val="20"/>
        <w:lang w:eastAsia="zh-CN"/>
      </w:rPr>
      <w:t xml:space="preserve">    </w:t>
    </w:r>
    <w:r>
      <w:rPr>
        <w:rFonts w:hint="eastAsia"/>
        <w:iCs/>
        <w:sz w:val="20"/>
        <w:szCs w:val="20"/>
        <w:lang w:eastAsia="zh-CN"/>
      </w:rPr>
      <w:t xml:space="preserve">          </w:t>
    </w:r>
    <w:r>
      <w:rPr>
        <w:rFonts w:hint="eastAsia"/>
        <w:iCs/>
        <w:sz w:val="20"/>
        <w:szCs w:val="20"/>
        <w:lang w:eastAsia="zh-CN"/>
      </w:rPr>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A839B8" w:rsidRDefault="00A839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B8" w:rsidRDefault="00E64F33">
    <w:pPr>
      <w:pStyle w:val="Header"/>
    </w:pPr>
    <w:r>
      <w:rPr>
        <w:rFonts w:eastAsia="Calibri"/>
        <w:noProof/>
        <w:sz w:val="20"/>
        <w:lang w:eastAsia="zh-CN"/>
      </w:rPr>
      <w:drawing>
        <wp:inline distT="0" distB="0" distL="114300" distR="114300">
          <wp:extent cx="5950585" cy="788035"/>
          <wp:effectExtent l="0" t="0" r="12065" b="12065"/>
          <wp:docPr id="4" name="图片 4"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489EDE5F"/>
    <w:multiLevelType w:val="multilevel"/>
    <w:tmpl w:val="489EDE5F"/>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459B3"/>
    <w:rsid w:val="00000358"/>
    <w:rsid w:val="00005C8E"/>
    <w:rsid w:val="000075A2"/>
    <w:rsid w:val="00012408"/>
    <w:rsid w:val="00017DB2"/>
    <w:rsid w:val="00042A25"/>
    <w:rsid w:val="0006091F"/>
    <w:rsid w:val="00080CE9"/>
    <w:rsid w:val="000827B7"/>
    <w:rsid w:val="0008417A"/>
    <w:rsid w:val="000844D7"/>
    <w:rsid w:val="00086790"/>
    <w:rsid w:val="00090A06"/>
    <w:rsid w:val="000A0250"/>
    <w:rsid w:val="000A3F90"/>
    <w:rsid w:val="001817C7"/>
    <w:rsid w:val="00183764"/>
    <w:rsid w:val="001964D0"/>
    <w:rsid w:val="001B41B8"/>
    <w:rsid w:val="001B650D"/>
    <w:rsid w:val="001C3D42"/>
    <w:rsid w:val="00205E97"/>
    <w:rsid w:val="00245C21"/>
    <w:rsid w:val="002721F1"/>
    <w:rsid w:val="00282FA1"/>
    <w:rsid w:val="002B5613"/>
    <w:rsid w:val="002C1A8F"/>
    <w:rsid w:val="002D3558"/>
    <w:rsid w:val="002D589A"/>
    <w:rsid w:val="002F20CD"/>
    <w:rsid w:val="002F49EF"/>
    <w:rsid w:val="00301F95"/>
    <w:rsid w:val="00314F95"/>
    <w:rsid w:val="00322FAB"/>
    <w:rsid w:val="003246A8"/>
    <w:rsid w:val="00345581"/>
    <w:rsid w:val="0034702D"/>
    <w:rsid w:val="0034754E"/>
    <w:rsid w:val="003679A0"/>
    <w:rsid w:val="00381A97"/>
    <w:rsid w:val="00394B65"/>
    <w:rsid w:val="003A785E"/>
    <w:rsid w:val="003B55FF"/>
    <w:rsid w:val="003B651F"/>
    <w:rsid w:val="003C0116"/>
    <w:rsid w:val="003C4C28"/>
    <w:rsid w:val="00433A65"/>
    <w:rsid w:val="0043645D"/>
    <w:rsid w:val="00454A59"/>
    <w:rsid w:val="00456753"/>
    <w:rsid w:val="00471E57"/>
    <w:rsid w:val="00480715"/>
    <w:rsid w:val="0049143E"/>
    <w:rsid w:val="004C289C"/>
    <w:rsid w:val="004C7E2A"/>
    <w:rsid w:val="004D01D3"/>
    <w:rsid w:val="004D0467"/>
    <w:rsid w:val="004F4AFB"/>
    <w:rsid w:val="00520D1A"/>
    <w:rsid w:val="0052512B"/>
    <w:rsid w:val="00553F9B"/>
    <w:rsid w:val="00593132"/>
    <w:rsid w:val="005A21B0"/>
    <w:rsid w:val="005A5E42"/>
    <w:rsid w:val="005C2F35"/>
    <w:rsid w:val="005D1DA6"/>
    <w:rsid w:val="005E2C24"/>
    <w:rsid w:val="005F5E04"/>
    <w:rsid w:val="00602F5B"/>
    <w:rsid w:val="006074FA"/>
    <w:rsid w:val="0065209A"/>
    <w:rsid w:val="00657995"/>
    <w:rsid w:val="00682F56"/>
    <w:rsid w:val="006B2A83"/>
    <w:rsid w:val="006B5399"/>
    <w:rsid w:val="006D5C2E"/>
    <w:rsid w:val="006E6ACB"/>
    <w:rsid w:val="006E7156"/>
    <w:rsid w:val="006F1706"/>
    <w:rsid w:val="00705F14"/>
    <w:rsid w:val="00717CA1"/>
    <w:rsid w:val="0072149A"/>
    <w:rsid w:val="00744442"/>
    <w:rsid w:val="00756315"/>
    <w:rsid w:val="007725E7"/>
    <w:rsid w:val="0078507E"/>
    <w:rsid w:val="007B568F"/>
    <w:rsid w:val="007D3D09"/>
    <w:rsid w:val="007D746F"/>
    <w:rsid w:val="007F763B"/>
    <w:rsid w:val="008131CF"/>
    <w:rsid w:val="00814FA7"/>
    <w:rsid w:val="008233D0"/>
    <w:rsid w:val="00831E5C"/>
    <w:rsid w:val="0085007D"/>
    <w:rsid w:val="00875C08"/>
    <w:rsid w:val="008A20AC"/>
    <w:rsid w:val="008A67B6"/>
    <w:rsid w:val="008E2116"/>
    <w:rsid w:val="008E2D29"/>
    <w:rsid w:val="008F579D"/>
    <w:rsid w:val="0091208A"/>
    <w:rsid w:val="00914558"/>
    <w:rsid w:val="00935CF7"/>
    <w:rsid w:val="0094140D"/>
    <w:rsid w:val="009459B3"/>
    <w:rsid w:val="00952EB8"/>
    <w:rsid w:val="00997A8E"/>
    <w:rsid w:val="009A3681"/>
    <w:rsid w:val="00A05136"/>
    <w:rsid w:val="00A1557F"/>
    <w:rsid w:val="00A3476D"/>
    <w:rsid w:val="00A768E6"/>
    <w:rsid w:val="00A839B8"/>
    <w:rsid w:val="00A84946"/>
    <w:rsid w:val="00B3167C"/>
    <w:rsid w:val="00B36B45"/>
    <w:rsid w:val="00B44CA2"/>
    <w:rsid w:val="00B60543"/>
    <w:rsid w:val="00B60E8D"/>
    <w:rsid w:val="00B80C0E"/>
    <w:rsid w:val="00B918AE"/>
    <w:rsid w:val="00B94E19"/>
    <w:rsid w:val="00BD2A8D"/>
    <w:rsid w:val="00BD4FCC"/>
    <w:rsid w:val="00BF6579"/>
    <w:rsid w:val="00C0761F"/>
    <w:rsid w:val="00C101C9"/>
    <w:rsid w:val="00C44596"/>
    <w:rsid w:val="00C60D61"/>
    <w:rsid w:val="00C92003"/>
    <w:rsid w:val="00CC2FE0"/>
    <w:rsid w:val="00CC4387"/>
    <w:rsid w:val="00CE7B2F"/>
    <w:rsid w:val="00CF24FB"/>
    <w:rsid w:val="00CF6616"/>
    <w:rsid w:val="00D04C27"/>
    <w:rsid w:val="00D13147"/>
    <w:rsid w:val="00D26F2E"/>
    <w:rsid w:val="00D3777A"/>
    <w:rsid w:val="00D56002"/>
    <w:rsid w:val="00D778C9"/>
    <w:rsid w:val="00DB4870"/>
    <w:rsid w:val="00DF6507"/>
    <w:rsid w:val="00DF7353"/>
    <w:rsid w:val="00E015B9"/>
    <w:rsid w:val="00E34501"/>
    <w:rsid w:val="00E34DBD"/>
    <w:rsid w:val="00E4426B"/>
    <w:rsid w:val="00E52EA0"/>
    <w:rsid w:val="00E57761"/>
    <w:rsid w:val="00E617EB"/>
    <w:rsid w:val="00E64F33"/>
    <w:rsid w:val="00E73E1D"/>
    <w:rsid w:val="00EB3E79"/>
    <w:rsid w:val="00EB51F4"/>
    <w:rsid w:val="00EC565A"/>
    <w:rsid w:val="00EC5C53"/>
    <w:rsid w:val="00ED4441"/>
    <w:rsid w:val="00ED4A29"/>
    <w:rsid w:val="00ED4ED9"/>
    <w:rsid w:val="00EE1CEE"/>
    <w:rsid w:val="00EE1F4B"/>
    <w:rsid w:val="00F03305"/>
    <w:rsid w:val="00F2228B"/>
    <w:rsid w:val="00F62573"/>
    <w:rsid w:val="00F83A62"/>
    <w:rsid w:val="00FA09DC"/>
    <w:rsid w:val="00FA6D77"/>
    <w:rsid w:val="00FB5B6A"/>
    <w:rsid w:val="00FC4906"/>
    <w:rsid w:val="00FF0C0F"/>
    <w:rsid w:val="00FF7666"/>
    <w:rsid w:val="067C41CD"/>
    <w:rsid w:val="075229E7"/>
    <w:rsid w:val="3AEC6E7D"/>
    <w:rsid w:val="474F6BEC"/>
    <w:rsid w:val="4C75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8E92"/>
  <w15:docId w15:val="{57C45DD9-203B-4B0B-9C61-4A99E991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i/>
      <w:iCs/>
    </w:rPr>
  </w:style>
  <w:style w:type="paragraph" w:styleId="BodyText">
    <w:name w:val="Body Text"/>
    <w:basedOn w:val="Normal"/>
    <w:qFormat/>
    <w:pPr>
      <w:spacing w:line="360" w:lineRule="auto"/>
    </w:pPr>
  </w:style>
  <w:style w:type="paragraph" w:styleId="BodyTextIndent">
    <w:name w:val="Body Text Indent"/>
    <w:basedOn w:val="Normal"/>
    <w:qFormat/>
    <w:pPr>
      <w:ind w:left="540" w:hanging="720"/>
      <w:jc w:val="both"/>
    </w:pPr>
  </w:style>
  <w:style w:type="paragraph" w:styleId="BodyTextIndent2">
    <w:name w:val="Body Text Indent 2"/>
    <w:basedOn w:val="Normal"/>
    <w:qFormat/>
    <w:pPr>
      <w:spacing w:line="360" w:lineRule="auto"/>
      <w:ind w:firstLine="720"/>
      <w:jc w:val="both"/>
    </w:pPr>
  </w:style>
  <w:style w:type="paragraph" w:styleId="Footer">
    <w:name w:val="footer"/>
    <w:basedOn w:val="Normal"/>
    <w:qFormat/>
    <w:pPr>
      <w:tabs>
        <w:tab w:val="center" w:pos="4320"/>
        <w:tab w:val="right" w:pos="8640"/>
      </w:tabs>
    </w:pPr>
    <w:rPr>
      <w:sz w:val="32"/>
    </w:rPr>
  </w:style>
  <w:style w:type="paragraph" w:styleId="Header">
    <w:name w:val="header"/>
    <w:basedOn w:val="Normal"/>
    <w:next w:val="Heading1"/>
    <w:link w:val="HeaderChar"/>
    <w:qFormat/>
    <w:pPr>
      <w:tabs>
        <w:tab w:val="center" w:pos="4320"/>
        <w:tab w:val="right" w:pos="8640"/>
      </w:tabs>
    </w:pPr>
  </w:style>
  <w:style w:type="paragraph" w:styleId="List">
    <w:name w:val="List"/>
    <w:basedOn w:val="BodyText"/>
    <w:qFormat/>
  </w:style>
  <w:style w:type="paragraph" w:styleId="BodyTextIndent3">
    <w:name w:val="Body Text Indent 3"/>
    <w:basedOn w:val="Normal"/>
    <w:qFormat/>
    <w:pPr>
      <w:spacing w:line="360" w:lineRule="auto"/>
      <w:ind w:firstLine="720"/>
      <w:jc w:val="both"/>
    </w:pPr>
    <w:rPr>
      <w:b/>
      <w:bCs/>
    </w:rPr>
  </w:style>
  <w:style w:type="paragraph" w:styleId="BodyText2">
    <w:name w:val="Body Text 2"/>
    <w:basedOn w:val="Normal"/>
    <w:qFormat/>
    <w:pPr>
      <w:spacing w:line="360" w:lineRule="auto"/>
      <w:jc w:val="both"/>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style>
  <w:style w:type="character" w:customStyle="1" w:styleId="WW-Absatz-Standardschriftart111111">
    <w:name w:val="WW-Absatz-Standardschriftart111111"/>
    <w:qFormat/>
  </w:style>
  <w:style w:type="character" w:customStyle="1" w:styleId="WW-Absatz-Standardschriftart1111111">
    <w:name w:val="WW-Absatz-Standardschriftart1111111"/>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style>
  <w:style w:type="character" w:customStyle="1" w:styleId="WW8Num1z0">
    <w:name w:val="WW8Num1z0"/>
    <w:qFormat/>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paragraph" w:customStyle="1" w:styleId="Text">
    <w:name w:val="Text"/>
    <w:basedOn w:val="Normal"/>
    <w:qFormat/>
    <w:pPr>
      <w:autoSpaceDE w:val="0"/>
      <w:spacing w:line="252" w:lineRule="auto"/>
      <w:ind w:firstLine="202"/>
    </w:pPr>
    <w:rPr>
      <w:rFonts w:eastAsia="PMingLiU"/>
      <w:kern w:val="1"/>
      <w:sz w:val="20"/>
      <w:szCs w:val="20"/>
    </w:rPr>
  </w:style>
  <w:style w:type="character" w:customStyle="1" w:styleId="HeaderChar">
    <w:name w:val="Header Char"/>
    <w:link w:val="Header"/>
    <w:qFormat/>
    <w:rPr>
      <w:sz w:val="24"/>
      <w:szCs w:val="24"/>
      <w:lang w:eastAsia="ar-SA"/>
    </w:rPr>
  </w:style>
  <w:style w:type="paragraph" w:styleId="ListParagraph">
    <w:name w:val="List Paragraph"/>
    <w:basedOn w:val="Normal"/>
    <w:uiPriority w:val="34"/>
    <w:qFormat/>
    <w:pPr>
      <w:widowControl w:val="0"/>
      <w:suppressAutoHyphens w:val="0"/>
      <w:ind w:left="720"/>
      <w:contextualSpacing/>
      <w:jc w:val="both"/>
    </w:pPr>
    <w:rPr>
      <w:rFonts w:ascii="Calibri" w:eastAsia="Times New Roman"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nyemark@yahoo.com"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0523.05" TargetMode="External"/><Relationship Id="rId19" Type="http://schemas.openxmlformats.org/officeDocument/2006/relationships/hyperlink" Target="mailto:onyemark@yahoo.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3693</Words>
  <Characters>21054</Characters>
  <Application>Microsoft Office Word</Application>
  <DocSecurity>0</DocSecurity>
  <Lines>175</Lines>
  <Paragraphs>49</Paragraphs>
  <ScaleCrop>false</ScaleCrop>
  <Manager>Marsland</Manager>
  <Company>Marsland Press</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cp:lastModifiedBy>
  <cp:revision>4</cp:revision>
  <cp:lastPrinted>2008-06-25T08:46:00Z</cp:lastPrinted>
  <dcterms:created xsi:type="dcterms:W3CDTF">2023-03-09T23:29:00Z</dcterms:created>
  <dcterms:modified xsi:type="dcterms:W3CDTF">2023-05-24T01:31:00Z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56B5B8FD520048AB817AA01C32ADB666_12</vt:lpwstr>
  </property>
</Properties>
</file>