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32" w:rsidRDefault="00CF01F2">
      <w:pPr>
        <w:snapToGrid w:val="0"/>
        <w:spacing w:after="0" w:line="240" w:lineRule="auto"/>
        <w:jc w:val="center"/>
        <w:rPr>
          <w:rFonts w:ascii="Times New Roman" w:hAnsi="Times New Roman"/>
          <w:b/>
          <w:sz w:val="20"/>
          <w:szCs w:val="20"/>
        </w:rPr>
      </w:pPr>
      <w:r>
        <w:rPr>
          <w:rFonts w:ascii="Times New Roman" w:hAnsi="Times New Roman"/>
          <w:b/>
          <w:sz w:val="20"/>
          <w:szCs w:val="20"/>
        </w:rPr>
        <w:t>Effect of Different Rates of Goat Manure on the Performance of Cucumber [</w:t>
      </w:r>
      <w:proofErr w:type="spellStart"/>
      <w:r>
        <w:rPr>
          <w:rFonts w:ascii="Times New Roman" w:hAnsi="Times New Roman"/>
          <w:b/>
          <w:i/>
          <w:sz w:val="20"/>
          <w:szCs w:val="20"/>
        </w:rPr>
        <w:t>Cucumis</w:t>
      </w:r>
      <w:proofErr w:type="spellEnd"/>
      <w:r>
        <w:rPr>
          <w:rFonts w:ascii="Times New Roman" w:hAnsi="Times New Roman"/>
          <w:b/>
          <w:i/>
          <w:sz w:val="20"/>
          <w:szCs w:val="20"/>
        </w:rPr>
        <w:t xml:space="preserve"> </w:t>
      </w:r>
      <w:proofErr w:type="spellStart"/>
      <w:r>
        <w:rPr>
          <w:rFonts w:ascii="Times New Roman" w:hAnsi="Times New Roman"/>
          <w:b/>
          <w:i/>
          <w:sz w:val="20"/>
          <w:szCs w:val="20"/>
        </w:rPr>
        <w:t>sativus</w:t>
      </w:r>
      <w:proofErr w:type="spellEnd"/>
      <w:r>
        <w:rPr>
          <w:rFonts w:ascii="Times New Roman" w:hAnsi="Times New Roman"/>
          <w:b/>
          <w:sz w:val="20"/>
          <w:szCs w:val="20"/>
        </w:rPr>
        <w:t>] and Soil Chemical Properties in Southwestern Nigeria</w:t>
      </w:r>
    </w:p>
    <w:p w:rsidR="00374032" w:rsidRDefault="00374032">
      <w:pPr>
        <w:snapToGrid w:val="0"/>
        <w:spacing w:after="0" w:line="240" w:lineRule="auto"/>
        <w:jc w:val="center"/>
        <w:rPr>
          <w:rFonts w:ascii="Times New Roman" w:hAnsi="Times New Roman"/>
          <w:b/>
          <w:sz w:val="20"/>
          <w:szCs w:val="20"/>
        </w:rPr>
      </w:pPr>
    </w:p>
    <w:p w:rsidR="00374032" w:rsidRDefault="00CF01F2">
      <w:pPr>
        <w:snapToGrid w:val="0"/>
        <w:spacing w:after="0" w:line="240" w:lineRule="auto"/>
        <w:jc w:val="center"/>
        <w:rPr>
          <w:rFonts w:ascii="Times New Roman" w:hAnsi="Times New Roman"/>
          <w:sz w:val="20"/>
          <w:szCs w:val="20"/>
        </w:rPr>
      </w:pPr>
      <w:proofErr w:type="spellStart"/>
      <w:r>
        <w:rPr>
          <w:rFonts w:ascii="Times New Roman" w:hAnsi="Times New Roman"/>
          <w:sz w:val="20"/>
          <w:szCs w:val="20"/>
        </w:rPr>
        <w:t>Eleduma</w:t>
      </w:r>
      <w:proofErr w:type="spellEnd"/>
      <w:r>
        <w:rPr>
          <w:rFonts w:ascii="Times New Roman" w:hAnsi="Times New Roman"/>
          <w:sz w:val="20"/>
          <w:szCs w:val="20"/>
        </w:rPr>
        <w:t>, A. F.</w:t>
      </w:r>
    </w:p>
    <w:p w:rsidR="00374032" w:rsidRDefault="00374032">
      <w:pPr>
        <w:snapToGrid w:val="0"/>
        <w:spacing w:after="0" w:line="240" w:lineRule="auto"/>
        <w:jc w:val="center"/>
        <w:rPr>
          <w:rFonts w:ascii="Times New Roman" w:hAnsi="Times New Roman"/>
          <w:sz w:val="20"/>
          <w:szCs w:val="20"/>
        </w:rPr>
      </w:pPr>
    </w:p>
    <w:p w:rsidR="00374032" w:rsidRDefault="00CF01F2">
      <w:pPr>
        <w:snapToGrid w:val="0"/>
        <w:spacing w:after="0" w:line="240" w:lineRule="auto"/>
        <w:jc w:val="center"/>
        <w:rPr>
          <w:rFonts w:ascii="Times New Roman" w:hAnsi="Times New Roman"/>
          <w:sz w:val="20"/>
          <w:szCs w:val="20"/>
        </w:rPr>
      </w:pPr>
      <w:r>
        <w:rPr>
          <w:rFonts w:ascii="Times New Roman" w:hAnsi="Times New Roman"/>
          <w:sz w:val="20"/>
          <w:szCs w:val="20"/>
        </w:rPr>
        <w:t xml:space="preserve">Department of Agricultural Technology, Rufus </w:t>
      </w:r>
      <w:proofErr w:type="spellStart"/>
      <w:r>
        <w:rPr>
          <w:rFonts w:ascii="Times New Roman" w:hAnsi="Times New Roman"/>
          <w:sz w:val="20"/>
          <w:szCs w:val="20"/>
        </w:rPr>
        <w:t>Giwa</w:t>
      </w:r>
      <w:proofErr w:type="spellEnd"/>
      <w:r>
        <w:rPr>
          <w:rFonts w:ascii="Times New Roman" w:hAnsi="Times New Roman"/>
          <w:sz w:val="20"/>
          <w:szCs w:val="20"/>
        </w:rPr>
        <w:t xml:space="preserve"> Polytechnic, </w:t>
      </w:r>
    </w:p>
    <w:p w:rsidR="00374032" w:rsidRDefault="00CF01F2">
      <w:pPr>
        <w:snapToGrid w:val="0"/>
        <w:spacing w:after="0" w:line="240" w:lineRule="auto"/>
        <w:jc w:val="center"/>
        <w:rPr>
          <w:rFonts w:ascii="Times New Roman" w:hAnsi="Times New Roman"/>
          <w:sz w:val="20"/>
          <w:szCs w:val="20"/>
        </w:rPr>
      </w:pPr>
      <w:r>
        <w:rPr>
          <w:rFonts w:ascii="Times New Roman" w:hAnsi="Times New Roman"/>
          <w:sz w:val="20"/>
          <w:szCs w:val="20"/>
        </w:rPr>
        <w:t xml:space="preserve">P. M. B. 1019, </w:t>
      </w:r>
      <w:proofErr w:type="spellStart"/>
      <w:r>
        <w:rPr>
          <w:rFonts w:ascii="Times New Roman" w:hAnsi="Times New Roman"/>
          <w:sz w:val="20"/>
          <w:szCs w:val="20"/>
        </w:rPr>
        <w:t>Owo</w:t>
      </w:r>
      <w:proofErr w:type="spellEnd"/>
      <w:r>
        <w:rPr>
          <w:rFonts w:ascii="Times New Roman" w:hAnsi="Times New Roman"/>
          <w:sz w:val="20"/>
          <w:szCs w:val="20"/>
        </w:rPr>
        <w:t>, Ondo State,</w:t>
      </w:r>
      <w:r>
        <w:rPr>
          <w:rFonts w:ascii="Times New Roman" w:hAnsi="Times New Roman"/>
          <w:sz w:val="20"/>
          <w:szCs w:val="20"/>
        </w:rPr>
        <w:t xml:space="preserve"> Nigeria</w:t>
      </w:r>
    </w:p>
    <w:p w:rsidR="00374032" w:rsidRDefault="00374032">
      <w:pPr>
        <w:snapToGrid w:val="0"/>
        <w:spacing w:after="0" w:line="240" w:lineRule="auto"/>
        <w:jc w:val="center"/>
        <w:rPr>
          <w:rFonts w:ascii="Times New Roman" w:hAnsi="Times New Roman"/>
          <w:sz w:val="20"/>
          <w:szCs w:val="20"/>
        </w:rPr>
      </w:pPr>
    </w:p>
    <w:p w:rsidR="00374032" w:rsidRDefault="00CF01F2">
      <w:pPr>
        <w:snapToGrid w:val="0"/>
        <w:spacing w:after="0" w:line="240" w:lineRule="auto"/>
        <w:jc w:val="both"/>
        <w:rPr>
          <w:rFonts w:ascii="Times New Roman" w:hAnsi="Times New Roman"/>
          <w:sz w:val="20"/>
          <w:szCs w:val="20"/>
        </w:rPr>
      </w:pPr>
      <w:r>
        <w:rPr>
          <w:rFonts w:ascii="Times New Roman" w:hAnsi="Times New Roman"/>
          <w:b/>
          <w:sz w:val="20"/>
          <w:szCs w:val="20"/>
        </w:rPr>
        <w:t xml:space="preserve">Abstract: </w:t>
      </w:r>
      <w:r>
        <w:rPr>
          <w:rFonts w:ascii="Times New Roman" w:hAnsi="Times New Roman"/>
          <w:sz w:val="20"/>
          <w:szCs w:val="20"/>
        </w:rPr>
        <w:t xml:space="preserve">This study evaluated the effect of varying rates of goat manure on cucumber. The study was carried out at the Teaching Research and Commercial Farms, Rufus </w:t>
      </w:r>
      <w:proofErr w:type="spellStart"/>
      <w:r>
        <w:rPr>
          <w:rFonts w:ascii="Times New Roman" w:hAnsi="Times New Roman"/>
          <w:sz w:val="20"/>
          <w:szCs w:val="20"/>
        </w:rPr>
        <w:t>Giwa</w:t>
      </w:r>
      <w:proofErr w:type="spellEnd"/>
      <w:r>
        <w:rPr>
          <w:rFonts w:ascii="Times New Roman" w:hAnsi="Times New Roman"/>
          <w:sz w:val="20"/>
          <w:szCs w:val="20"/>
        </w:rPr>
        <w:t xml:space="preserve"> Polytechnic, </w:t>
      </w:r>
      <w:proofErr w:type="spellStart"/>
      <w:r>
        <w:rPr>
          <w:rFonts w:ascii="Times New Roman" w:hAnsi="Times New Roman"/>
          <w:sz w:val="20"/>
          <w:szCs w:val="20"/>
        </w:rPr>
        <w:t>Owo</w:t>
      </w:r>
      <w:proofErr w:type="spellEnd"/>
      <w:r>
        <w:rPr>
          <w:rFonts w:ascii="Times New Roman" w:hAnsi="Times New Roman"/>
          <w:sz w:val="20"/>
          <w:szCs w:val="20"/>
        </w:rPr>
        <w:t xml:space="preserve">, Ondo State (latitude 7°12'N and longitude 5°12'E) during </w:t>
      </w:r>
      <w:r>
        <w:rPr>
          <w:rFonts w:ascii="Times New Roman" w:hAnsi="Times New Roman"/>
          <w:sz w:val="20"/>
          <w:szCs w:val="20"/>
        </w:rPr>
        <w:t>the rainy season of 2016 (May – July). The experiment followed a randomized complete block design (RCBD) at four (4) treatment levels and control with each replicated three (3) times to give a total of fifteen (15) plots. Each block measured 12m × 2m (24m</w:t>
      </w:r>
      <w:r>
        <w:rPr>
          <w:rFonts w:ascii="Times New Roman" w:hAnsi="Times New Roman"/>
          <w:sz w:val="20"/>
          <w:szCs w:val="20"/>
          <w:vertAlign w:val="superscript"/>
        </w:rPr>
        <w:t>2</w:t>
      </w:r>
      <w:r>
        <w:rPr>
          <w:rFonts w:ascii="Times New Roman" w:hAnsi="Times New Roman"/>
          <w:sz w:val="20"/>
          <w:szCs w:val="20"/>
        </w:rPr>
        <w:t>) while plots measured 2m × 2m (4m</w:t>
      </w:r>
      <w:r>
        <w:rPr>
          <w:rFonts w:ascii="Times New Roman" w:hAnsi="Times New Roman"/>
          <w:sz w:val="20"/>
          <w:szCs w:val="20"/>
          <w:vertAlign w:val="superscript"/>
        </w:rPr>
        <w:t>2</w:t>
      </w:r>
      <w:r>
        <w:rPr>
          <w:rFonts w:ascii="Times New Roman" w:hAnsi="Times New Roman"/>
          <w:sz w:val="20"/>
          <w:szCs w:val="20"/>
        </w:rPr>
        <w:t>) each and the discard between replicates and plots was 0.5m. The total area of the experimental site was 13m and 8m (104m</w:t>
      </w:r>
      <w:r>
        <w:rPr>
          <w:rFonts w:ascii="Times New Roman" w:hAnsi="Times New Roman"/>
          <w:sz w:val="20"/>
          <w:szCs w:val="20"/>
          <w:vertAlign w:val="superscript"/>
        </w:rPr>
        <w:t>2</w:t>
      </w:r>
      <w:r>
        <w:rPr>
          <w:rFonts w:ascii="Times New Roman" w:hAnsi="Times New Roman"/>
          <w:sz w:val="20"/>
          <w:szCs w:val="20"/>
        </w:rPr>
        <w:t>). Treatment rates applied were 5, 10, 15 and 20tha</w:t>
      </w:r>
      <w:r>
        <w:rPr>
          <w:rFonts w:ascii="Times New Roman" w:hAnsi="Times New Roman"/>
          <w:sz w:val="20"/>
          <w:szCs w:val="20"/>
          <w:vertAlign w:val="superscript"/>
        </w:rPr>
        <w:t>-1</w:t>
      </w:r>
      <w:r>
        <w:rPr>
          <w:rFonts w:ascii="Times New Roman" w:hAnsi="Times New Roman"/>
          <w:sz w:val="20"/>
          <w:szCs w:val="20"/>
        </w:rPr>
        <w:t xml:space="preserve"> of goat manure and control at 0kg. The contr</w:t>
      </w:r>
      <w:r>
        <w:rPr>
          <w:rFonts w:ascii="Times New Roman" w:hAnsi="Times New Roman"/>
          <w:sz w:val="20"/>
          <w:szCs w:val="20"/>
        </w:rPr>
        <w:t>ol gave the lowest growth and yield parameters with 1.19, 43.58cm, 105.28cm</w:t>
      </w:r>
      <w:r>
        <w:rPr>
          <w:rFonts w:ascii="Times New Roman" w:hAnsi="Times New Roman"/>
          <w:sz w:val="20"/>
          <w:szCs w:val="20"/>
          <w:vertAlign w:val="superscript"/>
        </w:rPr>
        <w:t>2</w:t>
      </w:r>
      <w:r>
        <w:rPr>
          <w:rFonts w:ascii="Times New Roman" w:hAnsi="Times New Roman"/>
          <w:sz w:val="20"/>
          <w:szCs w:val="20"/>
        </w:rPr>
        <w:t>, 9.67, 1.50, 8.40cm, 8.04cm and 0.31kg as stem girth, vine length, leaf area, number of fruits, fruit circumference, fruit length and fruit weight respectively as results result w</w:t>
      </w:r>
      <w:r>
        <w:rPr>
          <w:rFonts w:ascii="Times New Roman" w:hAnsi="Times New Roman"/>
          <w:sz w:val="20"/>
          <w:szCs w:val="20"/>
        </w:rPr>
        <w:t>hile best results in terms of growth and yield were obtained from plots treated with 2.0kg of goat manure had 2.76cm, 63.43cm, 118.19cm</w:t>
      </w:r>
      <w:r>
        <w:rPr>
          <w:rFonts w:ascii="Times New Roman" w:hAnsi="Times New Roman"/>
          <w:sz w:val="20"/>
          <w:szCs w:val="20"/>
          <w:vertAlign w:val="superscript"/>
        </w:rPr>
        <w:t>2</w:t>
      </w:r>
      <w:r>
        <w:rPr>
          <w:rFonts w:ascii="Times New Roman" w:hAnsi="Times New Roman"/>
          <w:sz w:val="20"/>
          <w:szCs w:val="20"/>
        </w:rPr>
        <w:t>, 12.50, 4.17, 11.56cm, 12.01cm and 1.55kg as stem girth, vine length, leaf area, number of leaves, number of fruits, fr</w:t>
      </w:r>
      <w:r>
        <w:rPr>
          <w:rFonts w:ascii="Times New Roman" w:hAnsi="Times New Roman"/>
          <w:sz w:val="20"/>
          <w:szCs w:val="20"/>
        </w:rPr>
        <w:t>uit circumference, fruit length and fruit weight respectively. The result of the study showed that the application of goat manure at the rate of 20tha</w:t>
      </w:r>
      <w:r>
        <w:rPr>
          <w:rFonts w:ascii="Times New Roman" w:hAnsi="Times New Roman"/>
          <w:sz w:val="20"/>
          <w:szCs w:val="20"/>
          <w:vertAlign w:val="superscript"/>
        </w:rPr>
        <w:t>-1</w:t>
      </w:r>
      <w:r>
        <w:rPr>
          <w:rFonts w:ascii="Times New Roman" w:hAnsi="Times New Roman"/>
          <w:sz w:val="20"/>
          <w:szCs w:val="20"/>
        </w:rPr>
        <w:t xml:space="preserve"> would provide the best result in terms of growth and yield of cucumber in the study area. </w:t>
      </w:r>
    </w:p>
    <w:p w:rsidR="00374032" w:rsidRDefault="00CF01F2">
      <w:pPr>
        <w:snapToGrid w:val="0"/>
        <w:spacing w:after="0" w:line="240" w:lineRule="auto"/>
        <w:jc w:val="both"/>
        <w:rPr>
          <w:rStyle w:val="Hyperlink"/>
          <w:rFonts w:ascii="Times New Roman" w:eastAsia="Times New Roman" w:hAnsi="Times New Roman"/>
          <w:sz w:val="20"/>
          <w:szCs w:val="20"/>
          <w:lang w:eastAsia="zh-CN"/>
        </w:rPr>
      </w:pPr>
      <w:r>
        <w:rPr>
          <w:rFonts w:ascii="Times New Roman" w:hAnsi="Times New Roman"/>
          <w:sz w:val="20"/>
          <w:szCs w:val="20"/>
        </w:rPr>
        <w:t>[</w:t>
      </w:r>
      <w:proofErr w:type="spellStart"/>
      <w:r>
        <w:rPr>
          <w:rFonts w:ascii="Times New Roman" w:hAnsi="Times New Roman"/>
          <w:sz w:val="20"/>
          <w:szCs w:val="20"/>
        </w:rPr>
        <w:t>Eleduma</w:t>
      </w:r>
      <w:proofErr w:type="spellEnd"/>
      <w:r>
        <w:rPr>
          <w:rFonts w:ascii="Times New Roman" w:hAnsi="Times New Roman"/>
          <w:sz w:val="20"/>
          <w:szCs w:val="20"/>
        </w:rPr>
        <w:t>, A.</w:t>
      </w:r>
      <w:r>
        <w:rPr>
          <w:rFonts w:ascii="Times New Roman" w:hAnsi="Times New Roman"/>
          <w:sz w:val="20"/>
          <w:szCs w:val="20"/>
        </w:rPr>
        <w:t xml:space="preserve"> F. </w:t>
      </w:r>
      <w:r>
        <w:rPr>
          <w:rFonts w:ascii="Times New Roman" w:hAnsi="Times New Roman"/>
          <w:b/>
          <w:sz w:val="20"/>
          <w:szCs w:val="20"/>
        </w:rPr>
        <w:t>Effect of Different Rates of Goat Manure on the Performance of Cucumber [</w:t>
      </w:r>
      <w:proofErr w:type="spellStart"/>
      <w:r>
        <w:rPr>
          <w:rFonts w:ascii="Times New Roman" w:hAnsi="Times New Roman"/>
          <w:b/>
          <w:i/>
          <w:sz w:val="20"/>
          <w:szCs w:val="20"/>
        </w:rPr>
        <w:t>Cucumis</w:t>
      </w:r>
      <w:proofErr w:type="spellEnd"/>
      <w:r>
        <w:rPr>
          <w:rFonts w:ascii="Times New Roman" w:hAnsi="Times New Roman"/>
          <w:b/>
          <w:i/>
          <w:sz w:val="20"/>
          <w:szCs w:val="20"/>
        </w:rPr>
        <w:t xml:space="preserve"> </w:t>
      </w:r>
      <w:proofErr w:type="spellStart"/>
      <w:r>
        <w:rPr>
          <w:rFonts w:ascii="Times New Roman" w:hAnsi="Times New Roman"/>
          <w:b/>
          <w:i/>
          <w:sz w:val="20"/>
          <w:szCs w:val="20"/>
        </w:rPr>
        <w:t>sativus</w:t>
      </w:r>
      <w:proofErr w:type="spellEnd"/>
      <w:r>
        <w:rPr>
          <w:rFonts w:ascii="Times New Roman" w:hAnsi="Times New Roman"/>
          <w:b/>
          <w:sz w:val="20"/>
          <w:szCs w:val="20"/>
        </w:rPr>
        <w:t>] and Soil Chemical Properties in Southwestern Nigeria.</w:t>
      </w:r>
      <w:r>
        <w:rPr>
          <w:rFonts w:ascii="Times New Roman" w:hAnsi="Times New Roman"/>
          <w:sz w:val="20"/>
          <w:szCs w:val="20"/>
        </w:rPr>
        <w:t xml:space="preserve"> </w:t>
      </w:r>
      <w:r>
        <w:rPr>
          <w:rFonts w:ascii="Times New Roman" w:eastAsia="Times New Roman" w:hAnsi="Times New Roman"/>
          <w:bCs/>
          <w:i/>
          <w:sz w:val="20"/>
          <w:szCs w:val="20"/>
        </w:rPr>
        <w:t xml:space="preserve">N Y </w:t>
      </w:r>
      <w:proofErr w:type="spellStart"/>
      <w:r>
        <w:rPr>
          <w:rFonts w:ascii="Times New Roman" w:eastAsia="Times New Roman" w:hAnsi="Times New Roman"/>
          <w:bCs/>
          <w:i/>
          <w:sz w:val="20"/>
          <w:szCs w:val="20"/>
        </w:rPr>
        <w:t>Sci</w:t>
      </w:r>
      <w:proofErr w:type="spellEnd"/>
      <w:r>
        <w:rPr>
          <w:rFonts w:ascii="Times New Roman" w:eastAsia="Times New Roman" w:hAnsi="Times New Roman"/>
          <w:bCs/>
          <w:i/>
          <w:sz w:val="20"/>
          <w:szCs w:val="20"/>
        </w:rPr>
        <w:t xml:space="preserve"> J</w:t>
      </w:r>
      <w:r>
        <w:rPr>
          <w:rFonts w:ascii="Times New Roman" w:eastAsia="Times New Roman" w:hAnsi="Times New Roman"/>
          <w:bCs/>
          <w:sz w:val="20"/>
          <w:szCs w:val="20"/>
        </w:rPr>
        <w:t xml:space="preserve"> </w:t>
      </w:r>
      <w:r>
        <w:rPr>
          <w:rFonts w:ascii="Times New Roman" w:hAnsi="Times New Roman"/>
          <w:sz w:val="20"/>
          <w:szCs w:val="20"/>
        </w:rPr>
        <w:t>20</w:t>
      </w:r>
      <w:r>
        <w:rPr>
          <w:rFonts w:ascii="Times New Roman" w:hAnsi="Times New Roman"/>
          <w:sz w:val="20"/>
          <w:szCs w:val="20"/>
          <w:lang w:eastAsia="zh-CN"/>
        </w:rPr>
        <w:t>2</w:t>
      </w:r>
      <w:r>
        <w:rPr>
          <w:rFonts w:ascii="Times New Roman" w:hAnsi="Times New Roman"/>
          <w:sz w:val="20"/>
          <w:szCs w:val="20"/>
          <w:lang w:eastAsia="zh-CN"/>
        </w:rPr>
        <w:t>4</w:t>
      </w:r>
      <w:r>
        <w:rPr>
          <w:rFonts w:ascii="Times New Roman" w:hAnsi="Times New Roman"/>
          <w:sz w:val="20"/>
          <w:szCs w:val="20"/>
        </w:rPr>
        <w:t>;1</w:t>
      </w:r>
      <w:r>
        <w:rPr>
          <w:rFonts w:ascii="Times New Roman" w:hAnsi="Times New Roman"/>
          <w:sz w:val="20"/>
          <w:szCs w:val="20"/>
          <w:lang w:eastAsia="zh-CN"/>
        </w:rPr>
        <w:t>7</w:t>
      </w:r>
      <w:r>
        <w:rPr>
          <w:rFonts w:ascii="Times New Roman" w:hAnsi="Times New Roman"/>
          <w:sz w:val="20"/>
          <w:szCs w:val="20"/>
        </w:rPr>
        <w:t>(</w:t>
      </w:r>
      <w:r>
        <w:rPr>
          <w:rFonts w:ascii="Times New Roman" w:hAnsi="Times New Roman" w:hint="eastAsia"/>
          <w:sz w:val="20"/>
          <w:szCs w:val="20"/>
          <w:lang w:eastAsia="zh-CN"/>
        </w:rPr>
        <w:t>3</w:t>
      </w:r>
      <w:r>
        <w:rPr>
          <w:rFonts w:ascii="Times New Roman" w:hAnsi="Times New Roman"/>
          <w:sz w:val="20"/>
          <w:szCs w:val="20"/>
        </w:rPr>
        <w:t>):</w:t>
      </w:r>
      <w:r>
        <w:rPr>
          <w:rFonts w:ascii="Times New Roman" w:hAnsi="Times New Roman" w:hint="eastAsia"/>
          <w:sz w:val="20"/>
          <w:szCs w:val="20"/>
          <w:lang w:eastAsia="zh-CN"/>
        </w:rPr>
        <w:t>94</w:t>
      </w:r>
      <w:r>
        <w:rPr>
          <w:rFonts w:ascii="Times New Roman" w:hAnsi="Times New Roman"/>
          <w:sz w:val="20"/>
          <w:szCs w:val="20"/>
          <w:lang w:eastAsia="zh-CN"/>
        </w:rPr>
        <w:t>-</w:t>
      </w:r>
      <w:r>
        <w:rPr>
          <w:rFonts w:ascii="Times New Roman" w:hAnsi="Times New Roman" w:hint="eastAsia"/>
          <w:sz w:val="20"/>
          <w:szCs w:val="20"/>
          <w:lang w:eastAsia="zh-CN"/>
        </w:rPr>
        <w:t>99</w:t>
      </w:r>
      <w:r>
        <w:rPr>
          <w:rFonts w:ascii="Times New Roman" w:hAnsi="Times New Roman"/>
          <w:sz w:val="20"/>
          <w:szCs w:val="20"/>
        </w:rPr>
        <w:t xml:space="preserve">]. </w:t>
      </w:r>
      <w:r>
        <w:rPr>
          <w:rFonts w:ascii="Times New Roman" w:hAnsi="Times New Roman"/>
          <w:iCs/>
          <w:color w:val="000000"/>
          <w:sz w:val="20"/>
          <w:szCs w:val="20"/>
          <w:lang w:eastAsia="zh-CN"/>
        </w:rPr>
        <w:t>ISSN 1554-0200 (print); ISSN 2375-723X (online).</w:t>
      </w:r>
      <w:r>
        <w:rPr>
          <w:rFonts w:ascii="Times New Roman" w:hAnsi="Times New Roman"/>
          <w:sz w:val="20"/>
          <w:szCs w:val="20"/>
        </w:rPr>
        <w:t xml:space="preserve"> </w:t>
      </w:r>
      <w:hyperlink r:id="rId8" w:history="1">
        <w:r>
          <w:rPr>
            <w:rStyle w:val="Hyperlink"/>
            <w:rFonts w:ascii="Times New Roman" w:hAnsi="Times New Roman"/>
            <w:sz w:val="20"/>
            <w:szCs w:val="20"/>
          </w:rPr>
          <w:t>http://www.sciencepub.net/newyork</w:t>
        </w:r>
      </w:hyperlink>
      <w:r>
        <w:rPr>
          <w:rFonts w:ascii="Times New Roman" w:hAnsi="Times New Roman"/>
          <w:sz w:val="20"/>
          <w:szCs w:val="20"/>
          <w:lang w:eastAsia="zh-CN"/>
        </w:rPr>
        <w:t xml:space="preserve">. </w:t>
      </w:r>
      <w:r>
        <w:rPr>
          <w:rFonts w:ascii="Times New Roman" w:hAnsi="Times New Roman"/>
          <w:sz w:val="20"/>
          <w:szCs w:val="20"/>
          <w:lang w:eastAsia="zh-CN"/>
        </w:rPr>
        <w:t>0</w:t>
      </w:r>
      <w:r>
        <w:rPr>
          <w:rFonts w:ascii="Times New Roman" w:hAnsi="Times New Roman" w:hint="eastAsia"/>
          <w:sz w:val="20"/>
          <w:szCs w:val="20"/>
          <w:lang w:eastAsia="zh-CN"/>
        </w:rPr>
        <w:t>5</w:t>
      </w:r>
      <w:r>
        <w:rPr>
          <w:rFonts w:ascii="Times New Roman" w:hAnsi="Times New Roman"/>
          <w:color w:val="0000FF"/>
          <w:sz w:val="20"/>
          <w:szCs w:val="20"/>
        </w:rPr>
        <w:t>.</w:t>
      </w:r>
      <w:r>
        <w:rPr>
          <w:rFonts w:ascii="Times New Roman" w:hAnsi="Times New Roman"/>
          <w:color w:val="0000FF"/>
          <w:sz w:val="20"/>
          <w:szCs w:val="20"/>
          <w:u w:val="single"/>
          <w:shd w:val="clear" w:color="auto" w:fill="FFFFFF"/>
        </w:rPr>
        <w:t>doi:</w:t>
      </w:r>
      <w:hyperlink r:id="rId9" w:history="1">
        <w:r>
          <w:rPr>
            <w:rStyle w:val="Hyperlink"/>
            <w:rFonts w:ascii="Times New Roman" w:hAnsi="Times New Roman"/>
            <w:sz w:val="20"/>
            <w:szCs w:val="20"/>
            <w:shd w:val="clear" w:color="auto" w:fill="FFFFFF"/>
          </w:rPr>
          <w:t>10.7537/marsnys170324.05</w:t>
        </w:r>
      </w:hyperlink>
      <w:r>
        <w:rPr>
          <w:rFonts w:ascii="Times New Roman" w:hAnsi="Times New Roman"/>
          <w:color w:val="0000FF"/>
          <w:sz w:val="20"/>
          <w:szCs w:val="20"/>
          <w:u w:val="single"/>
          <w:shd w:val="clear" w:color="auto" w:fill="FFFFFF"/>
          <w:lang w:eastAsia="zh-CN"/>
        </w:rPr>
        <w:t>.</w:t>
      </w:r>
    </w:p>
    <w:p w:rsidR="00374032" w:rsidRDefault="00374032">
      <w:pPr>
        <w:snapToGrid w:val="0"/>
        <w:spacing w:after="0" w:line="240" w:lineRule="auto"/>
        <w:jc w:val="both"/>
        <w:rPr>
          <w:rFonts w:ascii="Times New Roman" w:hAnsi="Times New Roman"/>
          <w:sz w:val="20"/>
          <w:szCs w:val="20"/>
        </w:rPr>
      </w:pPr>
    </w:p>
    <w:p w:rsidR="00374032" w:rsidRDefault="00CF01F2">
      <w:pPr>
        <w:snapToGrid w:val="0"/>
        <w:spacing w:after="0" w:line="240" w:lineRule="auto"/>
        <w:jc w:val="both"/>
        <w:rPr>
          <w:rFonts w:ascii="Times New Roman" w:hAnsi="Times New Roman"/>
          <w:sz w:val="20"/>
          <w:szCs w:val="20"/>
        </w:rPr>
      </w:pPr>
      <w:r>
        <w:rPr>
          <w:rFonts w:ascii="Times New Roman" w:eastAsiaTheme="minorEastAsia" w:hAnsi="Times New Roman"/>
          <w:b/>
          <w:bCs/>
          <w:sz w:val="20"/>
          <w:szCs w:val="20"/>
          <w:lang w:eastAsia="zh-CN"/>
        </w:rPr>
        <w:t>Keywords</w:t>
      </w:r>
      <w:r>
        <w:rPr>
          <w:rFonts w:ascii="Times New Roman" w:eastAsia="Calibri" w:hAnsi="Times New Roman"/>
          <w:sz w:val="20"/>
          <w:szCs w:val="20"/>
        </w:rPr>
        <w:t xml:space="preserve">: </w:t>
      </w:r>
      <w:r>
        <w:rPr>
          <w:rFonts w:ascii="Times New Roman" w:hAnsi="Times New Roman"/>
          <w:sz w:val="20"/>
          <w:szCs w:val="20"/>
        </w:rPr>
        <w:t xml:space="preserve">Effect; Different; Rate; Goat; Manure; Cucumber; </w:t>
      </w:r>
      <w:proofErr w:type="spellStart"/>
      <w:r>
        <w:rPr>
          <w:rFonts w:ascii="Times New Roman" w:hAnsi="Times New Roman"/>
          <w:i/>
          <w:sz w:val="20"/>
          <w:szCs w:val="20"/>
        </w:rPr>
        <w:t>Cucumis</w:t>
      </w:r>
      <w:proofErr w:type="spellEnd"/>
      <w:r>
        <w:rPr>
          <w:rFonts w:ascii="Times New Roman" w:hAnsi="Times New Roman"/>
          <w:i/>
          <w:sz w:val="20"/>
          <w:szCs w:val="20"/>
        </w:rPr>
        <w:t xml:space="preserve"> </w:t>
      </w:r>
      <w:proofErr w:type="spellStart"/>
      <w:r>
        <w:rPr>
          <w:rFonts w:ascii="Times New Roman" w:hAnsi="Times New Roman"/>
          <w:i/>
          <w:sz w:val="20"/>
          <w:szCs w:val="20"/>
        </w:rPr>
        <w:t>sativus</w:t>
      </w:r>
      <w:proofErr w:type="spellEnd"/>
      <w:r>
        <w:rPr>
          <w:rFonts w:ascii="Times New Roman" w:hAnsi="Times New Roman"/>
          <w:sz w:val="20"/>
          <w:szCs w:val="20"/>
        </w:rPr>
        <w:t>; Nigeria</w:t>
      </w:r>
    </w:p>
    <w:p w:rsidR="00374032" w:rsidRDefault="00374032">
      <w:pPr>
        <w:snapToGrid w:val="0"/>
        <w:spacing w:after="0" w:line="240" w:lineRule="auto"/>
        <w:jc w:val="both"/>
        <w:rPr>
          <w:rFonts w:ascii="Times New Roman" w:eastAsia="Calibri" w:hAnsi="Times New Roman"/>
          <w:sz w:val="20"/>
          <w:szCs w:val="20"/>
        </w:rPr>
      </w:pPr>
    </w:p>
    <w:p w:rsidR="00374032" w:rsidRDefault="00374032">
      <w:pPr>
        <w:snapToGrid w:val="0"/>
        <w:spacing w:after="0" w:line="240" w:lineRule="auto"/>
        <w:jc w:val="both"/>
        <w:rPr>
          <w:rFonts w:ascii="Times New Roman" w:hAnsi="Times New Roman"/>
          <w:b/>
          <w:sz w:val="20"/>
          <w:szCs w:val="20"/>
        </w:rPr>
        <w:sectPr w:rsidR="00374032">
          <w:headerReference w:type="default" r:id="rId10"/>
          <w:footerReference w:type="default" r:id="rId11"/>
          <w:headerReference w:type="first" r:id="rId12"/>
          <w:footerReference w:type="first" r:id="rId13"/>
          <w:pgSz w:w="12240" w:h="15839"/>
          <w:pgMar w:top="1440" w:right="1440" w:bottom="1440" w:left="1440" w:header="720" w:footer="720" w:gutter="0"/>
          <w:pgNumType w:start="94"/>
          <w:cols w:space="708"/>
          <w:titlePg/>
          <w:docGrid w:linePitch="360"/>
        </w:sectPr>
      </w:pP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lastRenderedPageBreak/>
        <w:t xml:space="preserve">Introduction </w:t>
      </w:r>
    </w:p>
    <w:p w:rsidR="00374032" w:rsidRDefault="00CF01F2">
      <w:p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sz w:val="20"/>
          <w:szCs w:val="20"/>
        </w:rPr>
        <w:t>Cucumber (</w:t>
      </w:r>
      <w:proofErr w:type="spellStart"/>
      <w:r>
        <w:rPr>
          <w:rFonts w:ascii="Times New Roman" w:hAnsi="Times New Roman"/>
          <w:i/>
          <w:iCs/>
          <w:sz w:val="20"/>
          <w:szCs w:val="20"/>
        </w:rPr>
        <w:t>Cucumis</w:t>
      </w:r>
      <w:proofErr w:type="spellEnd"/>
      <w:r>
        <w:rPr>
          <w:rFonts w:ascii="Times New Roman" w:hAnsi="Times New Roman"/>
          <w:i/>
          <w:iCs/>
          <w:sz w:val="20"/>
          <w:szCs w:val="20"/>
        </w:rPr>
        <w:t xml:space="preserve"> </w:t>
      </w:r>
      <w:proofErr w:type="spellStart"/>
      <w:r>
        <w:rPr>
          <w:rFonts w:ascii="Times New Roman" w:hAnsi="Times New Roman"/>
          <w:i/>
          <w:iCs/>
          <w:sz w:val="20"/>
          <w:szCs w:val="20"/>
        </w:rPr>
        <w:t>sativus</w:t>
      </w:r>
      <w:proofErr w:type="spellEnd"/>
      <w:r>
        <w:rPr>
          <w:rFonts w:ascii="Times New Roman" w:hAnsi="Times New Roman"/>
          <w:i/>
          <w:iCs/>
          <w:sz w:val="20"/>
          <w:szCs w:val="20"/>
        </w:rPr>
        <w:t xml:space="preserve"> </w:t>
      </w:r>
      <w:r>
        <w:rPr>
          <w:rFonts w:ascii="Times New Roman" w:hAnsi="Times New Roman"/>
          <w:sz w:val="20"/>
          <w:szCs w:val="20"/>
        </w:rPr>
        <w:t>L.) is one of the ancient vegetable crops indigenous to Africa and Asia cultivated for its freshly consumed fruit (</w:t>
      </w:r>
      <w:proofErr w:type="spellStart"/>
      <w:r>
        <w:rPr>
          <w:rFonts w:ascii="Times New Roman" w:hAnsi="Times New Roman"/>
          <w:sz w:val="20"/>
          <w:szCs w:val="20"/>
        </w:rPr>
        <w:t>Dilson</w:t>
      </w:r>
      <w:proofErr w:type="spellEnd"/>
      <w:r>
        <w:rPr>
          <w:rFonts w:ascii="Times New Roman" w:hAnsi="Times New Roman"/>
          <w:sz w:val="20"/>
          <w:szCs w:val="20"/>
        </w:rPr>
        <w:t xml:space="preserve"> 2002; </w:t>
      </w:r>
      <w:proofErr w:type="spellStart"/>
      <w:r>
        <w:rPr>
          <w:rFonts w:ascii="Times New Roman" w:hAnsi="Times New Roman"/>
          <w:sz w:val="20"/>
          <w:szCs w:val="20"/>
        </w:rPr>
        <w:t>Okonmah</w:t>
      </w:r>
      <w:proofErr w:type="spellEnd"/>
      <w:r>
        <w:rPr>
          <w:rFonts w:ascii="Times New Roman" w:hAnsi="Times New Roman"/>
          <w:sz w:val="20"/>
          <w:szCs w:val="20"/>
        </w:rPr>
        <w:t>, 2011). Cucumber fruits are highly nutritious and medicinal, apart from containing carbohydrates, protei</w:t>
      </w:r>
      <w:r>
        <w:rPr>
          <w:rFonts w:ascii="Times New Roman" w:hAnsi="Times New Roman"/>
          <w:sz w:val="20"/>
          <w:szCs w:val="20"/>
        </w:rPr>
        <w:t xml:space="preserve">ns, </w:t>
      </w:r>
      <w:proofErr w:type="spellStart"/>
      <w:r>
        <w:rPr>
          <w:rFonts w:ascii="Times New Roman" w:hAnsi="Times New Roman"/>
          <w:sz w:val="20"/>
          <w:szCs w:val="20"/>
        </w:rPr>
        <w:t>fibres</w:t>
      </w:r>
      <w:proofErr w:type="spellEnd"/>
      <w:r>
        <w:rPr>
          <w:rFonts w:ascii="Times New Roman" w:hAnsi="Times New Roman"/>
          <w:sz w:val="20"/>
          <w:szCs w:val="20"/>
        </w:rPr>
        <w:t xml:space="preserve">, vitamins and minerals. Matured fruits comprise of wide range of enzymes that aid digestion and assimilation of fatty and protein constituents. The mineral salt constituents have alkaline properties, hence facilitating the </w:t>
      </w:r>
      <w:proofErr w:type="spellStart"/>
      <w:r>
        <w:rPr>
          <w:rFonts w:ascii="Times New Roman" w:hAnsi="Times New Roman"/>
          <w:sz w:val="20"/>
          <w:szCs w:val="20"/>
        </w:rPr>
        <w:t>neutralisation</w:t>
      </w:r>
      <w:proofErr w:type="spellEnd"/>
      <w:r>
        <w:rPr>
          <w:rFonts w:ascii="Times New Roman" w:hAnsi="Times New Roman"/>
          <w:sz w:val="20"/>
          <w:szCs w:val="20"/>
        </w:rPr>
        <w:t xml:space="preserve"> of bloo</w:t>
      </w:r>
      <w:r>
        <w:rPr>
          <w:rFonts w:ascii="Times New Roman" w:hAnsi="Times New Roman"/>
          <w:sz w:val="20"/>
          <w:szCs w:val="20"/>
        </w:rPr>
        <w:t xml:space="preserve">d fluid acidity, softening kidney stones, and increasing urine production. It is believed to be highly beneficial for treating both high and low blood pressure (Chadha, 2006; </w:t>
      </w:r>
      <w:proofErr w:type="spellStart"/>
      <w:r>
        <w:rPr>
          <w:rFonts w:ascii="Times New Roman" w:hAnsi="Times New Roman"/>
          <w:sz w:val="20"/>
          <w:szCs w:val="20"/>
        </w:rPr>
        <w:t>Kashif</w:t>
      </w:r>
      <w:proofErr w:type="spellEnd"/>
      <w:r>
        <w:rPr>
          <w:rFonts w:ascii="Times New Roman" w:hAnsi="Times New Roman"/>
          <w:sz w:val="20"/>
          <w:szCs w:val="20"/>
        </w:rPr>
        <w:t xml:space="preserve"> </w:t>
      </w:r>
      <w:r>
        <w:rPr>
          <w:rFonts w:ascii="Times New Roman" w:hAnsi="Times New Roman"/>
          <w:i/>
          <w:iCs/>
          <w:sz w:val="20"/>
          <w:szCs w:val="20"/>
        </w:rPr>
        <w:t>et al</w:t>
      </w:r>
      <w:r>
        <w:rPr>
          <w:rFonts w:ascii="Times New Roman" w:hAnsi="Times New Roman"/>
          <w:sz w:val="20"/>
          <w:szCs w:val="20"/>
        </w:rPr>
        <w:t xml:space="preserve">., 2008). While </w:t>
      </w:r>
      <w:r>
        <w:rPr>
          <w:rFonts w:ascii="Times New Roman" w:hAnsi="Times New Roman"/>
          <w:sz w:val="20"/>
          <w:szCs w:val="20"/>
          <w:lang w:val="en-GB" w:eastAsia="en-GB"/>
        </w:rPr>
        <w:t>Mukherjee</w:t>
      </w:r>
      <w:r>
        <w:rPr>
          <w:rFonts w:ascii="Times New Roman" w:hAnsi="Times New Roman"/>
          <w:sz w:val="20"/>
          <w:szCs w:val="20"/>
          <w:lang w:eastAsia="en-GB"/>
        </w:rPr>
        <w:t xml:space="preserve"> et al. (2012) reported that fruits possess </w:t>
      </w:r>
      <w:r>
        <w:rPr>
          <w:rFonts w:ascii="Times New Roman" w:hAnsi="Times New Roman"/>
          <w:sz w:val="20"/>
          <w:szCs w:val="20"/>
          <w:lang w:val="en-GB" w:eastAsia="en-GB"/>
        </w:rPr>
        <w:t>antioxidant, anti-inflammatory, and anti-cancer.</w:t>
      </w:r>
    </w:p>
    <w:p w:rsidR="00374032" w:rsidRDefault="00CF01F2">
      <w:p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sz w:val="20"/>
          <w:szCs w:val="20"/>
          <w:lang w:val="en-GB" w:eastAsia="en-GB"/>
        </w:rPr>
        <w:t>Cucumber cultivation in Nigeria, has greatly multiplied in the last 10 years due to its potential nutritional and medicinal value, economic returns influenced by increased market demand and early maturity du</w:t>
      </w:r>
      <w:r>
        <w:rPr>
          <w:rFonts w:ascii="Times New Roman" w:hAnsi="Times New Roman"/>
          <w:sz w:val="20"/>
          <w:szCs w:val="20"/>
          <w:lang w:val="en-GB" w:eastAsia="en-GB"/>
        </w:rPr>
        <w:t>ration (</w:t>
      </w:r>
      <w:proofErr w:type="spellStart"/>
      <w:r>
        <w:rPr>
          <w:rFonts w:ascii="Times New Roman" w:hAnsi="Times New Roman"/>
          <w:sz w:val="20"/>
          <w:szCs w:val="20"/>
          <w:lang w:val="en-GB" w:eastAsia="en-GB"/>
        </w:rPr>
        <w:t>Sanni</w:t>
      </w:r>
      <w:proofErr w:type="spellEnd"/>
      <w:r>
        <w:rPr>
          <w:rFonts w:ascii="Times New Roman" w:hAnsi="Times New Roman"/>
          <w:sz w:val="20"/>
          <w:szCs w:val="20"/>
          <w:lang w:val="en-GB" w:eastAsia="en-GB"/>
        </w:rPr>
        <w:t xml:space="preserve"> et al., 2021) with the major areas of cultivation found in the Sudan and Guinea Savannah agro-ecological zones. However, in recent times, its </w:t>
      </w:r>
      <w:r>
        <w:rPr>
          <w:rFonts w:ascii="Times New Roman" w:hAnsi="Times New Roman"/>
          <w:sz w:val="20"/>
          <w:szCs w:val="20"/>
          <w:lang w:val="en-GB" w:eastAsia="en-GB"/>
        </w:rPr>
        <w:lastRenderedPageBreak/>
        <w:t xml:space="preserve">cultivation has been pushed down to the rainforest ecological zone of </w:t>
      </w:r>
      <w:r>
        <w:rPr>
          <w:rFonts w:ascii="Times New Roman" w:hAnsi="Times New Roman"/>
          <w:sz w:val="20"/>
          <w:szCs w:val="20"/>
          <w:lang w:eastAsia="en-GB"/>
        </w:rPr>
        <w:t>South W</w:t>
      </w:r>
      <w:proofErr w:type="spellStart"/>
      <w:r>
        <w:rPr>
          <w:rFonts w:ascii="Times New Roman" w:hAnsi="Times New Roman"/>
          <w:sz w:val="20"/>
          <w:szCs w:val="20"/>
          <w:lang w:val="en-GB" w:eastAsia="en-GB"/>
        </w:rPr>
        <w:t>estern</w:t>
      </w:r>
      <w:proofErr w:type="spellEnd"/>
      <w:r>
        <w:rPr>
          <w:rFonts w:ascii="Times New Roman" w:hAnsi="Times New Roman"/>
          <w:sz w:val="20"/>
          <w:szCs w:val="20"/>
          <w:lang w:val="en-GB" w:eastAsia="en-GB"/>
        </w:rPr>
        <w:t xml:space="preserve"> </w:t>
      </w:r>
      <w:r>
        <w:rPr>
          <w:rFonts w:ascii="Times New Roman" w:hAnsi="Times New Roman"/>
          <w:sz w:val="20"/>
          <w:szCs w:val="20"/>
          <w:lang w:eastAsia="en-GB"/>
        </w:rPr>
        <w:t>and South Easter</w:t>
      </w:r>
      <w:r>
        <w:rPr>
          <w:rFonts w:ascii="Times New Roman" w:hAnsi="Times New Roman"/>
          <w:sz w:val="20"/>
          <w:szCs w:val="20"/>
          <w:lang w:eastAsia="en-GB"/>
        </w:rPr>
        <w:t xml:space="preserve">n </w:t>
      </w:r>
      <w:r>
        <w:rPr>
          <w:rFonts w:ascii="Times New Roman" w:hAnsi="Times New Roman"/>
          <w:sz w:val="20"/>
          <w:szCs w:val="20"/>
          <w:lang w:val="en-GB" w:eastAsia="en-GB"/>
        </w:rPr>
        <w:t>Nigeria (</w:t>
      </w:r>
      <w:proofErr w:type="spellStart"/>
      <w:r>
        <w:rPr>
          <w:rFonts w:ascii="Times New Roman" w:hAnsi="Times New Roman"/>
          <w:sz w:val="20"/>
          <w:szCs w:val="20"/>
        </w:rPr>
        <w:t>Ekwu</w:t>
      </w:r>
      <w:proofErr w:type="spellEnd"/>
      <w:r>
        <w:rPr>
          <w:rFonts w:ascii="Times New Roman" w:hAnsi="Times New Roman"/>
          <w:sz w:val="20"/>
          <w:szCs w:val="20"/>
        </w:rPr>
        <w:t>, 2018</w:t>
      </w:r>
      <w:r>
        <w:rPr>
          <w:rFonts w:ascii="Times New Roman" w:hAnsi="Times New Roman"/>
          <w:sz w:val="20"/>
          <w:szCs w:val="20"/>
          <w:lang w:val="en-GB" w:eastAsia="en-GB"/>
        </w:rPr>
        <w:t xml:space="preserve">). </w:t>
      </w:r>
      <w:r>
        <w:rPr>
          <w:rFonts w:ascii="Times New Roman" w:hAnsi="Times New Roman"/>
          <w:sz w:val="20"/>
          <w:szCs w:val="20"/>
        </w:rPr>
        <w:t>Despite the increasing relevance of cucumber in Nigeria owing to its nutritional and medicinal values, still, this crop is still low in productivity as low yields are obtained in farmers’ fields because of declining soil fertility d</w:t>
      </w:r>
      <w:r>
        <w:rPr>
          <w:rFonts w:ascii="Times New Roman" w:hAnsi="Times New Roman"/>
          <w:sz w:val="20"/>
          <w:szCs w:val="20"/>
        </w:rPr>
        <w:t>ue to continuous cropping and disregard for soil amendment materials (</w:t>
      </w:r>
      <w:proofErr w:type="spellStart"/>
      <w:r>
        <w:rPr>
          <w:rFonts w:ascii="Times New Roman" w:hAnsi="Times New Roman"/>
          <w:sz w:val="20"/>
          <w:szCs w:val="20"/>
        </w:rPr>
        <w:t>Ayotamuno</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2007; </w:t>
      </w:r>
      <w:proofErr w:type="spellStart"/>
      <w:r>
        <w:rPr>
          <w:rFonts w:ascii="Times New Roman" w:hAnsi="Times New Roman"/>
          <w:sz w:val="20"/>
          <w:szCs w:val="20"/>
        </w:rPr>
        <w:t>Enujeke</w:t>
      </w:r>
      <w:proofErr w:type="spellEnd"/>
      <w:r>
        <w:rPr>
          <w:rFonts w:ascii="Times New Roman" w:hAnsi="Times New Roman"/>
          <w:sz w:val="20"/>
          <w:szCs w:val="20"/>
        </w:rPr>
        <w:t>, 2013).</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Generally, farmers rely on the use of inorganic fertilizers to improve soil fertility and enhance crop growth and yield but its utilization has be</w:t>
      </w:r>
      <w:r>
        <w:rPr>
          <w:rFonts w:ascii="Times New Roman" w:hAnsi="Times New Roman"/>
          <w:sz w:val="20"/>
          <w:szCs w:val="20"/>
        </w:rPr>
        <w:t>en observed to destroy soil texture and structure which often leads to soil erosion, and acidity as a result of leaching effects of mineral nutrients (</w:t>
      </w:r>
      <w:proofErr w:type="spellStart"/>
      <w:r>
        <w:rPr>
          <w:rFonts w:ascii="Times New Roman" w:hAnsi="Times New Roman"/>
          <w:sz w:val="20"/>
          <w:szCs w:val="20"/>
        </w:rPr>
        <w:t>Ojeniyi</w:t>
      </w:r>
      <w:proofErr w:type="spellEnd"/>
      <w:r>
        <w:rPr>
          <w:rFonts w:ascii="Times New Roman" w:hAnsi="Times New Roman"/>
          <w:sz w:val="20"/>
          <w:szCs w:val="20"/>
        </w:rPr>
        <w:t>, 2000). All these gave rise to reduced crop yields as a result of soil degradation and nutrient i</w:t>
      </w:r>
      <w:r>
        <w:rPr>
          <w:rFonts w:ascii="Times New Roman" w:hAnsi="Times New Roman"/>
          <w:sz w:val="20"/>
          <w:szCs w:val="20"/>
        </w:rPr>
        <w:t>mbalance (</w:t>
      </w:r>
      <w:proofErr w:type="spellStart"/>
      <w:r>
        <w:rPr>
          <w:rFonts w:ascii="Times New Roman" w:hAnsi="Times New Roman"/>
          <w:sz w:val="20"/>
          <w:szCs w:val="20"/>
        </w:rPr>
        <w:t>Ojeniyi</w:t>
      </w:r>
      <w:proofErr w:type="spellEnd"/>
      <w:r>
        <w:rPr>
          <w:rFonts w:ascii="Times New Roman" w:hAnsi="Times New Roman"/>
          <w:sz w:val="20"/>
          <w:szCs w:val="20"/>
        </w:rPr>
        <w:t>, 2000). The use of organic manures has been recommended for long-term cropping in the tropics as slow mineralization of these manures promotes crop yield for a long period (</w:t>
      </w:r>
      <w:proofErr w:type="spellStart"/>
      <w:r>
        <w:rPr>
          <w:rFonts w:ascii="Times New Roman" w:hAnsi="Times New Roman"/>
          <w:sz w:val="20"/>
          <w:szCs w:val="20"/>
        </w:rPr>
        <w:t>Gambo</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2008). Also, organic manure sustains cropping syste</w:t>
      </w:r>
      <w:r>
        <w:rPr>
          <w:rFonts w:ascii="Times New Roman" w:hAnsi="Times New Roman"/>
          <w:sz w:val="20"/>
          <w:szCs w:val="20"/>
        </w:rPr>
        <w:t>ms through better nutrient recycling and improvement in soil physical, chemical and biological properties (</w:t>
      </w:r>
      <w:proofErr w:type="spellStart"/>
      <w:r>
        <w:rPr>
          <w:rFonts w:ascii="Times New Roman" w:hAnsi="Times New Roman"/>
          <w:sz w:val="20"/>
          <w:szCs w:val="20"/>
        </w:rPr>
        <w:t>Ojeniyi</w:t>
      </w:r>
      <w:proofErr w:type="spellEnd"/>
      <w:r>
        <w:rPr>
          <w:rFonts w:ascii="Times New Roman" w:hAnsi="Times New Roman"/>
          <w:sz w:val="20"/>
          <w:szCs w:val="20"/>
        </w:rPr>
        <w:t xml:space="preserve">, 2000). In light of the foregoing, this </w:t>
      </w:r>
      <w:r>
        <w:rPr>
          <w:rFonts w:ascii="Times New Roman" w:hAnsi="Times New Roman"/>
          <w:sz w:val="20"/>
          <w:szCs w:val="20"/>
        </w:rPr>
        <w:lastRenderedPageBreak/>
        <w:t xml:space="preserve">experiment was conducted to study the effects of goat manure on the performances of cucumbers in the </w:t>
      </w:r>
      <w:r>
        <w:rPr>
          <w:rFonts w:ascii="Times New Roman" w:hAnsi="Times New Roman"/>
          <w:sz w:val="20"/>
          <w:szCs w:val="20"/>
        </w:rPr>
        <w:t>tropical rainforest south southwestern Nigeria.</w:t>
      </w:r>
    </w:p>
    <w:p w:rsidR="0062079B" w:rsidRDefault="0062079B">
      <w:pPr>
        <w:snapToGrid w:val="0"/>
        <w:spacing w:after="0" w:line="240" w:lineRule="auto"/>
        <w:jc w:val="both"/>
        <w:rPr>
          <w:rFonts w:ascii="Times New Roman" w:hAnsi="Times New Roman"/>
          <w:sz w:val="20"/>
          <w:szCs w:val="20"/>
        </w:rPr>
      </w:pP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Materials and Methods</w:t>
      </w:r>
    </w:p>
    <w:p w:rsidR="00374032" w:rsidRDefault="00CF01F2">
      <w:pPr>
        <w:snapToGrid w:val="0"/>
        <w:spacing w:after="0" w:line="240" w:lineRule="auto"/>
        <w:jc w:val="both"/>
        <w:rPr>
          <w:rFonts w:ascii="Times New Roman" w:hAnsi="Times New Roman"/>
          <w:sz w:val="20"/>
          <w:szCs w:val="20"/>
        </w:rPr>
      </w:pPr>
      <w:r>
        <w:rPr>
          <w:rFonts w:ascii="Times New Roman" w:hAnsi="Times New Roman"/>
          <w:b/>
          <w:sz w:val="20"/>
          <w:szCs w:val="20"/>
        </w:rPr>
        <w:t>Research location, land preparation and design</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The research was arranged in a Randomized Complete Block Design (RCBD) on 13m × 8m (104m</w:t>
      </w:r>
      <w:r>
        <w:rPr>
          <w:rFonts w:ascii="Times New Roman" w:hAnsi="Times New Roman"/>
          <w:sz w:val="20"/>
          <w:szCs w:val="20"/>
          <w:vertAlign w:val="superscript"/>
        </w:rPr>
        <w:t>2</w:t>
      </w:r>
      <w:r>
        <w:rPr>
          <w:rFonts w:ascii="Times New Roman" w:hAnsi="Times New Roman"/>
          <w:sz w:val="20"/>
          <w:szCs w:val="20"/>
        </w:rPr>
        <w:t>) area of land using four (4) treatment levels and</w:t>
      </w:r>
      <w:r>
        <w:rPr>
          <w:rFonts w:ascii="Times New Roman" w:hAnsi="Times New Roman"/>
          <w:sz w:val="20"/>
          <w:szCs w:val="20"/>
        </w:rPr>
        <w:t xml:space="preserve"> control (0 kg) replicated three (3) times to give a total of fifteen (15) plots at the Horticultural Section, Teaching, Research and Commercial Farms of Rufus </w:t>
      </w:r>
      <w:proofErr w:type="spellStart"/>
      <w:r>
        <w:rPr>
          <w:rFonts w:ascii="Times New Roman" w:hAnsi="Times New Roman"/>
          <w:sz w:val="20"/>
          <w:szCs w:val="20"/>
        </w:rPr>
        <w:t>Giwa</w:t>
      </w:r>
      <w:proofErr w:type="spellEnd"/>
      <w:r>
        <w:rPr>
          <w:rFonts w:ascii="Times New Roman" w:hAnsi="Times New Roman"/>
          <w:sz w:val="20"/>
          <w:szCs w:val="20"/>
        </w:rPr>
        <w:t xml:space="preserve"> Polytechnic, </w:t>
      </w:r>
      <w:proofErr w:type="spellStart"/>
      <w:r>
        <w:rPr>
          <w:rFonts w:ascii="Times New Roman" w:hAnsi="Times New Roman"/>
          <w:sz w:val="20"/>
          <w:szCs w:val="20"/>
        </w:rPr>
        <w:t>Owo</w:t>
      </w:r>
      <w:proofErr w:type="spellEnd"/>
      <w:r>
        <w:rPr>
          <w:rFonts w:ascii="Times New Roman" w:hAnsi="Times New Roman"/>
          <w:sz w:val="20"/>
          <w:szCs w:val="20"/>
        </w:rPr>
        <w:t>, Ondo State, Nigeria, situated in the Tropical Rain Forest zone of Nigeria</w:t>
      </w:r>
      <w:r>
        <w:rPr>
          <w:rFonts w:ascii="Times New Roman" w:hAnsi="Times New Roman"/>
          <w:sz w:val="20"/>
          <w:szCs w:val="20"/>
        </w:rPr>
        <w:t xml:space="preserve"> (latitude 7°12'N and longitude 5°12'E). </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The experimental site has been subjected to over three years of uninterrupted maize/cassava farming with no history of either organic or inorganic fertilizer application and the land was dominated by some common we</w:t>
      </w:r>
      <w:r>
        <w:rPr>
          <w:rFonts w:ascii="Times New Roman" w:hAnsi="Times New Roman"/>
          <w:sz w:val="20"/>
          <w:szCs w:val="20"/>
        </w:rPr>
        <w:t xml:space="preserve">eds such as </w:t>
      </w:r>
      <w:proofErr w:type="spellStart"/>
      <w:r>
        <w:rPr>
          <w:rFonts w:ascii="Times New Roman" w:hAnsi="Times New Roman"/>
          <w:i/>
          <w:sz w:val="20"/>
          <w:szCs w:val="20"/>
        </w:rPr>
        <w:t>Tridax</w:t>
      </w:r>
      <w:proofErr w:type="spellEnd"/>
      <w:r>
        <w:rPr>
          <w:rFonts w:ascii="Times New Roman" w:hAnsi="Times New Roman"/>
          <w:i/>
          <w:sz w:val="20"/>
          <w:szCs w:val="20"/>
        </w:rPr>
        <w:t xml:space="preserve"> </w:t>
      </w:r>
      <w:proofErr w:type="spellStart"/>
      <w:r>
        <w:rPr>
          <w:rFonts w:ascii="Times New Roman" w:hAnsi="Times New Roman"/>
          <w:i/>
          <w:sz w:val="20"/>
          <w:szCs w:val="20"/>
        </w:rPr>
        <w:t>procumbens</w:t>
      </w:r>
      <w:proofErr w:type="spellEnd"/>
      <w:r>
        <w:rPr>
          <w:rFonts w:ascii="Times New Roman" w:hAnsi="Times New Roman"/>
          <w:i/>
          <w:sz w:val="20"/>
          <w:szCs w:val="20"/>
        </w:rPr>
        <w:t xml:space="preserve">, </w:t>
      </w:r>
      <w:proofErr w:type="spellStart"/>
      <w:r>
        <w:rPr>
          <w:rFonts w:ascii="Times New Roman" w:hAnsi="Times New Roman"/>
          <w:i/>
          <w:sz w:val="20"/>
          <w:szCs w:val="20"/>
        </w:rPr>
        <w:t>Euphobia</w:t>
      </w:r>
      <w:proofErr w:type="spellEnd"/>
      <w:r>
        <w:rPr>
          <w:rFonts w:ascii="Times New Roman" w:hAnsi="Times New Roman"/>
          <w:i/>
          <w:sz w:val="20"/>
          <w:szCs w:val="20"/>
        </w:rPr>
        <w:t xml:space="preserve"> </w:t>
      </w:r>
      <w:proofErr w:type="spellStart"/>
      <w:r>
        <w:rPr>
          <w:rFonts w:ascii="Times New Roman" w:hAnsi="Times New Roman"/>
          <w:i/>
          <w:sz w:val="20"/>
          <w:szCs w:val="20"/>
        </w:rPr>
        <w:t>hirta</w:t>
      </w:r>
      <w:proofErr w:type="spellEnd"/>
      <w:r>
        <w:rPr>
          <w:rFonts w:ascii="Times New Roman" w:hAnsi="Times New Roman"/>
          <w:i/>
          <w:sz w:val="20"/>
          <w:szCs w:val="20"/>
        </w:rPr>
        <w:t xml:space="preserve">, E. </w:t>
      </w:r>
      <w:proofErr w:type="spellStart"/>
      <w:r>
        <w:rPr>
          <w:rFonts w:ascii="Times New Roman" w:hAnsi="Times New Roman"/>
          <w:i/>
          <w:sz w:val="20"/>
          <w:szCs w:val="20"/>
        </w:rPr>
        <w:t>heterophylla</w:t>
      </w:r>
      <w:proofErr w:type="spellEnd"/>
      <w:r>
        <w:rPr>
          <w:rFonts w:ascii="Times New Roman" w:hAnsi="Times New Roman"/>
          <w:i/>
          <w:sz w:val="20"/>
          <w:szCs w:val="20"/>
        </w:rPr>
        <w:t xml:space="preserve">, </w:t>
      </w:r>
      <w:proofErr w:type="spellStart"/>
      <w:r>
        <w:rPr>
          <w:rFonts w:ascii="Times New Roman" w:hAnsi="Times New Roman"/>
          <w:i/>
          <w:sz w:val="20"/>
          <w:szCs w:val="20"/>
        </w:rPr>
        <w:t>Imperata</w:t>
      </w:r>
      <w:proofErr w:type="spellEnd"/>
      <w:r>
        <w:rPr>
          <w:rFonts w:ascii="Times New Roman" w:hAnsi="Times New Roman"/>
          <w:i/>
          <w:sz w:val="20"/>
          <w:szCs w:val="20"/>
        </w:rPr>
        <w:t xml:space="preserve"> cylindrical</w:t>
      </w:r>
      <w:r>
        <w:rPr>
          <w:rFonts w:ascii="Times New Roman" w:hAnsi="Times New Roman"/>
          <w:sz w:val="20"/>
          <w:szCs w:val="20"/>
        </w:rPr>
        <w:t>. The land was manually cleared with a cutlass, thrash and burnt. Afterwards, was divided into three (3) blocks of 12 × 2m (24m</w:t>
      </w:r>
      <w:r>
        <w:rPr>
          <w:rFonts w:ascii="Times New Roman" w:hAnsi="Times New Roman"/>
          <w:sz w:val="20"/>
          <w:szCs w:val="20"/>
          <w:vertAlign w:val="superscript"/>
        </w:rPr>
        <w:t>2</w:t>
      </w:r>
      <w:r>
        <w:rPr>
          <w:rFonts w:ascii="Times New Roman" w:hAnsi="Times New Roman"/>
          <w:sz w:val="20"/>
          <w:szCs w:val="20"/>
        </w:rPr>
        <w:t>) each with a discard of 0.5m between each p</w:t>
      </w:r>
      <w:r>
        <w:rPr>
          <w:rFonts w:ascii="Times New Roman" w:hAnsi="Times New Roman"/>
          <w:sz w:val="20"/>
          <w:szCs w:val="20"/>
        </w:rPr>
        <w:t>lot to allow for ease of farm operations. Each experimental plot measured 2 × 2m (4m</w:t>
      </w:r>
      <w:r>
        <w:rPr>
          <w:rFonts w:ascii="Times New Roman" w:hAnsi="Times New Roman"/>
          <w:sz w:val="20"/>
          <w:szCs w:val="20"/>
          <w:vertAlign w:val="superscript"/>
        </w:rPr>
        <w:t>2</w:t>
      </w:r>
      <w:r>
        <w:rPr>
          <w:rFonts w:ascii="Times New Roman" w:hAnsi="Times New Roman"/>
          <w:sz w:val="20"/>
          <w:szCs w:val="20"/>
        </w:rPr>
        <w:t xml:space="preserve">) giving a total of 15 plots. The soil was tilled with hand hoes to prepare seedbeds for planting. </w:t>
      </w:r>
    </w:p>
    <w:p w:rsidR="00374032" w:rsidRDefault="00CF01F2">
      <w:pPr>
        <w:snapToGrid w:val="0"/>
        <w:spacing w:after="0" w:line="240" w:lineRule="auto"/>
        <w:jc w:val="both"/>
        <w:rPr>
          <w:rFonts w:ascii="Times New Roman" w:hAnsi="Times New Roman"/>
          <w:sz w:val="20"/>
          <w:szCs w:val="20"/>
        </w:rPr>
      </w:pPr>
      <w:r>
        <w:rPr>
          <w:rFonts w:ascii="Times New Roman" w:hAnsi="Times New Roman"/>
          <w:b/>
          <w:sz w:val="20"/>
          <w:szCs w:val="20"/>
        </w:rPr>
        <w:t>Soil Sample Collection and Analysis</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Soil samples were collected at diff</w:t>
      </w:r>
      <w:r>
        <w:rPr>
          <w:rFonts w:ascii="Times New Roman" w:hAnsi="Times New Roman"/>
          <w:sz w:val="20"/>
          <w:szCs w:val="20"/>
        </w:rPr>
        <w:t>erent spots using soil auger from the experimental site before land preparation at a depth of 0- 15 cm for physiochemical properties analysis. The samples were bulked together to form a composite sample and air-dried. The air-dried samples were passed thro</w:t>
      </w:r>
      <w:r>
        <w:rPr>
          <w:rFonts w:ascii="Times New Roman" w:hAnsi="Times New Roman"/>
          <w:sz w:val="20"/>
          <w:szCs w:val="20"/>
        </w:rPr>
        <w:t xml:space="preserve">ugh a 2mm mesh sieve before analysis following routine laboratory procedures. The particle size analysis was done by using the hydrometer method (Gee and </w:t>
      </w:r>
      <w:proofErr w:type="spellStart"/>
      <w:r>
        <w:rPr>
          <w:rFonts w:ascii="Times New Roman" w:hAnsi="Times New Roman"/>
          <w:sz w:val="20"/>
          <w:szCs w:val="20"/>
        </w:rPr>
        <w:t>Bauder</w:t>
      </w:r>
      <w:proofErr w:type="spellEnd"/>
      <w:r>
        <w:rPr>
          <w:rFonts w:ascii="Times New Roman" w:hAnsi="Times New Roman"/>
          <w:sz w:val="20"/>
          <w:szCs w:val="20"/>
        </w:rPr>
        <w:t>, 1986). Soil pH was determined using 1:2 soil distilled water suspension using a pH meter (Summ</w:t>
      </w:r>
      <w:r>
        <w:rPr>
          <w:rFonts w:ascii="Times New Roman" w:hAnsi="Times New Roman"/>
          <w:sz w:val="20"/>
          <w:szCs w:val="20"/>
        </w:rPr>
        <w:t xml:space="preserve">er, 1994). Available phosphorus was estimated by the Bray and Kurtz No.1 method as modified by Schmidt et al. (2004). Percentage organic matter was derived by multiplying % organic carbon by the Broadbent factor of 1.72 following the </w:t>
      </w:r>
      <w:proofErr w:type="spellStart"/>
      <w:r>
        <w:rPr>
          <w:rStyle w:val="A3"/>
          <w:rFonts w:ascii="Times New Roman" w:hAnsi="Times New Roman"/>
        </w:rPr>
        <w:t>Walkley</w:t>
      </w:r>
      <w:proofErr w:type="spellEnd"/>
      <w:r>
        <w:rPr>
          <w:rStyle w:val="A3"/>
          <w:rFonts w:ascii="Times New Roman" w:hAnsi="Times New Roman"/>
        </w:rPr>
        <w:t>-Black method (</w:t>
      </w:r>
      <w:r>
        <w:rPr>
          <w:rStyle w:val="A3"/>
          <w:rFonts w:ascii="Times New Roman" w:hAnsi="Times New Roman"/>
        </w:rPr>
        <w:t xml:space="preserve">Nelson and </w:t>
      </w:r>
      <w:proofErr w:type="spellStart"/>
      <w:r>
        <w:rPr>
          <w:rStyle w:val="A3"/>
          <w:rFonts w:ascii="Times New Roman" w:hAnsi="Times New Roman"/>
        </w:rPr>
        <w:t>Somners</w:t>
      </w:r>
      <w:proofErr w:type="spellEnd"/>
      <w:r>
        <w:rPr>
          <w:rStyle w:val="A3"/>
          <w:rFonts w:ascii="Times New Roman" w:hAnsi="Times New Roman"/>
        </w:rPr>
        <w:t xml:space="preserve"> 1996)</w:t>
      </w:r>
      <w:r>
        <w:rPr>
          <w:rFonts w:ascii="Times New Roman" w:hAnsi="Times New Roman"/>
          <w:sz w:val="20"/>
          <w:szCs w:val="20"/>
        </w:rPr>
        <w:t>. Total N was determined by the Macro-</w:t>
      </w:r>
      <w:proofErr w:type="spellStart"/>
      <w:r>
        <w:rPr>
          <w:rFonts w:ascii="Times New Roman" w:hAnsi="Times New Roman"/>
          <w:sz w:val="20"/>
          <w:szCs w:val="20"/>
        </w:rPr>
        <w:t>Kjeldahl</w:t>
      </w:r>
      <w:proofErr w:type="spellEnd"/>
      <w:r>
        <w:rPr>
          <w:rFonts w:ascii="Times New Roman" w:hAnsi="Times New Roman"/>
          <w:sz w:val="20"/>
          <w:szCs w:val="20"/>
        </w:rPr>
        <w:t xml:space="preserve"> method of </w:t>
      </w:r>
      <w:proofErr w:type="spellStart"/>
      <w:r>
        <w:rPr>
          <w:rFonts w:ascii="Times New Roman" w:hAnsi="Times New Roman"/>
          <w:sz w:val="20"/>
          <w:szCs w:val="20"/>
        </w:rPr>
        <w:t>Bremner</w:t>
      </w:r>
      <w:proofErr w:type="spellEnd"/>
      <w:r>
        <w:rPr>
          <w:rFonts w:ascii="Times New Roman" w:hAnsi="Times New Roman"/>
          <w:sz w:val="20"/>
          <w:szCs w:val="20"/>
        </w:rPr>
        <w:t xml:space="preserve"> and </w:t>
      </w:r>
      <w:bookmarkStart w:id="0" w:name="_Hlk161582088"/>
      <w:proofErr w:type="spellStart"/>
      <w:r>
        <w:rPr>
          <w:rFonts w:ascii="Times New Roman" w:hAnsi="Times New Roman"/>
          <w:sz w:val="20"/>
          <w:szCs w:val="20"/>
        </w:rPr>
        <w:t>Mulvaney</w:t>
      </w:r>
      <w:proofErr w:type="spellEnd"/>
      <w:r>
        <w:rPr>
          <w:rFonts w:ascii="Times New Roman" w:hAnsi="Times New Roman"/>
          <w:sz w:val="20"/>
          <w:szCs w:val="20"/>
        </w:rPr>
        <w:t xml:space="preserve"> </w:t>
      </w:r>
      <w:bookmarkEnd w:id="0"/>
      <w:r>
        <w:rPr>
          <w:rFonts w:ascii="Times New Roman" w:hAnsi="Times New Roman"/>
          <w:sz w:val="20"/>
          <w:szCs w:val="20"/>
        </w:rPr>
        <w:t>(1982), while exchangeable bases (Na, K, Ca, Mg) were extracted with 1N solution of NH</w:t>
      </w:r>
      <w:r>
        <w:rPr>
          <w:rFonts w:ascii="Times New Roman" w:hAnsi="Times New Roman"/>
          <w:sz w:val="20"/>
          <w:szCs w:val="20"/>
          <w:vertAlign w:val="subscript"/>
        </w:rPr>
        <w:t>4</w:t>
      </w:r>
      <w:r>
        <w:rPr>
          <w:rFonts w:ascii="Times New Roman" w:hAnsi="Times New Roman"/>
          <w:sz w:val="20"/>
          <w:szCs w:val="20"/>
        </w:rPr>
        <w:t xml:space="preserve">OA buffered at pH 7.0 and read directly using a flame photometer (Thomas, 1982). </w:t>
      </w: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Goat manure application</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 xml:space="preserve">Well-decomposed goat manure with no visible straw and sand was collected from goat farmers in </w:t>
      </w:r>
      <w:proofErr w:type="spellStart"/>
      <w:r>
        <w:rPr>
          <w:rFonts w:ascii="Times New Roman" w:hAnsi="Times New Roman"/>
          <w:sz w:val="20"/>
          <w:szCs w:val="20"/>
        </w:rPr>
        <w:t>Owo</w:t>
      </w:r>
      <w:proofErr w:type="spellEnd"/>
      <w:r>
        <w:rPr>
          <w:rFonts w:ascii="Times New Roman" w:hAnsi="Times New Roman"/>
          <w:sz w:val="20"/>
          <w:szCs w:val="20"/>
        </w:rPr>
        <w:t>, Ondo State, Nigeria. A sample of the goat manure wa</w:t>
      </w:r>
      <w:r>
        <w:rPr>
          <w:rFonts w:ascii="Times New Roman" w:hAnsi="Times New Roman"/>
          <w:sz w:val="20"/>
          <w:szCs w:val="20"/>
        </w:rPr>
        <w:t xml:space="preserve">s bulked, air-dried, crushed and subjected to routine laboratory standard procedures to determine its chemical </w:t>
      </w:r>
      <w:r>
        <w:rPr>
          <w:rFonts w:ascii="Times New Roman" w:hAnsi="Times New Roman"/>
          <w:sz w:val="20"/>
          <w:szCs w:val="20"/>
        </w:rPr>
        <w:lastRenderedPageBreak/>
        <w:t xml:space="preserve">constituents before application. The manure was evenly spread on the soil surface in each experimental plot according to their application rates </w:t>
      </w:r>
      <w:r>
        <w:rPr>
          <w:rFonts w:ascii="Times New Roman" w:hAnsi="Times New Roman"/>
          <w:sz w:val="20"/>
          <w:szCs w:val="20"/>
        </w:rPr>
        <w:t>and then integrated into the soil at a depth of 5 cm within the plots using hoes, two (2) weeks before planting to promote breakdown, mineralization and nutrient release for cucumber plant use. Treatment levels were; T</w:t>
      </w:r>
      <w:r>
        <w:rPr>
          <w:rFonts w:ascii="Times New Roman" w:hAnsi="Times New Roman"/>
          <w:sz w:val="20"/>
          <w:szCs w:val="20"/>
          <w:vertAlign w:val="subscript"/>
        </w:rPr>
        <w:t>1</w:t>
      </w:r>
      <w:r>
        <w:rPr>
          <w:rFonts w:ascii="Times New Roman" w:hAnsi="Times New Roman"/>
          <w:sz w:val="20"/>
          <w:szCs w:val="20"/>
        </w:rPr>
        <w:t xml:space="preserve"> = 0tha</w:t>
      </w:r>
      <w:r>
        <w:rPr>
          <w:rFonts w:ascii="Times New Roman" w:hAnsi="Times New Roman"/>
          <w:sz w:val="20"/>
          <w:szCs w:val="20"/>
          <w:vertAlign w:val="superscript"/>
        </w:rPr>
        <w:t>-1</w:t>
      </w:r>
      <w:r>
        <w:rPr>
          <w:rFonts w:ascii="Times New Roman" w:hAnsi="Times New Roman"/>
          <w:sz w:val="20"/>
          <w:szCs w:val="20"/>
        </w:rPr>
        <w:t xml:space="preserve"> Goat Manure (Natural fertil</w:t>
      </w:r>
      <w:r>
        <w:rPr>
          <w:rFonts w:ascii="Times New Roman" w:hAnsi="Times New Roman"/>
          <w:sz w:val="20"/>
          <w:szCs w:val="20"/>
        </w:rPr>
        <w:t>ity in the soil was used as the 0% manure in the control treatment), T</w:t>
      </w:r>
      <w:r>
        <w:rPr>
          <w:rFonts w:ascii="Times New Roman" w:hAnsi="Times New Roman"/>
          <w:sz w:val="20"/>
          <w:szCs w:val="20"/>
          <w:vertAlign w:val="subscript"/>
        </w:rPr>
        <w:t>2</w:t>
      </w:r>
      <w:r>
        <w:rPr>
          <w:rFonts w:ascii="Times New Roman" w:hAnsi="Times New Roman"/>
          <w:sz w:val="20"/>
          <w:szCs w:val="20"/>
        </w:rPr>
        <w:t xml:space="preserve"> = 5tha</w:t>
      </w:r>
      <w:r>
        <w:rPr>
          <w:rFonts w:ascii="Times New Roman" w:hAnsi="Times New Roman"/>
          <w:sz w:val="20"/>
          <w:szCs w:val="20"/>
          <w:vertAlign w:val="superscript"/>
        </w:rPr>
        <w:t>-1</w:t>
      </w:r>
      <w:r>
        <w:rPr>
          <w:rFonts w:ascii="Times New Roman" w:hAnsi="Times New Roman"/>
          <w:sz w:val="20"/>
          <w:szCs w:val="20"/>
        </w:rPr>
        <w:t xml:space="preserve"> Goat Manure (GM), T</w:t>
      </w:r>
      <w:r>
        <w:rPr>
          <w:rFonts w:ascii="Times New Roman" w:hAnsi="Times New Roman"/>
          <w:sz w:val="20"/>
          <w:szCs w:val="20"/>
          <w:vertAlign w:val="subscript"/>
        </w:rPr>
        <w:t>3</w:t>
      </w:r>
      <w:r>
        <w:rPr>
          <w:rFonts w:ascii="Times New Roman" w:hAnsi="Times New Roman"/>
          <w:sz w:val="20"/>
          <w:szCs w:val="20"/>
        </w:rPr>
        <w:t xml:space="preserve"> = 10tha</w:t>
      </w:r>
      <w:r>
        <w:rPr>
          <w:rFonts w:ascii="Times New Roman" w:hAnsi="Times New Roman"/>
          <w:sz w:val="20"/>
          <w:szCs w:val="20"/>
          <w:vertAlign w:val="superscript"/>
        </w:rPr>
        <w:t>-1</w:t>
      </w:r>
      <w:r>
        <w:rPr>
          <w:rFonts w:ascii="Times New Roman" w:hAnsi="Times New Roman"/>
          <w:sz w:val="20"/>
          <w:szCs w:val="20"/>
        </w:rPr>
        <w:t xml:space="preserve"> GM, T</w:t>
      </w:r>
      <w:r>
        <w:rPr>
          <w:rFonts w:ascii="Times New Roman" w:hAnsi="Times New Roman"/>
          <w:sz w:val="20"/>
          <w:szCs w:val="20"/>
          <w:vertAlign w:val="subscript"/>
        </w:rPr>
        <w:t>4</w:t>
      </w:r>
      <w:r>
        <w:rPr>
          <w:rFonts w:ascii="Times New Roman" w:hAnsi="Times New Roman"/>
          <w:sz w:val="20"/>
          <w:szCs w:val="20"/>
        </w:rPr>
        <w:t xml:space="preserve"> = 15tha</w:t>
      </w:r>
      <w:r>
        <w:rPr>
          <w:rFonts w:ascii="Times New Roman" w:hAnsi="Times New Roman"/>
          <w:sz w:val="20"/>
          <w:szCs w:val="20"/>
          <w:vertAlign w:val="superscript"/>
        </w:rPr>
        <w:t>-1</w:t>
      </w:r>
      <w:r>
        <w:rPr>
          <w:rFonts w:ascii="Times New Roman" w:hAnsi="Times New Roman"/>
          <w:sz w:val="20"/>
          <w:szCs w:val="20"/>
        </w:rPr>
        <w:t xml:space="preserve"> GM and T</w:t>
      </w:r>
      <w:r>
        <w:rPr>
          <w:rFonts w:ascii="Times New Roman" w:hAnsi="Times New Roman"/>
          <w:sz w:val="20"/>
          <w:szCs w:val="20"/>
          <w:vertAlign w:val="subscript"/>
        </w:rPr>
        <w:t>5</w:t>
      </w:r>
      <w:r>
        <w:rPr>
          <w:rFonts w:ascii="Times New Roman" w:hAnsi="Times New Roman"/>
          <w:sz w:val="20"/>
          <w:szCs w:val="20"/>
        </w:rPr>
        <w:t xml:space="preserve"> = 20tha</w:t>
      </w:r>
      <w:r>
        <w:rPr>
          <w:rFonts w:ascii="Times New Roman" w:hAnsi="Times New Roman"/>
          <w:sz w:val="20"/>
          <w:szCs w:val="20"/>
          <w:vertAlign w:val="superscript"/>
        </w:rPr>
        <w:t>-1</w:t>
      </w:r>
      <w:r>
        <w:rPr>
          <w:rFonts w:ascii="Times New Roman" w:hAnsi="Times New Roman"/>
          <w:sz w:val="20"/>
          <w:szCs w:val="20"/>
        </w:rPr>
        <w:t xml:space="preserve"> GM. </w:t>
      </w: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Crop establishment and cultural practices</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 xml:space="preserve">Apulia </w:t>
      </w:r>
      <w:proofErr w:type="spellStart"/>
      <w:r>
        <w:rPr>
          <w:rFonts w:ascii="Times New Roman" w:hAnsi="Times New Roman"/>
          <w:sz w:val="20"/>
          <w:szCs w:val="20"/>
        </w:rPr>
        <w:t>semences</w:t>
      </w:r>
      <w:proofErr w:type="spellEnd"/>
      <w:r>
        <w:rPr>
          <w:rFonts w:ascii="Times New Roman" w:hAnsi="Times New Roman"/>
          <w:sz w:val="20"/>
          <w:szCs w:val="20"/>
        </w:rPr>
        <w:t xml:space="preserve"> cucumber seeds variety used for the study was purchased from Let Farm Agro Service a reputable agro input dealer in </w:t>
      </w:r>
      <w:proofErr w:type="spellStart"/>
      <w:r>
        <w:rPr>
          <w:rFonts w:ascii="Times New Roman" w:hAnsi="Times New Roman"/>
          <w:sz w:val="20"/>
          <w:szCs w:val="20"/>
        </w:rPr>
        <w:t>Akure</w:t>
      </w:r>
      <w:proofErr w:type="spellEnd"/>
      <w:r>
        <w:rPr>
          <w:rFonts w:ascii="Times New Roman" w:hAnsi="Times New Roman"/>
          <w:sz w:val="20"/>
          <w:szCs w:val="20"/>
        </w:rPr>
        <w:t>, Ondo, State, Nigeria. The seeds were propagated at a spacing of 50cm × 50cm between and within rows with two (2) seed</w:t>
      </w:r>
      <w:r>
        <w:rPr>
          <w:rFonts w:ascii="Times New Roman" w:hAnsi="Times New Roman"/>
          <w:sz w:val="20"/>
          <w:szCs w:val="20"/>
        </w:rPr>
        <w:t xml:space="preserve">s per hole and later thinned to one vigorous seedling per stand at two (2) weeks after planting (WAP) when the first manual weeding exercise was carried out to avert competition with the plant. Thereafter, was done weekly by handpicking. While staking was </w:t>
      </w:r>
      <w:r>
        <w:rPr>
          <w:rFonts w:ascii="Times New Roman" w:hAnsi="Times New Roman"/>
          <w:sz w:val="20"/>
          <w:szCs w:val="20"/>
        </w:rPr>
        <w:t xml:space="preserve">carried out, four (4) WAP and synthetic insecticides were applied when necessary to control foliage insect pest infestation. </w:t>
      </w:r>
    </w:p>
    <w:p w:rsidR="00374032" w:rsidRDefault="00CF01F2">
      <w:pPr>
        <w:snapToGrid w:val="0"/>
        <w:spacing w:after="0" w:line="240" w:lineRule="auto"/>
        <w:jc w:val="both"/>
        <w:rPr>
          <w:rFonts w:ascii="Times New Roman" w:hAnsi="Times New Roman"/>
          <w:sz w:val="20"/>
          <w:szCs w:val="20"/>
        </w:rPr>
      </w:pPr>
      <w:r>
        <w:rPr>
          <w:rFonts w:ascii="Times New Roman" w:hAnsi="Times New Roman"/>
          <w:b/>
          <w:sz w:val="20"/>
          <w:szCs w:val="20"/>
        </w:rPr>
        <w:t>Data Collection and Statistical Analysis</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Five plants per plot were randomly labelled and dedicated for growth and yield parameters</w:t>
      </w:r>
      <w:r>
        <w:rPr>
          <w:rFonts w:ascii="Times New Roman" w:hAnsi="Times New Roman"/>
          <w:sz w:val="20"/>
          <w:szCs w:val="20"/>
        </w:rPr>
        <w:t xml:space="preserve"> data collection. Growth parameters were collected at 8 WAP. The growth parameter was calculated for each by dividing the sum by their number (</w:t>
      </w:r>
      <w:r>
        <w:rPr>
          <w:rFonts w:ascii="Times New Roman" w:hAnsi="Times New Roman"/>
          <w:bCs/>
          <w:sz w:val="20"/>
          <w:szCs w:val="20"/>
        </w:rPr>
        <w:t>Al-</w:t>
      </w:r>
      <w:proofErr w:type="spellStart"/>
      <w:r>
        <w:rPr>
          <w:rFonts w:ascii="Times New Roman" w:hAnsi="Times New Roman"/>
          <w:bCs/>
          <w:sz w:val="20"/>
          <w:szCs w:val="20"/>
        </w:rPr>
        <w:t>Fehaid</w:t>
      </w:r>
      <w:proofErr w:type="spellEnd"/>
      <w:r>
        <w:rPr>
          <w:rFonts w:ascii="Times New Roman" w:hAnsi="Times New Roman"/>
          <w:bCs/>
          <w:sz w:val="20"/>
          <w:szCs w:val="20"/>
        </w:rPr>
        <w:t xml:space="preserve"> et al., 2022).</w:t>
      </w:r>
    </w:p>
    <w:p w:rsidR="00374032" w:rsidRDefault="00CF01F2">
      <w:pPr>
        <w:pStyle w:val="ListParagraph"/>
        <w:numPr>
          <w:ilvl w:val="0"/>
          <w:numId w:val="1"/>
        </w:numPr>
        <w:snapToGrid w:val="0"/>
        <w:spacing w:after="0" w:line="240" w:lineRule="auto"/>
        <w:jc w:val="both"/>
        <w:rPr>
          <w:rFonts w:ascii="Times New Roman" w:hAnsi="Times New Roman"/>
          <w:sz w:val="20"/>
          <w:szCs w:val="20"/>
        </w:rPr>
      </w:pPr>
      <w:r>
        <w:rPr>
          <w:rFonts w:ascii="Times New Roman" w:hAnsi="Times New Roman"/>
          <w:sz w:val="20"/>
          <w:szCs w:val="20"/>
        </w:rPr>
        <w:t>Vine length (cm)</w:t>
      </w:r>
      <w:r>
        <w:rPr>
          <w:rFonts w:ascii="Times New Roman" w:hAnsi="Times New Roman"/>
          <w:b/>
          <w:sz w:val="20"/>
          <w:szCs w:val="20"/>
        </w:rPr>
        <w:t xml:space="preserve"> </w:t>
      </w:r>
      <w:r>
        <w:rPr>
          <w:rFonts w:ascii="Times New Roman" w:hAnsi="Times New Roman"/>
          <w:sz w:val="20"/>
          <w:szCs w:val="20"/>
        </w:rPr>
        <w:t>was determined by measuring the length of the plant from the soil surfa</w:t>
      </w:r>
      <w:r>
        <w:rPr>
          <w:rFonts w:ascii="Times New Roman" w:hAnsi="Times New Roman"/>
          <w:sz w:val="20"/>
          <w:szCs w:val="20"/>
        </w:rPr>
        <w:t xml:space="preserve">ce to the top of the terminal growing point using measuring tape (Tahir </w:t>
      </w:r>
      <w:r>
        <w:rPr>
          <w:rFonts w:ascii="Times New Roman" w:hAnsi="Times New Roman"/>
          <w:i/>
          <w:iCs/>
          <w:sz w:val="20"/>
          <w:szCs w:val="20"/>
        </w:rPr>
        <w:t>et al</w:t>
      </w:r>
      <w:r>
        <w:rPr>
          <w:rFonts w:ascii="Times New Roman" w:hAnsi="Times New Roman"/>
          <w:sz w:val="20"/>
          <w:szCs w:val="20"/>
        </w:rPr>
        <w:t>., 2015).</w:t>
      </w:r>
    </w:p>
    <w:p w:rsidR="00374032" w:rsidRDefault="00CF01F2">
      <w:pPr>
        <w:pStyle w:val="ListParagraph"/>
        <w:numPr>
          <w:ilvl w:val="0"/>
          <w:numId w:val="1"/>
        </w:numPr>
        <w:snapToGrid w:val="0"/>
        <w:spacing w:after="0" w:line="240" w:lineRule="auto"/>
        <w:jc w:val="both"/>
        <w:rPr>
          <w:rFonts w:ascii="Times New Roman" w:hAnsi="Times New Roman"/>
          <w:sz w:val="20"/>
          <w:szCs w:val="20"/>
        </w:rPr>
      </w:pPr>
      <w:r>
        <w:rPr>
          <w:rFonts w:ascii="Times New Roman" w:hAnsi="Times New Roman"/>
          <w:sz w:val="20"/>
          <w:szCs w:val="20"/>
        </w:rPr>
        <w:t xml:space="preserve">Stem girth (cm) was measured by putting measuring tape around the stem of the plant about 5cm above the ground/soil level (Tahir </w:t>
      </w:r>
      <w:r>
        <w:rPr>
          <w:rFonts w:ascii="Times New Roman" w:hAnsi="Times New Roman"/>
          <w:i/>
          <w:iCs/>
          <w:sz w:val="20"/>
          <w:szCs w:val="20"/>
        </w:rPr>
        <w:t>et al</w:t>
      </w:r>
      <w:r>
        <w:rPr>
          <w:rFonts w:ascii="Times New Roman" w:hAnsi="Times New Roman"/>
          <w:sz w:val="20"/>
          <w:szCs w:val="20"/>
        </w:rPr>
        <w:t xml:space="preserve">., 2015). </w:t>
      </w:r>
    </w:p>
    <w:p w:rsidR="00374032" w:rsidRDefault="00CF01F2">
      <w:pPr>
        <w:pStyle w:val="ListParagraph"/>
        <w:numPr>
          <w:ilvl w:val="0"/>
          <w:numId w:val="1"/>
        </w:numPr>
        <w:snapToGrid w:val="0"/>
        <w:spacing w:after="0" w:line="240" w:lineRule="auto"/>
        <w:jc w:val="both"/>
        <w:rPr>
          <w:rFonts w:ascii="Times New Roman" w:hAnsi="Times New Roman"/>
          <w:sz w:val="20"/>
          <w:szCs w:val="20"/>
        </w:rPr>
      </w:pPr>
      <w:r>
        <w:rPr>
          <w:rFonts w:ascii="Times New Roman" w:hAnsi="Times New Roman"/>
          <w:sz w:val="20"/>
          <w:szCs w:val="20"/>
        </w:rPr>
        <w:t>Number of leaves: This w</w:t>
      </w:r>
      <w:r>
        <w:rPr>
          <w:rFonts w:ascii="Times New Roman" w:hAnsi="Times New Roman"/>
          <w:sz w:val="20"/>
          <w:szCs w:val="20"/>
        </w:rPr>
        <w:t>as done by visually counting the number of leaves on every tagged plant in the plot (</w:t>
      </w:r>
      <w:proofErr w:type="spellStart"/>
      <w:r>
        <w:rPr>
          <w:rFonts w:ascii="Times New Roman" w:hAnsi="Times New Roman"/>
          <w:b/>
          <w:bCs/>
          <w:sz w:val="20"/>
          <w:szCs w:val="20"/>
        </w:rPr>
        <w:t>Salisu</w:t>
      </w:r>
      <w:proofErr w:type="spellEnd"/>
      <w:r>
        <w:rPr>
          <w:rFonts w:ascii="Times New Roman" w:hAnsi="Times New Roman"/>
          <w:b/>
          <w:bCs/>
          <w:sz w:val="20"/>
          <w:szCs w:val="20"/>
        </w:rPr>
        <w:t>, 2018</w:t>
      </w:r>
      <w:r>
        <w:rPr>
          <w:rFonts w:ascii="Times New Roman" w:hAnsi="Times New Roman"/>
          <w:sz w:val="20"/>
          <w:szCs w:val="20"/>
        </w:rPr>
        <w:t>).</w:t>
      </w:r>
    </w:p>
    <w:p w:rsidR="00374032" w:rsidRDefault="00CF01F2">
      <w:pPr>
        <w:pStyle w:val="ListParagraph"/>
        <w:numPr>
          <w:ilvl w:val="0"/>
          <w:numId w:val="1"/>
        </w:numPr>
        <w:snapToGrid w:val="0"/>
        <w:spacing w:after="0" w:line="240" w:lineRule="auto"/>
        <w:jc w:val="both"/>
        <w:rPr>
          <w:rFonts w:ascii="Times New Roman" w:hAnsi="Times New Roman"/>
          <w:sz w:val="20"/>
          <w:szCs w:val="20"/>
        </w:rPr>
      </w:pPr>
      <w:r>
        <w:rPr>
          <w:rFonts w:ascii="Times New Roman" w:hAnsi="Times New Roman"/>
          <w:sz w:val="20"/>
          <w:szCs w:val="20"/>
        </w:rPr>
        <w:t>Leaf area (cm</w:t>
      </w:r>
      <w:r>
        <w:rPr>
          <w:rFonts w:ascii="Times New Roman" w:hAnsi="Times New Roman"/>
          <w:sz w:val="20"/>
          <w:szCs w:val="20"/>
          <w:vertAlign w:val="superscript"/>
        </w:rPr>
        <w:t>2</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This involved the measurement of the length and the breadth of the leaves multiplied by the leaf coefficient (</w:t>
      </w:r>
      <w:proofErr w:type="spellStart"/>
      <w:r>
        <w:rPr>
          <w:rFonts w:ascii="Times New Roman" w:hAnsi="Times New Roman"/>
          <w:sz w:val="20"/>
          <w:szCs w:val="20"/>
        </w:rPr>
        <w:t>Okee</w:t>
      </w:r>
      <w:proofErr w:type="spellEnd"/>
      <w:r>
        <w:rPr>
          <w:rFonts w:ascii="Times New Roman" w:hAnsi="Times New Roman"/>
          <w:sz w:val="20"/>
          <w:szCs w:val="20"/>
        </w:rPr>
        <w:t xml:space="preserve"> et al., 2020). </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 xml:space="preserve">The </w:t>
      </w:r>
      <w:r>
        <w:rPr>
          <w:rFonts w:ascii="Times New Roman" w:hAnsi="Times New Roman"/>
          <w:sz w:val="20"/>
          <w:szCs w:val="20"/>
        </w:rPr>
        <w:t>yield parameters were collected from 10 WAP and for three picks. The yield parameters were calculated by dividing the sum of each variable by the number of fruits in the experimental plot (</w:t>
      </w:r>
      <w:r>
        <w:rPr>
          <w:rFonts w:ascii="Times New Roman" w:hAnsi="Times New Roman"/>
          <w:bCs/>
          <w:sz w:val="20"/>
          <w:szCs w:val="20"/>
        </w:rPr>
        <w:t>Al-</w:t>
      </w:r>
      <w:proofErr w:type="spellStart"/>
      <w:r>
        <w:rPr>
          <w:rFonts w:ascii="Times New Roman" w:hAnsi="Times New Roman"/>
          <w:bCs/>
          <w:sz w:val="20"/>
          <w:szCs w:val="20"/>
        </w:rPr>
        <w:t>Fehaid</w:t>
      </w:r>
      <w:proofErr w:type="spellEnd"/>
      <w:r>
        <w:rPr>
          <w:rFonts w:ascii="Times New Roman" w:hAnsi="Times New Roman"/>
          <w:bCs/>
          <w:sz w:val="20"/>
          <w:szCs w:val="20"/>
        </w:rPr>
        <w:t xml:space="preserve"> et al., 2022).</w:t>
      </w:r>
    </w:p>
    <w:p w:rsidR="00374032" w:rsidRDefault="00CF01F2">
      <w:pPr>
        <w:pStyle w:val="ListParagraph"/>
        <w:numPr>
          <w:ilvl w:val="0"/>
          <w:numId w:val="2"/>
        </w:numPr>
        <w:snapToGrid w:val="0"/>
        <w:spacing w:after="0" w:line="240" w:lineRule="auto"/>
        <w:jc w:val="both"/>
        <w:rPr>
          <w:rFonts w:ascii="Times New Roman" w:hAnsi="Times New Roman"/>
          <w:sz w:val="20"/>
          <w:szCs w:val="20"/>
        </w:rPr>
      </w:pPr>
      <w:r>
        <w:rPr>
          <w:rFonts w:ascii="Times New Roman" w:hAnsi="Times New Roman"/>
          <w:sz w:val="20"/>
          <w:szCs w:val="20"/>
        </w:rPr>
        <w:t>Number of fruits, this was done by countin</w:t>
      </w:r>
      <w:r>
        <w:rPr>
          <w:rFonts w:ascii="Times New Roman" w:hAnsi="Times New Roman"/>
          <w:sz w:val="20"/>
          <w:szCs w:val="20"/>
        </w:rPr>
        <w:t>g all the harvested fruit from each plot.</w:t>
      </w:r>
    </w:p>
    <w:p w:rsidR="00374032" w:rsidRDefault="00CF01F2">
      <w:pPr>
        <w:pStyle w:val="ListParagraph"/>
        <w:numPr>
          <w:ilvl w:val="0"/>
          <w:numId w:val="2"/>
        </w:numPr>
        <w:snapToGrid w:val="0"/>
        <w:spacing w:after="0" w:line="240" w:lineRule="auto"/>
        <w:jc w:val="both"/>
        <w:rPr>
          <w:rFonts w:ascii="Times New Roman" w:hAnsi="Times New Roman"/>
          <w:sz w:val="20"/>
          <w:szCs w:val="20"/>
        </w:rPr>
      </w:pPr>
      <w:r>
        <w:rPr>
          <w:rFonts w:ascii="Times New Roman" w:hAnsi="Times New Roman"/>
          <w:sz w:val="20"/>
          <w:szCs w:val="20"/>
        </w:rPr>
        <w:t xml:space="preserve">Fruit length (cm): this involved the measurement of the length of the fruits from </w:t>
      </w:r>
      <w:r>
        <w:rPr>
          <w:rStyle w:val="A3"/>
          <w:rFonts w:ascii="Times New Roman" w:hAnsi="Times New Roman"/>
        </w:rPr>
        <w:t xml:space="preserve">the base to the tip of the fruit </w:t>
      </w:r>
      <w:r>
        <w:rPr>
          <w:rFonts w:ascii="Times New Roman" w:hAnsi="Times New Roman"/>
          <w:sz w:val="20"/>
          <w:szCs w:val="20"/>
        </w:rPr>
        <w:t>using a measuring tape.</w:t>
      </w:r>
    </w:p>
    <w:p w:rsidR="00374032" w:rsidRDefault="00CF01F2">
      <w:pPr>
        <w:pStyle w:val="ListParagraph"/>
        <w:numPr>
          <w:ilvl w:val="0"/>
          <w:numId w:val="2"/>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Fruit </w:t>
      </w:r>
      <w:r>
        <w:rPr>
          <w:rFonts w:ascii="Times New Roman" w:hAnsi="Times New Roman"/>
          <w:bCs/>
          <w:sz w:val="20"/>
          <w:szCs w:val="20"/>
        </w:rPr>
        <w:t>diameter (cm)</w:t>
      </w:r>
      <w:r>
        <w:rPr>
          <w:rFonts w:ascii="Times New Roman" w:hAnsi="Times New Roman"/>
          <w:sz w:val="20"/>
          <w:szCs w:val="20"/>
        </w:rPr>
        <w:t>, this involved the measurement of the fresh fruits afte</w:t>
      </w:r>
      <w:r>
        <w:rPr>
          <w:rFonts w:ascii="Times New Roman" w:hAnsi="Times New Roman"/>
          <w:sz w:val="20"/>
          <w:szCs w:val="20"/>
        </w:rPr>
        <w:t xml:space="preserve">r harvest with the aid of a Vernier caliper. </w:t>
      </w:r>
    </w:p>
    <w:p w:rsidR="00374032" w:rsidRDefault="00CF01F2">
      <w:pPr>
        <w:pStyle w:val="ListParagraph"/>
        <w:numPr>
          <w:ilvl w:val="0"/>
          <w:numId w:val="2"/>
        </w:numPr>
        <w:snapToGrid w:val="0"/>
        <w:spacing w:after="0" w:line="240" w:lineRule="auto"/>
        <w:jc w:val="both"/>
        <w:rPr>
          <w:rFonts w:ascii="Times New Roman" w:hAnsi="Times New Roman"/>
          <w:sz w:val="20"/>
          <w:szCs w:val="20"/>
        </w:rPr>
      </w:pPr>
      <w:r>
        <w:rPr>
          <w:rFonts w:ascii="Times New Roman" w:hAnsi="Times New Roman"/>
          <w:sz w:val="20"/>
          <w:szCs w:val="20"/>
        </w:rPr>
        <w:t>Fruit fresh weight (g), this involved weighing cucumber fruit after harvesting by the use of a digital sensitive balance scale.</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All data collected were subjected to one-way Analysis of Variance (ANOVA) procedur</w:t>
      </w:r>
      <w:r>
        <w:rPr>
          <w:rFonts w:ascii="Times New Roman" w:hAnsi="Times New Roman"/>
          <w:sz w:val="20"/>
          <w:szCs w:val="20"/>
        </w:rPr>
        <w:t xml:space="preserve">es for Randomized Complete Block Design (RCBD) as described by Gomez and Gomez (1984). Duncan Multiple Range Test (DMRT) was used to compare the significant treatment means at a 5 % (P ≤ 0.05) level of significance using the SAS statistical analysis (SAS, </w:t>
      </w:r>
      <w:r>
        <w:rPr>
          <w:rFonts w:ascii="Times New Roman" w:hAnsi="Times New Roman"/>
          <w:sz w:val="20"/>
          <w:szCs w:val="20"/>
        </w:rPr>
        <w:t>2004).</w:t>
      </w:r>
    </w:p>
    <w:p w:rsidR="0062079B" w:rsidRDefault="0062079B">
      <w:pPr>
        <w:snapToGrid w:val="0"/>
        <w:spacing w:after="0" w:line="240" w:lineRule="auto"/>
        <w:jc w:val="both"/>
        <w:rPr>
          <w:rFonts w:ascii="Times New Roman" w:hAnsi="Times New Roman"/>
          <w:b/>
          <w:sz w:val="20"/>
          <w:szCs w:val="20"/>
        </w:rPr>
      </w:pP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 xml:space="preserve">Results </w:t>
      </w:r>
    </w:p>
    <w:p w:rsidR="00374032" w:rsidRDefault="00CF01F2">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t>Physio-Chemical Properties of Soil and Manure Analysis Prior Cropping</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 xml:space="preserve">The physio-chemical properties of the soil (0 – 30cm depth) of the experiment field before planting in 2016 and the goat manure analysis result were presented in Table 1 </w:t>
      </w:r>
      <w:r>
        <w:rPr>
          <w:rFonts w:ascii="Times New Roman" w:hAnsi="Times New Roman"/>
          <w:sz w:val="20"/>
          <w:szCs w:val="20"/>
        </w:rPr>
        <w:t>and 2 respectively. The result of the soil analysis was presented in (Table 1). The result of the soil analysis showed that the soil had a sand fraction of the surface at 78%, followed by clay at 17.2% and silt at 4.8%, the soil textural classification was</w:t>
      </w:r>
      <w:r>
        <w:rPr>
          <w:rFonts w:ascii="Times New Roman" w:hAnsi="Times New Roman"/>
          <w:sz w:val="20"/>
          <w:szCs w:val="20"/>
        </w:rPr>
        <w:t xml:space="preserve"> sandy loam. It was well aerated for easy penetration of roots. The result of the soil pH showed that the soil was acidic with a pH value of 4.24. Total nitrogen was low at 0.14 (0.14kg), and the organic matter was quite low at 0.653 (0.65kg), the low tota</w:t>
      </w:r>
      <w:r>
        <w:rPr>
          <w:rFonts w:ascii="Times New Roman" w:hAnsi="Times New Roman"/>
          <w:sz w:val="20"/>
          <w:szCs w:val="20"/>
        </w:rPr>
        <w:t>l Nitrogen could also be caused by the low organic matter of about 51% of total organic nitrogen in the soil (</w:t>
      </w:r>
      <w:proofErr w:type="spellStart"/>
      <w:r>
        <w:rPr>
          <w:rFonts w:ascii="Times New Roman" w:hAnsi="Times New Roman"/>
          <w:sz w:val="20"/>
          <w:szCs w:val="20"/>
        </w:rPr>
        <w:t>Haan</w:t>
      </w:r>
      <w:proofErr w:type="spellEnd"/>
      <w:r>
        <w:rPr>
          <w:rFonts w:ascii="Times New Roman" w:hAnsi="Times New Roman"/>
          <w:b/>
          <w:bCs/>
          <w:sz w:val="20"/>
          <w:szCs w:val="20"/>
        </w:rPr>
        <w:t xml:space="preserve">, </w:t>
      </w:r>
      <w:r>
        <w:rPr>
          <w:rFonts w:ascii="Times New Roman" w:hAnsi="Times New Roman"/>
          <w:sz w:val="20"/>
          <w:szCs w:val="20"/>
        </w:rPr>
        <w:t>2001). The available P was low at 0.45 mg/</w:t>
      </w:r>
      <w:proofErr w:type="gramStart"/>
      <w:r>
        <w:rPr>
          <w:rFonts w:ascii="Times New Roman" w:hAnsi="Times New Roman"/>
          <w:sz w:val="20"/>
          <w:szCs w:val="20"/>
        </w:rPr>
        <w:t>kg,</w:t>
      </w:r>
      <w:proofErr w:type="gramEnd"/>
      <w:r>
        <w:rPr>
          <w:rFonts w:ascii="Times New Roman" w:hAnsi="Times New Roman"/>
          <w:sz w:val="20"/>
          <w:szCs w:val="20"/>
        </w:rPr>
        <w:t xml:space="preserve"> this may be attributed to the low fixation of P in the experimental site by parent materials. </w:t>
      </w:r>
      <w:r>
        <w:rPr>
          <w:rFonts w:ascii="Times New Roman" w:hAnsi="Times New Roman"/>
          <w:sz w:val="20"/>
          <w:szCs w:val="20"/>
        </w:rPr>
        <w:t>The exchangeable cation in com/kg level is very low of Na 0.956 cooking-1, Ca 1.70 cooking-1, K 0.39 comkg</w:t>
      </w:r>
      <w:r>
        <w:rPr>
          <w:rFonts w:ascii="Times New Roman" w:hAnsi="Times New Roman"/>
          <w:sz w:val="20"/>
          <w:szCs w:val="20"/>
          <w:vertAlign w:val="superscript"/>
        </w:rPr>
        <w:t>-1</w:t>
      </w:r>
      <w:r>
        <w:rPr>
          <w:rFonts w:ascii="Times New Roman" w:hAnsi="Times New Roman"/>
          <w:sz w:val="20"/>
          <w:szCs w:val="20"/>
        </w:rPr>
        <w:t xml:space="preserve"> and mg 6.80 comkg</w:t>
      </w:r>
      <w:r>
        <w:rPr>
          <w:rFonts w:ascii="Times New Roman" w:hAnsi="Times New Roman"/>
          <w:sz w:val="20"/>
          <w:szCs w:val="20"/>
          <w:vertAlign w:val="superscript"/>
        </w:rPr>
        <w:t>-1</w:t>
      </w:r>
      <w:r>
        <w:rPr>
          <w:rFonts w:ascii="Times New Roman" w:hAnsi="Times New Roman"/>
          <w:sz w:val="20"/>
          <w:szCs w:val="20"/>
        </w:rPr>
        <w:t xml:space="preserve"> respectively. Therefore, it will not be able to produce high crop yield without the addition of external input. The goat manure</w:t>
      </w:r>
      <w:r>
        <w:rPr>
          <w:rFonts w:ascii="Times New Roman" w:hAnsi="Times New Roman"/>
          <w:sz w:val="20"/>
          <w:szCs w:val="20"/>
        </w:rPr>
        <w:t xml:space="preserve"> analysis result shows that it had organic carbon</w:t>
      </w:r>
      <w:r>
        <w:rPr>
          <w:rFonts w:ascii="Times New Roman" w:hAnsi="Times New Roman"/>
          <w:sz w:val="20"/>
          <w:szCs w:val="20"/>
          <w:vertAlign w:val="superscript"/>
        </w:rPr>
        <w:t xml:space="preserve"> </w:t>
      </w:r>
      <w:r>
        <w:rPr>
          <w:rFonts w:ascii="Times New Roman" w:hAnsi="Times New Roman"/>
          <w:sz w:val="20"/>
          <w:szCs w:val="20"/>
        </w:rPr>
        <w:t>of</w:t>
      </w:r>
      <w:r>
        <w:rPr>
          <w:rFonts w:ascii="Times New Roman" w:hAnsi="Times New Roman"/>
          <w:sz w:val="20"/>
          <w:szCs w:val="20"/>
          <w:vertAlign w:val="superscript"/>
        </w:rPr>
        <w:t xml:space="preserve"> </w:t>
      </w:r>
      <w:r>
        <w:rPr>
          <w:rFonts w:ascii="Times New Roman" w:hAnsi="Times New Roman"/>
          <w:sz w:val="20"/>
          <w:szCs w:val="20"/>
        </w:rPr>
        <w:t>13.97%, pH of 6.26%, Organic matter of 24.08% total nitrogen level of 0.31%, available phosphorus of 0.35mg/kg</w:t>
      </w:r>
      <w:r>
        <w:rPr>
          <w:rFonts w:ascii="Times New Roman" w:hAnsi="Times New Roman"/>
          <w:sz w:val="20"/>
          <w:szCs w:val="20"/>
          <w:vertAlign w:val="superscript"/>
        </w:rPr>
        <w:t>-1</w:t>
      </w:r>
      <w:r>
        <w:rPr>
          <w:rFonts w:ascii="Times New Roman" w:hAnsi="Times New Roman"/>
          <w:sz w:val="20"/>
          <w:szCs w:val="20"/>
        </w:rPr>
        <w:t>, exchangeable cation was K, 62.56mg/kg</w:t>
      </w:r>
      <w:r>
        <w:rPr>
          <w:rFonts w:ascii="Times New Roman" w:hAnsi="Times New Roman"/>
          <w:sz w:val="20"/>
          <w:szCs w:val="20"/>
          <w:vertAlign w:val="superscript"/>
        </w:rPr>
        <w:t>-1</w:t>
      </w:r>
      <w:r>
        <w:rPr>
          <w:rFonts w:ascii="Times New Roman" w:hAnsi="Times New Roman"/>
          <w:sz w:val="20"/>
          <w:szCs w:val="20"/>
        </w:rPr>
        <w:t>, Na 4.78mg/kg</w:t>
      </w:r>
      <w:r>
        <w:rPr>
          <w:rFonts w:ascii="Times New Roman" w:hAnsi="Times New Roman"/>
          <w:sz w:val="20"/>
          <w:szCs w:val="20"/>
          <w:vertAlign w:val="superscript"/>
        </w:rPr>
        <w:t>-1</w:t>
      </w:r>
      <w:r>
        <w:rPr>
          <w:rFonts w:ascii="Times New Roman" w:hAnsi="Times New Roman"/>
          <w:sz w:val="20"/>
          <w:szCs w:val="20"/>
        </w:rPr>
        <w:t>, Ca 2.90mg/kg</w:t>
      </w:r>
      <w:r>
        <w:rPr>
          <w:rFonts w:ascii="Times New Roman" w:hAnsi="Times New Roman"/>
          <w:sz w:val="20"/>
          <w:szCs w:val="20"/>
          <w:vertAlign w:val="superscript"/>
        </w:rPr>
        <w:t>-1</w:t>
      </w:r>
      <w:r>
        <w:rPr>
          <w:rFonts w:ascii="Times New Roman" w:hAnsi="Times New Roman"/>
          <w:sz w:val="20"/>
          <w:szCs w:val="20"/>
        </w:rPr>
        <w:t>, Mg 6.10mg/kg</w:t>
      </w:r>
      <w:r>
        <w:rPr>
          <w:rFonts w:ascii="Times New Roman" w:hAnsi="Times New Roman"/>
          <w:sz w:val="20"/>
          <w:szCs w:val="20"/>
          <w:vertAlign w:val="superscript"/>
        </w:rPr>
        <w:t>-1</w:t>
      </w:r>
      <w:r>
        <w:rPr>
          <w:rFonts w:ascii="Times New Roman" w:hAnsi="Times New Roman"/>
          <w:sz w:val="20"/>
          <w:szCs w:val="20"/>
        </w:rPr>
        <w:t xml:space="preserve">. </w:t>
      </w:r>
      <w:proofErr w:type="spellStart"/>
      <w:r>
        <w:rPr>
          <w:rFonts w:ascii="Times New Roman" w:hAnsi="Times New Roman"/>
          <w:sz w:val="20"/>
          <w:szCs w:val="20"/>
        </w:rPr>
        <w:t>Gulshan</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(2013) recommended that the farmers of developing countries must be used to the application of animal manure in their fields to fulfil the deficiency of mineral nutrition in the soil. Thus, by the application of these, local manure farmers </w:t>
      </w:r>
      <w:r>
        <w:rPr>
          <w:rFonts w:ascii="Times New Roman" w:hAnsi="Times New Roman"/>
          <w:sz w:val="20"/>
          <w:szCs w:val="20"/>
        </w:rPr>
        <w:t xml:space="preserve">will obtain good quality and quantity of yields of their crops, vegetables and fruits. Moreover, economic and energy stresses being experienced across the global population have made synthetic fertilizers beyond the bought capacity of the farmers of Third </w:t>
      </w:r>
      <w:r>
        <w:rPr>
          <w:rFonts w:ascii="Times New Roman" w:hAnsi="Times New Roman"/>
          <w:sz w:val="20"/>
          <w:szCs w:val="20"/>
        </w:rPr>
        <w:t>World countries. With the growing of organic vegetables as a rapidly growing enterprise, the amendment of the soil of the study area with goat manure would be a good option.</w:t>
      </w:r>
    </w:p>
    <w:p w:rsidR="00374032" w:rsidRDefault="00CF01F2">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lastRenderedPageBreak/>
        <w:t>Table 1: Soil Physical and Chemical Properties Before Planting and Manure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6"/>
        <w:gridCol w:w="1446"/>
        <w:gridCol w:w="1255"/>
      </w:tblGrid>
      <w:tr w:rsidR="00374032">
        <w:tc>
          <w:tcPr>
            <w:tcW w:w="2350" w:type="dxa"/>
            <w:tcBorders>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t>Soil</w:t>
            </w:r>
          </w:p>
        </w:tc>
        <w:tc>
          <w:tcPr>
            <w:tcW w:w="2153" w:type="dxa"/>
            <w:tcBorders>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t>Before planting</w:t>
            </w:r>
          </w:p>
        </w:tc>
        <w:tc>
          <w:tcPr>
            <w:tcW w:w="1701" w:type="dxa"/>
            <w:tcBorders>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t>Post planting</w:t>
            </w:r>
          </w:p>
        </w:tc>
      </w:tr>
      <w:tr w:rsidR="00374032">
        <w:tc>
          <w:tcPr>
            <w:tcW w:w="2350" w:type="dxa"/>
            <w:tcBorders>
              <w:top w:val="single" w:sz="4" w:space="0" w:color="auto"/>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Sand (%)</w:t>
            </w:r>
          </w:p>
        </w:tc>
        <w:tc>
          <w:tcPr>
            <w:tcW w:w="2153" w:type="dxa"/>
            <w:tcBorders>
              <w:top w:val="single" w:sz="4" w:space="0" w:color="auto"/>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78</w:t>
            </w:r>
          </w:p>
        </w:tc>
        <w:tc>
          <w:tcPr>
            <w:tcW w:w="1701" w:type="dxa"/>
            <w:tcBorders>
              <w:top w:val="single" w:sz="4" w:space="0" w:color="auto"/>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66.76</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Silt (%)</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4.8</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5.64</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Clay (%)</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17.2</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27.6</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Textural class</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Sandy loam</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Sandy loam</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Soil pH (H</w:t>
            </w:r>
            <w:r>
              <w:rPr>
                <w:rFonts w:ascii="Times New Roman" w:hAnsi="Times New Roman"/>
                <w:sz w:val="20"/>
                <w:szCs w:val="20"/>
                <w:vertAlign w:val="subscript"/>
              </w:rPr>
              <w:t>2</w:t>
            </w:r>
            <w:r>
              <w:rPr>
                <w:rFonts w:ascii="Times New Roman" w:hAnsi="Times New Roman"/>
                <w:sz w:val="20"/>
                <w:szCs w:val="20"/>
              </w:rPr>
              <w:t>O)</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4.24</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6.00</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Organic Carbon (%)</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0.38</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0.34</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Organic Matter</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0.65</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0.58</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Total Nitrogen </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0.14</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0.18</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 xml:space="preserve">Available P </w:t>
            </w:r>
            <w:r>
              <w:rPr>
                <w:rFonts w:ascii="Times New Roman" w:hAnsi="Times New Roman"/>
                <w:sz w:val="20"/>
                <w:szCs w:val="20"/>
              </w:rPr>
              <w:t>(mg/kg)</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0.45</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21.49</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Exchangeable cation</w:t>
            </w:r>
          </w:p>
        </w:tc>
        <w:tc>
          <w:tcPr>
            <w:tcW w:w="2153" w:type="dxa"/>
            <w:tcBorders>
              <w:top w:val="nil"/>
              <w:left w:val="nil"/>
              <w:bottom w:val="nil"/>
              <w:right w:val="nil"/>
            </w:tcBorders>
            <w:shd w:val="clear" w:color="auto" w:fill="auto"/>
          </w:tcPr>
          <w:p w:rsidR="00374032" w:rsidRDefault="00374032">
            <w:pPr>
              <w:snapToGrid w:val="0"/>
              <w:spacing w:after="0" w:line="240" w:lineRule="auto"/>
              <w:contextualSpacing/>
              <w:jc w:val="both"/>
              <w:rPr>
                <w:rFonts w:ascii="Times New Roman" w:hAnsi="Times New Roman"/>
                <w:sz w:val="20"/>
                <w:szCs w:val="20"/>
              </w:rPr>
            </w:pPr>
          </w:p>
        </w:tc>
        <w:tc>
          <w:tcPr>
            <w:tcW w:w="1701" w:type="dxa"/>
            <w:tcBorders>
              <w:top w:val="nil"/>
              <w:left w:val="nil"/>
              <w:bottom w:val="nil"/>
              <w:right w:val="nil"/>
            </w:tcBorders>
            <w:shd w:val="clear" w:color="auto" w:fill="auto"/>
          </w:tcPr>
          <w:p w:rsidR="00374032" w:rsidRDefault="00374032">
            <w:pPr>
              <w:snapToGrid w:val="0"/>
              <w:spacing w:after="0" w:line="240" w:lineRule="auto"/>
              <w:contextualSpacing/>
              <w:jc w:val="both"/>
              <w:rPr>
                <w:rFonts w:ascii="Times New Roman" w:hAnsi="Times New Roman"/>
                <w:sz w:val="20"/>
                <w:szCs w:val="20"/>
              </w:rPr>
            </w:pP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Na (com/kg)</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0.96</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0.23</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Ca (com/kg)</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1.70</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3.30</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K (com/kg)</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0.392</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0.22</w:t>
            </w:r>
          </w:p>
        </w:tc>
      </w:tr>
      <w:tr w:rsidR="00374032">
        <w:tc>
          <w:tcPr>
            <w:tcW w:w="235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Mg (com/kg)</w:t>
            </w:r>
          </w:p>
        </w:tc>
        <w:tc>
          <w:tcPr>
            <w:tcW w:w="2153"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6.80</w:t>
            </w:r>
          </w:p>
        </w:tc>
        <w:tc>
          <w:tcPr>
            <w:tcW w:w="1701"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0.50</w:t>
            </w:r>
          </w:p>
        </w:tc>
      </w:tr>
      <w:tr w:rsidR="00374032">
        <w:tc>
          <w:tcPr>
            <w:tcW w:w="2350" w:type="dxa"/>
            <w:tcBorders>
              <w:top w:val="nil"/>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CEC</w:t>
            </w:r>
          </w:p>
        </w:tc>
        <w:tc>
          <w:tcPr>
            <w:tcW w:w="2153" w:type="dxa"/>
            <w:tcBorders>
              <w:top w:val="nil"/>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5.06</w:t>
            </w:r>
          </w:p>
        </w:tc>
        <w:tc>
          <w:tcPr>
            <w:tcW w:w="1701" w:type="dxa"/>
            <w:tcBorders>
              <w:top w:val="nil"/>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6.61</w:t>
            </w:r>
          </w:p>
        </w:tc>
      </w:tr>
    </w:tbl>
    <w:p w:rsidR="0062079B" w:rsidRDefault="0062079B">
      <w:pPr>
        <w:snapToGrid w:val="0"/>
        <w:spacing w:after="0" w:line="240" w:lineRule="auto"/>
        <w:jc w:val="both"/>
        <w:rPr>
          <w:rFonts w:ascii="Times New Roman" w:hAnsi="Times New Roman"/>
          <w:b/>
          <w:sz w:val="20"/>
          <w:szCs w:val="20"/>
        </w:rPr>
      </w:pP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Effect of Goat Manure on Soil Chemical Properties at the End of the Experiment</w:t>
      </w:r>
    </w:p>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The effects of goat manure on the physio-chemical properties of the soil are shown in (Table 1) below. Goat manure increased soil organic matter, Total Nitrogen, available P, total carbon, exchangeable Ca, and Mg significantly. However, exchangeable cation</w:t>
      </w:r>
      <w:r>
        <w:rPr>
          <w:rFonts w:ascii="Times New Roman" w:hAnsi="Times New Roman"/>
          <w:sz w:val="20"/>
          <w:szCs w:val="20"/>
        </w:rPr>
        <w:t xml:space="preserve"> K was decreased by the application of goat manure. Soil pH tends to increase with goat manure application. The increase in the organic matter of the experimental plots is in agreement with the findings of Adrien (2006) who reported that the application of</w:t>
      </w:r>
      <w:r>
        <w:rPr>
          <w:rFonts w:ascii="Times New Roman" w:hAnsi="Times New Roman"/>
          <w:sz w:val="20"/>
          <w:szCs w:val="20"/>
        </w:rPr>
        <w:t xml:space="preserve"> organic manures significantly increased levels of organic C and N and the formation of water-stable aggregates. The increase in EC of soil might occur due to more </w:t>
      </w:r>
      <w:proofErr w:type="spellStart"/>
      <w:r>
        <w:rPr>
          <w:rFonts w:ascii="Times New Roman" w:hAnsi="Times New Roman"/>
          <w:sz w:val="20"/>
          <w:szCs w:val="20"/>
        </w:rPr>
        <w:t>solubilization</w:t>
      </w:r>
      <w:proofErr w:type="spellEnd"/>
      <w:r>
        <w:rPr>
          <w:rFonts w:ascii="Times New Roman" w:hAnsi="Times New Roman"/>
          <w:sz w:val="20"/>
          <w:szCs w:val="20"/>
        </w:rPr>
        <w:t xml:space="preserve"> of fixed nutrients. </w:t>
      </w:r>
      <w:proofErr w:type="spellStart"/>
      <w:r>
        <w:rPr>
          <w:rFonts w:ascii="Times New Roman" w:hAnsi="Times New Roman"/>
          <w:sz w:val="20"/>
          <w:szCs w:val="20"/>
        </w:rPr>
        <w:t>Yaduvanshi</w:t>
      </w:r>
      <w:proofErr w:type="spellEnd"/>
      <w:r>
        <w:rPr>
          <w:rFonts w:ascii="Times New Roman" w:hAnsi="Times New Roman"/>
          <w:sz w:val="20"/>
          <w:szCs w:val="20"/>
        </w:rPr>
        <w:t xml:space="preserve"> (2001) postulated the increase in available nu</w:t>
      </w:r>
      <w:r>
        <w:rPr>
          <w:rFonts w:ascii="Times New Roman" w:hAnsi="Times New Roman"/>
          <w:sz w:val="20"/>
          <w:szCs w:val="20"/>
        </w:rPr>
        <w:t xml:space="preserve">trients with </w:t>
      </w:r>
      <w:proofErr w:type="spellStart"/>
      <w:r>
        <w:rPr>
          <w:rFonts w:ascii="Times New Roman" w:hAnsi="Times New Roman"/>
          <w:sz w:val="20"/>
          <w:szCs w:val="20"/>
        </w:rPr>
        <w:t>vermicompost</w:t>
      </w:r>
      <w:proofErr w:type="spellEnd"/>
      <w:r>
        <w:rPr>
          <w:rFonts w:ascii="Times New Roman" w:hAnsi="Times New Roman"/>
          <w:sz w:val="20"/>
          <w:szCs w:val="20"/>
        </w:rPr>
        <w:t xml:space="preserve"> or FYM application due to the mineralization of nutrients from organic manures in soil. While, Sharma </w:t>
      </w:r>
      <w:r>
        <w:rPr>
          <w:rFonts w:ascii="Times New Roman" w:hAnsi="Times New Roman"/>
          <w:i/>
          <w:iCs/>
          <w:sz w:val="20"/>
          <w:szCs w:val="20"/>
        </w:rPr>
        <w:t xml:space="preserve">et al. </w:t>
      </w:r>
      <w:r>
        <w:rPr>
          <w:rFonts w:ascii="Times New Roman" w:hAnsi="Times New Roman"/>
          <w:sz w:val="20"/>
          <w:szCs w:val="20"/>
        </w:rPr>
        <w:t xml:space="preserve">(2004) and Sharma </w:t>
      </w:r>
      <w:r>
        <w:rPr>
          <w:rFonts w:ascii="Times New Roman" w:hAnsi="Times New Roman"/>
          <w:i/>
          <w:iCs/>
          <w:sz w:val="20"/>
          <w:szCs w:val="20"/>
        </w:rPr>
        <w:t>et al</w:t>
      </w:r>
      <w:r>
        <w:rPr>
          <w:rFonts w:ascii="Times New Roman" w:hAnsi="Times New Roman"/>
          <w:sz w:val="20"/>
          <w:szCs w:val="20"/>
        </w:rPr>
        <w:t>., (2009) observed improvement in the availability of all essential plant nutrients during the cro</w:t>
      </w:r>
      <w:r>
        <w:rPr>
          <w:rFonts w:ascii="Times New Roman" w:hAnsi="Times New Roman"/>
          <w:sz w:val="20"/>
          <w:szCs w:val="20"/>
        </w:rPr>
        <w:t xml:space="preserve">p period in soil with the use of organic manures. </w:t>
      </w:r>
      <w:proofErr w:type="spellStart"/>
      <w:r>
        <w:rPr>
          <w:rFonts w:ascii="Times New Roman" w:hAnsi="Times New Roman"/>
          <w:sz w:val="20"/>
          <w:szCs w:val="20"/>
        </w:rPr>
        <w:t>Sreenivas</w:t>
      </w:r>
      <w:proofErr w:type="spellEnd"/>
      <w:r>
        <w:rPr>
          <w:rFonts w:ascii="Times New Roman" w:hAnsi="Times New Roman"/>
          <w:sz w:val="20"/>
          <w:szCs w:val="20"/>
        </w:rPr>
        <w:t xml:space="preserve"> </w:t>
      </w:r>
      <w:r>
        <w:rPr>
          <w:rFonts w:ascii="Times New Roman" w:hAnsi="Times New Roman"/>
          <w:i/>
          <w:iCs/>
          <w:sz w:val="20"/>
          <w:szCs w:val="20"/>
        </w:rPr>
        <w:t xml:space="preserve">et al. </w:t>
      </w:r>
      <w:r>
        <w:rPr>
          <w:rFonts w:ascii="Times New Roman" w:hAnsi="Times New Roman"/>
          <w:sz w:val="20"/>
          <w:szCs w:val="20"/>
        </w:rPr>
        <w:t xml:space="preserve">(2000) recorded that the use of organic manure improves the overall soil health, nutrient reaction and availability. </w:t>
      </w:r>
    </w:p>
    <w:p w:rsidR="00374032" w:rsidRDefault="00CF01F2">
      <w:pPr>
        <w:pStyle w:val="Default"/>
        <w:snapToGrid w:val="0"/>
        <w:jc w:val="both"/>
        <w:rPr>
          <w:sz w:val="20"/>
          <w:szCs w:val="20"/>
        </w:rPr>
      </w:pPr>
      <w:r>
        <w:rPr>
          <w:sz w:val="20"/>
          <w:szCs w:val="20"/>
        </w:rPr>
        <w:t>The findings from this study indicate that an increase in the applicati</w:t>
      </w:r>
      <w:r>
        <w:rPr>
          <w:sz w:val="20"/>
          <w:szCs w:val="20"/>
        </w:rPr>
        <w:t xml:space="preserve">on of organic manure helps the soil to release these nutrients in large quantities for plant absorption (Smith and </w:t>
      </w:r>
      <w:proofErr w:type="spellStart"/>
      <w:r>
        <w:rPr>
          <w:sz w:val="20"/>
          <w:szCs w:val="20"/>
        </w:rPr>
        <w:t>Ayenigbara</w:t>
      </w:r>
      <w:proofErr w:type="spellEnd"/>
      <w:r>
        <w:rPr>
          <w:sz w:val="20"/>
          <w:szCs w:val="20"/>
        </w:rPr>
        <w:t>, 2001). Thus, the improvements in soil parameters lead to a significant increase in crop growth and obtainable yield (</w:t>
      </w:r>
      <w:proofErr w:type="spellStart"/>
      <w:r>
        <w:rPr>
          <w:sz w:val="20"/>
          <w:szCs w:val="20"/>
        </w:rPr>
        <w:t>Adedrian</w:t>
      </w:r>
      <w:proofErr w:type="spellEnd"/>
      <w:r>
        <w:rPr>
          <w:sz w:val="20"/>
          <w:szCs w:val="20"/>
        </w:rPr>
        <w:t xml:space="preserve"> </w:t>
      </w:r>
      <w:r>
        <w:rPr>
          <w:i/>
          <w:iCs/>
          <w:sz w:val="20"/>
          <w:szCs w:val="20"/>
        </w:rPr>
        <w:t xml:space="preserve">et </w:t>
      </w:r>
      <w:r>
        <w:rPr>
          <w:i/>
          <w:iCs/>
          <w:sz w:val="20"/>
          <w:szCs w:val="20"/>
        </w:rPr>
        <w:t xml:space="preserve">al., </w:t>
      </w:r>
      <w:r>
        <w:rPr>
          <w:sz w:val="20"/>
          <w:szCs w:val="20"/>
        </w:rPr>
        <w:t xml:space="preserve">2003, </w:t>
      </w:r>
      <w:proofErr w:type="spellStart"/>
      <w:r>
        <w:rPr>
          <w:sz w:val="20"/>
          <w:szCs w:val="20"/>
        </w:rPr>
        <w:t>Anukworji</w:t>
      </w:r>
      <w:proofErr w:type="spellEnd"/>
      <w:r>
        <w:rPr>
          <w:sz w:val="20"/>
          <w:szCs w:val="20"/>
        </w:rPr>
        <w:t xml:space="preserve"> </w:t>
      </w:r>
      <w:r>
        <w:rPr>
          <w:i/>
          <w:iCs/>
          <w:sz w:val="20"/>
          <w:szCs w:val="20"/>
        </w:rPr>
        <w:t xml:space="preserve">et al. </w:t>
      </w:r>
      <w:r>
        <w:rPr>
          <w:sz w:val="20"/>
          <w:szCs w:val="20"/>
        </w:rPr>
        <w:t>2012).</w:t>
      </w:r>
    </w:p>
    <w:p w:rsidR="0062079B" w:rsidRDefault="0062079B">
      <w:pPr>
        <w:snapToGrid w:val="0"/>
        <w:spacing w:after="0" w:line="240" w:lineRule="auto"/>
        <w:contextualSpacing/>
        <w:jc w:val="both"/>
        <w:rPr>
          <w:rFonts w:ascii="Times New Roman" w:hAnsi="Times New Roman"/>
          <w:b/>
          <w:sz w:val="20"/>
          <w:szCs w:val="20"/>
        </w:rPr>
      </w:pPr>
    </w:p>
    <w:p w:rsidR="0062079B" w:rsidRDefault="0062079B">
      <w:pPr>
        <w:snapToGrid w:val="0"/>
        <w:spacing w:after="0" w:line="240" w:lineRule="auto"/>
        <w:contextualSpacing/>
        <w:jc w:val="both"/>
        <w:rPr>
          <w:rFonts w:ascii="Times New Roman" w:hAnsi="Times New Roman"/>
          <w:b/>
          <w:sz w:val="20"/>
          <w:szCs w:val="20"/>
        </w:rPr>
      </w:pPr>
    </w:p>
    <w:p w:rsidR="00374032" w:rsidRDefault="00CF01F2">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t xml:space="preserve">Table 2: Nutrient Composition of used Goat Manure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0"/>
        <w:gridCol w:w="2129"/>
      </w:tblGrid>
      <w:tr w:rsidR="00374032">
        <w:trPr>
          <w:trHeight w:val="90"/>
          <w:jc w:val="center"/>
        </w:trPr>
        <w:tc>
          <w:tcPr>
            <w:tcW w:w="2270" w:type="dxa"/>
            <w:tcBorders>
              <w:top w:val="single" w:sz="4" w:space="0" w:color="auto"/>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b/>
                <w:sz w:val="20"/>
                <w:szCs w:val="20"/>
              </w:rPr>
              <w:t>Goat Manure</w:t>
            </w:r>
          </w:p>
        </w:tc>
        <w:tc>
          <w:tcPr>
            <w:tcW w:w="2129" w:type="dxa"/>
            <w:tcBorders>
              <w:top w:val="single" w:sz="4" w:space="0" w:color="auto"/>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b/>
                <w:sz w:val="20"/>
                <w:szCs w:val="20"/>
              </w:rPr>
              <w:t>Value</w:t>
            </w:r>
          </w:p>
        </w:tc>
      </w:tr>
      <w:tr w:rsidR="00374032">
        <w:trPr>
          <w:trHeight w:val="90"/>
          <w:jc w:val="center"/>
        </w:trPr>
        <w:tc>
          <w:tcPr>
            <w:tcW w:w="2270" w:type="dxa"/>
            <w:tcBorders>
              <w:top w:val="single" w:sz="4" w:space="0" w:color="auto"/>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pH (H</w:t>
            </w:r>
            <w:r>
              <w:rPr>
                <w:rFonts w:ascii="Times New Roman" w:hAnsi="Times New Roman"/>
                <w:sz w:val="20"/>
                <w:szCs w:val="20"/>
                <w:vertAlign w:val="subscript"/>
              </w:rPr>
              <w:t>2</w:t>
            </w:r>
            <w:r>
              <w:rPr>
                <w:rFonts w:ascii="Times New Roman" w:hAnsi="Times New Roman"/>
                <w:sz w:val="20"/>
                <w:szCs w:val="20"/>
              </w:rPr>
              <w:t>0)</w:t>
            </w:r>
          </w:p>
        </w:tc>
        <w:tc>
          <w:tcPr>
            <w:tcW w:w="2129" w:type="dxa"/>
            <w:tcBorders>
              <w:top w:val="single" w:sz="4" w:space="0" w:color="auto"/>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6.26</w:t>
            </w:r>
          </w:p>
        </w:tc>
      </w:tr>
      <w:tr w:rsidR="00374032">
        <w:trPr>
          <w:trHeight w:val="90"/>
          <w:jc w:val="center"/>
        </w:trPr>
        <w:tc>
          <w:tcPr>
            <w:tcW w:w="227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O.C (%)</w:t>
            </w:r>
          </w:p>
        </w:tc>
        <w:tc>
          <w:tcPr>
            <w:tcW w:w="2129"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13.965</w:t>
            </w:r>
          </w:p>
        </w:tc>
      </w:tr>
      <w:tr w:rsidR="00374032">
        <w:trPr>
          <w:trHeight w:val="90"/>
          <w:jc w:val="center"/>
        </w:trPr>
        <w:tc>
          <w:tcPr>
            <w:tcW w:w="227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O.M (%)</w:t>
            </w:r>
          </w:p>
        </w:tc>
        <w:tc>
          <w:tcPr>
            <w:tcW w:w="2129"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24.076</w:t>
            </w:r>
          </w:p>
        </w:tc>
      </w:tr>
      <w:tr w:rsidR="00374032">
        <w:trPr>
          <w:trHeight w:val="90"/>
          <w:jc w:val="center"/>
        </w:trPr>
        <w:tc>
          <w:tcPr>
            <w:tcW w:w="227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N (mg/kg)</w:t>
            </w:r>
          </w:p>
        </w:tc>
        <w:tc>
          <w:tcPr>
            <w:tcW w:w="2129"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0.31</w:t>
            </w:r>
          </w:p>
        </w:tc>
      </w:tr>
      <w:tr w:rsidR="00374032">
        <w:trPr>
          <w:trHeight w:val="90"/>
          <w:jc w:val="center"/>
        </w:trPr>
        <w:tc>
          <w:tcPr>
            <w:tcW w:w="227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K (mg/kg)</w:t>
            </w:r>
          </w:p>
        </w:tc>
        <w:tc>
          <w:tcPr>
            <w:tcW w:w="2129"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62.564</w:t>
            </w:r>
          </w:p>
        </w:tc>
      </w:tr>
      <w:tr w:rsidR="00374032">
        <w:trPr>
          <w:trHeight w:val="90"/>
          <w:jc w:val="center"/>
        </w:trPr>
        <w:tc>
          <w:tcPr>
            <w:tcW w:w="227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Na (mg/kg)</w:t>
            </w:r>
          </w:p>
        </w:tc>
        <w:tc>
          <w:tcPr>
            <w:tcW w:w="2129"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4.782</w:t>
            </w:r>
          </w:p>
        </w:tc>
      </w:tr>
      <w:tr w:rsidR="00374032">
        <w:trPr>
          <w:trHeight w:val="90"/>
          <w:jc w:val="center"/>
        </w:trPr>
        <w:tc>
          <w:tcPr>
            <w:tcW w:w="227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Ca (mg/kg)</w:t>
            </w:r>
          </w:p>
        </w:tc>
        <w:tc>
          <w:tcPr>
            <w:tcW w:w="2129"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2.90</w:t>
            </w:r>
          </w:p>
        </w:tc>
      </w:tr>
      <w:tr w:rsidR="00374032">
        <w:trPr>
          <w:trHeight w:val="90"/>
          <w:jc w:val="center"/>
        </w:trPr>
        <w:tc>
          <w:tcPr>
            <w:tcW w:w="2270"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Mg (mg/kg)</w:t>
            </w:r>
          </w:p>
        </w:tc>
        <w:tc>
          <w:tcPr>
            <w:tcW w:w="2129" w:type="dxa"/>
            <w:tcBorders>
              <w:top w:val="nil"/>
              <w:left w:val="nil"/>
              <w:bottom w:val="nil"/>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6.10</w:t>
            </w:r>
          </w:p>
        </w:tc>
      </w:tr>
      <w:tr w:rsidR="00374032">
        <w:trPr>
          <w:trHeight w:val="90"/>
          <w:jc w:val="center"/>
        </w:trPr>
        <w:tc>
          <w:tcPr>
            <w:tcW w:w="2270" w:type="dxa"/>
            <w:tcBorders>
              <w:top w:val="nil"/>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 xml:space="preserve">Available P </w:t>
            </w:r>
            <w:r>
              <w:rPr>
                <w:rFonts w:ascii="Times New Roman" w:hAnsi="Times New Roman"/>
                <w:sz w:val="20"/>
                <w:szCs w:val="20"/>
              </w:rPr>
              <w:t>(mg/kg)</w:t>
            </w:r>
          </w:p>
        </w:tc>
        <w:tc>
          <w:tcPr>
            <w:tcW w:w="2129" w:type="dxa"/>
            <w:tcBorders>
              <w:top w:val="nil"/>
              <w:left w:val="nil"/>
              <w:bottom w:val="single" w:sz="4" w:space="0" w:color="auto"/>
              <w:right w:val="nil"/>
            </w:tcBorders>
            <w:shd w:val="clear" w:color="auto" w:fill="auto"/>
          </w:tcPr>
          <w:p w:rsidR="00374032" w:rsidRDefault="00CF01F2">
            <w:pPr>
              <w:snapToGrid w:val="0"/>
              <w:spacing w:after="0" w:line="240" w:lineRule="auto"/>
              <w:contextualSpacing/>
              <w:jc w:val="both"/>
              <w:rPr>
                <w:rFonts w:ascii="Times New Roman" w:hAnsi="Times New Roman"/>
                <w:sz w:val="20"/>
                <w:szCs w:val="20"/>
              </w:rPr>
            </w:pPr>
            <w:r>
              <w:rPr>
                <w:rFonts w:ascii="Times New Roman" w:hAnsi="Times New Roman"/>
                <w:sz w:val="20"/>
                <w:szCs w:val="20"/>
              </w:rPr>
              <w:t>0.346</w:t>
            </w:r>
          </w:p>
        </w:tc>
      </w:tr>
    </w:tbl>
    <w:p w:rsidR="00374032" w:rsidRDefault="00374032">
      <w:pPr>
        <w:snapToGrid w:val="0"/>
        <w:spacing w:after="0" w:line="240" w:lineRule="auto"/>
        <w:jc w:val="both"/>
        <w:rPr>
          <w:rFonts w:ascii="Times New Roman" w:hAnsi="Times New Roman"/>
          <w:b/>
          <w:sz w:val="20"/>
          <w:szCs w:val="20"/>
        </w:rPr>
      </w:pP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Effect of Varying Rate of Goat Manure on the Growth Performance of Cucumber</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The goat manure increased the growth of cucumber in the study area at an increasing rate (Table 3). The lowest values were recorded in the control while the highest</w:t>
      </w:r>
      <w:r>
        <w:rPr>
          <w:rFonts w:ascii="Times New Roman" w:hAnsi="Times New Roman"/>
          <w:sz w:val="20"/>
          <w:szCs w:val="20"/>
        </w:rPr>
        <w:t xml:space="preserve"> values were recorded at T</w:t>
      </w:r>
      <w:r>
        <w:rPr>
          <w:rFonts w:ascii="Times New Roman" w:hAnsi="Times New Roman"/>
          <w:sz w:val="20"/>
          <w:szCs w:val="20"/>
          <w:vertAlign w:val="subscript"/>
        </w:rPr>
        <w:t xml:space="preserve">5 </w:t>
      </w:r>
      <w:r>
        <w:rPr>
          <w:rFonts w:ascii="Times New Roman" w:hAnsi="Times New Roman"/>
          <w:sz w:val="20"/>
          <w:szCs w:val="20"/>
        </w:rPr>
        <w:t>(2.0kg/plot). The values recorded for stem girth at T</w:t>
      </w:r>
      <w:r>
        <w:rPr>
          <w:rFonts w:ascii="Times New Roman" w:hAnsi="Times New Roman"/>
          <w:sz w:val="20"/>
          <w:szCs w:val="20"/>
          <w:vertAlign w:val="subscript"/>
        </w:rPr>
        <w:t>1</w:t>
      </w:r>
      <w:r>
        <w:rPr>
          <w:rFonts w:ascii="Times New Roman" w:hAnsi="Times New Roman"/>
          <w:sz w:val="20"/>
          <w:szCs w:val="20"/>
        </w:rPr>
        <w:t xml:space="preserve"> (1.19cm), T</w:t>
      </w:r>
      <w:r>
        <w:rPr>
          <w:rFonts w:ascii="Times New Roman" w:hAnsi="Times New Roman"/>
          <w:sz w:val="20"/>
          <w:szCs w:val="20"/>
          <w:vertAlign w:val="subscript"/>
        </w:rPr>
        <w:t>2</w:t>
      </w:r>
      <w:r>
        <w:rPr>
          <w:rFonts w:ascii="Times New Roman" w:hAnsi="Times New Roman"/>
          <w:sz w:val="20"/>
          <w:szCs w:val="20"/>
        </w:rPr>
        <w:t xml:space="preserve"> (1.45cm) and T</w:t>
      </w:r>
      <w:r>
        <w:rPr>
          <w:rFonts w:ascii="Times New Roman" w:hAnsi="Times New Roman"/>
          <w:sz w:val="20"/>
          <w:szCs w:val="20"/>
          <w:vertAlign w:val="subscript"/>
        </w:rPr>
        <w:t>3</w:t>
      </w:r>
      <w:r>
        <w:rPr>
          <w:rFonts w:ascii="Times New Roman" w:hAnsi="Times New Roman"/>
          <w:sz w:val="20"/>
          <w:szCs w:val="20"/>
        </w:rPr>
        <w:t xml:space="preserve"> (1.98cm) were not significantly different (P&gt;0.05), same for stem girth at T</w:t>
      </w:r>
      <w:r>
        <w:rPr>
          <w:rFonts w:ascii="Times New Roman" w:hAnsi="Times New Roman"/>
          <w:sz w:val="20"/>
          <w:szCs w:val="20"/>
          <w:vertAlign w:val="subscript"/>
        </w:rPr>
        <w:t>4</w:t>
      </w:r>
      <w:r>
        <w:rPr>
          <w:rFonts w:ascii="Times New Roman" w:hAnsi="Times New Roman"/>
          <w:sz w:val="20"/>
          <w:szCs w:val="20"/>
        </w:rPr>
        <w:t xml:space="preserve"> (2.45cm) and T</w:t>
      </w:r>
      <w:r>
        <w:rPr>
          <w:rFonts w:ascii="Times New Roman" w:hAnsi="Times New Roman"/>
          <w:sz w:val="20"/>
          <w:szCs w:val="20"/>
          <w:vertAlign w:val="subscript"/>
        </w:rPr>
        <w:t>5</w:t>
      </w:r>
      <w:r>
        <w:rPr>
          <w:rFonts w:ascii="Times New Roman" w:hAnsi="Times New Roman"/>
          <w:sz w:val="20"/>
          <w:szCs w:val="20"/>
        </w:rPr>
        <w:t xml:space="preserve"> (2.76cm). The vine length at T</w:t>
      </w:r>
      <w:r>
        <w:rPr>
          <w:rFonts w:ascii="Times New Roman" w:hAnsi="Times New Roman"/>
          <w:sz w:val="20"/>
          <w:szCs w:val="20"/>
          <w:vertAlign w:val="subscript"/>
        </w:rPr>
        <w:t xml:space="preserve">2 </w:t>
      </w:r>
      <w:r>
        <w:rPr>
          <w:rFonts w:ascii="Times New Roman" w:hAnsi="Times New Roman"/>
          <w:sz w:val="20"/>
          <w:szCs w:val="20"/>
        </w:rPr>
        <w:t>(55.42cm), T</w:t>
      </w:r>
      <w:r>
        <w:rPr>
          <w:rFonts w:ascii="Times New Roman" w:hAnsi="Times New Roman"/>
          <w:sz w:val="20"/>
          <w:szCs w:val="20"/>
          <w:vertAlign w:val="subscript"/>
        </w:rPr>
        <w:t>3</w:t>
      </w:r>
      <w:r>
        <w:rPr>
          <w:rFonts w:ascii="Times New Roman" w:hAnsi="Times New Roman"/>
          <w:sz w:val="20"/>
          <w:szCs w:val="20"/>
        </w:rPr>
        <w:t xml:space="preserve"> (56.</w:t>
      </w:r>
      <w:r>
        <w:rPr>
          <w:rFonts w:ascii="Times New Roman" w:hAnsi="Times New Roman"/>
          <w:sz w:val="20"/>
          <w:szCs w:val="20"/>
        </w:rPr>
        <w:t>98cm) and T</w:t>
      </w:r>
      <w:r>
        <w:rPr>
          <w:rFonts w:ascii="Times New Roman" w:hAnsi="Times New Roman"/>
          <w:sz w:val="20"/>
          <w:szCs w:val="20"/>
          <w:vertAlign w:val="subscript"/>
        </w:rPr>
        <w:t>4</w:t>
      </w:r>
      <w:r>
        <w:rPr>
          <w:rFonts w:ascii="Times New Roman" w:hAnsi="Times New Roman"/>
          <w:sz w:val="20"/>
          <w:szCs w:val="20"/>
        </w:rPr>
        <w:t xml:space="preserve"> (56.43cm) were not significantly different (P&gt;0.05). The leaf area development was not significantly different </w:t>
      </w:r>
      <w:r>
        <w:rPr>
          <w:rFonts w:ascii="Times New Roman" w:hAnsi="Times New Roman"/>
          <w:sz w:val="20"/>
          <w:szCs w:val="20"/>
        </w:rPr>
        <w:lastRenderedPageBreak/>
        <w:t>likewise the number of leaves at T</w:t>
      </w:r>
      <w:r>
        <w:rPr>
          <w:rFonts w:ascii="Times New Roman" w:hAnsi="Times New Roman"/>
          <w:sz w:val="20"/>
          <w:szCs w:val="20"/>
          <w:vertAlign w:val="subscript"/>
        </w:rPr>
        <w:t>1</w:t>
      </w:r>
      <w:r>
        <w:rPr>
          <w:rFonts w:ascii="Times New Roman" w:hAnsi="Times New Roman"/>
          <w:sz w:val="20"/>
          <w:szCs w:val="20"/>
        </w:rPr>
        <w:t xml:space="preserve"> (9.67), T</w:t>
      </w:r>
      <w:r>
        <w:rPr>
          <w:rFonts w:ascii="Times New Roman" w:hAnsi="Times New Roman"/>
          <w:sz w:val="20"/>
          <w:szCs w:val="20"/>
          <w:vertAlign w:val="subscript"/>
        </w:rPr>
        <w:t>2</w:t>
      </w:r>
      <w:r>
        <w:rPr>
          <w:rFonts w:ascii="Times New Roman" w:hAnsi="Times New Roman"/>
          <w:sz w:val="20"/>
          <w:szCs w:val="20"/>
        </w:rPr>
        <w:t xml:space="preserve"> (10.92) and T</w:t>
      </w:r>
      <w:r>
        <w:rPr>
          <w:rFonts w:ascii="Times New Roman" w:hAnsi="Times New Roman"/>
          <w:sz w:val="20"/>
          <w:szCs w:val="20"/>
          <w:vertAlign w:val="subscript"/>
        </w:rPr>
        <w:t>3</w:t>
      </w:r>
      <w:r>
        <w:rPr>
          <w:rFonts w:ascii="Times New Roman" w:hAnsi="Times New Roman"/>
          <w:sz w:val="20"/>
          <w:szCs w:val="20"/>
        </w:rPr>
        <w:t xml:space="preserve"> (11.58).</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The result of this study shows that goat manure can significa</w:t>
      </w:r>
      <w:r>
        <w:rPr>
          <w:rFonts w:ascii="Times New Roman" w:hAnsi="Times New Roman"/>
          <w:sz w:val="20"/>
          <w:szCs w:val="20"/>
        </w:rPr>
        <w:t xml:space="preserve">ntly increase growth, and yield. The result of this study is similar to Usman, (2015) who reported that the application of goat manure increased the growth of tomatoes. In a related development </w:t>
      </w:r>
      <w:proofErr w:type="spellStart"/>
      <w:r>
        <w:rPr>
          <w:rFonts w:ascii="Times New Roman" w:hAnsi="Times New Roman"/>
          <w:sz w:val="20"/>
          <w:szCs w:val="20"/>
        </w:rPr>
        <w:t>Sanni</w:t>
      </w:r>
      <w:proofErr w:type="spellEnd"/>
      <w:r>
        <w:rPr>
          <w:rFonts w:ascii="Times New Roman" w:hAnsi="Times New Roman"/>
          <w:sz w:val="20"/>
          <w:szCs w:val="20"/>
        </w:rPr>
        <w:t xml:space="preserve"> and </w:t>
      </w:r>
      <w:proofErr w:type="spellStart"/>
      <w:r>
        <w:rPr>
          <w:rFonts w:ascii="Times New Roman" w:hAnsi="Times New Roman"/>
          <w:sz w:val="20"/>
          <w:szCs w:val="20"/>
        </w:rPr>
        <w:t>Adenubi</w:t>
      </w:r>
      <w:proofErr w:type="spellEnd"/>
      <w:r>
        <w:rPr>
          <w:rFonts w:ascii="Times New Roman" w:hAnsi="Times New Roman"/>
          <w:sz w:val="20"/>
          <w:szCs w:val="20"/>
        </w:rPr>
        <w:t>, (2015) reported that okra responded well to</w:t>
      </w:r>
      <w:r>
        <w:rPr>
          <w:rFonts w:ascii="Times New Roman" w:hAnsi="Times New Roman"/>
          <w:sz w:val="20"/>
          <w:szCs w:val="20"/>
        </w:rPr>
        <w:t xml:space="preserve"> goat manure at the rate of 5tha</w:t>
      </w:r>
      <w:r>
        <w:rPr>
          <w:rFonts w:ascii="Times New Roman" w:hAnsi="Times New Roman"/>
          <w:sz w:val="20"/>
          <w:szCs w:val="20"/>
          <w:vertAlign w:val="superscript"/>
        </w:rPr>
        <w:t>-1</w:t>
      </w:r>
      <w:r>
        <w:rPr>
          <w:rFonts w:ascii="Times New Roman" w:hAnsi="Times New Roman"/>
          <w:sz w:val="20"/>
          <w:szCs w:val="20"/>
        </w:rPr>
        <w:t xml:space="preserve">. The result of this study also confirms the submission of </w:t>
      </w:r>
      <w:proofErr w:type="spellStart"/>
      <w:r>
        <w:rPr>
          <w:rFonts w:ascii="Times New Roman" w:hAnsi="Times New Roman"/>
          <w:sz w:val="20"/>
          <w:szCs w:val="20"/>
        </w:rPr>
        <w:t>Sanni</w:t>
      </w:r>
      <w:proofErr w:type="spellEnd"/>
      <w:r>
        <w:rPr>
          <w:rFonts w:ascii="Times New Roman" w:hAnsi="Times New Roman"/>
          <w:sz w:val="20"/>
          <w:szCs w:val="20"/>
        </w:rPr>
        <w:t xml:space="preserve"> and </w:t>
      </w:r>
      <w:proofErr w:type="spellStart"/>
      <w:r>
        <w:rPr>
          <w:rFonts w:ascii="Times New Roman" w:hAnsi="Times New Roman"/>
          <w:sz w:val="20"/>
          <w:szCs w:val="20"/>
        </w:rPr>
        <w:t>Adenubi</w:t>
      </w:r>
      <w:proofErr w:type="spellEnd"/>
      <w:r>
        <w:rPr>
          <w:rFonts w:ascii="Times New Roman" w:hAnsi="Times New Roman"/>
          <w:sz w:val="20"/>
          <w:szCs w:val="20"/>
        </w:rPr>
        <w:t>, (2015) that the application of goat manure will improve soil organic matter, nutrient availability and yield at a rate of 5tha</w:t>
      </w:r>
      <w:r>
        <w:rPr>
          <w:rFonts w:ascii="Times New Roman" w:hAnsi="Times New Roman"/>
          <w:sz w:val="20"/>
          <w:szCs w:val="20"/>
          <w:vertAlign w:val="superscript"/>
        </w:rPr>
        <w:t>-1</w:t>
      </w:r>
      <w:r>
        <w:rPr>
          <w:rFonts w:ascii="Times New Roman" w:hAnsi="Times New Roman"/>
          <w:sz w:val="20"/>
          <w:szCs w:val="20"/>
        </w:rPr>
        <w:t xml:space="preserve">. </w:t>
      </w:r>
    </w:p>
    <w:p w:rsidR="00374032" w:rsidRDefault="00CF01F2">
      <w:pPr>
        <w:snapToGrid w:val="0"/>
        <w:spacing w:after="0" w:line="240" w:lineRule="auto"/>
        <w:jc w:val="both"/>
        <w:rPr>
          <w:rFonts w:ascii="Times New Roman" w:hAnsi="Times New Roman"/>
          <w:b/>
          <w:sz w:val="20"/>
          <w:szCs w:val="20"/>
        </w:rPr>
      </w:pPr>
      <w:r>
        <w:rPr>
          <w:rFonts w:ascii="Times New Roman" w:hAnsi="Times New Roman"/>
          <w:sz w:val="20"/>
          <w:szCs w:val="20"/>
        </w:rPr>
        <w:t xml:space="preserve">The significant increases in cucumber vine length and vine girth in cucumber grown in goat manure-amended plots compared to control are necessary for competition and crop survival as opined by </w:t>
      </w:r>
      <w:proofErr w:type="spellStart"/>
      <w:r>
        <w:rPr>
          <w:rFonts w:ascii="Times New Roman" w:hAnsi="Times New Roman"/>
          <w:sz w:val="20"/>
          <w:szCs w:val="20"/>
        </w:rPr>
        <w:t>Akanda</w:t>
      </w:r>
      <w:proofErr w:type="spellEnd"/>
      <w:r>
        <w:rPr>
          <w:rFonts w:ascii="Times New Roman" w:hAnsi="Times New Roman"/>
          <w:sz w:val="20"/>
          <w:szCs w:val="20"/>
        </w:rPr>
        <w:t xml:space="preserve"> </w:t>
      </w:r>
      <w:r>
        <w:rPr>
          <w:rFonts w:ascii="Times New Roman" w:hAnsi="Times New Roman"/>
          <w:i/>
          <w:iCs/>
          <w:sz w:val="20"/>
          <w:szCs w:val="20"/>
        </w:rPr>
        <w:t>et al</w:t>
      </w:r>
      <w:r>
        <w:rPr>
          <w:rFonts w:ascii="Times New Roman" w:hAnsi="Times New Roman"/>
          <w:sz w:val="20"/>
          <w:szCs w:val="20"/>
        </w:rPr>
        <w:t>. (2010). This translates to mean that the longer t</w:t>
      </w:r>
      <w:r>
        <w:rPr>
          <w:rFonts w:ascii="Times New Roman" w:hAnsi="Times New Roman"/>
          <w:sz w:val="20"/>
          <w:szCs w:val="20"/>
        </w:rPr>
        <w:t>he vine length, the higher the number of leaves produced by the cucumber also shows that it will support photosynthesis activity and high crop yield. The improved vegetative growth obtained in the cucumber from the goat manure plots may be due to an increa</w:t>
      </w:r>
      <w:r>
        <w:rPr>
          <w:rFonts w:ascii="Times New Roman" w:hAnsi="Times New Roman"/>
          <w:sz w:val="20"/>
          <w:szCs w:val="20"/>
        </w:rPr>
        <w:t xml:space="preserve">se in the activity of enzymes like </w:t>
      </w:r>
      <w:proofErr w:type="spellStart"/>
      <w:r>
        <w:rPr>
          <w:rFonts w:ascii="Times New Roman" w:hAnsi="Times New Roman"/>
          <w:sz w:val="20"/>
          <w:szCs w:val="20"/>
        </w:rPr>
        <w:t>chitinases</w:t>
      </w:r>
      <w:proofErr w:type="spellEnd"/>
      <w:r>
        <w:rPr>
          <w:rFonts w:ascii="Times New Roman" w:hAnsi="Times New Roman"/>
          <w:sz w:val="20"/>
          <w:szCs w:val="20"/>
        </w:rPr>
        <w:t xml:space="preserve"> and proteases present in the manure which break down the organic-rich compounds and stimulate plant nutrient uptake and metabolism increasing plant growth.</w:t>
      </w: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sectPr w:rsidR="0062079B">
          <w:type w:val="continuous"/>
          <w:pgSz w:w="12240" w:h="15839"/>
          <w:pgMar w:top="1440" w:right="1440" w:bottom="1440" w:left="1440" w:header="720" w:footer="720" w:gutter="0"/>
          <w:cols w:num="2" w:space="720" w:equalWidth="0">
            <w:col w:w="4467" w:space="425"/>
            <w:col w:w="4467"/>
          </w:cols>
          <w:titlePg/>
          <w:docGrid w:linePitch="360"/>
        </w:sectPr>
      </w:pP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pPr>
    </w:p>
    <w:p w:rsidR="00374032" w:rsidRDefault="00CF01F2">
      <w:pPr>
        <w:snapToGrid w:val="0"/>
        <w:spacing w:after="0" w:line="240" w:lineRule="auto"/>
        <w:jc w:val="both"/>
        <w:rPr>
          <w:rFonts w:ascii="Times New Roman" w:hAnsi="Times New Roman"/>
          <w:sz w:val="20"/>
          <w:szCs w:val="20"/>
        </w:rPr>
      </w:pPr>
      <w:r>
        <w:rPr>
          <w:rFonts w:ascii="Times New Roman" w:hAnsi="Times New Roman"/>
          <w:b/>
          <w:sz w:val="20"/>
          <w:szCs w:val="20"/>
        </w:rPr>
        <w:t xml:space="preserve">Table 3: Effect of Varying Rate of Goat Manure on the </w:t>
      </w:r>
      <w:r>
        <w:rPr>
          <w:rFonts w:ascii="Times New Roman" w:hAnsi="Times New Roman"/>
          <w:b/>
          <w:sz w:val="20"/>
          <w:szCs w:val="20"/>
        </w:rPr>
        <w:t>Growth of Cucumber</w:t>
      </w:r>
    </w:p>
    <w:tbl>
      <w:tblPr>
        <w:tblW w:w="5000" w:type="pct"/>
        <w:tblBorders>
          <w:top w:val="single" w:sz="8" w:space="0" w:color="000000"/>
          <w:bottom w:val="single" w:sz="8" w:space="0" w:color="000000"/>
        </w:tblBorders>
        <w:tblLook w:val="04A0" w:firstRow="1" w:lastRow="0" w:firstColumn="1" w:lastColumn="0" w:noHBand="0" w:noVBand="1"/>
      </w:tblPr>
      <w:tblGrid>
        <w:gridCol w:w="2442"/>
        <w:gridCol w:w="1482"/>
        <w:gridCol w:w="1677"/>
        <w:gridCol w:w="1878"/>
        <w:gridCol w:w="1881"/>
      </w:tblGrid>
      <w:tr w:rsidR="00374032" w:rsidTr="0062079B">
        <w:trPr>
          <w:trHeight w:val="454"/>
        </w:trPr>
        <w:tc>
          <w:tcPr>
            <w:tcW w:w="1304" w:type="pct"/>
            <w:tcBorders>
              <w:top w:val="single" w:sz="8" w:space="0" w:color="000000"/>
              <w:bottom w:val="single" w:sz="4" w:space="0" w:color="auto"/>
            </w:tcBorders>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Treatments</w:t>
            </w:r>
          </w:p>
        </w:tc>
        <w:tc>
          <w:tcPr>
            <w:tcW w:w="791" w:type="pct"/>
            <w:tcBorders>
              <w:top w:val="single" w:sz="8" w:space="0" w:color="000000"/>
              <w:bottom w:val="single" w:sz="4" w:space="0" w:color="auto"/>
            </w:tcBorders>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Stem Girth (cm)</w:t>
            </w:r>
          </w:p>
        </w:tc>
        <w:tc>
          <w:tcPr>
            <w:tcW w:w="896" w:type="pct"/>
            <w:tcBorders>
              <w:top w:val="single" w:sz="8" w:space="0" w:color="000000"/>
              <w:bottom w:val="single" w:sz="4" w:space="0" w:color="auto"/>
            </w:tcBorders>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Vine Length (cm)</w:t>
            </w:r>
          </w:p>
        </w:tc>
        <w:tc>
          <w:tcPr>
            <w:tcW w:w="1003" w:type="pct"/>
            <w:tcBorders>
              <w:top w:val="single" w:sz="8" w:space="0" w:color="000000"/>
              <w:bottom w:val="single" w:sz="4" w:space="0" w:color="auto"/>
            </w:tcBorders>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Leaf Area (cm</w:t>
            </w:r>
            <w:r>
              <w:rPr>
                <w:rFonts w:ascii="Times New Roman" w:hAnsi="Times New Roman"/>
                <w:b/>
                <w:sz w:val="20"/>
                <w:szCs w:val="20"/>
                <w:vertAlign w:val="superscript"/>
              </w:rPr>
              <w:t>2</w:t>
            </w:r>
            <w:r>
              <w:rPr>
                <w:rFonts w:ascii="Times New Roman" w:hAnsi="Times New Roman"/>
                <w:b/>
                <w:sz w:val="20"/>
                <w:szCs w:val="20"/>
              </w:rPr>
              <w:t>)</w:t>
            </w:r>
          </w:p>
        </w:tc>
        <w:tc>
          <w:tcPr>
            <w:tcW w:w="1005" w:type="pct"/>
            <w:tcBorders>
              <w:top w:val="single" w:sz="8" w:space="0" w:color="000000"/>
              <w:bottom w:val="single" w:sz="4" w:space="0" w:color="auto"/>
            </w:tcBorders>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Number of Leaves</w:t>
            </w:r>
          </w:p>
        </w:tc>
      </w:tr>
      <w:tr w:rsidR="00374032" w:rsidTr="0062079B">
        <w:trPr>
          <w:trHeight w:val="203"/>
        </w:trPr>
        <w:tc>
          <w:tcPr>
            <w:tcW w:w="1304" w:type="pct"/>
            <w:tcBorders>
              <w:top w:val="single" w:sz="4" w:space="0" w:color="auto"/>
            </w:tcBorders>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1 </w:t>
            </w:r>
            <w:r>
              <w:rPr>
                <w:rFonts w:ascii="Times New Roman" w:hAnsi="Times New Roman"/>
                <w:sz w:val="20"/>
                <w:szCs w:val="20"/>
              </w:rPr>
              <w:t>(0tha</w:t>
            </w:r>
            <w:r>
              <w:rPr>
                <w:rFonts w:ascii="Times New Roman" w:hAnsi="Times New Roman"/>
                <w:sz w:val="20"/>
                <w:szCs w:val="20"/>
                <w:vertAlign w:val="superscript"/>
              </w:rPr>
              <w:t>-1</w:t>
            </w:r>
            <w:r>
              <w:rPr>
                <w:rFonts w:ascii="Times New Roman" w:hAnsi="Times New Roman"/>
                <w:sz w:val="20"/>
                <w:szCs w:val="20"/>
              </w:rPr>
              <w:t>)</w:t>
            </w:r>
          </w:p>
        </w:tc>
        <w:tc>
          <w:tcPr>
            <w:tcW w:w="791" w:type="pct"/>
            <w:tcBorders>
              <w:top w:val="single" w:sz="4" w:space="0" w:color="auto"/>
            </w:tcBorders>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1. 19</w:t>
            </w:r>
            <w:r>
              <w:rPr>
                <w:rFonts w:ascii="Times New Roman" w:hAnsi="Times New Roman"/>
                <w:sz w:val="20"/>
                <w:szCs w:val="20"/>
                <w:vertAlign w:val="superscript"/>
              </w:rPr>
              <w:t>a</w:t>
            </w:r>
          </w:p>
        </w:tc>
        <w:tc>
          <w:tcPr>
            <w:tcW w:w="896" w:type="pct"/>
            <w:tcBorders>
              <w:top w:val="single" w:sz="4" w:space="0" w:color="auto"/>
            </w:tcBorders>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43.58</w:t>
            </w:r>
            <w:r>
              <w:rPr>
                <w:rFonts w:ascii="Times New Roman" w:hAnsi="Times New Roman"/>
                <w:sz w:val="20"/>
                <w:szCs w:val="20"/>
                <w:vertAlign w:val="superscript"/>
              </w:rPr>
              <w:t>a</w:t>
            </w:r>
          </w:p>
        </w:tc>
        <w:tc>
          <w:tcPr>
            <w:tcW w:w="1003" w:type="pct"/>
            <w:tcBorders>
              <w:top w:val="single" w:sz="4" w:space="0" w:color="auto"/>
            </w:tcBorders>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105.28</w:t>
            </w:r>
            <w:r>
              <w:rPr>
                <w:rFonts w:ascii="Times New Roman" w:hAnsi="Times New Roman"/>
                <w:sz w:val="20"/>
                <w:szCs w:val="20"/>
                <w:vertAlign w:val="superscript"/>
              </w:rPr>
              <w:t>a</w:t>
            </w:r>
          </w:p>
        </w:tc>
        <w:tc>
          <w:tcPr>
            <w:tcW w:w="1005" w:type="pct"/>
            <w:tcBorders>
              <w:top w:val="single" w:sz="4" w:space="0" w:color="auto"/>
            </w:tcBorders>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9.67</w:t>
            </w:r>
            <w:r>
              <w:rPr>
                <w:rFonts w:ascii="Times New Roman" w:hAnsi="Times New Roman"/>
                <w:sz w:val="20"/>
                <w:szCs w:val="20"/>
                <w:vertAlign w:val="superscript"/>
              </w:rPr>
              <w:t>a</w:t>
            </w:r>
          </w:p>
        </w:tc>
      </w:tr>
      <w:tr w:rsidR="00374032" w:rsidTr="0062079B">
        <w:trPr>
          <w:trHeight w:val="181"/>
        </w:trPr>
        <w:tc>
          <w:tcPr>
            <w:tcW w:w="1304"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2 </w:t>
            </w:r>
            <w:r>
              <w:rPr>
                <w:rFonts w:ascii="Times New Roman" w:hAnsi="Times New Roman"/>
                <w:sz w:val="20"/>
                <w:szCs w:val="20"/>
              </w:rPr>
              <w:t>(5tha</w:t>
            </w:r>
            <w:r>
              <w:rPr>
                <w:rFonts w:ascii="Times New Roman" w:hAnsi="Times New Roman"/>
                <w:sz w:val="20"/>
                <w:szCs w:val="20"/>
                <w:vertAlign w:val="superscript"/>
              </w:rPr>
              <w:t>-1</w:t>
            </w:r>
            <w:r>
              <w:rPr>
                <w:rFonts w:ascii="Times New Roman" w:hAnsi="Times New Roman"/>
                <w:sz w:val="20"/>
                <w:szCs w:val="20"/>
              </w:rPr>
              <w:t>)</w:t>
            </w:r>
          </w:p>
        </w:tc>
        <w:tc>
          <w:tcPr>
            <w:tcW w:w="791"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1.45</w:t>
            </w:r>
            <w:r>
              <w:rPr>
                <w:rFonts w:ascii="Times New Roman" w:hAnsi="Times New Roman"/>
                <w:sz w:val="20"/>
                <w:szCs w:val="20"/>
                <w:vertAlign w:val="superscript"/>
              </w:rPr>
              <w:t>a</w:t>
            </w:r>
          </w:p>
        </w:tc>
        <w:tc>
          <w:tcPr>
            <w:tcW w:w="896"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55.42</w:t>
            </w:r>
            <w:r>
              <w:rPr>
                <w:rFonts w:ascii="Times New Roman" w:hAnsi="Times New Roman"/>
                <w:sz w:val="20"/>
                <w:szCs w:val="20"/>
                <w:vertAlign w:val="superscript"/>
              </w:rPr>
              <w:t>b</w:t>
            </w:r>
          </w:p>
        </w:tc>
        <w:tc>
          <w:tcPr>
            <w:tcW w:w="1003"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112.22</w:t>
            </w:r>
            <w:r>
              <w:rPr>
                <w:rFonts w:ascii="Times New Roman" w:hAnsi="Times New Roman"/>
                <w:sz w:val="20"/>
                <w:szCs w:val="20"/>
                <w:vertAlign w:val="superscript"/>
              </w:rPr>
              <w:t>a</w:t>
            </w:r>
          </w:p>
        </w:tc>
        <w:tc>
          <w:tcPr>
            <w:tcW w:w="1005"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10.92</w:t>
            </w:r>
            <w:r>
              <w:rPr>
                <w:rFonts w:ascii="Times New Roman" w:hAnsi="Times New Roman"/>
                <w:sz w:val="20"/>
                <w:szCs w:val="20"/>
                <w:vertAlign w:val="superscript"/>
              </w:rPr>
              <w:t>a</w:t>
            </w:r>
          </w:p>
        </w:tc>
      </w:tr>
      <w:tr w:rsidR="00374032" w:rsidTr="0062079B">
        <w:trPr>
          <w:trHeight w:val="181"/>
        </w:trPr>
        <w:tc>
          <w:tcPr>
            <w:tcW w:w="1304"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3 </w:t>
            </w:r>
            <w:r>
              <w:rPr>
                <w:rFonts w:ascii="Times New Roman" w:hAnsi="Times New Roman"/>
                <w:sz w:val="20"/>
                <w:szCs w:val="20"/>
              </w:rPr>
              <w:t>(10tha</w:t>
            </w:r>
            <w:r>
              <w:rPr>
                <w:rFonts w:ascii="Times New Roman" w:hAnsi="Times New Roman"/>
                <w:sz w:val="20"/>
                <w:szCs w:val="20"/>
                <w:vertAlign w:val="superscript"/>
              </w:rPr>
              <w:t>-1</w:t>
            </w:r>
            <w:r>
              <w:rPr>
                <w:rFonts w:ascii="Times New Roman" w:hAnsi="Times New Roman"/>
                <w:sz w:val="20"/>
                <w:szCs w:val="20"/>
              </w:rPr>
              <w:t>)</w:t>
            </w:r>
          </w:p>
        </w:tc>
        <w:tc>
          <w:tcPr>
            <w:tcW w:w="791"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1.98</w:t>
            </w:r>
            <w:r>
              <w:rPr>
                <w:rFonts w:ascii="Times New Roman" w:hAnsi="Times New Roman"/>
                <w:sz w:val="20"/>
                <w:szCs w:val="20"/>
                <w:vertAlign w:val="superscript"/>
              </w:rPr>
              <w:t>a</w:t>
            </w:r>
          </w:p>
        </w:tc>
        <w:tc>
          <w:tcPr>
            <w:tcW w:w="896"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56.98</w:t>
            </w:r>
            <w:r>
              <w:rPr>
                <w:rFonts w:ascii="Times New Roman" w:hAnsi="Times New Roman"/>
                <w:sz w:val="20"/>
                <w:szCs w:val="20"/>
                <w:vertAlign w:val="superscript"/>
              </w:rPr>
              <w:t>b</w:t>
            </w:r>
          </w:p>
        </w:tc>
        <w:tc>
          <w:tcPr>
            <w:tcW w:w="1003"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115.02</w:t>
            </w:r>
            <w:r>
              <w:rPr>
                <w:rFonts w:ascii="Times New Roman" w:hAnsi="Times New Roman"/>
                <w:sz w:val="20"/>
                <w:szCs w:val="20"/>
                <w:vertAlign w:val="superscript"/>
              </w:rPr>
              <w:t>ab</w:t>
            </w:r>
          </w:p>
        </w:tc>
        <w:tc>
          <w:tcPr>
            <w:tcW w:w="1005"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11.58</w:t>
            </w:r>
            <w:r>
              <w:rPr>
                <w:rFonts w:ascii="Times New Roman" w:hAnsi="Times New Roman"/>
                <w:sz w:val="20"/>
                <w:szCs w:val="20"/>
                <w:vertAlign w:val="superscript"/>
              </w:rPr>
              <w:t>a</w:t>
            </w:r>
          </w:p>
        </w:tc>
      </w:tr>
      <w:tr w:rsidR="00374032" w:rsidTr="0062079B">
        <w:trPr>
          <w:trHeight w:val="181"/>
        </w:trPr>
        <w:tc>
          <w:tcPr>
            <w:tcW w:w="1304"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4 </w:t>
            </w:r>
            <w:r>
              <w:rPr>
                <w:rFonts w:ascii="Times New Roman" w:hAnsi="Times New Roman"/>
                <w:sz w:val="20"/>
                <w:szCs w:val="20"/>
              </w:rPr>
              <w:t>(15tha</w:t>
            </w:r>
            <w:r>
              <w:rPr>
                <w:rFonts w:ascii="Times New Roman" w:hAnsi="Times New Roman"/>
                <w:sz w:val="20"/>
                <w:szCs w:val="20"/>
                <w:vertAlign w:val="superscript"/>
              </w:rPr>
              <w:t>-1</w:t>
            </w:r>
            <w:r>
              <w:rPr>
                <w:rFonts w:ascii="Times New Roman" w:hAnsi="Times New Roman"/>
                <w:sz w:val="20"/>
                <w:szCs w:val="20"/>
              </w:rPr>
              <w:t>)</w:t>
            </w:r>
          </w:p>
        </w:tc>
        <w:tc>
          <w:tcPr>
            <w:tcW w:w="791"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2.45</w:t>
            </w:r>
            <w:r>
              <w:rPr>
                <w:rFonts w:ascii="Times New Roman" w:hAnsi="Times New Roman"/>
                <w:sz w:val="20"/>
                <w:szCs w:val="20"/>
                <w:vertAlign w:val="superscript"/>
              </w:rPr>
              <w:t>ab</w:t>
            </w:r>
          </w:p>
        </w:tc>
        <w:tc>
          <w:tcPr>
            <w:tcW w:w="896"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56.43</w:t>
            </w:r>
            <w:r>
              <w:rPr>
                <w:rFonts w:ascii="Times New Roman" w:hAnsi="Times New Roman"/>
                <w:sz w:val="20"/>
                <w:szCs w:val="20"/>
                <w:vertAlign w:val="superscript"/>
              </w:rPr>
              <w:t>b</w:t>
            </w:r>
          </w:p>
        </w:tc>
        <w:tc>
          <w:tcPr>
            <w:tcW w:w="1003"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116.80</w:t>
            </w:r>
            <w:r>
              <w:rPr>
                <w:rFonts w:ascii="Times New Roman" w:hAnsi="Times New Roman"/>
                <w:sz w:val="20"/>
                <w:szCs w:val="20"/>
                <w:vertAlign w:val="superscript"/>
              </w:rPr>
              <w:t>ab</w:t>
            </w:r>
          </w:p>
        </w:tc>
        <w:tc>
          <w:tcPr>
            <w:tcW w:w="1005"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12.17</w:t>
            </w:r>
            <w:r>
              <w:rPr>
                <w:rFonts w:ascii="Times New Roman" w:hAnsi="Times New Roman"/>
                <w:sz w:val="20"/>
                <w:szCs w:val="20"/>
                <w:vertAlign w:val="superscript"/>
              </w:rPr>
              <w:t>ab</w:t>
            </w:r>
          </w:p>
        </w:tc>
      </w:tr>
      <w:tr w:rsidR="00374032" w:rsidTr="0062079B">
        <w:trPr>
          <w:trHeight w:val="224"/>
        </w:trPr>
        <w:tc>
          <w:tcPr>
            <w:tcW w:w="1304"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5 </w:t>
            </w:r>
            <w:r>
              <w:rPr>
                <w:rFonts w:ascii="Times New Roman" w:hAnsi="Times New Roman"/>
                <w:sz w:val="20"/>
                <w:szCs w:val="20"/>
              </w:rPr>
              <w:t>(20tha</w:t>
            </w:r>
            <w:r>
              <w:rPr>
                <w:rFonts w:ascii="Times New Roman" w:hAnsi="Times New Roman"/>
                <w:sz w:val="20"/>
                <w:szCs w:val="20"/>
                <w:vertAlign w:val="superscript"/>
              </w:rPr>
              <w:t>-1</w:t>
            </w:r>
            <w:r>
              <w:rPr>
                <w:rFonts w:ascii="Times New Roman" w:hAnsi="Times New Roman"/>
                <w:sz w:val="20"/>
                <w:szCs w:val="20"/>
              </w:rPr>
              <w:t>)</w:t>
            </w:r>
          </w:p>
        </w:tc>
        <w:tc>
          <w:tcPr>
            <w:tcW w:w="791"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2.76</w:t>
            </w:r>
            <w:r>
              <w:rPr>
                <w:rFonts w:ascii="Times New Roman" w:hAnsi="Times New Roman"/>
                <w:sz w:val="20"/>
                <w:szCs w:val="20"/>
                <w:vertAlign w:val="superscript"/>
              </w:rPr>
              <w:t>ab</w:t>
            </w:r>
          </w:p>
        </w:tc>
        <w:tc>
          <w:tcPr>
            <w:tcW w:w="896"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63.43</w:t>
            </w:r>
            <w:r>
              <w:rPr>
                <w:rFonts w:ascii="Times New Roman" w:hAnsi="Times New Roman"/>
                <w:sz w:val="20"/>
                <w:szCs w:val="20"/>
                <w:vertAlign w:val="superscript"/>
              </w:rPr>
              <w:t>c</w:t>
            </w:r>
          </w:p>
        </w:tc>
        <w:tc>
          <w:tcPr>
            <w:tcW w:w="1003"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118.19</w:t>
            </w:r>
            <w:r>
              <w:rPr>
                <w:rFonts w:ascii="Times New Roman" w:hAnsi="Times New Roman"/>
                <w:sz w:val="20"/>
                <w:szCs w:val="20"/>
                <w:vertAlign w:val="superscript"/>
              </w:rPr>
              <w:t>ab</w:t>
            </w:r>
          </w:p>
        </w:tc>
        <w:tc>
          <w:tcPr>
            <w:tcW w:w="1005" w:type="pct"/>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12.50</w:t>
            </w:r>
            <w:r>
              <w:rPr>
                <w:rFonts w:ascii="Times New Roman" w:hAnsi="Times New Roman"/>
                <w:sz w:val="20"/>
                <w:szCs w:val="20"/>
                <w:vertAlign w:val="superscript"/>
              </w:rPr>
              <w:t>ab</w:t>
            </w:r>
          </w:p>
        </w:tc>
      </w:tr>
    </w:tbl>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*Means with the same superscript in a column are not significantly different (P&gt;0.05).</w:t>
      </w: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pPr>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Effect of Varying Rates of Goat Manure on the Yield of Cucumber</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 xml:space="preserve">The goat manure in terms of yield produced </w:t>
      </w:r>
      <w:r>
        <w:rPr>
          <w:rFonts w:ascii="Times New Roman" w:hAnsi="Times New Roman"/>
          <w:sz w:val="20"/>
          <w:szCs w:val="20"/>
        </w:rPr>
        <w:t>results similar to those obtained in growth (Table 4). The growth parameters increased as the application rate increased with the lowest values at T</w:t>
      </w:r>
      <w:r>
        <w:rPr>
          <w:rFonts w:ascii="Times New Roman" w:hAnsi="Times New Roman"/>
          <w:sz w:val="20"/>
          <w:szCs w:val="20"/>
          <w:vertAlign w:val="subscript"/>
        </w:rPr>
        <w:t>1</w:t>
      </w:r>
      <w:r>
        <w:rPr>
          <w:rFonts w:ascii="Times New Roman" w:hAnsi="Times New Roman"/>
          <w:sz w:val="20"/>
          <w:szCs w:val="20"/>
        </w:rPr>
        <w:t xml:space="preserve"> (control) and the highest at T</w:t>
      </w:r>
      <w:r>
        <w:rPr>
          <w:rFonts w:ascii="Times New Roman" w:hAnsi="Times New Roman"/>
          <w:sz w:val="20"/>
          <w:szCs w:val="20"/>
          <w:vertAlign w:val="subscript"/>
        </w:rPr>
        <w:t>5</w:t>
      </w:r>
      <w:r>
        <w:rPr>
          <w:rFonts w:ascii="Times New Roman" w:hAnsi="Times New Roman"/>
          <w:sz w:val="20"/>
          <w:szCs w:val="20"/>
        </w:rPr>
        <w:t xml:space="preserve"> (2.0kg/plot). The number of fruits in the control, T</w:t>
      </w:r>
      <w:r>
        <w:rPr>
          <w:rFonts w:ascii="Times New Roman" w:hAnsi="Times New Roman"/>
          <w:sz w:val="20"/>
          <w:szCs w:val="20"/>
          <w:vertAlign w:val="subscript"/>
        </w:rPr>
        <w:t>2</w:t>
      </w:r>
      <w:r>
        <w:rPr>
          <w:rFonts w:ascii="Times New Roman" w:hAnsi="Times New Roman"/>
          <w:sz w:val="20"/>
          <w:szCs w:val="20"/>
        </w:rPr>
        <w:t xml:space="preserve"> and T</w:t>
      </w:r>
      <w:r>
        <w:rPr>
          <w:rFonts w:ascii="Times New Roman" w:hAnsi="Times New Roman"/>
          <w:sz w:val="20"/>
          <w:szCs w:val="20"/>
          <w:vertAlign w:val="subscript"/>
        </w:rPr>
        <w:t>3</w:t>
      </w:r>
      <w:r>
        <w:rPr>
          <w:rFonts w:ascii="Times New Roman" w:hAnsi="Times New Roman"/>
          <w:sz w:val="20"/>
          <w:szCs w:val="20"/>
        </w:rPr>
        <w:t xml:space="preserve"> were not significantly different (P&gt;0.05). The circumference of fruits at T</w:t>
      </w:r>
      <w:r>
        <w:rPr>
          <w:rFonts w:ascii="Times New Roman" w:hAnsi="Times New Roman"/>
          <w:sz w:val="20"/>
          <w:szCs w:val="20"/>
          <w:vertAlign w:val="subscript"/>
        </w:rPr>
        <w:t>1</w:t>
      </w:r>
      <w:r>
        <w:rPr>
          <w:rFonts w:ascii="Times New Roman" w:hAnsi="Times New Roman"/>
          <w:sz w:val="20"/>
          <w:szCs w:val="20"/>
        </w:rPr>
        <w:t xml:space="preserve"> (8.40cm) and T</w:t>
      </w:r>
      <w:r>
        <w:rPr>
          <w:rFonts w:ascii="Times New Roman" w:hAnsi="Times New Roman"/>
          <w:sz w:val="20"/>
          <w:szCs w:val="20"/>
          <w:vertAlign w:val="subscript"/>
        </w:rPr>
        <w:t xml:space="preserve">2 </w:t>
      </w:r>
      <w:r>
        <w:rPr>
          <w:rFonts w:ascii="Times New Roman" w:hAnsi="Times New Roman"/>
          <w:sz w:val="20"/>
          <w:szCs w:val="20"/>
        </w:rPr>
        <w:t>(8.59cm) were not significantly different (P&gt;0.05). The least fruit length was recorded at the control and was not significantly different (P&gt;0.05) from the fruit</w:t>
      </w:r>
      <w:r>
        <w:rPr>
          <w:rFonts w:ascii="Times New Roman" w:hAnsi="Times New Roman"/>
          <w:sz w:val="20"/>
          <w:szCs w:val="20"/>
        </w:rPr>
        <w:t xml:space="preserve"> lengths recorded at T</w:t>
      </w:r>
      <w:r>
        <w:rPr>
          <w:rFonts w:ascii="Times New Roman" w:hAnsi="Times New Roman"/>
          <w:sz w:val="20"/>
          <w:szCs w:val="20"/>
          <w:vertAlign w:val="subscript"/>
        </w:rPr>
        <w:t>2</w:t>
      </w:r>
      <w:r>
        <w:rPr>
          <w:rFonts w:ascii="Times New Roman" w:hAnsi="Times New Roman"/>
          <w:sz w:val="20"/>
          <w:szCs w:val="20"/>
        </w:rPr>
        <w:t xml:space="preserve"> (0.5kg/plot) and T</w:t>
      </w:r>
      <w:r>
        <w:rPr>
          <w:rFonts w:ascii="Times New Roman" w:hAnsi="Times New Roman"/>
          <w:sz w:val="20"/>
          <w:szCs w:val="20"/>
          <w:vertAlign w:val="subscript"/>
        </w:rPr>
        <w:t xml:space="preserve">3 </w:t>
      </w:r>
      <w:r>
        <w:rPr>
          <w:rFonts w:ascii="Times New Roman" w:hAnsi="Times New Roman"/>
          <w:sz w:val="20"/>
          <w:szCs w:val="20"/>
        </w:rPr>
        <w:t>(1.0kg/plot). The fruit weight was not significantly different (P&gt;0.05), except for T</w:t>
      </w:r>
      <w:r>
        <w:rPr>
          <w:rFonts w:ascii="Times New Roman" w:hAnsi="Times New Roman"/>
          <w:sz w:val="20"/>
          <w:szCs w:val="20"/>
          <w:vertAlign w:val="subscript"/>
        </w:rPr>
        <w:t xml:space="preserve">5 </w:t>
      </w:r>
      <w:r>
        <w:rPr>
          <w:rFonts w:ascii="Times New Roman" w:hAnsi="Times New Roman"/>
          <w:sz w:val="20"/>
          <w:szCs w:val="20"/>
        </w:rPr>
        <w:t>(1.55kg) where there was a slight significant difference (P&lt;0.05). The results obtained in the present study are in line with</w:t>
      </w:r>
      <w:r>
        <w:rPr>
          <w:rFonts w:ascii="Times New Roman" w:hAnsi="Times New Roman"/>
          <w:sz w:val="20"/>
          <w:szCs w:val="20"/>
        </w:rPr>
        <w:t xml:space="preserve"> the findings of </w:t>
      </w:r>
      <w:proofErr w:type="spellStart"/>
      <w:r>
        <w:rPr>
          <w:rFonts w:ascii="Times New Roman" w:hAnsi="Times New Roman"/>
          <w:sz w:val="20"/>
          <w:szCs w:val="20"/>
        </w:rPr>
        <w:t>Premshekar</w:t>
      </w:r>
      <w:proofErr w:type="spellEnd"/>
      <w:r>
        <w:rPr>
          <w:rFonts w:ascii="Times New Roman" w:hAnsi="Times New Roman"/>
          <w:sz w:val="20"/>
          <w:szCs w:val="20"/>
        </w:rPr>
        <w:t xml:space="preserve"> and </w:t>
      </w:r>
      <w:proofErr w:type="spellStart"/>
      <w:r>
        <w:rPr>
          <w:rFonts w:ascii="Times New Roman" w:hAnsi="Times New Roman"/>
          <w:sz w:val="20"/>
          <w:szCs w:val="20"/>
        </w:rPr>
        <w:t>Rajashree</w:t>
      </w:r>
      <w:proofErr w:type="spellEnd"/>
      <w:r>
        <w:rPr>
          <w:rFonts w:ascii="Times New Roman" w:hAnsi="Times New Roman"/>
          <w:sz w:val="20"/>
          <w:szCs w:val="20"/>
        </w:rPr>
        <w:t xml:space="preserve"> (2009) in which higher crop yield was achieved in response to organic manure application could be attributed to improved physical and biological properties of the soil resulting in better supply of nutrients to the</w:t>
      </w:r>
      <w:r>
        <w:rPr>
          <w:rFonts w:ascii="Times New Roman" w:hAnsi="Times New Roman"/>
          <w:sz w:val="20"/>
          <w:szCs w:val="20"/>
        </w:rPr>
        <w:t xml:space="preserve"> plants (</w:t>
      </w:r>
      <w:proofErr w:type="spellStart"/>
      <w:r>
        <w:rPr>
          <w:rFonts w:ascii="Times New Roman" w:hAnsi="Times New Roman"/>
          <w:sz w:val="20"/>
          <w:szCs w:val="20"/>
        </w:rPr>
        <w:t>Dudhat</w:t>
      </w:r>
      <w:proofErr w:type="spellEnd"/>
      <w:r>
        <w:rPr>
          <w:rFonts w:ascii="Times New Roman" w:hAnsi="Times New Roman"/>
          <w:sz w:val="20"/>
          <w:szCs w:val="20"/>
        </w:rPr>
        <w:t xml:space="preserve"> </w:t>
      </w:r>
      <w:r>
        <w:rPr>
          <w:rFonts w:ascii="Times New Roman" w:hAnsi="Times New Roman"/>
          <w:i/>
          <w:iCs/>
          <w:sz w:val="20"/>
          <w:szCs w:val="20"/>
        </w:rPr>
        <w:t>et al</w:t>
      </w:r>
      <w:r>
        <w:rPr>
          <w:rFonts w:ascii="Times New Roman" w:hAnsi="Times New Roman"/>
          <w:sz w:val="20"/>
          <w:szCs w:val="20"/>
        </w:rPr>
        <w:t>., 1997).</w:t>
      </w: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pPr>
      <w:bookmarkStart w:id="1" w:name="_GoBack"/>
      <w:bookmarkEnd w:id="1"/>
    </w:p>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Table 4: Effect of Varying Rates of Goat Manure on the Yield of Cucumber</w:t>
      </w:r>
    </w:p>
    <w:tbl>
      <w:tblPr>
        <w:tblW w:w="5000" w:type="pct"/>
        <w:jc w:val="center"/>
        <w:tblBorders>
          <w:top w:val="single" w:sz="8" w:space="0" w:color="000000"/>
          <w:bottom w:val="single" w:sz="8" w:space="0" w:color="000000"/>
        </w:tblBorders>
        <w:tblLook w:val="04A0" w:firstRow="1" w:lastRow="0" w:firstColumn="1" w:lastColumn="0" w:noHBand="0" w:noVBand="1"/>
      </w:tblPr>
      <w:tblGrid>
        <w:gridCol w:w="1270"/>
        <w:gridCol w:w="1808"/>
        <w:gridCol w:w="2557"/>
        <w:gridCol w:w="1857"/>
        <w:gridCol w:w="1868"/>
      </w:tblGrid>
      <w:tr w:rsidR="00374032" w:rsidTr="0062079B">
        <w:trPr>
          <w:cantSplit/>
          <w:jc w:val="center"/>
        </w:trPr>
        <w:tc>
          <w:tcPr>
            <w:tcW w:w="678" w:type="pct"/>
            <w:tcBorders>
              <w:top w:val="single" w:sz="8" w:space="0" w:color="000000"/>
              <w:bottom w:val="single" w:sz="4" w:space="0" w:color="auto"/>
            </w:tcBorders>
            <w:vAlign w:val="center"/>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Treatments</w:t>
            </w:r>
          </w:p>
        </w:tc>
        <w:tc>
          <w:tcPr>
            <w:tcW w:w="966" w:type="pct"/>
            <w:tcBorders>
              <w:top w:val="single" w:sz="8" w:space="0" w:color="000000"/>
              <w:bottom w:val="single" w:sz="4" w:space="0" w:color="auto"/>
            </w:tcBorders>
            <w:vAlign w:val="center"/>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Number of Fruits</w:t>
            </w:r>
          </w:p>
        </w:tc>
        <w:tc>
          <w:tcPr>
            <w:tcW w:w="1366" w:type="pct"/>
            <w:tcBorders>
              <w:top w:val="single" w:sz="8" w:space="0" w:color="000000"/>
              <w:bottom w:val="single" w:sz="4" w:space="0" w:color="auto"/>
            </w:tcBorders>
            <w:vAlign w:val="center"/>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Fruit Circumference (cm)</w:t>
            </w:r>
          </w:p>
        </w:tc>
        <w:tc>
          <w:tcPr>
            <w:tcW w:w="992" w:type="pct"/>
            <w:tcBorders>
              <w:top w:val="single" w:sz="8" w:space="0" w:color="000000"/>
              <w:bottom w:val="single" w:sz="4" w:space="0" w:color="auto"/>
            </w:tcBorders>
            <w:vAlign w:val="center"/>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Fruit Length (cm)</w:t>
            </w:r>
          </w:p>
        </w:tc>
        <w:tc>
          <w:tcPr>
            <w:tcW w:w="998" w:type="pct"/>
            <w:tcBorders>
              <w:top w:val="single" w:sz="8" w:space="0" w:color="000000"/>
              <w:bottom w:val="single" w:sz="4" w:space="0" w:color="auto"/>
            </w:tcBorders>
            <w:vAlign w:val="center"/>
          </w:tcPr>
          <w:p w:rsidR="00374032" w:rsidRDefault="00CF01F2">
            <w:pPr>
              <w:snapToGrid w:val="0"/>
              <w:spacing w:after="0" w:line="240" w:lineRule="auto"/>
              <w:jc w:val="both"/>
              <w:rPr>
                <w:rFonts w:ascii="Times New Roman" w:hAnsi="Times New Roman"/>
                <w:b/>
                <w:sz w:val="20"/>
                <w:szCs w:val="20"/>
              </w:rPr>
            </w:pPr>
            <w:r>
              <w:rPr>
                <w:rFonts w:ascii="Times New Roman" w:hAnsi="Times New Roman"/>
                <w:b/>
                <w:sz w:val="20"/>
                <w:szCs w:val="20"/>
              </w:rPr>
              <w:t>Fruit Weight (Kg)</w:t>
            </w:r>
          </w:p>
        </w:tc>
      </w:tr>
      <w:tr w:rsidR="00374032" w:rsidTr="0062079B">
        <w:trPr>
          <w:cantSplit/>
          <w:jc w:val="center"/>
        </w:trPr>
        <w:tc>
          <w:tcPr>
            <w:tcW w:w="678" w:type="pct"/>
            <w:tcBorders>
              <w:top w:val="single" w:sz="4" w:space="0" w:color="auto"/>
            </w:tcBorders>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1 </w:t>
            </w:r>
            <w:r>
              <w:rPr>
                <w:rFonts w:ascii="Times New Roman" w:hAnsi="Times New Roman"/>
                <w:sz w:val="20"/>
                <w:szCs w:val="20"/>
              </w:rPr>
              <w:t>(0tha</w:t>
            </w:r>
            <w:r>
              <w:rPr>
                <w:rFonts w:ascii="Times New Roman" w:hAnsi="Times New Roman"/>
                <w:sz w:val="20"/>
                <w:szCs w:val="20"/>
                <w:vertAlign w:val="superscript"/>
              </w:rPr>
              <w:t>-1</w:t>
            </w:r>
            <w:r>
              <w:rPr>
                <w:rFonts w:ascii="Times New Roman" w:hAnsi="Times New Roman"/>
                <w:sz w:val="20"/>
                <w:szCs w:val="20"/>
              </w:rPr>
              <w:t>)</w:t>
            </w:r>
          </w:p>
        </w:tc>
        <w:tc>
          <w:tcPr>
            <w:tcW w:w="966" w:type="pct"/>
            <w:tcBorders>
              <w:top w:val="single" w:sz="4" w:space="0" w:color="auto"/>
            </w:tcBorders>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1.50</w:t>
            </w:r>
            <w:r>
              <w:rPr>
                <w:rFonts w:ascii="Times New Roman" w:hAnsi="Times New Roman"/>
                <w:sz w:val="20"/>
                <w:szCs w:val="20"/>
                <w:vertAlign w:val="superscript"/>
              </w:rPr>
              <w:t>a</w:t>
            </w:r>
          </w:p>
        </w:tc>
        <w:tc>
          <w:tcPr>
            <w:tcW w:w="1366" w:type="pct"/>
            <w:tcBorders>
              <w:top w:val="single" w:sz="4" w:space="0" w:color="auto"/>
            </w:tcBorders>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8.40</w:t>
            </w:r>
            <w:r>
              <w:rPr>
                <w:rFonts w:ascii="Times New Roman" w:hAnsi="Times New Roman"/>
                <w:sz w:val="20"/>
                <w:szCs w:val="20"/>
                <w:vertAlign w:val="superscript"/>
              </w:rPr>
              <w:t>a</w:t>
            </w:r>
          </w:p>
        </w:tc>
        <w:tc>
          <w:tcPr>
            <w:tcW w:w="992" w:type="pct"/>
            <w:tcBorders>
              <w:top w:val="single" w:sz="4" w:space="0" w:color="auto"/>
            </w:tcBorders>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8.04</w:t>
            </w:r>
            <w:r>
              <w:rPr>
                <w:rFonts w:ascii="Times New Roman" w:hAnsi="Times New Roman"/>
                <w:sz w:val="20"/>
                <w:szCs w:val="20"/>
                <w:vertAlign w:val="superscript"/>
              </w:rPr>
              <w:t>a</w:t>
            </w:r>
          </w:p>
        </w:tc>
        <w:tc>
          <w:tcPr>
            <w:tcW w:w="998" w:type="pct"/>
            <w:tcBorders>
              <w:top w:val="single" w:sz="4" w:space="0" w:color="auto"/>
            </w:tcBorders>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0.31</w:t>
            </w:r>
            <w:r>
              <w:rPr>
                <w:rFonts w:ascii="Times New Roman" w:hAnsi="Times New Roman"/>
                <w:sz w:val="20"/>
                <w:szCs w:val="20"/>
                <w:vertAlign w:val="superscript"/>
              </w:rPr>
              <w:t>a</w:t>
            </w:r>
          </w:p>
        </w:tc>
      </w:tr>
      <w:tr w:rsidR="00374032" w:rsidTr="0062079B">
        <w:trPr>
          <w:cantSplit/>
          <w:jc w:val="center"/>
        </w:trPr>
        <w:tc>
          <w:tcPr>
            <w:tcW w:w="67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2 </w:t>
            </w:r>
            <w:r>
              <w:rPr>
                <w:rFonts w:ascii="Times New Roman" w:hAnsi="Times New Roman"/>
                <w:sz w:val="20"/>
                <w:szCs w:val="20"/>
              </w:rPr>
              <w:t>(5tha</w:t>
            </w:r>
            <w:r>
              <w:rPr>
                <w:rFonts w:ascii="Times New Roman" w:hAnsi="Times New Roman"/>
                <w:sz w:val="20"/>
                <w:szCs w:val="20"/>
                <w:vertAlign w:val="superscript"/>
              </w:rPr>
              <w:t>-1</w:t>
            </w:r>
            <w:r>
              <w:rPr>
                <w:rFonts w:ascii="Times New Roman" w:hAnsi="Times New Roman"/>
                <w:sz w:val="20"/>
                <w:szCs w:val="20"/>
              </w:rPr>
              <w:t>)</w:t>
            </w:r>
          </w:p>
        </w:tc>
        <w:tc>
          <w:tcPr>
            <w:tcW w:w="9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1.67</w:t>
            </w:r>
            <w:r>
              <w:rPr>
                <w:rFonts w:ascii="Times New Roman" w:hAnsi="Times New Roman"/>
                <w:sz w:val="20"/>
                <w:szCs w:val="20"/>
                <w:vertAlign w:val="superscript"/>
              </w:rPr>
              <w:t>a</w:t>
            </w:r>
          </w:p>
        </w:tc>
        <w:tc>
          <w:tcPr>
            <w:tcW w:w="13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8.59</w:t>
            </w:r>
            <w:r>
              <w:rPr>
                <w:rFonts w:ascii="Times New Roman" w:hAnsi="Times New Roman"/>
                <w:sz w:val="20"/>
                <w:szCs w:val="20"/>
                <w:vertAlign w:val="superscript"/>
              </w:rPr>
              <w:t>a</w:t>
            </w:r>
          </w:p>
        </w:tc>
        <w:tc>
          <w:tcPr>
            <w:tcW w:w="992"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8.21</w:t>
            </w:r>
            <w:r>
              <w:rPr>
                <w:rFonts w:ascii="Times New Roman" w:hAnsi="Times New Roman"/>
                <w:sz w:val="20"/>
                <w:szCs w:val="20"/>
                <w:vertAlign w:val="superscript"/>
              </w:rPr>
              <w:t>a</w:t>
            </w:r>
          </w:p>
        </w:tc>
        <w:tc>
          <w:tcPr>
            <w:tcW w:w="99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0.48</w:t>
            </w:r>
            <w:r>
              <w:rPr>
                <w:rFonts w:ascii="Times New Roman" w:hAnsi="Times New Roman"/>
                <w:sz w:val="20"/>
                <w:szCs w:val="20"/>
                <w:vertAlign w:val="superscript"/>
              </w:rPr>
              <w:t>a</w:t>
            </w:r>
          </w:p>
        </w:tc>
      </w:tr>
      <w:tr w:rsidR="00374032" w:rsidTr="0062079B">
        <w:trPr>
          <w:cantSplit/>
          <w:jc w:val="center"/>
        </w:trPr>
        <w:tc>
          <w:tcPr>
            <w:tcW w:w="67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3 </w:t>
            </w:r>
            <w:r>
              <w:rPr>
                <w:rFonts w:ascii="Times New Roman" w:hAnsi="Times New Roman"/>
                <w:sz w:val="20"/>
                <w:szCs w:val="20"/>
              </w:rPr>
              <w:t>(10tha</w:t>
            </w:r>
            <w:r>
              <w:rPr>
                <w:rFonts w:ascii="Times New Roman" w:hAnsi="Times New Roman"/>
                <w:sz w:val="20"/>
                <w:szCs w:val="20"/>
                <w:vertAlign w:val="superscript"/>
              </w:rPr>
              <w:t>-1</w:t>
            </w:r>
            <w:r>
              <w:rPr>
                <w:rFonts w:ascii="Times New Roman" w:hAnsi="Times New Roman"/>
                <w:sz w:val="20"/>
                <w:szCs w:val="20"/>
              </w:rPr>
              <w:t>)</w:t>
            </w:r>
          </w:p>
        </w:tc>
        <w:tc>
          <w:tcPr>
            <w:tcW w:w="9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2.33</w:t>
            </w:r>
            <w:r>
              <w:rPr>
                <w:rFonts w:ascii="Times New Roman" w:hAnsi="Times New Roman"/>
                <w:sz w:val="20"/>
                <w:szCs w:val="20"/>
                <w:vertAlign w:val="superscript"/>
              </w:rPr>
              <w:t>a</w:t>
            </w:r>
          </w:p>
        </w:tc>
        <w:tc>
          <w:tcPr>
            <w:tcW w:w="13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10.54</w:t>
            </w:r>
            <w:r>
              <w:rPr>
                <w:rFonts w:ascii="Times New Roman" w:hAnsi="Times New Roman"/>
                <w:sz w:val="20"/>
                <w:szCs w:val="20"/>
                <w:vertAlign w:val="superscript"/>
              </w:rPr>
              <w:t>ab</w:t>
            </w:r>
          </w:p>
        </w:tc>
        <w:tc>
          <w:tcPr>
            <w:tcW w:w="992"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9.75</w:t>
            </w:r>
            <w:r>
              <w:rPr>
                <w:rFonts w:ascii="Times New Roman" w:hAnsi="Times New Roman"/>
                <w:sz w:val="20"/>
                <w:szCs w:val="20"/>
                <w:vertAlign w:val="superscript"/>
              </w:rPr>
              <w:t>a</w:t>
            </w:r>
          </w:p>
        </w:tc>
        <w:tc>
          <w:tcPr>
            <w:tcW w:w="99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0.61</w:t>
            </w:r>
            <w:r>
              <w:rPr>
                <w:rFonts w:ascii="Times New Roman" w:hAnsi="Times New Roman"/>
                <w:sz w:val="20"/>
                <w:szCs w:val="20"/>
                <w:vertAlign w:val="superscript"/>
              </w:rPr>
              <w:t>a</w:t>
            </w:r>
          </w:p>
        </w:tc>
      </w:tr>
      <w:tr w:rsidR="00374032" w:rsidTr="0062079B">
        <w:trPr>
          <w:cantSplit/>
          <w:jc w:val="center"/>
        </w:trPr>
        <w:tc>
          <w:tcPr>
            <w:tcW w:w="67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4 </w:t>
            </w:r>
            <w:r>
              <w:rPr>
                <w:rFonts w:ascii="Times New Roman" w:hAnsi="Times New Roman"/>
                <w:sz w:val="20"/>
                <w:szCs w:val="20"/>
              </w:rPr>
              <w:t>(15tha</w:t>
            </w:r>
            <w:r>
              <w:rPr>
                <w:rFonts w:ascii="Times New Roman" w:hAnsi="Times New Roman"/>
                <w:sz w:val="20"/>
                <w:szCs w:val="20"/>
                <w:vertAlign w:val="superscript"/>
              </w:rPr>
              <w:t>-1</w:t>
            </w:r>
            <w:r>
              <w:rPr>
                <w:rFonts w:ascii="Times New Roman" w:hAnsi="Times New Roman"/>
                <w:sz w:val="20"/>
                <w:szCs w:val="20"/>
              </w:rPr>
              <w:t>)</w:t>
            </w:r>
          </w:p>
        </w:tc>
        <w:tc>
          <w:tcPr>
            <w:tcW w:w="9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3.01</w:t>
            </w:r>
            <w:r>
              <w:rPr>
                <w:rFonts w:ascii="Times New Roman" w:hAnsi="Times New Roman"/>
                <w:sz w:val="20"/>
                <w:szCs w:val="20"/>
                <w:vertAlign w:val="superscript"/>
              </w:rPr>
              <w:t>b</w:t>
            </w:r>
          </w:p>
        </w:tc>
        <w:tc>
          <w:tcPr>
            <w:tcW w:w="13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10.98</w:t>
            </w:r>
            <w:r>
              <w:rPr>
                <w:rFonts w:ascii="Times New Roman" w:hAnsi="Times New Roman"/>
                <w:sz w:val="20"/>
                <w:szCs w:val="20"/>
                <w:vertAlign w:val="superscript"/>
              </w:rPr>
              <w:t>ab</w:t>
            </w:r>
          </w:p>
        </w:tc>
        <w:tc>
          <w:tcPr>
            <w:tcW w:w="992"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11.17</w:t>
            </w:r>
            <w:r>
              <w:rPr>
                <w:rFonts w:ascii="Times New Roman" w:hAnsi="Times New Roman"/>
                <w:sz w:val="20"/>
                <w:szCs w:val="20"/>
                <w:vertAlign w:val="superscript"/>
              </w:rPr>
              <w:t>ab</w:t>
            </w:r>
          </w:p>
        </w:tc>
        <w:tc>
          <w:tcPr>
            <w:tcW w:w="99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0.89</w:t>
            </w:r>
            <w:r>
              <w:rPr>
                <w:rFonts w:ascii="Times New Roman" w:hAnsi="Times New Roman"/>
                <w:sz w:val="20"/>
                <w:szCs w:val="20"/>
                <w:vertAlign w:val="superscript"/>
              </w:rPr>
              <w:t>a</w:t>
            </w:r>
          </w:p>
        </w:tc>
      </w:tr>
      <w:tr w:rsidR="00374032" w:rsidTr="0062079B">
        <w:trPr>
          <w:cantSplit/>
          <w:jc w:val="center"/>
        </w:trPr>
        <w:tc>
          <w:tcPr>
            <w:tcW w:w="67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 xml:space="preserve">5 </w:t>
            </w:r>
            <w:r>
              <w:rPr>
                <w:rFonts w:ascii="Times New Roman" w:hAnsi="Times New Roman"/>
                <w:sz w:val="20"/>
                <w:szCs w:val="20"/>
              </w:rPr>
              <w:t>(20tha</w:t>
            </w:r>
            <w:r>
              <w:rPr>
                <w:rFonts w:ascii="Times New Roman" w:hAnsi="Times New Roman"/>
                <w:sz w:val="20"/>
                <w:szCs w:val="20"/>
                <w:vertAlign w:val="superscript"/>
              </w:rPr>
              <w:t>-1</w:t>
            </w:r>
            <w:r>
              <w:rPr>
                <w:rFonts w:ascii="Times New Roman" w:hAnsi="Times New Roman"/>
                <w:sz w:val="20"/>
                <w:szCs w:val="20"/>
              </w:rPr>
              <w:t>)</w:t>
            </w:r>
          </w:p>
        </w:tc>
        <w:tc>
          <w:tcPr>
            <w:tcW w:w="9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4.17</w:t>
            </w:r>
            <w:r>
              <w:rPr>
                <w:rFonts w:ascii="Times New Roman" w:hAnsi="Times New Roman"/>
                <w:sz w:val="20"/>
                <w:szCs w:val="20"/>
                <w:vertAlign w:val="superscript"/>
              </w:rPr>
              <w:t>b</w:t>
            </w:r>
          </w:p>
        </w:tc>
        <w:tc>
          <w:tcPr>
            <w:tcW w:w="1366"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11.56</w:t>
            </w:r>
            <w:r>
              <w:rPr>
                <w:rFonts w:ascii="Times New Roman" w:hAnsi="Times New Roman"/>
                <w:sz w:val="20"/>
                <w:szCs w:val="20"/>
                <w:vertAlign w:val="superscript"/>
              </w:rPr>
              <w:t>ab</w:t>
            </w:r>
          </w:p>
        </w:tc>
        <w:tc>
          <w:tcPr>
            <w:tcW w:w="992"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12.01</w:t>
            </w:r>
            <w:r>
              <w:rPr>
                <w:rFonts w:ascii="Times New Roman" w:hAnsi="Times New Roman"/>
                <w:sz w:val="20"/>
                <w:szCs w:val="20"/>
                <w:vertAlign w:val="superscript"/>
              </w:rPr>
              <w:t>ab</w:t>
            </w:r>
          </w:p>
        </w:tc>
        <w:tc>
          <w:tcPr>
            <w:tcW w:w="998" w:type="pct"/>
            <w:vAlign w:val="center"/>
          </w:tcPr>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1.55</w:t>
            </w:r>
            <w:r>
              <w:rPr>
                <w:rFonts w:ascii="Times New Roman" w:hAnsi="Times New Roman"/>
                <w:sz w:val="20"/>
                <w:szCs w:val="20"/>
                <w:vertAlign w:val="superscript"/>
              </w:rPr>
              <w:t>ab</w:t>
            </w:r>
          </w:p>
        </w:tc>
      </w:tr>
    </w:tbl>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*Means with the same superscript in a column are not significantly different (P&gt;0.05).</w:t>
      </w:r>
    </w:p>
    <w:p w:rsidR="0062079B" w:rsidRDefault="0062079B">
      <w:pPr>
        <w:snapToGrid w:val="0"/>
        <w:spacing w:after="0" w:line="240" w:lineRule="auto"/>
        <w:jc w:val="both"/>
        <w:rPr>
          <w:rFonts w:ascii="Times New Roman" w:hAnsi="Times New Roman"/>
          <w:b/>
          <w:sz w:val="20"/>
          <w:szCs w:val="20"/>
        </w:rPr>
      </w:pPr>
    </w:p>
    <w:p w:rsidR="0062079B" w:rsidRDefault="0062079B">
      <w:pPr>
        <w:snapToGrid w:val="0"/>
        <w:spacing w:after="0" w:line="240" w:lineRule="auto"/>
        <w:jc w:val="both"/>
        <w:rPr>
          <w:rFonts w:ascii="Times New Roman" w:hAnsi="Times New Roman"/>
          <w:b/>
          <w:sz w:val="20"/>
          <w:szCs w:val="20"/>
        </w:rPr>
        <w:sectPr w:rsidR="0062079B" w:rsidSect="0062079B">
          <w:type w:val="continuous"/>
          <w:pgSz w:w="12240" w:h="15839"/>
          <w:pgMar w:top="1440" w:right="1440" w:bottom="1440" w:left="1440" w:header="720" w:footer="720" w:gutter="0"/>
          <w:cols w:space="425"/>
          <w:titlePg/>
          <w:docGrid w:linePitch="360"/>
        </w:sectPr>
      </w:pPr>
    </w:p>
    <w:p w:rsidR="00374032" w:rsidRDefault="00CF01F2">
      <w:pPr>
        <w:snapToGrid w:val="0"/>
        <w:spacing w:after="0" w:line="240" w:lineRule="auto"/>
        <w:jc w:val="both"/>
        <w:rPr>
          <w:rFonts w:ascii="Times New Roman" w:hAnsi="Times New Roman"/>
          <w:sz w:val="20"/>
          <w:szCs w:val="20"/>
        </w:rPr>
      </w:pPr>
      <w:r>
        <w:rPr>
          <w:rFonts w:ascii="Times New Roman" w:hAnsi="Times New Roman"/>
          <w:b/>
          <w:sz w:val="20"/>
          <w:szCs w:val="20"/>
        </w:rPr>
        <w:lastRenderedPageBreak/>
        <w:t>Conclusion</w:t>
      </w:r>
    </w:p>
    <w:p w:rsidR="00374032" w:rsidRDefault="00CF01F2">
      <w:pPr>
        <w:snapToGrid w:val="0"/>
        <w:spacing w:after="0" w:line="240" w:lineRule="auto"/>
        <w:jc w:val="both"/>
        <w:rPr>
          <w:rFonts w:ascii="Times New Roman" w:hAnsi="Times New Roman"/>
          <w:sz w:val="20"/>
          <w:szCs w:val="20"/>
        </w:rPr>
      </w:pPr>
      <w:r>
        <w:rPr>
          <w:rFonts w:ascii="Times New Roman" w:hAnsi="Times New Roman"/>
          <w:sz w:val="20"/>
          <w:szCs w:val="20"/>
        </w:rPr>
        <w:t xml:space="preserve">The amendment of </w:t>
      </w:r>
      <w:r>
        <w:rPr>
          <w:rFonts w:ascii="Times New Roman" w:hAnsi="Times New Roman"/>
          <w:sz w:val="20"/>
          <w:szCs w:val="20"/>
        </w:rPr>
        <w:t>the soil with an organic source of nutrients is imperative with the decline of the soil nutrients of the study area. The amendment of the soil with goat manure at a rate of 5tha</w:t>
      </w:r>
      <w:r>
        <w:rPr>
          <w:rFonts w:ascii="Times New Roman" w:hAnsi="Times New Roman"/>
          <w:sz w:val="20"/>
          <w:szCs w:val="20"/>
          <w:vertAlign w:val="superscript"/>
        </w:rPr>
        <w:t>-1</w:t>
      </w:r>
      <w:r>
        <w:rPr>
          <w:rFonts w:ascii="Times New Roman" w:hAnsi="Times New Roman"/>
          <w:sz w:val="20"/>
          <w:szCs w:val="20"/>
        </w:rPr>
        <w:t xml:space="preserve"> would increase the production of cucumber in the study area in terms of grow</w:t>
      </w:r>
      <w:r>
        <w:rPr>
          <w:rFonts w:ascii="Times New Roman" w:hAnsi="Times New Roman"/>
          <w:sz w:val="20"/>
          <w:szCs w:val="20"/>
        </w:rPr>
        <w:t>th, yield and production as the results of this study showed that 2.0kg of goat manure per plot (i.e. 20tha</w:t>
      </w:r>
      <w:r>
        <w:rPr>
          <w:rFonts w:ascii="Times New Roman" w:hAnsi="Times New Roman"/>
          <w:sz w:val="20"/>
          <w:szCs w:val="20"/>
          <w:vertAlign w:val="superscript"/>
        </w:rPr>
        <w:t>-1</w:t>
      </w:r>
      <w:r>
        <w:rPr>
          <w:rFonts w:ascii="Times New Roman" w:hAnsi="Times New Roman"/>
          <w:sz w:val="20"/>
          <w:szCs w:val="20"/>
        </w:rPr>
        <w:t>) provided best results. The application of goat manure at a rate of 20tha</w:t>
      </w:r>
      <w:r>
        <w:rPr>
          <w:rFonts w:ascii="Times New Roman" w:hAnsi="Times New Roman"/>
          <w:sz w:val="20"/>
          <w:szCs w:val="20"/>
          <w:vertAlign w:val="superscript"/>
        </w:rPr>
        <w:t>-1</w:t>
      </w:r>
      <w:r>
        <w:rPr>
          <w:rFonts w:ascii="Times New Roman" w:hAnsi="Times New Roman"/>
          <w:sz w:val="20"/>
          <w:szCs w:val="20"/>
        </w:rPr>
        <w:t xml:space="preserve"> in the study area is recommended for enhanced growth and yield of cucu</w:t>
      </w:r>
      <w:r>
        <w:rPr>
          <w:rFonts w:ascii="Times New Roman" w:hAnsi="Times New Roman"/>
          <w:sz w:val="20"/>
          <w:szCs w:val="20"/>
        </w:rPr>
        <w:t>mber in the study area.</w:t>
      </w:r>
    </w:p>
    <w:p w:rsidR="00374032" w:rsidRDefault="00374032">
      <w:pPr>
        <w:snapToGrid w:val="0"/>
        <w:spacing w:after="0" w:line="240" w:lineRule="auto"/>
        <w:jc w:val="both"/>
        <w:rPr>
          <w:rFonts w:ascii="Times New Roman" w:hAnsi="Times New Roman"/>
          <w:b/>
          <w:bCs/>
          <w:sz w:val="20"/>
          <w:szCs w:val="20"/>
        </w:rPr>
      </w:pPr>
    </w:p>
    <w:p w:rsidR="00374032" w:rsidRDefault="00CF01F2">
      <w:pPr>
        <w:snapToGrid w:val="0"/>
        <w:spacing w:after="0" w:line="240" w:lineRule="auto"/>
        <w:jc w:val="both"/>
        <w:rPr>
          <w:rFonts w:ascii="Times New Roman" w:hAnsi="Times New Roman"/>
          <w:b/>
          <w:bCs/>
          <w:sz w:val="20"/>
          <w:szCs w:val="20"/>
        </w:rPr>
      </w:pPr>
      <w:r>
        <w:rPr>
          <w:rFonts w:ascii="Times New Roman" w:hAnsi="Times New Roman"/>
          <w:b/>
          <w:bCs/>
          <w:sz w:val="20"/>
          <w:szCs w:val="20"/>
        </w:rPr>
        <w:t xml:space="preserve">References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Adedrian</w:t>
      </w:r>
      <w:proofErr w:type="spellEnd"/>
      <w:r>
        <w:rPr>
          <w:rFonts w:ascii="Times New Roman" w:hAnsi="Times New Roman"/>
          <w:sz w:val="20"/>
          <w:szCs w:val="20"/>
        </w:rPr>
        <w:t>, J. A.</w:t>
      </w:r>
      <w:r>
        <w:rPr>
          <w:rFonts w:ascii="Times New Roman" w:hAnsi="Times New Roman"/>
          <w:i/>
          <w:iCs/>
          <w:sz w:val="20"/>
          <w:szCs w:val="20"/>
        </w:rPr>
        <w:t xml:space="preserve">, </w:t>
      </w:r>
      <w:r>
        <w:rPr>
          <w:rFonts w:ascii="Times New Roman" w:hAnsi="Times New Roman"/>
          <w:sz w:val="20"/>
          <w:szCs w:val="20"/>
        </w:rPr>
        <w:t xml:space="preserve">Beats, N. D., </w:t>
      </w:r>
      <w:proofErr w:type="spellStart"/>
      <w:r>
        <w:rPr>
          <w:rFonts w:ascii="Times New Roman" w:hAnsi="Times New Roman"/>
          <w:sz w:val="20"/>
          <w:szCs w:val="20"/>
        </w:rPr>
        <w:t>Mnkeni</w:t>
      </w:r>
      <w:proofErr w:type="spellEnd"/>
      <w:r>
        <w:rPr>
          <w:rFonts w:ascii="Times New Roman" w:hAnsi="Times New Roman"/>
          <w:sz w:val="20"/>
          <w:szCs w:val="20"/>
        </w:rPr>
        <w:t xml:space="preserve">, P. N. S., </w:t>
      </w:r>
      <w:proofErr w:type="spellStart"/>
      <w:r>
        <w:rPr>
          <w:rFonts w:ascii="Times New Roman" w:hAnsi="Times New Roman"/>
          <w:sz w:val="20"/>
          <w:szCs w:val="20"/>
        </w:rPr>
        <w:t>Kiekens</w:t>
      </w:r>
      <w:proofErr w:type="spellEnd"/>
      <w:r>
        <w:rPr>
          <w:rFonts w:ascii="Times New Roman" w:hAnsi="Times New Roman"/>
          <w:sz w:val="20"/>
          <w:szCs w:val="20"/>
        </w:rPr>
        <w:t xml:space="preserve"> L., </w:t>
      </w:r>
      <w:proofErr w:type="spellStart"/>
      <w:r>
        <w:rPr>
          <w:rFonts w:ascii="Times New Roman" w:hAnsi="Times New Roman"/>
          <w:sz w:val="20"/>
          <w:szCs w:val="20"/>
        </w:rPr>
        <w:t>Muyima</w:t>
      </w:r>
      <w:proofErr w:type="spellEnd"/>
      <w:r>
        <w:rPr>
          <w:rFonts w:ascii="Times New Roman" w:hAnsi="Times New Roman"/>
          <w:sz w:val="20"/>
          <w:szCs w:val="20"/>
        </w:rPr>
        <w:t xml:space="preserve">, N. Y. O. and </w:t>
      </w:r>
      <w:proofErr w:type="spellStart"/>
      <w:r>
        <w:rPr>
          <w:rFonts w:ascii="Times New Roman" w:hAnsi="Times New Roman"/>
          <w:sz w:val="20"/>
          <w:szCs w:val="20"/>
        </w:rPr>
        <w:t>Thys</w:t>
      </w:r>
      <w:proofErr w:type="spellEnd"/>
      <w:r>
        <w:rPr>
          <w:rFonts w:ascii="Times New Roman" w:hAnsi="Times New Roman"/>
          <w:sz w:val="20"/>
          <w:szCs w:val="20"/>
        </w:rPr>
        <w:t xml:space="preserve">, A. (2003). Organic waste materials for soil fertility improvement in the Border Region of the Eastern Cape, South Africa. </w:t>
      </w:r>
      <w:r>
        <w:rPr>
          <w:rFonts w:ascii="Times New Roman" w:hAnsi="Times New Roman"/>
          <w:i/>
          <w:iCs/>
          <w:sz w:val="20"/>
          <w:szCs w:val="20"/>
        </w:rPr>
        <w:t>Biologica</w:t>
      </w:r>
      <w:r>
        <w:rPr>
          <w:rFonts w:ascii="Times New Roman" w:hAnsi="Times New Roman"/>
          <w:i/>
          <w:iCs/>
          <w:sz w:val="20"/>
          <w:szCs w:val="20"/>
        </w:rPr>
        <w:t xml:space="preserve">l Agriculture and Horticulture, </w:t>
      </w:r>
      <w:r>
        <w:rPr>
          <w:rFonts w:ascii="Times New Roman" w:hAnsi="Times New Roman"/>
          <w:sz w:val="20"/>
          <w:szCs w:val="20"/>
        </w:rPr>
        <w:t xml:space="preserve">20 :283-300.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Adrien, N.D., 2006. Mixed paper mill sludge effects on corn yield, nitrogen efficiency and soil properties. </w:t>
      </w:r>
      <w:proofErr w:type="spellStart"/>
      <w:r>
        <w:rPr>
          <w:rFonts w:ascii="Times New Roman" w:hAnsi="Times New Roman"/>
          <w:sz w:val="20"/>
          <w:szCs w:val="20"/>
        </w:rPr>
        <w:t>Agron</w:t>
      </w:r>
      <w:proofErr w:type="spellEnd"/>
      <w:r>
        <w:rPr>
          <w:rFonts w:ascii="Times New Roman" w:hAnsi="Times New Roman"/>
          <w:sz w:val="20"/>
          <w:szCs w:val="20"/>
        </w:rPr>
        <w:t xml:space="preserve">. J., 98: 1471-1478.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Akanda</w:t>
      </w:r>
      <w:proofErr w:type="spellEnd"/>
      <w:r>
        <w:rPr>
          <w:rFonts w:ascii="Times New Roman" w:hAnsi="Times New Roman"/>
          <w:sz w:val="20"/>
          <w:szCs w:val="20"/>
        </w:rPr>
        <w:t xml:space="preserve"> M. O. and </w:t>
      </w:r>
      <w:proofErr w:type="spellStart"/>
      <w:r>
        <w:rPr>
          <w:rFonts w:ascii="Times New Roman" w:hAnsi="Times New Roman"/>
          <w:sz w:val="20"/>
          <w:szCs w:val="20"/>
        </w:rPr>
        <w:t>Adediran</w:t>
      </w:r>
      <w:proofErr w:type="spellEnd"/>
      <w:r>
        <w:rPr>
          <w:rFonts w:ascii="Times New Roman" w:hAnsi="Times New Roman"/>
          <w:sz w:val="20"/>
          <w:szCs w:val="20"/>
        </w:rPr>
        <w:t xml:space="preserve"> J. A. (2004). Effect of </w:t>
      </w:r>
      <w:proofErr w:type="spellStart"/>
      <w:r>
        <w:rPr>
          <w:rFonts w:ascii="Times New Roman" w:hAnsi="Times New Roman"/>
          <w:sz w:val="20"/>
          <w:szCs w:val="20"/>
        </w:rPr>
        <w:t>terralyt</w:t>
      </w:r>
      <w:proofErr w:type="spellEnd"/>
      <w:r>
        <w:rPr>
          <w:rFonts w:ascii="Times New Roman" w:hAnsi="Times New Roman"/>
          <w:sz w:val="20"/>
          <w:szCs w:val="20"/>
        </w:rPr>
        <w:t xml:space="preserve"> plus fertilizer </w:t>
      </w:r>
      <w:r>
        <w:rPr>
          <w:rFonts w:ascii="Times New Roman" w:hAnsi="Times New Roman"/>
          <w:sz w:val="20"/>
          <w:szCs w:val="20"/>
        </w:rPr>
        <w:t>on growth nutrients uptake and dry matter yield of two vegetable crops</w:t>
      </w:r>
      <w:r>
        <w:rPr>
          <w:rFonts w:ascii="Times New Roman" w:hAnsi="Times New Roman"/>
          <w:i/>
          <w:iCs/>
          <w:sz w:val="20"/>
          <w:szCs w:val="20"/>
        </w:rPr>
        <w:t xml:space="preserve">. Moor Journal of Agriculture, </w:t>
      </w:r>
      <w:r>
        <w:rPr>
          <w:rFonts w:ascii="Times New Roman" w:hAnsi="Times New Roman"/>
          <w:sz w:val="20"/>
          <w:szCs w:val="20"/>
        </w:rPr>
        <w:t xml:space="preserve">5:12-107.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Al-</w:t>
      </w:r>
      <w:proofErr w:type="spellStart"/>
      <w:r>
        <w:rPr>
          <w:rFonts w:ascii="Times New Roman" w:hAnsi="Times New Roman"/>
          <w:sz w:val="20"/>
          <w:szCs w:val="20"/>
        </w:rPr>
        <w:t>fehaid</w:t>
      </w:r>
      <w:proofErr w:type="spellEnd"/>
      <w:r>
        <w:rPr>
          <w:rFonts w:ascii="Times New Roman" w:hAnsi="Times New Roman"/>
          <w:sz w:val="20"/>
          <w:szCs w:val="20"/>
        </w:rPr>
        <w:t xml:space="preserve">, S. A. S., </w:t>
      </w:r>
      <w:proofErr w:type="spellStart"/>
      <w:r>
        <w:rPr>
          <w:rFonts w:ascii="Times New Roman" w:hAnsi="Times New Roman"/>
          <w:sz w:val="20"/>
          <w:szCs w:val="20"/>
        </w:rPr>
        <w:t>Abdelmageed</w:t>
      </w:r>
      <w:proofErr w:type="spellEnd"/>
      <w:r>
        <w:rPr>
          <w:rFonts w:ascii="Times New Roman" w:hAnsi="Times New Roman"/>
          <w:sz w:val="20"/>
          <w:szCs w:val="20"/>
        </w:rPr>
        <w:t xml:space="preserve">, A. H. A. and </w:t>
      </w:r>
      <w:proofErr w:type="spellStart"/>
      <w:r>
        <w:rPr>
          <w:rFonts w:ascii="Times New Roman" w:hAnsi="Times New Roman"/>
          <w:sz w:val="20"/>
          <w:szCs w:val="20"/>
        </w:rPr>
        <w:t>Abd-Elmoniem</w:t>
      </w:r>
      <w:proofErr w:type="spellEnd"/>
      <w:r>
        <w:rPr>
          <w:rFonts w:ascii="Times New Roman" w:hAnsi="Times New Roman"/>
          <w:sz w:val="20"/>
          <w:szCs w:val="20"/>
        </w:rPr>
        <w:t xml:space="preserve">, E. M. (2022). Effect of Chemical, Organic and Bio Fertilizers on Growth, Yield and </w:t>
      </w:r>
      <w:r>
        <w:rPr>
          <w:rFonts w:ascii="Times New Roman" w:hAnsi="Times New Roman"/>
          <w:sz w:val="20"/>
          <w:szCs w:val="20"/>
        </w:rPr>
        <w:t>Quality of Cucumber Plant (</w:t>
      </w:r>
      <w:proofErr w:type="spellStart"/>
      <w:r>
        <w:rPr>
          <w:rFonts w:ascii="Times New Roman" w:hAnsi="Times New Roman"/>
          <w:i/>
          <w:iCs/>
          <w:sz w:val="20"/>
          <w:szCs w:val="20"/>
        </w:rPr>
        <w:t>Cucumis</w:t>
      </w:r>
      <w:proofErr w:type="spellEnd"/>
      <w:r>
        <w:rPr>
          <w:rFonts w:ascii="Times New Roman" w:hAnsi="Times New Roman"/>
          <w:i/>
          <w:iCs/>
          <w:sz w:val="20"/>
          <w:szCs w:val="20"/>
        </w:rPr>
        <w:t xml:space="preserve"> </w:t>
      </w:r>
      <w:proofErr w:type="spellStart"/>
      <w:r>
        <w:rPr>
          <w:rFonts w:ascii="Times New Roman" w:hAnsi="Times New Roman"/>
          <w:i/>
          <w:iCs/>
          <w:sz w:val="20"/>
          <w:szCs w:val="20"/>
        </w:rPr>
        <w:t>sativus</w:t>
      </w:r>
      <w:proofErr w:type="spellEnd"/>
      <w:r>
        <w:rPr>
          <w:rFonts w:ascii="Times New Roman" w:hAnsi="Times New Roman"/>
          <w:i/>
          <w:iCs/>
          <w:sz w:val="20"/>
          <w:szCs w:val="20"/>
        </w:rPr>
        <w:t xml:space="preserve"> </w:t>
      </w:r>
      <w:r>
        <w:rPr>
          <w:rFonts w:ascii="Times New Roman" w:hAnsi="Times New Roman"/>
          <w:sz w:val="20"/>
          <w:szCs w:val="20"/>
        </w:rPr>
        <w:t xml:space="preserve">L.) grown under Greenhouse Conditions. </w:t>
      </w:r>
      <w:r>
        <w:rPr>
          <w:rFonts w:ascii="Times New Roman" w:hAnsi="Times New Roman"/>
          <w:i/>
          <w:iCs/>
          <w:sz w:val="20"/>
          <w:szCs w:val="20"/>
        </w:rPr>
        <w:t xml:space="preserve">Journal of </w:t>
      </w:r>
      <w:proofErr w:type="spellStart"/>
      <w:r>
        <w:rPr>
          <w:rFonts w:ascii="Times New Roman" w:hAnsi="Times New Roman"/>
          <w:i/>
          <w:iCs/>
          <w:sz w:val="20"/>
          <w:szCs w:val="20"/>
        </w:rPr>
        <w:t>Sohag</w:t>
      </w:r>
      <w:proofErr w:type="spellEnd"/>
      <w:r>
        <w:rPr>
          <w:rFonts w:ascii="Times New Roman" w:hAnsi="Times New Roman"/>
          <w:i/>
          <w:iCs/>
          <w:sz w:val="20"/>
          <w:szCs w:val="20"/>
        </w:rPr>
        <w:t xml:space="preserve"> </w:t>
      </w:r>
      <w:proofErr w:type="spellStart"/>
      <w:r>
        <w:rPr>
          <w:rFonts w:ascii="Times New Roman" w:hAnsi="Times New Roman"/>
          <w:i/>
          <w:iCs/>
          <w:sz w:val="20"/>
          <w:szCs w:val="20"/>
        </w:rPr>
        <w:t>Agriscience</w:t>
      </w:r>
      <w:proofErr w:type="spellEnd"/>
      <w:r>
        <w:rPr>
          <w:rFonts w:ascii="Times New Roman" w:hAnsi="Times New Roman"/>
          <w:sz w:val="20"/>
          <w:szCs w:val="20"/>
        </w:rPr>
        <w:t>, 7(1):28-40.</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Anukworji</w:t>
      </w:r>
      <w:proofErr w:type="spellEnd"/>
      <w:r>
        <w:rPr>
          <w:rFonts w:ascii="Times New Roman" w:hAnsi="Times New Roman"/>
          <w:sz w:val="20"/>
          <w:szCs w:val="20"/>
        </w:rPr>
        <w:t xml:space="preserve">, C. A., Ramesh, R. </w:t>
      </w:r>
      <w:proofErr w:type="spellStart"/>
      <w:r>
        <w:rPr>
          <w:rFonts w:ascii="Times New Roman" w:hAnsi="Times New Roman"/>
          <w:sz w:val="20"/>
          <w:szCs w:val="20"/>
        </w:rPr>
        <w:t>Putheti</w:t>
      </w:r>
      <w:proofErr w:type="spellEnd"/>
      <w:r>
        <w:rPr>
          <w:rFonts w:ascii="Times New Roman" w:hAnsi="Times New Roman"/>
          <w:sz w:val="20"/>
          <w:szCs w:val="20"/>
        </w:rPr>
        <w:t xml:space="preserve"> and </w:t>
      </w:r>
      <w:proofErr w:type="spellStart"/>
      <w:r>
        <w:rPr>
          <w:rFonts w:ascii="Times New Roman" w:hAnsi="Times New Roman"/>
          <w:sz w:val="20"/>
          <w:szCs w:val="20"/>
        </w:rPr>
        <w:t>Okigbo</w:t>
      </w:r>
      <w:proofErr w:type="spellEnd"/>
      <w:r>
        <w:rPr>
          <w:rFonts w:ascii="Times New Roman" w:hAnsi="Times New Roman"/>
          <w:sz w:val="20"/>
          <w:szCs w:val="20"/>
        </w:rPr>
        <w:t>, R. N. (2012). Isolation of fungi causing rot of cocoyam (</w:t>
      </w:r>
      <w:proofErr w:type="spellStart"/>
      <w:r>
        <w:rPr>
          <w:rFonts w:ascii="Times New Roman" w:hAnsi="Times New Roman"/>
          <w:i/>
          <w:sz w:val="20"/>
          <w:szCs w:val="20"/>
        </w:rPr>
        <w:t>Colocasia</w:t>
      </w:r>
      <w:proofErr w:type="spellEnd"/>
      <w:r>
        <w:rPr>
          <w:rFonts w:ascii="Times New Roman" w:hAnsi="Times New Roman"/>
          <w:i/>
          <w:sz w:val="20"/>
          <w:szCs w:val="20"/>
        </w:rPr>
        <w:t xml:space="preserve"> </w:t>
      </w:r>
      <w:proofErr w:type="spellStart"/>
      <w:r>
        <w:rPr>
          <w:rFonts w:ascii="Times New Roman" w:hAnsi="Times New Roman"/>
          <w:i/>
          <w:sz w:val="20"/>
          <w:szCs w:val="20"/>
        </w:rPr>
        <w:t>esculenta</w:t>
      </w:r>
      <w:proofErr w:type="spellEnd"/>
      <w:r>
        <w:rPr>
          <w:rFonts w:ascii="Times New Roman" w:hAnsi="Times New Roman"/>
          <w:i/>
          <w:sz w:val="20"/>
          <w:szCs w:val="20"/>
        </w:rPr>
        <w:t xml:space="preserve"> </w:t>
      </w:r>
      <w:r>
        <w:rPr>
          <w:rFonts w:ascii="Times New Roman" w:hAnsi="Times New Roman"/>
          <w:sz w:val="20"/>
          <w:szCs w:val="20"/>
        </w:rPr>
        <w:t>(L) Sc</w:t>
      </w:r>
      <w:r>
        <w:rPr>
          <w:rFonts w:ascii="Times New Roman" w:hAnsi="Times New Roman"/>
          <w:sz w:val="20"/>
          <w:szCs w:val="20"/>
        </w:rPr>
        <w:t xml:space="preserve">hott) and control with plant extracts. </w:t>
      </w:r>
      <w:r>
        <w:rPr>
          <w:rFonts w:ascii="Times New Roman" w:hAnsi="Times New Roman"/>
          <w:i/>
          <w:iCs/>
          <w:sz w:val="20"/>
          <w:szCs w:val="20"/>
        </w:rPr>
        <w:t>Global Advanced Research Journal of Agricultural Sciences</w:t>
      </w:r>
      <w:r>
        <w:rPr>
          <w:rFonts w:ascii="Times New Roman" w:hAnsi="Times New Roman"/>
          <w:sz w:val="20"/>
          <w:szCs w:val="20"/>
        </w:rPr>
        <w:t xml:space="preserve">. 1 (2): 033-047.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Ayotamuno</w:t>
      </w:r>
      <w:proofErr w:type="spellEnd"/>
      <w:r>
        <w:rPr>
          <w:rFonts w:ascii="Times New Roman" w:hAnsi="Times New Roman"/>
          <w:sz w:val="20"/>
          <w:szCs w:val="20"/>
        </w:rPr>
        <w:t xml:space="preserve">, J.M., </w:t>
      </w:r>
      <w:proofErr w:type="spellStart"/>
      <w:r>
        <w:rPr>
          <w:rFonts w:ascii="Times New Roman" w:hAnsi="Times New Roman"/>
          <w:sz w:val="20"/>
          <w:szCs w:val="20"/>
        </w:rPr>
        <w:t>Zoufa</w:t>
      </w:r>
      <w:proofErr w:type="spellEnd"/>
      <w:r>
        <w:rPr>
          <w:rFonts w:ascii="Times New Roman" w:hAnsi="Times New Roman"/>
          <w:sz w:val="20"/>
          <w:szCs w:val="20"/>
        </w:rPr>
        <w:t xml:space="preserve">, K., </w:t>
      </w:r>
      <w:proofErr w:type="spellStart"/>
      <w:r>
        <w:rPr>
          <w:rFonts w:ascii="Times New Roman" w:hAnsi="Times New Roman"/>
          <w:sz w:val="20"/>
          <w:szCs w:val="20"/>
        </w:rPr>
        <w:t>Ofori</w:t>
      </w:r>
      <w:proofErr w:type="spellEnd"/>
      <w:r>
        <w:rPr>
          <w:rFonts w:ascii="Times New Roman" w:hAnsi="Times New Roman"/>
          <w:sz w:val="20"/>
          <w:szCs w:val="20"/>
        </w:rPr>
        <w:t xml:space="preserve">, S.A., </w:t>
      </w:r>
      <w:proofErr w:type="spellStart"/>
      <w:r>
        <w:rPr>
          <w:rFonts w:ascii="Times New Roman" w:hAnsi="Times New Roman"/>
          <w:sz w:val="20"/>
          <w:szCs w:val="20"/>
        </w:rPr>
        <w:t>Kogbara</w:t>
      </w:r>
      <w:proofErr w:type="spellEnd"/>
      <w:r>
        <w:rPr>
          <w:rFonts w:ascii="Times New Roman" w:hAnsi="Times New Roman"/>
          <w:sz w:val="20"/>
          <w:szCs w:val="20"/>
        </w:rPr>
        <w:t>, R.B., (2007). Response of Maize and Cucumber Intercrop to Soil Moisture Control Through Irr</w:t>
      </w:r>
      <w:r>
        <w:rPr>
          <w:rFonts w:ascii="Times New Roman" w:hAnsi="Times New Roman"/>
          <w:sz w:val="20"/>
          <w:szCs w:val="20"/>
        </w:rPr>
        <w:t xml:space="preserve">igation and Mulching During the Dry Season in Nigeria.  </w:t>
      </w:r>
      <w:r>
        <w:rPr>
          <w:rFonts w:ascii="Times New Roman" w:hAnsi="Times New Roman"/>
          <w:i/>
          <w:sz w:val="20"/>
          <w:szCs w:val="20"/>
        </w:rPr>
        <w:t>African Journal of Biotechnology</w:t>
      </w:r>
      <w:r>
        <w:rPr>
          <w:rFonts w:ascii="Times New Roman" w:hAnsi="Times New Roman"/>
          <w:sz w:val="20"/>
          <w:szCs w:val="20"/>
        </w:rPr>
        <w:t xml:space="preserve">, 6 (5): 509.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lastRenderedPageBreak/>
        <w:t>Bremner</w:t>
      </w:r>
      <w:proofErr w:type="spellEnd"/>
      <w:r>
        <w:rPr>
          <w:rFonts w:ascii="Times New Roman" w:hAnsi="Times New Roman"/>
          <w:sz w:val="20"/>
          <w:szCs w:val="20"/>
        </w:rPr>
        <w:t xml:space="preserve">, N. M. and </w:t>
      </w:r>
      <w:proofErr w:type="spellStart"/>
      <w:r>
        <w:rPr>
          <w:rFonts w:ascii="Times New Roman" w:hAnsi="Times New Roman"/>
          <w:sz w:val="20"/>
          <w:szCs w:val="20"/>
        </w:rPr>
        <w:t>Mulvaney</w:t>
      </w:r>
      <w:proofErr w:type="spellEnd"/>
      <w:r>
        <w:rPr>
          <w:rFonts w:ascii="Times New Roman" w:hAnsi="Times New Roman"/>
          <w:sz w:val="20"/>
          <w:szCs w:val="20"/>
        </w:rPr>
        <w:t xml:space="preserve">, G. S. (1982). Nitrogen Total: In Methods of soil analysis. </w:t>
      </w:r>
      <w:r>
        <w:rPr>
          <w:rFonts w:ascii="Times New Roman" w:hAnsi="Times New Roman"/>
          <w:i/>
          <w:sz w:val="20"/>
          <w:szCs w:val="20"/>
        </w:rPr>
        <w:t>American Society of Agronomy</w:t>
      </w:r>
      <w:r>
        <w:rPr>
          <w:rFonts w:ascii="Times New Roman" w:hAnsi="Times New Roman"/>
          <w:sz w:val="20"/>
          <w:szCs w:val="20"/>
        </w:rPr>
        <w:t>; 9: 595 – 624.</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Chadha, F. I. (2011) </w:t>
      </w:r>
      <w:r>
        <w:rPr>
          <w:rFonts w:ascii="Times New Roman" w:hAnsi="Times New Roman"/>
          <w:sz w:val="20"/>
          <w:szCs w:val="20"/>
        </w:rPr>
        <w:t>Response of Cucumber (</w:t>
      </w:r>
      <w:r>
        <w:rPr>
          <w:rFonts w:ascii="Times New Roman" w:hAnsi="Times New Roman"/>
          <w:i/>
          <w:iCs/>
          <w:sz w:val="20"/>
          <w:szCs w:val="20"/>
        </w:rPr>
        <w:t>Cucumber sativa</w:t>
      </w:r>
      <w:r>
        <w:rPr>
          <w:rFonts w:ascii="Times New Roman" w:hAnsi="Times New Roman"/>
          <w:sz w:val="20"/>
          <w:szCs w:val="20"/>
        </w:rPr>
        <w:t xml:space="preserve"> L.) to Different Levels of NKP Fertilizers under Soilless Culture. </w:t>
      </w:r>
      <w:r>
        <w:rPr>
          <w:rFonts w:ascii="Times New Roman" w:hAnsi="Times New Roman"/>
          <w:i/>
          <w:iCs/>
          <w:sz w:val="20"/>
          <w:szCs w:val="20"/>
        </w:rPr>
        <w:t>India Journal of Agricultural Research</w:t>
      </w:r>
      <w:r>
        <w:rPr>
          <w:rFonts w:ascii="Times New Roman" w:hAnsi="Times New Roman"/>
          <w:sz w:val="20"/>
          <w:szCs w:val="20"/>
        </w:rPr>
        <w:t>,</w:t>
      </w:r>
      <w:r>
        <w:rPr>
          <w:rFonts w:ascii="Times New Roman" w:hAnsi="Times New Roman"/>
          <w:i/>
          <w:iCs/>
          <w:sz w:val="20"/>
          <w:szCs w:val="20"/>
        </w:rPr>
        <w:t xml:space="preserve"> </w:t>
      </w:r>
      <w:r>
        <w:rPr>
          <w:rFonts w:ascii="Times New Roman" w:hAnsi="Times New Roman"/>
          <w:sz w:val="20"/>
          <w:szCs w:val="20"/>
        </w:rPr>
        <w:t>45(2): 134-139.</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Dilson</w:t>
      </w:r>
      <w:proofErr w:type="spellEnd"/>
      <w:r>
        <w:rPr>
          <w:rFonts w:ascii="Times New Roman" w:hAnsi="Times New Roman"/>
          <w:sz w:val="20"/>
          <w:szCs w:val="20"/>
        </w:rPr>
        <w:t xml:space="preserve">, A. B. (2002) Origin and evolution of cultivated cucurbits. </w:t>
      </w:r>
      <w:proofErr w:type="spellStart"/>
      <w:r>
        <w:rPr>
          <w:rFonts w:ascii="Times New Roman" w:hAnsi="Times New Roman"/>
          <w:i/>
          <w:iCs/>
          <w:sz w:val="20"/>
          <w:szCs w:val="20"/>
        </w:rPr>
        <w:t>Ciência</w:t>
      </w:r>
      <w:proofErr w:type="spellEnd"/>
      <w:r>
        <w:rPr>
          <w:rFonts w:ascii="Times New Roman" w:hAnsi="Times New Roman"/>
          <w:i/>
          <w:iCs/>
          <w:sz w:val="20"/>
          <w:szCs w:val="20"/>
        </w:rPr>
        <w:t xml:space="preserve"> Rural</w:t>
      </w:r>
      <w:r>
        <w:rPr>
          <w:rFonts w:ascii="Times New Roman" w:hAnsi="Times New Roman"/>
          <w:sz w:val="20"/>
          <w:szCs w:val="20"/>
        </w:rPr>
        <w:t>, 32: 4.</w:t>
      </w:r>
    </w:p>
    <w:p w:rsidR="00374032" w:rsidRDefault="00CF01F2" w:rsidP="0062079B">
      <w:pPr>
        <w:numPr>
          <w:ilvl w:val="0"/>
          <w:numId w:val="3"/>
        </w:numPr>
        <w:snapToGrid w:val="0"/>
        <w:spacing w:after="0" w:line="240" w:lineRule="auto"/>
        <w:ind w:left="567" w:hanging="567"/>
        <w:jc w:val="both"/>
        <w:rPr>
          <w:rFonts w:ascii="Times New Roman" w:hAnsi="Times New Roman"/>
          <w:color w:val="000000"/>
          <w:sz w:val="20"/>
          <w:szCs w:val="20"/>
        </w:rPr>
      </w:pPr>
      <w:proofErr w:type="spellStart"/>
      <w:r>
        <w:rPr>
          <w:rFonts w:ascii="Times New Roman" w:hAnsi="Times New Roman"/>
          <w:color w:val="000000"/>
          <w:sz w:val="20"/>
          <w:szCs w:val="20"/>
        </w:rPr>
        <w:t>Dudhat</w:t>
      </w:r>
      <w:proofErr w:type="spellEnd"/>
      <w:r>
        <w:rPr>
          <w:rFonts w:ascii="Times New Roman" w:hAnsi="Times New Roman"/>
          <w:color w:val="000000"/>
          <w:sz w:val="20"/>
          <w:szCs w:val="20"/>
        </w:rPr>
        <w:t xml:space="preserve">, M. S., </w:t>
      </w:r>
      <w:proofErr w:type="spellStart"/>
      <w:r>
        <w:rPr>
          <w:rFonts w:ascii="Times New Roman" w:hAnsi="Times New Roman"/>
          <w:color w:val="000000"/>
          <w:sz w:val="20"/>
          <w:szCs w:val="20"/>
        </w:rPr>
        <w:t>Malavia</w:t>
      </w:r>
      <w:proofErr w:type="spellEnd"/>
      <w:r>
        <w:rPr>
          <w:rFonts w:ascii="Times New Roman" w:hAnsi="Times New Roman"/>
          <w:color w:val="000000"/>
          <w:sz w:val="20"/>
          <w:szCs w:val="20"/>
        </w:rPr>
        <w:t xml:space="preserve">, D. D., </w:t>
      </w:r>
      <w:proofErr w:type="spellStart"/>
      <w:r>
        <w:rPr>
          <w:rFonts w:ascii="Times New Roman" w:hAnsi="Times New Roman"/>
          <w:color w:val="000000"/>
          <w:sz w:val="20"/>
          <w:szCs w:val="20"/>
        </w:rPr>
        <w:t>Madhukia</w:t>
      </w:r>
      <w:proofErr w:type="spellEnd"/>
      <w:r>
        <w:rPr>
          <w:rFonts w:ascii="Times New Roman" w:hAnsi="Times New Roman"/>
          <w:color w:val="000000"/>
          <w:sz w:val="20"/>
          <w:szCs w:val="20"/>
        </w:rPr>
        <w:t xml:space="preserve">, R. K. and </w:t>
      </w:r>
      <w:proofErr w:type="spellStart"/>
      <w:r>
        <w:rPr>
          <w:rFonts w:ascii="Times New Roman" w:hAnsi="Times New Roman"/>
          <w:color w:val="000000"/>
          <w:sz w:val="20"/>
          <w:szCs w:val="20"/>
        </w:rPr>
        <w:t>Khanpara</w:t>
      </w:r>
      <w:proofErr w:type="spellEnd"/>
      <w:r>
        <w:rPr>
          <w:rFonts w:ascii="Times New Roman" w:hAnsi="Times New Roman"/>
          <w:color w:val="000000"/>
          <w:sz w:val="20"/>
          <w:szCs w:val="20"/>
        </w:rPr>
        <w:t>, B. D. (1997). Effect of nutrient management through organic and inorganic sources on growth, yield and quality and nutrients uptake by wheat (</w:t>
      </w:r>
      <w:proofErr w:type="spellStart"/>
      <w:r>
        <w:rPr>
          <w:rFonts w:ascii="Times New Roman" w:hAnsi="Times New Roman"/>
          <w:i/>
          <w:iCs/>
          <w:color w:val="000000"/>
          <w:sz w:val="20"/>
          <w:szCs w:val="20"/>
        </w:rPr>
        <w:t>Triticium</w:t>
      </w:r>
      <w:proofErr w:type="spellEnd"/>
      <w:r>
        <w:rPr>
          <w:rFonts w:ascii="Times New Roman" w:hAnsi="Times New Roman"/>
          <w:i/>
          <w:iCs/>
          <w:color w:val="000000"/>
          <w:sz w:val="20"/>
          <w:szCs w:val="20"/>
        </w:rPr>
        <w:t xml:space="preserve"> </w:t>
      </w:r>
      <w:proofErr w:type="spellStart"/>
      <w:r>
        <w:rPr>
          <w:rFonts w:ascii="Times New Roman" w:hAnsi="Times New Roman"/>
          <w:i/>
          <w:iCs/>
          <w:color w:val="000000"/>
          <w:sz w:val="20"/>
          <w:szCs w:val="20"/>
        </w:rPr>
        <w:t>aestivum</w:t>
      </w:r>
      <w:proofErr w:type="spellEnd"/>
      <w:r>
        <w:rPr>
          <w:rFonts w:ascii="Times New Roman" w:hAnsi="Times New Roman"/>
          <w:color w:val="000000"/>
          <w:sz w:val="20"/>
          <w:szCs w:val="20"/>
        </w:rPr>
        <w:t xml:space="preserve">). </w:t>
      </w:r>
      <w:r>
        <w:rPr>
          <w:rFonts w:ascii="Times New Roman" w:hAnsi="Times New Roman"/>
          <w:i/>
          <w:iCs/>
          <w:color w:val="000000"/>
          <w:sz w:val="20"/>
          <w:szCs w:val="20"/>
        </w:rPr>
        <w:t xml:space="preserve">Indian Journal of Agronomy </w:t>
      </w:r>
      <w:r>
        <w:rPr>
          <w:rFonts w:ascii="Times New Roman" w:hAnsi="Times New Roman"/>
          <w:color w:val="000000"/>
          <w:sz w:val="20"/>
          <w:szCs w:val="20"/>
        </w:rPr>
        <w:t>42 (3</w:t>
      </w:r>
      <w:r>
        <w:rPr>
          <w:rFonts w:ascii="Times New Roman" w:hAnsi="Times New Roman"/>
          <w:color w:val="000000"/>
          <w:sz w:val="20"/>
          <w:szCs w:val="20"/>
        </w:rPr>
        <w:t>):455-458.</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Ekwu</w:t>
      </w:r>
      <w:proofErr w:type="spellEnd"/>
      <w:r>
        <w:rPr>
          <w:rFonts w:ascii="Times New Roman" w:hAnsi="Times New Roman"/>
          <w:sz w:val="20"/>
          <w:szCs w:val="20"/>
        </w:rPr>
        <w:t xml:space="preserve"> S.D. (2018) Preliminary study of insect pests of cucumber (</w:t>
      </w:r>
      <w:proofErr w:type="spellStart"/>
      <w:r>
        <w:rPr>
          <w:rFonts w:ascii="Times New Roman" w:hAnsi="Times New Roman"/>
          <w:i/>
          <w:iCs/>
          <w:sz w:val="20"/>
          <w:szCs w:val="20"/>
        </w:rPr>
        <w:t>Cucumis</w:t>
      </w:r>
      <w:proofErr w:type="spellEnd"/>
      <w:r>
        <w:rPr>
          <w:rFonts w:ascii="Times New Roman" w:hAnsi="Times New Roman"/>
          <w:i/>
          <w:iCs/>
          <w:sz w:val="20"/>
          <w:szCs w:val="20"/>
        </w:rPr>
        <w:t xml:space="preserve"> sativa</w:t>
      </w:r>
      <w:r>
        <w:rPr>
          <w:rFonts w:ascii="Times New Roman" w:hAnsi="Times New Roman"/>
          <w:sz w:val="20"/>
          <w:szCs w:val="20"/>
        </w:rPr>
        <w:t xml:space="preserve"> L.) in </w:t>
      </w:r>
      <w:proofErr w:type="spellStart"/>
      <w:r>
        <w:rPr>
          <w:rFonts w:ascii="Times New Roman" w:hAnsi="Times New Roman"/>
          <w:sz w:val="20"/>
          <w:szCs w:val="20"/>
        </w:rPr>
        <w:t>Ogbomoso</w:t>
      </w:r>
      <w:proofErr w:type="spellEnd"/>
      <w:r>
        <w:rPr>
          <w:rFonts w:ascii="Times New Roman" w:hAnsi="Times New Roman"/>
          <w:sz w:val="20"/>
          <w:szCs w:val="20"/>
        </w:rPr>
        <w:t xml:space="preserve"> Agricultural Zone of </w:t>
      </w:r>
      <w:proofErr w:type="spellStart"/>
      <w:r>
        <w:rPr>
          <w:rFonts w:ascii="Times New Roman" w:hAnsi="Times New Roman"/>
          <w:sz w:val="20"/>
          <w:szCs w:val="20"/>
        </w:rPr>
        <w:t>Nigria</w:t>
      </w:r>
      <w:proofErr w:type="spellEnd"/>
      <w:r>
        <w:rPr>
          <w:rFonts w:ascii="Times New Roman" w:hAnsi="Times New Roman"/>
          <w:sz w:val="20"/>
          <w:szCs w:val="20"/>
        </w:rPr>
        <w:t xml:space="preserve">. </w:t>
      </w:r>
      <w:proofErr w:type="spellStart"/>
      <w:r>
        <w:rPr>
          <w:rFonts w:ascii="Times New Roman" w:hAnsi="Times New Roman"/>
          <w:i/>
          <w:iCs/>
          <w:sz w:val="20"/>
          <w:szCs w:val="20"/>
        </w:rPr>
        <w:t>Acta</w:t>
      </w:r>
      <w:proofErr w:type="spellEnd"/>
      <w:r>
        <w:rPr>
          <w:rFonts w:ascii="Times New Roman" w:hAnsi="Times New Roman"/>
          <w:i/>
          <w:iCs/>
          <w:sz w:val="20"/>
          <w:szCs w:val="20"/>
        </w:rPr>
        <w:t xml:space="preserve"> </w:t>
      </w:r>
      <w:proofErr w:type="spellStart"/>
      <w:r>
        <w:rPr>
          <w:rFonts w:ascii="Times New Roman" w:hAnsi="Times New Roman"/>
          <w:i/>
          <w:iCs/>
          <w:sz w:val="20"/>
          <w:szCs w:val="20"/>
        </w:rPr>
        <w:t>Fytotechnical</w:t>
      </w:r>
      <w:proofErr w:type="spellEnd"/>
      <w:r>
        <w:rPr>
          <w:rFonts w:ascii="Times New Roman" w:hAnsi="Times New Roman"/>
          <w:i/>
          <w:iCs/>
          <w:sz w:val="20"/>
          <w:szCs w:val="20"/>
        </w:rPr>
        <w:t xml:space="preserve"> et </w:t>
      </w:r>
      <w:proofErr w:type="spellStart"/>
      <w:r>
        <w:rPr>
          <w:rFonts w:ascii="Times New Roman" w:hAnsi="Times New Roman"/>
          <w:i/>
          <w:iCs/>
          <w:sz w:val="20"/>
          <w:szCs w:val="20"/>
        </w:rPr>
        <w:t>Zootechnica</w:t>
      </w:r>
      <w:proofErr w:type="spellEnd"/>
      <w:r>
        <w:rPr>
          <w:rFonts w:ascii="Times New Roman" w:hAnsi="Times New Roman"/>
          <w:i/>
          <w:iCs/>
          <w:sz w:val="20"/>
          <w:szCs w:val="20"/>
        </w:rPr>
        <w:t xml:space="preserve">, </w:t>
      </w:r>
      <w:r>
        <w:rPr>
          <w:rFonts w:ascii="Times New Roman" w:hAnsi="Times New Roman"/>
          <w:sz w:val="20"/>
          <w:szCs w:val="20"/>
        </w:rPr>
        <w:t>21(3): 108-112.</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Enujeke</w:t>
      </w:r>
      <w:proofErr w:type="spellEnd"/>
      <w:r>
        <w:rPr>
          <w:rFonts w:ascii="Times New Roman" w:hAnsi="Times New Roman"/>
          <w:sz w:val="20"/>
          <w:szCs w:val="20"/>
        </w:rPr>
        <w:t>, E. C. (2013) Growth and Yield Responses of Cucumber to Five D</w:t>
      </w:r>
      <w:r>
        <w:rPr>
          <w:rFonts w:ascii="Times New Roman" w:hAnsi="Times New Roman"/>
          <w:sz w:val="20"/>
          <w:szCs w:val="20"/>
        </w:rPr>
        <w:t xml:space="preserve">ifferent Rates of Poultry Manure in </w:t>
      </w:r>
      <w:proofErr w:type="spellStart"/>
      <w:r>
        <w:rPr>
          <w:rFonts w:ascii="Times New Roman" w:hAnsi="Times New Roman"/>
          <w:sz w:val="20"/>
          <w:szCs w:val="20"/>
        </w:rPr>
        <w:t>Asaba</w:t>
      </w:r>
      <w:proofErr w:type="spellEnd"/>
      <w:r>
        <w:rPr>
          <w:rFonts w:ascii="Times New Roman" w:hAnsi="Times New Roman"/>
          <w:sz w:val="20"/>
          <w:szCs w:val="20"/>
        </w:rPr>
        <w:t xml:space="preserve"> Area of Delta State, Nigeria. </w:t>
      </w:r>
      <w:r>
        <w:rPr>
          <w:rFonts w:ascii="Times New Roman" w:hAnsi="Times New Roman"/>
          <w:i/>
          <w:sz w:val="20"/>
          <w:szCs w:val="20"/>
        </w:rPr>
        <w:t>International Research Journal of Agricultural Science and Soil Science</w:t>
      </w:r>
      <w:r>
        <w:rPr>
          <w:rFonts w:ascii="Times New Roman" w:hAnsi="Times New Roman"/>
          <w:sz w:val="20"/>
          <w:szCs w:val="20"/>
        </w:rPr>
        <w:t>, 3(11): 369-375.</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Gambo</w:t>
      </w:r>
      <w:proofErr w:type="spellEnd"/>
      <w:r>
        <w:rPr>
          <w:rFonts w:ascii="Times New Roman" w:hAnsi="Times New Roman"/>
          <w:sz w:val="20"/>
          <w:szCs w:val="20"/>
        </w:rPr>
        <w:t xml:space="preserve">, B. A., </w:t>
      </w:r>
      <w:proofErr w:type="spellStart"/>
      <w:r>
        <w:rPr>
          <w:rFonts w:ascii="Times New Roman" w:hAnsi="Times New Roman"/>
          <w:sz w:val="20"/>
          <w:szCs w:val="20"/>
        </w:rPr>
        <w:t>Magaji</w:t>
      </w:r>
      <w:proofErr w:type="spellEnd"/>
      <w:r>
        <w:rPr>
          <w:rFonts w:ascii="Times New Roman" w:hAnsi="Times New Roman"/>
          <w:sz w:val="20"/>
          <w:szCs w:val="20"/>
        </w:rPr>
        <w:t xml:space="preserve">, M. D., </w:t>
      </w:r>
      <w:proofErr w:type="spellStart"/>
      <w:r>
        <w:rPr>
          <w:rFonts w:ascii="Times New Roman" w:hAnsi="Times New Roman"/>
          <w:sz w:val="20"/>
          <w:szCs w:val="20"/>
        </w:rPr>
        <w:t>Yakubu</w:t>
      </w:r>
      <w:proofErr w:type="spellEnd"/>
      <w:r>
        <w:rPr>
          <w:rFonts w:ascii="Times New Roman" w:hAnsi="Times New Roman"/>
          <w:sz w:val="20"/>
          <w:szCs w:val="20"/>
        </w:rPr>
        <w:t xml:space="preserve">, A. I. and </w:t>
      </w:r>
      <w:proofErr w:type="spellStart"/>
      <w:r>
        <w:rPr>
          <w:rFonts w:ascii="Times New Roman" w:hAnsi="Times New Roman"/>
          <w:sz w:val="20"/>
          <w:szCs w:val="20"/>
        </w:rPr>
        <w:t>Dikko</w:t>
      </w:r>
      <w:proofErr w:type="spellEnd"/>
      <w:r>
        <w:rPr>
          <w:rFonts w:ascii="Times New Roman" w:hAnsi="Times New Roman"/>
          <w:sz w:val="20"/>
          <w:szCs w:val="20"/>
        </w:rPr>
        <w:t>, A. U. (2008). Effects of Farm Yard Manure</w:t>
      </w:r>
      <w:r>
        <w:rPr>
          <w:rFonts w:ascii="Times New Roman" w:hAnsi="Times New Roman"/>
          <w:sz w:val="20"/>
          <w:szCs w:val="20"/>
        </w:rPr>
        <w:t xml:space="preserve"> and Weed Interference on Growth and Yield of Onion (</w:t>
      </w:r>
      <w:r>
        <w:rPr>
          <w:rFonts w:ascii="Times New Roman" w:hAnsi="Times New Roman"/>
          <w:i/>
          <w:sz w:val="20"/>
          <w:szCs w:val="20"/>
        </w:rPr>
        <w:t xml:space="preserve">Allium </w:t>
      </w:r>
      <w:proofErr w:type="spellStart"/>
      <w:r>
        <w:rPr>
          <w:rFonts w:ascii="Times New Roman" w:hAnsi="Times New Roman"/>
          <w:i/>
          <w:sz w:val="20"/>
          <w:szCs w:val="20"/>
        </w:rPr>
        <w:t>cepa</w:t>
      </w:r>
      <w:proofErr w:type="spellEnd"/>
      <w:r>
        <w:rPr>
          <w:rFonts w:ascii="Times New Roman" w:hAnsi="Times New Roman"/>
          <w:sz w:val="20"/>
          <w:szCs w:val="20"/>
        </w:rPr>
        <w:t xml:space="preserve"> L.). </w:t>
      </w:r>
      <w:r>
        <w:rPr>
          <w:rFonts w:ascii="Times New Roman" w:hAnsi="Times New Roman"/>
          <w:i/>
          <w:sz w:val="20"/>
          <w:szCs w:val="20"/>
        </w:rPr>
        <w:t>Journal of Sustainable Agriculture and Environment</w:t>
      </w:r>
      <w:r>
        <w:rPr>
          <w:rFonts w:ascii="Times New Roman" w:hAnsi="Times New Roman"/>
          <w:sz w:val="20"/>
          <w:szCs w:val="20"/>
        </w:rPr>
        <w:t>, 3(2): 87 – 92.</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Gee, G.W., and </w:t>
      </w:r>
      <w:proofErr w:type="spellStart"/>
      <w:r>
        <w:rPr>
          <w:rFonts w:ascii="Times New Roman" w:hAnsi="Times New Roman"/>
          <w:sz w:val="20"/>
          <w:szCs w:val="20"/>
        </w:rPr>
        <w:t>Bauder</w:t>
      </w:r>
      <w:proofErr w:type="spellEnd"/>
      <w:r>
        <w:rPr>
          <w:rFonts w:ascii="Times New Roman" w:hAnsi="Times New Roman"/>
          <w:sz w:val="20"/>
          <w:szCs w:val="20"/>
        </w:rPr>
        <w:t xml:space="preserve">, J. W. (1986) Particle-size analysis. pp. 383-411. In A. </w:t>
      </w:r>
      <w:proofErr w:type="spellStart"/>
      <w:r>
        <w:rPr>
          <w:rFonts w:ascii="Times New Roman" w:hAnsi="Times New Roman"/>
          <w:sz w:val="20"/>
          <w:szCs w:val="20"/>
        </w:rPr>
        <w:t>Klute</w:t>
      </w:r>
      <w:proofErr w:type="spellEnd"/>
      <w:r>
        <w:rPr>
          <w:rFonts w:ascii="Times New Roman" w:hAnsi="Times New Roman"/>
          <w:sz w:val="20"/>
          <w:szCs w:val="20"/>
        </w:rPr>
        <w:t xml:space="preserve"> (ed.). Methods of Soil Analysis: P</w:t>
      </w:r>
      <w:r>
        <w:rPr>
          <w:rFonts w:ascii="Times New Roman" w:hAnsi="Times New Roman"/>
          <w:sz w:val="20"/>
          <w:szCs w:val="20"/>
        </w:rPr>
        <w:t xml:space="preserve">art 1 – Physical and Mineralogical Methods. </w:t>
      </w:r>
      <w:proofErr w:type="spellStart"/>
      <w:r>
        <w:rPr>
          <w:rFonts w:ascii="Times New Roman" w:hAnsi="Times New Roman"/>
          <w:sz w:val="20"/>
          <w:szCs w:val="20"/>
        </w:rPr>
        <w:t>Agron</w:t>
      </w:r>
      <w:proofErr w:type="spellEnd"/>
      <w:r>
        <w:rPr>
          <w:rFonts w:ascii="Times New Roman" w:hAnsi="Times New Roman"/>
          <w:sz w:val="20"/>
          <w:szCs w:val="20"/>
        </w:rPr>
        <w:t xml:space="preserve">. </w:t>
      </w:r>
      <w:proofErr w:type="spellStart"/>
      <w:r>
        <w:rPr>
          <w:rFonts w:ascii="Times New Roman" w:hAnsi="Times New Roman"/>
          <w:sz w:val="20"/>
          <w:szCs w:val="20"/>
        </w:rPr>
        <w:t>Monogr</w:t>
      </w:r>
      <w:proofErr w:type="spellEnd"/>
      <w:r>
        <w:rPr>
          <w:rFonts w:ascii="Times New Roman" w:hAnsi="Times New Roman"/>
          <w:sz w:val="20"/>
          <w:szCs w:val="20"/>
        </w:rPr>
        <w:t xml:space="preserve">. 9, ASA and SSSA, Madison, Wisc.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Gomez KA, Gomez AA (1984) Statistical procedures for agricultural research, 2nd edition. John Wiley and Sons Inc., New York.</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Gulshan</w:t>
      </w:r>
      <w:proofErr w:type="spellEnd"/>
      <w:r>
        <w:rPr>
          <w:rFonts w:ascii="Times New Roman" w:hAnsi="Times New Roman"/>
          <w:sz w:val="20"/>
          <w:szCs w:val="20"/>
        </w:rPr>
        <w:t xml:space="preserve">, A. B. Saeed, H. M. </w:t>
      </w:r>
      <w:proofErr w:type="spellStart"/>
      <w:r>
        <w:rPr>
          <w:rFonts w:ascii="Times New Roman" w:hAnsi="Times New Roman"/>
          <w:sz w:val="20"/>
          <w:szCs w:val="20"/>
        </w:rPr>
        <w:t>Javid</w:t>
      </w:r>
      <w:proofErr w:type="spellEnd"/>
      <w:r>
        <w:rPr>
          <w:rFonts w:ascii="Times New Roman" w:hAnsi="Times New Roman"/>
          <w:sz w:val="20"/>
          <w:szCs w:val="20"/>
        </w:rPr>
        <w:t xml:space="preserve">, S. </w:t>
      </w:r>
      <w:proofErr w:type="spellStart"/>
      <w:r>
        <w:rPr>
          <w:rFonts w:ascii="Times New Roman" w:hAnsi="Times New Roman"/>
          <w:sz w:val="20"/>
          <w:szCs w:val="20"/>
        </w:rPr>
        <w:t>M</w:t>
      </w:r>
      <w:r>
        <w:rPr>
          <w:rFonts w:ascii="Times New Roman" w:hAnsi="Times New Roman"/>
          <w:sz w:val="20"/>
          <w:szCs w:val="20"/>
        </w:rPr>
        <w:t>eryem</w:t>
      </w:r>
      <w:proofErr w:type="spellEnd"/>
      <w:r>
        <w:rPr>
          <w:rFonts w:ascii="Times New Roman" w:hAnsi="Times New Roman"/>
          <w:sz w:val="20"/>
          <w:szCs w:val="20"/>
        </w:rPr>
        <w:t>, T., Atta, M. I. and Amin-</w:t>
      </w:r>
      <w:proofErr w:type="spellStart"/>
      <w:r>
        <w:rPr>
          <w:rFonts w:ascii="Times New Roman" w:hAnsi="Times New Roman"/>
          <w:sz w:val="20"/>
          <w:szCs w:val="20"/>
        </w:rPr>
        <w:t>ud</w:t>
      </w:r>
      <w:proofErr w:type="spellEnd"/>
      <w:r>
        <w:rPr>
          <w:rFonts w:ascii="Times New Roman" w:hAnsi="Times New Roman"/>
          <w:sz w:val="20"/>
          <w:szCs w:val="20"/>
        </w:rPr>
        <w:t>-Din, M. (2013) Effects of Animal Manure on The Growth and Development of Okra (</w:t>
      </w:r>
      <w:proofErr w:type="spellStart"/>
      <w:r>
        <w:rPr>
          <w:rFonts w:ascii="Times New Roman" w:hAnsi="Times New Roman"/>
          <w:i/>
          <w:sz w:val="20"/>
          <w:szCs w:val="20"/>
        </w:rPr>
        <w:t>Abelmoschus</w:t>
      </w:r>
      <w:proofErr w:type="spellEnd"/>
      <w:r>
        <w:rPr>
          <w:rFonts w:ascii="Times New Roman" w:hAnsi="Times New Roman"/>
          <w:i/>
          <w:sz w:val="20"/>
          <w:szCs w:val="20"/>
        </w:rPr>
        <w:t xml:space="preserve"> </w:t>
      </w:r>
      <w:proofErr w:type="spellStart"/>
      <w:r>
        <w:rPr>
          <w:rFonts w:ascii="Times New Roman" w:hAnsi="Times New Roman"/>
          <w:i/>
          <w:sz w:val="20"/>
          <w:szCs w:val="20"/>
        </w:rPr>
        <w:t>esculentus</w:t>
      </w:r>
      <w:proofErr w:type="spellEnd"/>
      <w:r>
        <w:rPr>
          <w:rFonts w:ascii="Times New Roman" w:hAnsi="Times New Roman"/>
          <w:i/>
          <w:sz w:val="20"/>
          <w:szCs w:val="20"/>
        </w:rPr>
        <w:t xml:space="preserve"> </w:t>
      </w:r>
      <w:r>
        <w:rPr>
          <w:rFonts w:ascii="Times New Roman" w:hAnsi="Times New Roman"/>
          <w:sz w:val="20"/>
          <w:szCs w:val="20"/>
        </w:rPr>
        <w:t xml:space="preserve">L.). </w:t>
      </w:r>
      <w:r>
        <w:rPr>
          <w:rFonts w:ascii="Times New Roman" w:hAnsi="Times New Roman"/>
          <w:i/>
          <w:sz w:val="20"/>
          <w:szCs w:val="20"/>
        </w:rPr>
        <w:t>Journal of Agricultural and Biological Science</w:t>
      </w:r>
      <w:r>
        <w:rPr>
          <w:rFonts w:ascii="Times New Roman" w:hAnsi="Times New Roman"/>
          <w:sz w:val="20"/>
          <w:szCs w:val="20"/>
        </w:rPr>
        <w:t xml:space="preserve">, 8(3): 7 – 11. </w:t>
      </w:r>
    </w:p>
    <w:p w:rsidR="00374032" w:rsidRDefault="00CF01F2" w:rsidP="0062079B">
      <w:pPr>
        <w:numPr>
          <w:ilvl w:val="0"/>
          <w:numId w:val="3"/>
        </w:numPr>
        <w:snapToGrid w:val="0"/>
        <w:spacing w:after="0" w:line="240" w:lineRule="auto"/>
        <w:ind w:left="567" w:hanging="567"/>
        <w:jc w:val="both"/>
        <w:rPr>
          <w:rFonts w:ascii="Times New Roman" w:hAnsi="Times New Roman"/>
          <w:color w:val="000000"/>
          <w:sz w:val="20"/>
          <w:szCs w:val="20"/>
        </w:rPr>
      </w:pPr>
      <w:proofErr w:type="spellStart"/>
      <w:r>
        <w:rPr>
          <w:rFonts w:ascii="Times New Roman" w:hAnsi="Times New Roman"/>
          <w:color w:val="000000"/>
          <w:sz w:val="20"/>
          <w:szCs w:val="20"/>
        </w:rPr>
        <w:lastRenderedPageBreak/>
        <w:t>Haan</w:t>
      </w:r>
      <w:proofErr w:type="spellEnd"/>
      <w:r>
        <w:rPr>
          <w:rFonts w:ascii="Times New Roman" w:hAnsi="Times New Roman"/>
          <w:color w:val="000000"/>
          <w:sz w:val="20"/>
          <w:szCs w:val="20"/>
        </w:rPr>
        <w:t>, S. D. (2001). Humus, its formation, its relat</w:t>
      </w:r>
      <w:r>
        <w:rPr>
          <w:rFonts w:ascii="Times New Roman" w:hAnsi="Times New Roman"/>
          <w:color w:val="000000"/>
          <w:sz w:val="20"/>
          <w:szCs w:val="20"/>
        </w:rPr>
        <w:t>ion with the mineral part of the soil and its</w:t>
      </w:r>
    </w:p>
    <w:p w:rsidR="00374032" w:rsidRDefault="00CF01F2" w:rsidP="0062079B">
      <w:pPr>
        <w:numPr>
          <w:ilvl w:val="0"/>
          <w:numId w:val="3"/>
        </w:numPr>
        <w:snapToGrid w:val="0"/>
        <w:spacing w:after="0" w:line="240" w:lineRule="auto"/>
        <w:ind w:left="567" w:hanging="567"/>
        <w:jc w:val="both"/>
        <w:rPr>
          <w:rFonts w:ascii="Times New Roman" w:hAnsi="Times New Roman"/>
          <w:color w:val="000000"/>
          <w:sz w:val="20"/>
          <w:szCs w:val="20"/>
        </w:rPr>
      </w:pPr>
      <w:r>
        <w:rPr>
          <w:rFonts w:ascii="Times New Roman" w:hAnsi="Times New Roman"/>
          <w:color w:val="000000"/>
          <w:sz w:val="20"/>
          <w:szCs w:val="20"/>
        </w:rPr>
        <w:t xml:space="preserve">significance for the soil productivity. </w:t>
      </w:r>
      <w:r>
        <w:rPr>
          <w:rFonts w:ascii="Times New Roman" w:hAnsi="Times New Roman"/>
          <w:i/>
          <w:iCs/>
          <w:color w:val="000000"/>
          <w:sz w:val="20"/>
          <w:szCs w:val="20"/>
        </w:rPr>
        <w:t>Soil Organic Matter Studies</w:t>
      </w:r>
      <w:r>
        <w:rPr>
          <w:rFonts w:ascii="Times New Roman" w:hAnsi="Times New Roman"/>
          <w:color w:val="000000"/>
          <w:sz w:val="20"/>
          <w:szCs w:val="20"/>
        </w:rPr>
        <w:t>, 1: 22-30.</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Kashif</w:t>
      </w:r>
      <w:proofErr w:type="spellEnd"/>
      <w:r>
        <w:rPr>
          <w:rFonts w:ascii="Times New Roman" w:hAnsi="Times New Roman"/>
          <w:sz w:val="20"/>
          <w:szCs w:val="20"/>
        </w:rPr>
        <w:t xml:space="preserve">, W., Kamran, Q. and </w:t>
      </w:r>
      <w:proofErr w:type="spellStart"/>
      <w:r>
        <w:rPr>
          <w:rFonts w:ascii="Times New Roman" w:hAnsi="Times New Roman"/>
          <w:sz w:val="20"/>
          <w:szCs w:val="20"/>
        </w:rPr>
        <w:t>Jilani</w:t>
      </w:r>
      <w:proofErr w:type="spellEnd"/>
      <w:r>
        <w:rPr>
          <w:rFonts w:ascii="Times New Roman" w:hAnsi="Times New Roman"/>
          <w:sz w:val="20"/>
          <w:szCs w:val="20"/>
        </w:rPr>
        <w:t>, M. (2008). Effect of Different Nitrogen Levels on Growth and Yield of Cucumber (</w:t>
      </w:r>
      <w:proofErr w:type="spellStart"/>
      <w:r>
        <w:rPr>
          <w:rFonts w:ascii="Times New Roman" w:hAnsi="Times New Roman"/>
          <w:i/>
          <w:iCs/>
          <w:sz w:val="20"/>
          <w:szCs w:val="20"/>
        </w:rPr>
        <w:t>Cucumis</w:t>
      </w:r>
      <w:proofErr w:type="spellEnd"/>
      <w:r>
        <w:rPr>
          <w:rFonts w:ascii="Times New Roman" w:hAnsi="Times New Roman"/>
          <w:i/>
          <w:iCs/>
          <w:sz w:val="20"/>
          <w:szCs w:val="20"/>
        </w:rPr>
        <w:t xml:space="preserve"> </w:t>
      </w:r>
      <w:proofErr w:type="spellStart"/>
      <w:r>
        <w:rPr>
          <w:rFonts w:ascii="Times New Roman" w:hAnsi="Times New Roman"/>
          <w:i/>
          <w:iCs/>
          <w:sz w:val="20"/>
          <w:szCs w:val="20"/>
        </w:rPr>
        <w:t>sativus</w:t>
      </w:r>
      <w:proofErr w:type="spellEnd"/>
      <w:r>
        <w:rPr>
          <w:rFonts w:ascii="Times New Roman" w:hAnsi="Times New Roman"/>
          <w:i/>
          <w:iCs/>
          <w:sz w:val="20"/>
          <w:szCs w:val="20"/>
        </w:rPr>
        <w:t xml:space="preserve"> </w:t>
      </w:r>
      <w:r>
        <w:rPr>
          <w:rFonts w:ascii="Times New Roman" w:hAnsi="Times New Roman"/>
          <w:sz w:val="20"/>
          <w:szCs w:val="20"/>
        </w:rPr>
        <w:t xml:space="preserve">L.). </w:t>
      </w:r>
      <w:r>
        <w:rPr>
          <w:rFonts w:ascii="Times New Roman" w:hAnsi="Times New Roman"/>
          <w:i/>
          <w:iCs/>
          <w:sz w:val="20"/>
          <w:szCs w:val="20"/>
        </w:rPr>
        <w:t>Journal of Agricultural Research</w:t>
      </w:r>
      <w:r>
        <w:rPr>
          <w:rFonts w:ascii="Times New Roman" w:hAnsi="Times New Roman"/>
          <w:sz w:val="20"/>
          <w:szCs w:val="20"/>
        </w:rPr>
        <w:t xml:space="preserve">, 46(3): 259-266.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Mukherjee, P. K., </w:t>
      </w:r>
      <w:proofErr w:type="spellStart"/>
      <w:r>
        <w:rPr>
          <w:rFonts w:ascii="Times New Roman" w:hAnsi="Times New Roman"/>
          <w:sz w:val="20"/>
          <w:szCs w:val="20"/>
        </w:rPr>
        <w:t>Nema</w:t>
      </w:r>
      <w:proofErr w:type="spellEnd"/>
      <w:r>
        <w:rPr>
          <w:rFonts w:ascii="Times New Roman" w:hAnsi="Times New Roman"/>
          <w:sz w:val="20"/>
          <w:szCs w:val="20"/>
        </w:rPr>
        <w:t xml:space="preserve">, N. K., </w:t>
      </w:r>
      <w:proofErr w:type="spellStart"/>
      <w:r>
        <w:rPr>
          <w:rFonts w:ascii="Times New Roman" w:hAnsi="Times New Roman"/>
          <w:sz w:val="20"/>
          <w:szCs w:val="20"/>
        </w:rPr>
        <w:t>Maity</w:t>
      </w:r>
      <w:proofErr w:type="spellEnd"/>
      <w:r>
        <w:rPr>
          <w:rFonts w:ascii="Times New Roman" w:hAnsi="Times New Roman"/>
          <w:sz w:val="20"/>
          <w:szCs w:val="20"/>
        </w:rPr>
        <w:t xml:space="preserve">, N. and Sarkar, B. (2012) Phytochemical and therapeutic potential of cucumber. </w:t>
      </w:r>
      <w:proofErr w:type="spellStart"/>
      <w:r>
        <w:rPr>
          <w:rFonts w:ascii="Times New Roman" w:hAnsi="Times New Roman"/>
          <w:sz w:val="20"/>
          <w:szCs w:val="20"/>
        </w:rPr>
        <w:t>Fitoterapia</w:t>
      </w:r>
      <w:proofErr w:type="spellEnd"/>
      <w:r>
        <w:rPr>
          <w:rFonts w:ascii="Times New Roman" w:hAnsi="Times New Roman"/>
          <w:sz w:val="20"/>
          <w:szCs w:val="20"/>
        </w:rPr>
        <w:t xml:space="preserve">, 84: 227-236. </w:t>
      </w:r>
    </w:p>
    <w:p w:rsidR="00374032" w:rsidRDefault="00CF01F2" w:rsidP="0062079B">
      <w:pPr>
        <w:numPr>
          <w:ilvl w:val="0"/>
          <w:numId w:val="3"/>
        </w:numPr>
        <w:snapToGrid w:val="0"/>
        <w:spacing w:after="0" w:line="240" w:lineRule="auto"/>
        <w:ind w:left="567" w:hanging="567"/>
        <w:jc w:val="both"/>
        <w:rPr>
          <w:rStyle w:val="A5"/>
          <w:rFonts w:ascii="Times New Roman" w:hAnsi="Times New Roman"/>
          <w:sz w:val="20"/>
          <w:szCs w:val="20"/>
        </w:rPr>
      </w:pPr>
      <w:r>
        <w:rPr>
          <w:rStyle w:val="A5"/>
          <w:rFonts w:ascii="Times New Roman" w:hAnsi="Times New Roman"/>
          <w:sz w:val="20"/>
          <w:szCs w:val="20"/>
        </w:rPr>
        <w:t xml:space="preserve">Nelson, D. W. and </w:t>
      </w:r>
      <w:proofErr w:type="spellStart"/>
      <w:r>
        <w:rPr>
          <w:rStyle w:val="A5"/>
          <w:rFonts w:ascii="Times New Roman" w:hAnsi="Times New Roman"/>
          <w:sz w:val="20"/>
          <w:szCs w:val="20"/>
        </w:rPr>
        <w:t>Somners</w:t>
      </w:r>
      <w:proofErr w:type="spellEnd"/>
      <w:r>
        <w:rPr>
          <w:rStyle w:val="A5"/>
          <w:rFonts w:ascii="Times New Roman" w:hAnsi="Times New Roman"/>
          <w:sz w:val="20"/>
          <w:szCs w:val="20"/>
        </w:rPr>
        <w:t>, L. E. (1996) Total carbon, tot</w:t>
      </w:r>
      <w:r>
        <w:rPr>
          <w:rStyle w:val="A5"/>
          <w:rFonts w:ascii="Times New Roman" w:hAnsi="Times New Roman"/>
          <w:sz w:val="20"/>
          <w:szCs w:val="20"/>
        </w:rPr>
        <w:t>al organic car</w:t>
      </w:r>
      <w:r>
        <w:rPr>
          <w:rStyle w:val="A5"/>
          <w:rFonts w:ascii="Times New Roman" w:hAnsi="Times New Roman"/>
          <w:sz w:val="20"/>
          <w:szCs w:val="20"/>
        </w:rPr>
        <w:softHyphen/>
        <w:t>bon, and organic matter. In: Sparks (Ed). Methods of soil analysis, part 3: Chemical methods, Madison, Wisc. Soil Sci</w:t>
      </w:r>
      <w:r>
        <w:rPr>
          <w:rStyle w:val="A5"/>
          <w:rFonts w:ascii="Times New Roman" w:hAnsi="Times New Roman"/>
          <w:sz w:val="20"/>
          <w:szCs w:val="20"/>
        </w:rPr>
        <w:softHyphen/>
        <w:t xml:space="preserve">ence Society of America, pp 961–1010.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Ojeniyi</w:t>
      </w:r>
      <w:proofErr w:type="spellEnd"/>
      <w:r>
        <w:rPr>
          <w:rFonts w:ascii="Times New Roman" w:hAnsi="Times New Roman"/>
          <w:sz w:val="20"/>
          <w:szCs w:val="20"/>
        </w:rPr>
        <w:t xml:space="preserve">, S.O. (2000).  Effect of Goat Manure on Soil Nutrient and Okra Yield in a Rain Forest Area of Nigeria. </w:t>
      </w:r>
      <w:r>
        <w:rPr>
          <w:rFonts w:ascii="Times New Roman" w:hAnsi="Times New Roman"/>
          <w:i/>
          <w:sz w:val="20"/>
          <w:szCs w:val="20"/>
        </w:rPr>
        <w:t>Applied Tropical Agriculture</w:t>
      </w:r>
      <w:r>
        <w:rPr>
          <w:rFonts w:ascii="Times New Roman" w:hAnsi="Times New Roman"/>
          <w:sz w:val="20"/>
          <w:szCs w:val="20"/>
        </w:rPr>
        <w:t>, 5:  20 - 23.</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Okee</w:t>
      </w:r>
      <w:proofErr w:type="spellEnd"/>
      <w:r>
        <w:rPr>
          <w:rFonts w:ascii="Times New Roman" w:hAnsi="Times New Roman"/>
          <w:sz w:val="20"/>
          <w:szCs w:val="20"/>
        </w:rPr>
        <w:t xml:space="preserve">, J.I., </w:t>
      </w:r>
      <w:proofErr w:type="spellStart"/>
      <w:r>
        <w:rPr>
          <w:rFonts w:ascii="Times New Roman" w:hAnsi="Times New Roman"/>
          <w:sz w:val="20"/>
          <w:szCs w:val="20"/>
        </w:rPr>
        <w:t>Agbaji</w:t>
      </w:r>
      <w:proofErr w:type="spellEnd"/>
      <w:r>
        <w:rPr>
          <w:rFonts w:ascii="Times New Roman" w:hAnsi="Times New Roman"/>
          <w:sz w:val="20"/>
          <w:szCs w:val="20"/>
        </w:rPr>
        <w:t xml:space="preserve">, F. and </w:t>
      </w:r>
      <w:proofErr w:type="spellStart"/>
      <w:r>
        <w:rPr>
          <w:rFonts w:ascii="Times New Roman" w:hAnsi="Times New Roman"/>
          <w:sz w:val="20"/>
          <w:szCs w:val="20"/>
        </w:rPr>
        <w:t>Akogu</w:t>
      </w:r>
      <w:proofErr w:type="spellEnd"/>
      <w:r>
        <w:rPr>
          <w:rFonts w:ascii="Times New Roman" w:hAnsi="Times New Roman"/>
          <w:sz w:val="20"/>
          <w:szCs w:val="20"/>
        </w:rPr>
        <w:t xml:space="preserve">, S.E. (2020). Effect of Organic Manure on the Growth of Cucumber in </w:t>
      </w:r>
      <w:proofErr w:type="spellStart"/>
      <w:r>
        <w:rPr>
          <w:rFonts w:ascii="Times New Roman" w:hAnsi="Times New Roman"/>
          <w:sz w:val="20"/>
          <w:szCs w:val="20"/>
        </w:rPr>
        <w:t>A</w:t>
      </w:r>
      <w:r>
        <w:rPr>
          <w:rFonts w:ascii="Times New Roman" w:hAnsi="Times New Roman"/>
          <w:sz w:val="20"/>
          <w:szCs w:val="20"/>
        </w:rPr>
        <w:t>nyigba</w:t>
      </w:r>
      <w:proofErr w:type="spellEnd"/>
      <w:r>
        <w:rPr>
          <w:rFonts w:ascii="Times New Roman" w:hAnsi="Times New Roman"/>
          <w:sz w:val="20"/>
          <w:szCs w:val="20"/>
        </w:rPr>
        <w:t xml:space="preserve">, </w:t>
      </w:r>
      <w:proofErr w:type="spellStart"/>
      <w:r>
        <w:rPr>
          <w:rFonts w:ascii="Times New Roman" w:hAnsi="Times New Roman"/>
          <w:sz w:val="20"/>
          <w:szCs w:val="20"/>
        </w:rPr>
        <w:t>Kogi</w:t>
      </w:r>
      <w:proofErr w:type="spellEnd"/>
      <w:r>
        <w:rPr>
          <w:rFonts w:ascii="Times New Roman" w:hAnsi="Times New Roman"/>
          <w:sz w:val="20"/>
          <w:szCs w:val="20"/>
        </w:rPr>
        <w:t xml:space="preserve"> State, Nigeria. </w:t>
      </w:r>
      <w:r>
        <w:rPr>
          <w:rFonts w:ascii="Times New Roman" w:hAnsi="Times New Roman"/>
          <w:i/>
          <w:iCs/>
          <w:sz w:val="20"/>
          <w:szCs w:val="20"/>
        </w:rPr>
        <w:t xml:space="preserve">International Journal </w:t>
      </w:r>
      <w:proofErr w:type="gramStart"/>
      <w:r>
        <w:rPr>
          <w:rFonts w:ascii="Times New Roman" w:hAnsi="Times New Roman"/>
          <w:i/>
          <w:iCs/>
          <w:sz w:val="20"/>
          <w:szCs w:val="20"/>
        </w:rPr>
        <w:t>Of</w:t>
      </w:r>
      <w:proofErr w:type="gramEnd"/>
      <w:r>
        <w:rPr>
          <w:rFonts w:ascii="Times New Roman" w:hAnsi="Times New Roman"/>
          <w:i/>
          <w:iCs/>
          <w:sz w:val="20"/>
          <w:szCs w:val="20"/>
        </w:rPr>
        <w:t xml:space="preserve"> Agricultural Economics, Management And Development</w:t>
      </w:r>
      <w:r>
        <w:rPr>
          <w:rFonts w:ascii="Times New Roman" w:hAnsi="Times New Roman"/>
          <w:iCs/>
          <w:sz w:val="20"/>
          <w:szCs w:val="20"/>
        </w:rPr>
        <w:t>,</w:t>
      </w:r>
      <w:r>
        <w:rPr>
          <w:rFonts w:ascii="Times New Roman" w:hAnsi="Times New Roman"/>
          <w:i/>
          <w:iCs/>
          <w:sz w:val="20"/>
          <w:szCs w:val="20"/>
        </w:rPr>
        <w:t xml:space="preserve"> </w:t>
      </w:r>
      <w:r>
        <w:rPr>
          <w:rFonts w:ascii="Times New Roman" w:hAnsi="Times New Roman"/>
          <w:sz w:val="20"/>
          <w:szCs w:val="20"/>
        </w:rPr>
        <w:t>8(2); 172-182.</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Okonmah</w:t>
      </w:r>
      <w:proofErr w:type="spellEnd"/>
      <w:r>
        <w:rPr>
          <w:rFonts w:ascii="Times New Roman" w:hAnsi="Times New Roman"/>
          <w:sz w:val="20"/>
          <w:szCs w:val="20"/>
        </w:rPr>
        <w:t>, L. U. (2011) Effects of different types of staking and their cost effectiveness on growth, yield components of cucumber (</w:t>
      </w:r>
      <w:proofErr w:type="spellStart"/>
      <w:r>
        <w:rPr>
          <w:rFonts w:ascii="Times New Roman" w:hAnsi="Times New Roman"/>
          <w:i/>
          <w:iCs/>
          <w:sz w:val="20"/>
          <w:szCs w:val="20"/>
        </w:rPr>
        <w:t>Cucum</w:t>
      </w:r>
      <w:r>
        <w:rPr>
          <w:rFonts w:ascii="Times New Roman" w:hAnsi="Times New Roman"/>
          <w:i/>
          <w:iCs/>
          <w:sz w:val="20"/>
          <w:szCs w:val="20"/>
        </w:rPr>
        <w:t>is</w:t>
      </w:r>
      <w:proofErr w:type="spellEnd"/>
      <w:r>
        <w:rPr>
          <w:rFonts w:ascii="Times New Roman" w:hAnsi="Times New Roman"/>
          <w:i/>
          <w:iCs/>
          <w:sz w:val="20"/>
          <w:szCs w:val="20"/>
        </w:rPr>
        <w:t xml:space="preserve"> sativa </w:t>
      </w:r>
      <w:r>
        <w:rPr>
          <w:rFonts w:ascii="Times New Roman" w:hAnsi="Times New Roman"/>
          <w:sz w:val="20"/>
          <w:szCs w:val="20"/>
        </w:rPr>
        <w:t xml:space="preserve">L.) </w:t>
      </w:r>
      <w:r>
        <w:rPr>
          <w:rFonts w:ascii="Times New Roman" w:hAnsi="Times New Roman"/>
          <w:i/>
          <w:iCs/>
          <w:sz w:val="20"/>
          <w:szCs w:val="20"/>
        </w:rPr>
        <w:t>International Journal of Agricultural Science</w:t>
      </w:r>
      <w:r>
        <w:rPr>
          <w:rFonts w:ascii="Times New Roman" w:hAnsi="Times New Roman"/>
          <w:sz w:val="20"/>
          <w:szCs w:val="20"/>
        </w:rPr>
        <w:t>, 1(5): 290-295.</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Olsen, S.R. and Sommers, L.E. (1982) Phosphorus. In: A.L. Page (ed.). Methods of soil analysis. Part 2. Chemical and microbiological properties. Am. Soc. of </w:t>
      </w:r>
      <w:proofErr w:type="spellStart"/>
      <w:r>
        <w:rPr>
          <w:rFonts w:ascii="Times New Roman" w:hAnsi="Times New Roman"/>
          <w:sz w:val="20"/>
          <w:szCs w:val="20"/>
        </w:rPr>
        <w:t>Agron</w:t>
      </w:r>
      <w:proofErr w:type="spellEnd"/>
      <w:r>
        <w:rPr>
          <w:rFonts w:ascii="Times New Roman" w:hAnsi="Times New Roman"/>
          <w:sz w:val="20"/>
          <w:szCs w:val="20"/>
        </w:rPr>
        <w:t>., Madison, Wiscon</w:t>
      </w:r>
      <w:r>
        <w:rPr>
          <w:rFonts w:ascii="Times New Roman" w:hAnsi="Times New Roman"/>
          <w:sz w:val="20"/>
          <w:szCs w:val="20"/>
        </w:rPr>
        <w:t>sin.</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Premshekar</w:t>
      </w:r>
      <w:proofErr w:type="spellEnd"/>
      <w:r>
        <w:rPr>
          <w:rFonts w:ascii="Times New Roman" w:hAnsi="Times New Roman"/>
          <w:sz w:val="20"/>
          <w:szCs w:val="20"/>
        </w:rPr>
        <w:t xml:space="preserve">, M. and </w:t>
      </w:r>
      <w:proofErr w:type="spellStart"/>
      <w:r>
        <w:rPr>
          <w:rFonts w:ascii="Times New Roman" w:hAnsi="Times New Roman"/>
          <w:sz w:val="20"/>
          <w:szCs w:val="20"/>
        </w:rPr>
        <w:t>Rajashree</w:t>
      </w:r>
      <w:proofErr w:type="spellEnd"/>
      <w:r>
        <w:rPr>
          <w:rFonts w:ascii="Times New Roman" w:hAnsi="Times New Roman"/>
          <w:sz w:val="20"/>
          <w:szCs w:val="20"/>
        </w:rPr>
        <w:t xml:space="preserve">, V. (2009). Influence of organic manures on growth, yield and quality of okra. </w:t>
      </w:r>
      <w:r>
        <w:rPr>
          <w:rFonts w:ascii="Times New Roman" w:hAnsi="Times New Roman"/>
          <w:i/>
          <w:iCs/>
          <w:sz w:val="20"/>
          <w:szCs w:val="20"/>
        </w:rPr>
        <w:t>American Eurasian Journal of Sustainable Agriculture</w:t>
      </w:r>
      <w:r>
        <w:rPr>
          <w:rFonts w:ascii="Times New Roman" w:hAnsi="Times New Roman"/>
          <w:sz w:val="20"/>
          <w:szCs w:val="20"/>
        </w:rPr>
        <w:t xml:space="preserve">, 3(1), pp.6-8.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Sanni</w:t>
      </w:r>
      <w:proofErr w:type="spellEnd"/>
      <w:r>
        <w:rPr>
          <w:rFonts w:ascii="Times New Roman" w:hAnsi="Times New Roman"/>
          <w:sz w:val="20"/>
          <w:szCs w:val="20"/>
        </w:rPr>
        <w:t xml:space="preserve">, K. O. and </w:t>
      </w:r>
      <w:proofErr w:type="spellStart"/>
      <w:r>
        <w:rPr>
          <w:rFonts w:ascii="Times New Roman" w:hAnsi="Times New Roman"/>
          <w:sz w:val="20"/>
          <w:szCs w:val="20"/>
        </w:rPr>
        <w:t>Adenubi</w:t>
      </w:r>
      <w:proofErr w:type="spellEnd"/>
      <w:r>
        <w:rPr>
          <w:rFonts w:ascii="Times New Roman" w:hAnsi="Times New Roman"/>
          <w:sz w:val="20"/>
          <w:szCs w:val="20"/>
        </w:rPr>
        <w:t>, O. O. (2015) Influence of Goat and Pig Manure on</w:t>
      </w:r>
      <w:r>
        <w:rPr>
          <w:rFonts w:ascii="Times New Roman" w:hAnsi="Times New Roman"/>
          <w:sz w:val="20"/>
          <w:szCs w:val="20"/>
        </w:rPr>
        <w:t xml:space="preserve"> Growth </w:t>
      </w:r>
      <w:proofErr w:type="spellStart"/>
      <w:r>
        <w:rPr>
          <w:rFonts w:ascii="Times New Roman" w:hAnsi="Times New Roman"/>
          <w:sz w:val="20"/>
          <w:szCs w:val="20"/>
        </w:rPr>
        <w:t>nd</w:t>
      </w:r>
      <w:proofErr w:type="spellEnd"/>
      <w:r>
        <w:rPr>
          <w:rFonts w:ascii="Times New Roman" w:hAnsi="Times New Roman"/>
          <w:sz w:val="20"/>
          <w:szCs w:val="20"/>
        </w:rPr>
        <w:t xml:space="preserve"> Yield Potential of Okra (</w:t>
      </w:r>
      <w:proofErr w:type="spellStart"/>
      <w:r>
        <w:rPr>
          <w:rFonts w:ascii="Times New Roman" w:hAnsi="Times New Roman"/>
          <w:i/>
          <w:sz w:val="20"/>
          <w:szCs w:val="20"/>
        </w:rPr>
        <w:t>Abelmoschus</w:t>
      </w:r>
      <w:proofErr w:type="spellEnd"/>
      <w:r>
        <w:rPr>
          <w:rFonts w:ascii="Times New Roman" w:hAnsi="Times New Roman"/>
          <w:i/>
          <w:sz w:val="20"/>
          <w:szCs w:val="20"/>
        </w:rPr>
        <w:t xml:space="preserve"> </w:t>
      </w:r>
      <w:proofErr w:type="spellStart"/>
      <w:r>
        <w:rPr>
          <w:rFonts w:ascii="Times New Roman" w:hAnsi="Times New Roman"/>
          <w:i/>
          <w:sz w:val="20"/>
          <w:szCs w:val="20"/>
        </w:rPr>
        <w:t>esculentus</w:t>
      </w:r>
      <w:proofErr w:type="spellEnd"/>
      <w:r>
        <w:rPr>
          <w:rFonts w:ascii="Times New Roman" w:hAnsi="Times New Roman"/>
          <w:sz w:val="20"/>
          <w:szCs w:val="20"/>
        </w:rPr>
        <w:t xml:space="preserve"> L. </w:t>
      </w:r>
      <w:proofErr w:type="spellStart"/>
      <w:r>
        <w:rPr>
          <w:rFonts w:ascii="Times New Roman" w:hAnsi="Times New Roman"/>
          <w:sz w:val="20"/>
          <w:szCs w:val="20"/>
        </w:rPr>
        <w:t>Moench</w:t>
      </w:r>
      <w:proofErr w:type="spellEnd"/>
      <w:r>
        <w:rPr>
          <w:rFonts w:ascii="Times New Roman" w:hAnsi="Times New Roman"/>
          <w:sz w:val="20"/>
          <w:szCs w:val="20"/>
        </w:rPr>
        <w:t xml:space="preserve">) in </w:t>
      </w:r>
      <w:proofErr w:type="spellStart"/>
      <w:r>
        <w:rPr>
          <w:rFonts w:ascii="Times New Roman" w:hAnsi="Times New Roman"/>
          <w:sz w:val="20"/>
          <w:szCs w:val="20"/>
        </w:rPr>
        <w:t>Ikorodu</w:t>
      </w:r>
      <w:proofErr w:type="spellEnd"/>
      <w:r>
        <w:rPr>
          <w:rFonts w:ascii="Times New Roman" w:hAnsi="Times New Roman"/>
          <w:sz w:val="20"/>
          <w:szCs w:val="20"/>
        </w:rPr>
        <w:t xml:space="preserve"> Agro-Ecological Zone of Nigeria. </w:t>
      </w:r>
      <w:r>
        <w:rPr>
          <w:rFonts w:ascii="Times New Roman" w:hAnsi="Times New Roman"/>
          <w:i/>
          <w:sz w:val="20"/>
          <w:szCs w:val="20"/>
        </w:rPr>
        <w:t>World Rural Observations</w:t>
      </w:r>
      <w:r>
        <w:rPr>
          <w:rFonts w:ascii="Times New Roman" w:hAnsi="Times New Roman"/>
          <w:sz w:val="20"/>
          <w:szCs w:val="20"/>
        </w:rPr>
        <w:t>, 7(4): 1 – 6.</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proofErr w:type="spellStart"/>
      <w:r>
        <w:rPr>
          <w:rFonts w:ascii="Times New Roman" w:hAnsi="Times New Roman"/>
          <w:bCs/>
          <w:sz w:val="20"/>
          <w:szCs w:val="20"/>
        </w:rPr>
        <w:t>Sanni</w:t>
      </w:r>
      <w:proofErr w:type="spellEnd"/>
      <w:r>
        <w:rPr>
          <w:rFonts w:ascii="Times New Roman" w:hAnsi="Times New Roman"/>
          <w:bCs/>
          <w:sz w:val="20"/>
          <w:szCs w:val="20"/>
        </w:rPr>
        <w:t xml:space="preserve">, K. O., Bello, A. A. and </w:t>
      </w:r>
      <w:proofErr w:type="spellStart"/>
      <w:r>
        <w:rPr>
          <w:rFonts w:ascii="Times New Roman" w:hAnsi="Times New Roman"/>
          <w:bCs/>
          <w:sz w:val="20"/>
          <w:szCs w:val="20"/>
        </w:rPr>
        <w:t>Okedele</w:t>
      </w:r>
      <w:proofErr w:type="spellEnd"/>
      <w:r>
        <w:rPr>
          <w:rFonts w:ascii="Times New Roman" w:hAnsi="Times New Roman"/>
          <w:bCs/>
          <w:sz w:val="20"/>
          <w:szCs w:val="20"/>
        </w:rPr>
        <w:t>, N.O. (2021). Effects of Pig and Goat Droppings on Soil Physioch</w:t>
      </w:r>
      <w:r>
        <w:rPr>
          <w:rFonts w:ascii="Times New Roman" w:hAnsi="Times New Roman"/>
          <w:bCs/>
          <w:sz w:val="20"/>
          <w:szCs w:val="20"/>
        </w:rPr>
        <w:t>emical Properties and Yield of Cucumber (</w:t>
      </w:r>
      <w:proofErr w:type="spellStart"/>
      <w:r>
        <w:rPr>
          <w:rFonts w:ascii="Times New Roman" w:hAnsi="Times New Roman"/>
          <w:bCs/>
          <w:i/>
          <w:iCs/>
          <w:sz w:val="20"/>
          <w:szCs w:val="20"/>
        </w:rPr>
        <w:t>Cucumis</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sativus</w:t>
      </w:r>
      <w:proofErr w:type="spellEnd"/>
      <w:r>
        <w:rPr>
          <w:rFonts w:ascii="Times New Roman" w:hAnsi="Times New Roman"/>
          <w:bCs/>
          <w:i/>
          <w:iCs/>
          <w:sz w:val="20"/>
          <w:szCs w:val="20"/>
        </w:rPr>
        <w:t xml:space="preserve"> L.</w:t>
      </w:r>
      <w:r>
        <w:rPr>
          <w:rFonts w:ascii="Times New Roman" w:hAnsi="Times New Roman"/>
          <w:bCs/>
          <w:sz w:val="20"/>
          <w:szCs w:val="20"/>
        </w:rPr>
        <w:t xml:space="preserve">). </w:t>
      </w:r>
      <w:r>
        <w:rPr>
          <w:rFonts w:ascii="Times New Roman" w:hAnsi="Times New Roman"/>
          <w:sz w:val="20"/>
          <w:szCs w:val="20"/>
        </w:rPr>
        <w:t xml:space="preserve">Bulgarian Journal of Soil Science, 6(2): 176-184.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SAS (Statistical Analysis System) Institute (2004) SAS user guides, version 9.1.SAS Inc. Cary. North Carolina, USA.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Schmidt, C. J. J., </w:t>
      </w:r>
      <w:proofErr w:type="spellStart"/>
      <w:r>
        <w:rPr>
          <w:rFonts w:ascii="Times New Roman" w:hAnsi="Times New Roman"/>
          <w:sz w:val="20"/>
          <w:szCs w:val="20"/>
        </w:rPr>
        <w:t>Adriaan</w:t>
      </w:r>
      <w:r>
        <w:rPr>
          <w:rFonts w:ascii="Times New Roman" w:hAnsi="Times New Roman"/>
          <w:sz w:val="20"/>
          <w:szCs w:val="20"/>
        </w:rPr>
        <w:t>se</w:t>
      </w:r>
      <w:proofErr w:type="spellEnd"/>
      <w:r>
        <w:rPr>
          <w:rFonts w:ascii="Times New Roman" w:hAnsi="Times New Roman"/>
          <w:sz w:val="20"/>
          <w:szCs w:val="20"/>
        </w:rPr>
        <w:t xml:space="preserve">, F. G. and du </w:t>
      </w:r>
      <w:proofErr w:type="spellStart"/>
      <w:r>
        <w:rPr>
          <w:rFonts w:ascii="Times New Roman" w:hAnsi="Times New Roman"/>
          <w:sz w:val="20"/>
          <w:szCs w:val="20"/>
        </w:rPr>
        <w:t>Preez</w:t>
      </w:r>
      <w:proofErr w:type="spellEnd"/>
      <w:r>
        <w:rPr>
          <w:rFonts w:ascii="Times New Roman" w:hAnsi="Times New Roman"/>
          <w:sz w:val="20"/>
          <w:szCs w:val="20"/>
        </w:rPr>
        <w:t xml:space="preserve">, C. C. (2004). Relationships between </w:t>
      </w:r>
      <w:proofErr w:type="spellStart"/>
      <w:r>
        <w:rPr>
          <w:rFonts w:ascii="Times New Roman" w:hAnsi="Times New Roman"/>
          <w:sz w:val="20"/>
          <w:szCs w:val="20"/>
        </w:rPr>
        <w:t>Ambic</w:t>
      </w:r>
      <w:proofErr w:type="spellEnd"/>
      <w:r>
        <w:rPr>
          <w:rFonts w:ascii="Times New Roman" w:hAnsi="Times New Roman"/>
          <w:sz w:val="20"/>
          <w:szCs w:val="20"/>
        </w:rPr>
        <w:t xml:space="preserve"> 1 </w:t>
      </w:r>
      <w:r>
        <w:rPr>
          <w:rFonts w:ascii="Times New Roman" w:hAnsi="Times New Roman"/>
          <w:sz w:val="20"/>
          <w:szCs w:val="20"/>
        </w:rPr>
        <w:lastRenderedPageBreak/>
        <w:t>and Bray 1 extractable phosphorus in some South African arable soils. South African Journal of Plant and Soil, 21(2): 71-79.</w:t>
      </w:r>
    </w:p>
    <w:p w:rsidR="00374032" w:rsidRDefault="00CF01F2" w:rsidP="0062079B">
      <w:pPr>
        <w:numPr>
          <w:ilvl w:val="0"/>
          <w:numId w:val="3"/>
        </w:numPr>
        <w:snapToGrid w:val="0"/>
        <w:spacing w:after="0" w:line="240" w:lineRule="auto"/>
        <w:ind w:left="567" w:hanging="567"/>
        <w:jc w:val="both"/>
        <w:rPr>
          <w:rFonts w:ascii="Times New Roman" w:hAnsi="Times New Roman"/>
          <w:color w:val="000000"/>
          <w:sz w:val="20"/>
          <w:szCs w:val="20"/>
        </w:rPr>
      </w:pPr>
      <w:r>
        <w:rPr>
          <w:rFonts w:ascii="Times New Roman" w:hAnsi="Times New Roman"/>
          <w:color w:val="000000"/>
          <w:sz w:val="20"/>
          <w:szCs w:val="20"/>
        </w:rPr>
        <w:t xml:space="preserve">Sharma, R. P., </w:t>
      </w:r>
      <w:proofErr w:type="spellStart"/>
      <w:r>
        <w:rPr>
          <w:rFonts w:ascii="Times New Roman" w:hAnsi="Times New Roman"/>
          <w:color w:val="000000"/>
          <w:sz w:val="20"/>
          <w:szCs w:val="20"/>
        </w:rPr>
        <w:t>Datt</w:t>
      </w:r>
      <w:proofErr w:type="spellEnd"/>
      <w:r>
        <w:rPr>
          <w:rFonts w:ascii="Times New Roman" w:hAnsi="Times New Roman"/>
          <w:color w:val="000000"/>
          <w:sz w:val="20"/>
          <w:szCs w:val="20"/>
        </w:rPr>
        <w:t xml:space="preserve">, N. and </w:t>
      </w:r>
      <w:proofErr w:type="spellStart"/>
      <w:r>
        <w:rPr>
          <w:rFonts w:ascii="Times New Roman" w:hAnsi="Times New Roman"/>
          <w:color w:val="000000"/>
          <w:sz w:val="20"/>
          <w:szCs w:val="20"/>
        </w:rPr>
        <w:t>Chander</w:t>
      </w:r>
      <w:proofErr w:type="spellEnd"/>
      <w:r>
        <w:rPr>
          <w:rFonts w:ascii="Times New Roman" w:hAnsi="Times New Roman"/>
          <w:color w:val="000000"/>
          <w:sz w:val="20"/>
          <w:szCs w:val="20"/>
        </w:rPr>
        <w:t xml:space="preserve">, G. (2009). Effect of </w:t>
      </w:r>
      <w:proofErr w:type="spellStart"/>
      <w:r>
        <w:rPr>
          <w:rFonts w:ascii="Times New Roman" w:hAnsi="Times New Roman"/>
          <w:color w:val="000000"/>
          <w:sz w:val="20"/>
          <w:szCs w:val="20"/>
        </w:rPr>
        <w:t>vermi</w:t>
      </w:r>
      <w:r>
        <w:rPr>
          <w:rFonts w:ascii="Times New Roman" w:hAnsi="Times New Roman"/>
          <w:color w:val="000000"/>
          <w:sz w:val="20"/>
          <w:szCs w:val="20"/>
        </w:rPr>
        <w:t>compost</w:t>
      </w:r>
      <w:proofErr w:type="spellEnd"/>
      <w:r>
        <w:rPr>
          <w:rFonts w:ascii="Times New Roman" w:hAnsi="Times New Roman"/>
          <w:color w:val="000000"/>
          <w:sz w:val="20"/>
          <w:szCs w:val="20"/>
        </w:rPr>
        <w:t xml:space="preserve">, FYM and mineral fertilizers on yield and nutrient uptake and soil fertility in okra-onion sequence in wet temperate zone of Himachal Pradesh. </w:t>
      </w:r>
      <w:r>
        <w:rPr>
          <w:rFonts w:ascii="Times New Roman" w:hAnsi="Times New Roman"/>
          <w:i/>
          <w:iCs/>
          <w:color w:val="000000"/>
          <w:sz w:val="20"/>
          <w:szCs w:val="20"/>
        </w:rPr>
        <w:t xml:space="preserve">Journal of the Indian Society of Soil Science, </w:t>
      </w:r>
      <w:r>
        <w:rPr>
          <w:rFonts w:ascii="Times New Roman" w:hAnsi="Times New Roman"/>
          <w:color w:val="000000"/>
          <w:sz w:val="20"/>
          <w:szCs w:val="20"/>
        </w:rPr>
        <w:t xml:space="preserve">57: 357−361. </w:t>
      </w:r>
    </w:p>
    <w:p w:rsidR="00374032" w:rsidRDefault="00CF01F2" w:rsidP="0062079B">
      <w:pPr>
        <w:numPr>
          <w:ilvl w:val="0"/>
          <w:numId w:val="3"/>
        </w:numPr>
        <w:snapToGrid w:val="0"/>
        <w:spacing w:after="0" w:line="240" w:lineRule="auto"/>
        <w:ind w:left="567" w:hanging="567"/>
        <w:jc w:val="both"/>
        <w:rPr>
          <w:rFonts w:ascii="Times New Roman" w:hAnsi="Times New Roman"/>
          <w:color w:val="000000"/>
          <w:sz w:val="20"/>
          <w:szCs w:val="20"/>
        </w:rPr>
      </w:pPr>
      <w:r>
        <w:rPr>
          <w:rFonts w:ascii="Times New Roman" w:hAnsi="Times New Roman"/>
          <w:color w:val="000000"/>
          <w:sz w:val="20"/>
          <w:szCs w:val="20"/>
        </w:rPr>
        <w:t xml:space="preserve">Sharma, V., </w:t>
      </w:r>
      <w:proofErr w:type="spellStart"/>
      <w:r>
        <w:rPr>
          <w:rFonts w:ascii="Times New Roman" w:hAnsi="Times New Roman"/>
          <w:color w:val="000000"/>
          <w:sz w:val="20"/>
          <w:szCs w:val="20"/>
        </w:rPr>
        <w:t>Kanwar</w:t>
      </w:r>
      <w:proofErr w:type="spellEnd"/>
      <w:r>
        <w:rPr>
          <w:rFonts w:ascii="Times New Roman" w:hAnsi="Times New Roman"/>
          <w:color w:val="000000"/>
          <w:sz w:val="20"/>
          <w:szCs w:val="20"/>
        </w:rPr>
        <w:t xml:space="preserve">, K. and Dev, S. P. </w:t>
      </w:r>
      <w:r>
        <w:rPr>
          <w:rFonts w:ascii="Times New Roman" w:hAnsi="Times New Roman"/>
          <w:color w:val="000000"/>
          <w:sz w:val="20"/>
          <w:szCs w:val="20"/>
        </w:rPr>
        <w:t>(2004). Efficient recycling of obnoxious weed plants (</w:t>
      </w:r>
      <w:r>
        <w:rPr>
          <w:rFonts w:ascii="Times New Roman" w:hAnsi="Times New Roman"/>
          <w:i/>
          <w:iCs/>
          <w:color w:val="000000"/>
          <w:sz w:val="20"/>
          <w:szCs w:val="20"/>
        </w:rPr>
        <w:t xml:space="preserve">Lantana camera </w:t>
      </w:r>
      <w:r>
        <w:rPr>
          <w:rFonts w:ascii="Times New Roman" w:hAnsi="Times New Roman"/>
          <w:color w:val="000000"/>
          <w:sz w:val="20"/>
          <w:szCs w:val="20"/>
        </w:rPr>
        <w:t>L.) and congress grass (</w:t>
      </w:r>
      <w:proofErr w:type="spellStart"/>
      <w:r>
        <w:rPr>
          <w:rFonts w:ascii="Times New Roman" w:hAnsi="Times New Roman"/>
          <w:i/>
          <w:iCs/>
          <w:color w:val="000000"/>
          <w:sz w:val="20"/>
          <w:szCs w:val="20"/>
        </w:rPr>
        <w:t>Parthenium</w:t>
      </w:r>
      <w:proofErr w:type="spellEnd"/>
      <w:r>
        <w:rPr>
          <w:rFonts w:ascii="Times New Roman" w:hAnsi="Times New Roman"/>
          <w:i/>
          <w:iCs/>
          <w:color w:val="000000"/>
          <w:sz w:val="20"/>
          <w:szCs w:val="20"/>
        </w:rPr>
        <w:t xml:space="preserve"> </w:t>
      </w:r>
      <w:proofErr w:type="spellStart"/>
      <w:r>
        <w:rPr>
          <w:rFonts w:ascii="Times New Roman" w:hAnsi="Times New Roman"/>
          <w:i/>
          <w:iCs/>
          <w:color w:val="000000"/>
          <w:sz w:val="20"/>
          <w:szCs w:val="20"/>
        </w:rPr>
        <w:t>hysterophorous</w:t>
      </w:r>
      <w:proofErr w:type="spellEnd"/>
      <w:r>
        <w:rPr>
          <w:rFonts w:ascii="Times New Roman" w:hAnsi="Times New Roman"/>
          <w:i/>
          <w:iCs/>
          <w:color w:val="000000"/>
          <w:sz w:val="20"/>
          <w:szCs w:val="20"/>
        </w:rPr>
        <w:t xml:space="preserve"> </w:t>
      </w:r>
      <w:r>
        <w:rPr>
          <w:rFonts w:ascii="Times New Roman" w:hAnsi="Times New Roman"/>
          <w:color w:val="000000"/>
          <w:sz w:val="20"/>
          <w:szCs w:val="20"/>
        </w:rPr>
        <w:t xml:space="preserve">L.) as organic manure through </w:t>
      </w:r>
      <w:proofErr w:type="spellStart"/>
      <w:r>
        <w:rPr>
          <w:rFonts w:ascii="Times New Roman" w:hAnsi="Times New Roman"/>
          <w:color w:val="000000"/>
          <w:sz w:val="20"/>
          <w:szCs w:val="20"/>
        </w:rPr>
        <w:t>vermicompost</w:t>
      </w:r>
      <w:proofErr w:type="spellEnd"/>
      <w:r>
        <w:rPr>
          <w:rFonts w:ascii="Times New Roman" w:hAnsi="Times New Roman"/>
          <w:i/>
          <w:iCs/>
          <w:color w:val="000000"/>
          <w:sz w:val="20"/>
          <w:szCs w:val="20"/>
        </w:rPr>
        <w:t>. Journal of the Indian Society of Soil Science</w:t>
      </w:r>
      <w:r>
        <w:rPr>
          <w:rFonts w:ascii="Times New Roman" w:hAnsi="Times New Roman"/>
          <w:color w:val="000000"/>
          <w:sz w:val="20"/>
          <w:szCs w:val="20"/>
        </w:rPr>
        <w:t>, 52:112-113.</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Smith, M. and </w:t>
      </w:r>
      <w:proofErr w:type="spellStart"/>
      <w:r>
        <w:rPr>
          <w:rFonts w:ascii="Times New Roman" w:hAnsi="Times New Roman"/>
          <w:sz w:val="20"/>
          <w:szCs w:val="20"/>
        </w:rPr>
        <w:t>Ayenigbara</w:t>
      </w:r>
      <w:proofErr w:type="spellEnd"/>
      <w:r>
        <w:rPr>
          <w:rFonts w:ascii="Times New Roman" w:hAnsi="Times New Roman"/>
          <w:sz w:val="20"/>
          <w:szCs w:val="20"/>
        </w:rPr>
        <w:t>, E. (2001</w:t>
      </w:r>
      <w:r>
        <w:rPr>
          <w:rFonts w:ascii="Times New Roman" w:hAnsi="Times New Roman"/>
          <w:sz w:val="20"/>
          <w:szCs w:val="20"/>
        </w:rPr>
        <w:t xml:space="preserve">). Comparative growth and nutrient composition of Indian Spinach in an enriched humid tropical environment. </w:t>
      </w:r>
      <w:r>
        <w:rPr>
          <w:rFonts w:ascii="Times New Roman" w:hAnsi="Times New Roman"/>
          <w:i/>
          <w:iCs/>
          <w:sz w:val="20"/>
          <w:szCs w:val="20"/>
        </w:rPr>
        <w:t xml:space="preserve">African Crop Science Conference Proceedings, </w:t>
      </w:r>
      <w:r>
        <w:rPr>
          <w:rFonts w:ascii="Times New Roman" w:hAnsi="Times New Roman"/>
          <w:sz w:val="20"/>
          <w:szCs w:val="20"/>
        </w:rPr>
        <w:t>5:1007-1013.</w:t>
      </w:r>
    </w:p>
    <w:p w:rsidR="00374032" w:rsidRDefault="00CF01F2" w:rsidP="0062079B">
      <w:pPr>
        <w:numPr>
          <w:ilvl w:val="0"/>
          <w:numId w:val="3"/>
        </w:numPr>
        <w:snapToGrid w:val="0"/>
        <w:spacing w:after="0" w:line="240" w:lineRule="auto"/>
        <w:ind w:left="567" w:hanging="567"/>
        <w:jc w:val="both"/>
        <w:rPr>
          <w:rFonts w:ascii="Times New Roman" w:hAnsi="Times New Roman"/>
          <w:color w:val="000000"/>
          <w:sz w:val="20"/>
          <w:szCs w:val="20"/>
        </w:rPr>
      </w:pPr>
      <w:proofErr w:type="spellStart"/>
      <w:r>
        <w:rPr>
          <w:rFonts w:ascii="Times New Roman" w:hAnsi="Times New Roman"/>
          <w:color w:val="000000"/>
          <w:sz w:val="20"/>
          <w:szCs w:val="20"/>
        </w:rPr>
        <w:t>Sreenivas</w:t>
      </w:r>
      <w:proofErr w:type="spellEnd"/>
      <w:r>
        <w:rPr>
          <w:rFonts w:ascii="Times New Roman" w:hAnsi="Times New Roman"/>
          <w:color w:val="000000"/>
          <w:sz w:val="20"/>
          <w:szCs w:val="20"/>
        </w:rPr>
        <w:t xml:space="preserve">, C., </w:t>
      </w:r>
      <w:proofErr w:type="spellStart"/>
      <w:r>
        <w:rPr>
          <w:rFonts w:ascii="Times New Roman" w:hAnsi="Times New Roman"/>
          <w:color w:val="000000"/>
          <w:sz w:val="20"/>
          <w:szCs w:val="20"/>
        </w:rPr>
        <w:t>Murlidhar</w:t>
      </w:r>
      <w:proofErr w:type="spellEnd"/>
      <w:r>
        <w:rPr>
          <w:rFonts w:ascii="Times New Roman" w:hAnsi="Times New Roman"/>
          <w:color w:val="000000"/>
          <w:sz w:val="20"/>
          <w:szCs w:val="20"/>
        </w:rPr>
        <w:t xml:space="preserve">, S. and Rao, M. S. (2000). </w:t>
      </w:r>
      <w:proofErr w:type="spellStart"/>
      <w:r>
        <w:rPr>
          <w:rFonts w:ascii="Times New Roman" w:hAnsi="Times New Roman"/>
          <w:color w:val="000000"/>
          <w:sz w:val="20"/>
          <w:szCs w:val="20"/>
        </w:rPr>
        <w:t>Vermicompost</w:t>
      </w:r>
      <w:proofErr w:type="spellEnd"/>
      <w:r>
        <w:rPr>
          <w:rFonts w:ascii="Times New Roman" w:hAnsi="Times New Roman"/>
          <w:color w:val="000000"/>
          <w:sz w:val="20"/>
          <w:szCs w:val="20"/>
        </w:rPr>
        <w:t>- a viable component of IP</w:t>
      </w:r>
      <w:r>
        <w:rPr>
          <w:rFonts w:ascii="Times New Roman" w:hAnsi="Times New Roman"/>
          <w:color w:val="000000"/>
          <w:sz w:val="20"/>
          <w:szCs w:val="20"/>
        </w:rPr>
        <w:t xml:space="preserve">NSS in nitro-gen nutrition of ridge gourd. </w:t>
      </w:r>
      <w:r>
        <w:rPr>
          <w:rFonts w:ascii="Times New Roman" w:hAnsi="Times New Roman"/>
          <w:i/>
          <w:iCs/>
          <w:color w:val="000000"/>
          <w:sz w:val="20"/>
          <w:szCs w:val="20"/>
        </w:rPr>
        <w:t xml:space="preserve">Annals of Agricultural Research, </w:t>
      </w:r>
      <w:r>
        <w:rPr>
          <w:rFonts w:ascii="Times New Roman" w:hAnsi="Times New Roman"/>
          <w:color w:val="000000"/>
          <w:sz w:val="20"/>
          <w:szCs w:val="20"/>
        </w:rPr>
        <w:t xml:space="preserve">21:108-113. </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Sumner, M. E. (1994) Measurement of soil pH: Problems and Solutions. Communications in Soil Science and Plant Analysis, 25: 859–879.</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Tahir, S. M., Usman, I. S., </w:t>
      </w:r>
      <w:proofErr w:type="spellStart"/>
      <w:r>
        <w:rPr>
          <w:rFonts w:ascii="Times New Roman" w:hAnsi="Times New Roman"/>
          <w:sz w:val="20"/>
          <w:szCs w:val="20"/>
        </w:rPr>
        <w:t>Katung</w:t>
      </w:r>
      <w:proofErr w:type="spellEnd"/>
      <w:r>
        <w:rPr>
          <w:rFonts w:ascii="Times New Roman" w:hAnsi="Times New Roman"/>
          <w:sz w:val="20"/>
          <w:szCs w:val="20"/>
        </w:rPr>
        <w:t xml:space="preserve">, M. D. and </w:t>
      </w:r>
      <w:proofErr w:type="spellStart"/>
      <w:r>
        <w:rPr>
          <w:rFonts w:ascii="Times New Roman" w:hAnsi="Times New Roman"/>
          <w:sz w:val="20"/>
          <w:szCs w:val="20"/>
        </w:rPr>
        <w:t>Ishiyaku</w:t>
      </w:r>
      <w:proofErr w:type="spellEnd"/>
      <w:r>
        <w:rPr>
          <w:rFonts w:ascii="Times New Roman" w:hAnsi="Times New Roman"/>
          <w:sz w:val="20"/>
          <w:szCs w:val="20"/>
        </w:rPr>
        <w:t xml:space="preserve">, M. F. (2014). </w:t>
      </w:r>
      <w:r>
        <w:rPr>
          <w:rFonts w:ascii="Times New Roman" w:hAnsi="Times New Roman"/>
          <w:i/>
          <w:iCs/>
          <w:sz w:val="20"/>
          <w:szCs w:val="20"/>
        </w:rPr>
        <w:t xml:space="preserve">In Situ </w:t>
      </w:r>
      <w:r>
        <w:rPr>
          <w:rFonts w:ascii="Times New Roman" w:hAnsi="Times New Roman"/>
          <w:sz w:val="20"/>
          <w:szCs w:val="20"/>
        </w:rPr>
        <w:t>Germination and Early Seedling Growth of Wormwood (</w:t>
      </w:r>
      <w:r>
        <w:rPr>
          <w:rFonts w:ascii="Times New Roman" w:hAnsi="Times New Roman"/>
          <w:i/>
          <w:iCs/>
          <w:sz w:val="20"/>
          <w:szCs w:val="20"/>
        </w:rPr>
        <w:t xml:space="preserve">Artemisia </w:t>
      </w:r>
      <w:proofErr w:type="spellStart"/>
      <w:r>
        <w:rPr>
          <w:rFonts w:ascii="Times New Roman" w:hAnsi="Times New Roman"/>
          <w:i/>
          <w:iCs/>
          <w:sz w:val="20"/>
          <w:szCs w:val="20"/>
        </w:rPr>
        <w:t>annua</w:t>
      </w:r>
      <w:proofErr w:type="spellEnd"/>
      <w:r>
        <w:rPr>
          <w:rFonts w:ascii="Times New Roman" w:hAnsi="Times New Roman"/>
          <w:i/>
          <w:iCs/>
          <w:sz w:val="20"/>
          <w:szCs w:val="20"/>
        </w:rPr>
        <w:t xml:space="preserve"> </w:t>
      </w:r>
      <w:r>
        <w:rPr>
          <w:rFonts w:ascii="Times New Roman" w:hAnsi="Times New Roman"/>
          <w:sz w:val="20"/>
          <w:szCs w:val="20"/>
        </w:rPr>
        <w:t>L.</w:t>
      </w:r>
      <w:r>
        <w:rPr>
          <w:rFonts w:ascii="Times New Roman" w:hAnsi="Times New Roman"/>
          <w:i/>
          <w:iCs/>
          <w:sz w:val="20"/>
          <w:szCs w:val="20"/>
        </w:rPr>
        <w:t xml:space="preserve">) American Journal of Plant Sciences. </w:t>
      </w:r>
      <w:r>
        <w:rPr>
          <w:rFonts w:ascii="Times New Roman" w:hAnsi="Times New Roman"/>
          <w:sz w:val="20"/>
          <w:szCs w:val="20"/>
        </w:rPr>
        <w:t>5:1694-1701.</w:t>
      </w:r>
    </w:p>
    <w:p w:rsidR="00374032" w:rsidRDefault="00CF01F2" w:rsidP="0062079B">
      <w:pPr>
        <w:numPr>
          <w:ilvl w:val="0"/>
          <w:numId w:val="3"/>
        </w:numPr>
        <w:snapToGrid w:val="0"/>
        <w:spacing w:after="0" w:line="240" w:lineRule="auto"/>
        <w:ind w:left="567" w:hanging="567"/>
        <w:jc w:val="both"/>
        <w:rPr>
          <w:rStyle w:val="A5"/>
          <w:rFonts w:ascii="Times New Roman" w:hAnsi="Times New Roman"/>
          <w:sz w:val="20"/>
          <w:szCs w:val="20"/>
        </w:rPr>
      </w:pPr>
      <w:r>
        <w:rPr>
          <w:rStyle w:val="A5"/>
          <w:rFonts w:ascii="Times New Roman" w:hAnsi="Times New Roman"/>
          <w:sz w:val="20"/>
          <w:szCs w:val="20"/>
        </w:rPr>
        <w:t>Thomas, G. W. (1982) Exchangeable cations. In: Page AL, Mi</w:t>
      </w:r>
      <w:r>
        <w:rPr>
          <w:rStyle w:val="A5"/>
          <w:rFonts w:ascii="Times New Roman" w:hAnsi="Times New Roman"/>
          <w:sz w:val="20"/>
          <w:szCs w:val="20"/>
        </w:rPr>
        <w:t>ller RH, Keeney DR (Eds.), Methods of soil analysis, 2nd edi</w:t>
      </w:r>
      <w:r>
        <w:rPr>
          <w:rStyle w:val="A5"/>
          <w:rFonts w:ascii="Times New Roman" w:hAnsi="Times New Roman"/>
          <w:sz w:val="20"/>
          <w:szCs w:val="20"/>
        </w:rPr>
        <w:softHyphen/>
        <w:t>tion, Part 2. American Society of Agronomy, Madison, WI, USA, pp 159-165.</w:t>
      </w:r>
    </w:p>
    <w:p w:rsidR="00374032" w:rsidRDefault="00CF01F2" w:rsidP="0062079B">
      <w:pPr>
        <w:numPr>
          <w:ilvl w:val="0"/>
          <w:numId w:val="3"/>
        </w:numPr>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Usman, M. (2015) Cow Dung, Goat and Poultry Manure and Their Effects on the Average Yields and Growth Parameters of Tomat</w:t>
      </w:r>
      <w:r>
        <w:rPr>
          <w:rFonts w:ascii="Times New Roman" w:hAnsi="Times New Roman"/>
          <w:sz w:val="20"/>
          <w:szCs w:val="20"/>
        </w:rPr>
        <w:t xml:space="preserve">o Crop. </w:t>
      </w:r>
      <w:r>
        <w:rPr>
          <w:rFonts w:ascii="Times New Roman" w:hAnsi="Times New Roman"/>
          <w:i/>
          <w:sz w:val="20"/>
          <w:szCs w:val="20"/>
        </w:rPr>
        <w:t>Journal of Biology, Agriculture and Healthcare</w:t>
      </w:r>
      <w:r>
        <w:rPr>
          <w:rFonts w:ascii="Times New Roman" w:hAnsi="Times New Roman"/>
          <w:sz w:val="20"/>
          <w:szCs w:val="20"/>
        </w:rPr>
        <w:t>; Vol.5, No.5: 7 – 10.</w:t>
      </w:r>
    </w:p>
    <w:p w:rsidR="00374032" w:rsidRDefault="00CF01F2" w:rsidP="0062079B">
      <w:pPr>
        <w:numPr>
          <w:ilvl w:val="0"/>
          <w:numId w:val="3"/>
        </w:numPr>
        <w:snapToGrid w:val="0"/>
        <w:spacing w:after="0" w:line="240" w:lineRule="auto"/>
        <w:ind w:left="567" w:hanging="567"/>
        <w:jc w:val="both"/>
        <w:rPr>
          <w:rFonts w:ascii="Times New Roman" w:hAnsi="Times New Roman"/>
          <w:color w:val="000000"/>
          <w:sz w:val="20"/>
          <w:szCs w:val="20"/>
        </w:rPr>
      </w:pPr>
      <w:proofErr w:type="spellStart"/>
      <w:r>
        <w:rPr>
          <w:rFonts w:ascii="Times New Roman" w:hAnsi="Times New Roman"/>
          <w:color w:val="000000"/>
          <w:sz w:val="20"/>
          <w:szCs w:val="20"/>
        </w:rPr>
        <w:t>Yaduvanshi</w:t>
      </w:r>
      <w:proofErr w:type="spellEnd"/>
      <w:r>
        <w:rPr>
          <w:rFonts w:ascii="Times New Roman" w:hAnsi="Times New Roman"/>
          <w:color w:val="000000"/>
          <w:sz w:val="20"/>
          <w:szCs w:val="20"/>
        </w:rPr>
        <w:t xml:space="preserve">, N. P. S. (2001). Effect of five years of rice wheat cropping and NPK fertilizer use with and without organic and green manures on soil properties and crop yields in a </w:t>
      </w:r>
      <w:r>
        <w:rPr>
          <w:rFonts w:ascii="Times New Roman" w:hAnsi="Times New Roman"/>
          <w:color w:val="000000"/>
          <w:sz w:val="20"/>
          <w:szCs w:val="20"/>
        </w:rPr>
        <w:t xml:space="preserve">reclamation sodic soil. </w:t>
      </w:r>
      <w:r>
        <w:rPr>
          <w:rFonts w:ascii="Times New Roman" w:hAnsi="Times New Roman"/>
          <w:i/>
          <w:iCs/>
          <w:color w:val="000000"/>
          <w:sz w:val="20"/>
          <w:szCs w:val="20"/>
        </w:rPr>
        <w:t xml:space="preserve">Journal of the Indian Society of Soil Science, </w:t>
      </w:r>
      <w:r>
        <w:rPr>
          <w:rFonts w:ascii="Times New Roman" w:hAnsi="Times New Roman"/>
          <w:color w:val="000000"/>
          <w:sz w:val="20"/>
          <w:szCs w:val="20"/>
        </w:rPr>
        <w:t xml:space="preserve">49(4): 714−719. </w:t>
      </w:r>
    </w:p>
    <w:p w:rsidR="00374032" w:rsidRDefault="00374032">
      <w:pPr>
        <w:snapToGrid w:val="0"/>
        <w:spacing w:after="0" w:line="240" w:lineRule="auto"/>
        <w:ind w:left="540" w:hanging="540"/>
        <w:jc w:val="both"/>
        <w:rPr>
          <w:rFonts w:ascii="Times New Roman" w:hAnsi="Times New Roman"/>
          <w:color w:val="000000"/>
          <w:sz w:val="20"/>
          <w:szCs w:val="20"/>
        </w:rPr>
      </w:pPr>
    </w:p>
    <w:p w:rsidR="00374032" w:rsidRDefault="00374032">
      <w:pPr>
        <w:snapToGrid w:val="0"/>
        <w:spacing w:after="0" w:line="240" w:lineRule="auto"/>
        <w:ind w:left="540" w:hanging="540"/>
        <w:jc w:val="both"/>
        <w:rPr>
          <w:rFonts w:ascii="Times New Roman" w:hAnsi="Times New Roman"/>
          <w:color w:val="000000"/>
          <w:sz w:val="20"/>
          <w:szCs w:val="20"/>
        </w:rPr>
      </w:pPr>
    </w:p>
    <w:p w:rsidR="00374032" w:rsidRDefault="00CF01F2">
      <w:pPr>
        <w:snapToGrid w:val="0"/>
        <w:spacing w:after="0" w:line="240" w:lineRule="auto"/>
        <w:ind w:left="540" w:hanging="540"/>
        <w:jc w:val="right"/>
        <w:rPr>
          <w:rFonts w:ascii="Times New Roman" w:hAnsi="Times New Roman"/>
          <w:color w:val="000000"/>
          <w:sz w:val="20"/>
          <w:szCs w:val="20"/>
        </w:rPr>
      </w:pPr>
      <w:r>
        <w:rPr>
          <w:rFonts w:ascii="Times New Roman" w:hAnsi="Times New Roman"/>
          <w:color w:val="000000"/>
          <w:sz w:val="20"/>
          <w:szCs w:val="20"/>
        </w:rPr>
        <w:t>3/15/2024</w:t>
      </w:r>
    </w:p>
    <w:sectPr w:rsidR="00374032">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1F2" w:rsidRDefault="00CF01F2">
      <w:pPr>
        <w:spacing w:line="240" w:lineRule="auto"/>
      </w:pPr>
      <w:r>
        <w:separator/>
      </w:r>
    </w:p>
  </w:endnote>
  <w:endnote w:type="continuationSeparator" w:id="0">
    <w:p w:rsidR="00CF01F2" w:rsidRDefault="00CF0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32" w:rsidRDefault="00CF01F2">
    <w:pPr>
      <w:snapToGrid w:val="0"/>
      <w:spacing w:after="0" w:line="240" w:lineRule="auto"/>
      <w:jc w:val="center"/>
      <w:rPr>
        <w:rFonts w:ascii="Times New Roman" w:hAnsi="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4032" w:rsidRDefault="00CF01F2">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2079B">
                            <w:rPr>
                              <w:rFonts w:ascii="Times New Roman" w:hAnsi="Times New Roman"/>
                              <w:noProof/>
                              <w:sz w:val="20"/>
                              <w:szCs w:val="20"/>
                            </w:rPr>
                            <w:t>99</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74032" w:rsidRDefault="00CF01F2">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2079B">
                      <w:rPr>
                        <w:rFonts w:ascii="Times New Roman" w:hAnsi="Times New Roman"/>
                        <w:noProof/>
                        <w:sz w:val="20"/>
                        <w:szCs w:val="20"/>
                      </w:rPr>
                      <w:t>99</w:t>
                    </w:r>
                    <w:r>
                      <w:rPr>
                        <w:rFonts w:ascii="Times New Roman" w:hAnsi="Times New Roman"/>
                        <w:sz w:val="20"/>
                        <w:szCs w:val="20"/>
                      </w:rP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http://www.sciencepub.net/newyork</w:t>
      </w:r>
    </w:hyperlink>
    <w:r>
      <w:rPr>
        <w:rFonts w:ascii="Times New Roman" w:hAnsi="Times New Roman"/>
        <w:bCs/>
        <w:sz w:val="20"/>
      </w:rPr>
      <w:t xml:space="preserve">          </w:t>
    </w:r>
    <w:r>
      <w:rPr>
        <w:rFonts w:ascii="Times New Roman" w:hAnsi="Times New Roman" w:hint="eastAsia"/>
        <w:bCs/>
        <w:sz w:val="20"/>
        <w:lang w:eastAsia="zh-CN"/>
      </w:rPr>
      <w:t xml:space="preserve">                   </w:t>
    </w:r>
    <w:r>
      <w:rPr>
        <w:rFonts w:ascii="Times New Roman" w:hAnsi="Times New Roman"/>
        <w:bCs/>
        <w:sz w:val="20"/>
      </w:rPr>
      <w:t xml:space="preserve">                        </w:t>
    </w:r>
    <w:hyperlink r:id="rId2" w:history="1">
      <w:r>
        <w:rPr>
          <w:rStyle w:val="Hyperlink"/>
          <w:rFonts w:ascii="Times New Roman" w:hAnsi="Times New Roman"/>
          <w:bCs/>
          <w:sz w:val="20"/>
        </w:rPr>
        <w:t>newyorksci@gmail.com</w:t>
      </w:r>
    </w:hyperlink>
  </w:p>
  <w:p w:rsidR="00374032" w:rsidRDefault="00374032">
    <w:pPr>
      <w:snapToGrid w:val="0"/>
      <w:spacing w:after="0" w:line="240" w:lineRule="auto"/>
      <w:jc w:val="center"/>
      <w:rPr>
        <w:rFonts w:ascii="Times New Roman" w:hAnsi="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32" w:rsidRDefault="00CF01F2">
    <w:pPr>
      <w:snapToGrid w:val="0"/>
      <w:spacing w:after="0" w:line="240" w:lineRule="auto"/>
      <w:jc w:val="center"/>
      <w:rPr>
        <w:rFonts w:ascii="Times New Roman" w:hAnsi="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74032" w:rsidRDefault="00CF01F2">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2079B">
                            <w:rPr>
                              <w:rFonts w:ascii="Times New Roman" w:hAnsi="Times New Roman"/>
                              <w:noProof/>
                              <w:sz w:val="20"/>
                              <w:szCs w:val="20"/>
                            </w:rPr>
                            <w:t>94</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374032" w:rsidRDefault="00CF01F2">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2079B">
                      <w:rPr>
                        <w:rFonts w:ascii="Times New Roman" w:hAnsi="Times New Roman"/>
                        <w:noProof/>
                        <w:sz w:val="20"/>
                        <w:szCs w:val="20"/>
                      </w:rPr>
                      <w:t>94</w:t>
                    </w:r>
                    <w:r>
                      <w:rPr>
                        <w:rFonts w:ascii="Times New Roman" w:hAnsi="Times New Roman"/>
                        <w:sz w:val="20"/>
                        <w:szCs w:val="20"/>
                      </w:rP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http://www.sciencepub.net/newyork</w:t>
      </w:r>
    </w:hyperlink>
    <w:r>
      <w:rPr>
        <w:rFonts w:ascii="Times New Roman" w:hAnsi="Times New Roman"/>
        <w:bCs/>
        <w:sz w:val="20"/>
      </w:rPr>
      <w:t xml:space="preserve">          </w:t>
    </w:r>
    <w:r>
      <w:rPr>
        <w:rFonts w:ascii="Times New Roman" w:hAnsi="Times New Roman" w:hint="eastAsia"/>
        <w:bCs/>
        <w:sz w:val="20"/>
        <w:lang w:eastAsia="zh-CN"/>
      </w:rPr>
      <w:t xml:space="preserve">                   </w:t>
    </w:r>
    <w:r>
      <w:rPr>
        <w:rFonts w:ascii="Times New Roman" w:hAnsi="Times New Roman"/>
        <w:bCs/>
        <w:sz w:val="20"/>
      </w:rPr>
      <w:t xml:space="preserve">                        </w:t>
    </w:r>
    <w:hyperlink r:id="rId2" w:history="1">
      <w:r>
        <w:rPr>
          <w:rStyle w:val="Hyperlink"/>
          <w:rFonts w:ascii="Times New Roman" w:hAnsi="Times New Roman"/>
          <w:bCs/>
          <w:sz w:val="20"/>
        </w:rPr>
        <w:t>newyorksci@gmail.com</w:t>
      </w:r>
    </w:hyperlink>
  </w:p>
  <w:p w:rsidR="00374032" w:rsidRDefault="00374032">
    <w:pPr>
      <w:snapToGrid w:val="0"/>
      <w:spacing w:after="0" w:line="240" w:lineRule="auto"/>
      <w:jc w:val="center"/>
      <w:rPr>
        <w:rFonts w:ascii="Times New Roman" w:hAnsi="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1F2" w:rsidRDefault="00CF01F2">
      <w:pPr>
        <w:spacing w:after="0"/>
      </w:pPr>
      <w:r>
        <w:separator/>
      </w:r>
    </w:p>
  </w:footnote>
  <w:footnote w:type="continuationSeparator" w:id="0">
    <w:p w:rsidR="00CF01F2" w:rsidRDefault="00CF01F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32" w:rsidRDefault="00CF01F2">
    <w:pPr>
      <w:pBdr>
        <w:bottom w:val="thinThickMediumGap" w:sz="12" w:space="1" w:color="auto"/>
      </w:pBdr>
      <w:tabs>
        <w:tab w:val="left" w:pos="851"/>
        <w:tab w:val="right" w:pos="8364"/>
      </w:tabs>
      <w:adjustRightInd w:val="0"/>
      <w:snapToGrid w:val="0"/>
      <w:spacing w:after="0" w:line="240" w:lineRule="auto"/>
      <w:ind w:firstLineChars="300" w:firstLine="600"/>
      <w:jc w:val="both"/>
    </w:pPr>
    <w:r>
      <w:rPr>
        <w:rFonts w:ascii="Times New Roman" w:eastAsia="Calibri" w:hAnsi="Times New Roman"/>
        <w:sz w:val="20"/>
        <w:szCs w:val="20"/>
      </w:rPr>
      <w:t>New York Science Journal 202</w:t>
    </w:r>
    <w:r>
      <w:rPr>
        <w:rFonts w:ascii="Times New Roman" w:hAnsi="Times New Roman" w:hint="eastAsia"/>
        <w:sz w:val="20"/>
        <w:szCs w:val="20"/>
        <w:lang w:eastAsia="zh-CN"/>
      </w:rPr>
      <w:t>4</w:t>
    </w:r>
    <w:r>
      <w:rPr>
        <w:rFonts w:ascii="Times New Roman" w:eastAsia="Calibri" w:hAnsi="Times New Roman"/>
        <w:sz w:val="20"/>
        <w:szCs w:val="20"/>
      </w:rPr>
      <w:t>;1</w:t>
    </w:r>
    <w:r>
      <w:rPr>
        <w:rFonts w:ascii="Times New Roman" w:hAnsi="Times New Roman" w:hint="eastAsia"/>
        <w:sz w:val="20"/>
        <w:szCs w:val="20"/>
        <w:lang w:eastAsia="zh-CN"/>
      </w:rPr>
      <w:t>7</w:t>
    </w:r>
    <w:r>
      <w:rPr>
        <w:rFonts w:ascii="Times New Roman" w:eastAsia="Calibri" w:hAnsi="Times New Roman"/>
        <w:sz w:val="20"/>
        <w:szCs w:val="20"/>
      </w:rPr>
      <w:t>(</w:t>
    </w:r>
    <w:r>
      <w:rPr>
        <w:rFonts w:ascii="Times New Roman" w:hAnsi="Times New Roman" w:hint="eastAsia"/>
        <w:sz w:val="20"/>
        <w:szCs w:val="20"/>
        <w:lang w:eastAsia="zh-CN"/>
      </w:rPr>
      <w:t>3</w:t>
    </w:r>
    <w:r>
      <w:rPr>
        <w:rFonts w:ascii="Times New Roman" w:eastAsia="Calibri" w:hAnsi="Times New Roman"/>
        <w:sz w:val="20"/>
        <w:szCs w:val="20"/>
      </w:rPr>
      <w:t>)</w:t>
    </w:r>
    <w:r>
      <w:rPr>
        <w:rFonts w:ascii="Times New Roman" w:eastAsia="Calibri" w:hAnsi="Times New Roman"/>
        <w:iCs/>
        <w:sz w:val="20"/>
        <w:szCs w:val="20"/>
      </w:rPr>
      <w:t xml:space="preserve"> </w:t>
    </w:r>
    <w:r>
      <w:rPr>
        <w:rFonts w:ascii="Times New Roman" w:eastAsia="Calibri" w:hAnsi="Times New Roman"/>
        <w:iCs/>
        <w:sz w:val="20"/>
        <w:szCs w:val="20"/>
      </w:rPr>
      <w:tab/>
      <w:t xml:space="preserve">  </w:t>
    </w:r>
    <w:r>
      <w:rPr>
        <w:rFonts w:ascii="Times New Roman" w:hAnsi="Times New Roman" w:hint="eastAsia"/>
        <w:iCs/>
        <w:sz w:val="20"/>
        <w:szCs w:val="20"/>
        <w:lang w:eastAsia="zh-CN"/>
      </w:rPr>
      <w:t xml:space="preserve">                              </w:t>
    </w:r>
    <w:hyperlink r:id="rId1" w:history="1">
      <w:r>
        <w:rPr>
          <w:rFonts w:ascii="Times New Roman" w:eastAsia="Calibri" w:hAnsi="Times New Roman"/>
          <w:color w:val="0563C1"/>
          <w:sz w:val="20"/>
          <w:szCs w:val="20"/>
          <w:u w:val="single"/>
        </w:rPr>
        <w:t>http://www.sciencepub.net/newyork</w:t>
      </w:r>
    </w:hyperlink>
    <w:r>
      <w:rPr>
        <w:rFonts w:ascii="Times New Roman" w:eastAsia="Calibri" w:hAnsi="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032" w:rsidRDefault="00CF01F2">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91B72"/>
    <w:multiLevelType w:val="multilevel"/>
    <w:tmpl w:val="54F91B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D150A69"/>
    <w:multiLevelType w:val="multilevel"/>
    <w:tmpl w:val="6D150A69"/>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7BA96563"/>
    <w:multiLevelType w:val="multilevel"/>
    <w:tmpl w:val="7BA9656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B05F2F"/>
    <w:rsid w:val="00015142"/>
    <w:rsid w:val="000A4792"/>
    <w:rsid w:val="000A5AEA"/>
    <w:rsid w:val="000B2C27"/>
    <w:rsid w:val="000C7F35"/>
    <w:rsid w:val="00146D9B"/>
    <w:rsid w:val="0017685F"/>
    <w:rsid w:val="001E142C"/>
    <w:rsid w:val="00330C8D"/>
    <w:rsid w:val="00374032"/>
    <w:rsid w:val="003C50F6"/>
    <w:rsid w:val="003E61EA"/>
    <w:rsid w:val="00411F3A"/>
    <w:rsid w:val="00484AB7"/>
    <w:rsid w:val="0048594F"/>
    <w:rsid w:val="004A77B0"/>
    <w:rsid w:val="004B241C"/>
    <w:rsid w:val="004E4D49"/>
    <w:rsid w:val="00502130"/>
    <w:rsid w:val="00527127"/>
    <w:rsid w:val="005305CA"/>
    <w:rsid w:val="00542230"/>
    <w:rsid w:val="00573D10"/>
    <w:rsid w:val="00595284"/>
    <w:rsid w:val="005B1C98"/>
    <w:rsid w:val="005C739F"/>
    <w:rsid w:val="005C7A1D"/>
    <w:rsid w:val="005E16F0"/>
    <w:rsid w:val="0062079B"/>
    <w:rsid w:val="0065448B"/>
    <w:rsid w:val="00696692"/>
    <w:rsid w:val="006C437F"/>
    <w:rsid w:val="006C74C2"/>
    <w:rsid w:val="006E0F7F"/>
    <w:rsid w:val="00715DB0"/>
    <w:rsid w:val="007C4D0D"/>
    <w:rsid w:val="007D6B7F"/>
    <w:rsid w:val="00853940"/>
    <w:rsid w:val="0088332C"/>
    <w:rsid w:val="00884CE7"/>
    <w:rsid w:val="008A51E9"/>
    <w:rsid w:val="008D2152"/>
    <w:rsid w:val="00920222"/>
    <w:rsid w:val="00925227"/>
    <w:rsid w:val="009822D5"/>
    <w:rsid w:val="00991BF7"/>
    <w:rsid w:val="00993931"/>
    <w:rsid w:val="009A1AC1"/>
    <w:rsid w:val="009D43B9"/>
    <w:rsid w:val="00A25B19"/>
    <w:rsid w:val="00A53AD0"/>
    <w:rsid w:val="00A730D1"/>
    <w:rsid w:val="00A76146"/>
    <w:rsid w:val="00A841C2"/>
    <w:rsid w:val="00AB057B"/>
    <w:rsid w:val="00AD67A8"/>
    <w:rsid w:val="00AD70A0"/>
    <w:rsid w:val="00AD7C66"/>
    <w:rsid w:val="00B05F2F"/>
    <w:rsid w:val="00BC4090"/>
    <w:rsid w:val="00C37EE5"/>
    <w:rsid w:val="00C8274D"/>
    <w:rsid w:val="00C9652F"/>
    <w:rsid w:val="00CA78EB"/>
    <w:rsid w:val="00CF01F2"/>
    <w:rsid w:val="00D325BB"/>
    <w:rsid w:val="00DF7026"/>
    <w:rsid w:val="00E005E7"/>
    <w:rsid w:val="00E57DCE"/>
    <w:rsid w:val="00E841FD"/>
    <w:rsid w:val="00EA7B7A"/>
    <w:rsid w:val="00EC1F59"/>
    <w:rsid w:val="00EC4BCA"/>
    <w:rsid w:val="00EE13F2"/>
    <w:rsid w:val="00EE7DFB"/>
    <w:rsid w:val="00F43248"/>
    <w:rsid w:val="00F77F91"/>
    <w:rsid w:val="3C6C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9B4F9"/>
  <w15:docId w15:val="{AC876F32-A407-4C21-B065-D79C1ED3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table" w:styleId="TableGrid">
    <w:name w:val="Table Grid"/>
    <w:basedOn w:val="TableNormal"/>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qFormat/>
    <w:rPr>
      <w:color w:val="0000FF"/>
      <w:u w:val="single"/>
    </w:rPr>
  </w:style>
  <w:style w:type="paragraph" w:styleId="ListParagraph">
    <w:name w:val="List Paragraph"/>
    <w:basedOn w:val="Normal"/>
    <w:autoRedefine/>
    <w:uiPriority w:val="34"/>
    <w:qFormat/>
    <w:pPr>
      <w:ind w:left="720"/>
      <w:contextualSpacing/>
    </w:pPr>
  </w:style>
  <w:style w:type="paragraph" w:customStyle="1" w:styleId="Default">
    <w:name w:val="Default"/>
    <w:autoRedefine/>
    <w:qFormat/>
    <w:pPr>
      <w:autoSpaceDE w:val="0"/>
      <w:autoSpaceDN w:val="0"/>
      <w:adjustRightInd w:val="0"/>
    </w:pPr>
    <w:rPr>
      <w:rFonts w:ascii="Times New Roman" w:hAnsi="Times New Roman"/>
      <w:color w:val="000000"/>
      <w:sz w:val="24"/>
      <w:szCs w:val="24"/>
      <w:lang w:val="en-GB" w:eastAsia="en-US"/>
    </w:rPr>
  </w:style>
  <w:style w:type="character" w:customStyle="1" w:styleId="A3">
    <w:name w:val="A3"/>
    <w:autoRedefine/>
    <w:uiPriority w:val="99"/>
    <w:qFormat/>
    <w:rPr>
      <w:color w:val="000000"/>
      <w:sz w:val="20"/>
      <w:szCs w:val="20"/>
    </w:rPr>
  </w:style>
  <w:style w:type="character" w:customStyle="1" w:styleId="A5">
    <w:name w:val="A5"/>
    <w:autoRedefine/>
    <w:uiPriority w:val="99"/>
    <w:qFormat/>
    <w:rPr>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70324.0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4095</Words>
  <Characters>23343</Characters>
  <Application>Microsoft Office Word</Application>
  <DocSecurity>0</DocSecurity>
  <Lines>194</Lines>
  <Paragraphs>54</Paragraphs>
  <ScaleCrop>false</ScaleCrop>
  <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dcterms:created xsi:type="dcterms:W3CDTF">2024-04-10T00:12:00Z</dcterms:created>
  <dcterms:modified xsi:type="dcterms:W3CDTF">2024-04-16T02:27:00Z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1ea93365923a6859b56d4e6548ef84b1c5fe81e9302ce6eabc3a9a5d78709c1c</vt:lpwstr>
  </property>
  <property fmtid="{D5CDD505-2E9C-101B-9397-08002B2CF9AE}" pid="3" name="KSOProductBuildVer">
    <vt:lpwstr>2052-12.1.0.16399</vt:lpwstr>
  </property>
  <property fmtid="{D5CDD505-2E9C-101B-9397-08002B2CF9AE}" pid="4" name="ICV">
    <vt:lpwstr>C03DF775AADD4730A5C11E8B3567E635_12</vt:lpwstr>
  </property>
</Properties>
</file>