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26" w:rsidRPr="00D205B2" w:rsidRDefault="00FE3C5B" w:rsidP="00D205B2">
      <w:pPr>
        <w:jc w:val="center"/>
        <w:rPr>
          <w:rFonts w:ascii="Times New Roman" w:hAnsi="Times New Roman" w:cs="Times New Roman"/>
          <w:b/>
          <w:sz w:val="24"/>
          <w:szCs w:val="24"/>
        </w:rPr>
      </w:pPr>
      <w:r w:rsidRPr="00D205B2">
        <w:rPr>
          <w:rFonts w:ascii="Times New Roman" w:hAnsi="Times New Roman" w:cs="Times New Roman"/>
          <w:b/>
          <w:sz w:val="24"/>
          <w:szCs w:val="24"/>
        </w:rPr>
        <w:t>Genomics in Traditional African Healing and Strategies to Integrate Traditional Healers into Western-Type Health Care Services- A Retrospective Study</w:t>
      </w:r>
    </w:p>
    <w:p w:rsidR="00C401BD" w:rsidRPr="00C401BD" w:rsidRDefault="00F17E5B" w:rsidP="00C401B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 </w:t>
      </w:r>
      <w:r w:rsidR="00D205B2">
        <w:rPr>
          <w:rFonts w:ascii="Times New Roman" w:hAnsi="Times New Roman" w:cs="Times New Roman"/>
          <w:sz w:val="20"/>
          <w:szCs w:val="20"/>
        </w:rPr>
        <w:t>William E</w:t>
      </w:r>
      <w:r w:rsidR="00D205B2" w:rsidRPr="00C401BD">
        <w:rPr>
          <w:rFonts w:ascii="Times New Roman" w:hAnsi="Times New Roman" w:cs="Times New Roman"/>
          <w:sz w:val="20"/>
          <w:szCs w:val="20"/>
        </w:rPr>
        <w:t>bomoyi</w:t>
      </w:r>
      <w:proofErr w:type="gramStart"/>
      <w:r>
        <w:rPr>
          <w:rFonts w:ascii="Times New Roman" w:hAnsi="Times New Roman" w:cs="Times New Roman"/>
          <w:sz w:val="20"/>
          <w:szCs w:val="20"/>
        </w:rPr>
        <w:t xml:space="preserve">, </w:t>
      </w:r>
      <w:r w:rsidR="00600F58">
        <w:rPr>
          <w:rFonts w:ascii="Times New Roman" w:hAnsi="Times New Roman" w:cs="Times New Roman"/>
          <w:sz w:val="20"/>
          <w:szCs w:val="20"/>
        </w:rPr>
        <w:t xml:space="preserve"> Ph.D</w:t>
      </w:r>
      <w:proofErr w:type="gramEnd"/>
      <w:r w:rsidR="00C401BD" w:rsidRPr="00C401BD">
        <w:rPr>
          <w:rFonts w:ascii="Times New Roman" w:hAnsi="Times New Roman" w:cs="Times New Roman"/>
          <w:sz w:val="20"/>
          <w:szCs w:val="20"/>
        </w:rPr>
        <w:t>.</w:t>
      </w:r>
    </w:p>
    <w:p w:rsidR="00FB1959" w:rsidRPr="00C401BD" w:rsidRDefault="00D205B2" w:rsidP="00D205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Professor</w:t>
      </w:r>
      <w:r w:rsidR="00600F58">
        <w:rPr>
          <w:rFonts w:ascii="Times New Roman" w:hAnsi="Times New Roman" w:cs="Times New Roman"/>
          <w:sz w:val="20"/>
          <w:szCs w:val="20"/>
        </w:rPr>
        <w:t>,</w:t>
      </w:r>
      <w:r w:rsidR="00CB038A">
        <w:rPr>
          <w:rFonts w:ascii="Times New Roman" w:hAnsi="Times New Roman" w:cs="Times New Roman"/>
          <w:sz w:val="20"/>
          <w:szCs w:val="20"/>
        </w:rPr>
        <w:t xml:space="preserve"> Dept. of Health Studies,</w:t>
      </w:r>
      <w:r>
        <w:rPr>
          <w:rFonts w:ascii="Times New Roman" w:hAnsi="Times New Roman" w:cs="Times New Roman"/>
          <w:sz w:val="20"/>
          <w:szCs w:val="20"/>
        </w:rPr>
        <w:t xml:space="preserve"> </w:t>
      </w:r>
      <w:r w:rsidR="00FB1959" w:rsidRPr="00C401BD">
        <w:rPr>
          <w:rFonts w:ascii="Times New Roman" w:hAnsi="Times New Roman" w:cs="Times New Roman"/>
          <w:sz w:val="20"/>
          <w:szCs w:val="20"/>
        </w:rPr>
        <w:t>College of Health Sciences</w:t>
      </w:r>
      <w:r w:rsidR="00C401BD" w:rsidRPr="00C401BD">
        <w:rPr>
          <w:rFonts w:ascii="Times New Roman" w:hAnsi="Times New Roman" w:cs="Times New Roman"/>
          <w:sz w:val="20"/>
          <w:szCs w:val="20"/>
        </w:rPr>
        <w:t xml:space="preserve"> </w:t>
      </w:r>
      <w:r w:rsidR="00FB1959" w:rsidRPr="00C401BD">
        <w:rPr>
          <w:rFonts w:ascii="Times New Roman" w:hAnsi="Times New Roman" w:cs="Times New Roman"/>
          <w:sz w:val="20"/>
          <w:szCs w:val="20"/>
        </w:rPr>
        <w:t>Chicago State University</w:t>
      </w:r>
      <w:r w:rsidR="00C401BD" w:rsidRPr="00C401BD">
        <w:rPr>
          <w:rFonts w:ascii="Times New Roman" w:hAnsi="Times New Roman" w:cs="Times New Roman"/>
          <w:sz w:val="20"/>
          <w:szCs w:val="20"/>
        </w:rPr>
        <w:t xml:space="preserve"> </w:t>
      </w:r>
      <w:r w:rsidR="00FB1959" w:rsidRPr="00C401BD">
        <w:rPr>
          <w:rFonts w:ascii="Times New Roman" w:hAnsi="Times New Roman" w:cs="Times New Roman"/>
          <w:sz w:val="20"/>
          <w:szCs w:val="20"/>
        </w:rPr>
        <w:t>Chicago, Illinois 60628</w:t>
      </w:r>
    </w:p>
    <w:p w:rsidR="008B34BA" w:rsidRPr="00D205B2" w:rsidRDefault="007830B5" w:rsidP="00D205B2">
      <w:pPr>
        <w:spacing w:line="240" w:lineRule="auto"/>
        <w:jc w:val="center"/>
        <w:rPr>
          <w:rFonts w:ascii="Times New Roman" w:hAnsi="Times New Roman" w:cs="Times New Roman"/>
          <w:sz w:val="20"/>
          <w:szCs w:val="20"/>
        </w:rPr>
      </w:pPr>
      <w:hyperlink r:id="rId9" w:history="1">
        <w:r w:rsidR="00FB1959" w:rsidRPr="00C401BD">
          <w:rPr>
            <w:rStyle w:val="Hyperlink"/>
            <w:rFonts w:ascii="Times New Roman" w:hAnsi="Times New Roman" w:cs="Times New Roman"/>
            <w:sz w:val="20"/>
            <w:szCs w:val="20"/>
          </w:rPr>
          <w:t>eebomoyi@csu.edu</w:t>
        </w:r>
      </w:hyperlink>
    </w:p>
    <w:p w:rsidR="00B23AD3" w:rsidRPr="00C401BD" w:rsidRDefault="00D205B2" w:rsidP="00A25D00">
      <w:pPr>
        <w:spacing w:after="0" w:line="240" w:lineRule="auto"/>
        <w:rPr>
          <w:rFonts w:ascii="Times New Roman" w:hAnsi="Times New Roman" w:cs="Times New Roman"/>
          <w:color w:val="000000"/>
          <w:sz w:val="20"/>
          <w:szCs w:val="20"/>
        </w:rPr>
      </w:pPr>
      <w:r w:rsidRPr="00D205B2">
        <w:rPr>
          <w:rFonts w:ascii="Times New Roman" w:hAnsi="Times New Roman" w:cs="Times New Roman"/>
          <w:b/>
          <w:color w:val="000000"/>
          <w:sz w:val="20"/>
          <w:szCs w:val="20"/>
        </w:rPr>
        <w:t>Abstract</w:t>
      </w:r>
      <w:r>
        <w:rPr>
          <w:rFonts w:ascii="Times New Roman" w:hAnsi="Times New Roman" w:cs="Times New Roman"/>
          <w:color w:val="000000"/>
          <w:sz w:val="20"/>
          <w:szCs w:val="20"/>
        </w:rPr>
        <w:t xml:space="preserve">: </w:t>
      </w:r>
      <w:r w:rsidR="00533367">
        <w:rPr>
          <w:rFonts w:ascii="Times New Roman" w:hAnsi="Times New Roman" w:cs="Times New Roman"/>
          <w:color w:val="000000"/>
          <w:sz w:val="20"/>
          <w:szCs w:val="20"/>
        </w:rPr>
        <w:t>This study explores genomic</w:t>
      </w:r>
      <w:r w:rsidR="00B23AD3" w:rsidRPr="00C401BD">
        <w:rPr>
          <w:rFonts w:ascii="Times New Roman" w:hAnsi="Times New Roman" w:cs="Times New Roman"/>
          <w:color w:val="000000"/>
          <w:sz w:val="20"/>
          <w:szCs w:val="20"/>
        </w:rPr>
        <w:t xml:space="preserve"> i</w:t>
      </w:r>
      <w:r w:rsidR="007A6E06" w:rsidRPr="00C401BD">
        <w:rPr>
          <w:rFonts w:ascii="Times New Roman" w:hAnsi="Times New Roman" w:cs="Times New Roman"/>
          <w:color w:val="000000"/>
          <w:sz w:val="20"/>
          <w:szCs w:val="20"/>
        </w:rPr>
        <w:t>nsights into the process</w:t>
      </w:r>
      <w:r w:rsidR="00B23AD3" w:rsidRPr="00C401BD">
        <w:rPr>
          <w:rFonts w:ascii="Times New Roman" w:hAnsi="Times New Roman" w:cs="Times New Roman"/>
          <w:color w:val="000000"/>
          <w:sz w:val="20"/>
          <w:szCs w:val="20"/>
        </w:rPr>
        <w:t xml:space="preserve"> of traditional African healing</w:t>
      </w:r>
      <w:r w:rsidR="008A37D7" w:rsidRPr="00C401BD">
        <w:rPr>
          <w:rFonts w:ascii="Times New Roman" w:hAnsi="Times New Roman" w:cs="Times New Roman"/>
          <w:color w:val="000000"/>
          <w:sz w:val="20"/>
          <w:szCs w:val="20"/>
        </w:rPr>
        <w:t>;</w:t>
      </w:r>
      <w:r w:rsidR="00B23AD3" w:rsidRPr="00C401BD">
        <w:rPr>
          <w:rFonts w:ascii="Times New Roman" w:hAnsi="Times New Roman" w:cs="Times New Roman"/>
          <w:color w:val="000000"/>
          <w:sz w:val="20"/>
          <w:szCs w:val="20"/>
        </w:rPr>
        <w:t xml:space="preserve"> the use of medicinal plants</w:t>
      </w:r>
      <w:r w:rsidR="008A37D7" w:rsidRPr="00C401BD">
        <w:rPr>
          <w:rFonts w:ascii="Times New Roman" w:hAnsi="Times New Roman" w:cs="Times New Roman"/>
          <w:color w:val="000000"/>
          <w:sz w:val="20"/>
          <w:szCs w:val="20"/>
        </w:rPr>
        <w:t>, their</w:t>
      </w:r>
      <w:r w:rsidR="00B23AD3" w:rsidRPr="00C401BD">
        <w:rPr>
          <w:rFonts w:ascii="Times New Roman" w:hAnsi="Times New Roman" w:cs="Times New Roman"/>
          <w:color w:val="000000"/>
          <w:sz w:val="20"/>
          <w:szCs w:val="20"/>
        </w:rPr>
        <w:t xml:space="preserve"> therapeutic benefits and the application of biotechnology to enhance the exploitation of the active principles of these herbs and the removal of </w:t>
      </w:r>
      <w:r w:rsidR="008A37D7" w:rsidRPr="00C401BD">
        <w:rPr>
          <w:rFonts w:ascii="Times New Roman" w:hAnsi="Times New Roman" w:cs="Times New Roman"/>
          <w:color w:val="000000"/>
          <w:sz w:val="20"/>
          <w:szCs w:val="20"/>
        </w:rPr>
        <w:t>alkaloids that are most likely toxics to unsuspecting patients.</w:t>
      </w:r>
    </w:p>
    <w:p w:rsidR="009940AA" w:rsidRDefault="000D7C4B" w:rsidP="00A25D00">
      <w:pPr>
        <w:spacing w:after="0" w:line="240" w:lineRule="auto"/>
        <w:rPr>
          <w:rFonts w:ascii="Times New Roman" w:hAnsi="Times New Roman" w:cs="Times New Roman"/>
          <w:color w:val="000000"/>
          <w:sz w:val="20"/>
          <w:szCs w:val="20"/>
        </w:rPr>
      </w:pPr>
      <w:r w:rsidRPr="00C401BD">
        <w:rPr>
          <w:rFonts w:ascii="Times New Roman" w:hAnsi="Times New Roman" w:cs="Times New Roman"/>
          <w:color w:val="000000"/>
          <w:sz w:val="20"/>
          <w:szCs w:val="20"/>
        </w:rPr>
        <w:t xml:space="preserve">This study </w:t>
      </w:r>
      <w:r w:rsidR="008A37D7" w:rsidRPr="00C401BD">
        <w:rPr>
          <w:rFonts w:ascii="Times New Roman" w:hAnsi="Times New Roman" w:cs="Times New Roman"/>
          <w:color w:val="000000"/>
          <w:sz w:val="20"/>
          <w:szCs w:val="20"/>
        </w:rPr>
        <w:t>also examines</w:t>
      </w:r>
      <w:r w:rsidRPr="00C401BD">
        <w:rPr>
          <w:rFonts w:ascii="Times New Roman" w:hAnsi="Times New Roman" w:cs="Times New Roman"/>
          <w:color w:val="000000"/>
          <w:sz w:val="20"/>
          <w:szCs w:val="20"/>
        </w:rPr>
        <w:t xml:space="preserve"> the attitude of </w:t>
      </w:r>
      <w:r w:rsidRPr="00C401BD">
        <w:rPr>
          <w:rStyle w:val="yshortcuts"/>
          <w:rFonts w:ascii="Times New Roman" w:hAnsi="Times New Roman" w:cs="Times New Roman"/>
          <w:color w:val="000000"/>
          <w:sz w:val="20"/>
          <w:szCs w:val="20"/>
        </w:rPr>
        <w:t>health care consumers</w:t>
      </w:r>
      <w:r w:rsidRPr="00C401BD">
        <w:rPr>
          <w:rFonts w:ascii="Times New Roman" w:hAnsi="Times New Roman" w:cs="Times New Roman"/>
          <w:color w:val="000000"/>
          <w:sz w:val="20"/>
          <w:szCs w:val="20"/>
        </w:rPr>
        <w:t xml:space="preserve"> towards the integration of traditional healers into </w:t>
      </w:r>
      <w:r w:rsidRPr="00C401BD">
        <w:rPr>
          <w:rStyle w:val="yshortcuts"/>
          <w:rFonts w:ascii="Times New Roman" w:hAnsi="Times New Roman" w:cs="Times New Roman"/>
          <w:color w:val="000000"/>
          <w:sz w:val="20"/>
          <w:szCs w:val="20"/>
        </w:rPr>
        <w:t>primary health care delivery system</w:t>
      </w:r>
      <w:r w:rsidRPr="00C401BD">
        <w:rPr>
          <w:rFonts w:ascii="Times New Roman" w:hAnsi="Times New Roman" w:cs="Times New Roman"/>
          <w:color w:val="000000"/>
          <w:sz w:val="20"/>
          <w:szCs w:val="20"/>
        </w:rPr>
        <w:t xml:space="preserve"> in </w:t>
      </w:r>
      <w:r w:rsidRPr="00C401BD">
        <w:rPr>
          <w:rStyle w:val="yshortcuts"/>
          <w:rFonts w:ascii="Times New Roman" w:hAnsi="Times New Roman" w:cs="Times New Roman"/>
          <w:color w:val="000000"/>
          <w:sz w:val="20"/>
          <w:szCs w:val="20"/>
        </w:rPr>
        <w:t>Nigeria</w:t>
      </w:r>
      <w:r w:rsidRPr="00C401BD">
        <w:rPr>
          <w:rFonts w:ascii="Times New Roman" w:hAnsi="Times New Roman" w:cs="Times New Roman"/>
          <w:color w:val="000000"/>
          <w:sz w:val="20"/>
          <w:szCs w:val="20"/>
        </w:rPr>
        <w:t xml:space="preserve">. Additionally, the attitude of medical and nonmedical students towards the utilization of traditional healers at </w:t>
      </w:r>
      <w:r w:rsidRPr="00C401BD">
        <w:rPr>
          <w:rStyle w:val="yshortcuts"/>
          <w:rFonts w:ascii="Times New Roman" w:hAnsi="Times New Roman" w:cs="Times New Roman"/>
          <w:color w:val="000000"/>
          <w:sz w:val="20"/>
          <w:szCs w:val="20"/>
        </w:rPr>
        <w:t>primary health care</w:t>
      </w:r>
      <w:r w:rsidRPr="00C401BD">
        <w:rPr>
          <w:rFonts w:ascii="Times New Roman" w:hAnsi="Times New Roman" w:cs="Times New Roman"/>
          <w:color w:val="000000"/>
          <w:sz w:val="20"/>
          <w:szCs w:val="20"/>
        </w:rPr>
        <w:t xml:space="preserve"> </w:t>
      </w:r>
      <w:r w:rsidR="00533367">
        <w:rPr>
          <w:rFonts w:ascii="Times New Roman" w:hAnsi="Times New Roman" w:cs="Times New Roman"/>
          <w:color w:val="000000"/>
          <w:sz w:val="20"/>
          <w:szCs w:val="20"/>
        </w:rPr>
        <w:t>ce</w:t>
      </w:r>
      <w:r w:rsidR="008A37D7" w:rsidRPr="00C401BD">
        <w:rPr>
          <w:rFonts w:ascii="Times New Roman" w:hAnsi="Times New Roman" w:cs="Times New Roman"/>
          <w:color w:val="000000"/>
          <w:sz w:val="20"/>
          <w:szCs w:val="20"/>
        </w:rPr>
        <w:t>nters</w:t>
      </w:r>
      <w:r w:rsidR="00533367">
        <w:rPr>
          <w:rFonts w:ascii="Times New Roman" w:hAnsi="Times New Roman" w:cs="Times New Roman"/>
          <w:color w:val="000000"/>
          <w:sz w:val="20"/>
          <w:szCs w:val="20"/>
        </w:rPr>
        <w:t xml:space="preserve"> was compared. Cluster</w:t>
      </w:r>
      <w:r w:rsidRPr="00C401BD">
        <w:rPr>
          <w:rFonts w:ascii="Times New Roman" w:hAnsi="Times New Roman" w:cs="Times New Roman"/>
          <w:color w:val="000000"/>
          <w:sz w:val="20"/>
          <w:szCs w:val="20"/>
        </w:rPr>
        <w:t xml:space="preserve"> sample of 1000 respondents participated in the study from the urban, rural, and isolated villages in </w:t>
      </w:r>
      <w:proofErr w:type="spellStart"/>
      <w:r w:rsidRPr="00C401BD">
        <w:rPr>
          <w:rFonts w:ascii="Times New Roman" w:hAnsi="Times New Roman" w:cs="Times New Roman"/>
          <w:color w:val="000000"/>
          <w:sz w:val="20"/>
          <w:szCs w:val="20"/>
        </w:rPr>
        <w:t>kwara</w:t>
      </w:r>
      <w:proofErr w:type="spellEnd"/>
      <w:r w:rsidR="0086215F">
        <w:rPr>
          <w:rFonts w:ascii="Times New Roman" w:hAnsi="Times New Roman" w:cs="Times New Roman"/>
          <w:color w:val="000000"/>
          <w:sz w:val="20"/>
          <w:szCs w:val="20"/>
        </w:rPr>
        <w:t xml:space="preserve"> S</w:t>
      </w:r>
      <w:r w:rsidRPr="00C401BD">
        <w:rPr>
          <w:rFonts w:ascii="Times New Roman" w:hAnsi="Times New Roman" w:cs="Times New Roman"/>
          <w:color w:val="000000"/>
          <w:sz w:val="20"/>
          <w:szCs w:val="20"/>
        </w:rPr>
        <w:t>tate, Nigeria. A total of 960 questionnaires were mailed to all the university students; 480 to the medical and 480 to the nonmedical students. Established in this study</w:t>
      </w:r>
      <w:r w:rsidR="00533367">
        <w:rPr>
          <w:rFonts w:ascii="Times New Roman" w:hAnsi="Times New Roman" w:cs="Times New Roman"/>
          <w:color w:val="000000"/>
          <w:sz w:val="20"/>
          <w:szCs w:val="20"/>
        </w:rPr>
        <w:t>,</w:t>
      </w:r>
      <w:r w:rsidRPr="00C401BD">
        <w:rPr>
          <w:rFonts w:ascii="Times New Roman" w:hAnsi="Times New Roman" w:cs="Times New Roman"/>
          <w:color w:val="000000"/>
          <w:sz w:val="20"/>
          <w:szCs w:val="20"/>
        </w:rPr>
        <w:t xml:space="preserve"> was the shortage of health manpower. In Nigeria, over 30% of the respondents from the three communities indicated positive attitude toward the utilization o</w:t>
      </w:r>
      <w:r w:rsidR="00533367">
        <w:rPr>
          <w:rFonts w:ascii="Times New Roman" w:hAnsi="Times New Roman" w:cs="Times New Roman"/>
          <w:color w:val="000000"/>
          <w:sz w:val="20"/>
          <w:szCs w:val="20"/>
        </w:rPr>
        <w:t>f traditional healing service for</w:t>
      </w:r>
      <w:r w:rsidRPr="00C401BD">
        <w:rPr>
          <w:rFonts w:ascii="Times New Roman" w:hAnsi="Times New Roman" w:cs="Times New Roman"/>
          <w:color w:val="000000"/>
          <w:sz w:val="20"/>
          <w:szCs w:val="20"/>
        </w:rPr>
        <w:t xml:space="preserve"> orthopedic and </w:t>
      </w:r>
      <w:proofErr w:type="gramStart"/>
      <w:r w:rsidRPr="00C401BD">
        <w:rPr>
          <w:rStyle w:val="yshortcuts"/>
          <w:rFonts w:ascii="Times New Roman" w:hAnsi="Times New Roman" w:cs="Times New Roman"/>
          <w:color w:val="000000"/>
          <w:sz w:val="20"/>
          <w:szCs w:val="20"/>
        </w:rPr>
        <w:t>mental</w:t>
      </w:r>
      <w:proofErr w:type="gramEnd"/>
      <w:r w:rsidRPr="00C401BD">
        <w:rPr>
          <w:rStyle w:val="yshortcuts"/>
          <w:rFonts w:ascii="Times New Roman" w:hAnsi="Times New Roman" w:cs="Times New Roman"/>
          <w:color w:val="000000"/>
          <w:sz w:val="20"/>
          <w:szCs w:val="20"/>
        </w:rPr>
        <w:t xml:space="preserve"> health care</w:t>
      </w:r>
      <w:r w:rsidRPr="00C401BD">
        <w:rPr>
          <w:rFonts w:ascii="Times New Roman" w:hAnsi="Times New Roman" w:cs="Times New Roman"/>
          <w:color w:val="000000"/>
          <w:sz w:val="20"/>
          <w:szCs w:val="20"/>
        </w:rPr>
        <w:t xml:space="preserve">. Over 60% of the respondent stated that they will never patronize traditional healer for oracular consultation. </w:t>
      </w:r>
      <w:r w:rsidR="00843B7E" w:rsidRPr="00C401BD">
        <w:rPr>
          <w:rFonts w:ascii="Times New Roman" w:hAnsi="Times New Roman" w:cs="Times New Roman"/>
          <w:color w:val="000000"/>
          <w:sz w:val="20"/>
          <w:szCs w:val="20"/>
        </w:rPr>
        <w:t xml:space="preserve"> </w:t>
      </w:r>
      <w:r w:rsidRPr="00C401BD">
        <w:rPr>
          <w:rFonts w:ascii="Times New Roman" w:hAnsi="Times New Roman" w:cs="Times New Roman"/>
          <w:color w:val="000000"/>
          <w:sz w:val="20"/>
          <w:szCs w:val="20"/>
        </w:rPr>
        <w:t xml:space="preserve">Although statistically significant relationships existed between professional background and attitudes toward the acceptance of traditional healer into primary health care system, the fact that the magical component of </w:t>
      </w:r>
      <w:r w:rsidRPr="00C401BD">
        <w:rPr>
          <w:rStyle w:val="yshortcuts"/>
          <w:rFonts w:ascii="Times New Roman" w:hAnsi="Times New Roman" w:cs="Times New Roman"/>
          <w:color w:val="000000"/>
          <w:sz w:val="20"/>
          <w:szCs w:val="20"/>
        </w:rPr>
        <w:t>traditional medicine</w:t>
      </w:r>
      <w:r w:rsidRPr="00C401BD">
        <w:rPr>
          <w:rFonts w:ascii="Times New Roman" w:hAnsi="Times New Roman" w:cs="Times New Roman"/>
          <w:color w:val="000000"/>
          <w:sz w:val="20"/>
          <w:szCs w:val="20"/>
        </w:rPr>
        <w:t xml:space="preserve"> will constitute a barrier for the cooperation of physi</w:t>
      </w:r>
      <w:r w:rsidR="007A6E06" w:rsidRPr="00C401BD">
        <w:rPr>
          <w:rFonts w:ascii="Times New Roman" w:hAnsi="Times New Roman" w:cs="Times New Roman"/>
          <w:color w:val="000000"/>
          <w:sz w:val="20"/>
          <w:szCs w:val="20"/>
        </w:rPr>
        <w:t>cians was highly significant ( X</w:t>
      </w:r>
      <w:r w:rsidRPr="00C401BD">
        <w:rPr>
          <w:rFonts w:ascii="Times New Roman" w:hAnsi="Times New Roman" w:cs="Times New Roman"/>
          <w:color w:val="000000"/>
          <w:sz w:val="20"/>
          <w:szCs w:val="20"/>
          <w:vertAlign w:val="superscript"/>
        </w:rPr>
        <w:t>2</w:t>
      </w:r>
      <w:r w:rsidRPr="00C401BD">
        <w:rPr>
          <w:rFonts w:ascii="Times New Roman" w:hAnsi="Times New Roman" w:cs="Times New Roman"/>
          <w:color w:val="000000"/>
          <w:sz w:val="20"/>
          <w:szCs w:val="20"/>
        </w:rPr>
        <w:t>=101.5, 4df; p&lt;.01). To enable planner</w:t>
      </w:r>
      <w:r w:rsidR="008A37D7" w:rsidRPr="00C401BD">
        <w:rPr>
          <w:rFonts w:ascii="Times New Roman" w:hAnsi="Times New Roman" w:cs="Times New Roman"/>
          <w:color w:val="000000"/>
          <w:sz w:val="20"/>
          <w:szCs w:val="20"/>
        </w:rPr>
        <w:t>s to</w:t>
      </w:r>
      <w:r w:rsidRPr="00C401BD">
        <w:rPr>
          <w:rFonts w:ascii="Times New Roman" w:hAnsi="Times New Roman" w:cs="Times New Roman"/>
          <w:color w:val="000000"/>
          <w:sz w:val="20"/>
          <w:szCs w:val="20"/>
        </w:rPr>
        <w:t xml:space="preserve"> salvage the beneficial aspect of traditional medicine, it was recommended that the mode of healing adopted in traditional</w:t>
      </w:r>
      <w:r w:rsidR="008A37D7" w:rsidRPr="00C401BD">
        <w:rPr>
          <w:rFonts w:ascii="Times New Roman" w:hAnsi="Times New Roman" w:cs="Times New Roman"/>
          <w:color w:val="000000"/>
          <w:sz w:val="20"/>
          <w:szCs w:val="20"/>
        </w:rPr>
        <w:t xml:space="preserve"> healing should be empirically evaluated.</w:t>
      </w:r>
    </w:p>
    <w:p w:rsidR="008D564C" w:rsidRDefault="008D564C" w:rsidP="00A25D00">
      <w:pPr>
        <w:spacing w:after="0" w:line="240" w:lineRule="auto"/>
        <w:rPr>
          <w:rFonts w:ascii="Times New Roman" w:hAnsi="Times New Roman" w:cs="Times New Roman"/>
          <w:b/>
          <w:color w:val="000000"/>
          <w:sz w:val="20"/>
          <w:szCs w:val="20"/>
        </w:rPr>
      </w:pPr>
    </w:p>
    <w:p w:rsidR="008D564C" w:rsidRDefault="00A25D00" w:rsidP="00A25D00">
      <w:pPr>
        <w:spacing w:after="0" w:line="240" w:lineRule="auto"/>
        <w:rPr>
          <w:rFonts w:ascii="Times New Roman" w:hAnsi="Times New Roman" w:cs="Times New Roman"/>
          <w:color w:val="000000"/>
          <w:sz w:val="20"/>
          <w:szCs w:val="20"/>
        </w:rPr>
      </w:pPr>
      <w:r w:rsidRPr="00A25D00">
        <w:rPr>
          <w:rFonts w:ascii="Times New Roman" w:hAnsi="Times New Roman" w:cs="Times New Roman"/>
          <w:b/>
          <w:color w:val="000000"/>
          <w:sz w:val="20"/>
          <w:szCs w:val="20"/>
        </w:rPr>
        <w:t>Key Words</w:t>
      </w:r>
      <w:r w:rsidRPr="00A25D00">
        <w:rPr>
          <w:rFonts w:ascii="Times New Roman" w:hAnsi="Times New Roman" w:cs="Times New Roman"/>
          <w:color w:val="000000"/>
          <w:sz w:val="20"/>
          <w:szCs w:val="20"/>
        </w:rPr>
        <w:t xml:space="preserve">: Genomics, Traditional African Healing, Western-Type Medicine, </w:t>
      </w:r>
      <w:r w:rsidR="0077739D">
        <w:rPr>
          <w:rFonts w:ascii="Times New Roman" w:hAnsi="Times New Roman" w:cs="Times New Roman"/>
          <w:color w:val="000000"/>
          <w:sz w:val="20"/>
          <w:szCs w:val="20"/>
        </w:rPr>
        <w:t xml:space="preserve">Primary Health </w:t>
      </w:r>
      <w:r w:rsidRPr="00A25D00">
        <w:rPr>
          <w:rFonts w:ascii="Times New Roman" w:hAnsi="Times New Roman" w:cs="Times New Roman"/>
          <w:color w:val="000000"/>
          <w:sz w:val="20"/>
          <w:szCs w:val="20"/>
        </w:rPr>
        <w:t>Care Services</w:t>
      </w:r>
      <w:r w:rsidR="0077739D">
        <w:rPr>
          <w:rFonts w:ascii="Times New Roman" w:hAnsi="Times New Roman" w:cs="Times New Roman"/>
          <w:color w:val="000000"/>
          <w:sz w:val="20"/>
          <w:szCs w:val="20"/>
        </w:rPr>
        <w:t>,</w:t>
      </w:r>
      <w:r w:rsidRPr="00A25D00">
        <w:rPr>
          <w:rFonts w:ascii="Times New Roman" w:hAnsi="Times New Roman" w:cs="Times New Roman"/>
          <w:color w:val="000000"/>
          <w:sz w:val="20"/>
          <w:szCs w:val="20"/>
        </w:rPr>
        <w:t xml:space="preserve"> Retrospective Study  </w:t>
      </w:r>
    </w:p>
    <w:p w:rsidR="008D564C" w:rsidRDefault="008D564C" w:rsidP="00A25D00">
      <w:pPr>
        <w:spacing w:after="0" w:line="240" w:lineRule="auto"/>
        <w:rPr>
          <w:rFonts w:ascii="Times New Roman" w:hAnsi="Times New Roman" w:cs="Times New Roman"/>
          <w:color w:val="000000"/>
          <w:sz w:val="20"/>
          <w:szCs w:val="20"/>
        </w:rPr>
      </w:pPr>
    </w:p>
    <w:p w:rsidR="00A25D00" w:rsidRPr="00A25D00" w:rsidRDefault="00A25D00" w:rsidP="00A25D00">
      <w:pPr>
        <w:spacing w:after="0" w:line="240" w:lineRule="auto"/>
        <w:rPr>
          <w:rFonts w:ascii="Times New Roman" w:hAnsi="Times New Roman" w:cs="Times New Roman"/>
          <w:color w:val="000000"/>
          <w:sz w:val="20"/>
          <w:szCs w:val="20"/>
        </w:rPr>
      </w:pPr>
      <w:r w:rsidRPr="00A25D00">
        <w:rPr>
          <w:rFonts w:ascii="Times New Roman" w:hAnsi="Times New Roman" w:cs="Times New Roman"/>
          <w:b/>
          <w:color w:val="000000"/>
          <w:sz w:val="20"/>
          <w:szCs w:val="20"/>
        </w:rPr>
        <w:t xml:space="preserve">1. </w:t>
      </w:r>
      <w:r w:rsidRPr="00A25D00">
        <w:rPr>
          <w:rFonts w:ascii="Times New Roman" w:hAnsi="Times New Roman" w:cs="Times New Roman"/>
          <w:b/>
          <w:sz w:val="20"/>
          <w:szCs w:val="20"/>
        </w:rPr>
        <w:t>Introduction</w:t>
      </w:r>
    </w:p>
    <w:p w:rsidR="009940AA" w:rsidRPr="00A25D00" w:rsidRDefault="009940AA" w:rsidP="00A25D00">
      <w:pPr>
        <w:spacing w:line="240" w:lineRule="auto"/>
        <w:ind w:firstLine="720"/>
        <w:rPr>
          <w:rFonts w:ascii="Times New Roman" w:hAnsi="Times New Roman" w:cs="Times New Roman"/>
          <w:sz w:val="20"/>
          <w:szCs w:val="20"/>
          <w:vertAlign w:val="superscript"/>
        </w:rPr>
      </w:pPr>
      <w:r w:rsidRPr="00A25D00">
        <w:rPr>
          <w:rFonts w:ascii="Times New Roman" w:hAnsi="Times New Roman" w:cs="Times New Roman"/>
          <w:sz w:val="20"/>
          <w:szCs w:val="20"/>
        </w:rPr>
        <w:t xml:space="preserve">In </w:t>
      </w:r>
      <w:r w:rsidR="0086215F" w:rsidRPr="00A25D00">
        <w:rPr>
          <w:rFonts w:ascii="Times New Roman" w:hAnsi="Times New Roman" w:cs="Times New Roman"/>
          <w:sz w:val="20"/>
          <w:szCs w:val="20"/>
        </w:rPr>
        <w:t xml:space="preserve">Genomics and the Public’s </w:t>
      </w:r>
      <w:r w:rsidRPr="00A25D00">
        <w:rPr>
          <w:rFonts w:ascii="Times New Roman" w:hAnsi="Times New Roman" w:cs="Times New Roman"/>
          <w:sz w:val="20"/>
          <w:szCs w:val="20"/>
        </w:rPr>
        <w:t>health in the 21</w:t>
      </w:r>
      <w:r w:rsidRPr="00A25D00">
        <w:rPr>
          <w:rFonts w:ascii="Times New Roman" w:hAnsi="Times New Roman" w:cs="Times New Roman"/>
          <w:sz w:val="20"/>
          <w:szCs w:val="20"/>
          <w:vertAlign w:val="superscript"/>
        </w:rPr>
        <w:t>st</w:t>
      </w:r>
      <w:r w:rsidRPr="00A25D00">
        <w:rPr>
          <w:rFonts w:ascii="Times New Roman" w:hAnsi="Times New Roman" w:cs="Times New Roman"/>
          <w:sz w:val="20"/>
          <w:szCs w:val="20"/>
        </w:rPr>
        <w:t xml:space="preserve"> Century, the Institute of Medicine</w:t>
      </w:r>
      <w:r w:rsidR="00022351" w:rsidRPr="00A25D00">
        <w:rPr>
          <w:rFonts w:ascii="Times New Roman" w:hAnsi="Times New Roman" w:cs="Times New Roman"/>
          <w:sz w:val="20"/>
          <w:szCs w:val="20"/>
        </w:rPr>
        <w:t xml:space="preserve"> (2005</w:t>
      </w:r>
      <w:r w:rsidR="00F3453A" w:rsidRPr="00A25D00">
        <w:rPr>
          <w:rFonts w:ascii="Times New Roman" w:hAnsi="Times New Roman" w:cs="Times New Roman"/>
          <w:sz w:val="20"/>
          <w:szCs w:val="20"/>
        </w:rPr>
        <w:t>) defined Genomics as “</w:t>
      </w:r>
      <w:r w:rsidRPr="00A25D00">
        <w:rPr>
          <w:rFonts w:ascii="Times New Roman" w:hAnsi="Times New Roman" w:cs="Times New Roman"/>
          <w:sz w:val="20"/>
          <w:szCs w:val="20"/>
        </w:rPr>
        <w:t xml:space="preserve">the study of the entire human genome”. The expert committee at IOM also echoed the </w:t>
      </w:r>
      <w:r w:rsidR="00C64F20" w:rsidRPr="00A25D00">
        <w:rPr>
          <w:rFonts w:ascii="Times New Roman" w:hAnsi="Times New Roman" w:cs="Times New Roman"/>
          <w:sz w:val="20"/>
          <w:szCs w:val="20"/>
        </w:rPr>
        <w:t>potential benefits</w:t>
      </w:r>
      <w:r w:rsidRPr="00A25D00">
        <w:rPr>
          <w:rFonts w:ascii="Times New Roman" w:hAnsi="Times New Roman" w:cs="Times New Roman"/>
          <w:sz w:val="20"/>
          <w:szCs w:val="20"/>
        </w:rPr>
        <w:t xml:space="preserve"> of genomics in improving the health of the public and by differentiating genomics from genetics. The </w:t>
      </w:r>
      <w:proofErr w:type="gramStart"/>
      <w:r w:rsidRPr="00A25D00">
        <w:rPr>
          <w:rFonts w:ascii="Times New Roman" w:hAnsi="Times New Roman" w:cs="Times New Roman"/>
          <w:sz w:val="20"/>
          <w:szCs w:val="20"/>
        </w:rPr>
        <w:t xml:space="preserve">latter </w:t>
      </w:r>
      <w:r w:rsidR="00843BF3">
        <w:rPr>
          <w:rFonts w:ascii="Times New Roman" w:hAnsi="Times New Roman" w:cs="Times New Roman"/>
          <w:sz w:val="20"/>
          <w:szCs w:val="20"/>
        </w:rPr>
        <w:t xml:space="preserve"> </w:t>
      </w:r>
      <w:r w:rsidRPr="00A25D00">
        <w:rPr>
          <w:rFonts w:ascii="Times New Roman" w:hAnsi="Times New Roman" w:cs="Times New Roman"/>
          <w:sz w:val="20"/>
          <w:szCs w:val="20"/>
        </w:rPr>
        <w:t>deals</w:t>
      </w:r>
      <w:proofErr w:type="gramEnd"/>
      <w:r w:rsidRPr="00A25D00">
        <w:rPr>
          <w:rFonts w:ascii="Times New Roman" w:hAnsi="Times New Roman" w:cs="Times New Roman"/>
          <w:sz w:val="20"/>
          <w:szCs w:val="20"/>
        </w:rPr>
        <w:t xml:space="preserve"> with the st</w:t>
      </w:r>
      <w:r w:rsidR="00F3453A" w:rsidRPr="00A25D00">
        <w:rPr>
          <w:rFonts w:ascii="Times New Roman" w:hAnsi="Times New Roman" w:cs="Times New Roman"/>
          <w:sz w:val="20"/>
          <w:szCs w:val="20"/>
        </w:rPr>
        <w:t>udy of functions and</w:t>
      </w:r>
      <w:r w:rsidR="00C64F20" w:rsidRPr="00A25D00">
        <w:rPr>
          <w:rFonts w:ascii="Times New Roman" w:hAnsi="Times New Roman" w:cs="Times New Roman"/>
          <w:sz w:val="20"/>
          <w:szCs w:val="20"/>
        </w:rPr>
        <w:t xml:space="preserve"> </w:t>
      </w:r>
      <w:r w:rsidRPr="00A25D00">
        <w:rPr>
          <w:rFonts w:ascii="Times New Roman" w:hAnsi="Times New Roman" w:cs="Times New Roman"/>
          <w:sz w:val="20"/>
          <w:szCs w:val="20"/>
        </w:rPr>
        <w:t>effects of single genes while the former explores not only the actions of single genes, but also the interactions of multiple genes with each other and with the environment.</w:t>
      </w:r>
    </w:p>
    <w:p w:rsidR="009940AA" w:rsidRPr="00A25D00" w:rsidRDefault="009940AA" w:rsidP="00A25D00">
      <w:pPr>
        <w:spacing w:line="240" w:lineRule="auto"/>
        <w:rPr>
          <w:rFonts w:ascii="Times New Roman" w:hAnsi="Times New Roman" w:cs="Times New Roman"/>
          <w:sz w:val="20"/>
          <w:szCs w:val="20"/>
        </w:rPr>
      </w:pPr>
      <w:r w:rsidRPr="00A25D00">
        <w:rPr>
          <w:rFonts w:ascii="Times New Roman" w:hAnsi="Times New Roman" w:cs="Times New Roman"/>
          <w:sz w:val="20"/>
          <w:szCs w:val="20"/>
        </w:rPr>
        <w:t xml:space="preserve">In the same vein, </w:t>
      </w:r>
      <w:r w:rsidR="00C64F20" w:rsidRPr="00A25D00">
        <w:rPr>
          <w:rFonts w:ascii="Times New Roman" w:hAnsi="Times New Roman" w:cs="Times New Roman"/>
          <w:sz w:val="20"/>
          <w:szCs w:val="20"/>
        </w:rPr>
        <w:t xml:space="preserve">genomics is </w:t>
      </w:r>
      <w:r w:rsidRPr="00A25D00">
        <w:rPr>
          <w:rFonts w:ascii="Times New Roman" w:hAnsi="Times New Roman" w:cs="Times New Roman"/>
          <w:sz w:val="20"/>
          <w:szCs w:val="20"/>
        </w:rPr>
        <w:t>the study of the whole genome</w:t>
      </w:r>
      <w:r w:rsidR="00C64F20" w:rsidRPr="00A25D00">
        <w:rPr>
          <w:rFonts w:ascii="Times New Roman" w:hAnsi="Times New Roman" w:cs="Times New Roman"/>
          <w:sz w:val="20"/>
          <w:szCs w:val="20"/>
        </w:rPr>
        <w:t xml:space="preserve"> of living organisms</w:t>
      </w:r>
      <w:r w:rsidRPr="00A25D00">
        <w:rPr>
          <w:rFonts w:ascii="Times New Roman" w:hAnsi="Times New Roman" w:cs="Times New Roman"/>
          <w:sz w:val="20"/>
          <w:szCs w:val="20"/>
        </w:rPr>
        <w:t>. This branch of biological science focuses on the development and application of more effective mapping, sequen</w:t>
      </w:r>
      <w:r w:rsidR="00533367">
        <w:rPr>
          <w:rFonts w:ascii="Times New Roman" w:hAnsi="Times New Roman" w:cs="Times New Roman"/>
          <w:sz w:val="20"/>
          <w:szCs w:val="20"/>
        </w:rPr>
        <w:t>cing,</w:t>
      </w:r>
      <w:r w:rsidRPr="00A25D00">
        <w:rPr>
          <w:rFonts w:ascii="Times New Roman" w:hAnsi="Times New Roman" w:cs="Times New Roman"/>
          <w:sz w:val="20"/>
          <w:szCs w:val="20"/>
        </w:rPr>
        <w:t xml:space="preserve"> bio-informatics</w:t>
      </w:r>
      <w:r w:rsidR="00533367">
        <w:rPr>
          <w:rFonts w:ascii="Times New Roman" w:hAnsi="Times New Roman" w:cs="Times New Roman"/>
          <w:sz w:val="20"/>
          <w:szCs w:val="20"/>
        </w:rPr>
        <w:t xml:space="preserve"> and</w:t>
      </w:r>
      <w:r w:rsidRPr="00A25D00">
        <w:rPr>
          <w:rFonts w:ascii="Times New Roman" w:hAnsi="Times New Roman" w:cs="Times New Roman"/>
          <w:sz w:val="20"/>
          <w:szCs w:val="20"/>
        </w:rPr>
        <w:t xml:space="preserve"> computational tools. Scientists with profound background in genomics apply large scale molecular techniques for linkage analysis, physical mapping, and the sequencing of genomes to generate detailed data which are subjected to analysis using high-speed computer facility. The new international tools of genomics include the high-throughput DNA sequences,   and the large scale DNA arrays (DNA chips). These scientific tools have the capacity to analyze thousands of genes promptly and accurately. These devices can be used to study cells of virtually all living organisms. A typical genome is the entire collection of chromosomes which are present in the nucleus of each cell of an individual organism</w:t>
      </w:r>
      <w:r w:rsidR="00C64F20" w:rsidRPr="00A25D00">
        <w:rPr>
          <w:rFonts w:ascii="Times New Roman" w:hAnsi="Times New Roman" w:cs="Times New Roman"/>
          <w:sz w:val="20"/>
          <w:szCs w:val="20"/>
        </w:rPr>
        <w:t xml:space="preserve"> (CDC, 2004</w:t>
      </w:r>
      <w:r w:rsidR="001561BE" w:rsidRPr="00A25D00">
        <w:rPr>
          <w:rFonts w:ascii="Times New Roman" w:hAnsi="Times New Roman" w:cs="Times New Roman"/>
          <w:sz w:val="20"/>
          <w:szCs w:val="20"/>
        </w:rPr>
        <w:t xml:space="preserve">; </w:t>
      </w:r>
      <w:r w:rsidR="00D770D0" w:rsidRPr="00A25D00">
        <w:rPr>
          <w:rFonts w:ascii="Times New Roman" w:hAnsi="Times New Roman" w:cs="Times New Roman"/>
          <w:sz w:val="20"/>
          <w:szCs w:val="20"/>
        </w:rPr>
        <w:t>Ebomoyi and Srinivasan, 2008)</w:t>
      </w:r>
      <w:r w:rsidR="00C64F20" w:rsidRPr="00A25D00">
        <w:rPr>
          <w:rFonts w:ascii="Times New Roman" w:hAnsi="Times New Roman" w:cs="Times New Roman"/>
          <w:sz w:val="20"/>
          <w:szCs w:val="20"/>
        </w:rPr>
        <w:t xml:space="preserve">. </w:t>
      </w:r>
      <w:r w:rsidRPr="00A25D00">
        <w:rPr>
          <w:rFonts w:ascii="Times New Roman" w:hAnsi="Times New Roman" w:cs="Times New Roman"/>
          <w:sz w:val="20"/>
          <w:szCs w:val="20"/>
        </w:rPr>
        <w:t xml:space="preserve"> We must underscore how the Human Genome project has spurred a revolution in biotechnology innovation worldwide and continue to play significant role in making the United States and China leaders in biotechn</w:t>
      </w:r>
      <w:r w:rsidR="00C64F20" w:rsidRPr="00A25D00">
        <w:rPr>
          <w:rFonts w:ascii="Times New Roman" w:hAnsi="Times New Roman" w:cs="Times New Roman"/>
          <w:sz w:val="20"/>
          <w:szCs w:val="20"/>
        </w:rPr>
        <w:t>ology field. Genomic</w:t>
      </w:r>
      <w:r w:rsidR="008F1174" w:rsidRPr="00A25D00">
        <w:rPr>
          <w:rFonts w:ascii="Times New Roman" w:hAnsi="Times New Roman" w:cs="Times New Roman"/>
          <w:sz w:val="20"/>
          <w:szCs w:val="20"/>
        </w:rPr>
        <w:t xml:space="preserve"> technolog</w:t>
      </w:r>
      <w:r w:rsidR="00C64F20" w:rsidRPr="00A25D00">
        <w:rPr>
          <w:rFonts w:ascii="Times New Roman" w:hAnsi="Times New Roman" w:cs="Times New Roman"/>
          <w:sz w:val="20"/>
          <w:szCs w:val="20"/>
        </w:rPr>
        <w:t>y</w:t>
      </w:r>
      <w:r w:rsidRPr="00A25D00">
        <w:rPr>
          <w:rFonts w:ascii="Times New Roman" w:hAnsi="Times New Roman" w:cs="Times New Roman"/>
          <w:sz w:val="20"/>
          <w:szCs w:val="20"/>
        </w:rPr>
        <w:t xml:space="preserve"> continue</w:t>
      </w:r>
      <w:r w:rsidR="00C64F20" w:rsidRPr="00A25D00">
        <w:rPr>
          <w:rFonts w:ascii="Times New Roman" w:hAnsi="Times New Roman" w:cs="Times New Roman"/>
          <w:sz w:val="20"/>
          <w:szCs w:val="20"/>
        </w:rPr>
        <w:t>s</w:t>
      </w:r>
      <w:r w:rsidRPr="00A25D00">
        <w:rPr>
          <w:rFonts w:ascii="Times New Roman" w:hAnsi="Times New Roman" w:cs="Times New Roman"/>
          <w:sz w:val="20"/>
          <w:szCs w:val="20"/>
        </w:rPr>
        <w:t xml:space="preserve"> to unveil the therapeutic benefits of many plants and their </w:t>
      </w:r>
      <w:r w:rsidR="008F1174" w:rsidRPr="00A25D00">
        <w:rPr>
          <w:rFonts w:ascii="Times New Roman" w:hAnsi="Times New Roman" w:cs="Times New Roman"/>
          <w:sz w:val="20"/>
          <w:szCs w:val="20"/>
        </w:rPr>
        <w:t>lethal components whic</w:t>
      </w:r>
      <w:r w:rsidR="00C64F20" w:rsidRPr="00A25D00">
        <w:rPr>
          <w:rFonts w:ascii="Times New Roman" w:hAnsi="Times New Roman" w:cs="Times New Roman"/>
          <w:sz w:val="20"/>
          <w:szCs w:val="20"/>
        </w:rPr>
        <w:t xml:space="preserve">h must be discarded. Hitherto, </w:t>
      </w:r>
      <w:r w:rsidR="008F1174" w:rsidRPr="00A25D00">
        <w:rPr>
          <w:rFonts w:ascii="Times New Roman" w:hAnsi="Times New Roman" w:cs="Times New Roman"/>
          <w:sz w:val="20"/>
          <w:szCs w:val="20"/>
        </w:rPr>
        <w:t>both traditional healers and western-type physicians had adopted trial and error modality to expunge many pharmaceutical products which routinely poison patie</w:t>
      </w:r>
      <w:r w:rsidR="00C64F20" w:rsidRPr="00A25D00">
        <w:rPr>
          <w:rFonts w:ascii="Times New Roman" w:hAnsi="Times New Roman" w:cs="Times New Roman"/>
          <w:sz w:val="20"/>
          <w:szCs w:val="20"/>
        </w:rPr>
        <w:t>nts. But today through pharmaco</w:t>
      </w:r>
      <w:r w:rsidR="008F1174" w:rsidRPr="00A25D00">
        <w:rPr>
          <w:rFonts w:ascii="Times New Roman" w:hAnsi="Times New Roman" w:cs="Times New Roman"/>
          <w:sz w:val="20"/>
          <w:szCs w:val="20"/>
        </w:rPr>
        <w:t>genomics and human genome sequencing, efficient titer and adequate applications of many drugs have been compiled</w:t>
      </w:r>
      <w:r w:rsidR="001561BE" w:rsidRPr="00A25D00">
        <w:rPr>
          <w:rFonts w:ascii="Times New Roman" w:hAnsi="Times New Roman" w:cs="Times New Roman"/>
          <w:sz w:val="20"/>
          <w:szCs w:val="20"/>
        </w:rPr>
        <w:t xml:space="preserve"> (</w:t>
      </w:r>
      <w:proofErr w:type="spellStart"/>
      <w:r w:rsidR="001561BE" w:rsidRPr="00A25D00">
        <w:rPr>
          <w:rFonts w:ascii="Times New Roman" w:hAnsi="Times New Roman" w:cs="Times New Roman"/>
          <w:sz w:val="20"/>
          <w:szCs w:val="20"/>
        </w:rPr>
        <w:t>Kayser</w:t>
      </w:r>
      <w:proofErr w:type="spellEnd"/>
      <w:r w:rsidR="001561BE" w:rsidRPr="00A25D00">
        <w:rPr>
          <w:rFonts w:ascii="Times New Roman" w:hAnsi="Times New Roman" w:cs="Times New Roman"/>
          <w:sz w:val="20"/>
          <w:szCs w:val="20"/>
        </w:rPr>
        <w:t xml:space="preserve"> and </w:t>
      </w:r>
      <w:proofErr w:type="spellStart"/>
      <w:r w:rsidR="001561BE" w:rsidRPr="00A25D00">
        <w:rPr>
          <w:rFonts w:ascii="Times New Roman" w:hAnsi="Times New Roman" w:cs="Times New Roman"/>
          <w:sz w:val="20"/>
          <w:szCs w:val="20"/>
        </w:rPr>
        <w:t>Quax</w:t>
      </w:r>
      <w:proofErr w:type="spellEnd"/>
      <w:r w:rsidR="001561BE" w:rsidRPr="00A25D00">
        <w:rPr>
          <w:rFonts w:ascii="Times New Roman" w:hAnsi="Times New Roman" w:cs="Times New Roman"/>
          <w:sz w:val="20"/>
          <w:szCs w:val="20"/>
        </w:rPr>
        <w:t>, 2007)</w:t>
      </w:r>
      <w:r w:rsidR="008F1174" w:rsidRPr="00A25D00">
        <w:rPr>
          <w:rFonts w:ascii="Times New Roman" w:hAnsi="Times New Roman" w:cs="Times New Roman"/>
          <w:sz w:val="20"/>
          <w:szCs w:val="20"/>
        </w:rPr>
        <w:t>.</w:t>
      </w:r>
    </w:p>
    <w:p w:rsidR="008F1174" w:rsidRPr="00A25D00" w:rsidRDefault="008F1174" w:rsidP="00A25D00">
      <w:pPr>
        <w:spacing w:line="240" w:lineRule="auto"/>
        <w:rPr>
          <w:rFonts w:ascii="Times New Roman" w:hAnsi="Times New Roman" w:cs="Times New Roman"/>
          <w:sz w:val="20"/>
          <w:szCs w:val="20"/>
        </w:rPr>
      </w:pPr>
      <w:r w:rsidRPr="00A25D00">
        <w:rPr>
          <w:rFonts w:ascii="Times New Roman" w:hAnsi="Times New Roman" w:cs="Times New Roman"/>
          <w:sz w:val="20"/>
          <w:szCs w:val="20"/>
        </w:rPr>
        <w:tab/>
        <w:t xml:space="preserve">The utilization of herbal products in traditional African medicine is widespread in virtually many African communities most especially in the rural areas and many medically isolated villages in Africa.  To illustrate, the plant </w:t>
      </w:r>
      <w:proofErr w:type="spellStart"/>
      <w:proofErr w:type="gramStart"/>
      <w:r w:rsidR="00947268" w:rsidRPr="00A25D00">
        <w:rPr>
          <w:rFonts w:ascii="Times New Roman" w:hAnsi="Times New Roman" w:cs="Times New Roman"/>
          <w:sz w:val="20"/>
          <w:szCs w:val="20"/>
          <w:u w:val="single"/>
        </w:rPr>
        <w:t>Combretum</w:t>
      </w:r>
      <w:proofErr w:type="spellEnd"/>
      <w:r w:rsidR="00947268" w:rsidRPr="00A25D00">
        <w:rPr>
          <w:rFonts w:ascii="Times New Roman" w:hAnsi="Times New Roman" w:cs="Times New Roman"/>
          <w:sz w:val="20"/>
          <w:szCs w:val="20"/>
          <w:u w:val="single"/>
        </w:rPr>
        <w:t xml:space="preserve">  </w:t>
      </w:r>
      <w:proofErr w:type="spellStart"/>
      <w:r w:rsidR="00947268" w:rsidRPr="00A25D00">
        <w:rPr>
          <w:rFonts w:ascii="Times New Roman" w:hAnsi="Times New Roman" w:cs="Times New Roman"/>
          <w:sz w:val="20"/>
          <w:szCs w:val="20"/>
          <w:u w:val="single"/>
        </w:rPr>
        <w:t>mucronatum</w:t>
      </w:r>
      <w:proofErr w:type="spellEnd"/>
      <w:proofErr w:type="gramEnd"/>
      <w:r w:rsidR="00947268" w:rsidRPr="00A25D00">
        <w:rPr>
          <w:rFonts w:ascii="Times New Roman" w:hAnsi="Times New Roman" w:cs="Times New Roman"/>
          <w:sz w:val="20"/>
          <w:szCs w:val="20"/>
        </w:rPr>
        <w:t xml:space="preserve">  was identified as a warm expeller at a calculated dose of 0.8gm/kilogram. To alleviate the symptoms of bronchial asthma, various plants were identified which include: </w:t>
      </w:r>
      <w:proofErr w:type="spellStart"/>
      <w:r w:rsidR="00947268" w:rsidRPr="00A25D00">
        <w:rPr>
          <w:rFonts w:ascii="Times New Roman" w:hAnsi="Times New Roman" w:cs="Times New Roman"/>
          <w:sz w:val="20"/>
          <w:szCs w:val="20"/>
        </w:rPr>
        <w:t>Desmodium</w:t>
      </w:r>
      <w:proofErr w:type="spellEnd"/>
      <w:r w:rsidR="00947268" w:rsidRPr="00A25D00">
        <w:rPr>
          <w:rFonts w:ascii="Times New Roman" w:hAnsi="Times New Roman" w:cs="Times New Roman"/>
          <w:sz w:val="20"/>
          <w:szCs w:val="20"/>
        </w:rPr>
        <w:t xml:space="preserve"> </w:t>
      </w:r>
      <w:proofErr w:type="spellStart"/>
      <w:r w:rsidR="00947268" w:rsidRPr="00A25D00">
        <w:rPr>
          <w:rFonts w:ascii="Times New Roman" w:hAnsi="Times New Roman" w:cs="Times New Roman"/>
          <w:sz w:val="20"/>
          <w:szCs w:val="20"/>
        </w:rPr>
        <w:t>adscendens</w:t>
      </w:r>
      <w:proofErr w:type="spellEnd"/>
      <w:r w:rsidR="00947268" w:rsidRPr="00A25D00">
        <w:rPr>
          <w:rFonts w:ascii="Times New Roman" w:hAnsi="Times New Roman" w:cs="Times New Roman"/>
          <w:sz w:val="20"/>
          <w:szCs w:val="20"/>
        </w:rPr>
        <w:t xml:space="preserve">, </w:t>
      </w:r>
      <w:proofErr w:type="spellStart"/>
      <w:proofErr w:type="gramStart"/>
      <w:r w:rsidR="00947268" w:rsidRPr="00A25D00">
        <w:rPr>
          <w:rFonts w:ascii="Times New Roman" w:hAnsi="Times New Roman" w:cs="Times New Roman"/>
          <w:sz w:val="20"/>
          <w:szCs w:val="20"/>
        </w:rPr>
        <w:t>Papilionacea</w:t>
      </w:r>
      <w:proofErr w:type="spellEnd"/>
      <w:r w:rsidR="00947268" w:rsidRPr="00A25D00">
        <w:rPr>
          <w:rFonts w:ascii="Times New Roman" w:hAnsi="Times New Roman" w:cs="Times New Roman"/>
          <w:sz w:val="20"/>
          <w:szCs w:val="20"/>
        </w:rPr>
        <w:t xml:space="preserve"> ,</w:t>
      </w:r>
      <w:proofErr w:type="gramEnd"/>
      <w:r w:rsidR="00947268" w:rsidRPr="00A25D00">
        <w:rPr>
          <w:rFonts w:ascii="Times New Roman" w:hAnsi="Times New Roman" w:cs="Times New Roman"/>
          <w:sz w:val="20"/>
          <w:szCs w:val="20"/>
        </w:rPr>
        <w:t xml:space="preserve"> </w:t>
      </w:r>
      <w:proofErr w:type="spellStart"/>
      <w:r w:rsidR="00947268" w:rsidRPr="00A25D00">
        <w:rPr>
          <w:rFonts w:ascii="Times New Roman" w:hAnsi="Times New Roman" w:cs="Times New Roman"/>
          <w:sz w:val="20"/>
          <w:szCs w:val="20"/>
        </w:rPr>
        <w:t>Thonningia</w:t>
      </w:r>
      <w:proofErr w:type="spellEnd"/>
      <w:r w:rsidR="00947268" w:rsidRPr="00A25D00">
        <w:rPr>
          <w:rFonts w:ascii="Times New Roman" w:hAnsi="Times New Roman" w:cs="Times New Roman"/>
          <w:sz w:val="20"/>
          <w:szCs w:val="20"/>
        </w:rPr>
        <w:t xml:space="preserve"> sanguine—</w:t>
      </w:r>
      <w:proofErr w:type="spellStart"/>
      <w:r w:rsidR="00947268" w:rsidRPr="00A25D00">
        <w:rPr>
          <w:rFonts w:ascii="Times New Roman" w:hAnsi="Times New Roman" w:cs="Times New Roman"/>
          <w:sz w:val="20"/>
          <w:szCs w:val="20"/>
        </w:rPr>
        <w:t>Balanophoraceace</w:t>
      </w:r>
      <w:proofErr w:type="spellEnd"/>
      <w:r w:rsidR="00947268" w:rsidRPr="00A25D00">
        <w:rPr>
          <w:rFonts w:ascii="Times New Roman" w:hAnsi="Times New Roman" w:cs="Times New Roman"/>
          <w:sz w:val="20"/>
          <w:szCs w:val="20"/>
        </w:rPr>
        <w:t xml:space="preserve"> and </w:t>
      </w:r>
      <w:proofErr w:type="spellStart"/>
      <w:r w:rsidR="00947268" w:rsidRPr="00A25D00">
        <w:rPr>
          <w:rFonts w:ascii="Times New Roman" w:hAnsi="Times New Roman" w:cs="Times New Roman"/>
          <w:sz w:val="20"/>
          <w:szCs w:val="20"/>
        </w:rPr>
        <w:t>Deinbolia</w:t>
      </w:r>
      <w:proofErr w:type="spellEnd"/>
      <w:r w:rsidR="00947268" w:rsidRPr="00A25D00">
        <w:rPr>
          <w:rFonts w:ascii="Times New Roman" w:hAnsi="Times New Roman" w:cs="Times New Roman"/>
          <w:sz w:val="20"/>
          <w:szCs w:val="20"/>
        </w:rPr>
        <w:t xml:space="preserve"> </w:t>
      </w:r>
      <w:proofErr w:type="spellStart"/>
      <w:r w:rsidR="00947268" w:rsidRPr="00A25D00">
        <w:rPr>
          <w:rFonts w:ascii="Times New Roman" w:hAnsi="Times New Roman" w:cs="Times New Roman"/>
          <w:sz w:val="20"/>
          <w:szCs w:val="20"/>
        </w:rPr>
        <w:t>pinnata</w:t>
      </w:r>
      <w:proofErr w:type="spellEnd"/>
      <w:r w:rsidR="00947268" w:rsidRPr="00A25D00">
        <w:rPr>
          <w:rFonts w:ascii="Times New Roman" w:hAnsi="Times New Roman" w:cs="Times New Roman"/>
          <w:sz w:val="20"/>
          <w:szCs w:val="20"/>
        </w:rPr>
        <w:t xml:space="preserve"> </w:t>
      </w:r>
      <w:proofErr w:type="spellStart"/>
      <w:r w:rsidR="00947268" w:rsidRPr="00A25D00">
        <w:rPr>
          <w:rFonts w:ascii="Times New Roman" w:hAnsi="Times New Roman" w:cs="Times New Roman"/>
          <w:sz w:val="20"/>
          <w:szCs w:val="20"/>
        </w:rPr>
        <w:t>sapindaceae</w:t>
      </w:r>
      <w:proofErr w:type="spellEnd"/>
      <w:r w:rsidR="00947268" w:rsidRPr="00A25D00">
        <w:rPr>
          <w:rFonts w:ascii="Times New Roman" w:hAnsi="Times New Roman" w:cs="Times New Roman"/>
          <w:sz w:val="20"/>
          <w:szCs w:val="20"/>
        </w:rPr>
        <w:t xml:space="preserve">. Collaboration between </w:t>
      </w:r>
      <w:r w:rsidR="00947268" w:rsidRPr="00A25D00">
        <w:rPr>
          <w:rFonts w:ascii="Times New Roman" w:hAnsi="Times New Roman" w:cs="Times New Roman"/>
          <w:sz w:val="20"/>
          <w:szCs w:val="20"/>
        </w:rPr>
        <w:lastRenderedPageBreak/>
        <w:t>Western-trained physicians, botanists, and African traditional healers has yield</w:t>
      </w:r>
      <w:r w:rsidR="00533367">
        <w:rPr>
          <w:rFonts w:ascii="Times New Roman" w:hAnsi="Times New Roman" w:cs="Times New Roman"/>
          <w:sz w:val="20"/>
          <w:szCs w:val="20"/>
        </w:rPr>
        <w:t>ed</w:t>
      </w:r>
      <w:r w:rsidR="00947268" w:rsidRPr="00A25D00">
        <w:rPr>
          <w:rFonts w:ascii="Times New Roman" w:hAnsi="Times New Roman" w:cs="Times New Roman"/>
          <w:sz w:val="20"/>
          <w:szCs w:val="20"/>
        </w:rPr>
        <w:t xml:space="preserve"> so much benefits and the development of clinical drug trials in Nigeria, Ghana and many West </w:t>
      </w:r>
      <w:r w:rsidR="00FB4C48" w:rsidRPr="00A25D00">
        <w:rPr>
          <w:rFonts w:ascii="Times New Roman" w:hAnsi="Times New Roman" w:cs="Times New Roman"/>
          <w:sz w:val="20"/>
          <w:szCs w:val="20"/>
        </w:rPr>
        <w:t xml:space="preserve">African </w:t>
      </w:r>
      <w:proofErr w:type="gramStart"/>
      <w:r w:rsidR="00FB4C48" w:rsidRPr="00A25D00">
        <w:rPr>
          <w:rFonts w:ascii="Times New Roman" w:hAnsi="Times New Roman" w:cs="Times New Roman"/>
          <w:sz w:val="20"/>
          <w:szCs w:val="20"/>
        </w:rPr>
        <w:t>nations</w:t>
      </w:r>
      <w:r w:rsidR="001561BE" w:rsidRPr="00A25D00">
        <w:rPr>
          <w:rFonts w:ascii="Times New Roman" w:hAnsi="Times New Roman" w:cs="Times New Roman"/>
          <w:sz w:val="20"/>
          <w:szCs w:val="20"/>
        </w:rPr>
        <w:t>(</w:t>
      </w:r>
      <w:proofErr w:type="gramEnd"/>
      <w:r w:rsidR="001561BE" w:rsidRPr="00A25D00">
        <w:rPr>
          <w:rFonts w:ascii="Times New Roman" w:hAnsi="Times New Roman" w:cs="Times New Roman"/>
          <w:sz w:val="20"/>
          <w:szCs w:val="20"/>
        </w:rPr>
        <w:t>Ebomoyi and Akwawua,2006)</w:t>
      </w:r>
      <w:r w:rsidR="00947268" w:rsidRPr="00A25D00">
        <w:rPr>
          <w:rFonts w:ascii="Times New Roman" w:hAnsi="Times New Roman" w:cs="Times New Roman"/>
          <w:sz w:val="20"/>
          <w:szCs w:val="20"/>
        </w:rPr>
        <w:t>.</w:t>
      </w:r>
    </w:p>
    <w:p w:rsidR="009940AA" w:rsidRPr="008D564C" w:rsidRDefault="00A81B58" w:rsidP="008D564C">
      <w:pPr>
        <w:spacing w:line="240" w:lineRule="auto"/>
        <w:rPr>
          <w:rFonts w:ascii="Times New Roman" w:hAnsi="Times New Roman" w:cs="Times New Roman"/>
          <w:sz w:val="20"/>
          <w:szCs w:val="20"/>
        </w:rPr>
      </w:pPr>
      <w:r>
        <w:rPr>
          <w:rFonts w:ascii="Times New Roman" w:hAnsi="Times New Roman" w:cs="Times New Roman"/>
          <w:sz w:val="20"/>
          <w:szCs w:val="20"/>
        </w:rPr>
        <w:tab/>
        <w:t xml:space="preserve">The leaves of </w:t>
      </w:r>
      <w:proofErr w:type="spellStart"/>
      <w:r w:rsidRPr="00A81B58">
        <w:rPr>
          <w:rFonts w:ascii="Times New Roman" w:hAnsi="Times New Roman" w:cs="Times New Roman"/>
          <w:sz w:val="20"/>
          <w:szCs w:val="20"/>
          <w:u w:val="single"/>
        </w:rPr>
        <w:t>Eleophorbia</w:t>
      </w:r>
      <w:proofErr w:type="spellEnd"/>
      <w:r w:rsidRPr="00A81B58">
        <w:rPr>
          <w:rFonts w:ascii="Times New Roman" w:hAnsi="Times New Roman" w:cs="Times New Roman"/>
          <w:sz w:val="20"/>
          <w:szCs w:val="20"/>
          <w:u w:val="single"/>
        </w:rPr>
        <w:t xml:space="preserve"> </w:t>
      </w:r>
      <w:proofErr w:type="spellStart"/>
      <w:r w:rsidRPr="00A81B58">
        <w:rPr>
          <w:rFonts w:ascii="Times New Roman" w:hAnsi="Times New Roman" w:cs="Times New Roman"/>
          <w:sz w:val="20"/>
          <w:szCs w:val="20"/>
          <w:u w:val="single"/>
        </w:rPr>
        <w:t>drupifera</w:t>
      </w:r>
      <w:proofErr w:type="spellEnd"/>
      <w:r>
        <w:rPr>
          <w:rFonts w:ascii="Times New Roman" w:hAnsi="Times New Roman" w:cs="Times New Roman"/>
          <w:sz w:val="20"/>
          <w:szCs w:val="20"/>
        </w:rPr>
        <w:t xml:space="preserve"> and </w:t>
      </w:r>
      <w:proofErr w:type="spellStart"/>
      <w:r w:rsidRPr="00A81B58">
        <w:rPr>
          <w:rFonts w:ascii="Times New Roman" w:hAnsi="Times New Roman" w:cs="Times New Roman"/>
          <w:sz w:val="20"/>
          <w:szCs w:val="20"/>
          <w:u w:val="single"/>
        </w:rPr>
        <w:t>I</w:t>
      </w:r>
      <w:r w:rsidR="000D3C78" w:rsidRPr="00A81B58">
        <w:rPr>
          <w:rFonts w:ascii="Times New Roman" w:hAnsi="Times New Roman" w:cs="Times New Roman"/>
          <w:sz w:val="20"/>
          <w:szCs w:val="20"/>
          <w:u w:val="single"/>
        </w:rPr>
        <w:t>tilleria</w:t>
      </w:r>
      <w:proofErr w:type="spellEnd"/>
      <w:r w:rsidR="000D3C78" w:rsidRPr="00A81B58">
        <w:rPr>
          <w:rFonts w:ascii="Times New Roman" w:hAnsi="Times New Roman" w:cs="Times New Roman"/>
          <w:sz w:val="20"/>
          <w:szCs w:val="20"/>
          <w:u w:val="single"/>
        </w:rPr>
        <w:t xml:space="preserve"> </w:t>
      </w:r>
      <w:proofErr w:type="spellStart"/>
      <w:r w:rsidR="000D3C78" w:rsidRPr="00A81B58">
        <w:rPr>
          <w:rFonts w:ascii="Times New Roman" w:hAnsi="Times New Roman" w:cs="Times New Roman"/>
          <w:sz w:val="20"/>
          <w:szCs w:val="20"/>
          <w:u w:val="single"/>
        </w:rPr>
        <w:t>latifolia</w:t>
      </w:r>
      <w:proofErr w:type="spellEnd"/>
      <w:r w:rsidR="000D3C78" w:rsidRPr="00A25D00">
        <w:rPr>
          <w:rFonts w:ascii="Times New Roman" w:hAnsi="Times New Roman" w:cs="Times New Roman"/>
          <w:sz w:val="20"/>
          <w:szCs w:val="20"/>
        </w:rPr>
        <w:t xml:space="preserve"> taken with palm oil soup preparation acts as a </w:t>
      </w:r>
      <w:proofErr w:type="spellStart"/>
      <w:proofErr w:type="gramStart"/>
      <w:r w:rsidR="000D3C78" w:rsidRPr="00A25D00">
        <w:rPr>
          <w:rFonts w:ascii="Times New Roman" w:hAnsi="Times New Roman" w:cs="Times New Roman"/>
          <w:sz w:val="20"/>
          <w:szCs w:val="20"/>
        </w:rPr>
        <w:t>filariacide</w:t>
      </w:r>
      <w:proofErr w:type="spellEnd"/>
      <w:r w:rsidR="000D3C78" w:rsidRPr="00A25D00">
        <w:rPr>
          <w:rFonts w:ascii="Times New Roman" w:hAnsi="Times New Roman" w:cs="Times New Roman"/>
          <w:sz w:val="20"/>
          <w:szCs w:val="20"/>
        </w:rPr>
        <w:t xml:space="preserve">  and</w:t>
      </w:r>
      <w:proofErr w:type="gramEnd"/>
      <w:r w:rsidR="000D3C78" w:rsidRPr="00A25D00">
        <w:rPr>
          <w:rFonts w:ascii="Times New Roman" w:hAnsi="Times New Roman" w:cs="Times New Roman"/>
          <w:sz w:val="20"/>
          <w:szCs w:val="20"/>
        </w:rPr>
        <w:t xml:space="preserve"> </w:t>
      </w:r>
      <w:proofErr w:type="spellStart"/>
      <w:r w:rsidR="000D3C78" w:rsidRPr="00A25D00">
        <w:rPr>
          <w:rFonts w:ascii="Times New Roman" w:hAnsi="Times New Roman" w:cs="Times New Roman"/>
          <w:sz w:val="20"/>
          <w:szCs w:val="20"/>
        </w:rPr>
        <w:t>aginst</w:t>
      </w:r>
      <w:proofErr w:type="spellEnd"/>
      <w:r w:rsidR="000D3C78" w:rsidRPr="00A25D00">
        <w:rPr>
          <w:rFonts w:ascii="Times New Roman" w:hAnsi="Times New Roman" w:cs="Times New Roman"/>
          <w:sz w:val="20"/>
          <w:szCs w:val="20"/>
        </w:rPr>
        <w:t xml:space="preserve"> guinea-worm (</w:t>
      </w:r>
      <w:proofErr w:type="spellStart"/>
      <w:r w:rsidR="000D3C78" w:rsidRPr="00A25D00">
        <w:rPr>
          <w:rFonts w:ascii="Times New Roman" w:hAnsi="Times New Roman" w:cs="Times New Roman"/>
          <w:sz w:val="20"/>
          <w:szCs w:val="20"/>
          <w:u w:val="single"/>
        </w:rPr>
        <w:t>Dracunculus</w:t>
      </w:r>
      <w:proofErr w:type="spellEnd"/>
      <w:r w:rsidR="001147CA" w:rsidRPr="00A25D00">
        <w:rPr>
          <w:rFonts w:ascii="Times New Roman" w:hAnsi="Times New Roman" w:cs="Times New Roman"/>
          <w:sz w:val="20"/>
          <w:szCs w:val="20"/>
          <w:u w:val="single"/>
        </w:rPr>
        <w:t xml:space="preserve"> </w:t>
      </w:r>
      <w:r w:rsidR="00C64F20" w:rsidRPr="00A25D00">
        <w:rPr>
          <w:rFonts w:ascii="Times New Roman" w:hAnsi="Times New Roman" w:cs="Times New Roman"/>
          <w:sz w:val="20"/>
          <w:szCs w:val="20"/>
          <w:u w:val="single"/>
        </w:rPr>
        <w:t xml:space="preserve"> </w:t>
      </w:r>
      <w:proofErr w:type="spellStart"/>
      <w:r w:rsidR="00C64F20" w:rsidRPr="00A25D00">
        <w:rPr>
          <w:rFonts w:ascii="Times New Roman" w:hAnsi="Times New Roman" w:cs="Times New Roman"/>
          <w:sz w:val="20"/>
          <w:szCs w:val="20"/>
          <w:u w:val="single"/>
        </w:rPr>
        <w:t>mendin</w:t>
      </w:r>
      <w:r w:rsidR="000D3C78" w:rsidRPr="00A25D00">
        <w:rPr>
          <w:rFonts w:ascii="Times New Roman" w:hAnsi="Times New Roman" w:cs="Times New Roman"/>
          <w:sz w:val="20"/>
          <w:szCs w:val="20"/>
          <w:u w:val="single"/>
        </w:rPr>
        <w:t>ences</w:t>
      </w:r>
      <w:proofErr w:type="spellEnd"/>
      <w:r w:rsidR="000D3C78" w:rsidRPr="00A25D00">
        <w:rPr>
          <w:rFonts w:ascii="Times New Roman" w:hAnsi="Times New Roman" w:cs="Times New Roman"/>
          <w:sz w:val="20"/>
          <w:szCs w:val="20"/>
        </w:rPr>
        <w:t xml:space="preserve">). The local application of guava leaves, ground into paste with kaolin or white clay and piper </w:t>
      </w:r>
      <w:proofErr w:type="spellStart"/>
      <w:r w:rsidR="000D3C78" w:rsidRPr="00A25D00">
        <w:rPr>
          <w:rFonts w:ascii="Times New Roman" w:hAnsi="Times New Roman" w:cs="Times New Roman"/>
          <w:sz w:val="20"/>
          <w:szCs w:val="20"/>
        </w:rPr>
        <w:t>guineense</w:t>
      </w:r>
      <w:proofErr w:type="spellEnd"/>
      <w:r w:rsidR="000D3C78" w:rsidRPr="00A25D00">
        <w:rPr>
          <w:rFonts w:ascii="Times New Roman" w:hAnsi="Times New Roman" w:cs="Times New Roman"/>
          <w:sz w:val="20"/>
          <w:szCs w:val="20"/>
        </w:rPr>
        <w:t xml:space="preserve">, </w:t>
      </w:r>
      <w:r w:rsidR="00C64F20" w:rsidRPr="00A25D00">
        <w:rPr>
          <w:rFonts w:ascii="Times New Roman" w:hAnsi="Times New Roman" w:cs="Times New Roman"/>
          <w:sz w:val="20"/>
          <w:szCs w:val="20"/>
        </w:rPr>
        <w:t>and twice</w:t>
      </w:r>
      <w:r w:rsidR="000D3C78" w:rsidRPr="00A25D00">
        <w:rPr>
          <w:rFonts w:ascii="Times New Roman" w:hAnsi="Times New Roman" w:cs="Times New Roman"/>
          <w:sz w:val="20"/>
          <w:szCs w:val="20"/>
        </w:rPr>
        <w:t xml:space="preserve"> a day heals the infection in about ten days. The late President of Ghana, Dr. </w:t>
      </w:r>
      <w:proofErr w:type="spellStart"/>
      <w:r w:rsidR="000D3C78" w:rsidRPr="00A25D00">
        <w:rPr>
          <w:rFonts w:ascii="Times New Roman" w:hAnsi="Times New Roman" w:cs="Times New Roman"/>
          <w:sz w:val="20"/>
          <w:szCs w:val="20"/>
        </w:rPr>
        <w:t>Kwame</w:t>
      </w:r>
      <w:proofErr w:type="spellEnd"/>
      <w:r w:rsidR="000D3C78" w:rsidRPr="00A25D00">
        <w:rPr>
          <w:rFonts w:ascii="Times New Roman" w:hAnsi="Times New Roman" w:cs="Times New Roman"/>
          <w:sz w:val="20"/>
          <w:szCs w:val="20"/>
        </w:rPr>
        <w:t xml:space="preserve"> </w:t>
      </w:r>
      <w:proofErr w:type="spellStart"/>
      <w:r w:rsidR="000D3C78" w:rsidRPr="00A25D00">
        <w:rPr>
          <w:rFonts w:ascii="Times New Roman" w:hAnsi="Times New Roman" w:cs="Times New Roman"/>
          <w:sz w:val="20"/>
          <w:szCs w:val="20"/>
        </w:rPr>
        <w:t>Nkruman</w:t>
      </w:r>
      <w:proofErr w:type="spellEnd"/>
      <w:r w:rsidR="000D3C78" w:rsidRPr="00A25D00">
        <w:rPr>
          <w:rFonts w:ascii="Times New Roman" w:hAnsi="Times New Roman" w:cs="Times New Roman"/>
          <w:sz w:val="20"/>
          <w:szCs w:val="20"/>
        </w:rPr>
        <w:t xml:space="preserve"> of Ghana</w:t>
      </w:r>
      <w:r w:rsidR="00C64F20" w:rsidRPr="00A25D00">
        <w:rPr>
          <w:rFonts w:ascii="Times New Roman" w:hAnsi="Times New Roman" w:cs="Times New Roman"/>
          <w:sz w:val="20"/>
          <w:szCs w:val="20"/>
        </w:rPr>
        <w:t>,</w:t>
      </w:r>
      <w:r w:rsidR="000D3C78" w:rsidRPr="00A25D00">
        <w:rPr>
          <w:rFonts w:ascii="Times New Roman" w:hAnsi="Times New Roman" w:cs="Times New Roman"/>
          <w:sz w:val="20"/>
          <w:szCs w:val="20"/>
        </w:rPr>
        <w:t xml:space="preserve"> </w:t>
      </w:r>
      <w:r w:rsidR="001147CA" w:rsidRPr="00A25D00">
        <w:rPr>
          <w:rFonts w:ascii="Times New Roman" w:hAnsi="Times New Roman" w:cs="Times New Roman"/>
          <w:sz w:val="20"/>
          <w:szCs w:val="20"/>
        </w:rPr>
        <w:t xml:space="preserve">emphasized some of the philosophical tenets of the Western African </w:t>
      </w:r>
      <w:r>
        <w:rPr>
          <w:rFonts w:ascii="Times New Roman" w:hAnsi="Times New Roman" w:cs="Times New Roman"/>
          <w:sz w:val="20"/>
          <w:szCs w:val="20"/>
        </w:rPr>
        <w:t xml:space="preserve">model as(1) to uphold, </w:t>
      </w:r>
      <w:r w:rsidR="001147CA" w:rsidRPr="00A25D00">
        <w:rPr>
          <w:rFonts w:ascii="Times New Roman" w:hAnsi="Times New Roman" w:cs="Times New Roman"/>
          <w:sz w:val="20"/>
          <w:szCs w:val="20"/>
        </w:rPr>
        <w:t xml:space="preserve"> protect and promote the best in psychic healing,</w:t>
      </w:r>
      <w:r>
        <w:rPr>
          <w:rFonts w:ascii="Times New Roman" w:hAnsi="Times New Roman" w:cs="Times New Roman"/>
          <w:sz w:val="20"/>
          <w:szCs w:val="20"/>
        </w:rPr>
        <w:t xml:space="preserve"> </w:t>
      </w:r>
      <w:r w:rsidR="001147CA" w:rsidRPr="00A25D00">
        <w:rPr>
          <w:rFonts w:ascii="Times New Roman" w:hAnsi="Times New Roman" w:cs="Times New Roman"/>
          <w:sz w:val="20"/>
          <w:szCs w:val="20"/>
        </w:rPr>
        <w:t>(2) to encourage the establishment of advanced training programs in traditional healing,(3) to introduce and train medical students to appreciate the work of traditional healing, (4) to encourage research work into traditional healing (5)to establish clinics in remote places and to educate  traditional healers in the rural areas in order to improve upon their practices</w:t>
      </w:r>
      <w:r w:rsidR="008D564C">
        <w:rPr>
          <w:rFonts w:ascii="Times New Roman" w:hAnsi="Times New Roman" w:cs="Times New Roman"/>
          <w:sz w:val="20"/>
          <w:szCs w:val="20"/>
        </w:rPr>
        <w:t>.</w:t>
      </w:r>
    </w:p>
    <w:p w:rsidR="008B34BA" w:rsidRPr="00A25D00" w:rsidRDefault="00A81B58" w:rsidP="00A25D00">
      <w:pPr>
        <w:spacing w:line="240" w:lineRule="auto"/>
        <w:ind w:firstLine="720"/>
        <w:rPr>
          <w:rFonts w:ascii="Times New Roman" w:hAnsi="Times New Roman" w:cs="Times New Roman"/>
          <w:color w:val="000000"/>
          <w:sz w:val="20"/>
          <w:szCs w:val="20"/>
        </w:rPr>
      </w:pPr>
      <w:r>
        <w:rPr>
          <w:rFonts w:ascii="Times New Roman" w:hAnsi="Times New Roman" w:cs="Times New Roman"/>
          <w:color w:val="000000"/>
          <w:sz w:val="20"/>
          <w:szCs w:val="20"/>
        </w:rPr>
        <w:t>In Nigeria, 70</w:t>
      </w:r>
      <w:r w:rsidR="008B34BA" w:rsidRPr="00A25D00">
        <w:rPr>
          <w:rFonts w:ascii="Times New Roman" w:hAnsi="Times New Roman" w:cs="Times New Roman"/>
          <w:color w:val="000000"/>
          <w:sz w:val="20"/>
          <w:szCs w:val="20"/>
        </w:rPr>
        <w:t xml:space="preserve">% of the inhabitants live in rural areas and in such places traditional healers are generally the only available </w:t>
      </w:r>
      <w:r w:rsidR="008B34BA" w:rsidRPr="00A25D00">
        <w:rPr>
          <w:rStyle w:val="yshortcuts"/>
          <w:rFonts w:ascii="Times New Roman" w:hAnsi="Times New Roman" w:cs="Times New Roman"/>
          <w:color w:val="000000"/>
          <w:sz w:val="20"/>
          <w:szCs w:val="20"/>
        </w:rPr>
        <w:t>health care providers</w:t>
      </w:r>
      <w:r w:rsidR="008B34BA" w:rsidRPr="00A25D00">
        <w:rPr>
          <w:rFonts w:ascii="Times New Roman" w:hAnsi="Times New Roman" w:cs="Times New Roman"/>
          <w:color w:val="000000"/>
          <w:sz w:val="20"/>
          <w:szCs w:val="20"/>
        </w:rPr>
        <w:t>. Since the proficient healers could be rendering beneficial services to rural dwellers, it is common to encounter quacks among them who poison their patients and migrate further into the hinterland (Ebomoyi, 1982). Although traditional healers have not be</w:t>
      </w:r>
      <w:r>
        <w:rPr>
          <w:rFonts w:ascii="Times New Roman" w:hAnsi="Times New Roman" w:cs="Times New Roman"/>
          <w:color w:val="000000"/>
          <w:sz w:val="20"/>
          <w:szCs w:val="20"/>
        </w:rPr>
        <w:t>en accorded full official re</w:t>
      </w:r>
      <w:r w:rsidR="008B34BA" w:rsidRPr="00A25D00">
        <w:rPr>
          <w:rFonts w:ascii="Times New Roman" w:hAnsi="Times New Roman" w:cs="Times New Roman"/>
          <w:color w:val="000000"/>
          <w:sz w:val="20"/>
          <w:szCs w:val="20"/>
        </w:rPr>
        <w:t xml:space="preserve">cognition, they render </w:t>
      </w:r>
      <w:r w:rsidR="008B34BA" w:rsidRPr="00A25D00">
        <w:rPr>
          <w:rStyle w:val="yshortcuts"/>
          <w:rFonts w:ascii="Times New Roman" w:hAnsi="Times New Roman" w:cs="Times New Roman"/>
          <w:color w:val="000000"/>
          <w:sz w:val="20"/>
          <w:szCs w:val="20"/>
        </w:rPr>
        <w:t>health care services</w:t>
      </w:r>
      <w:r w:rsidR="008B34BA" w:rsidRPr="00A25D00">
        <w:rPr>
          <w:rFonts w:ascii="Times New Roman" w:hAnsi="Times New Roman" w:cs="Times New Roman"/>
          <w:color w:val="000000"/>
          <w:sz w:val="20"/>
          <w:szCs w:val="20"/>
        </w:rPr>
        <w:t xml:space="preserve"> to about 75% of Nigerians living in urban, suburban and medically-isolated villages (</w:t>
      </w:r>
      <w:proofErr w:type="spellStart"/>
      <w:r w:rsidR="008B34BA" w:rsidRPr="00A25D00">
        <w:rPr>
          <w:rFonts w:ascii="Times New Roman" w:hAnsi="Times New Roman" w:cs="Times New Roman"/>
          <w:color w:val="000000"/>
          <w:sz w:val="20"/>
          <w:szCs w:val="20"/>
        </w:rPr>
        <w:t>Ademuwagun</w:t>
      </w:r>
      <w:proofErr w:type="spellEnd"/>
      <w:r w:rsidR="008B34BA" w:rsidRPr="00A25D00">
        <w:rPr>
          <w:rFonts w:ascii="Times New Roman" w:hAnsi="Times New Roman" w:cs="Times New Roman"/>
          <w:color w:val="000000"/>
          <w:sz w:val="20"/>
          <w:szCs w:val="20"/>
        </w:rPr>
        <w:t xml:space="preserve">, 1969). With regards to the current health manpower situation, conventionally accepted health indicators such as </w:t>
      </w:r>
      <w:r w:rsidR="008B34BA" w:rsidRPr="00A25D00">
        <w:rPr>
          <w:rStyle w:val="yshortcuts"/>
          <w:rFonts w:ascii="Times New Roman" w:hAnsi="Times New Roman" w:cs="Times New Roman"/>
          <w:color w:val="000000"/>
          <w:sz w:val="20"/>
          <w:szCs w:val="20"/>
        </w:rPr>
        <w:t>infant mortality rate</w:t>
      </w:r>
      <w:r w:rsidR="008B34BA" w:rsidRPr="00A25D00">
        <w:rPr>
          <w:rFonts w:ascii="Times New Roman" w:hAnsi="Times New Roman" w:cs="Times New Roman"/>
          <w:color w:val="000000"/>
          <w:sz w:val="20"/>
          <w:szCs w:val="20"/>
        </w:rPr>
        <w:t xml:space="preserve">, life expectancy and physician population ratio reveal an unsatisfactory picture. </w:t>
      </w:r>
      <w:r w:rsidR="00506D15" w:rsidRPr="00A25D00">
        <w:rPr>
          <w:rFonts w:ascii="Times New Roman" w:hAnsi="Times New Roman" w:cs="Times New Roman"/>
          <w:color w:val="000000"/>
          <w:sz w:val="20"/>
          <w:szCs w:val="20"/>
        </w:rPr>
        <w:t xml:space="preserve"> The data from The Nigerian federal ministry of health and the World Health Organization estimates (</w:t>
      </w:r>
      <w:r w:rsidR="00F3453A" w:rsidRPr="00A25D00">
        <w:rPr>
          <w:rFonts w:ascii="Times New Roman" w:hAnsi="Times New Roman" w:cs="Times New Roman"/>
          <w:color w:val="000000"/>
          <w:sz w:val="20"/>
          <w:szCs w:val="20"/>
        </w:rPr>
        <w:t xml:space="preserve">2008), and Time Almanac (2008) </w:t>
      </w:r>
      <w:r w:rsidR="00506D15" w:rsidRPr="00A25D00">
        <w:rPr>
          <w:rFonts w:ascii="Times New Roman" w:hAnsi="Times New Roman" w:cs="Times New Roman"/>
          <w:color w:val="000000"/>
          <w:sz w:val="20"/>
          <w:szCs w:val="20"/>
        </w:rPr>
        <w:t>reveal</w:t>
      </w:r>
      <w:proofErr w:type="gramStart"/>
      <w:r w:rsidR="00506D15" w:rsidRPr="00A25D00">
        <w:rPr>
          <w:rFonts w:ascii="Times New Roman" w:hAnsi="Times New Roman" w:cs="Times New Roman"/>
          <w:color w:val="000000"/>
          <w:sz w:val="20"/>
          <w:szCs w:val="20"/>
        </w:rPr>
        <w:t>:</w:t>
      </w:r>
      <w:proofErr w:type="gramEnd"/>
      <w:r w:rsidR="008B34BA" w:rsidRPr="00A25D00">
        <w:rPr>
          <w:rFonts w:ascii="Times New Roman" w:hAnsi="Times New Roman" w:cs="Times New Roman"/>
          <w:color w:val="000000"/>
          <w:sz w:val="20"/>
          <w:szCs w:val="20"/>
        </w:rPr>
        <w:br/>
        <w:t>The health status of Nigerians is still relatively poor considering these indicators: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2"/>
        <w:gridCol w:w="2277"/>
      </w:tblGrid>
      <w:tr w:rsidR="008B34BA" w:rsidRPr="00A25D00" w:rsidTr="00F3453A">
        <w:trPr>
          <w:trHeight w:val="460"/>
        </w:trPr>
        <w:tc>
          <w:tcPr>
            <w:tcW w:w="0" w:type="auto"/>
          </w:tcPr>
          <w:p w:rsidR="008B34BA" w:rsidRPr="00A25D00" w:rsidRDefault="008B34BA" w:rsidP="008D564C">
            <w:pPr>
              <w:rPr>
                <w:rFonts w:ascii="Times New Roman" w:hAnsi="Times New Roman" w:cs="Times New Roman"/>
                <w:sz w:val="20"/>
                <w:szCs w:val="20"/>
              </w:rPr>
            </w:pPr>
            <w:r w:rsidRPr="00A25D00">
              <w:rPr>
                <w:rFonts w:ascii="Times New Roman" w:hAnsi="Times New Roman" w:cs="Times New Roman"/>
                <w:sz w:val="20"/>
                <w:szCs w:val="20"/>
              </w:rPr>
              <w:t>Infant Mortality Rate</w:t>
            </w:r>
            <w:r w:rsidR="00F3453A" w:rsidRPr="00A25D00">
              <w:rPr>
                <w:rFonts w:ascii="Times New Roman" w:hAnsi="Times New Roman" w:cs="Times New Roman"/>
                <w:sz w:val="20"/>
                <w:szCs w:val="20"/>
              </w:rPr>
              <w:t>:</w:t>
            </w:r>
          </w:p>
        </w:tc>
        <w:tc>
          <w:tcPr>
            <w:tcW w:w="0" w:type="auto"/>
          </w:tcPr>
          <w:p w:rsidR="008B34BA" w:rsidRPr="00A25D00" w:rsidRDefault="00FE47F8" w:rsidP="008D564C">
            <w:pPr>
              <w:rPr>
                <w:rFonts w:ascii="Times New Roman" w:hAnsi="Times New Roman" w:cs="Times New Roman"/>
                <w:sz w:val="20"/>
                <w:szCs w:val="20"/>
              </w:rPr>
            </w:pPr>
            <w:r w:rsidRPr="00A25D00">
              <w:rPr>
                <w:rFonts w:ascii="Times New Roman" w:hAnsi="Times New Roman" w:cs="Times New Roman"/>
                <w:sz w:val="20"/>
                <w:szCs w:val="20"/>
              </w:rPr>
              <w:t xml:space="preserve">71.3 </w:t>
            </w:r>
            <w:r w:rsidR="008B34BA" w:rsidRPr="00A25D00">
              <w:rPr>
                <w:rFonts w:ascii="Times New Roman" w:hAnsi="Times New Roman" w:cs="Times New Roman"/>
                <w:sz w:val="20"/>
                <w:szCs w:val="20"/>
              </w:rPr>
              <w:t>per 1000 live births</w:t>
            </w:r>
          </w:p>
        </w:tc>
      </w:tr>
      <w:tr w:rsidR="008B34BA" w:rsidRPr="00A25D00" w:rsidTr="00F3453A">
        <w:trPr>
          <w:trHeight w:val="460"/>
        </w:trPr>
        <w:tc>
          <w:tcPr>
            <w:tcW w:w="0" w:type="auto"/>
          </w:tcPr>
          <w:p w:rsidR="008B34BA" w:rsidRPr="00A25D00" w:rsidRDefault="008B34BA" w:rsidP="008D564C">
            <w:pPr>
              <w:rPr>
                <w:rFonts w:ascii="Times New Roman" w:hAnsi="Times New Roman" w:cs="Times New Roman"/>
                <w:sz w:val="20"/>
                <w:szCs w:val="20"/>
              </w:rPr>
            </w:pPr>
            <w:r w:rsidRPr="00A25D00">
              <w:rPr>
                <w:rFonts w:ascii="Times New Roman" w:hAnsi="Times New Roman" w:cs="Times New Roman"/>
                <w:sz w:val="20"/>
                <w:szCs w:val="20"/>
              </w:rPr>
              <w:t>Crude death rate</w:t>
            </w:r>
            <w:r w:rsidR="00F3453A" w:rsidRPr="00A25D00">
              <w:rPr>
                <w:rFonts w:ascii="Times New Roman" w:hAnsi="Times New Roman" w:cs="Times New Roman"/>
                <w:sz w:val="20"/>
                <w:szCs w:val="20"/>
              </w:rPr>
              <w:t>:</w:t>
            </w:r>
          </w:p>
        </w:tc>
        <w:tc>
          <w:tcPr>
            <w:tcW w:w="0" w:type="auto"/>
          </w:tcPr>
          <w:p w:rsidR="008B34BA" w:rsidRPr="00A25D00" w:rsidRDefault="00FE47F8" w:rsidP="008D564C">
            <w:pPr>
              <w:rPr>
                <w:rFonts w:ascii="Times New Roman" w:hAnsi="Times New Roman" w:cs="Times New Roman"/>
                <w:sz w:val="20"/>
                <w:szCs w:val="20"/>
              </w:rPr>
            </w:pPr>
            <w:r w:rsidRPr="00A25D00">
              <w:rPr>
                <w:rFonts w:ascii="Times New Roman" w:hAnsi="Times New Roman" w:cs="Times New Roman"/>
                <w:sz w:val="20"/>
                <w:szCs w:val="20"/>
              </w:rPr>
              <w:t xml:space="preserve">13.8 </w:t>
            </w:r>
            <w:r w:rsidR="008B34BA" w:rsidRPr="00A25D00">
              <w:rPr>
                <w:rFonts w:ascii="Times New Roman" w:hAnsi="Times New Roman" w:cs="Times New Roman"/>
                <w:sz w:val="20"/>
                <w:szCs w:val="20"/>
              </w:rPr>
              <w:t xml:space="preserve"> per 1000 live births</w:t>
            </w:r>
          </w:p>
        </w:tc>
      </w:tr>
      <w:tr w:rsidR="008B34BA" w:rsidRPr="00A25D00" w:rsidTr="00F3453A">
        <w:trPr>
          <w:trHeight w:val="460"/>
        </w:trPr>
        <w:tc>
          <w:tcPr>
            <w:tcW w:w="0" w:type="auto"/>
          </w:tcPr>
          <w:p w:rsidR="008B34BA" w:rsidRPr="00A25D00" w:rsidRDefault="008B34BA" w:rsidP="008D564C">
            <w:pPr>
              <w:rPr>
                <w:rFonts w:ascii="Times New Roman" w:hAnsi="Times New Roman" w:cs="Times New Roman"/>
                <w:sz w:val="20"/>
                <w:szCs w:val="20"/>
              </w:rPr>
            </w:pPr>
            <w:r w:rsidRPr="00A25D00">
              <w:rPr>
                <w:rFonts w:ascii="Times New Roman" w:hAnsi="Times New Roman" w:cs="Times New Roman"/>
                <w:sz w:val="20"/>
                <w:szCs w:val="20"/>
              </w:rPr>
              <w:t>Crude birth rate</w:t>
            </w:r>
            <w:r w:rsidR="00F3453A" w:rsidRPr="00A25D00">
              <w:rPr>
                <w:rFonts w:ascii="Times New Roman" w:hAnsi="Times New Roman" w:cs="Times New Roman"/>
                <w:sz w:val="20"/>
                <w:szCs w:val="20"/>
              </w:rPr>
              <w:t>:</w:t>
            </w:r>
          </w:p>
        </w:tc>
        <w:tc>
          <w:tcPr>
            <w:tcW w:w="0" w:type="auto"/>
          </w:tcPr>
          <w:p w:rsidR="008B34BA" w:rsidRPr="00A25D00" w:rsidRDefault="00FE47F8" w:rsidP="008D564C">
            <w:pPr>
              <w:rPr>
                <w:rFonts w:ascii="Times New Roman" w:hAnsi="Times New Roman" w:cs="Times New Roman"/>
                <w:sz w:val="20"/>
                <w:szCs w:val="20"/>
              </w:rPr>
            </w:pPr>
            <w:r w:rsidRPr="00A25D00">
              <w:rPr>
                <w:rFonts w:ascii="Times New Roman" w:hAnsi="Times New Roman" w:cs="Times New Roman"/>
                <w:sz w:val="20"/>
                <w:szCs w:val="20"/>
              </w:rPr>
              <w:t>38.8</w:t>
            </w:r>
            <w:r w:rsidR="008B34BA" w:rsidRPr="00A25D00">
              <w:rPr>
                <w:rFonts w:ascii="Times New Roman" w:hAnsi="Times New Roman" w:cs="Times New Roman"/>
                <w:sz w:val="20"/>
                <w:szCs w:val="20"/>
              </w:rPr>
              <w:t>0 per 1000 live births</w:t>
            </w:r>
          </w:p>
        </w:tc>
      </w:tr>
      <w:tr w:rsidR="008B34BA" w:rsidRPr="00A25D00" w:rsidTr="00F3453A">
        <w:trPr>
          <w:trHeight w:val="460"/>
        </w:trPr>
        <w:tc>
          <w:tcPr>
            <w:tcW w:w="0" w:type="auto"/>
          </w:tcPr>
          <w:p w:rsidR="008B34BA" w:rsidRPr="00A25D00" w:rsidRDefault="008B34BA" w:rsidP="008D564C">
            <w:pPr>
              <w:rPr>
                <w:rFonts w:ascii="Times New Roman" w:hAnsi="Times New Roman" w:cs="Times New Roman"/>
                <w:sz w:val="20"/>
                <w:szCs w:val="20"/>
              </w:rPr>
            </w:pPr>
            <w:r w:rsidRPr="00A25D00">
              <w:rPr>
                <w:rFonts w:ascii="Times New Roman" w:hAnsi="Times New Roman" w:cs="Times New Roman"/>
                <w:sz w:val="20"/>
                <w:szCs w:val="20"/>
              </w:rPr>
              <w:t>Maternal death rate</w:t>
            </w:r>
            <w:r w:rsidR="00F3453A" w:rsidRPr="00A25D00">
              <w:rPr>
                <w:rFonts w:ascii="Times New Roman" w:hAnsi="Times New Roman" w:cs="Times New Roman"/>
                <w:sz w:val="20"/>
                <w:szCs w:val="20"/>
              </w:rPr>
              <w:t>:</w:t>
            </w:r>
          </w:p>
        </w:tc>
        <w:tc>
          <w:tcPr>
            <w:tcW w:w="0" w:type="auto"/>
          </w:tcPr>
          <w:p w:rsidR="008B34BA" w:rsidRPr="00A25D00" w:rsidRDefault="008B34BA" w:rsidP="008D564C">
            <w:pPr>
              <w:rPr>
                <w:rFonts w:ascii="Times New Roman" w:hAnsi="Times New Roman" w:cs="Times New Roman"/>
                <w:sz w:val="20"/>
                <w:szCs w:val="20"/>
              </w:rPr>
            </w:pPr>
            <w:r w:rsidRPr="00A25D00">
              <w:rPr>
                <w:rFonts w:ascii="Times New Roman" w:hAnsi="Times New Roman" w:cs="Times New Roman"/>
                <w:sz w:val="20"/>
                <w:szCs w:val="20"/>
              </w:rPr>
              <w:t>15.20 per 1000 live births</w:t>
            </w:r>
          </w:p>
        </w:tc>
      </w:tr>
    </w:tbl>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FE47F8"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Life expectancy at birth 51.1</w:t>
      </w:r>
      <w:r w:rsidR="008B34BA" w:rsidRPr="00A25D00">
        <w:rPr>
          <w:rFonts w:ascii="Times New Roman" w:hAnsi="Times New Roman" w:cs="Times New Roman"/>
          <w:sz w:val="20"/>
          <w:szCs w:val="20"/>
        </w:rPr>
        <w:t xml:space="preserve"> years for female </w:t>
      </w:r>
    </w:p>
    <w:p w:rsidR="008B34BA" w:rsidRPr="00A25D00" w:rsidRDefault="00FE47F8"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 xml:space="preserve">Life expectancy at birth 50.9 years for male </w:t>
      </w:r>
    </w:p>
    <w:p w:rsidR="00FE47F8" w:rsidRPr="00A25D00" w:rsidRDefault="00FE47F8" w:rsidP="00A25D00">
      <w:pPr>
        <w:spacing w:after="0" w:line="240" w:lineRule="auto"/>
        <w:jc w:val="both"/>
        <w:rPr>
          <w:rFonts w:ascii="Times New Roman" w:hAnsi="Times New Roman" w:cs="Times New Roman"/>
          <w:sz w:val="20"/>
          <w:szCs w:val="20"/>
        </w:rPr>
      </w:pPr>
      <w:r w:rsidRPr="00A25D00">
        <w:rPr>
          <w:rFonts w:ascii="Times New Roman" w:hAnsi="Times New Roman" w:cs="Times New Roman"/>
          <w:sz w:val="20"/>
          <w:szCs w:val="20"/>
        </w:rPr>
        <w:t>Adults (Ages 15-49) Living with HIV: 5.4%</w:t>
      </w:r>
    </w:p>
    <w:p w:rsidR="00FE47F8" w:rsidRPr="00A25D00" w:rsidRDefault="00FE47F8" w:rsidP="00A25D00">
      <w:pPr>
        <w:spacing w:after="0" w:line="240" w:lineRule="auto"/>
        <w:jc w:val="both"/>
        <w:rPr>
          <w:rFonts w:ascii="Times New Roman" w:hAnsi="Times New Roman" w:cs="Times New Roman"/>
          <w:sz w:val="20"/>
          <w:szCs w:val="20"/>
        </w:rPr>
      </w:pPr>
      <w:r w:rsidRPr="00A25D00">
        <w:rPr>
          <w:rFonts w:ascii="Times New Roman" w:hAnsi="Times New Roman" w:cs="Times New Roman"/>
          <w:sz w:val="20"/>
          <w:szCs w:val="20"/>
        </w:rPr>
        <w:t>Physicians 25,914 (1per</w:t>
      </w:r>
      <w:r w:rsidR="00506D15" w:rsidRPr="00A25D00">
        <w:rPr>
          <w:rFonts w:ascii="Times New Roman" w:hAnsi="Times New Roman" w:cs="Times New Roman"/>
          <w:sz w:val="20"/>
          <w:szCs w:val="20"/>
        </w:rPr>
        <w:t xml:space="preserve"> </w:t>
      </w:r>
      <w:r w:rsidRPr="00A25D00">
        <w:rPr>
          <w:rFonts w:ascii="Times New Roman" w:hAnsi="Times New Roman" w:cs="Times New Roman"/>
          <w:sz w:val="20"/>
          <w:szCs w:val="20"/>
        </w:rPr>
        <w:t>4,722 persons)</w:t>
      </w:r>
    </w:p>
    <w:p w:rsidR="00FE47F8" w:rsidRPr="00A25D00" w:rsidRDefault="00FE47F8" w:rsidP="00A25D00">
      <w:pPr>
        <w:spacing w:after="0" w:line="240" w:lineRule="auto"/>
        <w:jc w:val="both"/>
        <w:rPr>
          <w:rFonts w:ascii="Times New Roman" w:hAnsi="Times New Roman" w:cs="Times New Roman"/>
          <w:sz w:val="20"/>
          <w:szCs w:val="20"/>
        </w:rPr>
      </w:pPr>
      <w:r w:rsidRPr="00A25D00">
        <w:rPr>
          <w:rFonts w:ascii="Times New Roman" w:hAnsi="Times New Roman" w:cs="Times New Roman"/>
          <w:sz w:val="20"/>
          <w:szCs w:val="20"/>
        </w:rPr>
        <w:t>Hospital beds 54,872(1per 2,230 persons)</w:t>
      </w:r>
    </w:p>
    <w:p w:rsidR="00FE47F8" w:rsidRPr="00A25D00" w:rsidRDefault="00FE47F8" w:rsidP="00A25D00">
      <w:pPr>
        <w:spacing w:after="0" w:line="240" w:lineRule="auto"/>
        <w:jc w:val="both"/>
        <w:rPr>
          <w:rFonts w:ascii="Times New Roman" w:hAnsi="Times New Roman" w:cs="Times New Roman"/>
          <w:sz w:val="20"/>
          <w:szCs w:val="20"/>
        </w:rPr>
      </w:pPr>
    </w:p>
    <w:p w:rsidR="008B34BA" w:rsidRPr="00A25D00" w:rsidRDefault="008D564C" w:rsidP="00A25D00">
      <w:pPr>
        <w:spacing w:line="240" w:lineRule="auto"/>
        <w:ind w:firstLine="720"/>
        <w:jc w:val="center"/>
        <w:rPr>
          <w:rFonts w:ascii="Times New Roman" w:hAnsi="Times New Roman" w:cs="Times New Roman"/>
          <w:sz w:val="20"/>
          <w:szCs w:val="20"/>
        </w:rPr>
      </w:pPr>
      <w:r>
        <w:rPr>
          <w:rFonts w:ascii="Times New Roman" w:hAnsi="Times New Roman" w:cs="Times New Roman"/>
          <w:color w:val="000000"/>
          <w:sz w:val="20"/>
          <w:szCs w:val="20"/>
        </w:rPr>
        <w:t>Objectives of the S</w:t>
      </w:r>
      <w:r w:rsidRPr="00A25D00">
        <w:rPr>
          <w:rFonts w:ascii="Times New Roman" w:hAnsi="Times New Roman" w:cs="Times New Roman"/>
          <w:color w:val="000000"/>
          <w:sz w:val="20"/>
          <w:szCs w:val="20"/>
        </w:rPr>
        <w:t>tudy</w:t>
      </w:r>
    </w:p>
    <w:p w:rsidR="008B34BA" w:rsidRPr="00A25D00" w:rsidRDefault="008B34BA" w:rsidP="00A25D00">
      <w:pPr>
        <w:spacing w:after="0" w:line="240" w:lineRule="auto"/>
        <w:ind w:firstLine="720"/>
        <w:rPr>
          <w:rFonts w:ascii="Times New Roman" w:hAnsi="Times New Roman" w:cs="Times New Roman"/>
          <w:color w:val="000000"/>
          <w:sz w:val="20"/>
          <w:szCs w:val="20"/>
        </w:rPr>
      </w:pPr>
      <w:r w:rsidRPr="00A25D00">
        <w:rPr>
          <w:rFonts w:ascii="Times New Roman" w:hAnsi="Times New Roman" w:cs="Times New Roman"/>
          <w:color w:val="000000"/>
          <w:sz w:val="20"/>
          <w:szCs w:val="20"/>
        </w:rPr>
        <w:t>The primary objective of this research was to explore the attitu</w:t>
      </w:r>
      <w:r w:rsidR="00C64F20" w:rsidRPr="00A25D00">
        <w:rPr>
          <w:rFonts w:ascii="Times New Roman" w:hAnsi="Times New Roman" w:cs="Times New Roman"/>
          <w:color w:val="000000"/>
          <w:sz w:val="20"/>
          <w:szCs w:val="20"/>
        </w:rPr>
        <w:t>des of primary Health care (PH</w:t>
      </w:r>
      <w:r w:rsidRPr="00A25D00">
        <w:rPr>
          <w:rFonts w:ascii="Times New Roman" w:hAnsi="Times New Roman" w:cs="Times New Roman"/>
          <w:color w:val="000000"/>
          <w:sz w:val="20"/>
          <w:szCs w:val="20"/>
        </w:rPr>
        <w:t xml:space="preserve">C.) consumers towards the utilization of traditional healing services at the primary health care centre. A secondary objective was to compare the attitude of respondents in the urban, rural and medically-isolated villages about the utilization of traditional medical services. A third objective was to compare the attitudes and belief of medical and nonmedical undergraduates towards the utilization of </w:t>
      </w:r>
      <w:r w:rsidRPr="00A25D00">
        <w:rPr>
          <w:rStyle w:val="yshortcuts"/>
          <w:rFonts w:ascii="Times New Roman" w:hAnsi="Times New Roman" w:cs="Times New Roman"/>
          <w:color w:val="000000"/>
          <w:sz w:val="20"/>
          <w:szCs w:val="20"/>
        </w:rPr>
        <w:t>traditional medicine services</w:t>
      </w:r>
      <w:r w:rsidRPr="00A25D00">
        <w:rPr>
          <w:rFonts w:ascii="Times New Roman" w:hAnsi="Times New Roman" w:cs="Times New Roman"/>
          <w:color w:val="000000"/>
          <w:sz w:val="20"/>
          <w:szCs w:val="20"/>
        </w:rPr>
        <w:t xml:space="preserve"> at the pri</w:t>
      </w:r>
      <w:r w:rsidR="00EE3F1C">
        <w:rPr>
          <w:rFonts w:ascii="Times New Roman" w:hAnsi="Times New Roman" w:cs="Times New Roman"/>
          <w:color w:val="000000"/>
          <w:sz w:val="20"/>
          <w:szCs w:val="20"/>
        </w:rPr>
        <w:t xml:space="preserve">mary health care </w:t>
      </w:r>
      <w:r w:rsidR="008F1174" w:rsidRPr="00A25D00">
        <w:rPr>
          <w:rFonts w:ascii="Times New Roman" w:hAnsi="Times New Roman" w:cs="Times New Roman"/>
          <w:color w:val="000000"/>
          <w:sz w:val="20"/>
          <w:szCs w:val="20"/>
        </w:rPr>
        <w:t>center</w:t>
      </w:r>
      <w:r w:rsidRPr="00A25D00">
        <w:rPr>
          <w:rFonts w:ascii="Times New Roman" w:hAnsi="Times New Roman" w:cs="Times New Roman"/>
          <w:color w:val="000000"/>
          <w:sz w:val="20"/>
          <w:szCs w:val="20"/>
        </w:rPr>
        <w:t xml:space="preserve">. The underlying assumption is that Nigeria students enrolled in American universities and those enrolled in </w:t>
      </w:r>
      <w:r w:rsidRPr="00A25D00">
        <w:rPr>
          <w:rStyle w:val="yshortcuts"/>
          <w:rFonts w:ascii="Times New Roman" w:hAnsi="Times New Roman" w:cs="Times New Roman"/>
          <w:color w:val="000000"/>
          <w:sz w:val="20"/>
          <w:szCs w:val="20"/>
        </w:rPr>
        <w:t>Nigeria medical school</w:t>
      </w:r>
      <w:r w:rsidRPr="00A25D00">
        <w:rPr>
          <w:rFonts w:ascii="Times New Roman" w:hAnsi="Times New Roman" w:cs="Times New Roman"/>
          <w:color w:val="000000"/>
          <w:sz w:val="20"/>
          <w:szCs w:val="20"/>
        </w:rPr>
        <w:t xml:space="preserve"> constitute an important source of future influence and leadership in Nigeria society. Given the findings from the survey, it should then be possible to evolve a suitable scientific strategy for the integration of traditional healers into primary health care delivery system in this country. The guiding theory for this approach comes from a body of research in communication known as </w:t>
      </w:r>
      <w:r w:rsidRPr="00A25D00">
        <w:rPr>
          <w:rStyle w:val="yshortcuts"/>
          <w:rFonts w:ascii="Times New Roman" w:hAnsi="Times New Roman" w:cs="Times New Roman"/>
          <w:color w:val="000000"/>
          <w:sz w:val="20"/>
          <w:szCs w:val="20"/>
        </w:rPr>
        <w:t>diffusion of innovation</w:t>
      </w:r>
      <w:r w:rsidRPr="00A25D00">
        <w:rPr>
          <w:rFonts w:ascii="Times New Roman" w:hAnsi="Times New Roman" w:cs="Times New Roman"/>
          <w:color w:val="000000"/>
          <w:sz w:val="20"/>
          <w:szCs w:val="20"/>
        </w:rPr>
        <w:t xml:space="preserve"> discussed elsewhere (Ebomoyi, 1984).</w:t>
      </w:r>
    </w:p>
    <w:p w:rsidR="008D564C" w:rsidRDefault="008D564C" w:rsidP="00A25D00">
      <w:pPr>
        <w:spacing w:after="0" w:line="240" w:lineRule="auto"/>
        <w:ind w:firstLine="720"/>
        <w:jc w:val="center"/>
        <w:rPr>
          <w:rFonts w:ascii="Times New Roman" w:hAnsi="Times New Roman" w:cs="Times New Roman"/>
          <w:b/>
          <w:color w:val="000000"/>
          <w:sz w:val="20"/>
          <w:szCs w:val="20"/>
        </w:rPr>
      </w:pPr>
    </w:p>
    <w:p w:rsidR="008B34BA" w:rsidRPr="008D564C" w:rsidRDefault="008D564C" w:rsidP="00A25D00">
      <w:pPr>
        <w:spacing w:after="0" w:line="240" w:lineRule="auto"/>
        <w:ind w:firstLine="7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The Study A</w:t>
      </w:r>
      <w:r w:rsidRPr="008D564C">
        <w:rPr>
          <w:rFonts w:ascii="Times New Roman" w:hAnsi="Times New Roman" w:cs="Times New Roman"/>
          <w:b/>
          <w:color w:val="000000"/>
          <w:sz w:val="20"/>
          <w:szCs w:val="20"/>
        </w:rPr>
        <w:t>rea</w:t>
      </w:r>
    </w:p>
    <w:p w:rsidR="008B34BA" w:rsidRPr="00A25D00" w:rsidRDefault="008B34BA" w:rsidP="00A25D00">
      <w:pPr>
        <w:spacing w:after="0" w:line="240" w:lineRule="auto"/>
        <w:ind w:firstLine="720"/>
        <w:rPr>
          <w:rFonts w:ascii="Times New Roman" w:hAnsi="Times New Roman" w:cs="Times New Roman"/>
          <w:color w:val="000000"/>
          <w:sz w:val="20"/>
          <w:szCs w:val="20"/>
        </w:rPr>
      </w:pPr>
      <w:r w:rsidRPr="00A25D00">
        <w:rPr>
          <w:rFonts w:ascii="Times New Roman" w:hAnsi="Times New Roman" w:cs="Times New Roman"/>
          <w:color w:val="000000"/>
          <w:sz w:val="20"/>
          <w:szCs w:val="20"/>
        </w:rPr>
        <w:t xml:space="preserve">The three communities where PHC </w:t>
      </w:r>
      <w:r w:rsidR="00A81B58">
        <w:rPr>
          <w:rFonts w:ascii="Times New Roman" w:hAnsi="Times New Roman" w:cs="Times New Roman"/>
          <w:color w:val="000000"/>
          <w:sz w:val="20"/>
          <w:szCs w:val="20"/>
        </w:rPr>
        <w:t xml:space="preserve">services </w:t>
      </w:r>
      <w:r w:rsidRPr="00A25D00">
        <w:rPr>
          <w:rFonts w:ascii="Times New Roman" w:hAnsi="Times New Roman" w:cs="Times New Roman"/>
          <w:color w:val="000000"/>
          <w:sz w:val="20"/>
          <w:szCs w:val="20"/>
        </w:rPr>
        <w:t xml:space="preserve">were studied are located in </w:t>
      </w:r>
      <w:proofErr w:type="spellStart"/>
      <w:r w:rsidRPr="00A25D00">
        <w:rPr>
          <w:rFonts w:ascii="Times New Roman" w:hAnsi="Times New Roman" w:cs="Times New Roman"/>
          <w:color w:val="000000"/>
          <w:sz w:val="20"/>
          <w:szCs w:val="20"/>
        </w:rPr>
        <w:t>Kwara</w:t>
      </w:r>
      <w:proofErr w:type="spellEnd"/>
      <w:r w:rsidR="00F3453A" w:rsidRPr="00A25D00">
        <w:rPr>
          <w:rFonts w:ascii="Times New Roman" w:hAnsi="Times New Roman" w:cs="Times New Roman"/>
          <w:color w:val="000000"/>
          <w:sz w:val="20"/>
          <w:szCs w:val="20"/>
        </w:rPr>
        <w:t xml:space="preserve"> S</w:t>
      </w:r>
      <w:r w:rsidRPr="00A25D00">
        <w:rPr>
          <w:rFonts w:ascii="Times New Roman" w:hAnsi="Times New Roman" w:cs="Times New Roman"/>
          <w:color w:val="000000"/>
          <w:sz w:val="20"/>
          <w:szCs w:val="20"/>
        </w:rPr>
        <w:t xml:space="preserve">tate, Nigeria. The </w:t>
      </w:r>
      <w:r w:rsidRPr="00A25D00">
        <w:rPr>
          <w:rStyle w:val="yshortcuts"/>
          <w:rFonts w:ascii="Times New Roman" w:hAnsi="Times New Roman" w:cs="Times New Roman"/>
          <w:color w:val="000000"/>
          <w:sz w:val="20"/>
          <w:szCs w:val="20"/>
        </w:rPr>
        <w:t>urban area</w:t>
      </w:r>
      <w:r w:rsidRPr="00A25D00">
        <w:rPr>
          <w:rFonts w:ascii="Times New Roman" w:hAnsi="Times New Roman" w:cs="Times New Roman"/>
          <w:color w:val="000000"/>
          <w:sz w:val="20"/>
          <w:szCs w:val="20"/>
        </w:rPr>
        <w:t xml:space="preserve"> is situated in the heart of Ilorin </w:t>
      </w:r>
      <w:proofErr w:type="gramStart"/>
      <w:r w:rsidRPr="00A25D00">
        <w:rPr>
          <w:rFonts w:ascii="Times New Roman" w:hAnsi="Times New Roman" w:cs="Times New Roman"/>
          <w:color w:val="000000"/>
          <w:sz w:val="20"/>
          <w:szCs w:val="20"/>
        </w:rPr>
        <w:t>town</w:t>
      </w:r>
      <w:r w:rsidR="00C64F20" w:rsidRPr="00A25D00">
        <w:rPr>
          <w:rFonts w:ascii="Times New Roman" w:hAnsi="Times New Roman" w:cs="Times New Roman"/>
          <w:color w:val="000000"/>
          <w:sz w:val="20"/>
          <w:szCs w:val="20"/>
        </w:rPr>
        <w:t>ship</w:t>
      </w:r>
      <w:proofErr w:type="gramEnd"/>
      <w:r w:rsidR="00C64F20" w:rsidRPr="00A25D00">
        <w:rPr>
          <w:rFonts w:ascii="Times New Roman" w:hAnsi="Times New Roman" w:cs="Times New Roman"/>
          <w:color w:val="000000"/>
          <w:sz w:val="20"/>
          <w:szCs w:val="20"/>
        </w:rPr>
        <w:t>. This area is rectangular-</w:t>
      </w:r>
      <w:r w:rsidRPr="00A25D00">
        <w:rPr>
          <w:rFonts w:ascii="Times New Roman" w:hAnsi="Times New Roman" w:cs="Times New Roman"/>
          <w:color w:val="000000"/>
          <w:sz w:val="20"/>
          <w:szCs w:val="20"/>
        </w:rPr>
        <w:t xml:space="preserve"> bounded by the Emir's palace, the central </w:t>
      </w:r>
      <w:r w:rsidRPr="00A25D00">
        <w:rPr>
          <w:rFonts w:ascii="Times New Roman" w:hAnsi="Times New Roman" w:cs="Times New Roman"/>
          <w:color w:val="000000"/>
          <w:sz w:val="20"/>
          <w:szCs w:val="20"/>
        </w:rPr>
        <w:lastRenderedPageBreak/>
        <w:t xml:space="preserve">mosque, the market and residential houses. Demographically, about 80% of the inhabitant are Islamic and an average income is less than 2,400 (two thousand four hundred naira). There is a </w:t>
      </w:r>
      <w:r w:rsidRPr="00A25D00">
        <w:rPr>
          <w:rStyle w:val="yshortcuts"/>
          <w:rFonts w:ascii="Times New Roman" w:hAnsi="Times New Roman" w:cs="Times New Roman"/>
          <w:color w:val="000000"/>
          <w:sz w:val="20"/>
          <w:szCs w:val="20"/>
        </w:rPr>
        <w:t>district health centre</w:t>
      </w:r>
      <w:r w:rsidRPr="00A25D00">
        <w:rPr>
          <w:rFonts w:ascii="Times New Roman" w:hAnsi="Times New Roman" w:cs="Times New Roman"/>
          <w:color w:val="000000"/>
          <w:sz w:val="20"/>
          <w:szCs w:val="20"/>
        </w:rPr>
        <w:t xml:space="preserve"> which provides PHC services to a catchment area of 10,000 inhabitants who live in 660 </w:t>
      </w:r>
      <w:r w:rsidR="00C64F20" w:rsidRPr="00A25D00">
        <w:rPr>
          <w:rFonts w:ascii="Times New Roman" w:hAnsi="Times New Roman" w:cs="Times New Roman"/>
          <w:color w:val="000000"/>
          <w:sz w:val="20"/>
          <w:szCs w:val="20"/>
        </w:rPr>
        <w:t xml:space="preserve">houses. The rural community is </w:t>
      </w:r>
      <w:proofErr w:type="spellStart"/>
      <w:r w:rsidR="00C64F20" w:rsidRPr="00A25D00">
        <w:rPr>
          <w:rFonts w:ascii="Times New Roman" w:hAnsi="Times New Roman" w:cs="Times New Roman"/>
          <w:color w:val="000000"/>
          <w:sz w:val="20"/>
          <w:szCs w:val="20"/>
        </w:rPr>
        <w:t>S</w:t>
      </w:r>
      <w:r w:rsidRPr="00A25D00">
        <w:rPr>
          <w:rFonts w:ascii="Times New Roman" w:hAnsi="Times New Roman" w:cs="Times New Roman"/>
          <w:color w:val="000000"/>
          <w:sz w:val="20"/>
          <w:szCs w:val="20"/>
        </w:rPr>
        <w:t>hao</w:t>
      </w:r>
      <w:proofErr w:type="spellEnd"/>
      <w:r w:rsidRPr="00A25D00">
        <w:rPr>
          <w:rFonts w:ascii="Times New Roman" w:hAnsi="Times New Roman" w:cs="Times New Roman"/>
          <w:color w:val="000000"/>
          <w:sz w:val="20"/>
          <w:szCs w:val="20"/>
        </w:rPr>
        <w:t xml:space="preserve"> where there were 434 houses. </w:t>
      </w:r>
      <w:r w:rsidR="00C64F20" w:rsidRPr="00A25D00">
        <w:rPr>
          <w:rFonts w:ascii="Times New Roman" w:hAnsi="Times New Roman" w:cs="Times New Roman"/>
          <w:color w:val="000000"/>
          <w:sz w:val="20"/>
          <w:szCs w:val="20"/>
        </w:rPr>
        <w:t xml:space="preserve"> </w:t>
      </w:r>
      <w:proofErr w:type="spellStart"/>
      <w:r w:rsidRPr="00A25D00">
        <w:rPr>
          <w:rFonts w:ascii="Times New Roman" w:hAnsi="Times New Roman" w:cs="Times New Roman"/>
          <w:color w:val="000000"/>
          <w:sz w:val="20"/>
          <w:szCs w:val="20"/>
        </w:rPr>
        <w:t>Shao</w:t>
      </w:r>
      <w:proofErr w:type="spellEnd"/>
      <w:r w:rsidRPr="00A25D00">
        <w:rPr>
          <w:rFonts w:ascii="Times New Roman" w:hAnsi="Times New Roman" w:cs="Times New Roman"/>
          <w:color w:val="000000"/>
          <w:sz w:val="20"/>
          <w:szCs w:val="20"/>
        </w:rPr>
        <w:t xml:space="preserve"> is a village of 3,756 females and 3,510 males in </w:t>
      </w:r>
      <w:proofErr w:type="spellStart"/>
      <w:r w:rsidRPr="00A25D00">
        <w:rPr>
          <w:rFonts w:ascii="Times New Roman" w:hAnsi="Times New Roman" w:cs="Times New Roman"/>
          <w:color w:val="000000"/>
          <w:sz w:val="20"/>
          <w:szCs w:val="20"/>
        </w:rPr>
        <w:t>Kwara</w:t>
      </w:r>
      <w:proofErr w:type="spellEnd"/>
      <w:r w:rsidRPr="00A25D00">
        <w:rPr>
          <w:rFonts w:ascii="Times New Roman" w:hAnsi="Times New Roman" w:cs="Times New Roman"/>
          <w:color w:val="000000"/>
          <w:sz w:val="20"/>
          <w:szCs w:val="20"/>
        </w:rPr>
        <w:t xml:space="preserve"> state. It is about</w:t>
      </w:r>
      <w:r w:rsidR="0048263A" w:rsidRPr="00A25D00">
        <w:rPr>
          <w:rFonts w:ascii="Times New Roman" w:hAnsi="Times New Roman" w:cs="Times New Roman"/>
          <w:color w:val="000000"/>
          <w:sz w:val="20"/>
          <w:szCs w:val="20"/>
        </w:rPr>
        <w:t xml:space="preserve"> 16 kilometer north of Ilorin. </w:t>
      </w:r>
      <w:proofErr w:type="spellStart"/>
      <w:r w:rsidR="0048263A" w:rsidRPr="00A25D00">
        <w:rPr>
          <w:rFonts w:ascii="Times New Roman" w:hAnsi="Times New Roman" w:cs="Times New Roman"/>
          <w:color w:val="000000"/>
          <w:sz w:val="20"/>
          <w:szCs w:val="20"/>
        </w:rPr>
        <w:t>S</w:t>
      </w:r>
      <w:r w:rsidRPr="00A25D00">
        <w:rPr>
          <w:rFonts w:ascii="Times New Roman" w:hAnsi="Times New Roman" w:cs="Times New Roman"/>
          <w:color w:val="000000"/>
          <w:sz w:val="20"/>
          <w:szCs w:val="20"/>
        </w:rPr>
        <w:t>hao</w:t>
      </w:r>
      <w:proofErr w:type="spellEnd"/>
      <w:r w:rsidRPr="00A25D00">
        <w:rPr>
          <w:rFonts w:ascii="Times New Roman" w:hAnsi="Times New Roman" w:cs="Times New Roman"/>
          <w:color w:val="000000"/>
          <w:sz w:val="20"/>
          <w:szCs w:val="20"/>
        </w:rPr>
        <w:t xml:space="preserve"> is a farming community in which most of the women are small scale traders. About 80% of the inhabitants are </w:t>
      </w:r>
      <w:proofErr w:type="gramStart"/>
      <w:r w:rsidRPr="00A25D00">
        <w:rPr>
          <w:rFonts w:ascii="Times New Roman" w:hAnsi="Times New Roman" w:cs="Times New Roman"/>
          <w:color w:val="000000"/>
          <w:sz w:val="20"/>
          <w:szCs w:val="20"/>
        </w:rPr>
        <w:t>Yoruba’s,</w:t>
      </w:r>
      <w:proofErr w:type="gramEnd"/>
      <w:r w:rsidRPr="00A25D00">
        <w:rPr>
          <w:rFonts w:ascii="Times New Roman" w:hAnsi="Times New Roman" w:cs="Times New Roman"/>
          <w:color w:val="000000"/>
          <w:sz w:val="20"/>
          <w:szCs w:val="20"/>
        </w:rPr>
        <w:t xml:space="preserve"> there are Fulani’s, Ibos, Hausas, and </w:t>
      </w:r>
      <w:proofErr w:type="spellStart"/>
      <w:r w:rsidRPr="00A25D00">
        <w:rPr>
          <w:rFonts w:ascii="Times New Roman" w:hAnsi="Times New Roman" w:cs="Times New Roman"/>
          <w:color w:val="000000"/>
          <w:sz w:val="20"/>
          <w:szCs w:val="20"/>
        </w:rPr>
        <w:t>Agatus</w:t>
      </w:r>
      <w:proofErr w:type="spellEnd"/>
      <w:r w:rsidRPr="00A25D00">
        <w:rPr>
          <w:rFonts w:ascii="Times New Roman" w:hAnsi="Times New Roman" w:cs="Times New Roman"/>
          <w:color w:val="000000"/>
          <w:sz w:val="20"/>
          <w:szCs w:val="20"/>
        </w:rPr>
        <w:t>. In the community, about 48% of the inhabitants are Muslims, 50% Christians while about 2% of them are Animists (Ebomoyi, 1985).</w:t>
      </w:r>
    </w:p>
    <w:p w:rsidR="008B34BA" w:rsidRPr="00A25D00" w:rsidRDefault="008B34BA" w:rsidP="00A25D00">
      <w:pPr>
        <w:spacing w:after="0" w:line="240" w:lineRule="auto"/>
        <w:ind w:firstLine="720"/>
        <w:rPr>
          <w:rFonts w:ascii="Times New Roman" w:hAnsi="Times New Roman" w:cs="Times New Roman"/>
          <w:color w:val="000000"/>
          <w:sz w:val="20"/>
          <w:szCs w:val="20"/>
        </w:rPr>
      </w:pPr>
      <w:r w:rsidRPr="00A25D00">
        <w:rPr>
          <w:rFonts w:ascii="Times New Roman" w:hAnsi="Times New Roman" w:cs="Times New Roman"/>
          <w:color w:val="000000"/>
          <w:sz w:val="20"/>
          <w:szCs w:val="20"/>
        </w:rPr>
        <w:t xml:space="preserve">The area studied in the </w:t>
      </w:r>
      <w:proofErr w:type="spellStart"/>
      <w:r w:rsidRPr="00A25D00">
        <w:rPr>
          <w:rFonts w:ascii="Times New Roman" w:hAnsi="Times New Roman" w:cs="Times New Roman"/>
          <w:color w:val="000000"/>
          <w:sz w:val="20"/>
          <w:szCs w:val="20"/>
        </w:rPr>
        <w:t>Olowu</w:t>
      </w:r>
      <w:proofErr w:type="spellEnd"/>
      <w:r w:rsidRPr="00A25D00">
        <w:rPr>
          <w:rFonts w:ascii="Times New Roman" w:hAnsi="Times New Roman" w:cs="Times New Roman"/>
          <w:color w:val="000000"/>
          <w:sz w:val="20"/>
          <w:szCs w:val="20"/>
        </w:rPr>
        <w:t xml:space="preserve"> district consists of 34 small farm hamlets (Fig. 1). Geographically, these remote villages are in the Guinea savanna belt of </w:t>
      </w:r>
      <w:r w:rsidRPr="00A25D00">
        <w:rPr>
          <w:rStyle w:val="yshortcuts"/>
          <w:rFonts w:ascii="Times New Roman" w:hAnsi="Times New Roman" w:cs="Times New Roman"/>
          <w:color w:val="000000"/>
          <w:sz w:val="20"/>
          <w:szCs w:val="20"/>
        </w:rPr>
        <w:t>West Africa</w:t>
      </w:r>
      <w:r w:rsidRPr="00A25D00">
        <w:rPr>
          <w:rFonts w:ascii="Times New Roman" w:hAnsi="Times New Roman" w:cs="Times New Roman"/>
          <w:color w:val="000000"/>
          <w:sz w:val="20"/>
          <w:szCs w:val="20"/>
        </w:rPr>
        <w:t xml:space="preserve"> with a biome of evenly dispersed grasses and scattered trees. The temperature ranges from 22 </w:t>
      </w:r>
      <w:r w:rsidRPr="00A25D00">
        <w:rPr>
          <w:rFonts w:ascii="Times New Roman" w:hAnsi="Times New Roman" w:cs="Times New Roman"/>
          <w:color w:val="000000"/>
          <w:sz w:val="20"/>
          <w:szCs w:val="20"/>
          <w:vertAlign w:val="superscript"/>
        </w:rPr>
        <w:t>O</w:t>
      </w:r>
      <w:r w:rsidRPr="00A25D00">
        <w:rPr>
          <w:rFonts w:ascii="Times New Roman" w:hAnsi="Times New Roman" w:cs="Times New Roman"/>
          <w:color w:val="000000"/>
          <w:sz w:val="20"/>
          <w:szCs w:val="20"/>
        </w:rPr>
        <w:t xml:space="preserve">C to 34 </w:t>
      </w:r>
      <w:r w:rsidRPr="00A25D00">
        <w:rPr>
          <w:rFonts w:ascii="Times New Roman" w:hAnsi="Times New Roman" w:cs="Times New Roman"/>
          <w:color w:val="000000"/>
          <w:sz w:val="20"/>
          <w:szCs w:val="20"/>
          <w:vertAlign w:val="superscript"/>
        </w:rPr>
        <w:t>O</w:t>
      </w:r>
      <w:r w:rsidRPr="00A25D00">
        <w:rPr>
          <w:rFonts w:ascii="Times New Roman" w:hAnsi="Times New Roman" w:cs="Times New Roman"/>
          <w:color w:val="000000"/>
          <w:sz w:val="20"/>
          <w:szCs w:val="20"/>
        </w:rPr>
        <w:t xml:space="preserve">C with an annual rainfall between 40 to 45 inches. The </w:t>
      </w:r>
      <w:proofErr w:type="spellStart"/>
      <w:r w:rsidRPr="00A25D00">
        <w:rPr>
          <w:rFonts w:ascii="Times New Roman" w:hAnsi="Times New Roman" w:cs="Times New Roman"/>
          <w:color w:val="000000"/>
          <w:sz w:val="20"/>
          <w:szCs w:val="20"/>
        </w:rPr>
        <w:t>Olowu</w:t>
      </w:r>
      <w:proofErr w:type="spellEnd"/>
      <w:r w:rsidRPr="00A25D00">
        <w:rPr>
          <w:rFonts w:ascii="Times New Roman" w:hAnsi="Times New Roman" w:cs="Times New Roman"/>
          <w:color w:val="000000"/>
          <w:sz w:val="20"/>
          <w:szCs w:val="20"/>
        </w:rPr>
        <w:t xml:space="preserve"> district farm hamlets have a </w:t>
      </w:r>
      <w:proofErr w:type="spellStart"/>
      <w:proofErr w:type="gramStart"/>
      <w:r w:rsidRPr="00A25D00">
        <w:rPr>
          <w:rFonts w:ascii="Times New Roman" w:hAnsi="Times New Roman" w:cs="Times New Roman"/>
          <w:color w:val="000000"/>
          <w:sz w:val="20"/>
          <w:szCs w:val="20"/>
        </w:rPr>
        <w:t>dejure</w:t>
      </w:r>
      <w:proofErr w:type="spellEnd"/>
      <w:r w:rsidRPr="00A25D00">
        <w:rPr>
          <w:rFonts w:ascii="Times New Roman" w:hAnsi="Times New Roman" w:cs="Times New Roman"/>
          <w:color w:val="000000"/>
          <w:sz w:val="20"/>
          <w:szCs w:val="20"/>
        </w:rPr>
        <w:t xml:space="preserve">  census</w:t>
      </w:r>
      <w:proofErr w:type="gramEnd"/>
      <w:r w:rsidRPr="00A25D00">
        <w:rPr>
          <w:rFonts w:ascii="Times New Roman" w:hAnsi="Times New Roman" w:cs="Times New Roman"/>
          <w:color w:val="000000"/>
          <w:sz w:val="20"/>
          <w:szCs w:val="20"/>
        </w:rPr>
        <w:t xml:space="preserve"> </w:t>
      </w:r>
      <w:r w:rsidR="007F3D54">
        <w:rPr>
          <w:rFonts w:ascii="Times New Roman" w:hAnsi="Times New Roman" w:cs="Times New Roman"/>
          <w:color w:val="000000"/>
          <w:sz w:val="20"/>
          <w:szCs w:val="20"/>
        </w:rPr>
        <w:t xml:space="preserve">of </w:t>
      </w:r>
      <w:r w:rsidRPr="00A25D00">
        <w:rPr>
          <w:rFonts w:ascii="Times New Roman" w:hAnsi="Times New Roman" w:cs="Times New Roman"/>
          <w:color w:val="000000"/>
          <w:sz w:val="20"/>
          <w:szCs w:val="20"/>
        </w:rPr>
        <w:t xml:space="preserve">6,586 inhabitants living in 403 houses (Ebomoyi, 1987). </w:t>
      </w:r>
    </w:p>
    <w:p w:rsidR="008B34BA" w:rsidRPr="00A25D00" w:rsidRDefault="008B34BA" w:rsidP="00A25D00">
      <w:pPr>
        <w:spacing w:after="0" w:line="240" w:lineRule="auto"/>
        <w:ind w:firstLine="720"/>
        <w:rPr>
          <w:rFonts w:ascii="Times New Roman" w:hAnsi="Times New Roman" w:cs="Times New Roman"/>
          <w:color w:val="000000"/>
          <w:sz w:val="20"/>
          <w:szCs w:val="20"/>
        </w:rPr>
      </w:pPr>
      <w:r w:rsidRPr="00A25D00">
        <w:rPr>
          <w:rFonts w:ascii="Times New Roman" w:hAnsi="Times New Roman" w:cs="Times New Roman"/>
          <w:color w:val="000000"/>
          <w:sz w:val="20"/>
          <w:szCs w:val="20"/>
        </w:rPr>
        <w:t xml:space="preserve">With regards to the two groups of Nigeria students; medical students who were enrolled in four medical schools and non-medical Nigeria students enrolled in six </w:t>
      </w:r>
      <w:r w:rsidRPr="00A25D00">
        <w:rPr>
          <w:rStyle w:val="yshortcuts"/>
          <w:rFonts w:ascii="Times New Roman" w:hAnsi="Times New Roman" w:cs="Times New Roman"/>
          <w:color w:val="000000"/>
          <w:sz w:val="20"/>
          <w:szCs w:val="20"/>
        </w:rPr>
        <w:t>universities in the United States</w:t>
      </w:r>
      <w:r w:rsidRPr="00A25D00">
        <w:rPr>
          <w:rFonts w:ascii="Times New Roman" w:hAnsi="Times New Roman" w:cs="Times New Roman"/>
          <w:color w:val="000000"/>
          <w:sz w:val="20"/>
          <w:szCs w:val="20"/>
        </w:rPr>
        <w:t xml:space="preserve"> participated in this study. The universities involved were </w:t>
      </w:r>
      <w:r w:rsidRPr="00A25D00">
        <w:rPr>
          <w:rStyle w:val="yshortcuts"/>
          <w:rFonts w:ascii="Times New Roman" w:hAnsi="Times New Roman" w:cs="Times New Roman"/>
          <w:color w:val="000000"/>
          <w:sz w:val="20"/>
          <w:szCs w:val="20"/>
        </w:rPr>
        <w:t>University of Ibadan</w:t>
      </w:r>
      <w:r w:rsidRPr="00A25D00">
        <w:rPr>
          <w:rFonts w:ascii="Times New Roman" w:hAnsi="Times New Roman" w:cs="Times New Roman"/>
          <w:color w:val="000000"/>
          <w:sz w:val="20"/>
          <w:szCs w:val="20"/>
        </w:rPr>
        <w:t xml:space="preserve">, </w:t>
      </w:r>
      <w:r w:rsidRPr="00A25D00">
        <w:rPr>
          <w:rStyle w:val="yshortcuts"/>
          <w:rFonts w:ascii="Times New Roman" w:hAnsi="Times New Roman" w:cs="Times New Roman"/>
          <w:color w:val="000000"/>
          <w:sz w:val="20"/>
          <w:szCs w:val="20"/>
        </w:rPr>
        <w:t>University of Benin</w:t>
      </w:r>
      <w:r w:rsidRPr="00A25D00">
        <w:rPr>
          <w:rFonts w:ascii="Times New Roman" w:hAnsi="Times New Roman" w:cs="Times New Roman"/>
          <w:color w:val="000000"/>
          <w:sz w:val="20"/>
          <w:szCs w:val="20"/>
        </w:rPr>
        <w:t xml:space="preserve">, University of Ife, and </w:t>
      </w:r>
      <w:r w:rsidRPr="00A25D00">
        <w:rPr>
          <w:rStyle w:val="yshortcuts"/>
          <w:rFonts w:ascii="Times New Roman" w:hAnsi="Times New Roman" w:cs="Times New Roman"/>
          <w:color w:val="000000"/>
          <w:sz w:val="20"/>
          <w:szCs w:val="20"/>
        </w:rPr>
        <w:t>University of Lagos</w:t>
      </w:r>
      <w:r w:rsidR="007F3D54">
        <w:rPr>
          <w:rFonts w:ascii="Times New Roman" w:hAnsi="Times New Roman" w:cs="Times New Roman"/>
          <w:color w:val="000000"/>
          <w:sz w:val="20"/>
          <w:szCs w:val="20"/>
        </w:rPr>
        <w:t>. In the United S</w:t>
      </w:r>
      <w:r w:rsidRPr="00A25D00">
        <w:rPr>
          <w:rFonts w:ascii="Times New Roman" w:hAnsi="Times New Roman" w:cs="Times New Roman"/>
          <w:color w:val="000000"/>
          <w:sz w:val="20"/>
          <w:szCs w:val="20"/>
        </w:rPr>
        <w:t>tate</w:t>
      </w:r>
      <w:r w:rsidR="007F3D54">
        <w:rPr>
          <w:rFonts w:ascii="Times New Roman" w:hAnsi="Times New Roman" w:cs="Times New Roman"/>
          <w:color w:val="000000"/>
          <w:sz w:val="20"/>
          <w:szCs w:val="20"/>
        </w:rPr>
        <w:t xml:space="preserve">s,  </w:t>
      </w:r>
      <w:r w:rsidRPr="00A25D00">
        <w:rPr>
          <w:rFonts w:ascii="Times New Roman" w:hAnsi="Times New Roman" w:cs="Times New Roman"/>
          <w:color w:val="000000"/>
          <w:sz w:val="20"/>
          <w:szCs w:val="20"/>
        </w:rPr>
        <w:t xml:space="preserve"> the universities include</w:t>
      </w:r>
      <w:r w:rsidR="007F3D54">
        <w:rPr>
          <w:rFonts w:ascii="Times New Roman" w:hAnsi="Times New Roman" w:cs="Times New Roman"/>
          <w:color w:val="000000"/>
          <w:sz w:val="20"/>
          <w:szCs w:val="20"/>
        </w:rPr>
        <w:t>d</w:t>
      </w:r>
      <w:r w:rsidRPr="00A25D00">
        <w:rPr>
          <w:rFonts w:ascii="Times New Roman" w:hAnsi="Times New Roman" w:cs="Times New Roman"/>
          <w:color w:val="000000"/>
          <w:sz w:val="20"/>
          <w:szCs w:val="20"/>
        </w:rPr>
        <w:t>: University of California, Los Angeles, University of Illinois, University Iowa, State University of New Yo</w:t>
      </w:r>
      <w:r w:rsidR="007F3D54">
        <w:rPr>
          <w:rFonts w:ascii="Times New Roman" w:hAnsi="Times New Roman" w:cs="Times New Roman"/>
          <w:color w:val="000000"/>
          <w:sz w:val="20"/>
          <w:szCs w:val="20"/>
        </w:rPr>
        <w:t>rk, University Michigan Ann Arbo</w:t>
      </w:r>
      <w:r w:rsidRPr="00A25D00">
        <w:rPr>
          <w:rFonts w:ascii="Times New Roman" w:hAnsi="Times New Roman" w:cs="Times New Roman"/>
          <w:color w:val="000000"/>
          <w:sz w:val="20"/>
          <w:szCs w:val="20"/>
        </w:rPr>
        <w:t xml:space="preserve">r, and University of Austin Texas. </w:t>
      </w:r>
    </w:p>
    <w:p w:rsidR="00DC23AC" w:rsidRPr="00A25D00" w:rsidRDefault="00DC23AC" w:rsidP="00A25D00">
      <w:pPr>
        <w:spacing w:after="0" w:line="240" w:lineRule="auto"/>
        <w:rPr>
          <w:rFonts w:ascii="Times New Roman" w:hAnsi="Times New Roman" w:cs="Times New Roman"/>
          <w:color w:val="000000"/>
          <w:sz w:val="20"/>
          <w:szCs w:val="20"/>
        </w:rPr>
      </w:pPr>
    </w:p>
    <w:p w:rsidR="008B34BA" w:rsidRPr="008D564C" w:rsidRDefault="008D564C" w:rsidP="00A25D00">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Material and M</w:t>
      </w:r>
      <w:r w:rsidRPr="008D564C">
        <w:rPr>
          <w:rFonts w:ascii="Times New Roman" w:hAnsi="Times New Roman" w:cs="Times New Roman"/>
          <w:b/>
          <w:color w:val="000000"/>
          <w:sz w:val="20"/>
          <w:szCs w:val="20"/>
        </w:rPr>
        <w:t>ethod</w:t>
      </w:r>
    </w:p>
    <w:p w:rsidR="008B34BA" w:rsidRPr="00A25D00" w:rsidRDefault="008B34BA" w:rsidP="00A25D00">
      <w:pPr>
        <w:spacing w:after="0" w:line="240" w:lineRule="auto"/>
        <w:ind w:firstLine="720"/>
        <w:rPr>
          <w:rFonts w:ascii="Times New Roman" w:hAnsi="Times New Roman" w:cs="Times New Roman"/>
          <w:color w:val="000000"/>
          <w:sz w:val="20"/>
          <w:szCs w:val="20"/>
        </w:rPr>
      </w:pPr>
      <w:r w:rsidRPr="00A25D00">
        <w:rPr>
          <w:rFonts w:ascii="Times New Roman" w:hAnsi="Times New Roman" w:cs="Times New Roman"/>
          <w:color w:val="000000"/>
          <w:sz w:val="20"/>
          <w:szCs w:val="20"/>
        </w:rPr>
        <w:t xml:space="preserve">The field workers recruited for this study were given one month </w:t>
      </w:r>
      <w:r w:rsidRPr="00A25D00">
        <w:rPr>
          <w:rStyle w:val="yshortcuts"/>
          <w:rFonts w:ascii="Times New Roman" w:hAnsi="Times New Roman" w:cs="Times New Roman"/>
          <w:color w:val="000000"/>
          <w:sz w:val="20"/>
          <w:szCs w:val="20"/>
        </w:rPr>
        <w:t>induction training</w:t>
      </w:r>
      <w:r w:rsidRPr="00A25D00">
        <w:rPr>
          <w:rFonts w:ascii="Times New Roman" w:hAnsi="Times New Roman" w:cs="Times New Roman"/>
          <w:color w:val="000000"/>
          <w:sz w:val="20"/>
          <w:szCs w:val="20"/>
        </w:rPr>
        <w:t xml:space="preserve"> on the general nature of the Nigeria Primary Health Care (PHC) programs particularly its component of traditional medical services, mental health care, orthopedic, immunization, traditional birth attendance, oracular consultation, psychosomatic healing, dental services and the management of eye diseases. This study was conducted using </w:t>
      </w:r>
      <w:r w:rsidRPr="00A25D00">
        <w:rPr>
          <w:rStyle w:val="yshortcuts"/>
          <w:rFonts w:ascii="Times New Roman" w:hAnsi="Times New Roman" w:cs="Times New Roman"/>
          <w:color w:val="000000"/>
          <w:sz w:val="20"/>
          <w:szCs w:val="20"/>
        </w:rPr>
        <w:t>cluster sampling method</w:t>
      </w:r>
      <w:r w:rsidRPr="00A25D00">
        <w:rPr>
          <w:rFonts w:ascii="Times New Roman" w:hAnsi="Times New Roman" w:cs="Times New Roman"/>
          <w:color w:val="000000"/>
          <w:sz w:val="20"/>
          <w:szCs w:val="20"/>
        </w:rPr>
        <w:t xml:space="preserve">. At the urban, rural and isolated villages, 1000 respondents were interviewed in each community. </w:t>
      </w:r>
    </w:p>
    <w:p w:rsidR="008B34BA" w:rsidRPr="00A25D00" w:rsidRDefault="008B34BA" w:rsidP="00A25D00">
      <w:pPr>
        <w:spacing w:after="0" w:line="240" w:lineRule="auto"/>
        <w:ind w:firstLine="720"/>
        <w:rPr>
          <w:rFonts w:ascii="Times New Roman" w:hAnsi="Times New Roman" w:cs="Times New Roman"/>
          <w:sz w:val="20"/>
          <w:szCs w:val="20"/>
        </w:rPr>
      </w:pPr>
      <w:r w:rsidRPr="00A25D00">
        <w:rPr>
          <w:rFonts w:ascii="Times New Roman" w:hAnsi="Times New Roman" w:cs="Times New Roman"/>
          <w:color w:val="000000"/>
          <w:sz w:val="20"/>
          <w:szCs w:val="20"/>
        </w:rPr>
        <w:t xml:space="preserve">To assess the validity and reliability of the two instrument employed for this study, the </w:t>
      </w:r>
      <w:proofErr w:type="spellStart"/>
      <w:r w:rsidRPr="00A25D00">
        <w:rPr>
          <w:rFonts w:ascii="Times New Roman" w:hAnsi="Times New Roman" w:cs="Times New Roman"/>
          <w:color w:val="000000"/>
          <w:sz w:val="20"/>
          <w:szCs w:val="20"/>
        </w:rPr>
        <w:t>Mermac</w:t>
      </w:r>
      <w:proofErr w:type="spellEnd"/>
      <w:r w:rsidRPr="00A25D00">
        <w:rPr>
          <w:rFonts w:ascii="Times New Roman" w:hAnsi="Times New Roman" w:cs="Times New Roman"/>
          <w:color w:val="000000"/>
          <w:sz w:val="20"/>
          <w:szCs w:val="20"/>
        </w:rPr>
        <w:t xml:space="preserve"> Test Analysis was performed. For pilot field assessment, reliability coefficient of 0.951 for </w:t>
      </w:r>
      <w:r w:rsidR="00957808" w:rsidRPr="00A25D00">
        <w:rPr>
          <w:rFonts w:ascii="Times New Roman" w:hAnsi="Times New Roman" w:cs="Times New Roman"/>
          <w:color w:val="000000"/>
          <w:sz w:val="20"/>
          <w:szCs w:val="20"/>
        </w:rPr>
        <w:t xml:space="preserve">the </w:t>
      </w:r>
      <w:proofErr w:type="spellStart"/>
      <w:r w:rsidR="00957808" w:rsidRPr="00A25D00">
        <w:rPr>
          <w:rFonts w:ascii="Times New Roman" w:hAnsi="Times New Roman" w:cs="Times New Roman"/>
          <w:color w:val="000000"/>
          <w:sz w:val="20"/>
          <w:szCs w:val="20"/>
        </w:rPr>
        <w:t>Kuder</w:t>
      </w:r>
      <w:proofErr w:type="spellEnd"/>
      <w:r w:rsidR="00957808" w:rsidRPr="00A25D00">
        <w:rPr>
          <w:rFonts w:ascii="Times New Roman" w:hAnsi="Times New Roman" w:cs="Times New Roman"/>
          <w:color w:val="000000"/>
          <w:sz w:val="20"/>
          <w:szCs w:val="20"/>
        </w:rPr>
        <w:t xml:space="preserve">-Richardson 20 </w:t>
      </w:r>
      <w:proofErr w:type="gramStart"/>
      <w:r w:rsidR="00957808" w:rsidRPr="00A25D00">
        <w:rPr>
          <w:rFonts w:ascii="Times New Roman" w:hAnsi="Times New Roman" w:cs="Times New Roman"/>
          <w:color w:val="000000"/>
          <w:sz w:val="20"/>
          <w:szCs w:val="20"/>
        </w:rPr>
        <w:t xml:space="preserve">formula </w:t>
      </w:r>
      <w:r w:rsidRPr="00A25D00">
        <w:rPr>
          <w:rFonts w:ascii="Times New Roman" w:hAnsi="Times New Roman" w:cs="Times New Roman"/>
          <w:color w:val="000000"/>
          <w:sz w:val="20"/>
          <w:szCs w:val="20"/>
        </w:rPr>
        <w:t xml:space="preserve"> and</w:t>
      </w:r>
      <w:proofErr w:type="gramEnd"/>
      <w:r w:rsidRPr="00A25D00">
        <w:rPr>
          <w:rFonts w:ascii="Times New Roman" w:hAnsi="Times New Roman" w:cs="Times New Roman"/>
          <w:color w:val="000000"/>
          <w:sz w:val="20"/>
          <w:szCs w:val="20"/>
        </w:rPr>
        <w:t xml:space="preserve"> 0.921 for t</w:t>
      </w:r>
      <w:r w:rsidR="00957808" w:rsidRPr="00A25D00">
        <w:rPr>
          <w:rFonts w:ascii="Times New Roman" w:hAnsi="Times New Roman" w:cs="Times New Roman"/>
          <w:color w:val="000000"/>
          <w:sz w:val="20"/>
          <w:szCs w:val="20"/>
        </w:rPr>
        <w:t xml:space="preserve">he </w:t>
      </w:r>
      <w:proofErr w:type="spellStart"/>
      <w:r w:rsidR="00957808" w:rsidRPr="00A25D00">
        <w:rPr>
          <w:rFonts w:ascii="Times New Roman" w:hAnsi="Times New Roman" w:cs="Times New Roman"/>
          <w:color w:val="000000"/>
          <w:sz w:val="20"/>
          <w:szCs w:val="20"/>
        </w:rPr>
        <w:t>Kuder</w:t>
      </w:r>
      <w:proofErr w:type="spellEnd"/>
      <w:r w:rsidR="00957808" w:rsidRPr="00A25D00">
        <w:rPr>
          <w:rFonts w:ascii="Times New Roman" w:hAnsi="Times New Roman" w:cs="Times New Roman"/>
          <w:color w:val="000000"/>
          <w:sz w:val="20"/>
          <w:szCs w:val="20"/>
        </w:rPr>
        <w:t xml:space="preserve">-Richardson 21 formula  </w:t>
      </w:r>
      <w:r w:rsidRPr="00A25D00">
        <w:rPr>
          <w:rFonts w:ascii="Times New Roman" w:hAnsi="Times New Roman" w:cs="Times New Roman"/>
          <w:color w:val="000000"/>
          <w:sz w:val="20"/>
          <w:szCs w:val="20"/>
        </w:rPr>
        <w:t xml:space="preserve">were found for the community PHC questionnaires. The questionnaires designed for the student's group had coefficients of .881 for </w:t>
      </w:r>
      <w:r w:rsidR="00957808" w:rsidRPr="00A25D00">
        <w:rPr>
          <w:rFonts w:ascii="Times New Roman" w:hAnsi="Times New Roman" w:cs="Times New Roman"/>
          <w:color w:val="000000"/>
          <w:sz w:val="20"/>
          <w:szCs w:val="20"/>
        </w:rPr>
        <w:t xml:space="preserve">the </w:t>
      </w:r>
      <w:proofErr w:type="spellStart"/>
      <w:r w:rsidR="00957808" w:rsidRPr="00A25D00">
        <w:rPr>
          <w:rFonts w:ascii="Times New Roman" w:hAnsi="Times New Roman" w:cs="Times New Roman"/>
          <w:color w:val="000000"/>
          <w:sz w:val="20"/>
          <w:szCs w:val="20"/>
        </w:rPr>
        <w:t>Kuder</w:t>
      </w:r>
      <w:proofErr w:type="spellEnd"/>
      <w:r w:rsidR="00957808" w:rsidRPr="00A25D00">
        <w:rPr>
          <w:rFonts w:ascii="Times New Roman" w:hAnsi="Times New Roman" w:cs="Times New Roman"/>
          <w:color w:val="000000"/>
          <w:sz w:val="20"/>
          <w:szCs w:val="20"/>
        </w:rPr>
        <w:t xml:space="preserve">-Richardson 20 formula </w:t>
      </w:r>
      <w:r w:rsidRPr="00A25D00">
        <w:rPr>
          <w:rFonts w:ascii="Times New Roman" w:hAnsi="Times New Roman" w:cs="Times New Roman"/>
          <w:color w:val="000000"/>
          <w:sz w:val="20"/>
          <w:szCs w:val="20"/>
        </w:rPr>
        <w:t xml:space="preserve">and 0.899 for </w:t>
      </w:r>
      <w:r w:rsidR="00957808" w:rsidRPr="00A25D00">
        <w:rPr>
          <w:rFonts w:ascii="Times New Roman" w:hAnsi="Times New Roman" w:cs="Times New Roman"/>
          <w:color w:val="000000"/>
          <w:sz w:val="20"/>
          <w:szCs w:val="20"/>
        </w:rPr>
        <w:t xml:space="preserve">the </w:t>
      </w:r>
      <w:proofErr w:type="spellStart"/>
      <w:r w:rsidR="00957808" w:rsidRPr="00A25D00">
        <w:rPr>
          <w:rFonts w:ascii="Times New Roman" w:hAnsi="Times New Roman" w:cs="Times New Roman"/>
          <w:color w:val="000000"/>
          <w:sz w:val="20"/>
          <w:szCs w:val="20"/>
        </w:rPr>
        <w:t>Kuder</w:t>
      </w:r>
      <w:proofErr w:type="spellEnd"/>
      <w:r w:rsidR="00957808" w:rsidRPr="00A25D00">
        <w:rPr>
          <w:rFonts w:ascii="Times New Roman" w:hAnsi="Times New Roman" w:cs="Times New Roman"/>
          <w:color w:val="000000"/>
          <w:sz w:val="20"/>
          <w:szCs w:val="20"/>
        </w:rPr>
        <w:t>-Richardson 21 formula</w:t>
      </w:r>
      <w:r w:rsidRPr="00A25D00">
        <w:rPr>
          <w:rFonts w:ascii="Times New Roman" w:hAnsi="Times New Roman" w:cs="Times New Roman"/>
          <w:color w:val="000000"/>
          <w:sz w:val="20"/>
          <w:szCs w:val="20"/>
        </w:rPr>
        <w:t>. These results revealed that the questionnaires had a good degree of internal consistency and reliability. Every house was visited, and adults of child-bearing ages were interviewed.</w:t>
      </w:r>
    </w:p>
    <w:p w:rsidR="00A25D00" w:rsidRDefault="00A25D00" w:rsidP="00A25D00">
      <w:pPr>
        <w:spacing w:line="240" w:lineRule="auto"/>
        <w:jc w:val="center"/>
        <w:rPr>
          <w:rFonts w:ascii="Times New Roman" w:hAnsi="Times New Roman" w:cs="Times New Roman"/>
          <w:sz w:val="20"/>
          <w:szCs w:val="20"/>
        </w:rPr>
      </w:pPr>
    </w:p>
    <w:p w:rsidR="00A25D00" w:rsidRPr="00A25D00" w:rsidRDefault="008D564C" w:rsidP="00A25D00">
      <w:pPr>
        <w:spacing w:line="240" w:lineRule="auto"/>
        <w:jc w:val="center"/>
        <w:rPr>
          <w:rFonts w:ascii="Times New Roman" w:hAnsi="Times New Roman" w:cs="Times New Roman"/>
          <w:b/>
          <w:sz w:val="20"/>
          <w:szCs w:val="20"/>
        </w:rPr>
      </w:pPr>
      <w:r w:rsidRPr="00A25D00">
        <w:rPr>
          <w:rFonts w:ascii="Times New Roman" w:hAnsi="Times New Roman" w:cs="Times New Roman"/>
          <w:b/>
          <w:sz w:val="20"/>
          <w:szCs w:val="20"/>
        </w:rPr>
        <w:t>Instruments</w:t>
      </w:r>
      <w:r w:rsidR="008B34BA" w:rsidRPr="00A25D00">
        <w:rPr>
          <w:rFonts w:ascii="Times New Roman" w:hAnsi="Times New Roman" w:cs="Times New Roman"/>
          <w:b/>
          <w:sz w:val="20"/>
          <w:szCs w:val="20"/>
        </w:rPr>
        <w:t xml:space="preserve"> </w:t>
      </w:r>
    </w:p>
    <w:p w:rsidR="008B34BA" w:rsidRPr="00A25D00" w:rsidRDefault="007F3D54" w:rsidP="00A25D00">
      <w:pPr>
        <w:spacing w:line="240" w:lineRule="auto"/>
        <w:rPr>
          <w:rFonts w:ascii="Times New Roman" w:hAnsi="Times New Roman" w:cs="Times New Roman"/>
          <w:sz w:val="20"/>
          <w:szCs w:val="20"/>
        </w:rPr>
      </w:pPr>
      <w:r>
        <w:rPr>
          <w:rFonts w:ascii="Times New Roman" w:hAnsi="Times New Roman" w:cs="Times New Roman"/>
          <w:sz w:val="20"/>
          <w:szCs w:val="20"/>
        </w:rPr>
        <w:tab/>
        <w:t>Eight questions requir</w:t>
      </w:r>
      <w:r w:rsidR="008B34BA" w:rsidRPr="00A25D00">
        <w:rPr>
          <w:rFonts w:ascii="Times New Roman" w:hAnsi="Times New Roman" w:cs="Times New Roman"/>
          <w:sz w:val="20"/>
          <w:szCs w:val="20"/>
        </w:rPr>
        <w:t>ing one mutually exclusive response</w:t>
      </w:r>
      <w:r>
        <w:rPr>
          <w:rFonts w:ascii="Times New Roman" w:hAnsi="Times New Roman" w:cs="Times New Roman"/>
          <w:sz w:val="20"/>
          <w:szCs w:val="20"/>
        </w:rPr>
        <w:t>,</w:t>
      </w:r>
      <w:r w:rsidR="008B34BA" w:rsidRPr="00A25D00">
        <w:rPr>
          <w:rFonts w:ascii="Times New Roman" w:hAnsi="Times New Roman" w:cs="Times New Roman"/>
          <w:sz w:val="20"/>
          <w:szCs w:val="20"/>
        </w:rPr>
        <w:t xml:space="preserve"> tapped attitude towards utilization of trad</w:t>
      </w:r>
      <w:r>
        <w:rPr>
          <w:rFonts w:ascii="Times New Roman" w:hAnsi="Times New Roman" w:cs="Times New Roman"/>
          <w:sz w:val="20"/>
          <w:szCs w:val="20"/>
        </w:rPr>
        <w:t>itional healer at the PHC centers</w:t>
      </w:r>
      <w:r w:rsidR="008B34BA" w:rsidRPr="00A25D00">
        <w:rPr>
          <w:rFonts w:ascii="Times New Roman" w:hAnsi="Times New Roman" w:cs="Times New Roman"/>
          <w:sz w:val="20"/>
          <w:szCs w:val="20"/>
        </w:rPr>
        <w:t>. Each respondent’s position on a questionnaires item was reflected by his or her respond in one of five possible mutually exclusive responses. The continuums include 5 – strongly agree, 4 – agree, 3 – neither agree nor disagree, 2 – disagree, 1 – strongly disagree. The university students were asked whether federal Government should build hospitals to accommodate traditional</w:t>
      </w:r>
      <w:r>
        <w:rPr>
          <w:rFonts w:ascii="Times New Roman" w:hAnsi="Times New Roman" w:cs="Times New Roman"/>
          <w:sz w:val="20"/>
          <w:szCs w:val="20"/>
        </w:rPr>
        <w:t xml:space="preserve"> healers </w:t>
      </w:r>
      <w:r w:rsidR="00F17E5B">
        <w:rPr>
          <w:rFonts w:ascii="Times New Roman" w:hAnsi="Times New Roman" w:cs="Times New Roman"/>
          <w:sz w:val="20"/>
          <w:szCs w:val="20"/>
        </w:rPr>
        <w:t xml:space="preserve"> </w:t>
      </w:r>
      <w:r w:rsidR="008B34BA" w:rsidRPr="00A25D00">
        <w:rPr>
          <w:rFonts w:ascii="Times New Roman" w:hAnsi="Times New Roman" w:cs="Times New Roman"/>
          <w:sz w:val="20"/>
          <w:szCs w:val="20"/>
        </w:rPr>
        <w:t xml:space="preserve"> at the local, state and Federal levels. Other questions on traditional healers were the extent of their acceptance by the people, efficacy, their role in identification of plants of therapeutic value and whether western-trained physician will co-operate with traditional healers.</w:t>
      </w: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ab/>
        <w:t>With regards to the three communities studied, questions on the utilization of traditional healing were designed on a continuum of: 1 – I will never patronize, 2 – I may patronize, 3 – I will patronize, 4 – I will strongly patronize. Respondents were asked whether they will ever patronize traditional healers in specific medical services such as mental illness, psychosomatic disease</w:t>
      </w:r>
      <w:r w:rsidR="00957808" w:rsidRPr="00A25D00">
        <w:rPr>
          <w:rFonts w:ascii="Times New Roman" w:hAnsi="Times New Roman" w:cs="Times New Roman"/>
          <w:sz w:val="20"/>
          <w:szCs w:val="20"/>
        </w:rPr>
        <w:t>, oracular consultation, gastroenteri</w:t>
      </w:r>
      <w:r w:rsidRPr="00A25D00">
        <w:rPr>
          <w:rFonts w:ascii="Times New Roman" w:hAnsi="Times New Roman" w:cs="Times New Roman"/>
          <w:sz w:val="20"/>
          <w:szCs w:val="20"/>
        </w:rPr>
        <w:t>tis, immunization, family planning, dental services and eye care services. Questions on the socio-demographic characteristic of respondents were the closed</w:t>
      </w:r>
      <w:r w:rsidR="007F3D54">
        <w:rPr>
          <w:rFonts w:ascii="Times New Roman" w:hAnsi="Times New Roman" w:cs="Times New Roman"/>
          <w:sz w:val="20"/>
          <w:szCs w:val="20"/>
        </w:rPr>
        <w:t>-</w:t>
      </w:r>
      <w:proofErr w:type="gramStart"/>
      <w:r w:rsidR="007F3D54">
        <w:rPr>
          <w:rFonts w:ascii="Times New Roman" w:hAnsi="Times New Roman" w:cs="Times New Roman"/>
          <w:sz w:val="20"/>
          <w:szCs w:val="20"/>
        </w:rPr>
        <w:t xml:space="preserve">ended </w:t>
      </w:r>
      <w:r w:rsidRPr="00A25D00">
        <w:rPr>
          <w:rFonts w:ascii="Times New Roman" w:hAnsi="Times New Roman" w:cs="Times New Roman"/>
          <w:sz w:val="20"/>
          <w:szCs w:val="20"/>
        </w:rPr>
        <w:t xml:space="preserve"> types</w:t>
      </w:r>
      <w:proofErr w:type="gramEnd"/>
      <w:r w:rsidRPr="00A25D00">
        <w:rPr>
          <w:rFonts w:ascii="Times New Roman" w:hAnsi="Times New Roman" w:cs="Times New Roman"/>
          <w:sz w:val="20"/>
          <w:szCs w:val="20"/>
        </w:rPr>
        <w:t xml:space="preserve"> and they were in numerical order.</w:t>
      </w:r>
    </w:p>
    <w:p w:rsidR="00DC23AC" w:rsidRPr="00A25D00" w:rsidRDefault="00DC23AC" w:rsidP="00A25D00">
      <w:pPr>
        <w:spacing w:after="0" w:line="240" w:lineRule="auto"/>
        <w:rPr>
          <w:rFonts w:ascii="Times New Roman" w:hAnsi="Times New Roman" w:cs="Times New Roman"/>
          <w:sz w:val="20"/>
          <w:szCs w:val="20"/>
        </w:rPr>
      </w:pPr>
    </w:p>
    <w:p w:rsidR="008B34BA" w:rsidRDefault="00A25D00" w:rsidP="00A25D00">
      <w:pPr>
        <w:spacing w:after="0" w:line="240" w:lineRule="auto"/>
        <w:jc w:val="center"/>
        <w:rPr>
          <w:rFonts w:ascii="Times New Roman" w:hAnsi="Times New Roman" w:cs="Times New Roman"/>
          <w:b/>
          <w:sz w:val="20"/>
          <w:szCs w:val="20"/>
        </w:rPr>
      </w:pPr>
      <w:r w:rsidRPr="00A25D00">
        <w:rPr>
          <w:rFonts w:ascii="Times New Roman" w:hAnsi="Times New Roman" w:cs="Times New Roman"/>
          <w:b/>
          <w:sz w:val="20"/>
          <w:szCs w:val="20"/>
        </w:rPr>
        <w:t>Results</w:t>
      </w:r>
    </w:p>
    <w:p w:rsidR="00A25D00" w:rsidRPr="00A25D00" w:rsidRDefault="00A25D00" w:rsidP="00A25D00">
      <w:pPr>
        <w:spacing w:after="0" w:line="240" w:lineRule="auto"/>
        <w:jc w:val="center"/>
        <w:rPr>
          <w:rFonts w:ascii="Times New Roman" w:hAnsi="Times New Roman" w:cs="Times New Roman"/>
          <w:b/>
          <w:sz w:val="20"/>
          <w:szCs w:val="20"/>
        </w:rPr>
      </w:pP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ab/>
        <w:t>Observed in the data of PHC recipient from urban, rural and the hinterland is the preponderance of females. They made up over 50% of the respondents while the males were generally less than 40%. Among the respondents, 54.4% of the urban dwellers were illiterate, at the rural area</w:t>
      </w:r>
      <w:r w:rsidR="00957808" w:rsidRPr="00A25D00">
        <w:rPr>
          <w:rFonts w:ascii="Times New Roman" w:hAnsi="Times New Roman" w:cs="Times New Roman"/>
          <w:sz w:val="20"/>
          <w:szCs w:val="20"/>
        </w:rPr>
        <w:t>, (Shao) 79.6% were illiterate</w:t>
      </w:r>
      <w:r w:rsidRPr="00A25D00">
        <w:rPr>
          <w:rFonts w:ascii="Times New Roman" w:hAnsi="Times New Roman" w:cs="Times New Roman"/>
          <w:sz w:val="20"/>
          <w:szCs w:val="20"/>
        </w:rPr>
        <w:t xml:space="preserve">, whereas in the isolated villages 98.8% were </w:t>
      </w:r>
      <w:proofErr w:type="gramStart"/>
      <w:r w:rsidRPr="00A25D00">
        <w:rPr>
          <w:rFonts w:ascii="Times New Roman" w:hAnsi="Times New Roman" w:cs="Times New Roman"/>
          <w:sz w:val="20"/>
          <w:szCs w:val="20"/>
        </w:rPr>
        <w:t>illiterate</w:t>
      </w:r>
      <w:r w:rsidR="007F3D54">
        <w:rPr>
          <w:rFonts w:ascii="Times New Roman" w:hAnsi="Times New Roman" w:cs="Times New Roman"/>
          <w:sz w:val="20"/>
          <w:szCs w:val="20"/>
        </w:rPr>
        <w:t>(</w:t>
      </w:r>
      <w:proofErr w:type="gramEnd"/>
      <w:r w:rsidR="007F3D54">
        <w:rPr>
          <w:rFonts w:ascii="Times New Roman" w:hAnsi="Times New Roman" w:cs="Times New Roman"/>
          <w:sz w:val="20"/>
          <w:szCs w:val="20"/>
        </w:rPr>
        <w:t>Illiterate have not attained even 8</w:t>
      </w:r>
      <w:r w:rsidR="007F3D54" w:rsidRPr="007F3D54">
        <w:rPr>
          <w:rFonts w:ascii="Times New Roman" w:hAnsi="Times New Roman" w:cs="Times New Roman"/>
          <w:sz w:val="20"/>
          <w:szCs w:val="20"/>
          <w:vertAlign w:val="superscript"/>
        </w:rPr>
        <w:t>th</w:t>
      </w:r>
      <w:r w:rsidR="007F3D54">
        <w:rPr>
          <w:rFonts w:ascii="Times New Roman" w:hAnsi="Times New Roman" w:cs="Times New Roman"/>
          <w:sz w:val="20"/>
          <w:szCs w:val="20"/>
        </w:rPr>
        <w:t xml:space="preserve"> grade education)</w:t>
      </w:r>
      <w:r w:rsidRPr="00A25D00">
        <w:rPr>
          <w:rFonts w:ascii="Times New Roman" w:hAnsi="Times New Roman" w:cs="Times New Roman"/>
          <w:sz w:val="20"/>
          <w:szCs w:val="20"/>
        </w:rPr>
        <w:t>.</w:t>
      </w: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ab/>
        <w:t>Of the students groups, 369 were in medical field while 343 were in nonmedical profession. There were 532 males and 148 females. Among the nonmedical students, class rank was well distributed with 13.3% first-</w:t>
      </w:r>
      <w:r w:rsidRPr="00A25D00">
        <w:rPr>
          <w:rFonts w:ascii="Times New Roman" w:hAnsi="Times New Roman" w:cs="Times New Roman"/>
          <w:sz w:val="20"/>
          <w:szCs w:val="20"/>
        </w:rPr>
        <w:lastRenderedPageBreak/>
        <w:t>second year, 19.</w:t>
      </w:r>
      <w:r w:rsidR="00843B7E" w:rsidRPr="00A25D00">
        <w:rPr>
          <w:rFonts w:ascii="Times New Roman" w:hAnsi="Times New Roman" w:cs="Times New Roman"/>
          <w:sz w:val="20"/>
          <w:szCs w:val="20"/>
        </w:rPr>
        <w:t>5% third-fourth year, 12.2% M.S.</w:t>
      </w:r>
      <w:r w:rsidRPr="00A25D00">
        <w:rPr>
          <w:rFonts w:ascii="Times New Roman" w:hAnsi="Times New Roman" w:cs="Times New Roman"/>
          <w:sz w:val="20"/>
          <w:szCs w:val="20"/>
        </w:rPr>
        <w:t xml:space="preserve"> and M.A. degree candidates. The composition in class rank among medical students group was 13.9% first-second year, 17.8% third-fourth year, 16.9% fifth-sixth year. A striking observation among respondents by education pertained to the consistency of highest response rate by the third-fourth year class among both medical and nonmedical students. The mean age of respondents was 24.8% years with the range of 15 and 40. The highest percentage of respondents was found in the 20 to 24 category.</w:t>
      </w: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ab/>
        <w:t>Shown in tables 1 – 3 are the attitudes of PHC recipients towards the utilization of traditional medical services. In the three district communities, over 60% of the respondents in each area stated they will never patronize traditional medical practitioners in oracular consultation. In each of the communities, well over 35% of the respondents stated that they will patronize traditional healer for either mental illness or orthopedic disease. Table 4 reflects the mean response values on the attitude-believe items based on eight variable of traditional medicine. The highest attitude score was that traditional healers are needed to identify our local plants which have healing properties. The least recorded attitude score was that traditional medical practices are more effective in the management of orthopedic disease than western-type medicine.</w:t>
      </w: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ab/>
        <w:t>Since the healing of bone fractures is a physiological process by virtue of the respondents’ education, they were probably quite aware of the fact this fact. Table 5 is chi-square comparison of medical and nonmedical student attitudes toward traditional medical practices. Although statistically significant relationships exist between professional background and attitudes toward utilization of traditional medicine; the fact that magical component of traditional medicine will constitute a barrier for the co-operation of western-type physician was highly significant (</w:t>
      </w:r>
      <w:r w:rsidR="00957808" w:rsidRPr="00A25D00">
        <w:rPr>
          <w:rFonts w:ascii="Times New Roman" w:hAnsi="Times New Roman" w:cs="Times New Roman"/>
          <w:sz w:val="20"/>
          <w:szCs w:val="20"/>
        </w:rPr>
        <w:t>X</w:t>
      </w:r>
      <w:r w:rsidRPr="00A25D00">
        <w:rPr>
          <w:rFonts w:ascii="Times New Roman" w:hAnsi="Times New Roman" w:cs="Times New Roman"/>
          <w:sz w:val="20"/>
          <w:szCs w:val="20"/>
          <w:vertAlign w:val="superscript"/>
        </w:rPr>
        <w:t>2</w:t>
      </w:r>
      <w:r w:rsidRPr="00A25D00">
        <w:rPr>
          <w:rFonts w:ascii="Times New Roman" w:hAnsi="Times New Roman" w:cs="Times New Roman"/>
          <w:sz w:val="20"/>
          <w:szCs w:val="20"/>
        </w:rPr>
        <w:t xml:space="preserve"> = 101.5; 4df, p&lt; .01). Presented in Table 6 are the inter-correlation coefficient matrix of attitude-believe statement based on eight items of traditional medical practices. The correlations between the variables 1 and 4 (Fed</w:t>
      </w:r>
      <w:r w:rsidR="00843B7E" w:rsidRPr="00A25D00">
        <w:rPr>
          <w:rFonts w:ascii="Times New Roman" w:hAnsi="Times New Roman" w:cs="Times New Roman"/>
          <w:sz w:val="20"/>
          <w:szCs w:val="20"/>
        </w:rPr>
        <w:t>eral Government</w:t>
      </w:r>
      <w:r w:rsidR="00765321" w:rsidRPr="00A25D00">
        <w:rPr>
          <w:rFonts w:ascii="Times New Roman" w:hAnsi="Times New Roman" w:cs="Times New Roman"/>
          <w:sz w:val="20"/>
          <w:szCs w:val="20"/>
        </w:rPr>
        <w:t xml:space="preserve"> </w:t>
      </w:r>
      <w:proofErr w:type="gramStart"/>
      <w:r w:rsidR="00765321" w:rsidRPr="00A25D00">
        <w:rPr>
          <w:rFonts w:ascii="Times New Roman" w:hAnsi="Times New Roman" w:cs="Times New Roman"/>
          <w:sz w:val="20"/>
          <w:szCs w:val="20"/>
        </w:rPr>
        <w:t>of  Nigeria</w:t>
      </w:r>
      <w:proofErr w:type="gramEnd"/>
      <w:r w:rsidR="00765321" w:rsidRPr="00A25D00">
        <w:rPr>
          <w:rFonts w:ascii="Times New Roman" w:hAnsi="Times New Roman" w:cs="Times New Roman"/>
          <w:sz w:val="20"/>
          <w:szCs w:val="20"/>
        </w:rPr>
        <w:t xml:space="preserve"> </w:t>
      </w:r>
      <w:r w:rsidR="00843B7E" w:rsidRPr="00A25D00">
        <w:rPr>
          <w:rFonts w:ascii="Times New Roman" w:hAnsi="Times New Roman" w:cs="Times New Roman"/>
          <w:sz w:val="20"/>
          <w:szCs w:val="20"/>
        </w:rPr>
        <w:t xml:space="preserve"> </w:t>
      </w:r>
      <w:r w:rsidRPr="00A25D00">
        <w:rPr>
          <w:rFonts w:ascii="Times New Roman" w:hAnsi="Times New Roman" w:cs="Times New Roman"/>
          <w:sz w:val="20"/>
          <w:szCs w:val="20"/>
        </w:rPr>
        <w:t xml:space="preserve"> should build hospitals to accommodate traditional medical practices at Local, State, and Federal levels; and respondents opinion about the integration of Western-type medicine into traditional medicine) were significantly correlated (.55 p&lt; .01). Table 6 indicates all </w:t>
      </w:r>
      <w:r w:rsidR="009D01E7" w:rsidRPr="00A25D00">
        <w:rPr>
          <w:rFonts w:ascii="Times New Roman" w:hAnsi="Times New Roman" w:cs="Times New Roman"/>
          <w:sz w:val="20"/>
          <w:szCs w:val="20"/>
        </w:rPr>
        <w:t>the</w:t>
      </w:r>
      <w:r w:rsidR="009D01E7">
        <w:rPr>
          <w:rFonts w:ascii="Times New Roman" w:hAnsi="Times New Roman" w:cs="Times New Roman"/>
          <w:sz w:val="20"/>
          <w:szCs w:val="20"/>
        </w:rPr>
        <w:t xml:space="preserve"> </w:t>
      </w:r>
      <w:r w:rsidR="009D01E7" w:rsidRPr="00A25D00">
        <w:rPr>
          <w:rFonts w:ascii="Times New Roman" w:hAnsi="Times New Roman" w:cs="Times New Roman"/>
          <w:sz w:val="20"/>
          <w:szCs w:val="20"/>
        </w:rPr>
        <w:t>significantly</w:t>
      </w:r>
      <w:r w:rsidRPr="00A25D00">
        <w:rPr>
          <w:rFonts w:ascii="Times New Roman" w:hAnsi="Times New Roman" w:cs="Times New Roman"/>
          <w:sz w:val="20"/>
          <w:szCs w:val="20"/>
        </w:rPr>
        <w:t xml:space="preserve"> correlated variables at the p &lt; .01 and p &lt; .05) levels. Shown in Table 7 is the correlation between each independent variable and their discriminant functions. The table reveals that variable 1 is negatively correlated with variable 8. However, these negative correlations are associated with the discriminant scores by values of 23 percent each.</w:t>
      </w:r>
    </w:p>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A25D00" w:rsidP="00A25D00">
      <w:pPr>
        <w:spacing w:after="0" w:line="240" w:lineRule="auto"/>
        <w:jc w:val="center"/>
        <w:rPr>
          <w:rFonts w:ascii="Times New Roman" w:hAnsi="Times New Roman" w:cs="Times New Roman"/>
          <w:b/>
          <w:sz w:val="20"/>
          <w:szCs w:val="20"/>
        </w:rPr>
      </w:pPr>
      <w:r w:rsidRPr="00A25D00">
        <w:rPr>
          <w:rFonts w:ascii="Times New Roman" w:hAnsi="Times New Roman" w:cs="Times New Roman"/>
          <w:b/>
          <w:sz w:val="20"/>
          <w:szCs w:val="20"/>
        </w:rPr>
        <w:t>Discussion</w:t>
      </w:r>
    </w:p>
    <w:p w:rsidR="00A25D00" w:rsidRPr="00A25D00" w:rsidRDefault="00A25D00" w:rsidP="00A25D00">
      <w:pPr>
        <w:spacing w:after="0" w:line="240" w:lineRule="auto"/>
        <w:jc w:val="center"/>
        <w:rPr>
          <w:rFonts w:ascii="Times New Roman" w:hAnsi="Times New Roman" w:cs="Times New Roman"/>
          <w:sz w:val="20"/>
          <w:szCs w:val="20"/>
        </w:rPr>
      </w:pPr>
    </w:p>
    <w:p w:rsidR="008B34BA" w:rsidRPr="00A25D00" w:rsidRDefault="008B34BA" w:rsidP="00A25D00">
      <w:pPr>
        <w:spacing w:after="0" w:line="240" w:lineRule="auto"/>
        <w:rPr>
          <w:rFonts w:ascii="Times New Roman" w:hAnsi="Times New Roman" w:cs="Times New Roman"/>
          <w:noProof/>
          <w:sz w:val="20"/>
          <w:szCs w:val="20"/>
        </w:rPr>
      </w:pPr>
      <w:r w:rsidRPr="00A25D00">
        <w:rPr>
          <w:rFonts w:ascii="Times New Roman" w:hAnsi="Times New Roman" w:cs="Times New Roman"/>
          <w:sz w:val="20"/>
          <w:szCs w:val="20"/>
        </w:rPr>
        <w:tab/>
        <w:t>In view of the current health manpower shortage in Nigeria, efforts should be harnessed to salvage pertinent technological resources from traditional healers. The results of the study suggest that overall</w:t>
      </w:r>
      <w:r w:rsidR="00957808" w:rsidRPr="00A25D00">
        <w:rPr>
          <w:rFonts w:ascii="Times New Roman" w:hAnsi="Times New Roman" w:cs="Times New Roman"/>
          <w:sz w:val="20"/>
          <w:szCs w:val="20"/>
        </w:rPr>
        <w:t>,</w:t>
      </w:r>
      <w:r w:rsidRPr="00A25D00">
        <w:rPr>
          <w:rFonts w:ascii="Times New Roman" w:hAnsi="Times New Roman" w:cs="Times New Roman"/>
          <w:sz w:val="20"/>
          <w:szCs w:val="20"/>
        </w:rPr>
        <w:t xml:space="preserve"> both medical and nonmedical students </w:t>
      </w:r>
      <w:r w:rsidR="00737475" w:rsidRPr="00A25D00">
        <w:rPr>
          <w:rFonts w:ascii="Times New Roman" w:hAnsi="Times New Roman" w:cs="Times New Roman"/>
          <w:sz w:val="20"/>
          <w:szCs w:val="20"/>
        </w:rPr>
        <w:t>favor</w:t>
      </w:r>
      <w:r w:rsidRPr="00A25D00">
        <w:rPr>
          <w:rFonts w:ascii="Times New Roman" w:hAnsi="Times New Roman" w:cs="Times New Roman"/>
          <w:sz w:val="20"/>
          <w:szCs w:val="20"/>
        </w:rPr>
        <w:t xml:space="preserve"> the integration of Western-type physicians with traditional healers. The accomplishment of such integration scheme was sufficiently supported by the Chinese political ideology </w:t>
      </w:r>
      <w:r w:rsidRPr="00A25D00">
        <w:rPr>
          <w:rFonts w:ascii="Times New Roman" w:hAnsi="Times New Roman" w:cs="Times New Roman"/>
          <w:noProof/>
          <w:sz w:val="20"/>
          <w:szCs w:val="20"/>
        </w:rPr>
        <w:t>(Horn, 1969).</w:t>
      </w:r>
    </w:p>
    <w:p w:rsidR="008B34BA" w:rsidRPr="00A25D00" w:rsidRDefault="008B34BA" w:rsidP="00A25D00">
      <w:pPr>
        <w:spacing w:after="0" w:line="240" w:lineRule="auto"/>
        <w:rPr>
          <w:rFonts w:ascii="Times New Roman" w:hAnsi="Times New Roman" w:cs="Times New Roman"/>
          <w:noProof/>
          <w:sz w:val="20"/>
          <w:szCs w:val="20"/>
        </w:rPr>
      </w:pPr>
      <w:r w:rsidRPr="00A25D00">
        <w:rPr>
          <w:rFonts w:ascii="Times New Roman" w:hAnsi="Times New Roman" w:cs="Times New Roman"/>
          <w:noProof/>
          <w:sz w:val="20"/>
          <w:szCs w:val="20"/>
        </w:rPr>
        <w:tab/>
        <w:t xml:space="preserve">Mahler (1969) has has cautioned that there is a need to integrate traditional healers into Western-type medicine. The most suitable strategy is to emphasize the just distribution of PHC resources and to utilize traditional medicine and its practitioner imaginatively. This will involve a collaborative research with international health experts to enable us have an objective assessment of the useful aspect of traditional medicine practice. </w:t>
      </w:r>
    </w:p>
    <w:p w:rsidR="008B34BA" w:rsidRPr="00A25D00" w:rsidRDefault="008B34BA" w:rsidP="00A25D00">
      <w:pPr>
        <w:spacing w:after="0"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Viewed from the provider perspectives, both medical and nonmedical</w:t>
      </w:r>
      <w:r w:rsidR="00FB7FE2">
        <w:rPr>
          <w:rFonts w:ascii="Times New Roman" w:hAnsi="Times New Roman" w:cs="Times New Roman"/>
          <w:noProof/>
          <w:sz w:val="20"/>
          <w:szCs w:val="20"/>
        </w:rPr>
        <w:t xml:space="preserve"> students favo</w:t>
      </w:r>
      <w:r w:rsidRPr="00A25D00">
        <w:rPr>
          <w:rFonts w:ascii="Times New Roman" w:hAnsi="Times New Roman" w:cs="Times New Roman"/>
          <w:noProof/>
          <w:sz w:val="20"/>
          <w:szCs w:val="20"/>
        </w:rPr>
        <w:t>r the utilization of traditional med</w:t>
      </w:r>
      <w:r w:rsidR="00FB7FE2">
        <w:rPr>
          <w:rFonts w:ascii="Times New Roman" w:hAnsi="Times New Roman" w:cs="Times New Roman"/>
          <w:noProof/>
          <w:sz w:val="20"/>
          <w:szCs w:val="20"/>
        </w:rPr>
        <w:t>ical services at the PHC centers</w:t>
      </w:r>
      <w:r w:rsidRPr="00A25D00">
        <w:rPr>
          <w:rFonts w:ascii="Times New Roman" w:hAnsi="Times New Roman" w:cs="Times New Roman"/>
          <w:noProof/>
          <w:sz w:val="20"/>
          <w:szCs w:val="20"/>
        </w:rPr>
        <w:t>. A statistically significant relationship exist between educational status of sttudents and the utilization of various</w:t>
      </w:r>
      <w:r w:rsidR="00957808" w:rsidRPr="00A25D00">
        <w:rPr>
          <w:rFonts w:ascii="Times New Roman" w:hAnsi="Times New Roman" w:cs="Times New Roman"/>
          <w:noProof/>
          <w:sz w:val="20"/>
          <w:szCs w:val="20"/>
        </w:rPr>
        <w:t xml:space="preserve"> traditional medical service (X</w:t>
      </w:r>
      <w:r w:rsidR="00957808" w:rsidRPr="00A25D00">
        <w:rPr>
          <w:rFonts w:ascii="Times New Roman" w:hAnsi="Times New Roman" w:cs="Times New Roman"/>
          <w:noProof/>
          <w:sz w:val="20"/>
          <w:szCs w:val="20"/>
          <w:vertAlign w:val="superscript"/>
        </w:rPr>
        <w:t>2</w:t>
      </w:r>
      <w:r w:rsidRPr="00A25D00">
        <w:rPr>
          <w:rFonts w:ascii="Times New Roman" w:hAnsi="Times New Roman" w:cs="Times New Roman"/>
          <w:noProof/>
          <w:sz w:val="20"/>
          <w:szCs w:val="20"/>
        </w:rPr>
        <w:t xml:space="preserve"> = 29, 12df, p &lt; .01). The implications of these findings could be that the higher the education acquired, the  more tendency to perceived the neccesity of integrating traditional medical practice into the official health care delivery system. Additionally current advocates of integration of both health care system such as Lambo (1956) and WHO (1978) experts  committee on traditional medicine are highly enlighten health professionals.  Igbinosa (1981) points out education as the most instrument by which individuals in rural areas can improve their well-be</w:t>
      </w:r>
      <w:r w:rsidR="00FB7FE2">
        <w:rPr>
          <w:rFonts w:ascii="Times New Roman" w:hAnsi="Times New Roman" w:cs="Times New Roman"/>
          <w:noProof/>
          <w:sz w:val="20"/>
          <w:szCs w:val="20"/>
        </w:rPr>
        <w:t xml:space="preserve">ing, understand  </w:t>
      </w:r>
      <w:r w:rsidRPr="00A25D00">
        <w:rPr>
          <w:rFonts w:ascii="Times New Roman" w:hAnsi="Times New Roman" w:cs="Times New Roman"/>
          <w:noProof/>
          <w:sz w:val="20"/>
          <w:szCs w:val="20"/>
        </w:rPr>
        <w:t>and participate in health care services and develop the environment. Education definitely dispels human ignorance and enables him or her to compare and constrast relationships between events.</w:t>
      </w:r>
    </w:p>
    <w:p w:rsidR="008B34BA" w:rsidRPr="00A25D00" w:rsidRDefault="008B34BA" w:rsidP="00A25D00">
      <w:pPr>
        <w:spacing w:after="0"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 xml:space="preserve">In most urban areas of Nigeria, there is the proliferation of western-type health care services. It is not suprising that over 50% of the respondents in urban area stated that they will never patronize traditional healers. Only 35% of them agreed to utilize the services of traditional healers for mental illness. The effectiveness of traditional healers for treatment of mental illness has been confirmed by many investigators (Prince, 1960; Torrey, 1959). At Shao rural community, not only were PHC  recipients willing to patronize traditional healers in mental health care but also 51% of them stated that they will strongly patronize traditional healers in clinical problems involving bone setting. At the isolated villages, over 40% of the respondents were willing to patronize traditional healer in mental health care, psychocomatic diseases, orthopaedic, gyneacology and imminization services. Paxima </w:t>
      </w:r>
      <w:r w:rsidRPr="00A25D00">
        <w:rPr>
          <w:rFonts w:ascii="Times New Roman" w:hAnsi="Times New Roman" w:cs="Times New Roman"/>
          <w:noProof/>
          <w:sz w:val="20"/>
          <w:szCs w:val="20"/>
        </w:rPr>
        <w:lastRenderedPageBreak/>
        <w:t>et al. (1979) has confirmed the supportive role which traditional healers  can play in the health sector as traditional birth attendant, bone setters and native pyschiatrist.</w:t>
      </w:r>
    </w:p>
    <w:p w:rsidR="008B34BA" w:rsidRPr="00A25D00" w:rsidRDefault="008B34BA" w:rsidP="00A25D00">
      <w:pPr>
        <w:spacing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In spite of the apparent benefit of integrating traditional healers with western-trained physicians, even the urban and rural PHC recipients have their reservations about such a scheme. Also, among university students, in spite of the fact that 81.9% of both medical and nonmedical students preffered the combination of traditional medicine and western-type medicine, the medical student groups were more conservative on this question. The clinical assessment of th</w:t>
      </w:r>
      <w:r w:rsidR="009D01E7">
        <w:rPr>
          <w:rFonts w:ascii="Times New Roman" w:hAnsi="Times New Roman" w:cs="Times New Roman"/>
          <w:noProof/>
          <w:sz w:val="20"/>
          <w:szCs w:val="20"/>
        </w:rPr>
        <w:t xml:space="preserve">e effectiveness of traditional </w:t>
      </w:r>
      <w:r w:rsidRPr="00A25D00">
        <w:rPr>
          <w:rFonts w:ascii="Times New Roman" w:hAnsi="Times New Roman" w:cs="Times New Roman"/>
          <w:noProof/>
          <w:sz w:val="20"/>
          <w:szCs w:val="20"/>
        </w:rPr>
        <w:t>healing practice</w:t>
      </w:r>
      <w:r w:rsidR="009D01E7">
        <w:rPr>
          <w:rFonts w:ascii="Times New Roman" w:hAnsi="Times New Roman" w:cs="Times New Roman"/>
          <w:noProof/>
          <w:sz w:val="20"/>
          <w:szCs w:val="20"/>
        </w:rPr>
        <w:t xml:space="preserve"> </w:t>
      </w:r>
      <w:r w:rsidRPr="00A25D00">
        <w:rPr>
          <w:rFonts w:ascii="Times New Roman" w:hAnsi="Times New Roman" w:cs="Times New Roman"/>
          <w:noProof/>
          <w:sz w:val="20"/>
          <w:szCs w:val="20"/>
        </w:rPr>
        <w:t>can be evaluated by western-trained researchers; therefore, the Federal Government has an important role to play  by encouraging the medical students to express and identify their specific concerns about traditional medi</w:t>
      </w:r>
      <w:r w:rsidR="009D01E7">
        <w:rPr>
          <w:rFonts w:ascii="Times New Roman" w:hAnsi="Times New Roman" w:cs="Times New Roman"/>
          <w:noProof/>
          <w:sz w:val="20"/>
          <w:szCs w:val="20"/>
        </w:rPr>
        <w:t>cine. In essence, being in favo</w:t>
      </w:r>
      <w:r w:rsidRPr="00A25D00">
        <w:rPr>
          <w:rFonts w:ascii="Times New Roman" w:hAnsi="Times New Roman" w:cs="Times New Roman"/>
          <w:noProof/>
          <w:sz w:val="20"/>
          <w:szCs w:val="20"/>
        </w:rPr>
        <w:t>r of a combined approach is one thing,</w:t>
      </w:r>
      <w:r w:rsidR="009D01E7">
        <w:rPr>
          <w:rFonts w:ascii="Times New Roman" w:hAnsi="Times New Roman" w:cs="Times New Roman"/>
          <w:noProof/>
          <w:sz w:val="20"/>
          <w:szCs w:val="20"/>
        </w:rPr>
        <w:t xml:space="preserve"> but designing the PHC program </w:t>
      </w:r>
      <w:r w:rsidRPr="00A25D00">
        <w:rPr>
          <w:rFonts w:ascii="Times New Roman" w:hAnsi="Times New Roman" w:cs="Times New Roman"/>
          <w:noProof/>
          <w:sz w:val="20"/>
          <w:szCs w:val="20"/>
        </w:rPr>
        <w:t xml:space="preserve"> is another. Pertinent questions which government and medicalofficers need to address are:</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What are the specific essential plants  drugs, or techniques employed in traditional medicine for use at grassroot levels or for primary health care?</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What specific role can and should  traditional medicine person play?</w:t>
      </w:r>
    </w:p>
    <w:p w:rsidR="008B34BA" w:rsidRPr="00A25D00" w:rsidRDefault="009D01E7" w:rsidP="00A25D00">
      <w:pPr>
        <w:pStyle w:val="ListParagraph"/>
        <w:numPr>
          <w:ilvl w:val="0"/>
          <w:numId w:val="2"/>
        </w:numPr>
        <w:spacing w:line="240" w:lineRule="auto"/>
        <w:rPr>
          <w:rFonts w:ascii="Times New Roman" w:hAnsi="Times New Roman" w:cs="Times New Roman"/>
          <w:noProof/>
          <w:sz w:val="20"/>
          <w:szCs w:val="20"/>
        </w:rPr>
      </w:pPr>
      <w:r>
        <w:rPr>
          <w:rFonts w:ascii="Times New Roman" w:hAnsi="Times New Roman" w:cs="Times New Roman"/>
          <w:noProof/>
          <w:sz w:val="20"/>
          <w:szCs w:val="20"/>
        </w:rPr>
        <w:t>Is it possibl</w:t>
      </w:r>
      <w:r w:rsidR="008B34BA" w:rsidRPr="00A25D00">
        <w:rPr>
          <w:rFonts w:ascii="Times New Roman" w:hAnsi="Times New Roman" w:cs="Times New Roman"/>
          <w:noProof/>
          <w:sz w:val="20"/>
          <w:szCs w:val="20"/>
        </w:rPr>
        <w:t>e to get their suggestions in order to develop the cooperative approach?</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In order to be able to develop a cooperative approach between traditiona</w:t>
      </w:r>
      <w:r w:rsidR="009D01E7">
        <w:rPr>
          <w:rFonts w:ascii="Times New Roman" w:hAnsi="Times New Roman" w:cs="Times New Roman"/>
          <w:noProof/>
          <w:sz w:val="20"/>
          <w:szCs w:val="20"/>
        </w:rPr>
        <w:t xml:space="preserve">l </w:t>
      </w:r>
      <w:r w:rsidRPr="00A25D00">
        <w:rPr>
          <w:rFonts w:ascii="Times New Roman" w:hAnsi="Times New Roman" w:cs="Times New Roman"/>
          <w:noProof/>
          <w:sz w:val="20"/>
          <w:szCs w:val="20"/>
        </w:rPr>
        <w:t xml:space="preserve"> medicine and western-type medicine, it seems axiomatic that a special effort be made to learn more about the beliefs and practices of the traditional leaders.</w:t>
      </w:r>
    </w:p>
    <w:p w:rsidR="008B34BA" w:rsidRPr="00A25D00" w:rsidRDefault="009D01E7" w:rsidP="00A25D00">
      <w:pPr>
        <w:pStyle w:val="ListParagraph"/>
        <w:numPr>
          <w:ilvl w:val="0"/>
          <w:numId w:val="2"/>
        </w:numPr>
        <w:spacing w:line="240" w:lineRule="auto"/>
        <w:rPr>
          <w:rFonts w:ascii="Times New Roman" w:hAnsi="Times New Roman" w:cs="Times New Roman"/>
          <w:noProof/>
          <w:sz w:val="20"/>
          <w:szCs w:val="20"/>
        </w:rPr>
      </w:pPr>
      <w:r>
        <w:rPr>
          <w:rFonts w:ascii="Times New Roman" w:hAnsi="Times New Roman" w:cs="Times New Roman"/>
          <w:noProof/>
          <w:sz w:val="20"/>
          <w:szCs w:val="20"/>
        </w:rPr>
        <w:t>Are ther</w:t>
      </w:r>
      <w:r w:rsidR="008B34BA" w:rsidRPr="00A25D00">
        <w:rPr>
          <w:rFonts w:ascii="Times New Roman" w:hAnsi="Times New Roman" w:cs="Times New Roman"/>
          <w:noProof/>
          <w:sz w:val="20"/>
          <w:szCs w:val="20"/>
        </w:rPr>
        <w:t>e areas of health care in which cooperation could be more easily established: for example, in areas where there is a lack of trained personnel, could the traditional healer be trained to take over certain services?</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Who are the legitimate authorities in traditional medical practice?</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In those areas of health care</w:t>
      </w:r>
      <w:r w:rsidR="009D01E7">
        <w:rPr>
          <w:rFonts w:ascii="Times New Roman" w:hAnsi="Times New Roman" w:cs="Times New Roman"/>
          <w:noProof/>
          <w:sz w:val="20"/>
          <w:szCs w:val="20"/>
        </w:rPr>
        <w:t xml:space="preserve">, </w:t>
      </w:r>
      <w:r w:rsidRPr="00A25D00">
        <w:rPr>
          <w:rFonts w:ascii="Times New Roman" w:hAnsi="Times New Roman" w:cs="Times New Roman"/>
          <w:noProof/>
          <w:sz w:val="20"/>
          <w:szCs w:val="20"/>
        </w:rPr>
        <w:t xml:space="preserve"> where western trained physicians have the most serious concerns, such reservations, need to be recognised  before undertaking a cooperative approach.</w:t>
      </w:r>
    </w:p>
    <w:p w:rsidR="008B34BA" w:rsidRPr="00A25D00" w:rsidRDefault="008B34BA" w:rsidP="00A25D00">
      <w:pPr>
        <w:pStyle w:val="ListParagraph"/>
        <w:numPr>
          <w:ilvl w:val="0"/>
          <w:numId w:val="2"/>
        </w:numPr>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t>Are there certain area of health problems in which traditional practitioners are more effective and therefore would be more accepted to the western trained physicians?</w:t>
      </w:r>
    </w:p>
    <w:p w:rsidR="008B34BA" w:rsidRPr="00A25D00" w:rsidRDefault="008B34BA" w:rsidP="00A25D00">
      <w:pPr>
        <w:spacing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In addition to resolving the above questions, integration of both medical system should not be initiated until government researchers conduct preliminary pilot studies. Such project</w:t>
      </w:r>
      <w:r w:rsidR="009D01E7">
        <w:rPr>
          <w:rFonts w:ascii="Times New Roman" w:hAnsi="Times New Roman" w:cs="Times New Roman"/>
          <w:noProof/>
          <w:sz w:val="20"/>
          <w:szCs w:val="20"/>
        </w:rPr>
        <w:t xml:space="preserve">s </w:t>
      </w:r>
      <w:r w:rsidRPr="00A25D00">
        <w:rPr>
          <w:rFonts w:ascii="Times New Roman" w:hAnsi="Times New Roman" w:cs="Times New Roman"/>
          <w:noProof/>
          <w:sz w:val="20"/>
          <w:szCs w:val="20"/>
        </w:rPr>
        <w:t xml:space="preserve"> can be carried out by: selecting pilot or experime</w:t>
      </w:r>
      <w:r w:rsidR="00957808" w:rsidRPr="00A25D00">
        <w:rPr>
          <w:rFonts w:ascii="Times New Roman" w:hAnsi="Times New Roman" w:cs="Times New Roman"/>
          <w:noProof/>
          <w:sz w:val="20"/>
          <w:szCs w:val="20"/>
        </w:rPr>
        <w:t>ntal sites wherein the program</w:t>
      </w:r>
      <w:r w:rsidRPr="00A25D00">
        <w:rPr>
          <w:rFonts w:ascii="Times New Roman" w:hAnsi="Times New Roman" w:cs="Times New Roman"/>
          <w:noProof/>
          <w:sz w:val="20"/>
          <w:szCs w:val="20"/>
        </w:rPr>
        <w:t xml:space="preserve"> would be initiated for a limited period of time. Based upon the experience gained from</w:t>
      </w:r>
      <w:r w:rsidR="00957808" w:rsidRPr="00A25D00">
        <w:rPr>
          <w:rFonts w:ascii="Times New Roman" w:hAnsi="Times New Roman" w:cs="Times New Roman"/>
          <w:noProof/>
          <w:sz w:val="20"/>
          <w:szCs w:val="20"/>
        </w:rPr>
        <w:t xml:space="preserve"> trying out new program</w:t>
      </w:r>
      <w:r w:rsidRPr="00A25D00">
        <w:rPr>
          <w:rFonts w:ascii="Times New Roman" w:hAnsi="Times New Roman" w:cs="Times New Roman"/>
          <w:noProof/>
          <w:sz w:val="20"/>
          <w:szCs w:val="20"/>
        </w:rPr>
        <w:t xml:space="preserve"> approach, the attitude toward PHC can again be studied  and the general effectiveness of the new procedure can be evaluated.</w:t>
      </w:r>
    </w:p>
    <w:p w:rsidR="008B34BA" w:rsidRPr="00A25D00" w:rsidRDefault="008B34BA" w:rsidP="00A25D00">
      <w:pPr>
        <w:spacing w:after="0"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In some instances more formal experimental field trials may be conducted in order to have confidence in the results that are reported from these “tryout” experiences. Also the involvement of local residents and traditional medical practitioneers to secure their view, their most important health needs and to detremnine whether the PHC is helping them solve their health problems.</w:t>
      </w:r>
    </w:p>
    <w:p w:rsidR="008B34BA" w:rsidRPr="00A25D00" w:rsidRDefault="009D01E7" w:rsidP="00A25D00">
      <w:pPr>
        <w:spacing w:after="0" w:line="240" w:lineRule="auto"/>
        <w:ind w:firstLine="720"/>
        <w:rPr>
          <w:rFonts w:ascii="Times New Roman" w:hAnsi="Times New Roman" w:cs="Times New Roman"/>
          <w:noProof/>
          <w:sz w:val="20"/>
          <w:szCs w:val="20"/>
        </w:rPr>
      </w:pPr>
      <w:r>
        <w:rPr>
          <w:rFonts w:ascii="Times New Roman" w:hAnsi="Times New Roman" w:cs="Times New Roman"/>
          <w:noProof/>
          <w:sz w:val="20"/>
          <w:szCs w:val="20"/>
        </w:rPr>
        <w:t xml:space="preserve">Program </w:t>
      </w:r>
      <w:r w:rsidR="008B34BA" w:rsidRPr="00A25D00">
        <w:rPr>
          <w:rFonts w:ascii="Times New Roman" w:hAnsi="Times New Roman" w:cs="Times New Roman"/>
          <w:noProof/>
          <w:sz w:val="20"/>
          <w:szCs w:val="20"/>
        </w:rPr>
        <w:t xml:space="preserve"> planners should visit herbal or traditional medicine stores in local areas and talk with consumers of traditional medicine in order to achieve a better understanding of their perceived needs. It would seem expedient to explore written materials on traditional medicine and to investigate theories on the source of care. For example, what type of people use the services of western-type medicine? What are the general attitudes of community members towards various western trained physicians and the dervices they offer?</w:t>
      </w:r>
    </w:p>
    <w:p w:rsidR="008B34BA" w:rsidRPr="00A25D00" w:rsidRDefault="008B34BA" w:rsidP="00A25D00">
      <w:pPr>
        <w:spacing w:after="0"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 xml:space="preserve">A thorough understanding of these issues may enable planners to recognize factors likely to inhibit or promote implementation of the PHC. Although religious affliation appears to be an important factors in the type of healthcare required for the implementation of the PHC, the respondents studied were largely Muslims and Christians. A special study of the Nigeria animists can furnish more data about the relationship between various religious and the acceptance of health </w:t>
      </w:r>
      <w:r w:rsidR="00957808" w:rsidRPr="00A25D00">
        <w:rPr>
          <w:rFonts w:ascii="Times New Roman" w:hAnsi="Times New Roman" w:cs="Times New Roman"/>
          <w:noProof/>
          <w:sz w:val="20"/>
          <w:szCs w:val="20"/>
        </w:rPr>
        <w:t>care practitioners for primary h</w:t>
      </w:r>
      <w:r w:rsidRPr="00A25D00">
        <w:rPr>
          <w:rFonts w:ascii="Times New Roman" w:hAnsi="Times New Roman" w:cs="Times New Roman"/>
          <w:noProof/>
          <w:sz w:val="20"/>
          <w:szCs w:val="20"/>
        </w:rPr>
        <w:t>ealth care delivery.</w:t>
      </w:r>
    </w:p>
    <w:p w:rsidR="008B34BA" w:rsidRPr="00A25D00" w:rsidRDefault="008B34BA" w:rsidP="00A25D00">
      <w:pPr>
        <w:spacing w:line="240" w:lineRule="auto"/>
        <w:ind w:firstLine="720"/>
        <w:rPr>
          <w:rFonts w:ascii="Times New Roman" w:hAnsi="Times New Roman" w:cs="Times New Roman"/>
          <w:noProof/>
          <w:sz w:val="20"/>
          <w:szCs w:val="20"/>
        </w:rPr>
      </w:pPr>
      <w:r w:rsidRPr="00A25D00">
        <w:rPr>
          <w:rFonts w:ascii="Times New Roman" w:hAnsi="Times New Roman" w:cs="Times New Roman"/>
          <w:noProof/>
          <w:sz w:val="20"/>
          <w:szCs w:val="20"/>
        </w:rPr>
        <w:t>In this study, efforts were made to assess the attititudes of PHC recipients toward the integration of traditional healers into the Nigerian PHC delivery system. The attitudes of the medical and nonmedical students were explored because they are potential physicians and healt</w:t>
      </w:r>
      <w:r w:rsidR="00957808" w:rsidRPr="00A25D00">
        <w:rPr>
          <w:rFonts w:ascii="Times New Roman" w:hAnsi="Times New Roman" w:cs="Times New Roman"/>
          <w:noProof/>
          <w:sz w:val="20"/>
          <w:szCs w:val="20"/>
        </w:rPr>
        <w:t>h care administrators. Cognizanc</w:t>
      </w:r>
      <w:r w:rsidRPr="00A25D00">
        <w:rPr>
          <w:rFonts w:ascii="Times New Roman" w:hAnsi="Times New Roman" w:cs="Times New Roman"/>
          <w:noProof/>
          <w:sz w:val="20"/>
          <w:szCs w:val="20"/>
        </w:rPr>
        <w:t xml:space="preserve">e was taken of their not being completely comparable groups. However, their opinions, beliefs and concerns are quite pertinent in the development and implementation of  primary health care in Nigeria. </w:t>
      </w:r>
    </w:p>
    <w:p w:rsidR="008B34BA" w:rsidRPr="00A25D00" w:rsidRDefault="00C401BD" w:rsidP="00A25D00">
      <w:pPr>
        <w:spacing w:after="0" w:line="240" w:lineRule="auto"/>
        <w:ind w:firstLine="720"/>
        <w:jc w:val="center"/>
        <w:rPr>
          <w:rFonts w:ascii="Times New Roman" w:hAnsi="Times New Roman" w:cs="Times New Roman"/>
          <w:noProof/>
          <w:sz w:val="20"/>
          <w:szCs w:val="20"/>
        </w:rPr>
      </w:pPr>
      <w:r w:rsidRPr="00A25D00">
        <w:rPr>
          <w:rFonts w:ascii="Times New Roman" w:hAnsi="Times New Roman" w:cs="Times New Roman"/>
          <w:noProof/>
          <w:sz w:val="20"/>
          <w:szCs w:val="20"/>
        </w:rPr>
        <w:br w:type="column"/>
      </w:r>
      <w:r w:rsidR="008B34BA" w:rsidRPr="00A25D00">
        <w:rPr>
          <w:rFonts w:ascii="Times New Roman" w:hAnsi="Times New Roman" w:cs="Times New Roman"/>
          <w:noProof/>
          <w:sz w:val="20"/>
          <w:szCs w:val="20"/>
        </w:rPr>
        <w:lastRenderedPageBreak/>
        <w:t>References</w:t>
      </w:r>
    </w:p>
    <w:p w:rsidR="008B34BA" w:rsidRPr="00A25D00" w:rsidRDefault="007830B5"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fldChar w:fldCharType="begin"/>
      </w:r>
      <w:r w:rsidR="008B34BA" w:rsidRPr="00A25D00">
        <w:rPr>
          <w:rFonts w:ascii="Times New Roman" w:hAnsi="Times New Roman" w:cs="Times New Roman"/>
          <w:noProof/>
          <w:sz w:val="20"/>
          <w:szCs w:val="20"/>
        </w:rPr>
        <w:instrText xml:space="preserve"> BIBLIOGRAPHY  \l 1033 </w:instrText>
      </w:r>
      <w:r w:rsidRPr="00A25D00">
        <w:rPr>
          <w:rFonts w:ascii="Times New Roman" w:hAnsi="Times New Roman" w:cs="Times New Roman"/>
          <w:noProof/>
          <w:sz w:val="20"/>
          <w:szCs w:val="20"/>
        </w:rPr>
        <w:fldChar w:fldCharType="separate"/>
      </w:r>
      <w:r w:rsidR="008B34BA" w:rsidRPr="00A25D00">
        <w:rPr>
          <w:rFonts w:ascii="Times New Roman" w:hAnsi="Times New Roman" w:cs="Times New Roman"/>
          <w:noProof/>
          <w:sz w:val="20"/>
          <w:szCs w:val="20"/>
        </w:rPr>
        <w:t xml:space="preserve">Ademuwagun, Z. A. (1969). </w:t>
      </w:r>
      <w:r w:rsidR="008B34BA" w:rsidRPr="00A25D00">
        <w:rPr>
          <w:rFonts w:ascii="Times New Roman" w:hAnsi="Times New Roman" w:cs="Times New Roman"/>
          <w:i/>
          <w:iCs/>
          <w:noProof/>
          <w:sz w:val="20"/>
          <w:szCs w:val="20"/>
        </w:rPr>
        <w:t>The relevance of Yoruba medicine men in public health practice in Nigeria.</w:t>
      </w:r>
      <w:r w:rsidR="008B34BA" w:rsidRPr="00A25D00">
        <w:rPr>
          <w:rFonts w:ascii="Times New Roman" w:hAnsi="Times New Roman" w:cs="Times New Roman"/>
          <w:noProof/>
          <w:sz w:val="20"/>
          <w:szCs w:val="20"/>
        </w:rPr>
        <w:t xml:space="preserve"> United State Public Health Report 84 p. 1085.</w:t>
      </w:r>
    </w:p>
    <w:p w:rsidR="00C401BD" w:rsidRPr="00A25D00" w:rsidRDefault="00033A55" w:rsidP="00A25D00">
      <w:pPr>
        <w:spacing w:after="0" w:line="240" w:lineRule="auto"/>
        <w:ind w:left="90"/>
        <w:rPr>
          <w:rFonts w:ascii="Times New Roman" w:hAnsi="Times New Roman" w:cs="Times New Roman"/>
          <w:sz w:val="20"/>
          <w:szCs w:val="20"/>
        </w:rPr>
      </w:pPr>
      <w:r w:rsidRPr="00A25D00">
        <w:rPr>
          <w:rFonts w:ascii="Times New Roman" w:hAnsi="Times New Roman" w:cs="Times New Roman"/>
          <w:sz w:val="20"/>
          <w:szCs w:val="20"/>
        </w:rPr>
        <w:t>Ebomoyi, W and Srinivasan, S (2008) Innovations in</w:t>
      </w:r>
      <w:r w:rsidR="007354A5" w:rsidRPr="00A25D00">
        <w:rPr>
          <w:rFonts w:ascii="Times New Roman" w:hAnsi="Times New Roman" w:cs="Times New Roman"/>
          <w:sz w:val="20"/>
          <w:szCs w:val="20"/>
        </w:rPr>
        <w:t xml:space="preserve"> </w:t>
      </w:r>
      <w:r w:rsidRPr="00A25D00">
        <w:rPr>
          <w:rFonts w:ascii="Times New Roman" w:hAnsi="Times New Roman" w:cs="Times New Roman"/>
          <w:sz w:val="20"/>
          <w:szCs w:val="20"/>
        </w:rPr>
        <w:t xml:space="preserve"> capacity building in genomic technology in USA. </w:t>
      </w:r>
    </w:p>
    <w:p w:rsidR="00033A55" w:rsidRPr="00A25D00" w:rsidRDefault="007354A5" w:rsidP="00A25D00">
      <w:pPr>
        <w:spacing w:line="240" w:lineRule="auto"/>
        <w:ind w:left="90" w:firstLine="630"/>
        <w:rPr>
          <w:rFonts w:ascii="Times New Roman" w:hAnsi="Times New Roman" w:cs="Times New Roman"/>
          <w:sz w:val="20"/>
          <w:szCs w:val="20"/>
        </w:rPr>
      </w:pPr>
      <w:r w:rsidRPr="00A25D00">
        <w:rPr>
          <w:rFonts w:ascii="Times New Roman" w:hAnsi="Times New Roman" w:cs="Times New Roman"/>
          <w:sz w:val="20"/>
          <w:szCs w:val="20"/>
        </w:rPr>
        <w:t>International  J</w:t>
      </w:r>
      <w:r w:rsidR="00033A55" w:rsidRPr="00A25D00">
        <w:rPr>
          <w:rFonts w:ascii="Times New Roman" w:hAnsi="Times New Roman" w:cs="Times New Roman"/>
          <w:sz w:val="20"/>
          <w:szCs w:val="20"/>
        </w:rPr>
        <w:t>ournal of Medical engineering and Informatics, Vol. 1. No.2 Pp210-226</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Ebomoyi, E. (1985). </w:t>
      </w:r>
      <w:r w:rsidRPr="00A25D00">
        <w:rPr>
          <w:rFonts w:ascii="Times New Roman" w:hAnsi="Times New Roman" w:cs="Times New Roman"/>
          <w:i/>
          <w:iCs/>
          <w:noProof/>
          <w:sz w:val="20"/>
          <w:szCs w:val="20"/>
        </w:rPr>
        <w:t>Female circumcision; an inhuman practice.</w:t>
      </w:r>
      <w:r w:rsidRPr="00A25D00">
        <w:rPr>
          <w:rFonts w:ascii="Times New Roman" w:hAnsi="Times New Roman" w:cs="Times New Roman"/>
          <w:noProof/>
          <w:sz w:val="20"/>
          <w:szCs w:val="20"/>
        </w:rPr>
        <w:t xml:space="preserve"> An International Journal of Health Development. World Health Forum vol. 6 (30) 236-237.</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Ebomoyi, E. (1987). </w:t>
      </w:r>
      <w:r w:rsidRPr="00A25D00">
        <w:rPr>
          <w:rFonts w:ascii="Times New Roman" w:hAnsi="Times New Roman" w:cs="Times New Roman"/>
          <w:i/>
          <w:iCs/>
          <w:noProof/>
          <w:sz w:val="20"/>
          <w:szCs w:val="20"/>
        </w:rPr>
        <w:t>Nutritional status and morbidity of children in isolated villages of Kwara State Nigeria.</w:t>
      </w:r>
      <w:r w:rsidRPr="00A25D00">
        <w:rPr>
          <w:rFonts w:ascii="Times New Roman" w:hAnsi="Times New Roman" w:cs="Times New Roman"/>
          <w:noProof/>
          <w:sz w:val="20"/>
          <w:szCs w:val="20"/>
        </w:rPr>
        <w:t xml:space="preserve"> Ecology of Food and Nutrition (In press).</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Ebomoyi, E. (1984). </w:t>
      </w:r>
      <w:r w:rsidRPr="00A25D00">
        <w:rPr>
          <w:rFonts w:ascii="Times New Roman" w:hAnsi="Times New Roman" w:cs="Times New Roman"/>
          <w:i/>
          <w:iCs/>
          <w:noProof/>
          <w:sz w:val="20"/>
          <w:szCs w:val="20"/>
        </w:rPr>
        <w:t>The attitude of Nigerian Medical and nonmedical students toward family planning.</w:t>
      </w:r>
      <w:r w:rsidRPr="00A25D00">
        <w:rPr>
          <w:rFonts w:ascii="Times New Roman" w:hAnsi="Times New Roman" w:cs="Times New Roman"/>
          <w:noProof/>
          <w:sz w:val="20"/>
          <w:szCs w:val="20"/>
        </w:rPr>
        <w:t xml:space="preserve"> Physical Health Education and Recreation Journal: vol. 1: 48-57.</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Ebomoyi, E. W. (1982). </w:t>
      </w:r>
      <w:r w:rsidRPr="00A25D00">
        <w:rPr>
          <w:rFonts w:ascii="Times New Roman" w:hAnsi="Times New Roman" w:cs="Times New Roman"/>
          <w:i/>
          <w:iCs/>
          <w:noProof/>
          <w:sz w:val="20"/>
          <w:szCs w:val="20"/>
        </w:rPr>
        <w:t>Good and bad in traditional healing.</w:t>
      </w:r>
      <w:r w:rsidRPr="00A25D00">
        <w:rPr>
          <w:rFonts w:ascii="Times New Roman" w:hAnsi="Times New Roman" w:cs="Times New Roman"/>
          <w:noProof/>
          <w:sz w:val="20"/>
          <w:szCs w:val="20"/>
        </w:rPr>
        <w:t xml:space="preserve"> An International Journal of Health Development. World Health Forum vol. 3: 215-217.</w:t>
      </w:r>
    </w:p>
    <w:p w:rsidR="00033A55" w:rsidRPr="00A25D00" w:rsidRDefault="00FD7FBF" w:rsidP="00A25D0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33A55" w:rsidRPr="00A25D00">
        <w:rPr>
          <w:rFonts w:ascii="Times New Roman" w:hAnsi="Times New Roman" w:cs="Times New Roman"/>
          <w:sz w:val="20"/>
          <w:szCs w:val="20"/>
        </w:rPr>
        <w:t xml:space="preserve">Ebomoyi, W and Akwawua, S(2006) A new model of developing technology and manufacturing initiatives for </w:t>
      </w:r>
      <w:r>
        <w:rPr>
          <w:rFonts w:ascii="Times New Roman" w:hAnsi="Times New Roman" w:cs="Times New Roman"/>
          <w:sz w:val="20"/>
          <w:szCs w:val="20"/>
        </w:rPr>
        <w:t xml:space="preserve">     </w:t>
      </w:r>
      <w:r w:rsidR="00033A55" w:rsidRPr="00A25D00">
        <w:rPr>
          <w:rFonts w:ascii="Times New Roman" w:hAnsi="Times New Roman" w:cs="Times New Roman"/>
          <w:sz w:val="20"/>
          <w:szCs w:val="20"/>
        </w:rPr>
        <w:t>Sub-Sahara Africa Volume 30, Number 1 Pp15-</w:t>
      </w:r>
      <w:r w:rsidR="00787DD5" w:rsidRPr="00A25D00">
        <w:rPr>
          <w:rFonts w:ascii="Times New Roman" w:hAnsi="Times New Roman" w:cs="Times New Roman"/>
          <w:sz w:val="20"/>
          <w:szCs w:val="20"/>
        </w:rPr>
        <w:t>24.</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Federal Ministry of Health. (1985). </w:t>
      </w:r>
      <w:r w:rsidRPr="00A25D00">
        <w:rPr>
          <w:rFonts w:ascii="Times New Roman" w:hAnsi="Times New Roman" w:cs="Times New Roman"/>
          <w:i/>
          <w:iCs/>
          <w:noProof/>
          <w:sz w:val="20"/>
          <w:szCs w:val="20"/>
        </w:rPr>
        <w:t>Vital Statistic Report of the National Health Planning Division.</w:t>
      </w:r>
      <w:r w:rsidRPr="00A25D00">
        <w:rPr>
          <w:rFonts w:ascii="Times New Roman" w:hAnsi="Times New Roman" w:cs="Times New Roman"/>
          <w:noProof/>
          <w:sz w:val="20"/>
          <w:szCs w:val="20"/>
        </w:rPr>
        <w:t xml:space="preserve"> Unpublished.</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Horn, J. (1969). </w:t>
      </w:r>
      <w:r w:rsidRPr="00A25D00">
        <w:rPr>
          <w:rFonts w:ascii="Times New Roman" w:hAnsi="Times New Roman" w:cs="Times New Roman"/>
          <w:i/>
          <w:iCs/>
          <w:noProof/>
          <w:sz w:val="20"/>
          <w:szCs w:val="20"/>
        </w:rPr>
        <w:t>Away with all Pest.</w:t>
      </w:r>
      <w:r w:rsidRPr="00A25D00">
        <w:rPr>
          <w:rFonts w:ascii="Times New Roman" w:hAnsi="Times New Roman" w:cs="Times New Roman"/>
          <w:noProof/>
          <w:sz w:val="20"/>
          <w:szCs w:val="20"/>
        </w:rPr>
        <w:t xml:space="preserve"> New York: New York Monthly Review Press pp. 9 - 189.</w:t>
      </w:r>
    </w:p>
    <w:p w:rsidR="008B34BA"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Ig</w:t>
      </w:r>
      <w:r w:rsidR="00843BF3">
        <w:rPr>
          <w:rFonts w:ascii="Times New Roman" w:hAnsi="Times New Roman" w:cs="Times New Roman"/>
          <w:noProof/>
          <w:sz w:val="20"/>
          <w:szCs w:val="20"/>
        </w:rPr>
        <w:t>b</w:t>
      </w:r>
      <w:r w:rsidRPr="00A25D00">
        <w:rPr>
          <w:rFonts w:ascii="Times New Roman" w:hAnsi="Times New Roman" w:cs="Times New Roman"/>
          <w:noProof/>
          <w:sz w:val="20"/>
          <w:szCs w:val="20"/>
        </w:rPr>
        <w:t xml:space="preserve">inosa, A. (1981). </w:t>
      </w:r>
      <w:r w:rsidRPr="00A25D00">
        <w:rPr>
          <w:rFonts w:ascii="Times New Roman" w:hAnsi="Times New Roman" w:cs="Times New Roman"/>
          <w:i/>
          <w:iCs/>
          <w:noProof/>
          <w:sz w:val="20"/>
          <w:szCs w:val="20"/>
        </w:rPr>
        <w:t>Administrative alternative in rural Africa Ph.D Dissertation.</w:t>
      </w:r>
      <w:r w:rsidRPr="00A25D00">
        <w:rPr>
          <w:rFonts w:ascii="Times New Roman" w:hAnsi="Times New Roman" w:cs="Times New Roman"/>
          <w:noProof/>
          <w:sz w:val="20"/>
          <w:szCs w:val="20"/>
        </w:rPr>
        <w:t xml:space="preserve"> Dept. of Public Administration Ohio Miami University pp.190-200 (unpublished).</w:t>
      </w:r>
    </w:p>
    <w:p w:rsidR="00FD60B1" w:rsidRPr="00EE3F1C" w:rsidRDefault="00FD60B1" w:rsidP="00FD60B1">
      <w:pPr>
        <w:rPr>
          <w:sz w:val="20"/>
          <w:szCs w:val="20"/>
        </w:rPr>
      </w:pPr>
      <w:r w:rsidRPr="00EE3F1C">
        <w:rPr>
          <w:sz w:val="20"/>
          <w:szCs w:val="20"/>
        </w:rPr>
        <w:t>Institute of Medicine</w:t>
      </w:r>
      <w:r w:rsidR="000D61D7" w:rsidRPr="00EE3F1C">
        <w:rPr>
          <w:sz w:val="20"/>
          <w:szCs w:val="20"/>
        </w:rPr>
        <w:t xml:space="preserve"> </w:t>
      </w:r>
      <w:r w:rsidRPr="00EE3F1C">
        <w:rPr>
          <w:sz w:val="20"/>
          <w:szCs w:val="20"/>
        </w:rPr>
        <w:t>(2005) Implications of genomics for public health, The National Academy Press,</w:t>
      </w:r>
    </w:p>
    <w:p w:rsidR="00FD60B1" w:rsidRPr="00EE3F1C" w:rsidRDefault="000D61D7" w:rsidP="00FD60B1">
      <w:pPr>
        <w:rPr>
          <w:sz w:val="20"/>
          <w:szCs w:val="20"/>
        </w:rPr>
      </w:pPr>
      <w:proofErr w:type="gramStart"/>
      <w:r w:rsidRPr="00EE3F1C">
        <w:rPr>
          <w:sz w:val="20"/>
          <w:szCs w:val="20"/>
        </w:rPr>
        <w:t>DC Pp1-40.</w:t>
      </w:r>
      <w:proofErr w:type="gramEnd"/>
      <w:r w:rsidR="00FD60B1" w:rsidRPr="00EE3F1C">
        <w:rPr>
          <w:sz w:val="20"/>
          <w:szCs w:val="20"/>
        </w:rPr>
        <w:t xml:space="preserve"> </w:t>
      </w:r>
    </w:p>
    <w:p w:rsidR="00D2319A" w:rsidRPr="001D7437" w:rsidRDefault="00FD7FBF" w:rsidP="00D2319A">
      <w:pPr>
        <w:rPr>
          <w:sz w:val="20"/>
          <w:szCs w:val="20"/>
        </w:rPr>
      </w:pPr>
      <w:r>
        <w:rPr>
          <w:sz w:val="20"/>
          <w:szCs w:val="20"/>
        </w:rPr>
        <w:t xml:space="preserve">  </w:t>
      </w:r>
      <w:r w:rsidR="00D2319A" w:rsidRPr="001D7437">
        <w:rPr>
          <w:sz w:val="20"/>
          <w:szCs w:val="20"/>
        </w:rPr>
        <w:t xml:space="preserve">Kayser, O and Quax, WJ (2007) Medicinal plant biotechnology:  from basic research to industrial applications Wiley-VCH Verlag GmbH &amp;Co. KGaA. </w:t>
      </w:r>
    </w:p>
    <w:p w:rsidR="008B34BA" w:rsidRPr="00A25D00" w:rsidRDefault="008B34BA" w:rsidP="00A978F8">
      <w:pPr>
        <w:pStyle w:val="Bibliography"/>
        <w:tabs>
          <w:tab w:val="left" w:pos="90"/>
        </w:tabs>
        <w:spacing w:line="240" w:lineRule="auto"/>
        <w:ind w:left="90"/>
        <w:rPr>
          <w:rFonts w:ascii="Times New Roman" w:hAnsi="Times New Roman" w:cs="Times New Roman"/>
          <w:noProof/>
          <w:sz w:val="20"/>
          <w:szCs w:val="20"/>
        </w:rPr>
      </w:pPr>
      <w:r w:rsidRPr="00A25D00">
        <w:rPr>
          <w:rFonts w:ascii="Times New Roman" w:hAnsi="Times New Roman" w:cs="Times New Roman"/>
          <w:noProof/>
          <w:sz w:val="20"/>
          <w:szCs w:val="20"/>
        </w:rPr>
        <w:t xml:space="preserve">Lambo, A. (1956). </w:t>
      </w:r>
      <w:r w:rsidRPr="00A25D00">
        <w:rPr>
          <w:rFonts w:ascii="Times New Roman" w:hAnsi="Times New Roman" w:cs="Times New Roman"/>
          <w:i/>
          <w:iCs/>
          <w:noProof/>
          <w:sz w:val="20"/>
          <w:szCs w:val="20"/>
        </w:rPr>
        <w:t>Neuropsychiatric Observation in WEstern Region of Nigeria.</w:t>
      </w:r>
      <w:r w:rsidRPr="00A25D00">
        <w:rPr>
          <w:rFonts w:ascii="Times New Roman" w:hAnsi="Times New Roman" w:cs="Times New Roman"/>
          <w:noProof/>
          <w:sz w:val="20"/>
          <w:szCs w:val="20"/>
        </w:rPr>
        <w:t xml:space="preserve"> British Medical Journal, 1388-1396.</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Paxman, J. e. (1979). </w:t>
      </w:r>
      <w:r w:rsidRPr="00A25D00">
        <w:rPr>
          <w:rFonts w:ascii="Times New Roman" w:hAnsi="Times New Roman" w:cs="Times New Roman"/>
          <w:i/>
          <w:iCs/>
          <w:noProof/>
          <w:sz w:val="20"/>
          <w:szCs w:val="20"/>
        </w:rPr>
        <w:t>The use of paramedics for primary health in commonwealth:A Survey of medical-legal issues and alternatives.</w:t>
      </w:r>
      <w:r w:rsidRPr="00A25D00">
        <w:rPr>
          <w:rFonts w:ascii="Times New Roman" w:hAnsi="Times New Roman" w:cs="Times New Roman"/>
          <w:noProof/>
          <w:sz w:val="20"/>
          <w:szCs w:val="20"/>
        </w:rPr>
        <w:t xml:space="preserve"> London Commonwealth Secretariat pub. p.7.</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Prince, R. (1960). </w:t>
      </w:r>
      <w:r w:rsidRPr="00A25D00">
        <w:rPr>
          <w:rFonts w:ascii="Times New Roman" w:hAnsi="Times New Roman" w:cs="Times New Roman"/>
          <w:i/>
          <w:iCs/>
          <w:noProof/>
          <w:sz w:val="20"/>
          <w:szCs w:val="20"/>
        </w:rPr>
        <w:t>The use of Rauwolfa for the treatment of psy-choses by Nigerian Native doctors.</w:t>
      </w:r>
      <w:r w:rsidRPr="00A25D00">
        <w:rPr>
          <w:rFonts w:ascii="Times New Roman" w:hAnsi="Times New Roman" w:cs="Times New Roman"/>
          <w:noProof/>
          <w:sz w:val="20"/>
          <w:szCs w:val="20"/>
        </w:rPr>
        <w:t xml:space="preserve"> Am J. Psychiatry 117: 147-149.</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Shryock, H. e. (1975). </w:t>
      </w:r>
      <w:r w:rsidRPr="00A25D00">
        <w:rPr>
          <w:rFonts w:ascii="Times New Roman" w:hAnsi="Times New Roman" w:cs="Times New Roman"/>
          <w:i/>
          <w:iCs/>
          <w:noProof/>
          <w:sz w:val="20"/>
          <w:szCs w:val="20"/>
        </w:rPr>
        <w:t>The methods and materials of demography. .</w:t>
      </w:r>
      <w:r w:rsidRPr="00A25D00">
        <w:rPr>
          <w:rFonts w:ascii="Times New Roman" w:hAnsi="Times New Roman" w:cs="Times New Roman"/>
          <w:noProof/>
          <w:sz w:val="20"/>
          <w:szCs w:val="20"/>
        </w:rPr>
        <w:t xml:space="preserve"> United States Dept. of Commerce Bureau of Census.</w:t>
      </w:r>
    </w:p>
    <w:p w:rsidR="007354A5" w:rsidRPr="00A25D00" w:rsidRDefault="007354A5" w:rsidP="00A25D00">
      <w:pPr>
        <w:spacing w:line="240" w:lineRule="auto"/>
        <w:rPr>
          <w:rFonts w:ascii="Times New Roman" w:hAnsi="Times New Roman" w:cs="Times New Roman"/>
          <w:sz w:val="20"/>
          <w:szCs w:val="20"/>
        </w:rPr>
      </w:pPr>
      <w:r w:rsidRPr="00A25D00">
        <w:rPr>
          <w:rFonts w:ascii="Times New Roman" w:hAnsi="Times New Roman" w:cs="Times New Roman"/>
          <w:sz w:val="20"/>
          <w:szCs w:val="20"/>
        </w:rPr>
        <w:t xml:space="preserve">  Times- Almanac, (2008) Countries of the World -Nigeria  Chicago, Encyclopedia Britannica Time  Almanac</w:t>
      </w:r>
    </w:p>
    <w:p w:rsidR="007354A5" w:rsidRPr="00A25D00" w:rsidRDefault="00C401BD" w:rsidP="00A25D00">
      <w:pPr>
        <w:spacing w:line="240" w:lineRule="auto"/>
        <w:rPr>
          <w:rFonts w:ascii="Times New Roman" w:hAnsi="Times New Roman" w:cs="Times New Roman"/>
          <w:sz w:val="20"/>
          <w:szCs w:val="20"/>
        </w:rPr>
      </w:pPr>
      <w:r w:rsidRPr="00A25D00">
        <w:rPr>
          <w:rFonts w:ascii="Times New Roman" w:hAnsi="Times New Roman" w:cs="Times New Roman"/>
          <w:sz w:val="20"/>
          <w:szCs w:val="20"/>
        </w:rPr>
        <w:t xml:space="preserve">  </w:t>
      </w:r>
      <w:r w:rsidRPr="00A25D00">
        <w:rPr>
          <w:rFonts w:ascii="Times New Roman" w:hAnsi="Times New Roman" w:cs="Times New Roman"/>
          <w:sz w:val="20"/>
          <w:szCs w:val="20"/>
        </w:rPr>
        <w:tab/>
      </w:r>
      <w:r w:rsidR="007354A5" w:rsidRPr="00A25D00">
        <w:rPr>
          <w:rFonts w:ascii="Times New Roman" w:hAnsi="Times New Roman" w:cs="Times New Roman"/>
          <w:sz w:val="20"/>
          <w:szCs w:val="20"/>
        </w:rPr>
        <w:t>Pp438-439.</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t xml:space="preserve">Torrey, E. F. (1969). </w:t>
      </w:r>
      <w:r w:rsidRPr="00A25D00">
        <w:rPr>
          <w:rFonts w:ascii="Times New Roman" w:hAnsi="Times New Roman" w:cs="Times New Roman"/>
          <w:i/>
          <w:iCs/>
          <w:noProof/>
          <w:sz w:val="20"/>
          <w:szCs w:val="20"/>
        </w:rPr>
        <w:t>The case for the indigenous Therapist Arch Gen.</w:t>
      </w:r>
      <w:r w:rsidRPr="00A25D00">
        <w:rPr>
          <w:rFonts w:ascii="Times New Roman" w:hAnsi="Times New Roman" w:cs="Times New Roman"/>
          <w:noProof/>
          <w:sz w:val="20"/>
          <w:szCs w:val="20"/>
        </w:rPr>
        <w:t xml:space="preserve"> Psychiatry Vol. 20 pp. 365-373.</w:t>
      </w:r>
    </w:p>
    <w:p w:rsidR="008B34BA" w:rsidRPr="00A25D00" w:rsidRDefault="007830B5"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fldChar w:fldCharType="end"/>
      </w:r>
      <w:r w:rsidR="008B34BA" w:rsidRPr="00A25D00">
        <w:rPr>
          <w:rFonts w:ascii="Times New Roman" w:hAnsi="Times New Roman" w:cs="Times New Roman"/>
          <w:noProof/>
          <w:sz w:val="20"/>
          <w:szCs w:val="20"/>
        </w:rPr>
        <w:t xml:space="preserve"> Unites Nations. (1958). </w:t>
      </w:r>
      <w:r w:rsidR="008B34BA" w:rsidRPr="00A25D00">
        <w:rPr>
          <w:rFonts w:ascii="Times New Roman" w:hAnsi="Times New Roman" w:cs="Times New Roman"/>
          <w:i/>
          <w:iCs/>
          <w:noProof/>
          <w:sz w:val="20"/>
          <w:szCs w:val="20"/>
        </w:rPr>
        <w:t>Handbook of population census method. General aspect of population studies in method series No. 5.</w:t>
      </w:r>
      <w:r w:rsidR="008B34BA" w:rsidRPr="00A25D00">
        <w:rPr>
          <w:rFonts w:ascii="Times New Roman" w:hAnsi="Times New Roman" w:cs="Times New Roman"/>
          <w:noProof/>
          <w:sz w:val="20"/>
          <w:szCs w:val="20"/>
        </w:rPr>
        <w:t xml:space="preserve"> </w:t>
      </w:r>
    </w:p>
    <w:p w:rsidR="008B34BA" w:rsidRPr="00A25D00" w:rsidRDefault="008B34BA" w:rsidP="00A25D00">
      <w:pPr>
        <w:pStyle w:val="Bibliography"/>
        <w:tabs>
          <w:tab w:val="left" w:pos="90"/>
        </w:tabs>
        <w:spacing w:line="240" w:lineRule="auto"/>
        <w:ind w:left="720" w:hanging="630"/>
        <w:rPr>
          <w:rFonts w:ascii="Times New Roman" w:hAnsi="Times New Roman" w:cs="Times New Roman"/>
          <w:noProof/>
          <w:sz w:val="20"/>
          <w:szCs w:val="20"/>
        </w:rPr>
      </w:pPr>
      <w:r w:rsidRPr="00A25D00">
        <w:rPr>
          <w:rFonts w:ascii="Times New Roman" w:hAnsi="Times New Roman" w:cs="Times New Roman"/>
          <w:noProof/>
          <w:sz w:val="20"/>
          <w:szCs w:val="20"/>
        </w:rPr>
        <w:lastRenderedPageBreak/>
        <w:t xml:space="preserve">W.H.O Expert committee. </w:t>
      </w:r>
      <w:r w:rsidRPr="00A25D00">
        <w:rPr>
          <w:rFonts w:ascii="Times New Roman" w:hAnsi="Times New Roman" w:cs="Times New Roman"/>
          <w:i/>
          <w:iCs/>
          <w:noProof/>
          <w:sz w:val="20"/>
          <w:szCs w:val="20"/>
        </w:rPr>
        <w:t>The promotion and development of traditional medicine.</w:t>
      </w:r>
      <w:r w:rsidRPr="00A25D00">
        <w:rPr>
          <w:rFonts w:ascii="Times New Roman" w:hAnsi="Times New Roman" w:cs="Times New Roman"/>
          <w:noProof/>
          <w:sz w:val="20"/>
          <w:szCs w:val="20"/>
        </w:rPr>
        <w:t xml:space="preserve"> W.H.O Technical Report Series 7-39.</w:t>
      </w:r>
    </w:p>
    <w:p w:rsidR="008B34BA" w:rsidRPr="00A25D00" w:rsidRDefault="008B34BA" w:rsidP="00A25D00">
      <w:pPr>
        <w:pStyle w:val="Bibliography"/>
        <w:tabs>
          <w:tab w:val="left" w:pos="90"/>
        </w:tabs>
        <w:spacing w:line="240" w:lineRule="auto"/>
        <w:ind w:left="720" w:hanging="630"/>
        <w:jc w:val="center"/>
        <w:rPr>
          <w:rFonts w:ascii="Times New Roman" w:hAnsi="Times New Roman" w:cs="Times New Roman"/>
          <w:noProof/>
          <w:sz w:val="20"/>
          <w:szCs w:val="20"/>
        </w:rPr>
      </w:pPr>
      <w:r w:rsidRPr="00A25D00">
        <w:rPr>
          <w:rFonts w:ascii="Times New Roman" w:hAnsi="Times New Roman" w:cs="Times New Roman"/>
          <w:noProof/>
          <w:sz w:val="20"/>
          <w:szCs w:val="20"/>
        </w:rPr>
        <w:br w:type="column"/>
      </w:r>
      <w:r w:rsidRPr="00A25D00">
        <w:rPr>
          <w:rFonts w:ascii="Times New Roman" w:hAnsi="Times New Roman" w:cs="Times New Roman"/>
          <w:noProof/>
          <w:sz w:val="20"/>
          <w:szCs w:val="20"/>
        </w:rPr>
        <w:lastRenderedPageBreak/>
        <w:t>TABLE 1</w:t>
      </w:r>
    </w:p>
    <w:p w:rsidR="008B34BA" w:rsidRPr="00A25D00" w:rsidRDefault="008B34BA" w:rsidP="00A25D00">
      <w:pPr>
        <w:spacing w:line="240" w:lineRule="auto"/>
        <w:jc w:val="center"/>
        <w:rPr>
          <w:rFonts w:ascii="Times New Roman" w:hAnsi="Times New Roman" w:cs="Times New Roman"/>
          <w:sz w:val="20"/>
          <w:szCs w:val="20"/>
        </w:rPr>
      </w:pPr>
      <w:r w:rsidRPr="00A25D00">
        <w:rPr>
          <w:rFonts w:ascii="Times New Roman" w:hAnsi="Times New Roman" w:cs="Times New Roman"/>
          <w:sz w:val="20"/>
          <w:szCs w:val="20"/>
        </w:rPr>
        <w:t xml:space="preserve">ATTITUDE OF PHC RECIPIENTS (at </w:t>
      </w:r>
      <w:proofErr w:type="spellStart"/>
      <w:r w:rsidRPr="00A25D00">
        <w:rPr>
          <w:rFonts w:ascii="Times New Roman" w:hAnsi="Times New Roman" w:cs="Times New Roman"/>
          <w:sz w:val="20"/>
          <w:szCs w:val="20"/>
        </w:rPr>
        <w:t>Ojaoba</w:t>
      </w:r>
      <w:proofErr w:type="spellEnd"/>
      <w:r w:rsidRPr="00A25D00">
        <w:rPr>
          <w:rFonts w:ascii="Times New Roman" w:hAnsi="Times New Roman" w:cs="Times New Roman"/>
          <w:sz w:val="20"/>
          <w:szCs w:val="20"/>
        </w:rPr>
        <w:t>) TOWARD THE UTILIZATION OF TRADITIONAL HEALERS FOR SPECIFIC CLINICAL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562"/>
        <w:gridCol w:w="1588"/>
        <w:gridCol w:w="1710"/>
        <w:gridCol w:w="1710"/>
      </w:tblGrid>
      <w:tr w:rsidR="008B34BA" w:rsidRPr="00A25D00" w:rsidTr="008B34BA">
        <w:trPr>
          <w:trHeight w:val="1158"/>
        </w:trPr>
        <w:tc>
          <w:tcPr>
            <w:tcW w:w="226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medical services</w:t>
            </w:r>
          </w:p>
        </w:tc>
        <w:tc>
          <w:tcPr>
            <w:tcW w:w="1562"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never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58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may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Strongly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r>
      <w:tr w:rsidR="008B34BA" w:rsidRPr="00A25D00" w:rsidTr="008B34BA">
        <w:tc>
          <w:tcPr>
            <w:tcW w:w="2268" w:type="dxa"/>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N = 1000</w:t>
            </w:r>
          </w:p>
          <w:p w:rsidR="008B34BA" w:rsidRPr="00A25D00" w:rsidRDefault="008B34BA" w:rsidP="00A25D00">
            <w:pPr>
              <w:rPr>
                <w:rFonts w:ascii="Times New Roman" w:hAnsi="Times New Roman" w:cs="Times New Roman"/>
                <w:sz w:val="20"/>
                <w:szCs w:val="20"/>
              </w:rPr>
            </w:pPr>
          </w:p>
        </w:tc>
        <w:tc>
          <w:tcPr>
            <w:tcW w:w="156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58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Mental Illness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60.3</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4.7</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35.0</w:t>
            </w:r>
          </w:p>
        </w:tc>
      </w:tr>
      <w:tr w:rsidR="008B34BA" w:rsidRPr="00A25D00" w:rsidTr="008B34BA">
        <w:tc>
          <w:tcPr>
            <w:tcW w:w="2268" w:type="dxa"/>
          </w:tcPr>
          <w:p w:rsidR="008B34BA" w:rsidRPr="00A25D00" w:rsidRDefault="008B34BA" w:rsidP="00A25D00">
            <w:pPr>
              <w:ind w:right="-153"/>
              <w:rPr>
                <w:rFonts w:ascii="Times New Roman" w:hAnsi="Times New Roman" w:cs="Times New Roman"/>
                <w:sz w:val="20"/>
                <w:szCs w:val="20"/>
              </w:rPr>
            </w:pPr>
            <w:r w:rsidRPr="00A25D00">
              <w:rPr>
                <w:rFonts w:ascii="Times New Roman" w:hAnsi="Times New Roman" w:cs="Times New Roman"/>
                <w:sz w:val="20"/>
                <w:szCs w:val="20"/>
              </w:rPr>
              <w:t>Psychosomatic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50.8</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47</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Oracular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90.8</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8.0</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Orthopaedic</w:t>
            </w:r>
            <w:proofErr w:type="spellEnd"/>
            <w:r w:rsidRPr="00A25D00">
              <w:rPr>
                <w:rFonts w:ascii="Times New Roman" w:hAnsi="Times New Roman" w:cs="Times New Roman"/>
                <w:sz w:val="20"/>
                <w:szCs w:val="20"/>
              </w:rPr>
              <w:t xml:space="preserve">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60.4</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1.6</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2.0</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36</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Gynaecological</w:t>
            </w:r>
            <w:proofErr w:type="spellEnd"/>
            <w:r w:rsidRPr="00A25D00">
              <w:rPr>
                <w:rFonts w:ascii="Times New Roman" w:hAnsi="Times New Roman" w:cs="Times New Roman"/>
                <w:sz w:val="20"/>
                <w:szCs w:val="20"/>
              </w:rPr>
              <w:t xml:space="preserve"> Related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68</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20</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Gastroenteritis &amp; Related diseases</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70</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3.8</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25</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Immunization</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88</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5.8</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Family Planning</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92</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3.4</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4.6</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Dental Services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80.8</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10.5</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2.5</w:t>
            </w:r>
          </w:p>
        </w:tc>
      </w:tr>
      <w:tr w:rsidR="008B34BA" w:rsidRPr="00A25D00" w:rsidTr="008B34BA">
        <w:tc>
          <w:tcPr>
            <w:tcW w:w="2268" w:type="dxa"/>
            <w:tcBorders>
              <w:bottom w:val="dashSmallGap" w:sz="12" w:space="0" w:color="auto"/>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Eye Care Services</w:t>
            </w:r>
          </w:p>
        </w:tc>
        <w:tc>
          <w:tcPr>
            <w:tcW w:w="1562"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84.4</w:t>
            </w:r>
          </w:p>
          <w:p w:rsidR="008B34BA" w:rsidRPr="00A25D00" w:rsidRDefault="008B34BA" w:rsidP="00A25D00">
            <w:pPr>
              <w:jc w:val="center"/>
              <w:rPr>
                <w:rFonts w:ascii="Times New Roman" w:hAnsi="Times New Roman" w:cs="Times New Roman"/>
                <w:sz w:val="20"/>
                <w:szCs w:val="20"/>
              </w:rPr>
            </w:pPr>
          </w:p>
        </w:tc>
        <w:tc>
          <w:tcPr>
            <w:tcW w:w="1588"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4.4</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11.2</w:t>
            </w:r>
          </w:p>
        </w:tc>
      </w:tr>
    </w:tbl>
    <w:p w:rsidR="008B34BA" w:rsidRPr="00A25D00" w:rsidRDefault="008B34BA" w:rsidP="00A25D00">
      <w:pPr>
        <w:spacing w:line="240" w:lineRule="auto"/>
        <w:rPr>
          <w:rFonts w:ascii="Times New Roman" w:hAnsi="Times New Roman" w:cs="Times New Roman"/>
          <w:sz w:val="20"/>
          <w:szCs w:val="20"/>
        </w:rPr>
      </w:pPr>
    </w:p>
    <w:p w:rsidR="008B34BA" w:rsidRPr="00A25D00" w:rsidRDefault="008B34BA" w:rsidP="00A25D00">
      <w:pPr>
        <w:tabs>
          <w:tab w:val="center" w:pos="4680"/>
          <w:tab w:val="left" w:pos="5985"/>
        </w:tabs>
        <w:spacing w:line="240" w:lineRule="auto"/>
        <w:rPr>
          <w:rFonts w:ascii="Times New Roman" w:hAnsi="Times New Roman" w:cs="Times New Roman"/>
          <w:noProof/>
          <w:sz w:val="20"/>
          <w:szCs w:val="20"/>
        </w:rPr>
      </w:pPr>
      <w:r w:rsidRPr="00A25D00">
        <w:rPr>
          <w:rFonts w:ascii="Times New Roman" w:hAnsi="Times New Roman" w:cs="Times New Roman"/>
          <w:noProof/>
          <w:sz w:val="20"/>
          <w:szCs w:val="20"/>
        </w:rPr>
        <w:br w:type="column"/>
      </w:r>
      <w:r w:rsidRPr="00A25D00">
        <w:rPr>
          <w:rFonts w:ascii="Times New Roman" w:hAnsi="Times New Roman" w:cs="Times New Roman"/>
          <w:noProof/>
          <w:sz w:val="20"/>
          <w:szCs w:val="20"/>
        </w:rPr>
        <w:lastRenderedPageBreak/>
        <w:tab/>
        <w:t>TABLE 2</w:t>
      </w:r>
      <w:r w:rsidRPr="00A25D00">
        <w:rPr>
          <w:rFonts w:ascii="Times New Roman" w:hAnsi="Times New Roman" w:cs="Times New Roman"/>
          <w:noProof/>
          <w:sz w:val="20"/>
          <w:szCs w:val="20"/>
        </w:rPr>
        <w:tab/>
      </w:r>
    </w:p>
    <w:p w:rsidR="008B34BA" w:rsidRPr="00A25D00" w:rsidRDefault="008B34BA" w:rsidP="00A25D00">
      <w:pPr>
        <w:spacing w:line="240" w:lineRule="auto"/>
        <w:jc w:val="center"/>
        <w:rPr>
          <w:rFonts w:ascii="Times New Roman" w:hAnsi="Times New Roman" w:cs="Times New Roman"/>
          <w:sz w:val="20"/>
          <w:szCs w:val="20"/>
        </w:rPr>
      </w:pPr>
      <w:r w:rsidRPr="00A25D00">
        <w:rPr>
          <w:rFonts w:ascii="Times New Roman" w:hAnsi="Times New Roman" w:cs="Times New Roman"/>
          <w:sz w:val="20"/>
          <w:szCs w:val="20"/>
        </w:rPr>
        <w:t xml:space="preserve">ATTITUDE OF PHC RECIPIENTS (at </w:t>
      </w:r>
      <w:proofErr w:type="spellStart"/>
      <w:r w:rsidRPr="00A25D00">
        <w:rPr>
          <w:rFonts w:ascii="Times New Roman" w:hAnsi="Times New Roman" w:cs="Times New Roman"/>
          <w:sz w:val="20"/>
          <w:szCs w:val="20"/>
        </w:rPr>
        <w:t>Shao</w:t>
      </w:r>
      <w:proofErr w:type="spellEnd"/>
      <w:r w:rsidRPr="00A25D00">
        <w:rPr>
          <w:rFonts w:ascii="Times New Roman" w:hAnsi="Times New Roman" w:cs="Times New Roman"/>
          <w:sz w:val="20"/>
          <w:szCs w:val="20"/>
        </w:rPr>
        <w:t>) TOWARD THE UTILIZATION OF TRADITIONAL HEALERS FOR SPECIFIC CLINICAL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562"/>
        <w:gridCol w:w="1588"/>
        <w:gridCol w:w="1710"/>
        <w:gridCol w:w="1710"/>
      </w:tblGrid>
      <w:tr w:rsidR="008B34BA" w:rsidRPr="00A25D00" w:rsidTr="008B34BA">
        <w:trPr>
          <w:trHeight w:val="1158"/>
        </w:trPr>
        <w:tc>
          <w:tcPr>
            <w:tcW w:w="226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medical services</w:t>
            </w:r>
          </w:p>
        </w:tc>
        <w:tc>
          <w:tcPr>
            <w:tcW w:w="1562"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never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58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may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Strongly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r>
      <w:tr w:rsidR="008B34BA" w:rsidRPr="00A25D00" w:rsidTr="008B34BA">
        <w:tc>
          <w:tcPr>
            <w:tcW w:w="2268" w:type="dxa"/>
            <w:tcBorders>
              <w:top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N = 1000</w:t>
            </w:r>
          </w:p>
          <w:p w:rsidR="008B34BA" w:rsidRPr="00A25D00" w:rsidRDefault="008B34BA" w:rsidP="00A25D00">
            <w:pPr>
              <w:rPr>
                <w:rFonts w:ascii="Times New Roman" w:hAnsi="Times New Roman" w:cs="Times New Roman"/>
                <w:sz w:val="20"/>
                <w:szCs w:val="20"/>
              </w:rPr>
            </w:pPr>
          </w:p>
        </w:tc>
        <w:tc>
          <w:tcPr>
            <w:tcW w:w="156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58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Mental Illness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48.1</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50.7</w:t>
            </w:r>
          </w:p>
        </w:tc>
      </w:tr>
      <w:tr w:rsidR="008B34BA" w:rsidRPr="00A25D00" w:rsidTr="008B34BA">
        <w:tc>
          <w:tcPr>
            <w:tcW w:w="2268" w:type="dxa"/>
          </w:tcPr>
          <w:p w:rsidR="008B34BA" w:rsidRPr="00A25D00" w:rsidRDefault="008B34BA" w:rsidP="00A25D00">
            <w:pPr>
              <w:ind w:right="-153"/>
              <w:rPr>
                <w:rFonts w:ascii="Times New Roman" w:hAnsi="Times New Roman" w:cs="Times New Roman"/>
                <w:sz w:val="20"/>
                <w:szCs w:val="20"/>
              </w:rPr>
            </w:pPr>
            <w:r w:rsidRPr="00A25D00">
              <w:rPr>
                <w:rFonts w:ascii="Times New Roman" w:hAnsi="Times New Roman" w:cs="Times New Roman"/>
                <w:sz w:val="20"/>
                <w:szCs w:val="20"/>
              </w:rPr>
              <w:t>Psychosomatic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81.9</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18.0</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Oracular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82.1</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17.9</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Orthopaedic</w:t>
            </w:r>
            <w:proofErr w:type="spellEnd"/>
            <w:r w:rsidRPr="00A25D00">
              <w:rPr>
                <w:rFonts w:ascii="Times New Roman" w:hAnsi="Times New Roman" w:cs="Times New Roman"/>
                <w:sz w:val="20"/>
                <w:szCs w:val="20"/>
              </w:rPr>
              <w:t xml:space="preserve">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45.0</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.43</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2.9</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51.7</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Gynaecological</w:t>
            </w:r>
            <w:proofErr w:type="spellEnd"/>
            <w:r w:rsidRPr="00A25D00">
              <w:rPr>
                <w:rFonts w:ascii="Times New Roman" w:hAnsi="Times New Roman" w:cs="Times New Roman"/>
                <w:sz w:val="20"/>
                <w:szCs w:val="20"/>
              </w:rPr>
              <w:t xml:space="preserve"> Related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81.9</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18.0</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Gastroenteritis &amp; Related diseases</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72.3</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0.4</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27.6</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Immunization</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99.6</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0.3</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Family Planning</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82.8</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16.7</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0.3</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Dental Services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99.4</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0.4</w:t>
            </w:r>
          </w:p>
        </w:tc>
      </w:tr>
      <w:tr w:rsidR="008B34BA" w:rsidRPr="00A25D00" w:rsidTr="008B34BA">
        <w:tc>
          <w:tcPr>
            <w:tcW w:w="2268" w:type="dxa"/>
            <w:tcBorders>
              <w:bottom w:val="dashSmallGap" w:sz="12" w:space="0" w:color="auto"/>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Eye Care Services</w:t>
            </w:r>
          </w:p>
        </w:tc>
        <w:tc>
          <w:tcPr>
            <w:tcW w:w="1562"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99.4</w:t>
            </w:r>
          </w:p>
          <w:p w:rsidR="008B34BA" w:rsidRPr="00A25D00" w:rsidRDefault="008B34BA" w:rsidP="00A25D00">
            <w:pPr>
              <w:jc w:val="center"/>
              <w:rPr>
                <w:rFonts w:ascii="Times New Roman" w:hAnsi="Times New Roman" w:cs="Times New Roman"/>
                <w:sz w:val="20"/>
                <w:szCs w:val="20"/>
              </w:rPr>
            </w:pPr>
          </w:p>
        </w:tc>
        <w:tc>
          <w:tcPr>
            <w:tcW w:w="1588"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0.5</w:t>
            </w:r>
          </w:p>
        </w:tc>
      </w:tr>
    </w:tbl>
    <w:p w:rsidR="008B34BA" w:rsidRPr="00A25D00" w:rsidRDefault="008B34BA" w:rsidP="00A25D00">
      <w:pPr>
        <w:spacing w:line="240" w:lineRule="auto"/>
        <w:rPr>
          <w:rFonts w:ascii="Times New Roman" w:hAnsi="Times New Roman" w:cs="Times New Roman"/>
          <w:sz w:val="20"/>
          <w:szCs w:val="20"/>
        </w:rPr>
      </w:pPr>
    </w:p>
    <w:p w:rsidR="008B34BA" w:rsidRPr="00A25D00" w:rsidRDefault="008B34BA" w:rsidP="00A25D00">
      <w:pPr>
        <w:spacing w:line="240" w:lineRule="auto"/>
        <w:rPr>
          <w:rFonts w:ascii="Times New Roman" w:hAnsi="Times New Roman" w:cs="Times New Roman"/>
          <w:noProof/>
          <w:sz w:val="20"/>
          <w:szCs w:val="20"/>
        </w:rPr>
      </w:pPr>
    </w:p>
    <w:p w:rsidR="008B34BA" w:rsidRPr="00A25D00" w:rsidRDefault="008B34BA" w:rsidP="00A25D00">
      <w:pPr>
        <w:spacing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ab/>
      </w:r>
    </w:p>
    <w:p w:rsidR="008B34BA" w:rsidRPr="00A25D00" w:rsidRDefault="008B34BA" w:rsidP="00A25D00">
      <w:pPr>
        <w:spacing w:after="0" w:line="240" w:lineRule="auto"/>
        <w:jc w:val="center"/>
        <w:rPr>
          <w:rFonts w:ascii="Times New Roman" w:hAnsi="Times New Roman" w:cs="Times New Roman"/>
          <w:sz w:val="20"/>
          <w:szCs w:val="20"/>
        </w:rPr>
      </w:pPr>
    </w:p>
    <w:p w:rsidR="008B34BA" w:rsidRPr="00A25D00" w:rsidRDefault="00A95858" w:rsidP="00A25D00">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br w:type="column"/>
      </w:r>
      <w:r w:rsidR="0083586E">
        <w:rPr>
          <w:rFonts w:ascii="Times New Roman" w:hAnsi="Times New Roman" w:cs="Times New Roman"/>
          <w:noProof/>
          <w:sz w:val="20"/>
          <w:szCs w:val="20"/>
        </w:rPr>
        <w:lastRenderedPageBreak/>
        <w:t>TABLE 3</w:t>
      </w: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ATTITUDE OF PHC RECIPIENTS (at Remote Villages) TOWARD THE UTILIZATION OF TRADITIONAL HEALERS FOR SPECIFIC CLINICAL PROBLEMS</w:t>
      </w:r>
    </w:p>
    <w:p w:rsidR="008B34BA" w:rsidRPr="00A25D00" w:rsidRDefault="008B34BA" w:rsidP="00A25D00">
      <w:pPr>
        <w:spacing w:after="0" w:line="240" w:lineRule="auto"/>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562"/>
        <w:gridCol w:w="1588"/>
        <w:gridCol w:w="1710"/>
        <w:gridCol w:w="1710"/>
      </w:tblGrid>
      <w:tr w:rsidR="008B34BA" w:rsidRPr="00A25D00" w:rsidTr="008B34BA">
        <w:trPr>
          <w:trHeight w:val="1158"/>
        </w:trPr>
        <w:tc>
          <w:tcPr>
            <w:tcW w:w="226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medical services</w:t>
            </w:r>
          </w:p>
        </w:tc>
        <w:tc>
          <w:tcPr>
            <w:tcW w:w="1562"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never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588"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may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Healers</w:t>
            </w:r>
          </w:p>
        </w:tc>
        <w:tc>
          <w:tcPr>
            <w:tcW w:w="171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 will Strongly Patronize </w:t>
            </w:r>
            <w:proofErr w:type="spellStart"/>
            <w:r w:rsidRPr="00A25D00">
              <w:rPr>
                <w:rFonts w:ascii="Times New Roman" w:hAnsi="Times New Roman" w:cs="Times New Roman"/>
                <w:sz w:val="20"/>
                <w:szCs w:val="20"/>
              </w:rPr>
              <w:t>Trad</w:t>
            </w:r>
            <w:proofErr w:type="spellEnd"/>
            <w:r w:rsidRPr="00A25D00">
              <w:rPr>
                <w:rFonts w:ascii="Times New Roman" w:hAnsi="Times New Roman" w:cs="Times New Roman"/>
                <w:sz w:val="20"/>
                <w:szCs w:val="20"/>
              </w:rPr>
              <w:t xml:space="preserve">. Healers </w:t>
            </w:r>
          </w:p>
        </w:tc>
      </w:tr>
      <w:tr w:rsidR="008B34BA" w:rsidRPr="00A25D00" w:rsidTr="008B34BA">
        <w:tc>
          <w:tcPr>
            <w:tcW w:w="226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N = 1000</w:t>
            </w:r>
          </w:p>
          <w:p w:rsidR="008B34BA" w:rsidRPr="00A25D00" w:rsidRDefault="008B34BA" w:rsidP="00A25D00">
            <w:pPr>
              <w:jc w:val="center"/>
              <w:rPr>
                <w:rFonts w:ascii="Times New Roman" w:hAnsi="Times New Roman" w:cs="Times New Roman"/>
                <w:sz w:val="20"/>
                <w:szCs w:val="20"/>
              </w:rPr>
            </w:pPr>
          </w:p>
        </w:tc>
        <w:tc>
          <w:tcPr>
            <w:tcW w:w="156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58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c>
          <w:tcPr>
            <w:tcW w:w="17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Mental Illness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24.2</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8.5</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7.3</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60.0</w:t>
            </w:r>
          </w:p>
        </w:tc>
      </w:tr>
      <w:tr w:rsidR="008B34BA" w:rsidRPr="00A25D00" w:rsidTr="008B34BA">
        <w:tc>
          <w:tcPr>
            <w:tcW w:w="2268" w:type="dxa"/>
          </w:tcPr>
          <w:p w:rsidR="008B34BA" w:rsidRPr="00A25D00" w:rsidRDefault="008B34BA" w:rsidP="00A25D00">
            <w:pPr>
              <w:ind w:right="-153"/>
              <w:rPr>
                <w:rFonts w:ascii="Times New Roman" w:hAnsi="Times New Roman" w:cs="Times New Roman"/>
                <w:sz w:val="20"/>
                <w:szCs w:val="20"/>
              </w:rPr>
            </w:pPr>
            <w:r w:rsidRPr="00A25D00">
              <w:rPr>
                <w:rFonts w:ascii="Times New Roman" w:hAnsi="Times New Roman" w:cs="Times New Roman"/>
                <w:sz w:val="20"/>
                <w:szCs w:val="20"/>
              </w:rPr>
              <w:t>Psychosomatic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40.7</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6.10</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47.1</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Oracular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66.8</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3.7</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6.6</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22.9</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Orthopaedic</w:t>
            </w:r>
            <w:proofErr w:type="spellEnd"/>
            <w:r w:rsidRPr="00A25D00">
              <w:rPr>
                <w:rFonts w:ascii="Times New Roman" w:hAnsi="Times New Roman" w:cs="Times New Roman"/>
                <w:sz w:val="20"/>
                <w:szCs w:val="20"/>
              </w:rPr>
              <w:t xml:space="preserve"> Consultation</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31.9</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4.4</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8.8</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54.9</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proofErr w:type="spellStart"/>
            <w:r w:rsidRPr="00A25D00">
              <w:rPr>
                <w:rFonts w:ascii="Times New Roman" w:hAnsi="Times New Roman" w:cs="Times New Roman"/>
                <w:sz w:val="20"/>
                <w:szCs w:val="20"/>
              </w:rPr>
              <w:t>Gynaecological</w:t>
            </w:r>
            <w:proofErr w:type="spellEnd"/>
            <w:r w:rsidRPr="00A25D00">
              <w:rPr>
                <w:rFonts w:ascii="Times New Roman" w:hAnsi="Times New Roman" w:cs="Times New Roman"/>
                <w:sz w:val="20"/>
                <w:szCs w:val="20"/>
              </w:rPr>
              <w:t xml:space="preserve"> Related Disease</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45.6</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2.7</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45.6</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Gastroenteritis &amp; Related diseases</w:t>
            </w:r>
          </w:p>
          <w:p w:rsidR="008B34BA" w:rsidRPr="00A25D00" w:rsidRDefault="008B34BA" w:rsidP="00A25D00">
            <w:pPr>
              <w:rPr>
                <w:rFonts w:ascii="Times New Roman" w:hAnsi="Times New Roman" w:cs="Times New Roman"/>
                <w:sz w:val="20"/>
                <w:szCs w:val="20"/>
              </w:rPr>
            </w:pP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71.2</w:t>
            </w: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5.1</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6.6</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17.1</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Immunization</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48.8</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4.6</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5.4</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41.2</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Family Planning</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78.0</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3.9</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4.9</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13.2</w:t>
            </w:r>
          </w:p>
        </w:tc>
      </w:tr>
      <w:tr w:rsidR="008B34BA" w:rsidRPr="00A25D00" w:rsidTr="008B34BA">
        <w:tc>
          <w:tcPr>
            <w:tcW w:w="2268"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Dental Services</w:t>
            </w:r>
          </w:p>
        </w:tc>
        <w:tc>
          <w:tcPr>
            <w:tcW w:w="156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81.3</w:t>
            </w:r>
          </w:p>
          <w:p w:rsidR="008B34BA" w:rsidRPr="00A25D00" w:rsidRDefault="008B34BA" w:rsidP="00A25D00">
            <w:pPr>
              <w:jc w:val="center"/>
              <w:rPr>
                <w:rFonts w:ascii="Times New Roman" w:hAnsi="Times New Roman" w:cs="Times New Roman"/>
                <w:sz w:val="20"/>
                <w:szCs w:val="20"/>
              </w:rPr>
            </w:pPr>
          </w:p>
        </w:tc>
        <w:tc>
          <w:tcPr>
            <w:tcW w:w="1588"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3.2</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5.0</w:t>
            </w:r>
          </w:p>
        </w:tc>
        <w:tc>
          <w:tcPr>
            <w:tcW w:w="1710"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10.5</w:t>
            </w:r>
          </w:p>
        </w:tc>
      </w:tr>
      <w:tr w:rsidR="008B34BA" w:rsidRPr="00A25D00" w:rsidTr="008B34BA">
        <w:tc>
          <w:tcPr>
            <w:tcW w:w="2268" w:type="dxa"/>
            <w:tcBorders>
              <w:bottom w:val="dashSmallGap" w:sz="12" w:space="0" w:color="auto"/>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Eye Care Services</w:t>
            </w:r>
          </w:p>
        </w:tc>
        <w:tc>
          <w:tcPr>
            <w:tcW w:w="1562"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78.8</w:t>
            </w:r>
          </w:p>
          <w:p w:rsidR="008B34BA" w:rsidRPr="00A25D00" w:rsidRDefault="008B34BA" w:rsidP="00A25D00">
            <w:pPr>
              <w:jc w:val="center"/>
              <w:rPr>
                <w:rFonts w:ascii="Times New Roman" w:hAnsi="Times New Roman" w:cs="Times New Roman"/>
                <w:sz w:val="20"/>
                <w:szCs w:val="20"/>
              </w:rPr>
            </w:pPr>
          </w:p>
        </w:tc>
        <w:tc>
          <w:tcPr>
            <w:tcW w:w="1588"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6.1</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4.2</w:t>
            </w:r>
          </w:p>
        </w:tc>
        <w:tc>
          <w:tcPr>
            <w:tcW w:w="1710" w:type="dxa"/>
            <w:tcBorders>
              <w:bottom w:val="dashSmallGap" w:sz="12" w:space="0" w:color="auto"/>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10.9</w:t>
            </w:r>
          </w:p>
        </w:tc>
      </w:tr>
    </w:tbl>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br w:type="column"/>
      </w:r>
      <w:r w:rsidRPr="00A25D00">
        <w:rPr>
          <w:rFonts w:ascii="Times New Roman" w:hAnsi="Times New Roman" w:cs="Times New Roman"/>
          <w:sz w:val="20"/>
          <w:szCs w:val="20"/>
        </w:rPr>
        <w:lastRenderedPageBreak/>
        <w:t>TABLE 4</w:t>
      </w: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ITEM POOL FOR TRADITIONAL MEDICINE ATTITUDE SCALE</w:t>
      </w:r>
    </w:p>
    <w:p w:rsidR="008B34BA" w:rsidRPr="00A25D00" w:rsidRDefault="008B34BA" w:rsidP="00A25D00">
      <w:pPr>
        <w:spacing w:after="0" w:line="240" w:lineRule="auto"/>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000000" w:themeColor="text1"/>
          <w:insideV w:val="none" w:sz="0" w:space="0" w:color="auto"/>
        </w:tblBorders>
        <w:tblLook w:val="04A0"/>
      </w:tblPr>
      <w:tblGrid>
        <w:gridCol w:w="1818"/>
        <w:gridCol w:w="5130"/>
        <w:gridCol w:w="1350"/>
        <w:gridCol w:w="1278"/>
      </w:tblGrid>
      <w:tr w:rsidR="008B34BA" w:rsidRPr="00A25D00" w:rsidTr="008B34BA">
        <w:tc>
          <w:tcPr>
            <w:tcW w:w="1818"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Traditional Variables</w:t>
            </w:r>
          </w:p>
          <w:p w:rsidR="008B34BA" w:rsidRPr="00A25D00" w:rsidRDefault="008B34BA" w:rsidP="00A25D00">
            <w:pPr>
              <w:jc w:val="center"/>
              <w:rPr>
                <w:rFonts w:ascii="Times New Roman" w:hAnsi="Times New Roman" w:cs="Times New Roman"/>
                <w:sz w:val="20"/>
                <w:szCs w:val="20"/>
              </w:rPr>
            </w:pPr>
          </w:p>
        </w:tc>
        <w:tc>
          <w:tcPr>
            <w:tcW w:w="513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Statement</w:t>
            </w:r>
          </w:p>
        </w:tc>
        <w:tc>
          <w:tcPr>
            <w:tcW w:w="135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Means</w:t>
            </w:r>
          </w:p>
        </w:tc>
        <w:tc>
          <w:tcPr>
            <w:tcW w:w="1278"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Standard Deviation</w:t>
            </w:r>
          </w:p>
        </w:tc>
      </w:tr>
      <w:tr w:rsidR="008B34BA" w:rsidRPr="00A25D00" w:rsidTr="008B34BA">
        <w:tc>
          <w:tcPr>
            <w:tcW w:w="181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w:t>
            </w:r>
          </w:p>
        </w:tc>
        <w:tc>
          <w:tcPr>
            <w:tcW w:w="5130" w:type="dxa"/>
            <w:tcBorders>
              <w:top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Federal government should build hospitals to accommodate traditional medicine practitioner at local, state and federal level</w:t>
            </w:r>
          </w:p>
          <w:p w:rsidR="008B34BA" w:rsidRPr="00A25D00" w:rsidRDefault="008B34BA" w:rsidP="00A25D00">
            <w:pPr>
              <w:rPr>
                <w:rFonts w:ascii="Times New Roman" w:hAnsi="Times New Roman" w:cs="Times New Roman"/>
                <w:sz w:val="20"/>
                <w:szCs w:val="20"/>
              </w:rPr>
            </w:pPr>
          </w:p>
        </w:tc>
        <w:tc>
          <w:tcPr>
            <w:tcW w:w="135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4.14</w:t>
            </w:r>
          </w:p>
        </w:tc>
        <w:tc>
          <w:tcPr>
            <w:tcW w:w="1278"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1.16</w:t>
            </w:r>
          </w:p>
        </w:tc>
      </w:tr>
      <w:tr w:rsidR="008B34BA" w:rsidRPr="00A25D00" w:rsidTr="008B34BA">
        <w:tc>
          <w:tcPr>
            <w:tcW w:w="181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w:t>
            </w:r>
          </w:p>
        </w:tc>
        <w:tc>
          <w:tcPr>
            <w:tcW w:w="5130"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The indigenous Nigerian people living in rural parts of the country prefer traditional medicine to western-type medical practices</w:t>
            </w:r>
          </w:p>
          <w:p w:rsidR="008B34BA" w:rsidRPr="00A25D00" w:rsidRDefault="008B34BA" w:rsidP="00A25D00">
            <w:pPr>
              <w:rPr>
                <w:rFonts w:ascii="Times New Roman" w:hAnsi="Times New Roman" w:cs="Times New Roman"/>
                <w:sz w:val="20"/>
                <w:szCs w:val="20"/>
              </w:rPr>
            </w:pPr>
          </w:p>
        </w:tc>
        <w:tc>
          <w:tcPr>
            <w:tcW w:w="1350"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3.58</w:t>
            </w:r>
          </w:p>
        </w:tc>
        <w:tc>
          <w:tcPr>
            <w:tcW w:w="127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1.16</w:t>
            </w:r>
          </w:p>
        </w:tc>
      </w:tr>
      <w:tr w:rsidR="008B34BA" w:rsidRPr="00A25D00" w:rsidTr="008B34BA">
        <w:tc>
          <w:tcPr>
            <w:tcW w:w="181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w:t>
            </w:r>
          </w:p>
        </w:tc>
        <w:tc>
          <w:tcPr>
            <w:tcW w:w="5130"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medical practices are effective (produce results) in the treatment of mental illness</w:t>
            </w:r>
          </w:p>
          <w:p w:rsidR="008B34BA" w:rsidRPr="00A25D00" w:rsidRDefault="008B34BA" w:rsidP="00A25D00">
            <w:pPr>
              <w:rPr>
                <w:rFonts w:ascii="Times New Roman" w:hAnsi="Times New Roman" w:cs="Times New Roman"/>
                <w:sz w:val="20"/>
                <w:szCs w:val="20"/>
              </w:rPr>
            </w:pPr>
          </w:p>
        </w:tc>
        <w:tc>
          <w:tcPr>
            <w:tcW w:w="1350"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3.85</w:t>
            </w:r>
          </w:p>
        </w:tc>
        <w:tc>
          <w:tcPr>
            <w:tcW w:w="127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1.05</w:t>
            </w:r>
          </w:p>
        </w:tc>
      </w:tr>
      <w:tr w:rsidR="008B34BA" w:rsidRPr="00A25D00" w:rsidTr="008B34BA">
        <w:tc>
          <w:tcPr>
            <w:tcW w:w="181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w:t>
            </w:r>
          </w:p>
        </w:tc>
        <w:tc>
          <w:tcPr>
            <w:tcW w:w="5130"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Traditional medical practices are effective (produce results) in the treatment of </w:t>
            </w:r>
            <w:r w:rsidR="00AF0972" w:rsidRPr="00A25D00">
              <w:rPr>
                <w:rFonts w:ascii="Times New Roman" w:hAnsi="Times New Roman" w:cs="Times New Roman"/>
                <w:sz w:val="20"/>
                <w:szCs w:val="20"/>
              </w:rPr>
              <w:t>orthopedic</w:t>
            </w:r>
            <w:r w:rsidRPr="00A25D00">
              <w:rPr>
                <w:rFonts w:ascii="Times New Roman" w:hAnsi="Times New Roman" w:cs="Times New Roman"/>
                <w:sz w:val="20"/>
                <w:szCs w:val="20"/>
              </w:rPr>
              <w:t xml:space="preserve"> (muscular skeletal) class than western-type services.</w:t>
            </w:r>
          </w:p>
          <w:p w:rsidR="008B34BA" w:rsidRPr="00A25D00" w:rsidRDefault="008B34BA" w:rsidP="00A25D00">
            <w:pPr>
              <w:rPr>
                <w:rFonts w:ascii="Times New Roman" w:hAnsi="Times New Roman" w:cs="Times New Roman"/>
                <w:sz w:val="20"/>
                <w:szCs w:val="20"/>
              </w:rPr>
            </w:pPr>
          </w:p>
        </w:tc>
        <w:tc>
          <w:tcPr>
            <w:tcW w:w="1350"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3.55</w:t>
            </w:r>
          </w:p>
        </w:tc>
        <w:tc>
          <w:tcPr>
            <w:tcW w:w="127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1.29</w:t>
            </w:r>
          </w:p>
        </w:tc>
      </w:tr>
      <w:tr w:rsidR="008B34BA" w:rsidRPr="00A25D00" w:rsidTr="008B34BA">
        <w:tc>
          <w:tcPr>
            <w:tcW w:w="181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w:t>
            </w:r>
          </w:p>
        </w:tc>
        <w:tc>
          <w:tcPr>
            <w:tcW w:w="5130"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If you have used the services of traditional medical practitioners before, you were satisfied. </w:t>
            </w:r>
          </w:p>
          <w:p w:rsidR="008B34BA" w:rsidRPr="00A25D00" w:rsidRDefault="008B34BA" w:rsidP="00A25D00">
            <w:pPr>
              <w:rPr>
                <w:rFonts w:ascii="Times New Roman" w:hAnsi="Times New Roman" w:cs="Times New Roman"/>
                <w:sz w:val="20"/>
                <w:szCs w:val="20"/>
              </w:rPr>
            </w:pPr>
          </w:p>
        </w:tc>
        <w:tc>
          <w:tcPr>
            <w:tcW w:w="1350"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4.04</w:t>
            </w:r>
          </w:p>
        </w:tc>
        <w:tc>
          <w:tcPr>
            <w:tcW w:w="127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0.90</w:t>
            </w:r>
          </w:p>
        </w:tc>
      </w:tr>
      <w:tr w:rsidR="008B34BA" w:rsidRPr="00A25D00" w:rsidTr="008B34BA">
        <w:tc>
          <w:tcPr>
            <w:tcW w:w="181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w:t>
            </w:r>
          </w:p>
        </w:tc>
        <w:tc>
          <w:tcPr>
            <w:tcW w:w="5130"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In implementing the PHC the services of traditional healers are needed to identify our local plants which have healing properties.</w:t>
            </w:r>
          </w:p>
          <w:p w:rsidR="008B34BA" w:rsidRPr="00A25D00" w:rsidRDefault="008B34BA" w:rsidP="00A25D00">
            <w:pPr>
              <w:rPr>
                <w:rFonts w:ascii="Times New Roman" w:hAnsi="Times New Roman" w:cs="Times New Roman"/>
                <w:sz w:val="20"/>
                <w:szCs w:val="20"/>
              </w:rPr>
            </w:pPr>
          </w:p>
        </w:tc>
        <w:tc>
          <w:tcPr>
            <w:tcW w:w="1350"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4.43</w:t>
            </w:r>
          </w:p>
        </w:tc>
        <w:tc>
          <w:tcPr>
            <w:tcW w:w="1278" w:type="dxa"/>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0.69</w:t>
            </w:r>
          </w:p>
        </w:tc>
      </w:tr>
      <w:tr w:rsidR="008B34BA" w:rsidRPr="00A25D00" w:rsidTr="008B34BA">
        <w:tc>
          <w:tcPr>
            <w:tcW w:w="1818"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w:t>
            </w:r>
          </w:p>
        </w:tc>
        <w:tc>
          <w:tcPr>
            <w:tcW w:w="5130" w:type="dxa"/>
            <w:tcBorders>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What do you think of the integration of western-type medicine services into traditional medical practice in Nigeria?</w:t>
            </w:r>
          </w:p>
          <w:p w:rsidR="008B34BA" w:rsidRPr="00A25D00" w:rsidRDefault="008B34BA" w:rsidP="00A25D00">
            <w:pPr>
              <w:rPr>
                <w:rFonts w:ascii="Times New Roman" w:hAnsi="Times New Roman" w:cs="Times New Roman"/>
                <w:sz w:val="20"/>
                <w:szCs w:val="20"/>
              </w:rPr>
            </w:pPr>
          </w:p>
        </w:tc>
        <w:tc>
          <w:tcPr>
            <w:tcW w:w="1350"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4.22</w:t>
            </w:r>
          </w:p>
        </w:tc>
        <w:tc>
          <w:tcPr>
            <w:tcW w:w="1278"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w:t>
            </w:r>
          </w:p>
        </w:tc>
      </w:tr>
      <w:tr w:rsidR="008B34BA" w:rsidRPr="00A25D00" w:rsidTr="008B34BA">
        <w:tc>
          <w:tcPr>
            <w:tcW w:w="1818"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w:t>
            </w:r>
          </w:p>
        </w:tc>
        <w:tc>
          <w:tcPr>
            <w:tcW w:w="513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Aspect of traditional medical practices which include magical thinking will make it very difficult for western-trained physician to cooperate with traditional services.</w:t>
            </w:r>
          </w:p>
        </w:tc>
        <w:tc>
          <w:tcPr>
            <w:tcW w:w="135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3.600</w:t>
            </w:r>
          </w:p>
        </w:tc>
        <w:tc>
          <w:tcPr>
            <w:tcW w:w="1278"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1.1</w:t>
            </w:r>
          </w:p>
        </w:tc>
      </w:tr>
    </w:tbl>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br w:type="column"/>
      </w:r>
      <w:r w:rsidRPr="00A25D00">
        <w:rPr>
          <w:rFonts w:ascii="Times New Roman" w:hAnsi="Times New Roman" w:cs="Times New Roman"/>
          <w:sz w:val="20"/>
          <w:szCs w:val="20"/>
        </w:rPr>
        <w:lastRenderedPageBreak/>
        <w:t>TABLE 5</w:t>
      </w:r>
    </w:p>
    <w:p w:rsidR="008B34BA" w:rsidRPr="00A25D00" w:rsidRDefault="008B34BA" w:rsidP="00A25D00">
      <w:pPr>
        <w:spacing w:after="0" w:line="240" w:lineRule="auto"/>
        <w:jc w:val="center"/>
        <w:rPr>
          <w:rFonts w:ascii="Times New Roman" w:hAnsi="Times New Roman" w:cs="Times New Roman"/>
          <w:sz w:val="20"/>
          <w:szCs w:val="20"/>
        </w:rPr>
      </w:pPr>
    </w:p>
    <w:p w:rsidR="008B34BA" w:rsidRPr="00A25D00" w:rsidRDefault="008B34BA" w:rsidP="00A25D00">
      <w:pPr>
        <w:spacing w:after="0" w:line="240" w:lineRule="auto"/>
        <w:rPr>
          <w:rFonts w:ascii="Times New Roman" w:hAnsi="Times New Roman" w:cs="Times New Roman"/>
          <w:sz w:val="20"/>
          <w:szCs w:val="20"/>
        </w:rPr>
      </w:pPr>
      <w:r w:rsidRPr="00A25D00">
        <w:rPr>
          <w:rFonts w:ascii="Times New Roman" w:hAnsi="Times New Roman" w:cs="Times New Roman"/>
          <w:sz w:val="20"/>
          <w:szCs w:val="20"/>
        </w:rPr>
        <w:t>Chi-squared comparison of medical and nonmedical students’ attitude toward traditional medicine</w:t>
      </w:r>
    </w:p>
    <w:p w:rsidR="008B34BA" w:rsidRPr="00A25D00" w:rsidRDefault="008B34BA" w:rsidP="00A25D00">
      <w:pPr>
        <w:spacing w:after="0" w:line="240" w:lineRule="auto"/>
        <w:rPr>
          <w:rFonts w:ascii="Times New Roman" w:hAnsi="Times New Roman" w:cs="Times New Roman"/>
          <w:sz w:val="20"/>
          <w:szCs w:val="20"/>
        </w:rPr>
      </w:pPr>
    </w:p>
    <w:tbl>
      <w:tblPr>
        <w:tblStyle w:val="TableGrid"/>
        <w:tblW w:w="10514"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0"/>
        <w:gridCol w:w="810"/>
        <w:gridCol w:w="741"/>
        <w:gridCol w:w="844"/>
        <w:gridCol w:w="236"/>
        <w:gridCol w:w="1299"/>
        <w:gridCol w:w="844"/>
        <w:gridCol w:w="844"/>
        <w:gridCol w:w="1042"/>
        <w:gridCol w:w="884"/>
      </w:tblGrid>
      <w:tr w:rsidR="008B34BA" w:rsidRPr="00A25D00" w:rsidTr="008B34BA">
        <w:trPr>
          <w:trHeight w:val="510"/>
        </w:trPr>
        <w:tc>
          <w:tcPr>
            <w:tcW w:w="2970" w:type="dxa"/>
            <w:vMerge w:val="restart"/>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p>
        </w:tc>
        <w:tc>
          <w:tcPr>
            <w:tcW w:w="2395" w:type="dxa"/>
            <w:gridSpan w:val="3"/>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Medical </w:t>
            </w: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students </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rPr>
                <w:rFonts w:ascii="Times New Roman" w:hAnsi="Times New Roman" w:cs="Times New Roman"/>
                <w:sz w:val="20"/>
                <w:szCs w:val="20"/>
              </w:rPr>
            </w:pPr>
          </w:p>
        </w:tc>
        <w:tc>
          <w:tcPr>
            <w:tcW w:w="2143" w:type="dxa"/>
            <w:gridSpan w:val="2"/>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ind w:left="321"/>
              <w:rPr>
                <w:rFonts w:ascii="Times New Roman" w:hAnsi="Times New Roman" w:cs="Times New Roman"/>
                <w:sz w:val="20"/>
                <w:szCs w:val="20"/>
              </w:rPr>
            </w:pPr>
            <w:r w:rsidRPr="00A25D00">
              <w:rPr>
                <w:rFonts w:ascii="Times New Roman" w:hAnsi="Times New Roman" w:cs="Times New Roman"/>
                <w:sz w:val="20"/>
                <w:szCs w:val="20"/>
              </w:rPr>
              <w:t>Nonmedical   students</w:t>
            </w:r>
          </w:p>
        </w:tc>
        <w:tc>
          <w:tcPr>
            <w:tcW w:w="844" w:type="dxa"/>
            <w:vMerge w:val="restart"/>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tc>
        <w:tc>
          <w:tcPr>
            <w:tcW w:w="1042" w:type="dxa"/>
            <w:vMerge w:val="restart"/>
            <w:tcBorders>
              <w:top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Chi-square</w:t>
            </w: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with</w:t>
            </w:r>
          </w:p>
        </w:tc>
        <w:tc>
          <w:tcPr>
            <w:tcW w:w="884" w:type="dxa"/>
            <w:vMerge w:val="restart"/>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tc>
      </w:tr>
      <w:tr w:rsidR="008B34BA" w:rsidRPr="00A25D00" w:rsidTr="008B34BA">
        <w:trPr>
          <w:trHeight w:val="288"/>
        </w:trPr>
        <w:tc>
          <w:tcPr>
            <w:tcW w:w="2970" w:type="dxa"/>
            <w:vMerge/>
          </w:tcPr>
          <w:p w:rsidR="008B34BA" w:rsidRPr="00A25D00" w:rsidRDefault="008B34BA" w:rsidP="00A25D00">
            <w:pPr>
              <w:rPr>
                <w:rFonts w:ascii="Times New Roman" w:hAnsi="Times New Roman" w:cs="Times New Roman"/>
                <w:sz w:val="20"/>
                <w:szCs w:val="20"/>
              </w:rPr>
            </w:pPr>
          </w:p>
        </w:tc>
        <w:tc>
          <w:tcPr>
            <w:tcW w:w="2395" w:type="dxa"/>
            <w:gridSpan w:val="3"/>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tc>
        <w:tc>
          <w:tcPr>
            <w:tcW w:w="236" w:type="dxa"/>
            <w:tcBorders>
              <w:top w:val="single" w:sz="12" w:space="0" w:color="000000" w:themeColor="text1"/>
              <w:right w:val="single" w:sz="12" w:space="0" w:color="000000" w:themeColor="text1"/>
            </w:tcBorders>
          </w:tcPr>
          <w:p w:rsidR="008B34BA" w:rsidRPr="00A25D00" w:rsidRDefault="008B34BA" w:rsidP="00A25D00">
            <w:pPr>
              <w:rPr>
                <w:rFonts w:ascii="Times New Roman" w:hAnsi="Times New Roman" w:cs="Times New Roman"/>
                <w:sz w:val="20"/>
                <w:szCs w:val="20"/>
              </w:rPr>
            </w:pPr>
          </w:p>
        </w:tc>
        <w:tc>
          <w:tcPr>
            <w:tcW w:w="2143" w:type="dxa"/>
            <w:gridSpan w:val="2"/>
            <w:tcBorders>
              <w:top w:val="single" w:sz="12" w:space="0" w:color="000000" w:themeColor="text1"/>
              <w:left w:val="single" w:sz="12" w:space="0" w:color="000000" w:themeColor="text1"/>
            </w:tcBorders>
          </w:tcPr>
          <w:p w:rsidR="008B34BA" w:rsidRPr="00A25D00" w:rsidRDefault="008B34BA" w:rsidP="00A25D00">
            <w:pPr>
              <w:ind w:left="321"/>
              <w:rPr>
                <w:rFonts w:ascii="Times New Roman" w:hAnsi="Times New Roman" w:cs="Times New Roman"/>
                <w:sz w:val="20"/>
                <w:szCs w:val="20"/>
              </w:rPr>
            </w:pPr>
          </w:p>
        </w:tc>
        <w:tc>
          <w:tcPr>
            <w:tcW w:w="844" w:type="dxa"/>
            <w:vMerge/>
          </w:tcPr>
          <w:p w:rsidR="008B34BA" w:rsidRPr="00A25D00" w:rsidRDefault="008B34BA" w:rsidP="00A25D00">
            <w:pPr>
              <w:rPr>
                <w:rFonts w:ascii="Times New Roman" w:hAnsi="Times New Roman" w:cs="Times New Roman"/>
                <w:sz w:val="20"/>
                <w:szCs w:val="20"/>
              </w:rPr>
            </w:pPr>
          </w:p>
        </w:tc>
        <w:tc>
          <w:tcPr>
            <w:tcW w:w="1042" w:type="dxa"/>
            <w:vMerge/>
          </w:tcPr>
          <w:p w:rsidR="008B34BA" w:rsidRPr="00A25D00" w:rsidRDefault="008B34BA" w:rsidP="00A25D00">
            <w:pPr>
              <w:rPr>
                <w:rFonts w:ascii="Times New Roman" w:hAnsi="Times New Roman" w:cs="Times New Roman"/>
                <w:sz w:val="20"/>
                <w:szCs w:val="20"/>
              </w:rPr>
            </w:pPr>
          </w:p>
        </w:tc>
        <w:tc>
          <w:tcPr>
            <w:tcW w:w="884" w:type="dxa"/>
            <w:vMerge/>
          </w:tcPr>
          <w:p w:rsidR="008B34BA" w:rsidRPr="00A25D00" w:rsidRDefault="008B34BA" w:rsidP="00A25D00">
            <w:pPr>
              <w:rPr>
                <w:rFonts w:ascii="Times New Roman" w:hAnsi="Times New Roman" w:cs="Times New Roman"/>
                <w:sz w:val="20"/>
                <w:szCs w:val="20"/>
              </w:rPr>
            </w:pPr>
          </w:p>
        </w:tc>
      </w:tr>
      <w:tr w:rsidR="008B34BA" w:rsidRPr="00A25D00" w:rsidTr="008B34BA">
        <w:trPr>
          <w:trHeight w:val="870"/>
        </w:trPr>
        <w:tc>
          <w:tcPr>
            <w:tcW w:w="2970" w:type="dxa"/>
            <w:tcBorders>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medicine variable</w:t>
            </w:r>
          </w:p>
        </w:tc>
        <w:tc>
          <w:tcPr>
            <w:tcW w:w="810"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ind w:right="-138"/>
              <w:jc w:val="center"/>
              <w:rPr>
                <w:rFonts w:ascii="Times New Roman" w:hAnsi="Times New Roman" w:cs="Times New Roman"/>
                <w:sz w:val="20"/>
                <w:szCs w:val="20"/>
              </w:rPr>
            </w:pPr>
            <w:r w:rsidRPr="00A25D00">
              <w:rPr>
                <w:rFonts w:ascii="Times New Roman" w:hAnsi="Times New Roman" w:cs="Times New Roman"/>
                <w:sz w:val="20"/>
                <w:szCs w:val="20"/>
              </w:rPr>
              <w:t>Percent</w:t>
            </w: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DA</w:t>
            </w:r>
          </w:p>
        </w:tc>
        <w:tc>
          <w:tcPr>
            <w:tcW w:w="741"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M</w:t>
            </w:r>
          </w:p>
        </w:tc>
        <w:tc>
          <w:tcPr>
            <w:tcW w:w="844" w:type="dxa"/>
            <w:tcBorders>
              <w:bottom w:val="single" w:sz="12" w:space="0" w:color="000000" w:themeColor="text1"/>
            </w:tcBorders>
          </w:tcPr>
          <w:p w:rsidR="008B34BA" w:rsidRPr="00A25D00" w:rsidRDefault="008B34BA" w:rsidP="00A25D00">
            <w:pP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A</w:t>
            </w:r>
          </w:p>
        </w:tc>
        <w:tc>
          <w:tcPr>
            <w:tcW w:w="236" w:type="dxa"/>
            <w:tcBorders>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Percent</w:t>
            </w: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DA</w:t>
            </w:r>
          </w:p>
        </w:tc>
        <w:tc>
          <w:tcPr>
            <w:tcW w:w="84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N</w:t>
            </w:r>
          </w:p>
        </w:tc>
        <w:tc>
          <w:tcPr>
            <w:tcW w:w="84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   A</w:t>
            </w:r>
          </w:p>
        </w:tc>
        <w:tc>
          <w:tcPr>
            <w:tcW w:w="1042"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roofErr w:type="spellStart"/>
            <w:r w:rsidRPr="00A25D00">
              <w:rPr>
                <w:rFonts w:ascii="Times New Roman" w:hAnsi="Times New Roman" w:cs="Times New Roman"/>
                <w:sz w:val="20"/>
                <w:szCs w:val="20"/>
              </w:rPr>
              <w:t>df</w:t>
            </w:r>
            <w:proofErr w:type="spellEnd"/>
            <w:r w:rsidRPr="00A25D00">
              <w:rPr>
                <w:rFonts w:ascii="Times New Roman" w:hAnsi="Times New Roman" w:cs="Times New Roman"/>
                <w:sz w:val="20"/>
                <w:szCs w:val="20"/>
              </w:rPr>
              <w:t>= 4</w:t>
            </w:r>
          </w:p>
        </w:tc>
        <w:tc>
          <w:tcPr>
            <w:tcW w:w="88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Sign.</w:t>
            </w:r>
          </w:p>
        </w:tc>
      </w:tr>
      <w:tr w:rsidR="008B34BA" w:rsidRPr="00A25D00" w:rsidTr="008B34BA">
        <w:trPr>
          <w:trHeight w:val="225"/>
        </w:trPr>
        <w:tc>
          <w:tcPr>
            <w:tcW w:w="2970" w:type="dxa"/>
            <w:tcBorders>
              <w:top w:val="single" w:sz="12" w:space="0" w:color="000000" w:themeColor="text1"/>
            </w:tcBorders>
          </w:tcPr>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741"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844"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236" w:type="dxa"/>
            <w:tcBorders>
              <w:top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844"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844"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104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c>
          <w:tcPr>
            <w:tcW w:w="884"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p>
        </w:tc>
      </w:tr>
      <w:tr w:rsidR="008B34BA" w:rsidRPr="00A25D00" w:rsidTr="008B34BA">
        <w:tc>
          <w:tcPr>
            <w:tcW w:w="2970" w:type="dxa"/>
            <w:tcBorders>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Federal government to build </w:t>
            </w:r>
          </w:p>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hospital accommodation for traditional healers </w:t>
            </w:r>
          </w:p>
          <w:p w:rsidR="008B34BA" w:rsidRPr="00A25D00" w:rsidRDefault="008B34BA" w:rsidP="00A25D00">
            <w:pPr>
              <w:rPr>
                <w:rFonts w:ascii="Times New Roman" w:hAnsi="Times New Roman" w:cs="Times New Roman"/>
                <w:sz w:val="20"/>
                <w:szCs w:val="20"/>
              </w:rPr>
            </w:pPr>
          </w:p>
        </w:tc>
        <w:tc>
          <w:tcPr>
            <w:tcW w:w="810"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20</w:t>
            </w:r>
          </w:p>
        </w:tc>
        <w:tc>
          <w:tcPr>
            <w:tcW w:w="741"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12.9</w:t>
            </w:r>
          </w:p>
        </w:tc>
        <w:tc>
          <w:tcPr>
            <w:tcW w:w="84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66</w:t>
            </w:r>
          </w:p>
        </w:tc>
        <w:tc>
          <w:tcPr>
            <w:tcW w:w="236" w:type="dxa"/>
            <w:tcBorders>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5.1</w:t>
            </w:r>
          </w:p>
        </w:tc>
        <w:tc>
          <w:tcPr>
            <w:tcW w:w="84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8.5</w:t>
            </w:r>
          </w:p>
        </w:tc>
        <w:tc>
          <w:tcPr>
            <w:tcW w:w="84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86.4</w:t>
            </w:r>
          </w:p>
        </w:tc>
        <w:tc>
          <w:tcPr>
            <w:tcW w:w="1042"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77.6</w:t>
            </w:r>
            <w:r w:rsidRPr="00A25D00">
              <w:rPr>
                <w:rFonts w:ascii="Times New Roman" w:hAnsi="Times New Roman" w:cs="Times New Roman"/>
                <w:sz w:val="20"/>
                <w:szCs w:val="20"/>
                <w:vertAlign w:val="superscript"/>
              </w:rPr>
              <w:t>●●</w:t>
            </w:r>
          </w:p>
        </w:tc>
        <w:tc>
          <w:tcPr>
            <w:tcW w:w="884"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Satisfied with traditional medical practice in Nigeria</w:t>
            </w:r>
          </w:p>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15.1</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21.1</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63.8</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4.9</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10.8</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84.4</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39.0</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Traditional medicine is effective in mental illness</w:t>
            </w:r>
          </w:p>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24.3</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28</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47.6</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15.2</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17.6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82.4</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58.7</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Traditional medicine is effective in </w:t>
            </w:r>
            <w:r w:rsidR="00AF0972" w:rsidRPr="00A25D00">
              <w:rPr>
                <w:rFonts w:ascii="Times New Roman" w:hAnsi="Times New Roman" w:cs="Times New Roman"/>
                <w:sz w:val="20"/>
                <w:szCs w:val="20"/>
              </w:rPr>
              <w:t>orthopedic</w:t>
            </w:r>
            <w:r w:rsidRPr="00A25D00">
              <w:rPr>
                <w:rFonts w:ascii="Times New Roman" w:hAnsi="Times New Roman" w:cs="Times New Roman"/>
                <w:sz w:val="20"/>
                <w:szCs w:val="20"/>
              </w:rPr>
              <w:t xml:space="preserve"> illness</w:t>
            </w:r>
          </w:p>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44.1</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21.5</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34.4</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17.6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19.6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62.7</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76.5</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.001</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We required traditional healers to identify local medicine plants</w:t>
            </w:r>
          </w:p>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8.4</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86.8</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5.9</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88.5</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12.2</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.05</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The magical component of traditional medicine will make it difficult for W.T. (western-trained) physicians to cooperate with T.M. (traditional medicine  practitioners </w:t>
            </w:r>
          </w:p>
          <w:p w:rsidR="008B34BA" w:rsidRPr="00A25D00" w:rsidRDefault="008B34BA" w:rsidP="00A25D00">
            <w:pPr>
              <w:rPr>
                <w:rFonts w:ascii="Times New Roman" w:hAnsi="Times New Roman" w:cs="Times New Roman"/>
                <w:sz w:val="20"/>
                <w:szCs w:val="20"/>
              </w:rPr>
            </w:pP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8.4</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83.0</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26.6</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24.8</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48.7</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101.5</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r>
      <w:tr w:rsidR="008B34BA" w:rsidRPr="00A25D00" w:rsidTr="008B34BA">
        <w:tc>
          <w:tcPr>
            <w:tcW w:w="2970" w:type="dxa"/>
            <w:tcBorders>
              <w:top w:val="single" w:sz="12" w:space="0" w:color="000000" w:themeColor="text1"/>
              <w:bottom w:val="single" w:sz="12" w:space="0" w:color="000000" w:themeColor="text1"/>
            </w:tcBorders>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Nigerians in rural areas prefer T.M. to W.T. medicine </w:t>
            </w:r>
          </w:p>
        </w:tc>
        <w:tc>
          <w:tcPr>
            <w:tcW w:w="810"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35.9</w:t>
            </w:r>
          </w:p>
        </w:tc>
        <w:tc>
          <w:tcPr>
            <w:tcW w:w="741"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16.5</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47.6</w:t>
            </w:r>
          </w:p>
        </w:tc>
        <w:tc>
          <w:tcPr>
            <w:tcW w:w="236" w:type="dxa"/>
            <w:tcBorders>
              <w:top w:val="single" w:sz="12" w:space="0" w:color="000000" w:themeColor="text1"/>
              <w:bottom w:val="single" w:sz="12" w:space="0" w:color="000000" w:themeColor="text1"/>
              <w:right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p>
        </w:tc>
        <w:tc>
          <w:tcPr>
            <w:tcW w:w="1299" w:type="dxa"/>
            <w:tcBorders>
              <w:top w:val="single" w:sz="12" w:space="0" w:color="000000" w:themeColor="text1"/>
              <w:left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28.8</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21.2</w:t>
            </w:r>
          </w:p>
        </w:tc>
        <w:tc>
          <w:tcPr>
            <w:tcW w:w="84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57.4</w:t>
            </w:r>
          </w:p>
        </w:tc>
        <w:tc>
          <w:tcPr>
            <w:tcW w:w="104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53.0</w:t>
            </w:r>
            <w:r w:rsidRPr="00A25D00">
              <w:rPr>
                <w:rFonts w:ascii="Times New Roman" w:hAnsi="Times New Roman" w:cs="Times New Roman"/>
                <w:sz w:val="20"/>
                <w:szCs w:val="20"/>
                <w:vertAlign w:val="superscript"/>
              </w:rPr>
              <w:t>●</w:t>
            </w:r>
          </w:p>
        </w:tc>
        <w:tc>
          <w:tcPr>
            <w:tcW w:w="884"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.01</w:t>
            </w:r>
          </w:p>
        </w:tc>
      </w:tr>
    </w:tbl>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 xml:space="preserve">   ●Results are significant at .05</w:t>
      </w:r>
      <w:r w:rsidRPr="00A25D00">
        <w:rPr>
          <w:rFonts w:ascii="Times New Roman" w:hAnsi="Times New Roman" w:cs="Times New Roman"/>
          <w:sz w:val="20"/>
          <w:szCs w:val="20"/>
        </w:rPr>
        <w:tab/>
      </w:r>
      <w:r w:rsidRPr="00A25D00">
        <w:rPr>
          <w:rFonts w:ascii="Times New Roman" w:hAnsi="Times New Roman" w:cs="Times New Roman"/>
          <w:sz w:val="20"/>
          <w:szCs w:val="20"/>
        </w:rPr>
        <w:tab/>
        <w:t>DA = disagree</w:t>
      </w: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●●Results are significant at 0.1</w:t>
      </w:r>
      <w:r w:rsidRPr="00A25D00">
        <w:rPr>
          <w:rFonts w:ascii="Times New Roman" w:hAnsi="Times New Roman" w:cs="Times New Roman"/>
          <w:sz w:val="20"/>
          <w:szCs w:val="20"/>
        </w:rPr>
        <w:tab/>
      </w:r>
      <w:r w:rsidRPr="00A25D00">
        <w:rPr>
          <w:rFonts w:ascii="Times New Roman" w:hAnsi="Times New Roman" w:cs="Times New Roman"/>
          <w:sz w:val="20"/>
          <w:szCs w:val="20"/>
        </w:rPr>
        <w:tab/>
        <w:t>N   = neutral</w:t>
      </w: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●●●Results are significant at .001</w:t>
      </w:r>
      <w:r w:rsidRPr="00A25D00">
        <w:rPr>
          <w:rFonts w:ascii="Times New Roman" w:hAnsi="Times New Roman" w:cs="Times New Roman"/>
          <w:sz w:val="20"/>
          <w:szCs w:val="20"/>
        </w:rPr>
        <w:tab/>
      </w:r>
      <w:r w:rsidRPr="00A25D00">
        <w:rPr>
          <w:rFonts w:ascii="Times New Roman" w:hAnsi="Times New Roman" w:cs="Times New Roman"/>
          <w:sz w:val="20"/>
          <w:szCs w:val="20"/>
        </w:rPr>
        <w:tab/>
        <w:t xml:space="preserve">    A   = agree </w:t>
      </w:r>
      <w:r w:rsidRPr="00A25D00">
        <w:rPr>
          <w:rFonts w:ascii="Times New Roman" w:hAnsi="Times New Roman" w:cs="Times New Roman"/>
          <w:sz w:val="20"/>
          <w:szCs w:val="20"/>
        </w:rPr>
        <w:br w:type="column"/>
      </w:r>
      <w:r w:rsidRPr="00A25D00">
        <w:rPr>
          <w:rFonts w:ascii="Times New Roman" w:hAnsi="Times New Roman" w:cs="Times New Roman"/>
          <w:sz w:val="20"/>
          <w:szCs w:val="20"/>
        </w:rPr>
        <w:lastRenderedPageBreak/>
        <w:t>TABLE 6</w:t>
      </w:r>
    </w:p>
    <w:p w:rsidR="008B34BA" w:rsidRPr="00A25D00" w:rsidRDefault="008B34BA" w:rsidP="00A25D00">
      <w:pPr>
        <w:spacing w:after="0" w:line="240" w:lineRule="auto"/>
        <w:jc w:val="center"/>
        <w:rPr>
          <w:rFonts w:ascii="Times New Roman" w:hAnsi="Times New Roman" w:cs="Times New Roman"/>
          <w:sz w:val="20"/>
          <w:szCs w:val="20"/>
        </w:rPr>
      </w:pPr>
    </w:p>
    <w:p w:rsidR="008B34BA" w:rsidRPr="00A25D00" w:rsidRDefault="008B34BA" w:rsidP="00A25D00">
      <w:pPr>
        <w:pBdr>
          <w:bottom w:val="single" w:sz="4" w:space="1" w:color="000000" w:themeColor="text1"/>
        </w:pBdr>
        <w:spacing w:after="0" w:line="240" w:lineRule="auto"/>
        <w:rPr>
          <w:rFonts w:ascii="Times New Roman" w:hAnsi="Times New Roman" w:cs="Times New Roman"/>
          <w:sz w:val="20"/>
          <w:szCs w:val="20"/>
        </w:rPr>
      </w:pPr>
      <w:r w:rsidRPr="00A25D00">
        <w:rPr>
          <w:rFonts w:ascii="Times New Roman" w:hAnsi="Times New Roman" w:cs="Times New Roman"/>
          <w:sz w:val="20"/>
          <w:szCs w:val="20"/>
        </w:rPr>
        <w:t xml:space="preserve"> Pearson correlation co-efficient matrix of attitude-belief components of the PHC based on eight items (acceptance of traditional medical practice)</w:t>
      </w:r>
    </w:p>
    <w:p w:rsidR="008B34BA" w:rsidRPr="00A25D00" w:rsidRDefault="008B34BA" w:rsidP="00A25D00">
      <w:pPr>
        <w:pBdr>
          <w:bottom w:val="single" w:sz="4" w:space="1" w:color="000000" w:themeColor="text1"/>
        </w:pBdr>
        <w:spacing w:after="0" w:line="240" w:lineRule="auto"/>
        <w:rPr>
          <w:rFonts w:ascii="Times New Roman" w:hAnsi="Times New Roman" w:cs="Times New Roman"/>
          <w:sz w:val="20"/>
          <w:szCs w:val="20"/>
        </w:rPr>
      </w:pPr>
    </w:p>
    <w:p w:rsidR="008B34BA" w:rsidRPr="00A25D00" w:rsidRDefault="008B34BA" w:rsidP="00A25D00">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5"/>
        <w:gridCol w:w="926"/>
        <w:gridCol w:w="926"/>
        <w:gridCol w:w="927"/>
        <w:gridCol w:w="926"/>
        <w:gridCol w:w="926"/>
        <w:gridCol w:w="927"/>
        <w:gridCol w:w="926"/>
        <w:gridCol w:w="927"/>
      </w:tblGrid>
      <w:tr w:rsidR="008B34BA" w:rsidRPr="00A25D00" w:rsidTr="008B34BA">
        <w:trPr>
          <w:trHeight w:val="552"/>
        </w:trPr>
        <w:tc>
          <w:tcPr>
            <w:tcW w:w="2165" w:type="dxa"/>
          </w:tcPr>
          <w:p w:rsidR="008B34BA" w:rsidRPr="00A25D00" w:rsidRDefault="008B34BA" w:rsidP="00A25D00">
            <w:pPr>
              <w:rPr>
                <w:rFonts w:ascii="Times New Roman" w:hAnsi="Times New Roman" w:cs="Times New Roman"/>
                <w:sz w:val="20"/>
                <w:szCs w:val="20"/>
              </w:rPr>
            </w:pPr>
            <w:r w:rsidRPr="00A25D00">
              <w:rPr>
                <w:rFonts w:ascii="Times New Roman" w:hAnsi="Times New Roman" w:cs="Times New Roman"/>
                <w:sz w:val="20"/>
                <w:szCs w:val="20"/>
              </w:rPr>
              <w:t xml:space="preserve">Attitude-Belief components </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Q1</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Q2</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Q4</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Q5</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Q6</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Q7</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Q8</w:t>
            </w: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Q1</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Q2</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.46●●</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.45●●</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6"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Q4</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.41●●</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.31●●</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Q5</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.29●●</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.40●●</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.44●●</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7" w:type="dxa"/>
          </w:tcPr>
          <w:p w:rsidR="008B34BA" w:rsidRPr="00A25D00" w:rsidRDefault="008B34BA" w:rsidP="00A25D00">
            <w:pPr>
              <w:jc w:val="center"/>
              <w:rPr>
                <w:rFonts w:ascii="Times New Roman" w:hAnsi="Times New Roman" w:cs="Times New Roman"/>
                <w:sz w:val="20"/>
                <w:szCs w:val="20"/>
              </w:rPr>
            </w:pP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Q6</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.45●●</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.22●●</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.23●</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.26●●</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6" w:type="dxa"/>
          </w:tcPr>
          <w:p w:rsidR="008B34BA" w:rsidRPr="00A25D00" w:rsidRDefault="008B34BA" w:rsidP="00A25D00">
            <w:pPr>
              <w:jc w:val="center"/>
              <w:rPr>
                <w:rFonts w:ascii="Times New Roman" w:hAnsi="Times New Roman" w:cs="Times New Roman"/>
                <w:sz w:val="20"/>
                <w:szCs w:val="20"/>
              </w:rPr>
            </w:pP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Q7</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.55●●</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.31●●</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.37●●</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.29●●</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.42●●</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.35●●</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c>
          <w:tcPr>
            <w:tcW w:w="927" w:type="dxa"/>
          </w:tcPr>
          <w:p w:rsidR="008B34BA" w:rsidRPr="00A25D00" w:rsidRDefault="008B34BA" w:rsidP="00A25D00">
            <w:pPr>
              <w:jc w:val="center"/>
              <w:rPr>
                <w:rFonts w:ascii="Times New Roman" w:hAnsi="Times New Roman" w:cs="Times New Roman"/>
                <w:sz w:val="20"/>
                <w:szCs w:val="20"/>
              </w:rPr>
            </w:pPr>
          </w:p>
        </w:tc>
      </w:tr>
      <w:tr w:rsidR="008B34BA" w:rsidRPr="00A25D00" w:rsidTr="008B34BA">
        <w:trPr>
          <w:trHeight w:val="552"/>
        </w:trPr>
        <w:tc>
          <w:tcPr>
            <w:tcW w:w="2165"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Q8</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-.22●</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-.18●</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-.16</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-.21</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-.16</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-.09</w:t>
            </w:r>
          </w:p>
        </w:tc>
        <w:tc>
          <w:tcPr>
            <w:tcW w:w="926"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-.23</w:t>
            </w:r>
          </w:p>
        </w:tc>
        <w:tc>
          <w:tcPr>
            <w:tcW w:w="927"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1.0</w:t>
            </w:r>
          </w:p>
        </w:tc>
      </w:tr>
    </w:tbl>
    <w:p w:rsidR="008B34BA" w:rsidRPr="00A25D00" w:rsidRDefault="008B34BA" w:rsidP="00A25D00">
      <w:pPr>
        <w:pStyle w:val="ListParagraph"/>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●Results are significant at 0.05</w:t>
      </w:r>
    </w:p>
    <w:p w:rsidR="008B34BA" w:rsidRPr="00A25D00" w:rsidRDefault="008B34BA" w:rsidP="00A25D00">
      <w:pPr>
        <w:pStyle w:val="ListParagraph"/>
        <w:spacing w:after="0" w:line="240" w:lineRule="auto"/>
        <w:rPr>
          <w:rFonts w:ascii="Times New Roman" w:hAnsi="Times New Roman" w:cs="Times New Roman"/>
          <w:sz w:val="20"/>
          <w:szCs w:val="20"/>
        </w:rPr>
      </w:pPr>
      <w:r w:rsidRPr="00A25D00">
        <w:rPr>
          <w:rFonts w:ascii="Times New Roman" w:hAnsi="Times New Roman" w:cs="Times New Roman"/>
          <w:sz w:val="20"/>
          <w:szCs w:val="20"/>
        </w:rPr>
        <w:t xml:space="preserve">                                                                     ●●Results are significant at .01</w:t>
      </w:r>
    </w:p>
    <w:p w:rsidR="008B34BA" w:rsidRPr="00A25D00" w:rsidRDefault="008B34BA" w:rsidP="00A25D00">
      <w:pPr>
        <w:pStyle w:val="ListParagraph"/>
        <w:spacing w:after="0"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TABLE 7</w:t>
      </w: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t xml:space="preserve">Correlation between each independent variable and </w:t>
      </w:r>
      <w:proofErr w:type="spellStart"/>
      <w:r w:rsidRPr="00A25D00">
        <w:rPr>
          <w:rFonts w:ascii="Times New Roman" w:hAnsi="Times New Roman" w:cs="Times New Roman"/>
          <w:sz w:val="20"/>
          <w:szCs w:val="20"/>
        </w:rPr>
        <w:t>discriminant</w:t>
      </w:r>
      <w:proofErr w:type="spellEnd"/>
      <w:r w:rsidRPr="00A25D00">
        <w:rPr>
          <w:rFonts w:ascii="Times New Roman" w:hAnsi="Times New Roman" w:cs="Times New Roman"/>
          <w:sz w:val="20"/>
          <w:szCs w:val="20"/>
        </w:rPr>
        <w:t xml:space="preserve"> function (TMP)</w:t>
      </w:r>
    </w:p>
    <w:p w:rsidR="008B34BA" w:rsidRPr="00A25D00" w:rsidRDefault="008B34BA" w:rsidP="00A25D00">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8B34BA" w:rsidRPr="00A25D00" w:rsidTr="008B34BA">
        <w:tc>
          <w:tcPr>
            <w:tcW w:w="319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VARIABLE (FACTOR)</w:t>
            </w:r>
          </w:p>
        </w:tc>
        <w:tc>
          <w:tcPr>
            <w:tcW w:w="319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CORRELATION</w:t>
            </w: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(r)</w:t>
            </w:r>
          </w:p>
          <w:p w:rsidR="008B34BA" w:rsidRPr="00A25D00" w:rsidRDefault="008B34BA" w:rsidP="00A25D00">
            <w:pPr>
              <w:jc w:val="center"/>
              <w:rPr>
                <w:rFonts w:ascii="Times New Roman" w:hAnsi="Times New Roman" w:cs="Times New Roman"/>
                <w:sz w:val="20"/>
                <w:szCs w:val="20"/>
              </w:rPr>
            </w:pPr>
          </w:p>
        </w:tc>
        <w:tc>
          <w:tcPr>
            <w:tcW w:w="3192" w:type="dxa"/>
            <w:tcBorders>
              <w:top w:val="single" w:sz="12" w:space="0" w:color="000000" w:themeColor="text1"/>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Square multiple correlation</w:t>
            </w:r>
          </w:p>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 xml:space="preserve">r </w:t>
            </w:r>
            <w:r w:rsidRPr="00A25D00">
              <w:rPr>
                <w:rFonts w:ascii="Times New Roman" w:hAnsi="Times New Roman" w:cs="Times New Roman"/>
                <w:sz w:val="20"/>
                <w:szCs w:val="20"/>
                <w:vertAlign w:val="superscript"/>
              </w:rPr>
              <w:t>2</w:t>
            </w:r>
          </w:p>
        </w:tc>
      </w:tr>
      <w:tr w:rsidR="008B34BA" w:rsidRPr="00A25D00" w:rsidTr="008B34BA">
        <w:tc>
          <w:tcPr>
            <w:tcW w:w="319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1</w:t>
            </w:r>
          </w:p>
        </w:tc>
        <w:tc>
          <w:tcPr>
            <w:tcW w:w="319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.61</w:t>
            </w:r>
          </w:p>
        </w:tc>
        <w:tc>
          <w:tcPr>
            <w:tcW w:w="3192" w:type="dxa"/>
            <w:tcBorders>
              <w:top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.46</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.43</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.25</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.60</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.40</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.48</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.33</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.53</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.32</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6</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.43</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.23</w:t>
            </w:r>
          </w:p>
        </w:tc>
      </w:tr>
      <w:tr w:rsidR="008B34BA" w:rsidRPr="00A25D00" w:rsidTr="008B34BA">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7</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.51</w:t>
            </w:r>
          </w:p>
        </w:tc>
        <w:tc>
          <w:tcPr>
            <w:tcW w:w="3192" w:type="dxa"/>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.37</w:t>
            </w:r>
          </w:p>
        </w:tc>
      </w:tr>
      <w:tr w:rsidR="008B34BA" w:rsidRPr="00A25D00" w:rsidTr="008B34BA">
        <w:tc>
          <w:tcPr>
            <w:tcW w:w="3192"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8</w:t>
            </w:r>
          </w:p>
          <w:p w:rsidR="008B34BA" w:rsidRPr="00A25D00" w:rsidRDefault="008B34BA" w:rsidP="00A25D00">
            <w:pPr>
              <w:jc w:val="center"/>
              <w:rPr>
                <w:rFonts w:ascii="Times New Roman" w:hAnsi="Times New Roman" w:cs="Times New Roman"/>
                <w:sz w:val="20"/>
                <w:szCs w:val="20"/>
              </w:rPr>
            </w:pPr>
          </w:p>
        </w:tc>
        <w:tc>
          <w:tcPr>
            <w:tcW w:w="3192"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-.27</w:t>
            </w:r>
          </w:p>
          <w:p w:rsidR="008B34BA" w:rsidRPr="00A25D00" w:rsidRDefault="008B34BA" w:rsidP="00A25D00">
            <w:pPr>
              <w:jc w:val="center"/>
              <w:rPr>
                <w:rFonts w:ascii="Times New Roman" w:hAnsi="Times New Roman" w:cs="Times New Roman"/>
                <w:sz w:val="20"/>
                <w:szCs w:val="20"/>
              </w:rPr>
            </w:pPr>
          </w:p>
        </w:tc>
        <w:tc>
          <w:tcPr>
            <w:tcW w:w="3192" w:type="dxa"/>
            <w:tcBorders>
              <w:bottom w:val="single" w:sz="12" w:space="0" w:color="000000" w:themeColor="text1"/>
            </w:tcBorders>
          </w:tcPr>
          <w:p w:rsidR="008B34BA" w:rsidRPr="00A25D00" w:rsidRDefault="008B34BA" w:rsidP="00A25D00">
            <w:pPr>
              <w:jc w:val="center"/>
              <w:rPr>
                <w:rFonts w:ascii="Times New Roman" w:hAnsi="Times New Roman" w:cs="Times New Roman"/>
                <w:sz w:val="20"/>
                <w:szCs w:val="20"/>
              </w:rPr>
            </w:pPr>
            <w:r w:rsidRPr="00A25D00">
              <w:rPr>
                <w:rFonts w:ascii="Times New Roman" w:hAnsi="Times New Roman" w:cs="Times New Roman"/>
                <w:sz w:val="20"/>
                <w:szCs w:val="20"/>
              </w:rPr>
              <w:t>.08</w:t>
            </w:r>
          </w:p>
          <w:p w:rsidR="008B34BA" w:rsidRPr="00A25D00" w:rsidRDefault="008B34BA" w:rsidP="00A25D00">
            <w:pPr>
              <w:jc w:val="center"/>
              <w:rPr>
                <w:rFonts w:ascii="Times New Roman" w:hAnsi="Times New Roman" w:cs="Times New Roman"/>
                <w:sz w:val="20"/>
                <w:szCs w:val="20"/>
              </w:rPr>
            </w:pPr>
          </w:p>
        </w:tc>
      </w:tr>
    </w:tbl>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8B34BA" w:rsidP="00A25D00">
      <w:pPr>
        <w:spacing w:after="0" w:line="240" w:lineRule="auto"/>
        <w:jc w:val="center"/>
        <w:rPr>
          <w:rFonts w:ascii="Times New Roman" w:hAnsi="Times New Roman" w:cs="Times New Roman"/>
          <w:sz w:val="20"/>
          <w:szCs w:val="20"/>
        </w:rPr>
      </w:pPr>
      <w:r w:rsidRPr="00A25D00">
        <w:rPr>
          <w:rFonts w:ascii="Times New Roman" w:hAnsi="Times New Roman" w:cs="Times New Roman"/>
          <w:sz w:val="20"/>
          <w:szCs w:val="20"/>
        </w:rPr>
        <w:br w:type="column"/>
      </w:r>
      <w:r w:rsidRPr="00A25D00">
        <w:rPr>
          <w:rFonts w:ascii="Times New Roman" w:hAnsi="Times New Roman" w:cs="Times New Roman"/>
          <w:sz w:val="20"/>
          <w:szCs w:val="20"/>
        </w:rPr>
        <w:lastRenderedPageBreak/>
        <w:t>ACKNOWLEDGEMENTS</w:t>
      </w:r>
    </w:p>
    <w:p w:rsidR="008B34BA" w:rsidRPr="00A25D00" w:rsidRDefault="008B34BA" w:rsidP="00A25D00">
      <w:pPr>
        <w:spacing w:after="0" w:line="240" w:lineRule="auto"/>
        <w:rPr>
          <w:rFonts w:ascii="Times New Roman" w:hAnsi="Times New Roman" w:cs="Times New Roman"/>
          <w:sz w:val="20"/>
          <w:szCs w:val="20"/>
        </w:rPr>
      </w:pPr>
    </w:p>
    <w:p w:rsidR="008B34BA" w:rsidRPr="00A25D00" w:rsidRDefault="008B34BA" w:rsidP="00A25D00">
      <w:pPr>
        <w:spacing w:after="0" w:line="240" w:lineRule="auto"/>
        <w:ind w:firstLine="720"/>
        <w:rPr>
          <w:rFonts w:ascii="Times New Roman" w:hAnsi="Times New Roman" w:cs="Times New Roman"/>
          <w:sz w:val="20"/>
          <w:szCs w:val="20"/>
        </w:rPr>
      </w:pPr>
      <w:r w:rsidRPr="00A25D00">
        <w:rPr>
          <w:rFonts w:ascii="Times New Roman" w:hAnsi="Times New Roman" w:cs="Times New Roman"/>
          <w:sz w:val="20"/>
          <w:szCs w:val="20"/>
        </w:rPr>
        <w:t>The assistance provided by</w:t>
      </w:r>
      <w:r w:rsidR="00833DEA">
        <w:rPr>
          <w:rFonts w:ascii="Times New Roman" w:hAnsi="Times New Roman" w:cs="Times New Roman"/>
          <w:sz w:val="20"/>
          <w:szCs w:val="20"/>
        </w:rPr>
        <w:t xml:space="preserve"> </w:t>
      </w:r>
      <w:proofErr w:type="gramStart"/>
      <w:r w:rsidR="00833DEA">
        <w:rPr>
          <w:rFonts w:ascii="Times New Roman" w:hAnsi="Times New Roman" w:cs="Times New Roman"/>
          <w:sz w:val="20"/>
          <w:szCs w:val="20"/>
        </w:rPr>
        <w:t xml:space="preserve">late </w:t>
      </w:r>
      <w:r w:rsidRPr="00A25D00">
        <w:rPr>
          <w:rFonts w:ascii="Times New Roman" w:hAnsi="Times New Roman" w:cs="Times New Roman"/>
          <w:sz w:val="20"/>
          <w:szCs w:val="20"/>
        </w:rPr>
        <w:t xml:space="preserve"> professors</w:t>
      </w:r>
      <w:proofErr w:type="gramEnd"/>
      <w:r w:rsidRPr="00A25D00">
        <w:rPr>
          <w:rFonts w:ascii="Times New Roman" w:hAnsi="Times New Roman" w:cs="Times New Roman"/>
          <w:sz w:val="20"/>
          <w:szCs w:val="20"/>
        </w:rPr>
        <w:t xml:space="preserve"> W.H. Creswell, Jr. D. Stone and C. Cunningham of the University of Illinois has enabled me to accomplish this project. I am grateful to Drs. A.K. </w:t>
      </w:r>
      <w:proofErr w:type="spellStart"/>
      <w:r w:rsidRPr="00A25D00">
        <w:rPr>
          <w:rFonts w:ascii="Times New Roman" w:hAnsi="Times New Roman" w:cs="Times New Roman"/>
          <w:sz w:val="20"/>
          <w:szCs w:val="20"/>
        </w:rPr>
        <w:t>Fabiyi</w:t>
      </w:r>
      <w:proofErr w:type="spellEnd"/>
      <w:r w:rsidRPr="00A25D00">
        <w:rPr>
          <w:rFonts w:ascii="Times New Roman" w:hAnsi="Times New Roman" w:cs="Times New Roman"/>
          <w:sz w:val="20"/>
          <w:szCs w:val="20"/>
        </w:rPr>
        <w:t xml:space="preserve">, O.  </w:t>
      </w:r>
      <w:proofErr w:type="spellStart"/>
      <w:r w:rsidRPr="00A25D00">
        <w:rPr>
          <w:rFonts w:ascii="Times New Roman" w:hAnsi="Times New Roman" w:cs="Times New Roman"/>
          <w:sz w:val="20"/>
          <w:szCs w:val="20"/>
        </w:rPr>
        <w:t>Osayuki</w:t>
      </w:r>
      <w:proofErr w:type="spellEnd"/>
      <w:r w:rsidRPr="00A25D00">
        <w:rPr>
          <w:rFonts w:ascii="Times New Roman" w:hAnsi="Times New Roman" w:cs="Times New Roman"/>
          <w:sz w:val="20"/>
          <w:szCs w:val="20"/>
        </w:rPr>
        <w:t xml:space="preserve"> </w:t>
      </w:r>
      <w:proofErr w:type="spellStart"/>
      <w:r w:rsidRPr="00A25D00">
        <w:rPr>
          <w:rFonts w:ascii="Times New Roman" w:hAnsi="Times New Roman" w:cs="Times New Roman"/>
          <w:sz w:val="20"/>
          <w:szCs w:val="20"/>
        </w:rPr>
        <w:t>Oshodin</w:t>
      </w:r>
      <w:proofErr w:type="spellEnd"/>
      <w:r w:rsidRPr="00A25D00">
        <w:rPr>
          <w:rFonts w:ascii="Times New Roman" w:hAnsi="Times New Roman" w:cs="Times New Roman"/>
          <w:sz w:val="20"/>
          <w:szCs w:val="20"/>
        </w:rPr>
        <w:t xml:space="preserve">, lecturers at the university of Ile Ife and University of Benin respectively. The assistance provided by chief Federal medical statistician, Dr. </w:t>
      </w:r>
      <w:proofErr w:type="spellStart"/>
      <w:r w:rsidRPr="00A25D00">
        <w:rPr>
          <w:rFonts w:ascii="Times New Roman" w:hAnsi="Times New Roman" w:cs="Times New Roman"/>
          <w:sz w:val="20"/>
          <w:szCs w:val="20"/>
        </w:rPr>
        <w:t>Babalola</w:t>
      </w:r>
      <w:proofErr w:type="spellEnd"/>
      <w:r w:rsidRPr="00A25D00">
        <w:rPr>
          <w:rFonts w:ascii="Times New Roman" w:hAnsi="Times New Roman" w:cs="Times New Roman"/>
          <w:sz w:val="20"/>
          <w:szCs w:val="20"/>
        </w:rPr>
        <w:t xml:space="preserve"> Dada is also gratefully acknowledged. Funds for this study were provided by the government of Nigeria and the University of Ilorin Senate Research grant No. 8.226.04</w:t>
      </w:r>
    </w:p>
    <w:p w:rsidR="009E5326" w:rsidRPr="00A25D00" w:rsidRDefault="009E5326" w:rsidP="00A25D00">
      <w:pPr>
        <w:spacing w:line="240" w:lineRule="auto"/>
        <w:rPr>
          <w:rFonts w:ascii="Times New Roman" w:hAnsi="Times New Roman" w:cs="Times New Roman"/>
          <w:sz w:val="20"/>
          <w:szCs w:val="20"/>
        </w:rPr>
      </w:pPr>
    </w:p>
    <w:sectPr w:rsidR="009E5326" w:rsidRPr="00A25D00" w:rsidSect="00A544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B1" w:rsidRDefault="00FD60B1" w:rsidP="008D564C">
      <w:pPr>
        <w:spacing w:after="0" w:line="240" w:lineRule="auto"/>
      </w:pPr>
      <w:r>
        <w:separator/>
      </w:r>
    </w:p>
  </w:endnote>
  <w:endnote w:type="continuationSeparator" w:id="0">
    <w:p w:rsidR="00FD60B1" w:rsidRDefault="00FD60B1" w:rsidP="008D5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813"/>
      <w:docPartObj>
        <w:docPartGallery w:val="Page Numbers (Bottom of Page)"/>
        <w:docPartUnique/>
      </w:docPartObj>
    </w:sdtPr>
    <w:sdtContent>
      <w:p w:rsidR="00FD60B1" w:rsidRDefault="00FD60B1">
        <w:pPr>
          <w:pStyle w:val="Footer"/>
          <w:jc w:val="center"/>
        </w:pPr>
        <w:fldSimple w:instr=" PAGE   \* MERGEFORMAT ">
          <w:r w:rsidR="00EE3F1C">
            <w:rPr>
              <w:noProof/>
            </w:rPr>
            <w:t>6</w:t>
          </w:r>
        </w:fldSimple>
      </w:p>
    </w:sdtContent>
  </w:sdt>
  <w:p w:rsidR="00FD60B1" w:rsidRDefault="00FD6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B1" w:rsidRDefault="00FD60B1" w:rsidP="008D564C">
      <w:pPr>
        <w:spacing w:after="0" w:line="240" w:lineRule="auto"/>
      </w:pPr>
      <w:r>
        <w:separator/>
      </w:r>
    </w:p>
  </w:footnote>
  <w:footnote w:type="continuationSeparator" w:id="0">
    <w:p w:rsidR="00FD60B1" w:rsidRDefault="00FD60B1" w:rsidP="008D5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B1" w:rsidRPr="00A95858" w:rsidRDefault="00FD60B1">
    <w:pPr>
      <w:pStyle w:val="Header"/>
      <w:rPr>
        <w:u w:val="double"/>
      </w:rPr>
    </w:pPr>
    <w:sdt>
      <w:sdtPr>
        <w:rPr>
          <w:rFonts w:asciiTheme="majorHAnsi" w:eastAsiaTheme="majorEastAsia" w:hAnsiTheme="majorHAnsi" w:cstheme="majorBidi"/>
          <w:sz w:val="24"/>
          <w:szCs w:val="24"/>
        </w:rPr>
        <w:alias w:val="Title"/>
        <w:id w:val="78404852"/>
        <w:placeholder>
          <w:docPart w:val="AF3331AE1F024FCC80E473D830BA8C72"/>
        </w:placeholder>
        <w:dataBinding w:prefixMappings="xmlns:ns0='http://schemas.openxmlformats.org/package/2006/metadata/core-properties' xmlns:ns1='http://purl.org/dc/elements/1.1/'" w:xpath="/ns0:coreProperties[1]/ns1:title[1]" w:storeItemID="{6C3C8BC8-F283-45AE-878A-BAB7291924A1}"/>
        <w:text/>
      </w:sdtPr>
      <w:sdtContent>
        <w:r w:rsidRPr="00A95858">
          <w:rPr>
            <w:rFonts w:asciiTheme="majorHAnsi" w:eastAsiaTheme="majorEastAsia" w:hAnsiTheme="majorHAnsi" w:cstheme="majorBidi"/>
            <w:sz w:val="24"/>
            <w:szCs w:val="24"/>
            <w:u w:val="double"/>
          </w:rPr>
          <w:t>Researcher, 2009</w:t>
        </w:r>
      </w:sdtContent>
    </w:sdt>
    <w:r w:rsidRPr="00A95858">
      <w:rPr>
        <w:rFonts w:asciiTheme="majorHAnsi" w:eastAsiaTheme="majorEastAsia" w:hAnsiTheme="majorHAnsi" w:cstheme="majorBidi"/>
        <w:sz w:val="24"/>
        <w:szCs w:val="24"/>
        <w:u w:val="double"/>
      </w:rPr>
      <w:ptab w:relativeTo="margin" w:alignment="right" w:leader="none"/>
    </w:r>
    <w:sdt>
      <w:sdtPr>
        <w:rPr>
          <w:rFonts w:asciiTheme="majorHAnsi" w:eastAsiaTheme="majorEastAsia" w:hAnsiTheme="majorHAnsi" w:cstheme="majorBidi"/>
          <w:sz w:val="24"/>
          <w:szCs w:val="24"/>
        </w:rPr>
        <w:alias w:val="Date"/>
        <w:id w:val="78404859"/>
        <w:placeholder>
          <w:docPart w:val="7AA72AC5B14F44F293CCAE8646AE384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A95858">
          <w:rPr>
            <w:rFonts w:asciiTheme="majorHAnsi" w:eastAsiaTheme="majorEastAsia" w:hAnsiTheme="majorHAnsi" w:cstheme="majorBidi"/>
            <w:sz w:val="24"/>
            <w:szCs w:val="24"/>
            <w:u w:val="double"/>
          </w:rPr>
          <w:t>Ebomoyi, Genomics African Healing</w:t>
        </w:r>
      </w:sdtContent>
    </w:sdt>
    <w:r w:rsidRPr="00A95858">
      <w:rPr>
        <w:rFonts w:asciiTheme="majorHAnsi" w:eastAsiaTheme="majorEastAsia" w:hAnsiTheme="majorHAnsi" w:cstheme="majorBidi"/>
        <w:sz w:val="24"/>
        <w:szCs w:val="24"/>
        <w:u w:val="doub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051"/>
    <w:multiLevelType w:val="hybridMultilevel"/>
    <w:tmpl w:val="1F6C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283A"/>
    <w:multiLevelType w:val="hybridMultilevel"/>
    <w:tmpl w:val="01BE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505B0"/>
    <w:multiLevelType w:val="hybridMultilevel"/>
    <w:tmpl w:val="BB3A2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D4668"/>
    <w:multiLevelType w:val="hybridMultilevel"/>
    <w:tmpl w:val="7D58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74BCE"/>
    <w:multiLevelType w:val="hybridMultilevel"/>
    <w:tmpl w:val="EEB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42F23"/>
    <w:multiLevelType w:val="hybridMultilevel"/>
    <w:tmpl w:val="953A7F98"/>
    <w:lvl w:ilvl="0" w:tplc="53427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8E78D9"/>
    <w:multiLevelType w:val="hybridMultilevel"/>
    <w:tmpl w:val="88E8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5326"/>
    <w:rsid w:val="00005C4C"/>
    <w:rsid w:val="00022351"/>
    <w:rsid w:val="00033A55"/>
    <w:rsid w:val="000341C6"/>
    <w:rsid w:val="00034D72"/>
    <w:rsid w:val="000C4B8A"/>
    <w:rsid w:val="000D3C78"/>
    <w:rsid w:val="000D61D7"/>
    <w:rsid w:val="000D7C4B"/>
    <w:rsid w:val="001147CA"/>
    <w:rsid w:val="001561BE"/>
    <w:rsid w:val="001D7437"/>
    <w:rsid w:val="00261930"/>
    <w:rsid w:val="00275A13"/>
    <w:rsid w:val="00387A80"/>
    <w:rsid w:val="003B1CA8"/>
    <w:rsid w:val="0048263A"/>
    <w:rsid w:val="00506D15"/>
    <w:rsid w:val="005110EA"/>
    <w:rsid w:val="00533367"/>
    <w:rsid w:val="005C2D01"/>
    <w:rsid w:val="005F48E6"/>
    <w:rsid w:val="00600F58"/>
    <w:rsid w:val="006D3A61"/>
    <w:rsid w:val="0070141C"/>
    <w:rsid w:val="007354A5"/>
    <w:rsid w:val="00737475"/>
    <w:rsid w:val="00765321"/>
    <w:rsid w:val="0077739D"/>
    <w:rsid w:val="007830B5"/>
    <w:rsid w:val="00785774"/>
    <w:rsid w:val="00787DD5"/>
    <w:rsid w:val="007A6E06"/>
    <w:rsid w:val="007C7CA6"/>
    <w:rsid w:val="007E700B"/>
    <w:rsid w:val="007F3D54"/>
    <w:rsid w:val="00833DEA"/>
    <w:rsid w:val="0083586E"/>
    <w:rsid w:val="00840909"/>
    <w:rsid w:val="00843B7E"/>
    <w:rsid w:val="00843BF3"/>
    <w:rsid w:val="00851C6B"/>
    <w:rsid w:val="0086215F"/>
    <w:rsid w:val="008A37D7"/>
    <w:rsid w:val="008B34BA"/>
    <w:rsid w:val="008D564C"/>
    <w:rsid w:val="008F1174"/>
    <w:rsid w:val="00947268"/>
    <w:rsid w:val="00957808"/>
    <w:rsid w:val="00984F0B"/>
    <w:rsid w:val="009940AA"/>
    <w:rsid w:val="009D01E7"/>
    <w:rsid w:val="009E5326"/>
    <w:rsid w:val="00A25D00"/>
    <w:rsid w:val="00A544A1"/>
    <w:rsid w:val="00A62F07"/>
    <w:rsid w:val="00A81B58"/>
    <w:rsid w:val="00A95858"/>
    <w:rsid w:val="00A978F8"/>
    <w:rsid w:val="00AF0972"/>
    <w:rsid w:val="00B23AD3"/>
    <w:rsid w:val="00BB33AC"/>
    <w:rsid w:val="00C401BD"/>
    <w:rsid w:val="00C53A32"/>
    <w:rsid w:val="00C64F20"/>
    <w:rsid w:val="00C71122"/>
    <w:rsid w:val="00CB038A"/>
    <w:rsid w:val="00CF31F3"/>
    <w:rsid w:val="00D205B2"/>
    <w:rsid w:val="00D2319A"/>
    <w:rsid w:val="00D770D0"/>
    <w:rsid w:val="00D85893"/>
    <w:rsid w:val="00DC23AC"/>
    <w:rsid w:val="00EE3F1C"/>
    <w:rsid w:val="00F17E5B"/>
    <w:rsid w:val="00F3453A"/>
    <w:rsid w:val="00F84475"/>
    <w:rsid w:val="00FB1959"/>
    <w:rsid w:val="00FB3193"/>
    <w:rsid w:val="00FB4C48"/>
    <w:rsid w:val="00FB7FE2"/>
    <w:rsid w:val="00FD60B1"/>
    <w:rsid w:val="00FD7FBF"/>
    <w:rsid w:val="00FE3C5B"/>
    <w:rsid w:val="00FE47F8"/>
    <w:rsid w:val="00FF7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A1"/>
  </w:style>
  <w:style w:type="paragraph" w:styleId="Heading1">
    <w:name w:val="heading 1"/>
    <w:basedOn w:val="Normal"/>
    <w:next w:val="Normal"/>
    <w:link w:val="Heading1Char"/>
    <w:uiPriority w:val="9"/>
    <w:qFormat/>
    <w:rsid w:val="008B34B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1959"/>
    <w:rPr>
      <w:color w:val="0000FF"/>
      <w:u w:val="single"/>
    </w:rPr>
  </w:style>
  <w:style w:type="character" w:customStyle="1" w:styleId="yshortcuts">
    <w:name w:val="yshortcuts"/>
    <w:basedOn w:val="DefaultParagraphFont"/>
    <w:rsid w:val="000D7C4B"/>
  </w:style>
  <w:style w:type="character" w:customStyle="1" w:styleId="Heading1Char">
    <w:name w:val="Heading 1 Char"/>
    <w:basedOn w:val="DefaultParagraphFont"/>
    <w:link w:val="Heading1"/>
    <w:uiPriority w:val="9"/>
    <w:rsid w:val="008B34BA"/>
    <w:rPr>
      <w:rFonts w:asciiTheme="majorHAnsi" w:eastAsiaTheme="majorEastAsia" w:hAnsiTheme="majorHAnsi" w:cstheme="majorBidi"/>
      <w:b/>
      <w:bCs/>
      <w:color w:val="365F91" w:themeColor="accent1" w:themeShade="BF"/>
      <w:sz w:val="28"/>
      <w:szCs w:val="28"/>
      <w:lang w:bidi="en-US"/>
    </w:rPr>
  </w:style>
  <w:style w:type="table" w:styleId="TableGrid">
    <w:name w:val="Table Grid"/>
    <w:basedOn w:val="TableNormal"/>
    <w:uiPriority w:val="59"/>
    <w:rsid w:val="008B3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34BA"/>
    <w:pPr>
      <w:ind w:left="720"/>
      <w:contextualSpacing/>
    </w:pPr>
  </w:style>
  <w:style w:type="paragraph" w:styleId="BalloonText">
    <w:name w:val="Balloon Text"/>
    <w:basedOn w:val="Normal"/>
    <w:link w:val="BalloonTextChar"/>
    <w:uiPriority w:val="99"/>
    <w:semiHidden/>
    <w:unhideWhenUsed/>
    <w:rsid w:val="008B3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BA"/>
    <w:rPr>
      <w:rFonts w:ascii="Tahoma" w:hAnsi="Tahoma" w:cs="Tahoma"/>
      <w:sz w:val="16"/>
      <w:szCs w:val="16"/>
    </w:rPr>
  </w:style>
  <w:style w:type="paragraph" w:styleId="Bibliography">
    <w:name w:val="Bibliography"/>
    <w:basedOn w:val="Normal"/>
    <w:next w:val="Normal"/>
    <w:uiPriority w:val="37"/>
    <w:unhideWhenUsed/>
    <w:rsid w:val="008B34BA"/>
  </w:style>
  <w:style w:type="paragraph" w:styleId="Header">
    <w:name w:val="header"/>
    <w:basedOn w:val="Normal"/>
    <w:link w:val="HeaderChar"/>
    <w:uiPriority w:val="99"/>
    <w:semiHidden/>
    <w:unhideWhenUsed/>
    <w:rsid w:val="008D5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64C"/>
  </w:style>
  <w:style w:type="paragraph" w:styleId="Footer">
    <w:name w:val="footer"/>
    <w:basedOn w:val="Normal"/>
    <w:link w:val="FooterChar"/>
    <w:uiPriority w:val="99"/>
    <w:unhideWhenUsed/>
    <w:rsid w:val="008D5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ebomoyi@csu.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3331AE1F024FCC80E473D830BA8C72"/>
        <w:category>
          <w:name w:val="General"/>
          <w:gallery w:val="placeholder"/>
        </w:category>
        <w:types>
          <w:type w:val="bbPlcHdr"/>
        </w:types>
        <w:behaviors>
          <w:behavior w:val="content"/>
        </w:behaviors>
        <w:guid w:val="{554DEC5B-311E-4D96-B782-8B493364D8A5}"/>
      </w:docPartPr>
      <w:docPartBody>
        <w:p w:rsidR="00827E28" w:rsidRDefault="00286490" w:rsidP="00286490">
          <w:pPr>
            <w:pStyle w:val="AF3331AE1F024FCC80E473D830BA8C72"/>
          </w:pPr>
          <w:r>
            <w:rPr>
              <w:rFonts w:asciiTheme="majorHAnsi" w:eastAsiaTheme="majorEastAsia" w:hAnsiTheme="majorHAnsi" w:cstheme="majorBidi"/>
              <w:color w:val="4F81BD" w:themeColor="accent1"/>
              <w:sz w:val="24"/>
              <w:szCs w:val="24"/>
            </w:rPr>
            <w:t>[Type the document title]</w:t>
          </w:r>
        </w:p>
      </w:docPartBody>
    </w:docPart>
    <w:docPart>
      <w:docPartPr>
        <w:name w:val="7AA72AC5B14F44F293CCAE8646AE3848"/>
        <w:category>
          <w:name w:val="General"/>
          <w:gallery w:val="placeholder"/>
        </w:category>
        <w:types>
          <w:type w:val="bbPlcHdr"/>
        </w:types>
        <w:behaviors>
          <w:behavior w:val="content"/>
        </w:behaviors>
        <w:guid w:val="{FFAB0754-ACAD-4B54-8282-B02BF02BA490}"/>
      </w:docPartPr>
      <w:docPartBody>
        <w:p w:rsidR="00827E28" w:rsidRDefault="00286490" w:rsidP="00286490">
          <w:pPr>
            <w:pStyle w:val="7AA72AC5B14F44F293CCAE8646AE3848"/>
          </w:pPr>
          <w:r>
            <w:rPr>
              <w:rFonts w:asciiTheme="majorHAnsi" w:eastAsiaTheme="majorEastAsia" w:hAnsiTheme="majorHAnsi" w:cstheme="majorBidi"/>
              <w:color w:val="4F81BD" w:themeColor="accent1"/>
              <w:sz w:val="24"/>
              <w:szCs w:val="24"/>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6490"/>
    <w:rsid w:val="001F735F"/>
    <w:rsid w:val="00286490"/>
    <w:rsid w:val="00827E28"/>
    <w:rsid w:val="00E13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331AE1F024FCC80E473D830BA8C72">
    <w:name w:val="AF3331AE1F024FCC80E473D830BA8C72"/>
    <w:rsid w:val="00286490"/>
  </w:style>
  <w:style w:type="paragraph" w:customStyle="1" w:styleId="7AA72AC5B14F44F293CCAE8646AE3848">
    <w:name w:val="7AA72AC5B14F44F293CCAE8646AE3848"/>
    <w:rsid w:val="002864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Ebomoyi, Genomics African Healing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Hor69</b:Tag>
    <b:SourceType>Book</b:SourceType>
    <b:Guid>{58939DA0-2214-4EBC-A039-BC9FF3D4592A}</b:Guid>
    <b:LCID>0</b:LCID>
    <b:Author>
      <b:Author>
        <b:NameList>
          <b:Person>
            <b:Last>Horn</b:Last>
            <b:First>J.S.</b:First>
          </b:Person>
        </b:NameList>
      </b:Author>
    </b:Author>
    <b:Title>Away with all Pest</b:Title>
    <b:Year>1969</b:Year>
    <b:City>New York</b:City>
    <b:Publisher>New York Monthly Review Press pp. 9 - 189.</b:Publisher>
    <b:RefOrder>1</b:RefOrder>
  </b:Source>
  <b:Source>
    <b:Tag>Ebo82</b:Tag>
    <b:SourceType>Book</b:SourceType>
    <b:Guid>{FC4E3C14-72B1-45B0-8E6D-F2A24B469DC0}</b:Guid>
    <b:LCID>0</b:LCID>
    <b:Author>
      <b:Author>
        <b:NameList>
          <b:Person>
            <b:Last>Ebomoyi</b:Last>
            <b:First>E.</b:First>
            <b:Middle>W.</b:Middle>
          </b:Person>
        </b:NameList>
      </b:Author>
    </b:Author>
    <b:Title>Good and bad in traditional healing.</b:Title>
    <b:Year>1982</b:Year>
    <b:Publisher>An International Journal of Health Development. World Health Forum vol. 3: 215-217</b:Publisher>
    <b:RefOrder>2</b:RefOrder>
  </b:Source>
  <b:Source>
    <b:Tag>Ade69</b:Tag>
    <b:SourceType>Book</b:SourceType>
    <b:Guid>{087725C7-5EFD-4E42-9414-E02F41029582}</b:Guid>
    <b:LCID>0</b:LCID>
    <b:Author>
      <b:Author>
        <b:NameList>
          <b:Person>
            <b:Last>Ademuwagun</b:Last>
            <b:First>Z.</b:First>
            <b:Middle>A.</b:Middle>
          </b:Person>
        </b:NameList>
      </b:Author>
    </b:Author>
    <b:Title>The relevance of Yoruba medicine men in public health practice in Nigeria</b:Title>
    <b:Year>1969</b:Year>
    <b:Publisher>United State Public Health Report 84 p. 1085</b:Publisher>
    <b:RefOrder>3</b:RefOrder>
  </b:Source>
  <b:Source>
    <b:Tag>Ebo84</b:Tag>
    <b:SourceType>Book</b:SourceType>
    <b:Guid>{95C2BC2D-A34D-467B-98CF-1ACEA8BD1CA0}</b:Guid>
    <b:LCID>0</b:LCID>
    <b:Author>
      <b:Author>
        <b:NameList>
          <b:Person>
            <b:Last>Ebomoyi</b:Last>
            <b:First>E.W.</b:First>
          </b:Person>
        </b:NameList>
      </b:Author>
    </b:Author>
    <b:Title>The attitude of Nigerian Medical and nonmedical students toward family planning</b:Title>
    <b:Year>1984</b:Year>
    <b:Publisher>Physical Health Education and Recreation Journal: vol. 1: 48-57</b:Publisher>
    <b:RefOrder>4</b:RefOrder>
  </b:Source>
  <b:Source>
    <b:Tag>Ebo85</b:Tag>
    <b:SourceType>Book</b:SourceType>
    <b:Guid>{80D7C1A0-EFC4-4063-8CB3-8FAA363F1333}</b:Guid>
    <b:LCID>0</b:LCID>
    <b:Author>
      <b:Author>
        <b:NameList>
          <b:Person>
            <b:Last>Ebomoyi</b:Last>
            <b:First>E.W.</b:First>
          </b:Person>
        </b:NameList>
      </b:Author>
    </b:Author>
    <b:Title>Female circumcision; an inhuman practice.</b:Title>
    <b:Year>1985</b:Year>
    <b:Publisher>An International Journal of Health Development. World Health Forum vol. 6 (30) 236-237</b:Publisher>
    <b:RefOrder>5</b:RefOrder>
  </b:Source>
  <b:Source>
    <b:Tag>Ebo87</b:Tag>
    <b:SourceType>Book</b:SourceType>
    <b:Guid>{AE5C0A55-B804-4AE5-B4FB-C28D5FF85EEE}</b:Guid>
    <b:LCID>0</b:LCID>
    <b:Author>
      <b:Author>
        <b:NameList>
          <b:Person>
            <b:Last>Ebomoyi</b:Last>
            <b:First>E.W.</b:First>
          </b:Person>
        </b:NameList>
      </b:Author>
    </b:Author>
    <b:Title>Nutritional status and morbidity of children in isolated  villages of Kwara State Nigeria.</b:Title>
    <b:Year>1987</b:Year>
    <b:Publisher>Ecology of Food and Nutrition (In press)</b:Publisher>
    <b:RefOrder>6</b:RefOrder>
  </b:Source>
  <b:Source>
    <b:Tag>Fed85</b:Tag>
    <b:SourceType>Book</b:SourceType>
    <b:Guid>{FDDF128C-5633-41C4-85CF-DBAD3CD54592}</b:Guid>
    <b:LCID>0</b:LCID>
    <b:Author>
      <b:Author>
        <b:NameList>
          <b:Person>
            <b:Last>Health</b:Last>
            <b:First>Federal</b:First>
            <b:Middle>Ministry of</b:Middle>
          </b:Person>
        </b:NameList>
      </b:Author>
    </b:Author>
    <b:Year>1985</b:Year>
    <b:Title>Vital Statistic Report of the National Health Planning Division</b:Title>
    <b:Publisher>Unpublished</b:Publisher>
    <b:RefOrder>7</b:RefOrder>
  </b:Source>
  <b:Source>
    <b:Tag>Igbinosa</b:Tag>
    <b:SourceType>Book</b:SourceType>
    <b:Guid>{722C44A3-1DFA-4096-B069-2A7AABEDE970}</b:Guid>
    <b:LCID>0</b:LCID>
    <b:Author>
      <b:Author>
        <b:NameList>
          <b:Person>
            <b:Last>Iginosa</b:Last>
            <b:First>A.</b:First>
          </b:Person>
        </b:NameList>
      </b:Author>
    </b:Author>
    <b:Title>Administrative alternative in rural Africa Ph.D Dissertation</b:Title>
    <b:Year>1981</b:Year>
    <b:Publisher>Dept. of Public Administration Ohio Miami University pp.190-200 (unpublished)</b:Publisher>
    <b:RefOrder>8</b:RefOrder>
  </b:Source>
  <b:Source>
    <b:Tag>Lam56</b:Tag>
    <b:SourceType>Book</b:SourceType>
    <b:Guid>{24371C0E-C30D-40F8-A6AE-238CCA9828AB}</b:Guid>
    <b:LCID>0</b:LCID>
    <b:Author>
      <b:Author>
        <b:NameList>
          <b:Person>
            <b:Last>Lambo</b:Last>
            <b:First>A.T.</b:First>
          </b:Person>
        </b:NameList>
      </b:Author>
    </b:Author>
    <b:Title>Neuropsychiatric Observation in WEstern Region of Nigeria</b:Title>
    <b:Year>1956</b:Year>
    <b:Publisher>British Medical Journal, 1388-1396</b:Publisher>
    <b:RefOrder>9</b:RefOrder>
  </b:Source>
  <b:Source>
    <b:Tag>Pax79</b:Tag>
    <b:SourceType>Book</b:SourceType>
    <b:Guid>{0BCBFB99-DA76-4362-8E6C-3DE6CE683C3F}</b:Guid>
    <b:LCID>0</b:LCID>
    <b:Author>
      <b:Author>
        <b:NameList>
          <b:Person>
            <b:Last>Paxman</b:Last>
            <b:First>J.M.,</b:First>
            <b:Middle>et al.</b:Middle>
          </b:Person>
        </b:NameList>
      </b:Author>
    </b:Author>
    <b:Title>The use of paramedics for primary health in commonwealth:A Survey of medical-legal issues and alternatives</b:Title>
    <b:Year>1979</b:Year>
    <b:Publisher>London Commonwealth Secretariat pub. p.7</b:Publisher>
    <b:RefOrder>10</b:RefOrder>
  </b:Source>
  <b:Source>
    <b:Tag>Pri60</b:Tag>
    <b:SourceType>Book</b:SourceType>
    <b:Guid>{47BD36E1-0EC1-4031-9008-19352409E0AA}</b:Guid>
    <b:LCID>0</b:LCID>
    <b:Author>
      <b:Author>
        <b:NameList>
          <b:Person>
            <b:Last>Prince</b:Last>
            <b:First>R.</b:First>
          </b:Person>
        </b:NameList>
      </b:Author>
    </b:Author>
    <b:Title>The use of Rauwolfa for the treatment of psy-choses by Nigerian Native doctors</b:Title>
    <b:Year>1960</b:Year>
    <b:Publisher>Am J. Psychiatry 117: 147-149</b:Publisher>
    <b:RefOrder>11</b:RefOrder>
  </b:Source>
  <b:Source>
    <b:Tag>Shr75</b:Tag>
    <b:SourceType>Book</b:SourceType>
    <b:Guid>{8E25341B-BBF6-4FCC-ACD4-93D71CA951D6}</b:Guid>
    <b:LCID>0</b:LCID>
    <b:Author>
      <b:Author>
        <b:NameList>
          <b:Person>
            <b:Last>Shryock</b:Last>
            <b:First>H.</b:First>
            <b:Middle>et al.</b:Middle>
          </b:Person>
        </b:NameList>
      </b:Author>
    </b:Author>
    <b:Title>The methods and materials of demography. </b:Title>
    <b:Year>1975</b:Year>
    <b:Publisher>United States Dept. of Commerce Bureau of Census</b:Publisher>
    <b:RefOrder>12</b:RefOrder>
  </b:Source>
  <b:Source>
    <b:Tag>Tor69</b:Tag>
    <b:SourceType>Book</b:SourceType>
    <b:Guid>{4095FB71-763B-40F9-BA99-F4E1E506F882}</b:Guid>
    <b:LCID>0</b:LCID>
    <b:Author>
      <b:Author>
        <b:NameList>
          <b:Person>
            <b:Last>Torrey</b:Last>
            <b:First>E.</b:First>
            <b:Middle>F.</b:Middle>
          </b:Person>
        </b:NameList>
      </b:Author>
    </b:Author>
    <b:Title>The case for the indigenous Therapist Arch Gen</b:Title>
    <b:Year>1969</b:Year>
    <b:Publisher>Psychiatry Vol. 20 pp. 365-373.</b:Publisher>
    <b:RefOrder>13</b:RefOrder>
  </b:Source>
  <b:Source>
    <b:Tag>Uni58</b:Tag>
    <b:SourceType>Book</b:SourceType>
    <b:Guid>{456DFCAA-0325-4F91-96AA-5C8D84785C13}</b:Guid>
    <b:LCID>0</b:LCID>
    <b:Author>
      <b:Author>
        <b:NameList>
          <b:Person>
            <b:Last>Nations</b:Last>
            <b:First>United</b:First>
          </b:Person>
        </b:NameList>
      </b:Author>
    </b:Author>
    <b:Title>Handbook of population census method. General aspect of population studies in method series No. 5.</b:Title>
    <b:Year>1958</b:Year>
    <b:RefOrder>14</b:RefOrder>
  </b:Source>
  <b:Source>
    <b:Tag>WHO</b:Tag>
    <b:SourceType>Book</b:SourceType>
    <b:Guid>{EC8592AA-28CA-4656-A627-60BE0A6A04D1}</b:Guid>
    <b:LCID>0</b:LCID>
    <b:Author>
      <b:Author>
        <b:NameList>
          <b:Person>
            <b:Last>committee</b:Last>
            <b:First>W.H.O.</b:First>
            <b:Middle>Expert</b:Middle>
          </b:Person>
        </b:NameList>
      </b:Author>
    </b:Author>
    <b:Title>The promotion and development of traditional medicine.</b:Title>
    <b:Publisher>W.H.O Technical Report Series 7-39</b:Publisher>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768AE-7790-4E07-A902-99BCA8F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Researcher, 2009</vt:lpstr>
    </vt:vector>
  </TitlesOfParts>
  <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2009</dc:title>
  <dc:subject/>
  <dc:creator> </dc:creator>
  <cp:keywords/>
  <dc:description/>
  <cp:lastModifiedBy> </cp:lastModifiedBy>
  <cp:revision>2</cp:revision>
  <cp:lastPrinted>2009-09-01T17:00:00Z</cp:lastPrinted>
  <dcterms:created xsi:type="dcterms:W3CDTF">2009-09-12T16:04:00Z</dcterms:created>
  <dcterms:modified xsi:type="dcterms:W3CDTF">2009-09-12T16:04:00Z</dcterms:modified>
</cp:coreProperties>
</file>