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53" w:rsidRPr="008545FE" w:rsidRDefault="002E0700" w:rsidP="00274E46">
      <w:pPr>
        <w:snapToGrid w:val="0"/>
        <w:jc w:val="center"/>
        <w:rPr>
          <w:sz w:val="20"/>
          <w:szCs w:val="20"/>
        </w:rPr>
      </w:pPr>
      <w:r w:rsidRPr="008545FE">
        <w:rPr>
          <w:b/>
          <w:sz w:val="20"/>
          <w:szCs w:val="20"/>
        </w:rPr>
        <w:t>Incidence of STDs in HIV</w:t>
      </w:r>
      <w:r w:rsidR="00075A53" w:rsidRPr="008545FE">
        <w:rPr>
          <w:b/>
          <w:sz w:val="20"/>
          <w:szCs w:val="20"/>
        </w:rPr>
        <w:t xml:space="preserve"> Patients Attending Health Facilities </w:t>
      </w:r>
      <w:r w:rsidRPr="008545FE">
        <w:rPr>
          <w:b/>
          <w:sz w:val="20"/>
          <w:szCs w:val="20"/>
        </w:rPr>
        <w:t xml:space="preserve">Supported by PEPFAR </w:t>
      </w:r>
      <w:r w:rsidR="00075A53" w:rsidRPr="008545FE">
        <w:rPr>
          <w:b/>
          <w:sz w:val="20"/>
          <w:szCs w:val="20"/>
        </w:rPr>
        <w:t>in Abuja, FCT, Nigeria</w:t>
      </w:r>
    </w:p>
    <w:p w:rsidR="00471E57" w:rsidRPr="008545FE" w:rsidRDefault="00471E57" w:rsidP="00274E46">
      <w:pPr>
        <w:snapToGrid w:val="0"/>
        <w:jc w:val="center"/>
        <w:rPr>
          <w:b/>
          <w:sz w:val="20"/>
          <w:szCs w:val="20"/>
        </w:rPr>
      </w:pPr>
    </w:p>
    <w:p w:rsidR="00075A53" w:rsidRPr="008545FE" w:rsidRDefault="00075A53" w:rsidP="00274E46">
      <w:pPr>
        <w:snapToGrid w:val="0"/>
        <w:jc w:val="center"/>
        <w:rPr>
          <w:sz w:val="20"/>
          <w:szCs w:val="20"/>
        </w:rPr>
      </w:pPr>
      <w:proofErr w:type="spellStart"/>
      <w:r w:rsidRPr="008545FE">
        <w:rPr>
          <w:sz w:val="20"/>
          <w:szCs w:val="20"/>
        </w:rPr>
        <w:t>Olanrewaju</w:t>
      </w:r>
      <w:proofErr w:type="spellEnd"/>
      <w:r w:rsidRPr="008545FE">
        <w:rPr>
          <w:sz w:val="20"/>
          <w:szCs w:val="20"/>
        </w:rPr>
        <w:t xml:space="preserve"> Comfort </w:t>
      </w:r>
      <w:proofErr w:type="gramStart"/>
      <w:r w:rsidRPr="008545FE">
        <w:rPr>
          <w:sz w:val="20"/>
          <w:szCs w:val="20"/>
        </w:rPr>
        <w:t>A</w:t>
      </w:r>
      <w:proofErr w:type="gramEnd"/>
      <w:r w:rsidRPr="008545FE">
        <w:rPr>
          <w:sz w:val="20"/>
          <w:szCs w:val="20"/>
        </w:rPr>
        <w:t xml:space="preserve">, </w:t>
      </w:r>
      <w:proofErr w:type="spellStart"/>
      <w:r w:rsidRPr="008545FE">
        <w:rPr>
          <w:sz w:val="20"/>
          <w:szCs w:val="20"/>
        </w:rPr>
        <w:t>Shoretire</w:t>
      </w:r>
      <w:proofErr w:type="spellEnd"/>
      <w:r w:rsidRPr="008545FE">
        <w:rPr>
          <w:sz w:val="20"/>
          <w:szCs w:val="20"/>
        </w:rPr>
        <w:t xml:space="preserve"> </w:t>
      </w:r>
      <w:proofErr w:type="spellStart"/>
      <w:r w:rsidRPr="008545FE">
        <w:rPr>
          <w:sz w:val="20"/>
          <w:szCs w:val="20"/>
        </w:rPr>
        <w:t>Adebola</w:t>
      </w:r>
      <w:proofErr w:type="spellEnd"/>
      <w:r w:rsidRPr="008545FE">
        <w:rPr>
          <w:sz w:val="20"/>
          <w:szCs w:val="20"/>
        </w:rPr>
        <w:t xml:space="preserve"> M</w:t>
      </w:r>
    </w:p>
    <w:p w:rsidR="00471E57" w:rsidRPr="008545FE" w:rsidRDefault="00471E57" w:rsidP="00274E46">
      <w:pPr>
        <w:snapToGrid w:val="0"/>
        <w:jc w:val="center"/>
        <w:rPr>
          <w:sz w:val="20"/>
          <w:szCs w:val="20"/>
        </w:rPr>
      </w:pPr>
    </w:p>
    <w:p w:rsidR="00075A53" w:rsidRPr="008545FE" w:rsidRDefault="00075A53" w:rsidP="00274E46">
      <w:pPr>
        <w:snapToGrid w:val="0"/>
        <w:jc w:val="center"/>
        <w:rPr>
          <w:sz w:val="20"/>
          <w:szCs w:val="20"/>
        </w:rPr>
      </w:pPr>
      <w:r w:rsidRPr="008545FE">
        <w:rPr>
          <w:sz w:val="20"/>
          <w:szCs w:val="20"/>
        </w:rPr>
        <w:t>Department of Biological Sciences, University of Abuja,</w:t>
      </w:r>
      <w:r w:rsidR="008545FE" w:rsidRPr="008545FE">
        <w:rPr>
          <w:sz w:val="20"/>
          <w:szCs w:val="20"/>
        </w:rPr>
        <w:t xml:space="preserve"> </w:t>
      </w:r>
      <w:r w:rsidRPr="008545FE">
        <w:rPr>
          <w:sz w:val="20"/>
          <w:szCs w:val="20"/>
        </w:rPr>
        <w:t>Abuja, 900001, Nigeria</w:t>
      </w:r>
    </w:p>
    <w:p w:rsidR="00075A53" w:rsidRPr="008545FE" w:rsidRDefault="0093101A" w:rsidP="008545FE">
      <w:pPr>
        <w:snapToGrid w:val="0"/>
        <w:jc w:val="center"/>
        <w:rPr>
          <w:sz w:val="20"/>
          <w:szCs w:val="20"/>
        </w:rPr>
      </w:pPr>
      <w:hyperlink r:id="rId7" w:history="1">
        <w:r w:rsidR="00075A53" w:rsidRPr="008545FE">
          <w:rPr>
            <w:rStyle w:val="Hyperlink"/>
            <w:sz w:val="20"/>
            <w:szCs w:val="20"/>
          </w:rPr>
          <w:t>olanrewaju.adetutu@uniabuja.edu.ng</w:t>
        </w:r>
      </w:hyperlink>
      <w:r w:rsidR="008545FE">
        <w:rPr>
          <w:sz w:val="20"/>
          <w:szCs w:val="20"/>
        </w:rPr>
        <w:t xml:space="preserve">; </w:t>
      </w:r>
      <w:r w:rsidR="008545FE" w:rsidRPr="008545FE">
        <w:rPr>
          <w:sz w:val="20"/>
          <w:szCs w:val="20"/>
        </w:rPr>
        <w:t>Telephone: 805-771-7311</w:t>
      </w:r>
    </w:p>
    <w:p w:rsidR="001817C7" w:rsidRPr="008545FE" w:rsidRDefault="001817C7" w:rsidP="00274E46">
      <w:pPr>
        <w:snapToGrid w:val="0"/>
        <w:jc w:val="center"/>
        <w:rPr>
          <w:sz w:val="20"/>
          <w:szCs w:val="20"/>
        </w:rPr>
      </w:pPr>
    </w:p>
    <w:p w:rsidR="00075A53" w:rsidRPr="008545FE" w:rsidRDefault="00471E57" w:rsidP="00274E46">
      <w:pPr>
        <w:snapToGrid w:val="0"/>
        <w:jc w:val="both"/>
        <w:rPr>
          <w:sz w:val="20"/>
          <w:szCs w:val="20"/>
        </w:rPr>
      </w:pPr>
      <w:r w:rsidRPr="008545FE">
        <w:rPr>
          <w:b/>
          <w:sz w:val="20"/>
          <w:szCs w:val="20"/>
        </w:rPr>
        <w:t xml:space="preserve">Abstract: </w:t>
      </w:r>
      <w:r w:rsidR="00075A53" w:rsidRPr="008545FE">
        <w:rPr>
          <w:sz w:val="20"/>
          <w:szCs w:val="20"/>
        </w:rPr>
        <w:t xml:space="preserve">HIV positive patients </w:t>
      </w:r>
      <w:r w:rsidR="002E0700" w:rsidRPr="008545FE">
        <w:rPr>
          <w:sz w:val="20"/>
          <w:szCs w:val="20"/>
        </w:rPr>
        <w:t xml:space="preserve">are more at risk of acquiring </w:t>
      </w:r>
      <w:r w:rsidR="00075A53" w:rsidRPr="008545FE">
        <w:rPr>
          <w:sz w:val="20"/>
          <w:szCs w:val="20"/>
        </w:rPr>
        <w:t>S</w:t>
      </w:r>
      <w:r w:rsidR="002E0700" w:rsidRPr="008545FE">
        <w:rPr>
          <w:sz w:val="20"/>
          <w:szCs w:val="20"/>
        </w:rPr>
        <w:t xml:space="preserve">exually </w:t>
      </w:r>
      <w:r w:rsidR="00075A53" w:rsidRPr="008545FE">
        <w:rPr>
          <w:sz w:val="20"/>
          <w:szCs w:val="20"/>
        </w:rPr>
        <w:t>T</w:t>
      </w:r>
      <w:r w:rsidR="002E0700" w:rsidRPr="008545FE">
        <w:rPr>
          <w:sz w:val="20"/>
          <w:szCs w:val="20"/>
        </w:rPr>
        <w:t xml:space="preserve">ransmitted </w:t>
      </w:r>
      <w:r w:rsidR="00075A53" w:rsidRPr="008545FE">
        <w:rPr>
          <w:sz w:val="20"/>
          <w:szCs w:val="20"/>
        </w:rPr>
        <w:t>D</w:t>
      </w:r>
      <w:r w:rsidR="002E0700" w:rsidRPr="008545FE">
        <w:rPr>
          <w:sz w:val="20"/>
          <w:szCs w:val="20"/>
        </w:rPr>
        <w:t>isease</w:t>
      </w:r>
      <w:r w:rsidR="00075A53" w:rsidRPr="008545FE">
        <w:rPr>
          <w:sz w:val="20"/>
          <w:szCs w:val="20"/>
        </w:rPr>
        <w:t xml:space="preserve">s </w:t>
      </w:r>
      <w:r w:rsidR="002E0700" w:rsidRPr="008545FE">
        <w:rPr>
          <w:sz w:val="20"/>
          <w:szCs w:val="20"/>
        </w:rPr>
        <w:t xml:space="preserve">(STDs) </w:t>
      </w:r>
      <w:r w:rsidR="00075A53" w:rsidRPr="008545FE">
        <w:rPr>
          <w:sz w:val="20"/>
          <w:szCs w:val="20"/>
        </w:rPr>
        <w:t>due to similar modes of transmission and so it’s no surprise that a</w:t>
      </w:r>
      <w:r w:rsidR="002E0700" w:rsidRPr="008545FE">
        <w:rPr>
          <w:sz w:val="20"/>
          <w:szCs w:val="20"/>
        </w:rPr>
        <w:t xml:space="preserve"> substantial number of people </w:t>
      </w:r>
      <w:r w:rsidR="00075A53" w:rsidRPr="008545FE">
        <w:rPr>
          <w:sz w:val="20"/>
          <w:szCs w:val="20"/>
        </w:rPr>
        <w:t xml:space="preserve">are co-infected. A study of the </w:t>
      </w:r>
      <w:r w:rsidR="002E0700" w:rsidRPr="008545FE">
        <w:rPr>
          <w:sz w:val="20"/>
          <w:szCs w:val="20"/>
        </w:rPr>
        <w:t>incidence</w:t>
      </w:r>
      <w:r w:rsidR="00075A53" w:rsidRPr="008545FE">
        <w:rPr>
          <w:sz w:val="20"/>
          <w:szCs w:val="20"/>
        </w:rPr>
        <w:t xml:space="preserve"> of HIV and STD co-infection </w:t>
      </w:r>
      <w:r w:rsidR="002E0700" w:rsidRPr="008545FE">
        <w:rPr>
          <w:sz w:val="20"/>
          <w:szCs w:val="20"/>
        </w:rPr>
        <w:t xml:space="preserve">was carried out </w:t>
      </w:r>
      <w:r w:rsidR="00075A53" w:rsidRPr="008545FE">
        <w:rPr>
          <w:sz w:val="20"/>
          <w:szCs w:val="20"/>
        </w:rPr>
        <w:t>among patients attending health facilities that a</w:t>
      </w:r>
      <w:r w:rsidR="002E0700" w:rsidRPr="008545FE">
        <w:rPr>
          <w:sz w:val="20"/>
          <w:szCs w:val="20"/>
        </w:rPr>
        <w:t>re supported by the President’s Emergency Plan Fund for AIDS R</w:t>
      </w:r>
      <w:r w:rsidR="00075A53" w:rsidRPr="008545FE">
        <w:rPr>
          <w:sz w:val="20"/>
          <w:szCs w:val="20"/>
        </w:rPr>
        <w:t xml:space="preserve">elief (PEPFAR) already providing HCT and ART services. 344 </w:t>
      </w:r>
      <w:proofErr w:type="gramStart"/>
      <w:r w:rsidR="00075A53" w:rsidRPr="008545FE">
        <w:rPr>
          <w:sz w:val="20"/>
          <w:szCs w:val="20"/>
        </w:rPr>
        <w:t>sera</w:t>
      </w:r>
      <w:proofErr w:type="gramEnd"/>
      <w:r w:rsidR="00075A53" w:rsidRPr="008545FE">
        <w:rPr>
          <w:sz w:val="20"/>
          <w:szCs w:val="20"/>
        </w:rPr>
        <w:t xml:space="preserve"> samples were collected for the study and screened for </w:t>
      </w:r>
      <w:proofErr w:type="spellStart"/>
      <w:r w:rsidR="00075A53" w:rsidRPr="008545FE">
        <w:rPr>
          <w:sz w:val="20"/>
          <w:szCs w:val="20"/>
        </w:rPr>
        <w:t>HBsAg</w:t>
      </w:r>
      <w:proofErr w:type="spellEnd"/>
      <w:r w:rsidR="00075A53" w:rsidRPr="008545FE">
        <w:rPr>
          <w:sz w:val="20"/>
          <w:szCs w:val="20"/>
        </w:rPr>
        <w:t xml:space="preserve">, HCV and VDRL using rapid test kits according to CDC’s recommendations. The overall co-infection occurrence was 49 (14.24%), HIV-HBV co-infection showed the highest prevalence of 11.05%. The prevalence of HCV and Syphilis were 2.62% and 0.58% respectively. The co-infection was higher in men 36 (25.17%) than female13 (6.47%). Abuja Municipal Area Council (AMAC) reported the highest rate of co-infection 17(16.83%) while </w:t>
      </w:r>
      <w:proofErr w:type="spellStart"/>
      <w:r w:rsidR="00075A53" w:rsidRPr="008545FE">
        <w:rPr>
          <w:sz w:val="20"/>
          <w:szCs w:val="20"/>
        </w:rPr>
        <w:t>Kwali</w:t>
      </w:r>
      <w:proofErr w:type="spellEnd"/>
      <w:r w:rsidR="00075A53" w:rsidRPr="008545FE">
        <w:rPr>
          <w:sz w:val="20"/>
          <w:szCs w:val="20"/>
        </w:rPr>
        <w:t xml:space="preserve"> had the least 4(10.26%). Regular screening sessions to monitor and control the current situation of the epidemics should be implemented as well as intensifying public awareness of the mode of transmission and prevention of these deadly viral diseases.</w:t>
      </w:r>
    </w:p>
    <w:p w:rsidR="00274E46" w:rsidRPr="008545FE" w:rsidRDefault="00D778C9" w:rsidP="00274E46">
      <w:pPr>
        <w:adjustRightInd w:val="0"/>
        <w:snapToGrid w:val="0"/>
        <w:jc w:val="both"/>
        <w:rPr>
          <w:color w:val="000000"/>
          <w:sz w:val="20"/>
          <w:szCs w:val="20"/>
          <w:shd w:val="clear" w:color="auto" w:fill="FFFFFF"/>
        </w:rPr>
      </w:pPr>
      <w:r w:rsidRPr="008545FE">
        <w:rPr>
          <w:color w:val="000000"/>
          <w:sz w:val="20"/>
          <w:szCs w:val="20"/>
        </w:rPr>
        <w:t>[</w:t>
      </w:r>
      <w:proofErr w:type="spellStart"/>
      <w:r w:rsidR="00075A53" w:rsidRPr="008545FE">
        <w:rPr>
          <w:sz w:val="20"/>
          <w:szCs w:val="20"/>
        </w:rPr>
        <w:t>Olanrewaju</w:t>
      </w:r>
      <w:proofErr w:type="spellEnd"/>
      <w:r w:rsidR="00075A53" w:rsidRPr="008545FE">
        <w:rPr>
          <w:sz w:val="20"/>
          <w:szCs w:val="20"/>
        </w:rPr>
        <w:t xml:space="preserve"> CA, </w:t>
      </w:r>
      <w:proofErr w:type="spellStart"/>
      <w:r w:rsidR="00075A53" w:rsidRPr="008545FE">
        <w:rPr>
          <w:sz w:val="20"/>
          <w:szCs w:val="20"/>
        </w:rPr>
        <w:t>Shoretire</w:t>
      </w:r>
      <w:proofErr w:type="spellEnd"/>
      <w:r w:rsidR="00075A53" w:rsidRPr="008545FE">
        <w:rPr>
          <w:sz w:val="20"/>
          <w:szCs w:val="20"/>
        </w:rPr>
        <w:t xml:space="preserve"> </w:t>
      </w:r>
      <w:proofErr w:type="gramStart"/>
      <w:r w:rsidR="00075A53" w:rsidRPr="008545FE">
        <w:rPr>
          <w:sz w:val="20"/>
          <w:szCs w:val="20"/>
        </w:rPr>
        <w:t>AM</w:t>
      </w:r>
      <w:proofErr w:type="gramEnd"/>
      <w:r w:rsidRPr="008545FE">
        <w:rPr>
          <w:sz w:val="20"/>
          <w:szCs w:val="20"/>
        </w:rPr>
        <w:t>.</w:t>
      </w:r>
      <w:r w:rsidR="00274E46" w:rsidRPr="008545FE">
        <w:rPr>
          <w:rFonts w:hint="eastAsia"/>
          <w:sz w:val="20"/>
          <w:szCs w:val="20"/>
          <w:lang w:eastAsia="zh-CN"/>
        </w:rPr>
        <w:t xml:space="preserve"> </w:t>
      </w:r>
      <w:proofErr w:type="spellStart"/>
      <w:proofErr w:type="gramStart"/>
      <w:r w:rsidR="00075A53" w:rsidRPr="008545FE">
        <w:rPr>
          <w:b/>
          <w:sz w:val="20"/>
          <w:szCs w:val="20"/>
        </w:rPr>
        <w:t>Sero</w:t>
      </w:r>
      <w:proofErr w:type="spellEnd"/>
      <w:r w:rsidR="00075A53" w:rsidRPr="008545FE">
        <w:rPr>
          <w:b/>
          <w:sz w:val="20"/>
          <w:szCs w:val="20"/>
        </w:rPr>
        <w:t>-Prevalence of HIV and STDs Co-Infection among Patients Attending</w:t>
      </w:r>
      <w:r w:rsidR="00204CA9">
        <w:rPr>
          <w:b/>
          <w:sz w:val="20"/>
          <w:szCs w:val="20"/>
        </w:rPr>
        <w:t xml:space="preserve"> Health</w:t>
      </w:r>
      <w:r w:rsidR="00075A53" w:rsidRPr="008545FE">
        <w:rPr>
          <w:b/>
          <w:sz w:val="20"/>
          <w:szCs w:val="20"/>
        </w:rPr>
        <w:t xml:space="preserve"> Faculties in Abuja, FCT, Nigeria</w:t>
      </w:r>
      <w:r w:rsidR="00274E46" w:rsidRPr="008545FE">
        <w:rPr>
          <w:rFonts w:eastAsia="Times New Roman"/>
          <w:b/>
          <w:bCs/>
          <w:sz w:val="20"/>
          <w:szCs w:val="20"/>
          <w:lang w:bidi="fa-IR"/>
        </w:rPr>
        <w:t>.</w:t>
      </w:r>
      <w:proofErr w:type="gramEnd"/>
      <w:r w:rsidR="00274E46" w:rsidRPr="008545FE">
        <w:rPr>
          <w:bCs/>
          <w:i/>
          <w:sz w:val="20"/>
          <w:szCs w:val="20"/>
        </w:rPr>
        <w:t xml:space="preserve"> Researcher</w:t>
      </w:r>
      <w:r w:rsidR="00274E46" w:rsidRPr="008545FE">
        <w:rPr>
          <w:bCs/>
          <w:sz w:val="20"/>
          <w:szCs w:val="20"/>
        </w:rPr>
        <w:t xml:space="preserve"> 201</w:t>
      </w:r>
      <w:r w:rsidR="00274E46" w:rsidRPr="008545FE">
        <w:rPr>
          <w:rFonts w:hint="eastAsia"/>
          <w:bCs/>
          <w:sz w:val="20"/>
          <w:szCs w:val="20"/>
        </w:rPr>
        <w:t>6</w:t>
      </w:r>
      <w:proofErr w:type="gramStart"/>
      <w:r w:rsidR="00274E46" w:rsidRPr="008545FE">
        <w:rPr>
          <w:bCs/>
          <w:sz w:val="20"/>
          <w:szCs w:val="20"/>
        </w:rPr>
        <w:t>;</w:t>
      </w:r>
      <w:r w:rsidR="00274E46" w:rsidRPr="008545FE">
        <w:rPr>
          <w:rFonts w:hint="eastAsia"/>
          <w:bCs/>
          <w:sz w:val="20"/>
          <w:szCs w:val="20"/>
        </w:rPr>
        <w:t>8</w:t>
      </w:r>
      <w:proofErr w:type="gramEnd"/>
      <w:r w:rsidR="00274E46" w:rsidRPr="008545FE">
        <w:rPr>
          <w:bCs/>
          <w:sz w:val="20"/>
          <w:szCs w:val="20"/>
        </w:rPr>
        <w:t>(</w:t>
      </w:r>
      <w:r w:rsidR="00274E46" w:rsidRPr="008545FE">
        <w:rPr>
          <w:rFonts w:hint="eastAsia"/>
          <w:bCs/>
          <w:sz w:val="20"/>
          <w:szCs w:val="20"/>
        </w:rPr>
        <w:t>4</w:t>
      </w:r>
      <w:r w:rsidR="00274E46" w:rsidRPr="008545FE">
        <w:rPr>
          <w:bCs/>
          <w:sz w:val="20"/>
          <w:szCs w:val="20"/>
        </w:rPr>
        <w:t>):</w:t>
      </w:r>
      <w:r w:rsidR="003A2CEA" w:rsidRPr="008545FE">
        <w:rPr>
          <w:noProof/>
          <w:color w:val="000000"/>
          <w:sz w:val="20"/>
          <w:szCs w:val="20"/>
        </w:rPr>
        <w:t>48</w:t>
      </w:r>
      <w:r w:rsidR="00274E46" w:rsidRPr="008545FE">
        <w:rPr>
          <w:color w:val="000000"/>
          <w:sz w:val="20"/>
          <w:szCs w:val="20"/>
        </w:rPr>
        <w:t>-</w:t>
      </w:r>
      <w:r w:rsidR="003A2CEA" w:rsidRPr="008545FE">
        <w:rPr>
          <w:noProof/>
          <w:color w:val="000000"/>
          <w:sz w:val="20"/>
          <w:szCs w:val="20"/>
        </w:rPr>
        <w:t>52</w:t>
      </w:r>
      <w:r w:rsidR="00274E46" w:rsidRPr="008545FE">
        <w:rPr>
          <w:bCs/>
          <w:sz w:val="20"/>
          <w:szCs w:val="20"/>
        </w:rPr>
        <w:t xml:space="preserve">]. </w:t>
      </w:r>
      <w:proofErr w:type="gramStart"/>
      <w:r w:rsidR="00274E46" w:rsidRPr="008545FE">
        <w:rPr>
          <w:sz w:val="20"/>
          <w:szCs w:val="20"/>
        </w:rPr>
        <w:t>ISSN 1553-9865 (print); ISSN 2163-8950 (online)</w:t>
      </w:r>
      <w:r w:rsidR="00274E46" w:rsidRPr="008545FE">
        <w:rPr>
          <w:bCs/>
          <w:sz w:val="20"/>
          <w:szCs w:val="20"/>
        </w:rPr>
        <w:t>.</w:t>
      </w:r>
      <w:proofErr w:type="gramEnd"/>
      <w:r w:rsidR="00274E46" w:rsidRPr="008545FE">
        <w:rPr>
          <w:bCs/>
          <w:sz w:val="20"/>
          <w:szCs w:val="20"/>
        </w:rPr>
        <w:t xml:space="preserve"> </w:t>
      </w:r>
      <w:hyperlink r:id="rId8" w:history="1">
        <w:r w:rsidR="00274E46" w:rsidRPr="008545FE">
          <w:rPr>
            <w:rStyle w:val="Hyperlink"/>
            <w:sz w:val="20"/>
            <w:szCs w:val="20"/>
          </w:rPr>
          <w:t>http://www.sciencepub.net/researcher</w:t>
        </w:r>
      </w:hyperlink>
      <w:r w:rsidR="00274E46" w:rsidRPr="008545FE">
        <w:rPr>
          <w:bCs/>
          <w:sz w:val="20"/>
          <w:szCs w:val="20"/>
        </w:rPr>
        <w:t>.</w:t>
      </w:r>
      <w:r w:rsidR="00274E46" w:rsidRPr="008545FE">
        <w:rPr>
          <w:rFonts w:hint="eastAsia"/>
          <w:bCs/>
          <w:sz w:val="20"/>
          <w:szCs w:val="20"/>
        </w:rPr>
        <w:t xml:space="preserve"> </w:t>
      </w:r>
      <w:r w:rsidR="00274E46" w:rsidRPr="008545FE">
        <w:rPr>
          <w:rFonts w:hint="eastAsia"/>
          <w:bCs/>
          <w:sz w:val="20"/>
          <w:szCs w:val="20"/>
          <w:lang w:eastAsia="zh-CN"/>
        </w:rPr>
        <w:t>7</w:t>
      </w:r>
      <w:r w:rsidR="00274E46" w:rsidRPr="008545FE">
        <w:rPr>
          <w:rFonts w:hint="eastAsia"/>
          <w:bCs/>
          <w:sz w:val="20"/>
          <w:szCs w:val="20"/>
        </w:rPr>
        <w:t xml:space="preserve">. </w:t>
      </w:r>
      <w:proofErr w:type="gramStart"/>
      <w:r w:rsidR="00274E46" w:rsidRPr="008545FE">
        <w:rPr>
          <w:color w:val="000000"/>
          <w:sz w:val="20"/>
          <w:szCs w:val="20"/>
          <w:shd w:val="clear" w:color="auto" w:fill="FFFFFF"/>
        </w:rPr>
        <w:t>doi</w:t>
      </w:r>
      <w:proofErr w:type="gramEnd"/>
      <w:r w:rsidR="00274E46" w:rsidRPr="008545FE">
        <w:rPr>
          <w:color w:val="000000"/>
          <w:sz w:val="20"/>
          <w:szCs w:val="20"/>
          <w:shd w:val="clear" w:color="auto" w:fill="FFFFFF"/>
        </w:rPr>
        <w:t>:</w:t>
      </w:r>
      <w:hyperlink r:id="rId9" w:history="1">
        <w:r w:rsidR="00274E46" w:rsidRPr="008545FE">
          <w:rPr>
            <w:rStyle w:val="Hyperlink"/>
            <w:sz w:val="20"/>
            <w:szCs w:val="20"/>
            <w:shd w:val="clear" w:color="auto" w:fill="FFFFFF"/>
          </w:rPr>
          <w:t>10.7537/mars</w:t>
        </w:r>
        <w:r w:rsidR="00274E46" w:rsidRPr="008545FE">
          <w:rPr>
            <w:rStyle w:val="Hyperlink"/>
            <w:rFonts w:hint="eastAsia"/>
            <w:sz w:val="20"/>
            <w:szCs w:val="20"/>
            <w:shd w:val="clear" w:color="auto" w:fill="FFFFFF"/>
          </w:rPr>
          <w:t>r</w:t>
        </w:r>
        <w:r w:rsidR="00274E46" w:rsidRPr="008545FE">
          <w:rPr>
            <w:rStyle w:val="Hyperlink"/>
            <w:sz w:val="20"/>
            <w:szCs w:val="20"/>
            <w:shd w:val="clear" w:color="auto" w:fill="FFFFFF"/>
          </w:rPr>
          <w:t>sj</w:t>
        </w:r>
        <w:r w:rsidR="00274E46" w:rsidRPr="008545FE">
          <w:rPr>
            <w:rStyle w:val="Hyperlink"/>
            <w:rFonts w:hint="eastAsia"/>
            <w:sz w:val="20"/>
            <w:szCs w:val="20"/>
            <w:shd w:val="clear" w:color="auto" w:fill="FFFFFF"/>
          </w:rPr>
          <w:t>0804</w:t>
        </w:r>
        <w:r w:rsidR="00274E46" w:rsidRPr="008545FE">
          <w:rPr>
            <w:rStyle w:val="Hyperlink"/>
            <w:sz w:val="20"/>
            <w:szCs w:val="20"/>
            <w:shd w:val="clear" w:color="auto" w:fill="FFFFFF"/>
          </w:rPr>
          <w:t>1</w:t>
        </w:r>
        <w:r w:rsidR="00274E46" w:rsidRPr="008545FE">
          <w:rPr>
            <w:rStyle w:val="Hyperlink"/>
            <w:rFonts w:hint="eastAsia"/>
            <w:sz w:val="20"/>
            <w:szCs w:val="20"/>
            <w:shd w:val="clear" w:color="auto" w:fill="FFFFFF"/>
          </w:rPr>
          <w:t>6</w:t>
        </w:r>
        <w:r w:rsidR="00274E46" w:rsidRPr="008545FE">
          <w:rPr>
            <w:rStyle w:val="Hyperlink"/>
            <w:sz w:val="20"/>
            <w:szCs w:val="20"/>
            <w:shd w:val="clear" w:color="auto" w:fill="FFFFFF"/>
          </w:rPr>
          <w:t>0</w:t>
        </w:r>
        <w:r w:rsidR="00274E46" w:rsidRPr="008545FE">
          <w:rPr>
            <w:rStyle w:val="Hyperlink"/>
            <w:rFonts w:hint="eastAsia"/>
            <w:sz w:val="20"/>
            <w:szCs w:val="20"/>
            <w:shd w:val="clear" w:color="auto" w:fill="FFFFFF"/>
            <w:lang w:eastAsia="zh-CN"/>
          </w:rPr>
          <w:t>7</w:t>
        </w:r>
      </w:hyperlink>
      <w:r w:rsidR="00274E46" w:rsidRPr="008545FE">
        <w:rPr>
          <w:color w:val="000000"/>
          <w:sz w:val="20"/>
          <w:szCs w:val="20"/>
          <w:shd w:val="clear" w:color="auto" w:fill="FFFFFF"/>
        </w:rPr>
        <w:t>.</w:t>
      </w:r>
    </w:p>
    <w:p w:rsidR="001817C7" w:rsidRPr="008545FE" w:rsidRDefault="001817C7" w:rsidP="00274E46">
      <w:pPr>
        <w:snapToGrid w:val="0"/>
        <w:jc w:val="both"/>
        <w:rPr>
          <w:sz w:val="20"/>
          <w:szCs w:val="20"/>
        </w:rPr>
      </w:pPr>
    </w:p>
    <w:p w:rsidR="001817C7" w:rsidRPr="008545FE" w:rsidRDefault="001817C7" w:rsidP="00274E46">
      <w:pPr>
        <w:snapToGrid w:val="0"/>
        <w:jc w:val="both"/>
        <w:rPr>
          <w:sz w:val="20"/>
          <w:szCs w:val="20"/>
        </w:rPr>
      </w:pPr>
      <w:r w:rsidRPr="008545FE">
        <w:rPr>
          <w:b/>
          <w:sz w:val="20"/>
          <w:szCs w:val="20"/>
        </w:rPr>
        <w:t xml:space="preserve">Keywords: </w:t>
      </w:r>
      <w:r w:rsidR="00075A53" w:rsidRPr="008545FE">
        <w:rPr>
          <w:sz w:val="20"/>
          <w:szCs w:val="20"/>
        </w:rPr>
        <w:t>Area councils, Co-infe</w:t>
      </w:r>
      <w:r w:rsidR="002E0700" w:rsidRPr="008545FE">
        <w:rPr>
          <w:sz w:val="20"/>
          <w:szCs w:val="20"/>
        </w:rPr>
        <w:t>ction, FCT, HIV, Incidence</w:t>
      </w:r>
      <w:r w:rsidR="00075A53" w:rsidRPr="008545FE">
        <w:rPr>
          <w:sz w:val="20"/>
          <w:szCs w:val="20"/>
        </w:rPr>
        <w:t>, STDs</w:t>
      </w:r>
    </w:p>
    <w:p w:rsidR="00274E46" w:rsidRPr="008545FE" w:rsidRDefault="00274E46" w:rsidP="00274E46">
      <w:pPr>
        <w:snapToGrid w:val="0"/>
        <w:jc w:val="both"/>
        <w:rPr>
          <w:b/>
          <w:sz w:val="20"/>
          <w:szCs w:val="20"/>
        </w:rPr>
      </w:pPr>
    </w:p>
    <w:p w:rsidR="00274E46" w:rsidRPr="008545FE" w:rsidRDefault="00274E46" w:rsidP="00274E46">
      <w:pPr>
        <w:snapToGrid w:val="0"/>
        <w:jc w:val="both"/>
        <w:rPr>
          <w:b/>
          <w:sz w:val="20"/>
          <w:szCs w:val="20"/>
        </w:rPr>
        <w:sectPr w:rsidR="00274E46" w:rsidRPr="008545FE" w:rsidSect="003A2CE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8"/>
          <w:cols w:space="720"/>
          <w:docGrid w:linePitch="360"/>
        </w:sectPr>
      </w:pPr>
    </w:p>
    <w:p w:rsidR="00471E57" w:rsidRPr="008545FE" w:rsidRDefault="00471E57" w:rsidP="00274E46">
      <w:pPr>
        <w:snapToGrid w:val="0"/>
        <w:jc w:val="both"/>
        <w:rPr>
          <w:b/>
          <w:sz w:val="20"/>
          <w:szCs w:val="20"/>
        </w:rPr>
      </w:pPr>
      <w:r w:rsidRPr="008545FE">
        <w:rPr>
          <w:b/>
          <w:sz w:val="20"/>
          <w:szCs w:val="20"/>
        </w:rPr>
        <w:lastRenderedPageBreak/>
        <w:t>1. Introduction</w:t>
      </w:r>
    </w:p>
    <w:p w:rsidR="00EB51F4" w:rsidRPr="008545FE" w:rsidRDefault="00D0140D" w:rsidP="00274E46">
      <w:pPr>
        <w:snapToGrid w:val="0"/>
        <w:ind w:firstLine="425"/>
        <w:jc w:val="both"/>
        <w:rPr>
          <w:b/>
          <w:sz w:val="20"/>
          <w:szCs w:val="20"/>
        </w:rPr>
      </w:pPr>
      <w:r w:rsidRPr="008545FE">
        <w:rPr>
          <w:sz w:val="20"/>
          <w:szCs w:val="20"/>
        </w:rPr>
        <w:t xml:space="preserve">Human immunodeficiency virus (HIV) is a virus that progressively reduces the immune system responses. HIV can be transmitted by sharing of needles, sexual activity and breastfeeding; therefore HIV is counted </w:t>
      </w:r>
      <w:r w:rsidR="00EF55BA" w:rsidRPr="008545FE">
        <w:rPr>
          <w:sz w:val="20"/>
          <w:szCs w:val="20"/>
        </w:rPr>
        <w:t>as one type of STDs (Cohen, 2004</w:t>
      </w:r>
      <w:r w:rsidRPr="008545FE">
        <w:rPr>
          <w:sz w:val="20"/>
          <w:szCs w:val="20"/>
        </w:rPr>
        <w:t>). Sexually transmitted diseases (STD), also known as sexually transmitted infections (STI), refer to illnesses that are mainly transmitted by sexual activity but may also be transmitted through childbirth and breastfeeding. STD is a public health concern which affects millions of people (Cates, 1999). Sexually Transmitted Diseases (STD) are among the most well-established risk factors for HIV infection. The prevalence of HIV infections has been on the increase since the description of the four cases in San Francisco in 1981. Accumulative evidence suggests that concurrent infections with STDs increase the transmission, so there will be greater prevalence of STD co-infection among HIV clinic attende</w:t>
      </w:r>
      <w:r w:rsidR="00204CA9">
        <w:rPr>
          <w:sz w:val="20"/>
          <w:szCs w:val="20"/>
        </w:rPr>
        <w:t>es (</w:t>
      </w:r>
      <w:proofErr w:type="spellStart"/>
      <w:r w:rsidR="00204CA9">
        <w:rPr>
          <w:sz w:val="20"/>
          <w:szCs w:val="20"/>
        </w:rPr>
        <w:t>Piot</w:t>
      </w:r>
      <w:proofErr w:type="spellEnd"/>
      <w:r w:rsidR="00204CA9">
        <w:rPr>
          <w:sz w:val="20"/>
          <w:szCs w:val="20"/>
        </w:rPr>
        <w:t xml:space="preserve"> and Logo, 1989; </w:t>
      </w:r>
      <w:proofErr w:type="spellStart"/>
      <w:r w:rsidR="00204CA9">
        <w:rPr>
          <w:sz w:val="20"/>
          <w:szCs w:val="20"/>
        </w:rPr>
        <w:t>Greenb</w:t>
      </w:r>
      <w:r w:rsidRPr="008545FE">
        <w:rPr>
          <w:sz w:val="20"/>
          <w:szCs w:val="20"/>
        </w:rPr>
        <w:t>latt</w:t>
      </w:r>
      <w:proofErr w:type="spellEnd"/>
      <w:r w:rsidRPr="008545FE">
        <w:rPr>
          <w:sz w:val="20"/>
          <w:szCs w:val="20"/>
        </w:rPr>
        <w:t xml:space="preserve"> </w:t>
      </w:r>
      <w:r w:rsidRPr="008545FE">
        <w:rPr>
          <w:i/>
          <w:sz w:val="20"/>
          <w:szCs w:val="20"/>
        </w:rPr>
        <w:t>et al.</w:t>
      </w:r>
      <w:r w:rsidRPr="008545FE">
        <w:rPr>
          <w:sz w:val="20"/>
          <w:szCs w:val="20"/>
        </w:rPr>
        <w:t>, 1988).</w:t>
      </w:r>
      <w:r w:rsidR="008545FE">
        <w:rPr>
          <w:sz w:val="20"/>
          <w:szCs w:val="20"/>
        </w:rPr>
        <w:t xml:space="preserve"> </w:t>
      </w:r>
      <w:r w:rsidRPr="008545FE">
        <w:rPr>
          <w:sz w:val="20"/>
          <w:szCs w:val="20"/>
        </w:rPr>
        <w:t>STDs facilitate HIV transmission by breaching protective mucosal barriers and recruiting susceptible immune cells (e.g. CD4 T-helper cells, macrophages)</w:t>
      </w:r>
      <w:r w:rsidR="00EF55BA" w:rsidRPr="008545FE">
        <w:rPr>
          <w:sz w:val="20"/>
          <w:szCs w:val="20"/>
        </w:rPr>
        <w:t xml:space="preserve"> to the site of infection (Ward and </w:t>
      </w:r>
      <w:proofErr w:type="spellStart"/>
      <w:r w:rsidR="00EF55BA" w:rsidRPr="008545FE">
        <w:rPr>
          <w:sz w:val="20"/>
          <w:szCs w:val="20"/>
        </w:rPr>
        <w:t>Ronn</w:t>
      </w:r>
      <w:proofErr w:type="spellEnd"/>
      <w:r w:rsidR="00EF55BA" w:rsidRPr="008545FE">
        <w:rPr>
          <w:sz w:val="20"/>
          <w:szCs w:val="20"/>
        </w:rPr>
        <w:t>,</w:t>
      </w:r>
      <w:r w:rsidRPr="008545FE">
        <w:rPr>
          <w:sz w:val="20"/>
          <w:szCs w:val="20"/>
        </w:rPr>
        <w:t xml:space="preserve"> 2010). Ulcerative and non-ulcerative STD also creates portals of entry for HIV to access susceptible cells. The association between ulcerative STI and HIV transmission is well established, with as many as half of newly HIV infected people demonstrating herpes simplex virus type 2 (HSV-2) infections (Barbour </w:t>
      </w:r>
      <w:r w:rsidRPr="008545FE">
        <w:rPr>
          <w:i/>
          <w:sz w:val="20"/>
          <w:szCs w:val="20"/>
        </w:rPr>
        <w:t>et al.,</w:t>
      </w:r>
      <w:r w:rsidRPr="008545FE">
        <w:rPr>
          <w:sz w:val="20"/>
          <w:szCs w:val="20"/>
        </w:rPr>
        <w:t xml:space="preserve"> 2007). STD </w:t>
      </w:r>
      <w:r w:rsidRPr="008545FE">
        <w:rPr>
          <w:sz w:val="20"/>
          <w:szCs w:val="20"/>
        </w:rPr>
        <w:lastRenderedPageBreak/>
        <w:t xml:space="preserve">can also cause genital bleeding, further increasing the risk of exposure to HIV during sexual activity (Royce </w:t>
      </w:r>
      <w:r w:rsidRPr="008545FE">
        <w:rPr>
          <w:i/>
          <w:sz w:val="20"/>
          <w:szCs w:val="20"/>
        </w:rPr>
        <w:t>et al</w:t>
      </w:r>
      <w:r w:rsidRPr="008545FE">
        <w:rPr>
          <w:sz w:val="20"/>
          <w:szCs w:val="20"/>
        </w:rPr>
        <w:t xml:space="preserve">., 1997; </w:t>
      </w:r>
      <w:proofErr w:type="spellStart"/>
      <w:r w:rsidRPr="008545FE">
        <w:rPr>
          <w:sz w:val="20"/>
          <w:szCs w:val="20"/>
        </w:rPr>
        <w:t>Boily</w:t>
      </w:r>
      <w:proofErr w:type="spellEnd"/>
      <w:r w:rsidRPr="008545FE">
        <w:rPr>
          <w:sz w:val="20"/>
          <w:szCs w:val="20"/>
        </w:rPr>
        <w:t xml:space="preserve"> </w:t>
      </w:r>
      <w:r w:rsidRPr="008545FE">
        <w:rPr>
          <w:i/>
          <w:sz w:val="20"/>
          <w:szCs w:val="20"/>
        </w:rPr>
        <w:t>et al</w:t>
      </w:r>
      <w:r w:rsidRPr="008545FE">
        <w:rPr>
          <w:sz w:val="20"/>
          <w:szCs w:val="20"/>
        </w:rPr>
        <w:t>., 2009). Common mode of transmission of various infections can result in the simultaneous prevalence of these infections in the same human population. HIV and STD share the same risk behavior which is the unprotected sexual intercourse with multiple partners</w:t>
      </w:r>
      <w:r w:rsidR="0012013E" w:rsidRPr="008545FE">
        <w:rPr>
          <w:sz w:val="20"/>
          <w:szCs w:val="20"/>
        </w:rPr>
        <w:t xml:space="preserve"> (Marks </w:t>
      </w:r>
      <w:r w:rsidR="0012013E" w:rsidRPr="008545FE">
        <w:rPr>
          <w:i/>
          <w:sz w:val="20"/>
          <w:szCs w:val="20"/>
        </w:rPr>
        <w:t>et al.</w:t>
      </w:r>
      <w:r w:rsidR="0012013E" w:rsidRPr="008545FE">
        <w:rPr>
          <w:sz w:val="20"/>
          <w:szCs w:val="20"/>
        </w:rPr>
        <w:t>, 2005). STD-infected individuals are more likely to acquire HIV infection due to the breaking in and the inflammation of genital ulcers (</w:t>
      </w:r>
      <w:proofErr w:type="spellStart"/>
      <w:r w:rsidR="0012013E" w:rsidRPr="008545FE">
        <w:rPr>
          <w:sz w:val="20"/>
          <w:szCs w:val="20"/>
        </w:rPr>
        <w:t>Risbud</w:t>
      </w:r>
      <w:proofErr w:type="spellEnd"/>
      <w:r w:rsidR="0012013E" w:rsidRPr="008545FE">
        <w:rPr>
          <w:sz w:val="20"/>
          <w:szCs w:val="20"/>
        </w:rPr>
        <w:t xml:space="preserve"> </w:t>
      </w:r>
      <w:r w:rsidR="0012013E" w:rsidRPr="008545FE">
        <w:rPr>
          <w:i/>
          <w:sz w:val="20"/>
          <w:szCs w:val="20"/>
        </w:rPr>
        <w:t>et al</w:t>
      </w:r>
      <w:r w:rsidR="0012013E" w:rsidRPr="008545FE">
        <w:rPr>
          <w:sz w:val="20"/>
          <w:szCs w:val="20"/>
        </w:rPr>
        <w:t xml:space="preserve">., 1999). Moreover, individuals with STD and HIV co-infection are more likely to infect their sexual partners due to the increasing shedding of HIV in genital secretions (Cohen </w:t>
      </w:r>
      <w:r w:rsidR="0012013E" w:rsidRPr="008545FE">
        <w:rPr>
          <w:i/>
          <w:sz w:val="20"/>
          <w:szCs w:val="20"/>
        </w:rPr>
        <w:t>et al</w:t>
      </w:r>
      <w:r w:rsidR="0012013E" w:rsidRPr="008545FE">
        <w:rPr>
          <w:sz w:val="20"/>
          <w:szCs w:val="20"/>
        </w:rPr>
        <w:t xml:space="preserve">., 1997). Many people who are infected with HIV or STD show no symptoms; as a result, more infected individuals can transmit the virus or bacteria to their partners (Haggerty </w:t>
      </w:r>
      <w:r w:rsidR="0012013E" w:rsidRPr="008545FE">
        <w:rPr>
          <w:i/>
          <w:sz w:val="20"/>
          <w:szCs w:val="20"/>
        </w:rPr>
        <w:t>et al.,</w:t>
      </w:r>
      <w:r w:rsidR="0012013E" w:rsidRPr="008545FE">
        <w:rPr>
          <w:sz w:val="20"/>
          <w:szCs w:val="20"/>
        </w:rPr>
        <w:t xml:space="preserve"> 2010). As the infections occur globally, it is essential to implement regular screening sessions to monitor and control the current epidemiological situations of HIV and STDs. The aim of the study, therefore, is to determine the co-infection rate of STDs among HIV positive patients attending health facilities that are supported by the president’s emergency plan fund for AIDS relief (PEPFAR) already providing HCT and ART services in FCT.</w:t>
      </w:r>
    </w:p>
    <w:p w:rsidR="00274E46" w:rsidRPr="008545FE" w:rsidRDefault="00274E46" w:rsidP="00274E46">
      <w:pPr>
        <w:snapToGrid w:val="0"/>
        <w:jc w:val="both"/>
        <w:rPr>
          <w:b/>
          <w:sz w:val="20"/>
          <w:szCs w:val="20"/>
          <w:lang w:eastAsia="zh-CN"/>
        </w:rPr>
      </w:pPr>
    </w:p>
    <w:p w:rsidR="00471E57" w:rsidRPr="008545FE" w:rsidRDefault="00471E57" w:rsidP="00274E46">
      <w:pPr>
        <w:snapToGrid w:val="0"/>
        <w:jc w:val="both"/>
        <w:rPr>
          <w:b/>
          <w:sz w:val="20"/>
          <w:szCs w:val="20"/>
        </w:rPr>
      </w:pPr>
      <w:r w:rsidRPr="008545FE">
        <w:rPr>
          <w:b/>
          <w:sz w:val="20"/>
          <w:szCs w:val="20"/>
        </w:rPr>
        <w:t>2. Material and Methods</w:t>
      </w:r>
    </w:p>
    <w:p w:rsidR="00E75ED9" w:rsidRPr="008545FE" w:rsidRDefault="00E75ED9" w:rsidP="00274E46">
      <w:pPr>
        <w:snapToGrid w:val="0"/>
        <w:ind w:firstLine="425"/>
        <w:jc w:val="both"/>
        <w:rPr>
          <w:sz w:val="20"/>
          <w:szCs w:val="20"/>
        </w:rPr>
      </w:pPr>
      <w:r w:rsidRPr="008545FE">
        <w:rPr>
          <w:sz w:val="20"/>
          <w:szCs w:val="20"/>
        </w:rPr>
        <w:t>The study was carried out in the Federal Capital Territory of Nigeria (FCT). It is lo</w:t>
      </w:r>
      <w:r w:rsidR="002D4AC2" w:rsidRPr="008545FE">
        <w:rPr>
          <w:sz w:val="20"/>
          <w:szCs w:val="20"/>
        </w:rPr>
        <w:t xml:space="preserve">cated in the center </w:t>
      </w:r>
      <w:r w:rsidR="002D4AC2" w:rsidRPr="008545FE">
        <w:rPr>
          <w:sz w:val="20"/>
          <w:szCs w:val="20"/>
        </w:rPr>
        <w:lastRenderedPageBreak/>
        <w:t>of Nigeria,</w:t>
      </w:r>
      <w:r w:rsidR="008545FE">
        <w:rPr>
          <w:sz w:val="20"/>
          <w:szCs w:val="20"/>
        </w:rPr>
        <w:t xml:space="preserve"> </w:t>
      </w:r>
      <w:r w:rsidRPr="008545FE">
        <w:rPr>
          <w:sz w:val="20"/>
          <w:szCs w:val="20"/>
        </w:rPr>
        <w:t xml:space="preserve">lying between latitude 8.25 and 9.20 </w:t>
      </w:r>
      <w:proofErr w:type="gramStart"/>
      <w:r w:rsidRPr="008545FE">
        <w:rPr>
          <w:sz w:val="20"/>
          <w:szCs w:val="20"/>
        </w:rPr>
        <w:t>North</w:t>
      </w:r>
      <w:proofErr w:type="gramEnd"/>
      <w:r w:rsidRPr="008545FE">
        <w:rPr>
          <w:sz w:val="20"/>
          <w:szCs w:val="20"/>
        </w:rPr>
        <w:t xml:space="preserve"> of the equator and lo</w:t>
      </w:r>
      <w:r w:rsidR="00C46583" w:rsidRPr="008545FE">
        <w:rPr>
          <w:sz w:val="20"/>
          <w:szCs w:val="20"/>
        </w:rPr>
        <w:t>ngitude 6.45 o</w:t>
      </w:r>
      <w:r w:rsidRPr="008545FE">
        <w:rPr>
          <w:sz w:val="20"/>
          <w:szCs w:val="20"/>
        </w:rPr>
        <w:t xml:space="preserve">f the Greenwich Meridian. </w:t>
      </w:r>
      <w:proofErr w:type="gramStart"/>
      <w:r w:rsidRPr="008545FE">
        <w:rPr>
          <w:sz w:val="20"/>
          <w:szCs w:val="20"/>
        </w:rPr>
        <w:t xml:space="preserve">Bordered by Kaduna to the northeast, </w:t>
      </w:r>
      <w:proofErr w:type="spellStart"/>
      <w:r w:rsidRPr="008545FE">
        <w:rPr>
          <w:sz w:val="20"/>
          <w:szCs w:val="20"/>
        </w:rPr>
        <w:t>Nasarawa</w:t>
      </w:r>
      <w:proofErr w:type="spellEnd"/>
      <w:r w:rsidRPr="008545FE">
        <w:rPr>
          <w:sz w:val="20"/>
          <w:szCs w:val="20"/>
        </w:rPr>
        <w:t xml:space="preserve"> to the East and South and </w:t>
      </w:r>
      <w:proofErr w:type="spellStart"/>
      <w:r w:rsidRPr="008545FE">
        <w:rPr>
          <w:sz w:val="20"/>
          <w:szCs w:val="20"/>
        </w:rPr>
        <w:t>Kogi</w:t>
      </w:r>
      <w:proofErr w:type="spellEnd"/>
      <w:r w:rsidRPr="008545FE">
        <w:rPr>
          <w:sz w:val="20"/>
          <w:szCs w:val="20"/>
        </w:rPr>
        <w:t xml:space="preserve"> to the southwest.</w:t>
      </w:r>
      <w:proofErr w:type="gramEnd"/>
      <w:r w:rsidRPr="008545FE">
        <w:rPr>
          <w:sz w:val="20"/>
          <w:szCs w:val="20"/>
        </w:rPr>
        <w:t xml:space="preserve"> It is situated within the savannah region with moderate climatic conditions with an area of 7,315km. FCT has 90,000 people living with HIV infection (UNAIDS, 2014), and 8.6% of the total population of people living with HIV/AIDS in Nigeria. A total of fifteen health facilities were used for the study randomly sampled from four of the six area councils in FCT: Abuja Municipal Area Council (AMAC), </w:t>
      </w:r>
      <w:proofErr w:type="spellStart"/>
      <w:r w:rsidRPr="008545FE">
        <w:rPr>
          <w:sz w:val="20"/>
          <w:szCs w:val="20"/>
        </w:rPr>
        <w:t>Gwagwalada</w:t>
      </w:r>
      <w:proofErr w:type="spellEnd"/>
      <w:r w:rsidRPr="008545FE">
        <w:rPr>
          <w:sz w:val="20"/>
          <w:szCs w:val="20"/>
        </w:rPr>
        <w:t xml:space="preserve"> Area Council, </w:t>
      </w:r>
      <w:proofErr w:type="spellStart"/>
      <w:r w:rsidRPr="008545FE">
        <w:rPr>
          <w:sz w:val="20"/>
          <w:szCs w:val="20"/>
        </w:rPr>
        <w:t>Bwari</w:t>
      </w:r>
      <w:proofErr w:type="spellEnd"/>
      <w:r w:rsidRPr="008545FE">
        <w:rPr>
          <w:sz w:val="20"/>
          <w:szCs w:val="20"/>
        </w:rPr>
        <w:t xml:space="preserve"> Area Council and </w:t>
      </w:r>
      <w:proofErr w:type="spellStart"/>
      <w:r w:rsidRPr="008545FE">
        <w:rPr>
          <w:sz w:val="20"/>
          <w:szCs w:val="20"/>
        </w:rPr>
        <w:t>Kuje</w:t>
      </w:r>
      <w:proofErr w:type="spellEnd"/>
      <w:r w:rsidRPr="008545FE">
        <w:rPr>
          <w:sz w:val="20"/>
          <w:szCs w:val="20"/>
        </w:rPr>
        <w:t xml:space="preserve"> Area Council.</w:t>
      </w:r>
    </w:p>
    <w:p w:rsidR="00E75ED9" w:rsidRPr="008545FE" w:rsidRDefault="00E75ED9" w:rsidP="00274E46">
      <w:pPr>
        <w:snapToGrid w:val="0"/>
        <w:jc w:val="both"/>
        <w:rPr>
          <w:b/>
          <w:sz w:val="20"/>
          <w:szCs w:val="20"/>
        </w:rPr>
      </w:pPr>
      <w:r w:rsidRPr="008545FE">
        <w:rPr>
          <w:b/>
          <w:sz w:val="20"/>
          <w:szCs w:val="20"/>
        </w:rPr>
        <w:t>Sample Population and Size</w:t>
      </w:r>
    </w:p>
    <w:p w:rsidR="00E75ED9" w:rsidRPr="008545FE" w:rsidRDefault="00E75ED9" w:rsidP="00274E46">
      <w:pPr>
        <w:snapToGrid w:val="0"/>
        <w:ind w:firstLine="425"/>
        <w:jc w:val="both"/>
        <w:rPr>
          <w:sz w:val="20"/>
          <w:szCs w:val="20"/>
        </w:rPr>
      </w:pPr>
      <w:r w:rsidRPr="008545FE">
        <w:rPr>
          <w:sz w:val="20"/>
          <w:szCs w:val="20"/>
        </w:rPr>
        <w:t>The samples were gotten from HIV positive patients of all ages and gender attending health facilities that are supported by the president’s emergency plan fund for AIDS relief (PEPFAR) already providing HCT and ART services in FCT. A total of 344 samples, 143 males and 201females, were collected and tested from fifteen health facilities across four Area Councils in FCT. For the purpose of this study, the three most prevalent STDs in FCT, according to Nigeria Demographic and Health Survey, NDHS (2013) were worked on; these are Hepatitis B, Hepatitis C and Syphilis.</w:t>
      </w:r>
    </w:p>
    <w:p w:rsidR="00E75ED9" w:rsidRPr="008545FE" w:rsidRDefault="00E75ED9" w:rsidP="00274E46">
      <w:pPr>
        <w:snapToGrid w:val="0"/>
        <w:jc w:val="both"/>
        <w:rPr>
          <w:b/>
          <w:sz w:val="20"/>
          <w:szCs w:val="20"/>
        </w:rPr>
      </w:pPr>
      <w:r w:rsidRPr="008545FE">
        <w:rPr>
          <w:b/>
          <w:sz w:val="20"/>
          <w:szCs w:val="20"/>
        </w:rPr>
        <w:t>Blood Sample Collection and Analysis</w:t>
      </w:r>
    </w:p>
    <w:p w:rsidR="00E75ED9" w:rsidRPr="008545FE" w:rsidRDefault="00E75ED9" w:rsidP="00274E46">
      <w:pPr>
        <w:snapToGrid w:val="0"/>
        <w:ind w:firstLine="425"/>
        <w:jc w:val="both"/>
        <w:rPr>
          <w:b/>
          <w:sz w:val="20"/>
          <w:szCs w:val="20"/>
        </w:rPr>
      </w:pPr>
      <w:r w:rsidRPr="008545FE">
        <w:rPr>
          <w:sz w:val="20"/>
          <w:szCs w:val="20"/>
        </w:rPr>
        <w:t>The area to be lanced was cleaned with an alcohol prep pad swab. The end of the finger tip was squeezed and pierced with a sterile lancet. The first drop of blood was wiped away with sterile gauze. Micropipette was used to obtain 100ul fresh blood and added to a sample well. One drop of whole blood was added into a sample pad.</w:t>
      </w:r>
      <w:r w:rsidR="008545FE">
        <w:rPr>
          <w:sz w:val="20"/>
          <w:szCs w:val="20"/>
        </w:rPr>
        <w:t xml:space="preserve"> </w:t>
      </w:r>
      <w:r w:rsidRPr="008545FE">
        <w:rPr>
          <w:sz w:val="20"/>
          <w:szCs w:val="20"/>
        </w:rPr>
        <w:t xml:space="preserve">After all the blood is completely absorbed, one drop of blood </w:t>
      </w:r>
      <w:proofErr w:type="spellStart"/>
      <w:r w:rsidRPr="008545FE">
        <w:rPr>
          <w:sz w:val="20"/>
          <w:szCs w:val="20"/>
        </w:rPr>
        <w:t>diluent</w:t>
      </w:r>
      <w:proofErr w:type="spellEnd"/>
      <w:r w:rsidRPr="008545FE">
        <w:rPr>
          <w:sz w:val="20"/>
          <w:szCs w:val="20"/>
        </w:rPr>
        <w:t xml:space="preserve"> (buffer) was added. The result was observed in 5-20 minutes for HIV, HBV and HCV and 5-30 minutes for Syphilis.</w:t>
      </w:r>
    </w:p>
    <w:p w:rsidR="00E75ED9" w:rsidRPr="008545FE" w:rsidRDefault="00E75ED9" w:rsidP="00274E46">
      <w:pPr>
        <w:snapToGrid w:val="0"/>
        <w:jc w:val="both"/>
        <w:rPr>
          <w:b/>
          <w:sz w:val="20"/>
          <w:szCs w:val="20"/>
        </w:rPr>
      </w:pPr>
      <w:r w:rsidRPr="008545FE">
        <w:rPr>
          <w:b/>
          <w:sz w:val="20"/>
          <w:szCs w:val="20"/>
        </w:rPr>
        <w:lastRenderedPageBreak/>
        <w:t>Interpretation of Results</w:t>
      </w:r>
    </w:p>
    <w:p w:rsidR="00E75ED9" w:rsidRPr="008545FE" w:rsidRDefault="00E75ED9" w:rsidP="00274E46">
      <w:pPr>
        <w:snapToGrid w:val="0"/>
        <w:jc w:val="both"/>
        <w:rPr>
          <w:b/>
          <w:sz w:val="20"/>
          <w:szCs w:val="20"/>
        </w:rPr>
      </w:pPr>
      <w:r w:rsidRPr="008545FE">
        <w:rPr>
          <w:b/>
          <w:sz w:val="20"/>
          <w:szCs w:val="20"/>
        </w:rPr>
        <w:t>Negative</w:t>
      </w:r>
      <w:r w:rsidRPr="008545FE">
        <w:rPr>
          <w:sz w:val="20"/>
          <w:szCs w:val="20"/>
        </w:rPr>
        <w:t>: Number of bands in the</w:t>
      </w:r>
      <w:r w:rsidR="008545FE">
        <w:rPr>
          <w:sz w:val="20"/>
          <w:szCs w:val="20"/>
        </w:rPr>
        <w:t xml:space="preserve"> </w:t>
      </w:r>
      <w:r w:rsidRPr="008545FE">
        <w:rPr>
          <w:sz w:val="20"/>
          <w:szCs w:val="20"/>
        </w:rPr>
        <w:t>test region (T) for HBV,</w:t>
      </w:r>
      <w:r w:rsidR="008545FE">
        <w:rPr>
          <w:sz w:val="20"/>
          <w:szCs w:val="20"/>
        </w:rPr>
        <w:t xml:space="preserve"> </w:t>
      </w:r>
      <w:r w:rsidRPr="008545FE">
        <w:rPr>
          <w:sz w:val="20"/>
          <w:szCs w:val="20"/>
        </w:rPr>
        <w:t>HCV and Syphilis and patient region (p) for HIV only pink band appear</w:t>
      </w:r>
      <w:r w:rsidR="002D4AC2" w:rsidRPr="008545FE">
        <w:rPr>
          <w:sz w:val="20"/>
          <w:szCs w:val="20"/>
        </w:rPr>
        <w:t xml:space="preserve">s in the control region </w:t>
      </w:r>
      <w:r w:rsidRPr="008545FE">
        <w:rPr>
          <w:sz w:val="20"/>
          <w:szCs w:val="20"/>
        </w:rPr>
        <w:t xml:space="preserve">(c). This indicates </w:t>
      </w:r>
      <w:proofErr w:type="spellStart"/>
      <w:r w:rsidRPr="008545FE">
        <w:rPr>
          <w:sz w:val="20"/>
          <w:szCs w:val="20"/>
        </w:rPr>
        <w:t>HBsAg</w:t>
      </w:r>
      <w:proofErr w:type="spellEnd"/>
      <w:r w:rsidRPr="008545FE">
        <w:rPr>
          <w:sz w:val="20"/>
          <w:szCs w:val="20"/>
        </w:rPr>
        <w:t>/HCV/HIV/Syphilis is not detected.</w:t>
      </w:r>
    </w:p>
    <w:p w:rsidR="00E75ED9" w:rsidRPr="008545FE" w:rsidRDefault="00E75ED9" w:rsidP="00274E46">
      <w:pPr>
        <w:snapToGrid w:val="0"/>
        <w:jc w:val="both"/>
        <w:rPr>
          <w:b/>
          <w:sz w:val="20"/>
          <w:szCs w:val="20"/>
        </w:rPr>
      </w:pPr>
      <w:r w:rsidRPr="008545FE">
        <w:rPr>
          <w:b/>
          <w:sz w:val="20"/>
          <w:szCs w:val="20"/>
        </w:rPr>
        <w:t>Positive</w:t>
      </w:r>
      <w:r w:rsidRPr="008545FE">
        <w:rPr>
          <w:sz w:val="20"/>
          <w:szCs w:val="20"/>
        </w:rPr>
        <w:t xml:space="preserve">: In addition to the band in the control region (c), another band in the test (T) region for HBV, HCV and Syphilis and patient region (p) for HIV will appear. This indicates that the specimen contains </w:t>
      </w:r>
      <w:proofErr w:type="spellStart"/>
      <w:r w:rsidRPr="008545FE">
        <w:rPr>
          <w:sz w:val="20"/>
          <w:szCs w:val="20"/>
        </w:rPr>
        <w:t>HBsAg</w:t>
      </w:r>
      <w:proofErr w:type="spellEnd"/>
      <w:r w:rsidRPr="008545FE">
        <w:rPr>
          <w:sz w:val="20"/>
          <w:szCs w:val="20"/>
        </w:rPr>
        <w:t xml:space="preserve"> /HCV/HIV/Syphilis.</w:t>
      </w:r>
    </w:p>
    <w:p w:rsidR="00E75ED9" w:rsidRPr="008545FE" w:rsidRDefault="00E75ED9" w:rsidP="00274E46">
      <w:pPr>
        <w:snapToGrid w:val="0"/>
        <w:jc w:val="both"/>
        <w:rPr>
          <w:sz w:val="20"/>
          <w:szCs w:val="20"/>
        </w:rPr>
      </w:pPr>
      <w:r w:rsidRPr="008545FE">
        <w:rPr>
          <w:b/>
          <w:sz w:val="20"/>
          <w:szCs w:val="20"/>
        </w:rPr>
        <w:t xml:space="preserve">Invalid: </w:t>
      </w:r>
      <w:r w:rsidRPr="008545FE">
        <w:rPr>
          <w:sz w:val="20"/>
          <w:szCs w:val="20"/>
        </w:rPr>
        <w:t>If no band appears in the control region (c) regardless of the presence</w:t>
      </w:r>
      <w:r w:rsidR="008545FE">
        <w:rPr>
          <w:sz w:val="20"/>
          <w:szCs w:val="20"/>
        </w:rPr>
        <w:t xml:space="preserve"> </w:t>
      </w:r>
      <w:r w:rsidRPr="008545FE">
        <w:rPr>
          <w:sz w:val="20"/>
          <w:szCs w:val="20"/>
        </w:rPr>
        <w:t>or absence of line in the test region (T) for HBV, HCV, Syphilis and patient region(p) for HIV. It indicates a possible error in performing the test; the test is repeated using a new test strip.</w:t>
      </w:r>
    </w:p>
    <w:p w:rsidR="00E75ED9" w:rsidRPr="008545FE" w:rsidRDefault="00E75ED9" w:rsidP="00274E46">
      <w:pPr>
        <w:snapToGrid w:val="0"/>
        <w:jc w:val="both"/>
        <w:rPr>
          <w:sz w:val="20"/>
          <w:szCs w:val="20"/>
        </w:rPr>
      </w:pPr>
      <w:r w:rsidRPr="008545FE">
        <w:rPr>
          <w:b/>
          <w:sz w:val="20"/>
          <w:szCs w:val="20"/>
        </w:rPr>
        <w:t>Statistical Analysis</w:t>
      </w:r>
    </w:p>
    <w:p w:rsidR="00E75ED9" w:rsidRPr="008545FE" w:rsidRDefault="002D4AC2" w:rsidP="00274E46">
      <w:pPr>
        <w:snapToGrid w:val="0"/>
        <w:ind w:firstLine="425"/>
        <w:jc w:val="both"/>
        <w:rPr>
          <w:sz w:val="20"/>
          <w:szCs w:val="20"/>
        </w:rPr>
      </w:pPr>
      <w:r w:rsidRPr="008545FE">
        <w:rPr>
          <w:sz w:val="20"/>
          <w:szCs w:val="20"/>
        </w:rPr>
        <w:t>I</w:t>
      </w:r>
      <w:r w:rsidR="00E75ED9" w:rsidRPr="008545FE">
        <w:rPr>
          <w:sz w:val="20"/>
          <w:szCs w:val="20"/>
        </w:rPr>
        <w:t>n this study the occurrence of HIV and its STD co-infection depend</w:t>
      </w:r>
      <w:r w:rsidR="0086534B" w:rsidRPr="008545FE">
        <w:rPr>
          <w:sz w:val="20"/>
          <w:szCs w:val="20"/>
        </w:rPr>
        <w:t xml:space="preserve">ing on the </w:t>
      </w:r>
      <w:r w:rsidR="00E75ED9" w:rsidRPr="008545FE">
        <w:rPr>
          <w:sz w:val="20"/>
          <w:szCs w:val="20"/>
        </w:rPr>
        <w:t xml:space="preserve">age group </w:t>
      </w:r>
      <w:r w:rsidR="0086534B" w:rsidRPr="008545FE">
        <w:rPr>
          <w:sz w:val="20"/>
          <w:szCs w:val="20"/>
        </w:rPr>
        <w:t xml:space="preserve">and sex </w:t>
      </w:r>
      <w:r w:rsidR="00E75ED9" w:rsidRPr="008545FE">
        <w:rPr>
          <w:sz w:val="20"/>
          <w:szCs w:val="20"/>
        </w:rPr>
        <w:t xml:space="preserve">of the patients </w:t>
      </w:r>
      <w:r w:rsidR="0086534B" w:rsidRPr="008545FE">
        <w:rPr>
          <w:sz w:val="20"/>
          <w:szCs w:val="20"/>
        </w:rPr>
        <w:t xml:space="preserve">were subjected to </w:t>
      </w:r>
      <w:r w:rsidR="00E75ED9" w:rsidRPr="008545FE">
        <w:rPr>
          <w:sz w:val="20"/>
          <w:szCs w:val="20"/>
        </w:rPr>
        <w:t>descriptive statistics such as: percentages, multiple bar</w:t>
      </w:r>
      <w:r w:rsidR="00DC7125">
        <w:rPr>
          <w:sz w:val="20"/>
          <w:szCs w:val="20"/>
        </w:rPr>
        <w:t xml:space="preserve"> chart and</w:t>
      </w:r>
      <w:r w:rsidR="0086534B" w:rsidRPr="008545FE">
        <w:rPr>
          <w:sz w:val="20"/>
          <w:szCs w:val="20"/>
        </w:rPr>
        <w:t xml:space="preserve"> histogram</w:t>
      </w:r>
      <w:r w:rsidR="00E75ED9" w:rsidRPr="008545FE">
        <w:rPr>
          <w:sz w:val="20"/>
          <w:szCs w:val="20"/>
        </w:rPr>
        <w:t xml:space="preserve"> for further explanation on the prevalence of the co-infections.</w:t>
      </w:r>
    </w:p>
    <w:p w:rsidR="00E75ED9" w:rsidRPr="008545FE" w:rsidRDefault="00E75ED9" w:rsidP="00274E46">
      <w:pPr>
        <w:snapToGrid w:val="0"/>
        <w:jc w:val="both"/>
        <w:rPr>
          <w:b/>
          <w:sz w:val="20"/>
          <w:szCs w:val="20"/>
        </w:rPr>
      </w:pPr>
    </w:p>
    <w:p w:rsidR="00E75ED9" w:rsidRPr="008545FE" w:rsidRDefault="00471E57" w:rsidP="00274E46">
      <w:pPr>
        <w:snapToGrid w:val="0"/>
        <w:jc w:val="both"/>
        <w:rPr>
          <w:b/>
          <w:sz w:val="20"/>
          <w:szCs w:val="20"/>
        </w:rPr>
      </w:pPr>
      <w:r w:rsidRPr="008545FE">
        <w:rPr>
          <w:b/>
          <w:sz w:val="20"/>
          <w:szCs w:val="20"/>
        </w:rPr>
        <w:t>3. Results</w:t>
      </w:r>
    </w:p>
    <w:p w:rsidR="00274E46" w:rsidRPr="008545FE" w:rsidRDefault="00E75ED9" w:rsidP="00274E46">
      <w:pPr>
        <w:snapToGrid w:val="0"/>
        <w:ind w:firstLine="425"/>
        <w:jc w:val="both"/>
        <w:rPr>
          <w:sz w:val="20"/>
          <w:szCs w:val="20"/>
        </w:rPr>
      </w:pPr>
      <w:r w:rsidRPr="008545FE">
        <w:rPr>
          <w:sz w:val="20"/>
          <w:szCs w:val="20"/>
        </w:rPr>
        <w:t>Out of the 344 samples analyzed, 49(14.24%) had HIV/STDs co-infection. Table 1 showed that 38(11.04%) tested positive to Hepatitis B (HBV) while 9(2.62%) tested positive to Hepatitis C (HCV) and 2(0.58%) tested positive to syphilis.</w:t>
      </w:r>
      <w:r w:rsidR="008545FE">
        <w:rPr>
          <w:sz w:val="20"/>
          <w:szCs w:val="20"/>
        </w:rPr>
        <w:t xml:space="preserve"> </w:t>
      </w:r>
      <w:r w:rsidRPr="008545FE">
        <w:rPr>
          <w:sz w:val="20"/>
          <w:szCs w:val="20"/>
        </w:rPr>
        <w:t>36 (25.17%) out of 143 males had co-infection, 29 (20.28%) tested positive to Hepatitis B (HBV), 5 (3.50%) tested positive to Hepatitis C (HCV) and 2 (1.40%) tested positive to Syphilis. 201 females were tested and 13(6.47%) had co-infections, 9 (4.48%) tested positive to HBV, 4 (1.99%) tested positive to HCV while none tested positive to Syphilis.</w:t>
      </w:r>
      <w:r w:rsidR="008545FE" w:rsidRPr="008545FE">
        <w:rPr>
          <w:sz w:val="20"/>
          <w:szCs w:val="20"/>
        </w:rPr>
        <w:t xml:space="preserve"> </w:t>
      </w:r>
    </w:p>
    <w:p w:rsidR="00274E46" w:rsidRPr="008545FE" w:rsidRDefault="00274E46" w:rsidP="00274E46">
      <w:pPr>
        <w:snapToGrid w:val="0"/>
        <w:ind w:firstLine="425"/>
        <w:jc w:val="both"/>
        <w:rPr>
          <w:sz w:val="20"/>
          <w:szCs w:val="20"/>
        </w:rPr>
        <w:sectPr w:rsidR="00274E46" w:rsidRPr="008545FE" w:rsidSect="008545FE">
          <w:headerReference w:type="default" r:id="rId13"/>
          <w:footerReference w:type="even" r:id="rId14"/>
          <w:footerReference w:type="default" r:id="rId15"/>
          <w:type w:val="continuous"/>
          <w:pgSz w:w="12240" w:h="15840" w:code="1"/>
          <w:pgMar w:top="1440" w:right="1440" w:bottom="1440" w:left="1440" w:header="720" w:footer="720" w:gutter="0"/>
          <w:cols w:num="2" w:space="600"/>
          <w:docGrid w:linePitch="360"/>
        </w:sectPr>
      </w:pPr>
    </w:p>
    <w:p w:rsidR="008545FE" w:rsidRPr="008545FE" w:rsidRDefault="008545FE" w:rsidP="00274E46">
      <w:pPr>
        <w:snapToGrid w:val="0"/>
        <w:jc w:val="center"/>
        <w:rPr>
          <w:sz w:val="20"/>
          <w:szCs w:val="20"/>
        </w:rPr>
      </w:pPr>
    </w:p>
    <w:p w:rsidR="00040458" w:rsidRPr="008545FE" w:rsidRDefault="00040458" w:rsidP="00274E46">
      <w:pPr>
        <w:snapToGrid w:val="0"/>
        <w:jc w:val="center"/>
        <w:rPr>
          <w:sz w:val="20"/>
          <w:szCs w:val="20"/>
        </w:rPr>
      </w:pPr>
      <w:r w:rsidRPr="008545FE">
        <w:rPr>
          <w:sz w:val="20"/>
          <w:szCs w:val="20"/>
        </w:rPr>
        <w:t>Table 1: HIV/STD Co- Infection in Relation to Sex</w:t>
      </w:r>
    </w:p>
    <w:tbl>
      <w:tblPr>
        <w:tblW w:w="5000" w:type="pct"/>
        <w:jc w:val="center"/>
        <w:tblLook w:val="04A0"/>
      </w:tblPr>
      <w:tblGrid>
        <w:gridCol w:w="1160"/>
        <w:gridCol w:w="1705"/>
        <w:gridCol w:w="1442"/>
        <w:gridCol w:w="1425"/>
        <w:gridCol w:w="2082"/>
        <w:gridCol w:w="1762"/>
      </w:tblGrid>
      <w:tr w:rsidR="00CB074D" w:rsidRPr="008545FE" w:rsidTr="008545FE">
        <w:trPr>
          <w:jc w:val="center"/>
        </w:trPr>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S</w:t>
            </w:r>
            <w:r w:rsidR="0060612C" w:rsidRPr="008545FE">
              <w:rPr>
                <w:rFonts w:eastAsia="Times New Roman"/>
                <w:color w:val="000000"/>
                <w:sz w:val="20"/>
                <w:szCs w:val="20"/>
                <w:lang w:eastAsia="en-US"/>
              </w:rPr>
              <w:t>ex</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N</w:t>
            </w:r>
            <w:r w:rsidR="0060612C" w:rsidRPr="008545FE">
              <w:rPr>
                <w:rFonts w:eastAsia="Times New Roman"/>
                <w:color w:val="000000"/>
                <w:sz w:val="20"/>
                <w:szCs w:val="20"/>
                <w:lang w:eastAsia="en-US"/>
              </w:rPr>
              <w:t xml:space="preserve">um </w:t>
            </w:r>
            <w:r w:rsidRPr="008545FE">
              <w:rPr>
                <w:rFonts w:eastAsia="Times New Roman"/>
                <w:color w:val="000000"/>
                <w:sz w:val="20"/>
                <w:szCs w:val="20"/>
                <w:lang w:eastAsia="en-US"/>
              </w:rPr>
              <w:t>E</w:t>
            </w:r>
            <w:r w:rsidR="0060612C" w:rsidRPr="008545FE">
              <w:rPr>
                <w:rFonts w:eastAsia="Times New Roman"/>
                <w:color w:val="000000"/>
                <w:sz w:val="20"/>
                <w:szCs w:val="20"/>
                <w:lang w:eastAsia="en-US"/>
              </w:rPr>
              <w:t>xam</w:t>
            </w:r>
            <w:r w:rsidR="00CB074D" w:rsidRPr="008545FE">
              <w:rPr>
                <w:rFonts w:eastAsia="Times New Roman"/>
                <w:color w:val="000000"/>
                <w:sz w:val="20"/>
                <w:szCs w:val="20"/>
                <w:lang w:eastAsia="en-US"/>
              </w:rPr>
              <w:t>.</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HBV (%)</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HCV (%)</w:t>
            </w:r>
          </w:p>
        </w:tc>
        <w:tc>
          <w:tcPr>
            <w:tcW w:w="1087" w:type="pct"/>
            <w:tcBorders>
              <w:top w:val="single" w:sz="4" w:space="0" w:color="auto"/>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SYPHILIS (%)</w:t>
            </w:r>
          </w:p>
        </w:tc>
        <w:tc>
          <w:tcPr>
            <w:tcW w:w="920" w:type="pct"/>
            <w:tcBorders>
              <w:top w:val="single" w:sz="4" w:space="0" w:color="auto"/>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TOTAL (%)</w:t>
            </w:r>
          </w:p>
        </w:tc>
      </w:tr>
      <w:tr w:rsidR="00CB074D" w:rsidRPr="008545FE" w:rsidTr="008545FE">
        <w:trPr>
          <w:jc w:val="center"/>
        </w:trPr>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M</w:t>
            </w:r>
            <w:r w:rsidR="0060612C" w:rsidRPr="008545FE">
              <w:rPr>
                <w:rFonts w:eastAsia="Times New Roman"/>
                <w:color w:val="000000"/>
                <w:sz w:val="20"/>
                <w:szCs w:val="20"/>
                <w:lang w:eastAsia="en-US"/>
              </w:rPr>
              <w:t>ale</w:t>
            </w:r>
          </w:p>
        </w:tc>
        <w:tc>
          <w:tcPr>
            <w:tcW w:w="89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143</w:t>
            </w:r>
          </w:p>
        </w:tc>
        <w:tc>
          <w:tcPr>
            <w:tcW w:w="753"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29(20.28)</w:t>
            </w:r>
          </w:p>
        </w:tc>
        <w:tc>
          <w:tcPr>
            <w:tcW w:w="744"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5(3.50)</w:t>
            </w:r>
          </w:p>
        </w:tc>
        <w:tc>
          <w:tcPr>
            <w:tcW w:w="1087"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2(1.40)</w:t>
            </w:r>
          </w:p>
        </w:tc>
        <w:tc>
          <w:tcPr>
            <w:tcW w:w="92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36(25.17)</w:t>
            </w:r>
          </w:p>
        </w:tc>
      </w:tr>
      <w:tr w:rsidR="00CB074D" w:rsidRPr="008545FE" w:rsidTr="008545FE">
        <w:trPr>
          <w:jc w:val="center"/>
        </w:trPr>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F</w:t>
            </w:r>
            <w:r w:rsidR="0060612C" w:rsidRPr="008545FE">
              <w:rPr>
                <w:rFonts w:eastAsia="Times New Roman"/>
                <w:color w:val="000000"/>
                <w:sz w:val="20"/>
                <w:szCs w:val="20"/>
                <w:lang w:eastAsia="en-US"/>
              </w:rPr>
              <w:t>emale</w:t>
            </w:r>
          </w:p>
        </w:tc>
        <w:tc>
          <w:tcPr>
            <w:tcW w:w="89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201</w:t>
            </w:r>
          </w:p>
        </w:tc>
        <w:tc>
          <w:tcPr>
            <w:tcW w:w="753"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9(4.48)</w:t>
            </w:r>
          </w:p>
        </w:tc>
        <w:tc>
          <w:tcPr>
            <w:tcW w:w="744"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4(1.99)</w:t>
            </w:r>
          </w:p>
        </w:tc>
        <w:tc>
          <w:tcPr>
            <w:tcW w:w="1087"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0(0)</w:t>
            </w:r>
          </w:p>
        </w:tc>
        <w:tc>
          <w:tcPr>
            <w:tcW w:w="92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13(6.47)</w:t>
            </w:r>
          </w:p>
        </w:tc>
      </w:tr>
      <w:tr w:rsidR="00CB074D" w:rsidRPr="008545FE" w:rsidTr="008545FE">
        <w:trPr>
          <w:jc w:val="center"/>
        </w:trPr>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T</w:t>
            </w:r>
            <w:r w:rsidR="0060612C" w:rsidRPr="008545FE">
              <w:rPr>
                <w:rFonts w:eastAsia="Times New Roman"/>
                <w:color w:val="000000"/>
                <w:sz w:val="20"/>
                <w:szCs w:val="20"/>
                <w:lang w:eastAsia="en-US"/>
              </w:rPr>
              <w:t>otal</w:t>
            </w:r>
          </w:p>
        </w:tc>
        <w:tc>
          <w:tcPr>
            <w:tcW w:w="89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344</w:t>
            </w:r>
          </w:p>
        </w:tc>
        <w:tc>
          <w:tcPr>
            <w:tcW w:w="753"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38(11.05)</w:t>
            </w:r>
          </w:p>
        </w:tc>
        <w:tc>
          <w:tcPr>
            <w:tcW w:w="744"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9(2.62)</w:t>
            </w:r>
          </w:p>
        </w:tc>
        <w:tc>
          <w:tcPr>
            <w:tcW w:w="1087"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2(0.58)</w:t>
            </w:r>
          </w:p>
        </w:tc>
        <w:tc>
          <w:tcPr>
            <w:tcW w:w="920" w:type="pct"/>
            <w:tcBorders>
              <w:top w:val="nil"/>
              <w:left w:val="nil"/>
              <w:bottom w:val="single" w:sz="4" w:space="0" w:color="auto"/>
              <w:right w:val="single" w:sz="4" w:space="0" w:color="auto"/>
            </w:tcBorders>
            <w:shd w:val="clear" w:color="auto" w:fill="auto"/>
            <w:noWrap/>
            <w:vAlign w:val="center"/>
            <w:hideMark/>
          </w:tcPr>
          <w:p w:rsidR="00040458" w:rsidRPr="008545FE" w:rsidRDefault="00040458" w:rsidP="00274E46">
            <w:pPr>
              <w:snapToGrid w:val="0"/>
              <w:jc w:val="both"/>
              <w:rPr>
                <w:rFonts w:eastAsia="Times New Roman"/>
                <w:color w:val="000000"/>
                <w:sz w:val="20"/>
                <w:szCs w:val="20"/>
                <w:lang w:eastAsia="en-US"/>
              </w:rPr>
            </w:pPr>
            <w:r w:rsidRPr="008545FE">
              <w:rPr>
                <w:rFonts w:eastAsia="Times New Roman"/>
                <w:color w:val="000000"/>
                <w:sz w:val="20"/>
                <w:szCs w:val="20"/>
                <w:lang w:eastAsia="en-US"/>
              </w:rPr>
              <w:t>49(14.24)</w:t>
            </w:r>
          </w:p>
        </w:tc>
      </w:tr>
    </w:tbl>
    <w:p w:rsidR="00274E46" w:rsidRPr="008545FE" w:rsidRDefault="00274E46" w:rsidP="00274E46">
      <w:pPr>
        <w:snapToGrid w:val="0"/>
        <w:ind w:firstLine="425"/>
        <w:jc w:val="both"/>
        <w:rPr>
          <w:sz w:val="20"/>
          <w:szCs w:val="20"/>
        </w:rPr>
      </w:pPr>
    </w:p>
    <w:p w:rsidR="00274E46" w:rsidRPr="008545FE" w:rsidRDefault="00274E46" w:rsidP="00274E46">
      <w:pPr>
        <w:snapToGrid w:val="0"/>
        <w:ind w:firstLine="425"/>
        <w:jc w:val="both"/>
        <w:rPr>
          <w:sz w:val="20"/>
          <w:szCs w:val="20"/>
        </w:rPr>
        <w:sectPr w:rsidR="00274E46" w:rsidRPr="008545FE" w:rsidSect="007549F2">
          <w:headerReference w:type="default" r:id="rId16"/>
          <w:footerReference w:type="even" r:id="rId17"/>
          <w:footerReference w:type="default" r:id="rId18"/>
          <w:type w:val="continuous"/>
          <w:pgSz w:w="12240" w:h="15840" w:code="1"/>
          <w:pgMar w:top="1440" w:right="1440" w:bottom="1440" w:left="1440" w:header="720" w:footer="720" w:gutter="0"/>
          <w:cols w:space="720"/>
          <w:docGrid w:linePitch="360"/>
        </w:sectPr>
      </w:pPr>
    </w:p>
    <w:p w:rsidR="00CB074D" w:rsidRPr="008545FE" w:rsidRDefault="00E75ED9" w:rsidP="00274E46">
      <w:pPr>
        <w:snapToGrid w:val="0"/>
        <w:ind w:firstLine="425"/>
        <w:jc w:val="both"/>
        <w:rPr>
          <w:sz w:val="20"/>
          <w:szCs w:val="20"/>
        </w:rPr>
      </w:pPr>
      <w:r w:rsidRPr="008545FE">
        <w:rPr>
          <w:sz w:val="20"/>
          <w:szCs w:val="20"/>
        </w:rPr>
        <w:lastRenderedPageBreak/>
        <w:t>Table 2 showed the co-infection of STDs (HBV, HCV &amp; Syphilis) among HIV positive patients attending health facilities in relation to age.</w:t>
      </w:r>
      <w:r w:rsidR="00FA684D" w:rsidRPr="008545FE">
        <w:rPr>
          <w:sz w:val="20"/>
          <w:szCs w:val="20"/>
        </w:rPr>
        <w:t xml:space="preserve"> Age group 20-29 had the highest prevalence of co-infection (16.48%) while age groups 10-19 and &gt;50 recorded no co-infection.</w:t>
      </w:r>
    </w:p>
    <w:p w:rsidR="00274E46" w:rsidRPr="008545FE" w:rsidRDefault="00274E46" w:rsidP="00274E46">
      <w:pPr>
        <w:snapToGrid w:val="0"/>
        <w:ind w:firstLine="425"/>
        <w:jc w:val="both"/>
        <w:rPr>
          <w:sz w:val="20"/>
          <w:szCs w:val="20"/>
        </w:rPr>
      </w:pPr>
      <w:r w:rsidRPr="008545FE">
        <w:rPr>
          <w:sz w:val="20"/>
          <w:szCs w:val="20"/>
        </w:rPr>
        <w:t xml:space="preserve">In Abuja municipal Area Council, a total of 101 samples were tested, 44 males and 57 females. 17 (16.83%) out of 101 had co-infections, 9 (20.45%) males and 8 (14.04%) females (Tables 3&amp;4). The </w:t>
      </w:r>
      <w:r w:rsidRPr="008545FE">
        <w:rPr>
          <w:sz w:val="20"/>
          <w:szCs w:val="20"/>
        </w:rPr>
        <w:lastRenderedPageBreak/>
        <w:t xml:space="preserve">tables also showed the co-infection of STDs (HBV, HCV and Syphilis) among HIV positive patients attending health facilities in </w:t>
      </w:r>
      <w:proofErr w:type="spellStart"/>
      <w:r w:rsidRPr="008545FE">
        <w:rPr>
          <w:sz w:val="20"/>
          <w:szCs w:val="20"/>
        </w:rPr>
        <w:t>Gwagwalada</w:t>
      </w:r>
      <w:proofErr w:type="spellEnd"/>
      <w:r w:rsidRPr="008545FE">
        <w:rPr>
          <w:sz w:val="20"/>
          <w:szCs w:val="20"/>
        </w:rPr>
        <w:t xml:space="preserve"> Area council of FCT. A total of 138 samples were tested in this Area Council, 60 males and 78 females.19(13.77%) out of 138 had co-infections,17 (28.33%) males and 2 (2.56%) females.15 (10.87%) tested positive to Hepatitis B(HBV),13 (21.67%) males and 2 (2.56%) females, 3 (5.00%) and 1 (1.67%) males tested positive to HCV and Syphilis </w:t>
      </w:r>
      <w:r w:rsidRPr="008545FE">
        <w:rPr>
          <w:sz w:val="20"/>
          <w:szCs w:val="20"/>
        </w:rPr>
        <w:lastRenderedPageBreak/>
        <w:t xml:space="preserve">respectively, but no female in this council tested positive for both viral diseases. 75 samples were tested in </w:t>
      </w:r>
      <w:proofErr w:type="spellStart"/>
      <w:r w:rsidRPr="008545FE">
        <w:rPr>
          <w:sz w:val="20"/>
          <w:szCs w:val="20"/>
        </w:rPr>
        <w:t>Bwari</w:t>
      </w:r>
      <w:proofErr w:type="spellEnd"/>
      <w:r w:rsidRPr="008545FE">
        <w:rPr>
          <w:sz w:val="20"/>
          <w:szCs w:val="20"/>
        </w:rPr>
        <w:t xml:space="preserve"> Area council, 25 males and 41 females, 9 (13.64%) had co-infections, 7(28.00%) males and 2 (4.89%) females. 6 (9.09%) tested positive to Hepatitis B(HBV), 5 (20.00%) males and 1(2.44%) female. 2 (3.03%) tested positive to </w:t>
      </w:r>
      <w:r w:rsidRPr="008545FE">
        <w:rPr>
          <w:sz w:val="20"/>
          <w:szCs w:val="20"/>
        </w:rPr>
        <w:lastRenderedPageBreak/>
        <w:t xml:space="preserve">Hepatitis C (HCV), 1(4.00%) male and 1(2.44%) female. 1(4.00%) male tested positive to Syphilis. A total of 39 samples were tested in </w:t>
      </w:r>
      <w:proofErr w:type="spellStart"/>
      <w:r w:rsidRPr="008545FE">
        <w:rPr>
          <w:sz w:val="20"/>
          <w:szCs w:val="20"/>
        </w:rPr>
        <w:t>Kwali</w:t>
      </w:r>
      <w:proofErr w:type="spellEnd"/>
      <w:r w:rsidRPr="008545FE">
        <w:rPr>
          <w:sz w:val="20"/>
          <w:szCs w:val="20"/>
        </w:rPr>
        <w:t xml:space="preserve"> Area Council, 14 males and 25 females. 4 (10.26%) tested positive to Hepatitis (HBV), 3 (21.43%) males and 1 (4.00%) female, non tested positive to Hepatitis C(HCV) and Syphilis (Tables 3&amp;4, Figures 1&amp;2).</w:t>
      </w:r>
    </w:p>
    <w:p w:rsidR="00274E46" w:rsidRPr="008545FE" w:rsidRDefault="00274E46" w:rsidP="00274E46">
      <w:pPr>
        <w:snapToGrid w:val="0"/>
        <w:ind w:firstLine="425"/>
        <w:jc w:val="both"/>
        <w:rPr>
          <w:sz w:val="20"/>
          <w:szCs w:val="20"/>
          <w:lang w:eastAsia="zh-CN"/>
        </w:rPr>
        <w:sectPr w:rsidR="00274E46" w:rsidRPr="008545FE" w:rsidSect="008545FE">
          <w:headerReference w:type="default" r:id="rId19"/>
          <w:footerReference w:type="even" r:id="rId20"/>
          <w:footerReference w:type="default" r:id="rId21"/>
          <w:type w:val="continuous"/>
          <w:pgSz w:w="12240" w:h="15840" w:code="1"/>
          <w:pgMar w:top="1440" w:right="1440" w:bottom="1440" w:left="1440" w:header="720" w:footer="720" w:gutter="0"/>
          <w:cols w:num="2" w:space="600"/>
          <w:docGrid w:linePitch="360"/>
        </w:sectPr>
      </w:pPr>
    </w:p>
    <w:p w:rsidR="004015FE" w:rsidRPr="008545FE" w:rsidRDefault="004015FE" w:rsidP="00274E46">
      <w:pPr>
        <w:snapToGrid w:val="0"/>
        <w:ind w:firstLine="425"/>
        <w:jc w:val="both"/>
        <w:rPr>
          <w:sz w:val="20"/>
          <w:szCs w:val="20"/>
        </w:rPr>
      </w:pPr>
    </w:p>
    <w:p w:rsidR="00CB074D" w:rsidRPr="008545FE" w:rsidRDefault="00CB074D" w:rsidP="00274E46">
      <w:pPr>
        <w:snapToGrid w:val="0"/>
        <w:jc w:val="center"/>
        <w:rPr>
          <w:sz w:val="20"/>
          <w:szCs w:val="20"/>
        </w:rPr>
      </w:pPr>
      <w:r w:rsidRPr="008545FE">
        <w:rPr>
          <w:sz w:val="20"/>
          <w:szCs w:val="20"/>
        </w:rPr>
        <w:t>T</w:t>
      </w:r>
      <w:r w:rsidR="00A13C49" w:rsidRPr="008545FE">
        <w:rPr>
          <w:sz w:val="20"/>
          <w:szCs w:val="20"/>
        </w:rPr>
        <w:t>able</w:t>
      </w:r>
      <w:r w:rsidRPr="008545FE">
        <w:rPr>
          <w:sz w:val="20"/>
          <w:szCs w:val="20"/>
        </w:rPr>
        <w:t xml:space="preserve"> 2: HIV/STD </w:t>
      </w:r>
      <w:r w:rsidR="00A13C49" w:rsidRPr="008545FE">
        <w:rPr>
          <w:sz w:val="20"/>
          <w:szCs w:val="20"/>
        </w:rPr>
        <w:t>co- infection in relation to age</w:t>
      </w:r>
    </w:p>
    <w:tbl>
      <w:tblPr>
        <w:tblStyle w:val="TableGrid"/>
        <w:tblW w:w="0" w:type="auto"/>
        <w:jc w:val="center"/>
        <w:tblLayout w:type="fixed"/>
        <w:tblLook w:val="04A0"/>
      </w:tblPr>
      <w:tblGrid>
        <w:gridCol w:w="1728"/>
        <w:gridCol w:w="1890"/>
        <w:gridCol w:w="1350"/>
        <w:gridCol w:w="1170"/>
        <w:gridCol w:w="1530"/>
        <w:gridCol w:w="1350"/>
      </w:tblGrid>
      <w:tr w:rsidR="00532912"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Age group</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Num</w:t>
            </w:r>
            <w:r w:rsidR="00532912" w:rsidRPr="008545FE">
              <w:rPr>
                <w:rFonts w:ascii="Times New Roman" w:hAnsi="Times New Roman" w:cs="Times New Roman"/>
                <w:color w:val="000000"/>
                <w:sz w:val="20"/>
                <w:szCs w:val="20"/>
              </w:rPr>
              <w:t>ber</w:t>
            </w:r>
            <w:r w:rsidRPr="008545FE">
              <w:rPr>
                <w:rFonts w:ascii="Times New Roman" w:hAnsi="Times New Roman" w:cs="Times New Roman"/>
                <w:color w:val="000000"/>
                <w:sz w:val="20"/>
                <w:szCs w:val="20"/>
              </w:rPr>
              <w:t xml:space="preserve"> Exam</w:t>
            </w:r>
            <w:r w:rsidR="00532912" w:rsidRPr="008545FE">
              <w:rPr>
                <w:rFonts w:ascii="Times New Roman" w:hAnsi="Times New Roman" w:cs="Times New Roman"/>
                <w:color w:val="000000"/>
                <w:sz w:val="20"/>
                <w:szCs w:val="20"/>
              </w:rPr>
              <w:t>ined</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HBV (%)</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HCV (%)</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SYPHILIS (%)</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TOTAL (%)</w:t>
            </w:r>
          </w:p>
        </w:tc>
      </w:tr>
      <w:tr w:rsidR="00532912"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10-19</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r>
      <w:tr w:rsidR="00532912"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20-29</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91</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10(10.99)</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4(4.40)</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1(1.10)</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15(16.48)</w:t>
            </w:r>
          </w:p>
        </w:tc>
      </w:tr>
      <w:tr w:rsidR="00532912"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30-39</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125</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15(12.00)</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2(1.60)</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1(0.80)</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18(14.40)</w:t>
            </w:r>
          </w:p>
        </w:tc>
      </w:tr>
      <w:tr w:rsidR="00532912"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40-49</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117</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13(11.11)</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3(2.56)</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16(13.63)</w:t>
            </w:r>
          </w:p>
        </w:tc>
      </w:tr>
      <w:tr w:rsidR="00062F96" w:rsidRPr="008545FE" w:rsidTr="008545FE">
        <w:trPr>
          <w:cantSplit/>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Above 50</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8</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r>
    </w:tbl>
    <w:p w:rsidR="002D4AC2" w:rsidRPr="008545FE" w:rsidRDefault="002D4AC2" w:rsidP="00274E46">
      <w:pPr>
        <w:snapToGrid w:val="0"/>
        <w:ind w:firstLine="425"/>
        <w:jc w:val="both"/>
        <w:rPr>
          <w:sz w:val="20"/>
          <w:szCs w:val="20"/>
        </w:rPr>
        <w:sectPr w:rsidR="002D4AC2" w:rsidRPr="008545FE" w:rsidSect="007549F2">
          <w:headerReference w:type="default" r:id="rId22"/>
          <w:footerReference w:type="even" r:id="rId23"/>
          <w:footerReference w:type="default" r:id="rId24"/>
          <w:type w:val="continuous"/>
          <w:pgSz w:w="12240" w:h="15840" w:code="1"/>
          <w:pgMar w:top="1440" w:right="1440" w:bottom="1440" w:left="1440" w:header="720" w:footer="720" w:gutter="0"/>
          <w:cols w:space="720"/>
          <w:docGrid w:linePitch="360"/>
        </w:sectPr>
      </w:pPr>
    </w:p>
    <w:tbl>
      <w:tblPr>
        <w:tblStyle w:val="TableGrid"/>
        <w:tblW w:w="9018" w:type="dxa"/>
        <w:jc w:val="center"/>
        <w:tblLayout w:type="fixed"/>
        <w:tblLook w:val="04A0"/>
      </w:tblPr>
      <w:tblGrid>
        <w:gridCol w:w="1728"/>
        <w:gridCol w:w="1890"/>
        <w:gridCol w:w="1350"/>
        <w:gridCol w:w="1170"/>
        <w:gridCol w:w="1530"/>
        <w:gridCol w:w="1350"/>
      </w:tblGrid>
      <w:tr w:rsidR="00CB074D" w:rsidRPr="008545FE" w:rsidTr="00274E46">
        <w:trPr>
          <w:jc w:val="center"/>
        </w:trPr>
        <w:tc>
          <w:tcPr>
            <w:tcW w:w="1728"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lastRenderedPageBreak/>
              <w:t>Total</w:t>
            </w:r>
          </w:p>
        </w:tc>
        <w:tc>
          <w:tcPr>
            <w:tcW w:w="189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344</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38(11.05)</w:t>
            </w:r>
          </w:p>
        </w:tc>
        <w:tc>
          <w:tcPr>
            <w:tcW w:w="117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9(2.62)</w:t>
            </w:r>
          </w:p>
        </w:tc>
        <w:tc>
          <w:tcPr>
            <w:tcW w:w="153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2(0.58)</w:t>
            </w:r>
          </w:p>
        </w:tc>
        <w:tc>
          <w:tcPr>
            <w:tcW w:w="1350" w:type="dxa"/>
          </w:tcPr>
          <w:p w:rsidR="00CB074D" w:rsidRPr="008545FE" w:rsidRDefault="00CB074D"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49(14.24)</w:t>
            </w:r>
          </w:p>
        </w:tc>
      </w:tr>
    </w:tbl>
    <w:p w:rsidR="00274E46" w:rsidRPr="008545FE" w:rsidRDefault="00274E46" w:rsidP="00274E46">
      <w:pPr>
        <w:snapToGrid w:val="0"/>
        <w:ind w:firstLine="425"/>
        <w:jc w:val="both"/>
        <w:rPr>
          <w:sz w:val="20"/>
          <w:szCs w:val="20"/>
        </w:rPr>
      </w:pPr>
    </w:p>
    <w:p w:rsidR="00A13C49" w:rsidRPr="008545FE" w:rsidRDefault="00A13C49" w:rsidP="00274E46">
      <w:pPr>
        <w:snapToGrid w:val="0"/>
        <w:jc w:val="center"/>
        <w:rPr>
          <w:sz w:val="20"/>
          <w:szCs w:val="20"/>
        </w:rPr>
      </w:pPr>
      <w:r w:rsidRPr="008545FE">
        <w:rPr>
          <w:sz w:val="20"/>
          <w:szCs w:val="20"/>
        </w:rPr>
        <w:t>T</w:t>
      </w:r>
      <w:r w:rsidR="004015FE" w:rsidRPr="008545FE">
        <w:rPr>
          <w:sz w:val="20"/>
          <w:szCs w:val="20"/>
        </w:rPr>
        <w:t>able</w:t>
      </w:r>
      <w:r w:rsidRPr="008545FE">
        <w:rPr>
          <w:sz w:val="20"/>
          <w:szCs w:val="20"/>
        </w:rPr>
        <w:t xml:space="preserve"> 3: HIV/STD co- infection rate by area council</w:t>
      </w:r>
    </w:p>
    <w:tbl>
      <w:tblPr>
        <w:tblStyle w:val="TableGrid"/>
        <w:tblW w:w="5000" w:type="pct"/>
        <w:jc w:val="center"/>
        <w:tblLook w:val="04A0"/>
      </w:tblPr>
      <w:tblGrid>
        <w:gridCol w:w="1579"/>
        <w:gridCol w:w="1870"/>
        <w:gridCol w:w="1350"/>
        <w:gridCol w:w="1454"/>
        <w:gridCol w:w="1766"/>
        <w:gridCol w:w="1557"/>
      </w:tblGrid>
      <w:tr w:rsidR="0028131F" w:rsidRPr="008545FE" w:rsidTr="008545FE">
        <w:trPr>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Area Councils</w:t>
            </w:r>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Num</w:t>
            </w:r>
            <w:r w:rsidR="0028131F" w:rsidRPr="008545FE">
              <w:rPr>
                <w:rFonts w:ascii="Times New Roman" w:hAnsi="Times New Roman" w:cs="Times New Roman"/>
                <w:color w:val="000000"/>
                <w:sz w:val="20"/>
                <w:szCs w:val="20"/>
              </w:rPr>
              <w:t>ber</w:t>
            </w:r>
            <w:r w:rsidRPr="008545FE">
              <w:rPr>
                <w:rFonts w:ascii="Times New Roman" w:hAnsi="Times New Roman" w:cs="Times New Roman"/>
                <w:color w:val="000000"/>
                <w:sz w:val="20"/>
                <w:szCs w:val="20"/>
              </w:rPr>
              <w:t xml:space="preserve"> Exam.</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HBV (%)</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HCV (%)</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SYPHILIS (%)</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TOTAL (%)</w:t>
            </w:r>
          </w:p>
        </w:tc>
      </w:tr>
      <w:tr w:rsidR="0028131F" w:rsidRPr="008545FE" w:rsidTr="008545FE">
        <w:trPr>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AMAC</w:t>
            </w:r>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101</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13(12.87)</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4(3.96)</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17(16.83)</w:t>
            </w:r>
          </w:p>
        </w:tc>
      </w:tr>
      <w:tr w:rsidR="0028131F" w:rsidRPr="008545FE" w:rsidTr="008545FE">
        <w:trPr>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proofErr w:type="spellStart"/>
            <w:r w:rsidRPr="008545FE">
              <w:rPr>
                <w:rFonts w:ascii="Times New Roman" w:hAnsi="Times New Roman" w:cs="Times New Roman"/>
                <w:color w:val="000000"/>
                <w:sz w:val="20"/>
                <w:szCs w:val="20"/>
              </w:rPr>
              <w:t>Gwagwalada</w:t>
            </w:r>
            <w:proofErr w:type="spellEnd"/>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138</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15(10.87)</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3(2.17)</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1(0.72)</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19(13.77)</w:t>
            </w:r>
          </w:p>
        </w:tc>
      </w:tr>
      <w:tr w:rsidR="0028131F" w:rsidRPr="008545FE" w:rsidTr="008545FE">
        <w:trPr>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proofErr w:type="spellStart"/>
            <w:r w:rsidRPr="008545FE">
              <w:rPr>
                <w:rFonts w:ascii="Times New Roman" w:hAnsi="Times New Roman" w:cs="Times New Roman"/>
                <w:color w:val="000000"/>
                <w:sz w:val="20"/>
                <w:szCs w:val="20"/>
              </w:rPr>
              <w:t>Bwari</w:t>
            </w:r>
            <w:proofErr w:type="spellEnd"/>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66</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15(9.09)</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2(3.03)</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1(1.52)</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9(13.64)</w:t>
            </w:r>
          </w:p>
        </w:tc>
      </w:tr>
      <w:tr w:rsidR="0028131F" w:rsidRPr="008545FE" w:rsidTr="008545FE">
        <w:trPr>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proofErr w:type="spellStart"/>
            <w:r w:rsidRPr="008545FE">
              <w:rPr>
                <w:rFonts w:ascii="Times New Roman" w:hAnsi="Times New Roman" w:cs="Times New Roman"/>
                <w:color w:val="000000"/>
                <w:sz w:val="20"/>
                <w:szCs w:val="20"/>
              </w:rPr>
              <w:t>Kwali</w:t>
            </w:r>
            <w:proofErr w:type="spellEnd"/>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39</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4(10.26)</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0(0)</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4(10.26)</w:t>
            </w:r>
          </w:p>
        </w:tc>
      </w:tr>
      <w:tr w:rsidR="0028131F" w:rsidRPr="008545FE" w:rsidTr="008545FE">
        <w:trPr>
          <w:trHeight w:val="64"/>
          <w:jc w:val="center"/>
        </w:trPr>
        <w:tc>
          <w:tcPr>
            <w:tcW w:w="82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Total</w:t>
            </w:r>
          </w:p>
        </w:tc>
        <w:tc>
          <w:tcPr>
            <w:tcW w:w="976"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344</w:t>
            </w:r>
          </w:p>
        </w:tc>
        <w:tc>
          <w:tcPr>
            <w:tcW w:w="705"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38(11.05)</w:t>
            </w:r>
          </w:p>
        </w:tc>
        <w:tc>
          <w:tcPr>
            <w:tcW w:w="759"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9(2.62)</w:t>
            </w:r>
          </w:p>
        </w:tc>
        <w:tc>
          <w:tcPr>
            <w:tcW w:w="9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2(0.58)</w:t>
            </w:r>
          </w:p>
        </w:tc>
        <w:tc>
          <w:tcPr>
            <w:tcW w:w="813"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49(14.24)</w:t>
            </w:r>
          </w:p>
        </w:tc>
      </w:tr>
    </w:tbl>
    <w:p w:rsidR="00A13C49" w:rsidRPr="008545FE" w:rsidRDefault="00A13C49" w:rsidP="00274E46">
      <w:pPr>
        <w:snapToGrid w:val="0"/>
        <w:jc w:val="center"/>
        <w:rPr>
          <w:b/>
          <w:sz w:val="20"/>
          <w:szCs w:val="20"/>
        </w:rPr>
      </w:pPr>
    </w:p>
    <w:p w:rsidR="00A13C49" w:rsidRPr="008545FE" w:rsidRDefault="00A13C49" w:rsidP="00274E46">
      <w:pPr>
        <w:snapToGrid w:val="0"/>
        <w:jc w:val="center"/>
        <w:rPr>
          <w:sz w:val="20"/>
          <w:szCs w:val="20"/>
        </w:rPr>
      </w:pPr>
      <w:proofErr w:type="gramStart"/>
      <w:r w:rsidRPr="008545FE">
        <w:rPr>
          <w:sz w:val="20"/>
          <w:szCs w:val="20"/>
        </w:rPr>
        <w:t>Table</w:t>
      </w:r>
      <w:r w:rsidR="004015FE" w:rsidRPr="008545FE">
        <w:rPr>
          <w:sz w:val="20"/>
          <w:szCs w:val="20"/>
        </w:rPr>
        <w:t xml:space="preserve"> 4.</w:t>
      </w:r>
      <w:proofErr w:type="gramEnd"/>
      <w:r w:rsidRPr="008545FE">
        <w:rPr>
          <w:sz w:val="20"/>
          <w:szCs w:val="20"/>
        </w:rPr>
        <w:t xml:space="preserve"> HIV/STDS co-infection in different area council in relation to sex</w:t>
      </w:r>
    </w:p>
    <w:tbl>
      <w:tblPr>
        <w:tblStyle w:val="TableGrid"/>
        <w:tblW w:w="5000" w:type="pct"/>
        <w:jc w:val="center"/>
        <w:tblLook w:val="04A0"/>
      </w:tblPr>
      <w:tblGrid>
        <w:gridCol w:w="1645"/>
        <w:gridCol w:w="2268"/>
        <w:gridCol w:w="1264"/>
        <w:gridCol w:w="1191"/>
        <w:gridCol w:w="1739"/>
        <w:gridCol w:w="1469"/>
      </w:tblGrid>
      <w:tr w:rsidR="00A13C49" w:rsidRPr="008545FE" w:rsidTr="008545FE">
        <w:trPr>
          <w:jc w:val="center"/>
        </w:trPr>
        <w:tc>
          <w:tcPr>
            <w:tcW w:w="859" w:type="pc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 xml:space="preserve">Area </w:t>
            </w:r>
            <w:r w:rsidR="00062F96" w:rsidRPr="008545FE">
              <w:rPr>
                <w:rFonts w:ascii="Times New Roman" w:hAnsi="Times New Roman" w:cs="Times New Roman"/>
                <w:color w:val="000000"/>
                <w:sz w:val="20"/>
                <w:szCs w:val="20"/>
              </w:rPr>
              <w:t>C</w:t>
            </w:r>
            <w:r w:rsidRPr="008545FE">
              <w:rPr>
                <w:rFonts w:ascii="Times New Roman" w:hAnsi="Times New Roman" w:cs="Times New Roman"/>
                <w:color w:val="000000"/>
                <w:sz w:val="20"/>
                <w:szCs w:val="20"/>
              </w:rPr>
              <w:t>ouncils</w:t>
            </w:r>
          </w:p>
        </w:tc>
        <w:tc>
          <w:tcPr>
            <w:tcW w:w="1184" w:type="pct"/>
          </w:tcPr>
          <w:p w:rsidR="00A13C49" w:rsidRPr="008545FE" w:rsidRDefault="0028131F"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Sex (num</w:t>
            </w:r>
            <w:r w:rsidR="00A13C49" w:rsidRPr="008545FE">
              <w:rPr>
                <w:rFonts w:ascii="Times New Roman" w:hAnsi="Times New Roman" w:cs="Times New Roman"/>
                <w:color w:val="000000"/>
                <w:sz w:val="20"/>
                <w:szCs w:val="20"/>
              </w:rPr>
              <w:t xml:space="preserve"> examined)</w:t>
            </w:r>
          </w:p>
        </w:tc>
        <w:tc>
          <w:tcPr>
            <w:tcW w:w="660" w:type="pc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HBV (%)</w:t>
            </w:r>
          </w:p>
        </w:tc>
        <w:tc>
          <w:tcPr>
            <w:tcW w:w="622" w:type="pc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HCV (%)</w:t>
            </w:r>
          </w:p>
        </w:tc>
        <w:tc>
          <w:tcPr>
            <w:tcW w:w="908" w:type="pc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SYPHILIS (%)</w:t>
            </w:r>
          </w:p>
        </w:tc>
        <w:tc>
          <w:tcPr>
            <w:tcW w:w="768" w:type="pc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TOTAL (%)</w:t>
            </w:r>
          </w:p>
        </w:tc>
      </w:tr>
      <w:tr w:rsidR="00A13C49" w:rsidRPr="008545FE" w:rsidTr="008545FE">
        <w:trPr>
          <w:jc w:val="center"/>
        </w:trPr>
        <w:tc>
          <w:tcPr>
            <w:tcW w:w="859" w:type="pct"/>
            <w:vMerge w:val="restart"/>
          </w:tcPr>
          <w:p w:rsidR="00A13C49" w:rsidRPr="008545FE" w:rsidRDefault="00A13C49" w:rsidP="00274E46">
            <w:pPr>
              <w:snapToGrid w:val="0"/>
              <w:jc w:val="both"/>
              <w:rPr>
                <w:rFonts w:ascii="Times New Roman" w:hAnsi="Times New Roman" w:cs="Times New Roman"/>
                <w:b/>
                <w:color w:val="000000"/>
                <w:sz w:val="20"/>
                <w:szCs w:val="20"/>
              </w:rPr>
            </w:pPr>
            <w:r w:rsidRPr="008545FE">
              <w:rPr>
                <w:rFonts w:ascii="Times New Roman" w:hAnsi="Times New Roman" w:cs="Times New Roman"/>
                <w:color w:val="000000"/>
                <w:sz w:val="20"/>
                <w:szCs w:val="20"/>
              </w:rPr>
              <w:t>AMAC</w:t>
            </w:r>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M (44)</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8 (18.18)</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(2.27)</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9 (20.45)</w:t>
            </w:r>
          </w:p>
        </w:tc>
      </w:tr>
      <w:tr w:rsidR="00A13C49" w:rsidRPr="008545FE" w:rsidTr="008545FE">
        <w:trPr>
          <w:jc w:val="center"/>
        </w:trPr>
        <w:tc>
          <w:tcPr>
            <w:tcW w:w="859" w:type="pct"/>
            <w:vMerge/>
          </w:tcPr>
          <w:p w:rsidR="00A13C49" w:rsidRPr="008545FE" w:rsidRDefault="00A13C49" w:rsidP="00274E46">
            <w:pPr>
              <w:snapToGrid w:val="0"/>
              <w:jc w:val="both"/>
              <w:rPr>
                <w:rFonts w:ascii="Times New Roman" w:hAnsi="Times New Roman" w:cs="Times New Roman"/>
                <w:b/>
                <w:color w:val="000000"/>
                <w:sz w:val="20"/>
                <w:szCs w:val="20"/>
              </w:rPr>
            </w:pPr>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F (57)</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5 (8.77)</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 (5.26)</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8 (14.04)</w:t>
            </w:r>
          </w:p>
        </w:tc>
      </w:tr>
      <w:tr w:rsidR="00A13C49" w:rsidRPr="008545FE" w:rsidTr="008545FE">
        <w:trPr>
          <w:jc w:val="center"/>
        </w:trPr>
        <w:tc>
          <w:tcPr>
            <w:tcW w:w="859" w:type="pct"/>
            <w:vMerge w:val="restart"/>
          </w:tcPr>
          <w:p w:rsidR="00A13C49" w:rsidRPr="008545FE" w:rsidRDefault="00A13C49" w:rsidP="00274E46">
            <w:pPr>
              <w:snapToGrid w:val="0"/>
              <w:jc w:val="both"/>
              <w:rPr>
                <w:rFonts w:ascii="Times New Roman" w:hAnsi="Times New Roman" w:cs="Times New Roman"/>
                <w:b/>
                <w:color w:val="000000"/>
                <w:sz w:val="20"/>
                <w:szCs w:val="20"/>
              </w:rPr>
            </w:pPr>
            <w:proofErr w:type="spellStart"/>
            <w:r w:rsidRPr="008545FE">
              <w:rPr>
                <w:rFonts w:ascii="Times New Roman" w:hAnsi="Times New Roman" w:cs="Times New Roman"/>
                <w:color w:val="000000"/>
                <w:sz w:val="20"/>
                <w:szCs w:val="20"/>
              </w:rPr>
              <w:t>Gwagwalada</w:t>
            </w:r>
            <w:proofErr w:type="spellEnd"/>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M (60)</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13 (21.67)</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 (5.00)</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(1.67)</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17 (28.33)</w:t>
            </w:r>
          </w:p>
        </w:tc>
      </w:tr>
      <w:tr w:rsidR="00A13C49" w:rsidRPr="008545FE" w:rsidTr="008545FE">
        <w:trPr>
          <w:jc w:val="center"/>
        </w:trPr>
        <w:tc>
          <w:tcPr>
            <w:tcW w:w="859" w:type="pct"/>
            <w:vMerge/>
          </w:tcPr>
          <w:p w:rsidR="00A13C49" w:rsidRPr="008545FE" w:rsidRDefault="00A13C49" w:rsidP="00274E46">
            <w:pPr>
              <w:snapToGrid w:val="0"/>
              <w:jc w:val="both"/>
              <w:rPr>
                <w:rFonts w:ascii="Times New Roman" w:hAnsi="Times New Roman" w:cs="Times New Roman"/>
                <w:b/>
                <w:color w:val="000000"/>
                <w:sz w:val="20"/>
                <w:szCs w:val="20"/>
              </w:rPr>
            </w:pPr>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F (78)</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 (2.56)</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 (2.56)</w:t>
            </w:r>
          </w:p>
        </w:tc>
      </w:tr>
      <w:tr w:rsidR="00A13C49" w:rsidRPr="008545FE" w:rsidTr="008545FE">
        <w:trPr>
          <w:jc w:val="center"/>
        </w:trPr>
        <w:tc>
          <w:tcPr>
            <w:tcW w:w="859" w:type="pct"/>
            <w:vMerge w:val="restart"/>
          </w:tcPr>
          <w:p w:rsidR="00A13C49" w:rsidRPr="008545FE" w:rsidRDefault="00A13C49" w:rsidP="00274E46">
            <w:pPr>
              <w:snapToGrid w:val="0"/>
              <w:jc w:val="both"/>
              <w:rPr>
                <w:rFonts w:ascii="Times New Roman" w:hAnsi="Times New Roman" w:cs="Times New Roman"/>
                <w:b/>
                <w:color w:val="000000"/>
                <w:sz w:val="20"/>
                <w:szCs w:val="20"/>
              </w:rPr>
            </w:pPr>
            <w:proofErr w:type="spellStart"/>
            <w:r w:rsidRPr="008545FE">
              <w:rPr>
                <w:rFonts w:ascii="Times New Roman" w:hAnsi="Times New Roman" w:cs="Times New Roman"/>
                <w:color w:val="000000"/>
                <w:sz w:val="20"/>
                <w:szCs w:val="20"/>
              </w:rPr>
              <w:t>Bwari</w:t>
            </w:r>
            <w:proofErr w:type="spellEnd"/>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M (25)</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5 (20.00)</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(4.00)</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(4.00)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7 (28.00)</w:t>
            </w:r>
          </w:p>
        </w:tc>
      </w:tr>
      <w:tr w:rsidR="00A13C49" w:rsidRPr="008545FE" w:rsidTr="008545FE">
        <w:trPr>
          <w:jc w:val="center"/>
        </w:trPr>
        <w:tc>
          <w:tcPr>
            <w:tcW w:w="859" w:type="pct"/>
            <w:vMerge/>
          </w:tcPr>
          <w:p w:rsidR="00A13C49" w:rsidRPr="008545FE" w:rsidRDefault="00A13C49" w:rsidP="00274E46">
            <w:pPr>
              <w:snapToGrid w:val="0"/>
              <w:jc w:val="both"/>
              <w:rPr>
                <w:rFonts w:ascii="Times New Roman" w:hAnsi="Times New Roman" w:cs="Times New Roman"/>
                <w:b/>
                <w:color w:val="000000"/>
                <w:sz w:val="20"/>
                <w:szCs w:val="20"/>
              </w:rPr>
            </w:pPr>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F (41)</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(2.44)</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(2.44)</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2 (4.89)</w:t>
            </w:r>
          </w:p>
        </w:tc>
      </w:tr>
      <w:tr w:rsidR="00A13C49" w:rsidRPr="008545FE" w:rsidTr="008545FE">
        <w:trPr>
          <w:jc w:val="center"/>
        </w:trPr>
        <w:tc>
          <w:tcPr>
            <w:tcW w:w="859" w:type="pct"/>
            <w:vMerge w:val="restart"/>
          </w:tcPr>
          <w:p w:rsidR="00A13C49" w:rsidRPr="008545FE" w:rsidRDefault="00A13C49" w:rsidP="00274E46">
            <w:pPr>
              <w:snapToGrid w:val="0"/>
              <w:jc w:val="both"/>
              <w:rPr>
                <w:rFonts w:ascii="Times New Roman" w:hAnsi="Times New Roman" w:cs="Times New Roman"/>
                <w:b/>
                <w:color w:val="000000"/>
                <w:sz w:val="20"/>
                <w:szCs w:val="20"/>
              </w:rPr>
            </w:pPr>
            <w:proofErr w:type="spellStart"/>
            <w:r w:rsidRPr="008545FE">
              <w:rPr>
                <w:rFonts w:ascii="Times New Roman" w:hAnsi="Times New Roman" w:cs="Times New Roman"/>
                <w:color w:val="000000"/>
                <w:sz w:val="20"/>
                <w:szCs w:val="20"/>
              </w:rPr>
              <w:t>Kwali</w:t>
            </w:r>
            <w:proofErr w:type="spellEnd"/>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M (14)</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 (21.43)</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3 (21.43)</w:t>
            </w:r>
          </w:p>
        </w:tc>
      </w:tr>
      <w:tr w:rsidR="00A13C49" w:rsidRPr="008545FE" w:rsidTr="008545FE">
        <w:trPr>
          <w:jc w:val="center"/>
        </w:trPr>
        <w:tc>
          <w:tcPr>
            <w:tcW w:w="859" w:type="pct"/>
            <w:vMerge/>
          </w:tcPr>
          <w:p w:rsidR="00A13C49" w:rsidRPr="008545FE" w:rsidRDefault="00A13C49" w:rsidP="00274E46">
            <w:pPr>
              <w:snapToGrid w:val="0"/>
              <w:jc w:val="both"/>
              <w:rPr>
                <w:rFonts w:ascii="Times New Roman" w:hAnsi="Times New Roman" w:cs="Times New Roman"/>
                <w:b/>
                <w:color w:val="000000"/>
                <w:sz w:val="20"/>
                <w:szCs w:val="20"/>
              </w:rPr>
            </w:pPr>
          </w:p>
        </w:tc>
        <w:tc>
          <w:tcPr>
            <w:tcW w:w="1184"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F (25)</w:t>
            </w:r>
          </w:p>
        </w:tc>
        <w:tc>
          <w:tcPr>
            <w:tcW w:w="660"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(4.00)</w:t>
            </w:r>
          </w:p>
        </w:tc>
        <w:tc>
          <w:tcPr>
            <w:tcW w:w="622"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90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0 (0)</w:t>
            </w:r>
          </w:p>
        </w:tc>
        <w:tc>
          <w:tcPr>
            <w:tcW w:w="768" w:type="pct"/>
          </w:tcPr>
          <w:p w:rsidR="00A13C49" w:rsidRPr="008545FE" w:rsidRDefault="00A13C49" w:rsidP="00274E46">
            <w:pPr>
              <w:snapToGrid w:val="0"/>
              <w:jc w:val="both"/>
              <w:rPr>
                <w:rFonts w:ascii="Times New Roman" w:hAnsi="Times New Roman" w:cs="Times New Roman"/>
                <w:color w:val="000000"/>
                <w:sz w:val="20"/>
                <w:szCs w:val="20"/>
              </w:rPr>
            </w:pPr>
            <w:r w:rsidRPr="008545FE">
              <w:rPr>
                <w:rFonts w:ascii="Times New Roman" w:hAnsi="Times New Roman" w:cs="Times New Roman"/>
                <w:color w:val="000000"/>
                <w:sz w:val="20"/>
                <w:szCs w:val="20"/>
              </w:rPr>
              <w:t>1 (4.00)</w:t>
            </w:r>
          </w:p>
        </w:tc>
      </w:tr>
    </w:tbl>
    <w:p w:rsidR="00274E46" w:rsidRDefault="00274E46" w:rsidP="00274E46">
      <w:pPr>
        <w:snapToGrid w:val="0"/>
        <w:ind w:firstLine="425"/>
        <w:jc w:val="both"/>
        <w:rPr>
          <w:sz w:val="20"/>
          <w:szCs w:val="20"/>
        </w:rPr>
      </w:pPr>
    </w:p>
    <w:p w:rsidR="008545FE" w:rsidRPr="008545FE" w:rsidRDefault="008545FE" w:rsidP="00274E46">
      <w:pPr>
        <w:snapToGrid w:val="0"/>
        <w:ind w:firstLine="425"/>
        <w:jc w:val="both"/>
        <w:rPr>
          <w:sz w:val="20"/>
          <w:szCs w:val="20"/>
        </w:rPr>
      </w:pPr>
    </w:p>
    <w:p w:rsidR="00274E46" w:rsidRPr="008545FE" w:rsidRDefault="00274E46" w:rsidP="00274E46">
      <w:pPr>
        <w:snapToGrid w:val="0"/>
        <w:ind w:firstLine="425"/>
        <w:jc w:val="both"/>
        <w:rPr>
          <w:sz w:val="20"/>
          <w:szCs w:val="20"/>
        </w:rPr>
        <w:sectPr w:rsidR="00274E46" w:rsidRPr="008545FE" w:rsidSect="007549F2">
          <w:type w:val="continuous"/>
          <w:pgSz w:w="12240" w:h="15840" w:code="1"/>
          <w:pgMar w:top="1440" w:right="1440" w:bottom="1440" w:left="1440" w:header="720" w:footer="720" w:gutter="0"/>
          <w:cols w:space="720"/>
          <w:docGrid w:linePitch="360"/>
        </w:sectPr>
      </w:pPr>
    </w:p>
    <w:p w:rsidR="0060612C" w:rsidRPr="008545FE" w:rsidRDefault="0060612C" w:rsidP="00274E46">
      <w:pPr>
        <w:snapToGrid w:val="0"/>
        <w:jc w:val="center"/>
        <w:rPr>
          <w:sz w:val="20"/>
          <w:szCs w:val="20"/>
        </w:rPr>
      </w:pPr>
      <w:r w:rsidRPr="008545FE">
        <w:rPr>
          <w:noProof/>
          <w:sz w:val="20"/>
          <w:szCs w:val="20"/>
          <w:lang w:eastAsia="en-US"/>
        </w:rPr>
        <w:lastRenderedPageBreak/>
        <w:drawing>
          <wp:inline distT="0" distB="0" distL="0" distR="0">
            <wp:extent cx="2423603" cy="1889185"/>
            <wp:effectExtent l="19050" t="0" r="14797"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612C" w:rsidRPr="008545FE" w:rsidRDefault="0060612C" w:rsidP="00274E46">
      <w:pPr>
        <w:snapToGrid w:val="0"/>
        <w:jc w:val="both"/>
        <w:rPr>
          <w:sz w:val="20"/>
          <w:szCs w:val="20"/>
        </w:rPr>
      </w:pPr>
      <w:r w:rsidRPr="008545FE">
        <w:rPr>
          <w:sz w:val="20"/>
          <w:szCs w:val="20"/>
        </w:rPr>
        <w:t>Figure 1: Prevalence of STD Co-Infection in HIV</w:t>
      </w:r>
      <w:r w:rsidR="00274E46" w:rsidRPr="008545FE">
        <w:rPr>
          <w:rFonts w:hint="eastAsia"/>
          <w:sz w:val="20"/>
          <w:szCs w:val="20"/>
          <w:lang w:eastAsia="zh-CN"/>
        </w:rPr>
        <w:t xml:space="preserve"> </w:t>
      </w:r>
      <w:r w:rsidRPr="008545FE">
        <w:rPr>
          <w:sz w:val="20"/>
          <w:szCs w:val="20"/>
        </w:rPr>
        <w:t>Patients by Location</w:t>
      </w:r>
    </w:p>
    <w:p w:rsidR="00471E57" w:rsidRDefault="00471E57" w:rsidP="00274E46">
      <w:pPr>
        <w:snapToGrid w:val="0"/>
        <w:ind w:firstLine="425"/>
        <w:jc w:val="both"/>
        <w:rPr>
          <w:sz w:val="20"/>
          <w:szCs w:val="20"/>
          <w:lang w:eastAsia="zh-CN"/>
        </w:rPr>
      </w:pPr>
    </w:p>
    <w:p w:rsidR="008545FE" w:rsidRDefault="008545FE" w:rsidP="00274E46">
      <w:pPr>
        <w:snapToGrid w:val="0"/>
        <w:ind w:firstLine="425"/>
        <w:jc w:val="both"/>
        <w:rPr>
          <w:sz w:val="20"/>
          <w:szCs w:val="20"/>
          <w:lang w:eastAsia="zh-CN"/>
        </w:rPr>
      </w:pPr>
    </w:p>
    <w:p w:rsidR="008545FE" w:rsidRPr="008545FE" w:rsidRDefault="008545FE" w:rsidP="00274E46">
      <w:pPr>
        <w:snapToGrid w:val="0"/>
        <w:ind w:firstLine="425"/>
        <w:jc w:val="both"/>
        <w:rPr>
          <w:sz w:val="20"/>
          <w:szCs w:val="20"/>
          <w:lang w:eastAsia="zh-CN"/>
        </w:rPr>
      </w:pPr>
    </w:p>
    <w:p w:rsidR="0060612C" w:rsidRPr="008545FE" w:rsidRDefault="0060612C" w:rsidP="00274E46">
      <w:pPr>
        <w:snapToGrid w:val="0"/>
        <w:jc w:val="center"/>
        <w:rPr>
          <w:sz w:val="20"/>
          <w:szCs w:val="20"/>
          <w:lang w:eastAsia="zh-CN"/>
        </w:rPr>
      </w:pPr>
      <w:r w:rsidRPr="008545FE">
        <w:rPr>
          <w:noProof/>
          <w:sz w:val="20"/>
          <w:szCs w:val="20"/>
          <w:lang w:eastAsia="en-US"/>
        </w:rPr>
        <w:lastRenderedPageBreak/>
        <w:drawing>
          <wp:inline distT="0" distB="0" distL="0" distR="0">
            <wp:extent cx="2779809" cy="1956021"/>
            <wp:effectExtent l="19050" t="0" r="20541" b="6129"/>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612C" w:rsidRPr="008545FE" w:rsidRDefault="0060612C" w:rsidP="00274E46">
      <w:pPr>
        <w:snapToGrid w:val="0"/>
        <w:jc w:val="both"/>
        <w:rPr>
          <w:sz w:val="20"/>
          <w:szCs w:val="20"/>
        </w:rPr>
      </w:pPr>
      <w:r w:rsidRPr="008545FE">
        <w:rPr>
          <w:sz w:val="20"/>
          <w:szCs w:val="20"/>
        </w:rPr>
        <w:t>Figure 2: HIV/STDS co-infection in different area</w:t>
      </w:r>
      <w:r w:rsidR="00274E46" w:rsidRPr="008545FE">
        <w:rPr>
          <w:rFonts w:hint="eastAsia"/>
          <w:sz w:val="20"/>
          <w:szCs w:val="20"/>
          <w:lang w:eastAsia="zh-CN"/>
        </w:rPr>
        <w:t xml:space="preserve"> </w:t>
      </w:r>
      <w:r w:rsidRPr="008545FE">
        <w:rPr>
          <w:sz w:val="20"/>
          <w:szCs w:val="20"/>
        </w:rPr>
        <w:t>council in relation to sex</w:t>
      </w:r>
    </w:p>
    <w:p w:rsidR="008545FE" w:rsidRDefault="008545FE" w:rsidP="00274E46">
      <w:pPr>
        <w:snapToGrid w:val="0"/>
        <w:jc w:val="both"/>
        <w:rPr>
          <w:b/>
          <w:sz w:val="20"/>
          <w:szCs w:val="20"/>
        </w:rPr>
      </w:pPr>
    </w:p>
    <w:p w:rsidR="008545FE" w:rsidRDefault="008545FE" w:rsidP="00274E46">
      <w:pPr>
        <w:snapToGrid w:val="0"/>
        <w:jc w:val="both"/>
        <w:rPr>
          <w:b/>
          <w:sz w:val="20"/>
          <w:szCs w:val="20"/>
        </w:rPr>
      </w:pPr>
    </w:p>
    <w:p w:rsidR="00471E57" w:rsidRPr="008545FE" w:rsidRDefault="00471E57" w:rsidP="00274E46">
      <w:pPr>
        <w:snapToGrid w:val="0"/>
        <w:jc w:val="both"/>
        <w:rPr>
          <w:b/>
          <w:sz w:val="20"/>
          <w:szCs w:val="20"/>
        </w:rPr>
      </w:pPr>
      <w:r w:rsidRPr="008545FE">
        <w:rPr>
          <w:b/>
          <w:sz w:val="20"/>
          <w:szCs w:val="20"/>
        </w:rPr>
        <w:lastRenderedPageBreak/>
        <w:t>4. Discussions</w:t>
      </w:r>
    </w:p>
    <w:p w:rsidR="00FA684D" w:rsidRPr="008545FE" w:rsidRDefault="00FA684D" w:rsidP="00274E46">
      <w:pPr>
        <w:snapToGrid w:val="0"/>
        <w:ind w:firstLine="425"/>
        <w:jc w:val="both"/>
        <w:rPr>
          <w:sz w:val="20"/>
          <w:szCs w:val="20"/>
        </w:rPr>
      </w:pPr>
      <w:r w:rsidRPr="008545FE">
        <w:rPr>
          <w:sz w:val="20"/>
          <w:szCs w:val="20"/>
        </w:rPr>
        <w:t xml:space="preserve">The overall prevalence of co- infection with </w:t>
      </w:r>
      <w:proofErr w:type="spellStart"/>
      <w:r w:rsidRPr="008545FE">
        <w:rPr>
          <w:sz w:val="20"/>
          <w:szCs w:val="20"/>
        </w:rPr>
        <w:t>HBsAg</w:t>
      </w:r>
      <w:proofErr w:type="spellEnd"/>
      <w:r w:rsidRPr="008545FE">
        <w:rPr>
          <w:sz w:val="20"/>
          <w:szCs w:val="20"/>
        </w:rPr>
        <w:t xml:space="preserve">, HCV and Syphilis was 14.24%, and this was recorded in patients less than 50 years old which was in agreement with a study carried out by </w:t>
      </w:r>
      <w:proofErr w:type="spellStart"/>
      <w:r w:rsidRPr="008545FE">
        <w:rPr>
          <w:sz w:val="20"/>
          <w:szCs w:val="20"/>
        </w:rPr>
        <w:t>Adewole</w:t>
      </w:r>
      <w:proofErr w:type="spellEnd"/>
      <w:r w:rsidRPr="008545FE">
        <w:rPr>
          <w:sz w:val="20"/>
          <w:szCs w:val="20"/>
        </w:rPr>
        <w:t xml:space="preserve"> </w:t>
      </w:r>
      <w:r w:rsidRPr="008545FE">
        <w:rPr>
          <w:i/>
          <w:sz w:val="20"/>
          <w:szCs w:val="20"/>
        </w:rPr>
        <w:t xml:space="preserve">et al. </w:t>
      </w:r>
      <w:r w:rsidRPr="008545FE">
        <w:rPr>
          <w:sz w:val="20"/>
          <w:szCs w:val="20"/>
        </w:rPr>
        <w:t xml:space="preserve">(2009) at the National Hospital, Abuja. In this study, HBV </w:t>
      </w:r>
      <w:r w:rsidR="00204CA9">
        <w:rPr>
          <w:sz w:val="20"/>
          <w:szCs w:val="20"/>
        </w:rPr>
        <w:t xml:space="preserve">in male </w:t>
      </w:r>
      <w:r w:rsidRPr="008545FE">
        <w:rPr>
          <w:sz w:val="20"/>
          <w:szCs w:val="20"/>
        </w:rPr>
        <w:t>showed the highest prev</w:t>
      </w:r>
      <w:r w:rsidR="00204CA9">
        <w:rPr>
          <w:sz w:val="20"/>
          <w:szCs w:val="20"/>
        </w:rPr>
        <w:t>alence</w:t>
      </w:r>
      <w:r w:rsidRPr="008545FE">
        <w:rPr>
          <w:sz w:val="20"/>
          <w:szCs w:val="20"/>
        </w:rPr>
        <w:t xml:space="preserve"> disagreeing with </w:t>
      </w:r>
      <w:proofErr w:type="spellStart"/>
      <w:r w:rsidRPr="008545FE">
        <w:rPr>
          <w:sz w:val="20"/>
          <w:szCs w:val="20"/>
        </w:rPr>
        <w:t>Adewole</w:t>
      </w:r>
      <w:proofErr w:type="spellEnd"/>
      <w:r w:rsidRPr="008545FE">
        <w:rPr>
          <w:sz w:val="20"/>
          <w:szCs w:val="20"/>
        </w:rPr>
        <w:t xml:space="preserve"> </w:t>
      </w:r>
      <w:r w:rsidRPr="008545FE">
        <w:rPr>
          <w:i/>
          <w:sz w:val="20"/>
          <w:szCs w:val="20"/>
        </w:rPr>
        <w:t xml:space="preserve">et al. </w:t>
      </w:r>
      <w:r w:rsidRPr="008545FE">
        <w:rPr>
          <w:sz w:val="20"/>
          <w:szCs w:val="20"/>
        </w:rPr>
        <w:t xml:space="preserve">(2009) who recorded highest prevalence of HCV in males and that females were the most infected with HBV. HBV in this study, however, showed lower prevalence (11.04%) than the 25.9% reported among HIV positive patients in </w:t>
      </w:r>
      <w:proofErr w:type="spellStart"/>
      <w:r w:rsidRPr="008545FE">
        <w:rPr>
          <w:sz w:val="20"/>
          <w:szCs w:val="20"/>
        </w:rPr>
        <w:t>Jos</w:t>
      </w:r>
      <w:proofErr w:type="spellEnd"/>
      <w:r w:rsidRPr="008545FE">
        <w:rPr>
          <w:sz w:val="20"/>
          <w:szCs w:val="20"/>
        </w:rPr>
        <w:t xml:space="preserve">, Nigeria by </w:t>
      </w:r>
      <w:proofErr w:type="spellStart"/>
      <w:r w:rsidRPr="008545FE">
        <w:rPr>
          <w:sz w:val="20"/>
          <w:szCs w:val="20"/>
        </w:rPr>
        <w:t>Uneke</w:t>
      </w:r>
      <w:proofErr w:type="spellEnd"/>
      <w:r w:rsidRPr="008545FE">
        <w:rPr>
          <w:sz w:val="20"/>
          <w:szCs w:val="20"/>
        </w:rPr>
        <w:t xml:space="preserve"> </w:t>
      </w:r>
      <w:r w:rsidRPr="008545FE">
        <w:rPr>
          <w:i/>
          <w:sz w:val="20"/>
          <w:szCs w:val="20"/>
        </w:rPr>
        <w:t>et al.</w:t>
      </w:r>
      <w:r w:rsidRPr="008545FE">
        <w:rPr>
          <w:sz w:val="20"/>
          <w:szCs w:val="20"/>
        </w:rPr>
        <w:t xml:space="preserve"> (2005).</w:t>
      </w:r>
    </w:p>
    <w:p w:rsidR="00FA684D" w:rsidRPr="008545FE" w:rsidRDefault="00FA684D" w:rsidP="00274E46">
      <w:pPr>
        <w:snapToGrid w:val="0"/>
        <w:ind w:firstLine="425"/>
        <w:jc w:val="both"/>
        <w:rPr>
          <w:sz w:val="20"/>
          <w:szCs w:val="20"/>
        </w:rPr>
      </w:pPr>
      <w:r w:rsidRPr="008545FE">
        <w:rPr>
          <w:sz w:val="20"/>
          <w:szCs w:val="20"/>
        </w:rPr>
        <w:t xml:space="preserve">The interaction between HIV and HCV has been well documented especially as it relates to transmission of HCV. HIV positive women, especially pregnant ones should be encouraged to have HBV and HCV screenings done. Risk factors in transmission of these epidemics include; multiple unprotected sexual exposure, scarification’s marks, blood transfusion and unsafe injection needle, use of unsterilized instruments for acupuncture, piercing and </w:t>
      </w:r>
      <w:proofErr w:type="spellStart"/>
      <w:r w:rsidRPr="008545FE">
        <w:rPr>
          <w:sz w:val="20"/>
          <w:szCs w:val="20"/>
        </w:rPr>
        <w:t>tattoing</w:t>
      </w:r>
      <w:proofErr w:type="spellEnd"/>
      <w:r w:rsidRPr="008545FE">
        <w:rPr>
          <w:sz w:val="20"/>
          <w:szCs w:val="20"/>
        </w:rPr>
        <w:t xml:space="preserve">. Because of the shared transmission pathways, synergistic effects of these viruses and the impact of HBV, HCV and Syphilis on presentations, morbidity and mortality of HIV, screening of HCV, HBV and Syphilis should be included in the armamentarium of investigations to be done pre-HAART. Screenings for </w:t>
      </w:r>
      <w:proofErr w:type="spellStart"/>
      <w:r w:rsidRPr="008545FE">
        <w:rPr>
          <w:sz w:val="20"/>
          <w:szCs w:val="20"/>
        </w:rPr>
        <w:t>HBsAg</w:t>
      </w:r>
      <w:proofErr w:type="spellEnd"/>
      <w:r w:rsidRPr="008545FE">
        <w:rPr>
          <w:sz w:val="20"/>
          <w:szCs w:val="20"/>
        </w:rPr>
        <w:t xml:space="preserve"> must be done</w:t>
      </w:r>
      <w:r w:rsidR="008545FE">
        <w:rPr>
          <w:sz w:val="20"/>
          <w:szCs w:val="20"/>
        </w:rPr>
        <w:t xml:space="preserve"> </w:t>
      </w:r>
      <w:r w:rsidRPr="008545FE">
        <w:rPr>
          <w:sz w:val="20"/>
          <w:szCs w:val="20"/>
        </w:rPr>
        <w:t>at the point of screening for HIV especially in young middle-aged persons. This study didn’t</w:t>
      </w:r>
      <w:r w:rsidR="008545FE">
        <w:rPr>
          <w:sz w:val="20"/>
          <w:szCs w:val="20"/>
        </w:rPr>
        <w:t xml:space="preserve"> </w:t>
      </w:r>
      <w:r w:rsidRPr="008545FE">
        <w:rPr>
          <w:sz w:val="20"/>
          <w:szCs w:val="20"/>
        </w:rPr>
        <w:t xml:space="preserve">show any HIV/HBV/HCV co-infection in young people below the age of 20 years which is in agreement with the study carried out by </w:t>
      </w:r>
      <w:proofErr w:type="spellStart"/>
      <w:r w:rsidRPr="008545FE">
        <w:rPr>
          <w:sz w:val="20"/>
          <w:szCs w:val="20"/>
        </w:rPr>
        <w:t>Sadoh</w:t>
      </w:r>
      <w:proofErr w:type="spellEnd"/>
      <w:r w:rsidRPr="008545FE">
        <w:rPr>
          <w:sz w:val="20"/>
          <w:szCs w:val="20"/>
        </w:rPr>
        <w:t xml:space="preserve"> </w:t>
      </w:r>
      <w:r w:rsidRPr="008545FE">
        <w:rPr>
          <w:i/>
          <w:sz w:val="20"/>
          <w:szCs w:val="20"/>
        </w:rPr>
        <w:t>et al.</w:t>
      </w:r>
      <w:r w:rsidRPr="008545FE">
        <w:rPr>
          <w:sz w:val="20"/>
          <w:szCs w:val="20"/>
        </w:rPr>
        <w:t xml:space="preserve"> (2011) who only recorded 5.2% prevalence among HIV/HCV in this age group. The high rate of HBV in HIV positive adults may be owing to the fact that HBV vaccine only became available in Nigeria in the year 2005, so young children born around and after that period have slimmer chances of acquiring the infection. Findings have also revealed that prevalence of hepatitis co-infection with HIV increases with progression in clinical staging of HIV (CDC, 2008). Untreated hepatitis may lead to liver cirrhosis and cancer and subsequently death (</w:t>
      </w:r>
      <w:proofErr w:type="spellStart"/>
      <w:r w:rsidRPr="008545FE">
        <w:rPr>
          <w:sz w:val="20"/>
          <w:szCs w:val="20"/>
        </w:rPr>
        <w:t>Benhamou</w:t>
      </w:r>
      <w:proofErr w:type="spellEnd"/>
      <w:r w:rsidRPr="008545FE">
        <w:rPr>
          <w:sz w:val="20"/>
          <w:szCs w:val="20"/>
        </w:rPr>
        <w:t xml:space="preserve"> </w:t>
      </w:r>
      <w:r w:rsidRPr="008545FE">
        <w:rPr>
          <w:i/>
          <w:sz w:val="20"/>
          <w:szCs w:val="20"/>
        </w:rPr>
        <w:t xml:space="preserve">et al., </w:t>
      </w:r>
      <w:r w:rsidRPr="008545FE">
        <w:rPr>
          <w:sz w:val="20"/>
          <w:szCs w:val="20"/>
        </w:rPr>
        <w:t>1999).</w:t>
      </w:r>
    </w:p>
    <w:p w:rsidR="009459B3" w:rsidRPr="008545FE" w:rsidRDefault="00FA684D" w:rsidP="00274E46">
      <w:pPr>
        <w:snapToGrid w:val="0"/>
        <w:ind w:firstLine="425"/>
        <w:jc w:val="both"/>
        <w:rPr>
          <w:sz w:val="20"/>
          <w:szCs w:val="20"/>
          <w:lang w:eastAsia="zh-CN"/>
        </w:rPr>
      </w:pPr>
      <w:r w:rsidRPr="008545FE">
        <w:rPr>
          <w:sz w:val="20"/>
          <w:szCs w:val="20"/>
        </w:rPr>
        <w:t xml:space="preserve">The </w:t>
      </w:r>
      <w:proofErr w:type="spellStart"/>
      <w:r w:rsidRPr="008545FE">
        <w:rPr>
          <w:sz w:val="20"/>
          <w:szCs w:val="20"/>
        </w:rPr>
        <w:t>sero</w:t>
      </w:r>
      <w:proofErr w:type="spellEnd"/>
      <w:r w:rsidRPr="008545FE">
        <w:rPr>
          <w:sz w:val="20"/>
          <w:szCs w:val="20"/>
        </w:rPr>
        <w:t xml:space="preserve"> prevalence of HIV and syphilis in this study was 0.58% which suggested that syphilis affects a low percentage of HIV patients, assenting to </w:t>
      </w:r>
      <w:proofErr w:type="spellStart"/>
      <w:r w:rsidRPr="008545FE">
        <w:rPr>
          <w:sz w:val="20"/>
          <w:szCs w:val="20"/>
        </w:rPr>
        <w:t>Omisakin</w:t>
      </w:r>
      <w:proofErr w:type="spellEnd"/>
      <w:r w:rsidRPr="008545FE">
        <w:rPr>
          <w:sz w:val="20"/>
          <w:szCs w:val="20"/>
        </w:rPr>
        <w:t xml:space="preserve"> </w:t>
      </w:r>
      <w:r w:rsidRPr="008545FE">
        <w:rPr>
          <w:i/>
          <w:sz w:val="20"/>
          <w:szCs w:val="20"/>
        </w:rPr>
        <w:t xml:space="preserve">et al. </w:t>
      </w:r>
      <w:r w:rsidRPr="008545FE">
        <w:rPr>
          <w:sz w:val="20"/>
          <w:szCs w:val="20"/>
        </w:rPr>
        <w:t>(2014) whose study</w:t>
      </w:r>
      <w:r w:rsidR="008545FE">
        <w:rPr>
          <w:sz w:val="20"/>
          <w:szCs w:val="20"/>
        </w:rPr>
        <w:t xml:space="preserve"> </w:t>
      </w:r>
      <w:r w:rsidRPr="008545FE">
        <w:rPr>
          <w:sz w:val="20"/>
          <w:szCs w:val="20"/>
        </w:rPr>
        <w:t>recorded a prevalence of</w:t>
      </w:r>
      <w:r w:rsidR="008545FE">
        <w:rPr>
          <w:sz w:val="20"/>
          <w:szCs w:val="20"/>
        </w:rPr>
        <w:t xml:space="preserve"> </w:t>
      </w:r>
      <w:r w:rsidRPr="008545FE">
        <w:rPr>
          <w:sz w:val="20"/>
          <w:szCs w:val="20"/>
        </w:rPr>
        <w:t>0.05% of</w:t>
      </w:r>
      <w:r w:rsidR="008545FE">
        <w:rPr>
          <w:sz w:val="20"/>
          <w:szCs w:val="20"/>
        </w:rPr>
        <w:t xml:space="preserve"> </w:t>
      </w:r>
      <w:r w:rsidRPr="008545FE">
        <w:rPr>
          <w:sz w:val="20"/>
          <w:szCs w:val="20"/>
        </w:rPr>
        <w:t>syphilis.</w:t>
      </w:r>
      <w:r w:rsidR="008545FE">
        <w:rPr>
          <w:sz w:val="20"/>
          <w:szCs w:val="20"/>
        </w:rPr>
        <w:t xml:space="preserve"> </w:t>
      </w:r>
      <w:r w:rsidRPr="008545FE">
        <w:rPr>
          <w:sz w:val="20"/>
          <w:szCs w:val="20"/>
        </w:rPr>
        <w:t xml:space="preserve">On the other hand, this study is at variance with </w:t>
      </w:r>
      <w:proofErr w:type="spellStart"/>
      <w:r w:rsidRPr="008545FE">
        <w:rPr>
          <w:sz w:val="20"/>
          <w:szCs w:val="20"/>
        </w:rPr>
        <w:t>Ogbebor</w:t>
      </w:r>
      <w:proofErr w:type="spellEnd"/>
      <w:r w:rsidRPr="008545FE">
        <w:rPr>
          <w:sz w:val="20"/>
          <w:szCs w:val="20"/>
        </w:rPr>
        <w:t xml:space="preserve"> </w:t>
      </w:r>
      <w:r w:rsidRPr="008545FE">
        <w:rPr>
          <w:i/>
          <w:sz w:val="20"/>
          <w:szCs w:val="20"/>
        </w:rPr>
        <w:t xml:space="preserve">et al. </w:t>
      </w:r>
      <w:r w:rsidRPr="008545FE">
        <w:rPr>
          <w:sz w:val="20"/>
          <w:szCs w:val="20"/>
        </w:rPr>
        <w:t>(2013) who reported a prevalence of 20% co-infection of syphilis in HIV positive patients.</w:t>
      </w:r>
      <w:r w:rsidR="008545FE">
        <w:rPr>
          <w:sz w:val="20"/>
          <w:szCs w:val="20"/>
        </w:rPr>
        <w:t xml:space="preserve"> </w:t>
      </w:r>
      <w:r w:rsidRPr="008545FE">
        <w:rPr>
          <w:sz w:val="20"/>
          <w:szCs w:val="20"/>
        </w:rPr>
        <w:t xml:space="preserve">Syphilis is caused by virus </w:t>
      </w:r>
      <w:proofErr w:type="spellStart"/>
      <w:r w:rsidRPr="008545FE">
        <w:rPr>
          <w:i/>
          <w:sz w:val="20"/>
          <w:szCs w:val="20"/>
        </w:rPr>
        <w:t>Trepanonema</w:t>
      </w:r>
      <w:proofErr w:type="spellEnd"/>
      <w:r w:rsidR="008545FE">
        <w:rPr>
          <w:i/>
          <w:sz w:val="20"/>
          <w:szCs w:val="20"/>
        </w:rPr>
        <w:t xml:space="preserve"> </w:t>
      </w:r>
      <w:proofErr w:type="spellStart"/>
      <w:r w:rsidRPr="008545FE">
        <w:rPr>
          <w:i/>
          <w:sz w:val="20"/>
          <w:szCs w:val="20"/>
        </w:rPr>
        <w:t>palladum</w:t>
      </w:r>
      <w:proofErr w:type="spellEnd"/>
      <w:r w:rsidRPr="008545FE">
        <w:rPr>
          <w:i/>
          <w:sz w:val="20"/>
          <w:szCs w:val="20"/>
        </w:rPr>
        <w:t xml:space="preserve"> </w:t>
      </w:r>
      <w:r w:rsidRPr="008545FE">
        <w:rPr>
          <w:sz w:val="20"/>
          <w:szCs w:val="20"/>
        </w:rPr>
        <w:t>and can</w:t>
      </w:r>
      <w:r w:rsidR="008545FE">
        <w:rPr>
          <w:sz w:val="20"/>
          <w:szCs w:val="20"/>
        </w:rPr>
        <w:t xml:space="preserve"> </w:t>
      </w:r>
      <w:r w:rsidRPr="008545FE">
        <w:rPr>
          <w:sz w:val="20"/>
          <w:szCs w:val="20"/>
        </w:rPr>
        <w:t xml:space="preserve">affect organs if untreated. The risk of acquiring of syphilis </w:t>
      </w:r>
      <w:r w:rsidRPr="008545FE">
        <w:rPr>
          <w:sz w:val="20"/>
          <w:szCs w:val="20"/>
        </w:rPr>
        <w:lastRenderedPageBreak/>
        <w:t>from an infected sexual partner ranges from 30% and 51%, because its widespread and mucous membrane manifestation provide the greatest likelihood for contagion (</w:t>
      </w:r>
      <w:proofErr w:type="spellStart"/>
      <w:r w:rsidRPr="008545FE">
        <w:rPr>
          <w:sz w:val="20"/>
          <w:szCs w:val="20"/>
        </w:rPr>
        <w:t>Wasserheit</w:t>
      </w:r>
      <w:proofErr w:type="spellEnd"/>
      <w:r w:rsidRPr="008545FE">
        <w:rPr>
          <w:sz w:val="20"/>
          <w:szCs w:val="20"/>
        </w:rPr>
        <w:t>, 1992). Syphilis may increase</w:t>
      </w:r>
      <w:r w:rsidR="008545FE">
        <w:rPr>
          <w:sz w:val="20"/>
          <w:szCs w:val="20"/>
        </w:rPr>
        <w:t xml:space="preserve"> </w:t>
      </w:r>
      <w:r w:rsidRPr="008545FE">
        <w:rPr>
          <w:sz w:val="20"/>
          <w:szCs w:val="20"/>
        </w:rPr>
        <w:t>HIV transmission by causing</w:t>
      </w:r>
      <w:r w:rsidR="008545FE">
        <w:rPr>
          <w:sz w:val="20"/>
          <w:szCs w:val="20"/>
        </w:rPr>
        <w:t xml:space="preserve"> </w:t>
      </w:r>
      <w:r w:rsidRPr="008545FE">
        <w:rPr>
          <w:sz w:val="20"/>
          <w:szCs w:val="20"/>
        </w:rPr>
        <w:t>genital ulcers. Men and women</w:t>
      </w:r>
      <w:r w:rsidR="008545FE">
        <w:rPr>
          <w:sz w:val="20"/>
          <w:szCs w:val="20"/>
        </w:rPr>
        <w:t xml:space="preserve"> </w:t>
      </w:r>
      <w:r w:rsidRPr="008545FE">
        <w:rPr>
          <w:sz w:val="20"/>
          <w:szCs w:val="20"/>
        </w:rPr>
        <w:t>who are sexually active are more at risk of acquiring syphilis infection.</w:t>
      </w:r>
      <w:r w:rsidR="008545FE">
        <w:rPr>
          <w:sz w:val="20"/>
          <w:szCs w:val="20"/>
        </w:rPr>
        <w:t xml:space="preserve"> </w:t>
      </w:r>
      <w:r w:rsidRPr="008545FE">
        <w:rPr>
          <w:sz w:val="20"/>
          <w:szCs w:val="20"/>
        </w:rPr>
        <w:t>Age groups 20-29 and 30-39(16.48% and 14.40% respectively) showed highest occurrence rate of STD co-infection. This agrees with CDC’s 1998 research findings that the prevalence of HIV and other STDs is highest among people between the ages of 21 and 40. These groups are also believed to be mostly sexually active.</w:t>
      </w:r>
    </w:p>
    <w:p w:rsidR="00891497" w:rsidRPr="008545FE" w:rsidRDefault="00891497" w:rsidP="00274E46">
      <w:pPr>
        <w:snapToGrid w:val="0"/>
        <w:ind w:firstLine="425"/>
        <w:jc w:val="both"/>
        <w:rPr>
          <w:sz w:val="20"/>
          <w:szCs w:val="20"/>
        </w:rPr>
      </w:pPr>
      <w:r w:rsidRPr="008545FE">
        <w:rPr>
          <w:sz w:val="20"/>
          <w:szCs w:val="20"/>
        </w:rPr>
        <w:t>The study’s investigation</w:t>
      </w:r>
      <w:r w:rsidR="008545FE">
        <w:rPr>
          <w:sz w:val="20"/>
          <w:szCs w:val="20"/>
        </w:rPr>
        <w:t xml:space="preserve"> </w:t>
      </w:r>
      <w:r w:rsidRPr="008545FE">
        <w:rPr>
          <w:sz w:val="20"/>
          <w:szCs w:val="20"/>
        </w:rPr>
        <w:t>has revealed that there is quite a significant level of prevalence of</w:t>
      </w:r>
      <w:r w:rsidR="008545FE">
        <w:rPr>
          <w:sz w:val="20"/>
          <w:szCs w:val="20"/>
        </w:rPr>
        <w:t xml:space="preserve"> </w:t>
      </w:r>
      <w:r w:rsidRPr="008545FE">
        <w:rPr>
          <w:sz w:val="20"/>
          <w:szCs w:val="20"/>
        </w:rPr>
        <w:t>HIV and other STDs(14.58%), With the most prevalent being</w:t>
      </w:r>
      <w:r w:rsidR="008545FE">
        <w:rPr>
          <w:sz w:val="20"/>
          <w:szCs w:val="20"/>
        </w:rPr>
        <w:t xml:space="preserve"> </w:t>
      </w:r>
      <w:r w:rsidRPr="008545FE">
        <w:rPr>
          <w:sz w:val="20"/>
          <w:szCs w:val="20"/>
        </w:rPr>
        <w:t>hepatitis B(HBV)(11.24%). The study also recorded higher prevalence of STDs in male than female. The evidence for the highest prevalence of hepatitis B (HBV) is consistent, and alarming because the age group most affected is the most productive sector of the society. Hepatitis C (HCV) had 2.6% of occurrence and syphilis 0.5% agreeing with NDHS, 2013’s sequence of occurrence. The control of the prevalence of HIV and STD co infection would be simple public health measures to slow down the epidemics. Regular screening</w:t>
      </w:r>
      <w:r w:rsidR="008545FE">
        <w:rPr>
          <w:sz w:val="20"/>
          <w:szCs w:val="20"/>
        </w:rPr>
        <w:t xml:space="preserve"> </w:t>
      </w:r>
      <w:r w:rsidRPr="008545FE">
        <w:rPr>
          <w:sz w:val="20"/>
          <w:szCs w:val="20"/>
        </w:rPr>
        <w:t>sessions of STDs should be implemented to monitor and control the current epidemiological situations of HIV and STDs.</w:t>
      </w:r>
    </w:p>
    <w:p w:rsidR="00E52EA0" w:rsidRPr="008545FE" w:rsidRDefault="00E52EA0" w:rsidP="00274E46">
      <w:pPr>
        <w:snapToGrid w:val="0"/>
        <w:ind w:firstLine="425"/>
        <w:jc w:val="both"/>
        <w:rPr>
          <w:sz w:val="20"/>
          <w:szCs w:val="20"/>
        </w:rPr>
      </w:pPr>
    </w:p>
    <w:p w:rsidR="00891497" w:rsidRPr="008545FE" w:rsidRDefault="00891497" w:rsidP="00274E46">
      <w:pPr>
        <w:snapToGrid w:val="0"/>
        <w:jc w:val="both"/>
        <w:rPr>
          <w:b/>
          <w:sz w:val="20"/>
          <w:szCs w:val="20"/>
        </w:rPr>
      </w:pPr>
      <w:r w:rsidRPr="008545FE">
        <w:rPr>
          <w:b/>
          <w:sz w:val="20"/>
          <w:szCs w:val="20"/>
        </w:rPr>
        <w:t>Acknowledgements:</w:t>
      </w:r>
    </w:p>
    <w:p w:rsidR="00891497" w:rsidRPr="008545FE" w:rsidRDefault="00891497" w:rsidP="00274E46">
      <w:pPr>
        <w:snapToGrid w:val="0"/>
        <w:ind w:firstLine="425"/>
        <w:jc w:val="both"/>
        <w:rPr>
          <w:sz w:val="20"/>
          <w:szCs w:val="20"/>
        </w:rPr>
      </w:pPr>
      <w:r w:rsidRPr="008545FE">
        <w:rPr>
          <w:sz w:val="20"/>
          <w:szCs w:val="20"/>
        </w:rPr>
        <w:t>Authors are grat</w:t>
      </w:r>
      <w:r w:rsidR="00F4324C" w:rsidRPr="008545FE">
        <w:rPr>
          <w:sz w:val="20"/>
          <w:szCs w:val="20"/>
        </w:rPr>
        <w:t xml:space="preserve">eful to the various management staff </w:t>
      </w:r>
      <w:r w:rsidRPr="008545FE">
        <w:rPr>
          <w:sz w:val="20"/>
          <w:szCs w:val="20"/>
        </w:rPr>
        <w:t>and laboratory technologists of the health facilities used in this study for their support in the analysis of the samples collected.</w:t>
      </w:r>
    </w:p>
    <w:p w:rsidR="00891497" w:rsidRPr="008545FE" w:rsidRDefault="00891497" w:rsidP="00274E46">
      <w:pPr>
        <w:snapToGrid w:val="0"/>
        <w:jc w:val="both"/>
        <w:rPr>
          <w:sz w:val="20"/>
          <w:szCs w:val="20"/>
        </w:rPr>
      </w:pPr>
    </w:p>
    <w:p w:rsidR="00891497" w:rsidRPr="008545FE" w:rsidRDefault="00891497" w:rsidP="00274E46">
      <w:pPr>
        <w:snapToGrid w:val="0"/>
        <w:jc w:val="both"/>
        <w:rPr>
          <w:b/>
          <w:sz w:val="20"/>
          <w:szCs w:val="20"/>
        </w:rPr>
      </w:pPr>
      <w:r w:rsidRPr="008545FE">
        <w:rPr>
          <w:b/>
          <w:sz w:val="20"/>
          <w:szCs w:val="20"/>
        </w:rPr>
        <w:t>Corresponding Author:</w:t>
      </w:r>
    </w:p>
    <w:p w:rsidR="00891497" w:rsidRPr="008545FE" w:rsidRDefault="00B26A0E" w:rsidP="00274E46">
      <w:pPr>
        <w:snapToGrid w:val="0"/>
        <w:jc w:val="both"/>
        <w:rPr>
          <w:sz w:val="20"/>
          <w:szCs w:val="20"/>
        </w:rPr>
      </w:pPr>
      <w:r w:rsidRPr="008545FE">
        <w:rPr>
          <w:sz w:val="20"/>
          <w:szCs w:val="20"/>
        </w:rPr>
        <w:t xml:space="preserve">Dr Comfort A. </w:t>
      </w:r>
      <w:proofErr w:type="spellStart"/>
      <w:r w:rsidRPr="008545FE">
        <w:rPr>
          <w:sz w:val="20"/>
          <w:szCs w:val="20"/>
        </w:rPr>
        <w:t>Olanrewaju</w:t>
      </w:r>
      <w:proofErr w:type="spellEnd"/>
    </w:p>
    <w:p w:rsidR="00B26A0E" w:rsidRPr="008545FE" w:rsidRDefault="00B26A0E" w:rsidP="00274E46">
      <w:pPr>
        <w:snapToGrid w:val="0"/>
        <w:jc w:val="both"/>
        <w:rPr>
          <w:sz w:val="20"/>
          <w:szCs w:val="20"/>
        </w:rPr>
      </w:pPr>
      <w:r w:rsidRPr="008545FE">
        <w:rPr>
          <w:sz w:val="20"/>
          <w:szCs w:val="20"/>
        </w:rPr>
        <w:t>Department of Biological Sciences</w:t>
      </w:r>
    </w:p>
    <w:p w:rsidR="00B26A0E" w:rsidRPr="008545FE" w:rsidRDefault="00B26A0E" w:rsidP="00274E46">
      <w:pPr>
        <w:snapToGrid w:val="0"/>
        <w:jc w:val="both"/>
        <w:rPr>
          <w:sz w:val="20"/>
          <w:szCs w:val="20"/>
        </w:rPr>
      </w:pPr>
      <w:r w:rsidRPr="008545FE">
        <w:rPr>
          <w:sz w:val="20"/>
          <w:szCs w:val="20"/>
        </w:rPr>
        <w:t>University of Abuja</w:t>
      </w:r>
    </w:p>
    <w:p w:rsidR="00B26A0E" w:rsidRPr="008545FE" w:rsidRDefault="00B26A0E" w:rsidP="00274E46">
      <w:pPr>
        <w:snapToGrid w:val="0"/>
        <w:jc w:val="both"/>
        <w:rPr>
          <w:sz w:val="20"/>
          <w:szCs w:val="20"/>
        </w:rPr>
      </w:pPr>
      <w:r w:rsidRPr="008545FE">
        <w:rPr>
          <w:sz w:val="20"/>
          <w:szCs w:val="20"/>
        </w:rPr>
        <w:t>Abuja, FCT 900001, Nigeria</w:t>
      </w:r>
    </w:p>
    <w:p w:rsidR="00891497" w:rsidRPr="008545FE" w:rsidRDefault="00B26A0E" w:rsidP="00274E46">
      <w:pPr>
        <w:snapToGrid w:val="0"/>
        <w:jc w:val="both"/>
        <w:rPr>
          <w:sz w:val="20"/>
          <w:szCs w:val="20"/>
        </w:rPr>
      </w:pPr>
      <w:r w:rsidRPr="008545FE">
        <w:rPr>
          <w:sz w:val="20"/>
          <w:szCs w:val="20"/>
        </w:rPr>
        <w:t>Telephone: 805-771-7311</w:t>
      </w:r>
    </w:p>
    <w:p w:rsidR="00B26A0E" w:rsidRPr="008545FE" w:rsidRDefault="00B26A0E" w:rsidP="00274E46">
      <w:pPr>
        <w:snapToGrid w:val="0"/>
        <w:jc w:val="both"/>
        <w:rPr>
          <w:sz w:val="20"/>
          <w:szCs w:val="20"/>
        </w:rPr>
      </w:pPr>
      <w:r w:rsidRPr="008545FE">
        <w:rPr>
          <w:sz w:val="20"/>
          <w:szCs w:val="20"/>
        </w:rPr>
        <w:t xml:space="preserve">Email: </w:t>
      </w:r>
      <w:hyperlink r:id="rId27" w:history="1">
        <w:r w:rsidRPr="008545FE">
          <w:rPr>
            <w:rStyle w:val="Hyperlink"/>
            <w:sz w:val="20"/>
            <w:szCs w:val="20"/>
          </w:rPr>
          <w:t>olanrewaju.adetutu@uniabuja.edu.ng</w:t>
        </w:r>
      </w:hyperlink>
    </w:p>
    <w:p w:rsidR="00274E46" w:rsidRPr="008545FE" w:rsidRDefault="00274E46" w:rsidP="00274E46">
      <w:pPr>
        <w:snapToGrid w:val="0"/>
        <w:jc w:val="both"/>
        <w:rPr>
          <w:b/>
          <w:sz w:val="20"/>
          <w:szCs w:val="20"/>
        </w:rPr>
      </w:pPr>
    </w:p>
    <w:p w:rsidR="00471E57" w:rsidRPr="008545FE" w:rsidRDefault="00471E57" w:rsidP="00274E46">
      <w:pPr>
        <w:snapToGrid w:val="0"/>
        <w:jc w:val="both"/>
        <w:rPr>
          <w:b/>
          <w:sz w:val="20"/>
          <w:szCs w:val="20"/>
        </w:rPr>
      </w:pPr>
      <w:r w:rsidRPr="008545FE">
        <w:rPr>
          <w:b/>
          <w:sz w:val="20"/>
          <w:szCs w:val="20"/>
        </w:rPr>
        <w:t>References</w:t>
      </w:r>
    </w:p>
    <w:p w:rsidR="00A558D8" w:rsidRPr="008545FE" w:rsidRDefault="00A558D8" w:rsidP="00274E46">
      <w:pPr>
        <w:pStyle w:val="ListParagraph"/>
        <w:numPr>
          <w:ilvl w:val="0"/>
          <w:numId w:val="5"/>
        </w:numPr>
        <w:tabs>
          <w:tab w:val="left" w:pos="630"/>
        </w:tabs>
        <w:snapToGrid w:val="0"/>
        <w:ind w:left="425" w:hanging="425"/>
        <w:jc w:val="both"/>
        <w:rPr>
          <w:color w:val="000000"/>
          <w:sz w:val="20"/>
          <w:szCs w:val="20"/>
          <w:shd w:val="clear" w:color="auto" w:fill="FFFFFF"/>
        </w:rPr>
      </w:pPr>
      <w:r w:rsidRPr="008545FE">
        <w:rPr>
          <w:color w:val="000000"/>
          <w:sz w:val="20"/>
          <w:szCs w:val="20"/>
          <w:shd w:val="clear" w:color="auto" w:fill="FFFFFF"/>
        </w:rPr>
        <w:t>Cohen MS. HIV and sexually transmitted diseases: lethal synergy. Top HIV Med. 200412:104-107</w:t>
      </w:r>
      <w:r w:rsidR="008545FE" w:rsidRPr="008545FE">
        <w:rPr>
          <w:color w:val="000000"/>
          <w:sz w:val="20"/>
          <w:szCs w:val="20"/>
          <w:shd w:val="clear" w:color="auto" w:fill="FFFFFF"/>
        </w:rPr>
        <w:t>.</w:t>
      </w:r>
    </w:p>
    <w:p w:rsidR="00A558D8" w:rsidRPr="008545FE" w:rsidRDefault="00A558D8" w:rsidP="00274E46">
      <w:pPr>
        <w:pStyle w:val="ListParagraph"/>
        <w:numPr>
          <w:ilvl w:val="0"/>
          <w:numId w:val="5"/>
        </w:numPr>
        <w:tabs>
          <w:tab w:val="left" w:pos="990"/>
          <w:tab w:val="left" w:pos="1800"/>
          <w:tab w:val="left" w:pos="2160"/>
        </w:tabs>
        <w:snapToGrid w:val="0"/>
        <w:ind w:left="425" w:hanging="425"/>
        <w:jc w:val="both"/>
        <w:rPr>
          <w:sz w:val="20"/>
          <w:szCs w:val="20"/>
        </w:rPr>
      </w:pPr>
      <w:r w:rsidRPr="008545FE">
        <w:rPr>
          <w:sz w:val="20"/>
          <w:szCs w:val="20"/>
        </w:rPr>
        <w:t xml:space="preserve">Cates </w:t>
      </w:r>
      <w:proofErr w:type="spellStart"/>
      <w:r w:rsidRPr="008545FE">
        <w:rPr>
          <w:sz w:val="20"/>
          <w:szCs w:val="20"/>
        </w:rPr>
        <w:t>W.Jr</w:t>
      </w:r>
      <w:proofErr w:type="spellEnd"/>
      <w:r w:rsidRPr="008545FE">
        <w:rPr>
          <w:sz w:val="20"/>
          <w:szCs w:val="20"/>
        </w:rPr>
        <w:t>., Estimates of the incidence and prevalence of sexually transmitted diseases in the United States of</w:t>
      </w:r>
      <w:r w:rsidR="000B5E21" w:rsidRPr="008545FE">
        <w:rPr>
          <w:sz w:val="20"/>
          <w:szCs w:val="20"/>
        </w:rPr>
        <w:t xml:space="preserve"> </w:t>
      </w:r>
      <w:r w:rsidRPr="008545FE">
        <w:rPr>
          <w:sz w:val="20"/>
          <w:szCs w:val="20"/>
        </w:rPr>
        <w:t>America</w:t>
      </w:r>
      <w:r w:rsidR="008545FE">
        <w:rPr>
          <w:sz w:val="20"/>
          <w:szCs w:val="20"/>
        </w:rPr>
        <w:t>,</w:t>
      </w:r>
      <w:r w:rsidRPr="008545FE">
        <w:rPr>
          <w:sz w:val="20"/>
          <w:szCs w:val="20"/>
        </w:rPr>
        <w:t xml:space="preserve"> Social health association panel. Sex </w:t>
      </w:r>
      <w:proofErr w:type="spellStart"/>
      <w:r w:rsidRPr="008545FE">
        <w:rPr>
          <w:sz w:val="20"/>
          <w:szCs w:val="20"/>
        </w:rPr>
        <w:t>trasm</w:t>
      </w:r>
      <w:proofErr w:type="spellEnd"/>
      <w:r w:rsidR="008545FE">
        <w:rPr>
          <w:sz w:val="20"/>
          <w:szCs w:val="20"/>
        </w:rPr>
        <w:t xml:space="preserve"> </w:t>
      </w:r>
      <w:proofErr w:type="spellStart"/>
      <w:r w:rsidRPr="008545FE">
        <w:rPr>
          <w:sz w:val="20"/>
          <w:szCs w:val="20"/>
        </w:rPr>
        <w:t>Dis</w:t>
      </w:r>
      <w:proofErr w:type="spellEnd"/>
      <w:r w:rsidRPr="008545FE">
        <w:rPr>
          <w:sz w:val="20"/>
          <w:szCs w:val="20"/>
        </w:rPr>
        <w:t xml:space="preserve"> </w:t>
      </w:r>
      <w:proofErr w:type="gramStart"/>
      <w:r w:rsidRPr="008545FE">
        <w:rPr>
          <w:sz w:val="20"/>
          <w:szCs w:val="20"/>
        </w:rPr>
        <w:t>1999 :</w:t>
      </w:r>
      <w:proofErr w:type="gramEnd"/>
      <w:r w:rsidRPr="008545FE">
        <w:rPr>
          <w:sz w:val="20"/>
          <w:szCs w:val="20"/>
        </w:rPr>
        <w:t xml:space="preserve"> 527s.</w:t>
      </w:r>
    </w:p>
    <w:p w:rsidR="00A558D8" w:rsidRPr="008545FE" w:rsidRDefault="00A558D8" w:rsidP="00274E46">
      <w:pPr>
        <w:pStyle w:val="ListParagraph"/>
        <w:numPr>
          <w:ilvl w:val="0"/>
          <w:numId w:val="5"/>
        </w:numPr>
        <w:snapToGrid w:val="0"/>
        <w:ind w:left="425" w:hanging="425"/>
        <w:jc w:val="both"/>
        <w:rPr>
          <w:sz w:val="20"/>
          <w:szCs w:val="20"/>
        </w:rPr>
      </w:pPr>
      <w:proofErr w:type="spellStart"/>
      <w:r w:rsidRPr="008545FE">
        <w:rPr>
          <w:sz w:val="20"/>
          <w:szCs w:val="20"/>
        </w:rPr>
        <w:t>Piot</w:t>
      </w:r>
      <w:proofErr w:type="spellEnd"/>
      <w:r w:rsidRPr="008545FE">
        <w:rPr>
          <w:sz w:val="20"/>
          <w:szCs w:val="20"/>
        </w:rPr>
        <w:t xml:space="preserve"> P., Logo M. Genital ulcers other STDs and sexual transmission of HIV. Br. Med</w:t>
      </w:r>
      <w:r w:rsidR="008545FE">
        <w:rPr>
          <w:sz w:val="20"/>
          <w:szCs w:val="20"/>
        </w:rPr>
        <w:t>.</w:t>
      </w:r>
      <w:r w:rsidRPr="008545FE">
        <w:rPr>
          <w:sz w:val="20"/>
          <w:szCs w:val="20"/>
        </w:rPr>
        <w:t xml:space="preserve"> J. 1989; 226: 623-624</w:t>
      </w:r>
      <w:r w:rsidR="008545FE" w:rsidRPr="008545FE">
        <w:rPr>
          <w:sz w:val="20"/>
          <w:szCs w:val="20"/>
        </w:rPr>
        <w:t>.</w:t>
      </w:r>
    </w:p>
    <w:p w:rsidR="00A558D8" w:rsidRPr="008545FE" w:rsidRDefault="00A558D8" w:rsidP="00274E46">
      <w:pPr>
        <w:pStyle w:val="ListParagraph"/>
        <w:numPr>
          <w:ilvl w:val="0"/>
          <w:numId w:val="5"/>
        </w:numPr>
        <w:tabs>
          <w:tab w:val="left" w:pos="720"/>
        </w:tabs>
        <w:snapToGrid w:val="0"/>
        <w:ind w:left="425" w:hanging="425"/>
        <w:jc w:val="both"/>
        <w:rPr>
          <w:sz w:val="20"/>
          <w:szCs w:val="20"/>
        </w:rPr>
      </w:pPr>
      <w:proofErr w:type="spellStart"/>
      <w:r w:rsidRPr="008545FE">
        <w:rPr>
          <w:sz w:val="20"/>
          <w:szCs w:val="20"/>
        </w:rPr>
        <w:lastRenderedPageBreak/>
        <w:t>Greenblatt</w:t>
      </w:r>
      <w:proofErr w:type="spellEnd"/>
      <w:r w:rsidR="008545FE">
        <w:rPr>
          <w:sz w:val="20"/>
          <w:szCs w:val="20"/>
        </w:rPr>
        <w:t xml:space="preserve"> </w:t>
      </w:r>
      <w:r w:rsidRPr="008545FE">
        <w:rPr>
          <w:sz w:val="20"/>
          <w:szCs w:val="20"/>
        </w:rPr>
        <w:t>RM.,</w:t>
      </w:r>
      <w:r w:rsidR="008545FE">
        <w:rPr>
          <w:sz w:val="20"/>
          <w:szCs w:val="20"/>
        </w:rPr>
        <w:t xml:space="preserve"> </w:t>
      </w:r>
      <w:proofErr w:type="spellStart"/>
      <w:r w:rsidRPr="008545FE">
        <w:rPr>
          <w:sz w:val="20"/>
          <w:szCs w:val="20"/>
        </w:rPr>
        <w:t>Lukchart</w:t>
      </w:r>
      <w:proofErr w:type="spellEnd"/>
      <w:r w:rsidRPr="008545FE">
        <w:rPr>
          <w:sz w:val="20"/>
          <w:szCs w:val="20"/>
        </w:rPr>
        <w:t xml:space="preserve"> S.A., </w:t>
      </w:r>
      <w:proofErr w:type="spellStart"/>
      <w:r w:rsidRPr="008545FE">
        <w:rPr>
          <w:sz w:val="20"/>
          <w:szCs w:val="20"/>
        </w:rPr>
        <w:t>Plumer</w:t>
      </w:r>
      <w:proofErr w:type="spellEnd"/>
      <w:r w:rsidRPr="008545FE">
        <w:rPr>
          <w:sz w:val="20"/>
          <w:szCs w:val="20"/>
        </w:rPr>
        <w:t xml:space="preserve"> FA.</w:t>
      </w:r>
      <w:r w:rsidR="008545FE">
        <w:rPr>
          <w:sz w:val="20"/>
          <w:szCs w:val="20"/>
        </w:rPr>
        <w:t xml:space="preserve"> </w:t>
      </w:r>
      <w:r w:rsidRPr="008545FE">
        <w:rPr>
          <w:sz w:val="20"/>
          <w:szCs w:val="20"/>
        </w:rPr>
        <w:t>Genital Ulceration at risk factor of</w:t>
      </w:r>
      <w:r w:rsidR="008545FE">
        <w:rPr>
          <w:sz w:val="20"/>
          <w:szCs w:val="20"/>
        </w:rPr>
        <w:t xml:space="preserve"> </w:t>
      </w:r>
      <w:r w:rsidRPr="008545FE">
        <w:rPr>
          <w:sz w:val="20"/>
          <w:szCs w:val="20"/>
        </w:rPr>
        <w:t>HIV infection</w:t>
      </w:r>
      <w:r w:rsidR="008545FE">
        <w:rPr>
          <w:sz w:val="20"/>
          <w:szCs w:val="20"/>
        </w:rPr>
        <w:t xml:space="preserve"> </w:t>
      </w:r>
      <w:r w:rsidRPr="008545FE">
        <w:rPr>
          <w:sz w:val="20"/>
          <w:szCs w:val="20"/>
        </w:rPr>
        <w:t>AIDS 1988; 2: 45-50</w:t>
      </w:r>
      <w:r w:rsidR="008545FE" w:rsidRPr="008545FE">
        <w:rPr>
          <w:sz w:val="20"/>
          <w:szCs w:val="20"/>
        </w:rPr>
        <w:t>.</w:t>
      </w:r>
    </w:p>
    <w:p w:rsidR="00A558D8" w:rsidRPr="008545FE" w:rsidRDefault="00A558D8" w:rsidP="00274E46">
      <w:pPr>
        <w:pStyle w:val="ListParagraph"/>
        <w:numPr>
          <w:ilvl w:val="0"/>
          <w:numId w:val="5"/>
        </w:numPr>
        <w:snapToGrid w:val="0"/>
        <w:ind w:left="425" w:hanging="425"/>
        <w:jc w:val="both"/>
        <w:rPr>
          <w:sz w:val="20"/>
          <w:szCs w:val="20"/>
        </w:rPr>
      </w:pPr>
      <w:r w:rsidRPr="008545FE">
        <w:rPr>
          <w:color w:val="000000"/>
          <w:sz w:val="20"/>
          <w:szCs w:val="20"/>
          <w:shd w:val="clear" w:color="auto" w:fill="FFFFFF"/>
        </w:rPr>
        <w:t xml:space="preserve">Ward H, </w:t>
      </w:r>
      <w:proofErr w:type="spellStart"/>
      <w:r w:rsidRPr="008545FE">
        <w:rPr>
          <w:color w:val="000000"/>
          <w:sz w:val="20"/>
          <w:szCs w:val="20"/>
          <w:shd w:val="clear" w:color="auto" w:fill="FFFFFF"/>
        </w:rPr>
        <w:t>Ronn</w:t>
      </w:r>
      <w:proofErr w:type="spellEnd"/>
      <w:r w:rsidRPr="008545FE">
        <w:rPr>
          <w:color w:val="000000"/>
          <w:sz w:val="20"/>
          <w:szCs w:val="20"/>
          <w:shd w:val="clear" w:color="auto" w:fill="FFFFFF"/>
        </w:rPr>
        <w:t xml:space="preserve"> M. Contribution of sexually transmitted infections to the sexual transmission of HIV.</w:t>
      </w:r>
      <w:r w:rsidRPr="008545FE">
        <w:rPr>
          <w:rStyle w:val="apple-converted-space"/>
          <w:color w:val="000000"/>
          <w:sz w:val="20"/>
          <w:szCs w:val="20"/>
          <w:shd w:val="clear" w:color="auto" w:fill="FFFFFF"/>
        </w:rPr>
        <w:t> </w:t>
      </w:r>
      <w:proofErr w:type="spellStart"/>
      <w:r w:rsidRPr="008545FE">
        <w:rPr>
          <w:rStyle w:val="Emphasis"/>
          <w:color w:val="000000"/>
          <w:sz w:val="20"/>
          <w:szCs w:val="20"/>
          <w:shd w:val="clear" w:color="auto" w:fill="FFFFFF"/>
        </w:rPr>
        <w:t>Curr</w:t>
      </w:r>
      <w:proofErr w:type="spellEnd"/>
      <w:r w:rsidRPr="008545FE">
        <w:rPr>
          <w:rStyle w:val="Emphasis"/>
          <w:color w:val="000000"/>
          <w:sz w:val="20"/>
          <w:szCs w:val="20"/>
          <w:shd w:val="clear" w:color="auto" w:fill="FFFFFF"/>
        </w:rPr>
        <w:t xml:space="preserve"> </w:t>
      </w:r>
      <w:proofErr w:type="spellStart"/>
      <w:r w:rsidRPr="008545FE">
        <w:rPr>
          <w:rStyle w:val="Emphasis"/>
          <w:color w:val="000000"/>
          <w:sz w:val="20"/>
          <w:szCs w:val="20"/>
          <w:shd w:val="clear" w:color="auto" w:fill="FFFFFF"/>
        </w:rPr>
        <w:t>Opin</w:t>
      </w:r>
      <w:proofErr w:type="spellEnd"/>
      <w:r w:rsidRPr="008545FE">
        <w:rPr>
          <w:rStyle w:val="Emphasis"/>
          <w:color w:val="000000"/>
          <w:sz w:val="20"/>
          <w:szCs w:val="20"/>
          <w:shd w:val="clear" w:color="auto" w:fill="FFFFFF"/>
        </w:rPr>
        <w:t xml:space="preserve"> HIV AIDS</w:t>
      </w:r>
      <w:r w:rsidRPr="008545FE">
        <w:rPr>
          <w:rStyle w:val="apple-converted-space"/>
          <w:color w:val="000000"/>
          <w:sz w:val="20"/>
          <w:szCs w:val="20"/>
          <w:shd w:val="clear" w:color="auto" w:fill="FFFFFF"/>
        </w:rPr>
        <w:t> </w:t>
      </w:r>
      <w:r w:rsidRPr="008545FE">
        <w:rPr>
          <w:color w:val="000000"/>
          <w:sz w:val="20"/>
          <w:szCs w:val="20"/>
          <w:shd w:val="clear" w:color="auto" w:fill="FFFFFF"/>
        </w:rPr>
        <w:t>2010; 5 (4): 305–310</w:t>
      </w:r>
      <w:r w:rsidR="008545FE" w:rsidRPr="008545FE">
        <w:rPr>
          <w:color w:val="000000"/>
          <w:sz w:val="20"/>
          <w:szCs w:val="20"/>
          <w:shd w:val="clear" w:color="auto" w:fill="FFFFFF"/>
        </w:rPr>
        <w:t>.</w:t>
      </w:r>
    </w:p>
    <w:p w:rsidR="004918F4" w:rsidRPr="008545FE" w:rsidRDefault="004918F4" w:rsidP="00274E46">
      <w:pPr>
        <w:pStyle w:val="ListParagraph"/>
        <w:numPr>
          <w:ilvl w:val="0"/>
          <w:numId w:val="5"/>
        </w:numPr>
        <w:tabs>
          <w:tab w:val="left" w:pos="990"/>
        </w:tabs>
        <w:snapToGrid w:val="0"/>
        <w:ind w:left="425" w:hanging="425"/>
        <w:jc w:val="both"/>
        <w:rPr>
          <w:sz w:val="20"/>
          <w:szCs w:val="20"/>
        </w:rPr>
      </w:pPr>
      <w:proofErr w:type="spellStart"/>
      <w:r w:rsidRPr="008545FE">
        <w:rPr>
          <w:sz w:val="20"/>
          <w:szCs w:val="20"/>
        </w:rPr>
        <w:t>Barour</w:t>
      </w:r>
      <w:proofErr w:type="spellEnd"/>
      <w:r w:rsidRPr="008545FE">
        <w:rPr>
          <w:sz w:val="20"/>
          <w:szCs w:val="20"/>
        </w:rPr>
        <w:t xml:space="preserve"> </w:t>
      </w:r>
      <w:proofErr w:type="gramStart"/>
      <w:r w:rsidRPr="008545FE">
        <w:rPr>
          <w:sz w:val="20"/>
          <w:szCs w:val="20"/>
        </w:rPr>
        <w:t>JD.,</w:t>
      </w:r>
      <w:proofErr w:type="gramEnd"/>
      <w:r w:rsidRPr="008545FE">
        <w:rPr>
          <w:sz w:val="20"/>
          <w:szCs w:val="20"/>
        </w:rPr>
        <w:t xml:space="preserve"> Saver MM, Sharp ER. HIV-1/HSV-2</w:t>
      </w:r>
      <w:r w:rsidR="008545FE">
        <w:rPr>
          <w:sz w:val="20"/>
          <w:szCs w:val="20"/>
        </w:rPr>
        <w:t xml:space="preserve"> </w:t>
      </w:r>
      <w:r w:rsidRPr="008545FE">
        <w:rPr>
          <w:sz w:val="20"/>
          <w:szCs w:val="20"/>
        </w:rPr>
        <w:t>co-infected adults in early HIV-1 infection have elevated CD4+ T</w:t>
      </w:r>
      <w:r w:rsidR="000B5E21" w:rsidRPr="008545FE">
        <w:rPr>
          <w:sz w:val="20"/>
          <w:szCs w:val="20"/>
        </w:rPr>
        <w:t xml:space="preserve"> </w:t>
      </w:r>
      <w:r w:rsidRPr="008545FE">
        <w:rPr>
          <w:sz w:val="20"/>
          <w:szCs w:val="20"/>
        </w:rPr>
        <w:t xml:space="preserve">cells count. </w:t>
      </w:r>
      <w:proofErr w:type="spellStart"/>
      <w:r w:rsidRPr="008545FE">
        <w:rPr>
          <w:sz w:val="20"/>
          <w:szCs w:val="20"/>
        </w:rPr>
        <w:t>Plos</w:t>
      </w:r>
      <w:proofErr w:type="spellEnd"/>
      <w:r w:rsidRPr="008545FE">
        <w:rPr>
          <w:sz w:val="20"/>
          <w:szCs w:val="20"/>
        </w:rPr>
        <w:t xml:space="preserve"> one</w:t>
      </w:r>
      <w:r w:rsidR="008545FE">
        <w:rPr>
          <w:sz w:val="20"/>
          <w:szCs w:val="20"/>
        </w:rPr>
        <w:t>.</w:t>
      </w:r>
      <w:r w:rsidRPr="008545FE">
        <w:rPr>
          <w:sz w:val="20"/>
          <w:szCs w:val="20"/>
        </w:rPr>
        <w:t xml:space="preserve"> 2007; 2’e 1080</w:t>
      </w:r>
      <w:r w:rsidR="008545FE" w:rsidRPr="008545FE">
        <w:rPr>
          <w:sz w:val="20"/>
          <w:szCs w:val="20"/>
        </w:rPr>
        <w:t>.</w:t>
      </w:r>
    </w:p>
    <w:p w:rsidR="004918F4" w:rsidRPr="008545FE" w:rsidRDefault="004918F4" w:rsidP="00274E46">
      <w:pPr>
        <w:pStyle w:val="ListParagraph"/>
        <w:numPr>
          <w:ilvl w:val="0"/>
          <w:numId w:val="5"/>
        </w:numPr>
        <w:tabs>
          <w:tab w:val="left" w:pos="990"/>
          <w:tab w:val="left" w:pos="1800"/>
          <w:tab w:val="left" w:pos="2160"/>
        </w:tabs>
        <w:snapToGrid w:val="0"/>
        <w:ind w:left="425" w:hanging="425"/>
        <w:jc w:val="both"/>
        <w:rPr>
          <w:sz w:val="20"/>
          <w:szCs w:val="20"/>
        </w:rPr>
      </w:pPr>
      <w:r w:rsidRPr="008545FE">
        <w:rPr>
          <w:sz w:val="20"/>
          <w:szCs w:val="20"/>
        </w:rPr>
        <w:t xml:space="preserve">Royce RA., </w:t>
      </w:r>
      <w:proofErr w:type="spellStart"/>
      <w:r w:rsidRPr="008545FE">
        <w:rPr>
          <w:sz w:val="20"/>
          <w:szCs w:val="20"/>
        </w:rPr>
        <w:t>Sena</w:t>
      </w:r>
      <w:proofErr w:type="spellEnd"/>
      <w:r w:rsidRPr="008545FE">
        <w:rPr>
          <w:sz w:val="20"/>
          <w:szCs w:val="20"/>
        </w:rPr>
        <w:t xml:space="preserve"> A., Cates </w:t>
      </w:r>
      <w:proofErr w:type="spellStart"/>
      <w:r w:rsidRPr="008545FE">
        <w:rPr>
          <w:sz w:val="20"/>
          <w:szCs w:val="20"/>
        </w:rPr>
        <w:t>W.Jr</w:t>
      </w:r>
      <w:proofErr w:type="spellEnd"/>
      <w:r w:rsidRPr="008545FE">
        <w:rPr>
          <w:sz w:val="20"/>
          <w:szCs w:val="20"/>
        </w:rPr>
        <w:t>., Cohen MS. Sexual transmission of</w:t>
      </w:r>
      <w:r w:rsidR="008545FE">
        <w:rPr>
          <w:sz w:val="20"/>
          <w:szCs w:val="20"/>
        </w:rPr>
        <w:t xml:space="preserve"> </w:t>
      </w:r>
      <w:r w:rsidRPr="008545FE">
        <w:rPr>
          <w:sz w:val="20"/>
          <w:szCs w:val="20"/>
        </w:rPr>
        <w:t xml:space="preserve">HIV.N. </w:t>
      </w:r>
      <w:proofErr w:type="spellStart"/>
      <w:r w:rsidRPr="008545FE">
        <w:rPr>
          <w:sz w:val="20"/>
          <w:szCs w:val="20"/>
        </w:rPr>
        <w:t>Engl</w:t>
      </w:r>
      <w:proofErr w:type="spellEnd"/>
      <w:r w:rsidRPr="008545FE">
        <w:rPr>
          <w:sz w:val="20"/>
          <w:szCs w:val="20"/>
        </w:rPr>
        <w:t xml:space="preserve"> Med. 1997; 336(15)</w:t>
      </w:r>
      <w:r w:rsidR="000B5E21" w:rsidRPr="008545FE">
        <w:rPr>
          <w:sz w:val="20"/>
          <w:szCs w:val="20"/>
        </w:rPr>
        <w:t>:</w:t>
      </w:r>
      <w:r w:rsidRPr="008545FE">
        <w:rPr>
          <w:sz w:val="20"/>
          <w:szCs w:val="20"/>
        </w:rPr>
        <w:t>1072-1078.</w:t>
      </w:r>
    </w:p>
    <w:p w:rsidR="004918F4" w:rsidRPr="008545FE" w:rsidRDefault="004918F4" w:rsidP="00274E46">
      <w:pPr>
        <w:pStyle w:val="ListParagraph"/>
        <w:numPr>
          <w:ilvl w:val="0"/>
          <w:numId w:val="5"/>
        </w:numPr>
        <w:tabs>
          <w:tab w:val="left" w:pos="1080"/>
        </w:tabs>
        <w:snapToGrid w:val="0"/>
        <w:ind w:left="425" w:hanging="425"/>
        <w:jc w:val="both"/>
        <w:rPr>
          <w:sz w:val="20"/>
          <w:szCs w:val="20"/>
        </w:rPr>
      </w:pPr>
      <w:proofErr w:type="spellStart"/>
      <w:r w:rsidRPr="008545FE">
        <w:rPr>
          <w:sz w:val="20"/>
          <w:szCs w:val="20"/>
        </w:rPr>
        <w:t>Boily</w:t>
      </w:r>
      <w:proofErr w:type="spellEnd"/>
      <w:r w:rsidRPr="008545FE">
        <w:rPr>
          <w:sz w:val="20"/>
          <w:szCs w:val="20"/>
        </w:rPr>
        <w:t xml:space="preserve"> MC., </w:t>
      </w:r>
      <w:proofErr w:type="spellStart"/>
      <w:r w:rsidRPr="008545FE">
        <w:rPr>
          <w:sz w:val="20"/>
          <w:szCs w:val="20"/>
        </w:rPr>
        <w:t>Baggely</w:t>
      </w:r>
      <w:proofErr w:type="spellEnd"/>
      <w:r w:rsidRPr="008545FE">
        <w:rPr>
          <w:sz w:val="20"/>
          <w:szCs w:val="20"/>
        </w:rPr>
        <w:t xml:space="preserve"> R., Wang, L. Hetero sexual risk of</w:t>
      </w:r>
      <w:r w:rsidR="008545FE">
        <w:rPr>
          <w:sz w:val="20"/>
          <w:szCs w:val="20"/>
        </w:rPr>
        <w:t xml:space="preserve"> </w:t>
      </w:r>
      <w:r w:rsidRPr="008545FE">
        <w:rPr>
          <w:sz w:val="20"/>
          <w:szCs w:val="20"/>
        </w:rPr>
        <w:t>HIV Infection per sexual act systematic</w:t>
      </w:r>
      <w:r w:rsidR="008545FE">
        <w:rPr>
          <w:sz w:val="20"/>
          <w:szCs w:val="20"/>
        </w:rPr>
        <w:t xml:space="preserve"> </w:t>
      </w:r>
      <w:r w:rsidRPr="008545FE">
        <w:rPr>
          <w:sz w:val="20"/>
          <w:szCs w:val="20"/>
        </w:rPr>
        <w:t>review</w:t>
      </w:r>
      <w:r w:rsidR="008545FE">
        <w:rPr>
          <w:sz w:val="20"/>
          <w:szCs w:val="20"/>
        </w:rPr>
        <w:t xml:space="preserve"> </w:t>
      </w:r>
      <w:r w:rsidRPr="008545FE">
        <w:rPr>
          <w:sz w:val="20"/>
          <w:szCs w:val="20"/>
        </w:rPr>
        <w:t>and meta</w:t>
      </w:r>
      <w:r w:rsidR="000B5E21" w:rsidRPr="008545FE">
        <w:rPr>
          <w:sz w:val="20"/>
          <w:szCs w:val="20"/>
        </w:rPr>
        <w:t xml:space="preserve"> </w:t>
      </w:r>
      <w:r w:rsidRPr="008545FE">
        <w:rPr>
          <w:sz w:val="20"/>
          <w:szCs w:val="20"/>
        </w:rPr>
        <w:t>analysis of observation studies. Lancet 2009; 9:118-129</w:t>
      </w:r>
      <w:r w:rsidR="008545FE" w:rsidRPr="008545FE">
        <w:rPr>
          <w:sz w:val="20"/>
          <w:szCs w:val="20"/>
        </w:rPr>
        <w:t>.</w:t>
      </w:r>
    </w:p>
    <w:p w:rsidR="004918F4" w:rsidRPr="008545FE" w:rsidRDefault="004918F4" w:rsidP="00274E46">
      <w:pPr>
        <w:pStyle w:val="ListParagraph"/>
        <w:numPr>
          <w:ilvl w:val="0"/>
          <w:numId w:val="5"/>
        </w:numPr>
        <w:tabs>
          <w:tab w:val="left" w:pos="810"/>
        </w:tabs>
        <w:snapToGrid w:val="0"/>
        <w:ind w:left="425" w:hanging="425"/>
        <w:jc w:val="both"/>
        <w:rPr>
          <w:sz w:val="20"/>
          <w:szCs w:val="20"/>
        </w:rPr>
      </w:pPr>
      <w:r w:rsidRPr="008545FE">
        <w:rPr>
          <w:sz w:val="20"/>
          <w:szCs w:val="20"/>
        </w:rPr>
        <w:t xml:space="preserve">Marks G., </w:t>
      </w:r>
      <w:proofErr w:type="spellStart"/>
      <w:r w:rsidRPr="008545FE">
        <w:rPr>
          <w:sz w:val="20"/>
          <w:szCs w:val="20"/>
        </w:rPr>
        <w:t>Crepaz</w:t>
      </w:r>
      <w:proofErr w:type="spellEnd"/>
      <w:r w:rsidR="008545FE">
        <w:rPr>
          <w:sz w:val="20"/>
          <w:szCs w:val="20"/>
        </w:rPr>
        <w:t xml:space="preserve"> </w:t>
      </w:r>
      <w:r w:rsidRPr="008545FE">
        <w:rPr>
          <w:sz w:val="20"/>
          <w:szCs w:val="20"/>
        </w:rPr>
        <w:t xml:space="preserve">N., </w:t>
      </w:r>
      <w:proofErr w:type="spellStart"/>
      <w:r w:rsidRPr="008545FE">
        <w:rPr>
          <w:sz w:val="20"/>
          <w:szCs w:val="20"/>
        </w:rPr>
        <w:t>Senterfitt</w:t>
      </w:r>
      <w:proofErr w:type="spellEnd"/>
      <w:r w:rsidRPr="008545FE">
        <w:rPr>
          <w:sz w:val="20"/>
          <w:szCs w:val="20"/>
        </w:rPr>
        <w:t xml:space="preserve"> JW. Meta analysis of high risk sexual</w:t>
      </w:r>
      <w:r w:rsidR="008545FE">
        <w:rPr>
          <w:sz w:val="20"/>
          <w:szCs w:val="20"/>
        </w:rPr>
        <w:t xml:space="preserve"> </w:t>
      </w:r>
      <w:proofErr w:type="spellStart"/>
      <w:r w:rsidRPr="008545FE">
        <w:rPr>
          <w:sz w:val="20"/>
          <w:szCs w:val="20"/>
        </w:rPr>
        <w:t>behaviour</w:t>
      </w:r>
      <w:proofErr w:type="spellEnd"/>
      <w:r w:rsidRPr="008545FE">
        <w:rPr>
          <w:sz w:val="20"/>
          <w:szCs w:val="20"/>
        </w:rPr>
        <w:t xml:space="preserve"> in persons aware and unaware</w:t>
      </w:r>
      <w:r w:rsidR="000B5E21" w:rsidRPr="008545FE">
        <w:rPr>
          <w:sz w:val="20"/>
          <w:szCs w:val="20"/>
        </w:rPr>
        <w:t xml:space="preserve"> </w:t>
      </w:r>
      <w:r w:rsidRPr="008545FE">
        <w:rPr>
          <w:sz w:val="20"/>
          <w:szCs w:val="20"/>
        </w:rPr>
        <w:t>they are infected with HIV in</w:t>
      </w:r>
      <w:r w:rsidR="008545FE">
        <w:rPr>
          <w:sz w:val="20"/>
          <w:szCs w:val="20"/>
        </w:rPr>
        <w:t xml:space="preserve"> </w:t>
      </w:r>
      <w:r w:rsidRPr="008545FE">
        <w:rPr>
          <w:sz w:val="20"/>
          <w:szCs w:val="20"/>
        </w:rPr>
        <w:t>the United States; implication for HIV preventions programs, J Acquire</w:t>
      </w:r>
      <w:r w:rsidR="008545FE">
        <w:rPr>
          <w:sz w:val="20"/>
          <w:szCs w:val="20"/>
        </w:rPr>
        <w:t xml:space="preserve"> </w:t>
      </w:r>
      <w:r w:rsidRPr="008545FE">
        <w:rPr>
          <w:sz w:val="20"/>
          <w:szCs w:val="20"/>
        </w:rPr>
        <w:t xml:space="preserve">immune </w:t>
      </w:r>
      <w:proofErr w:type="spellStart"/>
      <w:r w:rsidR="000B5E21" w:rsidRPr="008545FE">
        <w:rPr>
          <w:sz w:val="20"/>
          <w:szCs w:val="20"/>
        </w:rPr>
        <w:t>Defic</w:t>
      </w:r>
      <w:proofErr w:type="spellEnd"/>
      <w:r w:rsidR="000B5E21" w:rsidRPr="008545FE">
        <w:rPr>
          <w:sz w:val="20"/>
          <w:szCs w:val="20"/>
        </w:rPr>
        <w:t xml:space="preserve"> </w:t>
      </w:r>
      <w:proofErr w:type="spellStart"/>
      <w:proofErr w:type="gramStart"/>
      <w:r w:rsidR="000B5E21" w:rsidRPr="008545FE">
        <w:rPr>
          <w:sz w:val="20"/>
          <w:szCs w:val="20"/>
        </w:rPr>
        <w:t>S</w:t>
      </w:r>
      <w:r w:rsidRPr="008545FE">
        <w:rPr>
          <w:sz w:val="20"/>
          <w:szCs w:val="20"/>
        </w:rPr>
        <w:t>ynr</w:t>
      </w:r>
      <w:proofErr w:type="spellEnd"/>
      <w:r w:rsidRPr="008545FE">
        <w:rPr>
          <w:sz w:val="20"/>
          <w:szCs w:val="20"/>
        </w:rPr>
        <w:t xml:space="preserve"> ;</w:t>
      </w:r>
      <w:proofErr w:type="gramEnd"/>
      <w:r w:rsidRPr="008545FE">
        <w:rPr>
          <w:sz w:val="20"/>
          <w:szCs w:val="20"/>
        </w:rPr>
        <w:t xml:space="preserve"> 2005; 39: 446-53</w:t>
      </w:r>
      <w:r w:rsidR="008545FE" w:rsidRPr="008545FE">
        <w:rPr>
          <w:sz w:val="20"/>
          <w:szCs w:val="20"/>
        </w:rPr>
        <w:t>.</w:t>
      </w:r>
    </w:p>
    <w:p w:rsidR="004918F4" w:rsidRPr="008545FE" w:rsidRDefault="004918F4" w:rsidP="00274E46">
      <w:pPr>
        <w:pStyle w:val="ListParagraph"/>
        <w:numPr>
          <w:ilvl w:val="0"/>
          <w:numId w:val="5"/>
        </w:numPr>
        <w:tabs>
          <w:tab w:val="left" w:pos="990"/>
          <w:tab w:val="left" w:pos="1800"/>
          <w:tab w:val="left" w:pos="2160"/>
        </w:tabs>
        <w:snapToGrid w:val="0"/>
        <w:ind w:left="425" w:hanging="425"/>
        <w:jc w:val="both"/>
        <w:rPr>
          <w:sz w:val="20"/>
          <w:szCs w:val="20"/>
        </w:rPr>
      </w:pPr>
      <w:proofErr w:type="spellStart"/>
      <w:r w:rsidRPr="008545FE">
        <w:rPr>
          <w:sz w:val="20"/>
          <w:szCs w:val="20"/>
        </w:rPr>
        <w:t>Risbud</w:t>
      </w:r>
      <w:proofErr w:type="spellEnd"/>
      <w:r w:rsidRPr="008545FE">
        <w:rPr>
          <w:sz w:val="20"/>
          <w:szCs w:val="20"/>
        </w:rPr>
        <w:t xml:space="preserve"> A., </w:t>
      </w:r>
      <w:proofErr w:type="spellStart"/>
      <w:r w:rsidRPr="008545FE">
        <w:rPr>
          <w:sz w:val="20"/>
          <w:szCs w:val="20"/>
        </w:rPr>
        <w:t>Divelar</w:t>
      </w:r>
      <w:proofErr w:type="spellEnd"/>
      <w:r w:rsidRPr="008545FE">
        <w:rPr>
          <w:sz w:val="20"/>
          <w:szCs w:val="20"/>
        </w:rPr>
        <w:t xml:space="preserve"> </w:t>
      </w:r>
      <w:proofErr w:type="spellStart"/>
      <w:r w:rsidRPr="008545FE">
        <w:rPr>
          <w:sz w:val="20"/>
          <w:szCs w:val="20"/>
        </w:rPr>
        <w:t>Mehendale</w:t>
      </w:r>
      <w:proofErr w:type="spellEnd"/>
      <w:r w:rsidRPr="008545FE">
        <w:rPr>
          <w:sz w:val="20"/>
          <w:szCs w:val="20"/>
        </w:rPr>
        <w:t xml:space="preserve"> SM., </w:t>
      </w:r>
      <w:proofErr w:type="spellStart"/>
      <w:r w:rsidRPr="008545FE">
        <w:rPr>
          <w:sz w:val="20"/>
          <w:szCs w:val="20"/>
        </w:rPr>
        <w:t>Gangakhekar</w:t>
      </w:r>
      <w:proofErr w:type="spellEnd"/>
      <w:r w:rsidRPr="008545FE">
        <w:rPr>
          <w:sz w:val="20"/>
          <w:szCs w:val="20"/>
        </w:rPr>
        <w:t xml:space="preserve"> RA, </w:t>
      </w:r>
      <w:proofErr w:type="spellStart"/>
      <w:r w:rsidRPr="008545FE">
        <w:rPr>
          <w:sz w:val="20"/>
          <w:szCs w:val="20"/>
        </w:rPr>
        <w:t>Quinm</w:t>
      </w:r>
      <w:proofErr w:type="spellEnd"/>
      <w:r w:rsidRPr="008545FE">
        <w:rPr>
          <w:sz w:val="20"/>
          <w:szCs w:val="20"/>
        </w:rPr>
        <w:t xml:space="preserve"> </w:t>
      </w:r>
      <w:proofErr w:type="gramStart"/>
      <w:r w:rsidRPr="008545FE">
        <w:rPr>
          <w:sz w:val="20"/>
          <w:szCs w:val="20"/>
        </w:rPr>
        <w:t>TC.,</w:t>
      </w:r>
      <w:proofErr w:type="gramEnd"/>
      <w:r w:rsidR="008545FE">
        <w:rPr>
          <w:sz w:val="20"/>
          <w:szCs w:val="20"/>
        </w:rPr>
        <w:t xml:space="preserve"> </w:t>
      </w:r>
      <w:proofErr w:type="spellStart"/>
      <w:r w:rsidRPr="008545FE">
        <w:rPr>
          <w:sz w:val="20"/>
          <w:szCs w:val="20"/>
        </w:rPr>
        <w:t>Gadkai</w:t>
      </w:r>
      <w:proofErr w:type="spellEnd"/>
      <w:r w:rsidRPr="008545FE">
        <w:rPr>
          <w:sz w:val="20"/>
          <w:szCs w:val="20"/>
        </w:rPr>
        <w:t xml:space="preserve"> DA.</w:t>
      </w:r>
      <w:r w:rsidR="008545FE">
        <w:rPr>
          <w:sz w:val="20"/>
          <w:szCs w:val="20"/>
        </w:rPr>
        <w:t xml:space="preserve"> </w:t>
      </w:r>
      <w:r w:rsidRPr="008545FE">
        <w:rPr>
          <w:sz w:val="20"/>
          <w:szCs w:val="20"/>
        </w:rPr>
        <w:t>Human immunodeficiency virus</w:t>
      </w:r>
      <w:r w:rsidR="000B5E21" w:rsidRPr="008545FE">
        <w:rPr>
          <w:sz w:val="20"/>
          <w:szCs w:val="20"/>
        </w:rPr>
        <w:t xml:space="preserve"> </w:t>
      </w:r>
      <w:r w:rsidRPr="008545FE">
        <w:rPr>
          <w:sz w:val="20"/>
          <w:szCs w:val="20"/>
        </w:rPr>
        <w:t>and sexually transmitted diseases</w:t>
      </w:r>
      <w:r w:rsidR="008545FE">
        <w:rPr>
          <w:sz w:val="20"/>
          <w:szCs w:val="20"/>
        </w:rPr>
        <w:t>.</w:t>
      </w:r>
      <w:r w:rsidRPr="008545FE">
        <w:rPr>
          <w:sz w:val="20"/>
          <w:szCs w:val="20"/>
        </w:rPr>
        <w:t xml:space="preserve"> J Med, Sex </w:t>
      </w:r>
      <w:proofErr w:type="spellStart"/>
      <w:r w:rsidRPr="008545FE">
        <w:rPr>
          <w:sz w:val="20"/>
          <w:szCs w:val="20"/>
        </w:rPr>
        <w:t>Trasm</w:t>
      </w:r>
      <w:proofErr w:type="spellEnd"/>
      <w:r w:rsidRPr="008545FE">
        <w:rPr>
          <w:sz w:val="20"/>
          <w:szCs w:val="20"/>
        </w:rPr>
        <w:t xml:space="preserve"> Inf. 1999; 75: 3-17.</w:t>
      </w:r>
    </w:p>
    <w:p w:rsidR="00F038EB" w:rsidRPr="008545FE" w:rsidRDefault="004918F4" w:rsidP="00274E46">
      <w:pPr>
        <w:pStyle w:val="ListParagraph"/>
        <w:numPr>
          <w:ilvl w:val="0"/>
          <w:numId w:val="5"/>
        </w:numPr>
        <w:snapToGrid w:val="0"/>
        <w:ind w:left="425" w:hanging="425"/>
        <w:jc w:val="both"/>
        <w:rPr>
          <w:sz w:val="20"/>
          <w:szCs w:val="20"/>
        </w:rPr>
      </w:pPr>
      <w:r w:rsidRPr="008545FE">
        <w:rPr>
          <w:sz w:val="20"/>
          <w:szCs w:val="20"/>
        </w:rPr>
        <w:t xml:space="preserve">Cohen TD, </w:t>
      </w:r>
      <w:proofErr w:type="spellStart"/>
      <w:r w:rsidRPr="008545FE">
        <w:rPr>
          <w:sz w:val="20"/>
          <w:szCs w:val="20"/>
        </w:rPr>
        <w:t>Peristein</w:t>
      </w:r>
      <w:proofErr w:type="spellEnd"/>
      <w:r w:rsidRPr="008545FE">
        <w:rPr>
          <w:sz w:val="20"/>
          <w:szCs w:val="20"/>
        </w:rPr>
        <w:t xml:space="preserve"> WM, Braver TS,</w:t>
      </w:r>
      <w:r w:rsidR="00F038EB" w:rsidRPr="008545FE">
        <w:rPr>
          <w:sz w:val="20"/>
          <w:szCs w:val="20"/>
        </w:rPr>
        <w:t xml:space="preserve"> </w:t>
      </w:r>
      <w:proofErr w:type="spellStart"/>
      <w:r w:rsidR="00F038EB" w:rsidRPr="008545FE">
        <w:rPr>
          <w:sz w:val="20"/>
          <w:szCs w:val="20"/>
        </w:rPr>
        <w:t>Nystrom</w:t>
      </w:r>
      <w:proofErr w:type="spellEnd"/>
      <w:r w:rsidR="00F038EB" w:rsidRPr="008545FE">
        <w:rPr>
          <w:sz w:val="20"/>
          <w:szCs w:val="20"/>
        </w:rPr>
        <w:t xml:space="preserve"> LE, </w:t>
      </w:r>
      <w:proofErr w:type="spellStart"/>
      <w:r w:rsidR="00F038EB" w:rsidRPr="008545FE">
        <w:rPr>
          <w:sz w:val="20"/>
          <w:szCs w:val="20"/>
        </w:rPr>
        <w:t>Jonides</w:t>
      </w:r>
      <w:proofErr w:type="spellEnd"/>
      <w:r w:rsidR="00F038EB" w:rsidRPr="008545FE">
        <w:rPr>
          <w:sz w:val="20"/>
          <w:szCs w:val="20"/>
        </w:rPr>
        <w:t xml:space="preserve"> J, Smith EE, Noll DC. Temporal dynamics of brain activity during a working memory task. Nature, 1997; 604-608.</w:t>
      </w:r>
    </w:p>
    <w:p w:rsidR="00F038EB" w:rsidRPr="008545FE" w:rsidRDefault="00F038EB" w:rsidP="00274E46">
      <w:pPr>
        <w:pStyle w:val="ListParagraph"/>
        <w:numPr>
          <w:ilvl w:val="0"/>
          <w:numId w:val="5"/>
        </w:numPr>
        <w:tabs>
          <w:tab w:val="left" w:pos="630"/>
        </w:tabs>
        <w:snapToGrid w:val="0"/>
        <w:ind w:left="425" w:hanging="425"/>
        <w:jc w:val="both"/>
        <w:rPr>
          <w:rStyle w:val="mixed-citation"/>
          <w:color w:val="000000"/>
          <w:sz w:val="20"/>
          <w:szCs w:val="20"/>
          <w:shd w:val="clear" w:color="auto" w:fill="FFFFFF"/>
        </w:rPr>
      </w:pPr>
      <w:r w:rsidRPr="008545FE">
        <w:rPr>
          <w:rStyle w:val="mixed-citation"/>
          <w:color w:val="000000"/>
          <w:sz w:val="20"/>
          <w:szCs w:val="20"/>
          <w:shd w:val="clear" w:color="auto" w:fill="FFFFFF"/>
        </w:rPr>
        <w:t xml:space="preserve">Haggerty CL, Gottlieb SL, Taylor BD, Low N, </w:t>
      </w:r>
      <w:proofErr w:type="spellStart"/>
      <w:r w:rsidRPr="008545FE">
        <w:rPr>
          <w:rStyle w:val="mixed-citation"/>
          <w:color w:val="000000"/>
          <w:sz w:val="20"/>
          <w:szCs w:val="20"/>
          <w:shd w:val="clear" w:color="auto" w:fill="FFFFFF"/>
        </w:rPr>
        <w:t>Xu</w:t>
      </w:r>
      <w:proofErr w:type="spellEnd"/>
      <w:r w:rsidRPr="008545FE">
        <w:rPr>
          <w:rStyle w:val="mixed-citation"/>
          <w:color w:val="000000"/>
          <w:sz w:val="20"/>
          <w:szCs w:val="20"/>
          <w:shd w:val="clear" w:color="auto" w:fill="FFFFFF"/>
        </w:rPr>
        <w:t xml:space="preserve"> F, et al.</w:t>
      </w:r>
      <w:r w:rsidRPr="008545FE">
        <w:rPr>
          <w:rStyle w:val="apple-converted-space"/>
          <w:color w:val="000000"/>
          <w:sz w:val="20"/>
          <w:szCs w:val="20"/>
          <w:shd w:val="clear" w:color="auto" w:fill="FFFFFF"/>
        </w:rPr>
        <w:t> </w:t>
      </w:r>
      <w:r w:rsidRPr="008545FE">
        <w:rPr>
          <w:rStyle w:val="ref-title"/>
          <w:color w:val="000000"/>
          <w:sz w:val="20"/>
          <w:szCs w:val="20"/>
          <w:shd w:val="clear" w:color="auto" w:fill="FFFFFF"/>
        </w:rPr>
        <w:t xml:space="preserve">Risk of </w:t>
      </w:r>
      <w:proofErr w:type="spellStart"/>
      <w:r w:rsidRPr="008545FE">
        <w:rPr>
          <w:rStyle w:val="ref-title"/>
          <w:color w:val="000000"/>
          <w:sz w:val="20"/>
          <w:szCs w:val="20"/>
          <w:shd w:val="clear" w:color="auto" w:fill="FFFFFF"/>
        </w:rPr>
        <w:t>sequelae</w:t>
      </w:r>
      <w:proofErr w:type="spellEnd"/>
      <w:r w:rsidRPr="008545FE">
        <w:rPr>
          <w:rStyle w:val="ref-title"/>
          <w:color w:val="000000"/>
          <w:sz w:val="20"/>
          <w:szCs w:val="20"/>
          <w:shd w:val="clear" w:color="auto" w:fill="FFFFFF"/>
        </w:rPr>
        <w:t xml:space="preserve"> after </w:t>
      </w:r>
      <w:r w:rsidRPr="008545FE">
        <w:rPr>
          <w:rStyle w:val="ref-title"/>
          <w:i/>
          <w:color w:val="000000"/>
          <w:sz w:val="20"/>
          <w:szCs w:val="20"/>
          <w:shd w:val="clear" w:color="auto" w:fill="FFFFFF"/>
        </w:rPr>
        <w:t xml:space="preserve">Chlamydia </w:t>
      </w:r>
      <w:proofErr w:type="spellStart"/>
      <w:r w:rsidRPr="008545FE">
        <w:rPr>
          <w:rStyle w:val="ref-title"/>
          <w:i/>
          <w:color w:val="000000"/>
          <w:sz w:val="20"/>
          <w:szCs w:val="20"/>
          <w:shd w:val="clear" w:color="auto" w:fill="FFFFFF"/>
        </w:rPr>
        <w:t>trachomatis</w:t>
      </w:r>
      <w:proofErr w:type="spellEnd"/>
      <w:r w:rsidRPr="008545FE">
        <w:rPr>
          <w:rStyle w:val="ref-title"/>
          <w:i/>
          <w:color w:val="000000"/>
          <w:sz w:val="20"/>
          <w:szCs w:val="20"/>
          <w:shd w:val="clear" w:color="auto" w:fill="FFFFFF"/>
        </w:rPr>
        <w:t xml:space="preserve"> </w:t>
      </w:r>
      <w:r w:rsidRPr="008545FE">
        <w:rPr>
          <w:rStyle w:val="ref-title"/>
          <w:color w:val="000000"/>
          <w:sz w:val="20"/>
          <w:szCs w:val="20"/>
          <w:shd w:val="clear" w:color="auto" w:fill="FFFFFF"/>
        </w:rPr>
        <w:t>genital</w:t>
      </w:r>
      <w:r w:rsidR="000B5E21" w:rsidRPr="008545FE">
        <w:rPr>
          <w:rStyle w:val="ref-title"/>
          <w:color w:val="000000"/>
          <w:sz w:val="20"/>
          <w:szCs w:val="20"/>
          <w:shd w:val="clear" w:color="auto" w:fill="FFFFFF"/>
        </w:rPr>
        <w:t xml:space="preserve"> </w:t>
      </w:r>
      <w:r w:rsidRPr="008545FE">
        <w:rPr>
          <w:rStyle w:val="ref-title"/>
          <w:color w:val="000000"/>
          <w:sz w:val="20"/>
          <w:szCs w:val="20"/>
          <w:shd w:val="clear" w:color="auto" w:fill="FFFFFF"/>
        </w:rPr>
        <w:t>infection in women</w:t>
      </w:r>
      <w:r w:rsidRPr="008545FE">
        <w:rPr>
          <w:rStyle w:val="mixed-citation"/>
          <w:color w:val="000000"/>
          <w:sz w:val="20"/>
          <w:szCs w:val="20"/>
          <w:shd w:val="clear" w:color="auto" w:fill="FFFFFF"/>
        </w:rPr>
        <w:t>.</w:t>
      </w:r>
      <w:r w:rsidRPr="008545FE">
        <w:rPr>
          <w:rStyle w:val="apple-converted-space"/>
          <w:color w:val="000000"/>
          <w:sz w:val="20"/>
          <w:szCs w:val="20"/>
          <w:shd w:val="clear" w:color="auto" w:fill="FFFFFF"/>
        </w:rPr>
        <w:t> </w:t>
      </w:r>
      <w:r w:rsidRPr="008545FE">
        <w:rPr>
          <w:rStyle w:val="ref-journal"/>
          <w:color w:val="000000"/>
          <w:sz w:val="20"/>
          <w:szCs w:val="20"/>
          <w:shd w:val="clear" w:color="auto" w:fill="FFFFFF"/>
        </w:rPr>
        <w:t xml:space="preserve">J Infect </w:t>
      </w:r>
      <w:proofErr w:type="spellStart"/>
      <w:r w:rsidRPr="008545FE">
        <w:rPr>
          <w:rStyle w:val="ref-journal"/>
          <w:color w:val="000000"/>
          <w:sz w:val="20"/>
          <w:szCs w:val="20"/>
          <w:shd w:val="clear" w:color="auto" w:fill="FFFFFF"/>
        </w:rPr>
        <w:t>Dis</w:t>
      </w:r>
      <w:proofErr w:type="spellEnd"/>
      <w:r w:rsidRPr="008545FE">
        <w:rPr>
          <w:rStyle w:val="ref-journal"/>
          <w:color w:val="000000"/>
          <w:sz w:val="20"/>
          <w:szCs w:val="20"/>
          <w:shd w:val="clear" w:color="auto" w:fill="FFFFFF"/>
        </w:rPr>
        <w:t xml:space="preserve"> </w:t>
      </w:r>
      <w:r w:rsidRPr="008545FE">
        <w:rPr>
          <w:rStyle w:val="mixed-citation"/>
          <w:color w:val="000000"/>
          <w:sz w:val="20"/>
          <w:szCs w:val="20"/>
          <w:shd w:val="clear" w:color="auto" w:fill="FFFFFF"/>
        </w:rPr>
        <w:t>2010;</w:t>
      </w:r>
      <w:r w:rsidRPr="008545FE">
        <w:rPr>
          <w:rStyle w:val="apple-converted-space"/>
          <w:color w:val="000000"/>
          <w:sz w:val="20"/>
          <w:szCs w:val="20"/>
          <w:shd w:val="clear" w:color="auto" w:fill="FFFFFF"/>
        </w:rPr>
        <w:t> </w:t>
      </w:r>
      <w:r w:rsidRPr="008545FE">
        <w:rPr>
          <w:rStyle w:val="ref-vol"/>
          <w:color w:val="000000"/>
          <w:sz w:val="20"/>
          <w:szCs w:val="20"/>
          <w:shd w:val="clear" w:color="auto" w:fill="FFFFFF"/>
        </w:rPr>
        <w:t>201</w:t>
      </w:r>
      <w:r w:rsidRPr="008545FE">
        <w:rPr>
          <w:rStyle w:val="ref-iss"/>
          <w:color w:val="000000"/>
          <w:sz w:val="20"/>
          <w:szCs w:val="20"/>
          <w:shd w:val="clear" w:color="auto" w:fill="FFFFFF"/>
        </w:rPr>
        <w:t>Suppl 2</w:t>
      </w:r>
      <w:r w:rsidRPr="008545FE">
        <w:rPr>
          <w:rStyle w:val="mixed-citation"/>
          <w:color w:val="000000"/>
          <w:sz w:val="20"/>
          <w:szCs w:val="20"/>
          <w:shd w:val="clear" w:color="auto" w:fill="FFFFFF"/>
        </w:rPr>
        <w:t>: S134–155</w:t>
      </w:r>
      <w:r w:rsidR="008545FE" w:rsidRPr="008545FE">
        <w:rPr>
          <w:rStyle w:val="mixed-citation"/>
          <w:color w:val="000000"/>
          <w:sz w:val="20"/>
          <w:szCs w:val="20"/>
          <w:shd w:val="clear" w:color="auto" w:fill="FFFFFF"/>
        </w:rPr>
        <w:t>.</w:t>
      </w:r>
    </w:p>
    <w:p w:rsidR="008049D6" w:rsidRPr="008545FE" w:rsidRDefault="008049D6" w:rsidP="00274E46">
      <w:pPr>
        <w:pStyle w:val="ListParagraph"/>
        <w:numPr>
          <w:ilvl w:val="0"/>
          <w:numId w:val="5"/>
        </w:numPr>
        <w:tabs>
          <w:tab w:val="left" w:pos="990"/>
          <w:tab w:val="left" w:pos="1800"/>
          <w:tab w:val="left" w:pos="2160"/>
        </w:tabs>
        <w:snapToGrid w:val="0"/>
        <w:ind w:left="425" w:hanging="425"/>
        <w:jc w:val="both"/>
        <w:rPr>
          <w:sz w:val="20"/>
          <w:szCs w:val="20"/>
        </w:rPr>
      </w:pPr>
      <w:proofErr w:type="spellStart"/>
      <w:r w:rsidRPr="008545FE">
        <w:rPr>
          <w:sz w:val="20"/>
          <w:szCs w:val="20"/>
        </w:rPr>
        <w:t>Adewole</w:t>
      </w:r>
      <w:proofErr w:type="spellEnd"/>
      <w:r w:rsidRPr="008545FE">
        <w:rPr>
          <w:sz w:val="20"/>
          <w:szCs w:val="20"/>
        </w:rPr>
        <w:t xml:space="preserve"> OO., </w:t>
      </w:r>
      <w:proofErr w:type="spellStart"/>
      <w:r w:rsidRPr="008545FE">
        <w:rPr>
          <w:sz w:val="20"/>
          <w:szCs w:val="20"/>
        </w:rPr>
        <w:t>Anteyi</w:t>
      </w:r>
      <w:proofErr w:type="spellEnd"/>
      <w:r w:rsidRPr="008545FE">
        <w:rPr>
          <w:sz w:val="20"/>
          <w:szCs w:val="20"/>
        </w:rPr>
        <w:t xml:space="preserve"> E., </w:t>
      </w:r>
      <w:proofErr w:type="spellStart"/>
      <w:r w:rsidRPr="008545FE">
        <w:rPr>
          <w:sz w:val="20"/>
          <w:szCs w:val="20"/>
        </w:rPr>
        <w:t>Ajuwon</w:t>
      </w:r>
      <w:proofErr w:type="spellEnd"/>
      <w:r w:rsidRPr="008545FE">
        <w:rPr>
          <w:sz w:val="20"/>
          <w:szCs w:val="20"/>
        </w:rPr>
        <w:t xml:space="preserve"> Z., Wada I., </w:t>
      </w:r>
      <w:proofErr w:type="spellStart"/>
      <w:r w:rsidRPr="008545FE">
        <w:rPr>
          <w:sz w:val="20"/>
          <w:szCs w:val="20"/>
        </w:rPr>
        <w:t>Elegba</w:t>
      </w:r>
      <w:proofErr w:type="spellEnd"/>
      <w:r w:rsidRPr="008545FE">
        <w:rPr>
          <w:sz w:val="20"/>
          <w:szCs w:val="20"/>
        </w:rPr>
        <w:t xml:space="preserve"> F., Ahmed P., </w:t>
      </w:r>
      <w:proofErr w:type="spellStart"/>
      <w:r w:rsidRPr="008545FE">
        <w:rPr>
          <w:sz w:val="20"/>
          <w:szCs w:val="20"/>
        </w:rPr>
        <w:t>Betiku</w:t>
      </w:r>
      <w:proofErr w:type="spellEnd"/>
      <w:r w:rsidRPr="008545FE">
        <w:rPr>
          <w:sz w:val="20"/>
          <w:szCs w:val="20"/>
        </w:rPr>
        <w:t xml:space="preserve"> Y., </w:t>
      </w:r>
      <w:proofErr w:type="spellStart"/>
      <w:r w:rsidRPr="008545FE">
        <w:rPr>
          <w:sz w:val="20"/>
          <w:szCs w:val="20"/>
        </w:rPr>
        <w:t>Okpe</w:t>
      </w:r>
      <w:proofErr w:type="spellEnd"/>
      <w:r w:rsidRPr="008545FE">
        <w:rPr>
          <w:sz w:val="20"/>
          <w:szCs w:val="20"/>
        </w:rPr>
        <w:t xml:space="preserve"> A., </w:t>
      </w:r>
      <w:proofErr w:type="spellStart"/>
      <w:r w:rsidRPr="008545FE">
        <w:rPr>
          <w:sz w:val="20"/>
          <w:szCs w:val="20"/>
        </w:rPr>
        <w:t>Eze</w:t>
      </w:r>
      <w:proofErr w:type="spellEnd"/>
      <w:r w:rsidRPr="008545FE">
        <w:rPr>
          <w:sz w:val="20"/>
          <w:szCs w:val="20"/>
        </w:rPr>
        <w:t xml:space="preserve"> S., </w:t>
      </w:r>
      <w:proofErr w:type="spellStart"/>
      <w:r w:rsidRPr="008545FE">
        <w:rPr>
          <w:sz w:val="20"/>
          <w:szCs w:val="20"/>
        </w:rPr>
        <w:t>Ogbeche</w:t>
      </w:r>
      <w:proofErr w:type="spellEnd"/>
      <w:r w:rsidRPr="008545FE">
        <w:rPr>
          <w:sz w:val="20"/>
          <w:szCs w:val="20"/>
        </w:rPr>
        <w:t xml:space="preserve"> T.,</w:t>
      </w:r>
      <w:r w:rsidR="000B5E21" w:rsidRPr="008545FE">
        <w:rPr>
          <w:sz w:val="20"/>
          <w:szCs w:val="20"/>
        </w:rPr>
        <w:t xml:space="preserve"> </w:t>
      </w:r>
      <w:proofErr w:type="spellStart"/>
      <w:r w:rsidRPr="008545FE">
        <w:rPr>
          <w:sz w:val="20"/>
          <w:szCs w:val="20"/>
        </w:rPr>
        <w:t>Erhabor</w:t>
      </w:r>
      <w:proofErr w:type="spellEnd"/>
      <w:r w:rsidRPr="008545FE">
        <w:rPr>
          <w:sz w:val="20"/>
          <w:szCs w:val="20"/>
        </w:rPr>
        <w:t xml:space="preserve"> GF. Hepatitis B and C virus co-infection in Nigerian patients with HIV infection. J infect Des</w:t>
      </w:r>
      <w:r w:rsidR="000B5E21" w:rsidRPr="008545FE">
        <w:rPr>
          <w:sz w:val="20"/>
          <w:szCs w:val="20"/>
        </w:rPr>
        <w:t xml:space="preserve"> </w:t>
      </w:r>
      <w:r w:rsidRPr="008545FE">
        <w:rPr>
          <w:sz w:val="20"/>
          <w:szCs w:val="20"/>
        </w:rPr>
        <w:t>2009; 3(5</w:t>
      </w:r>
      <w:proofErr w:type="gramStart"/>
      <w:r w:rsidRPr="008545FE">
        <w:rPr>
          <w:sz w:val="20"/>
          <w:szCs w:val="20"/>
        </w:rPr>
        <w:t>) :</w:t>
      </w:r>
      <w:proofErr w:type="gramEnd"/>
      <w:r w:rsidRPr="008545FE">
        <w:rPr>
          <w:sz w:val="20"/>
          <w:szCs w:val="20"/>
        </w:rPr>
        <w:t xml:space="preserve"> 369-375</w:t>
      </w:r>
      <w:r w:rsidR="008545FE" w:rsidRPr="008545FE">
        <w:rPr>
          <w:sz w:val="20"/>
          <w:szCs w:val="20"/>
        </w:rPr>
        <w:t>.</w:t>
      </w:r>
    </w:p>
    <w:p w:rsidR="008049D6" w:rsidRPr="008545FE" w:rsidRDefault="008049D6" w:rsidP="00274E46">
      <w:pPr>
        <w:pStyle w:val="ListParagraph"/>
        <w:numPr>
          <w:ilvl w:val="0"/>
          <w:numId w:val="5"/>
        </w:numPr>
        <w:tabs>
          <w:tab w:val="left" w:pos="990"/>
          <w:tab w:val="left" w:pos="1800"/>
        </w:tabs>
        <w:snapToGrid w:val="0"/>
        <w:ind w:left="425" w:hanging="425"/>
        <w:jc w:val="both"/>
        <w:rPr>
          <w:sz w:val="20"/>
          <w:szCs w:val="20"/>
        </w:rPr>
      </w:pPr>
      <w:proofErr w:type="spellStart"/>
      <w:r w:rsidRPr="008545FE">
        <w:rPr>
          <w:sz w:val="20"/>
          <w:szCs w:val="20"/>
        </w:rPr>
        <w:lastRenderedPageBreak/>
        <w:t>Uneke</w:t>
      </w:r>
      <w:proofErr w:type="spellEnd"/>
      <w:r w:rsidRPr="008545FE">
        <w:rPr>
          <w:sz w:val="20"/>
          <w:szCs w:val="20"/>
        </w:rPr>
        <w:t xml:space="preserve"> </w:t>
      </w:r>
      <w:proofErr w:type="gramStart"/>
      <w:r w:rsidRPr="008545FE">
        <w:rPr>
          <w:sz w:val="20"/>
          <w:szCs w:val="20"/>
        </w:rPr>
        <w:t>CJ.,</w:t>
      </w:r>
      <w:proofErr w:type="gramEnd"/>
      <w:r w:rsidRPr="008545FE">
        <w:rPr>
          <w:sz w:val="20"/>
          <w:szCs w:val="20"/>
        </w:rPr>
        <w:t xml:space="preserve"> </w:t>
      </w:r>
      <w:proofErr w:type="spellStart"/>
      <w:r w:rsidRPr="008545FE">
        <w:rPr>
          <w:sz w:val="20"/>
          <w:szCs w:val="20"/>
        </w:rPr>
        <w:t>Ogbu</w:t>
      </w:r>
      <w:proofErr w:type="spellEnd"/>
      <w:r w:rsidRPr="008545FE">
        <w:rPr>
          <w:sz w:val="20"/>
          <w:szCs w:val="20"/>
        </w:rPr>
        <w:t xml:space="preserve"> O., </w:t>
      </w:r>
      <w:proofErr w:type="spellStart"/>
      <w:r w:rsidRPr="008545FE">
        <w:rPr>
          <w:sz w:val="20"/>
          <w:szCs w:val="20"/>
        </w:rPr>
        <w:t>Inyama</w:t>
      </w:r>
      <w:proofErr w:type="spellEnd"/>
      <w:r w:rsidRPr="008545FE">
        <w:rPr>
          <w:sz w:val="20"/>
          <w:szCs w:val="20"/>
        </w:rPr>
        <w:t xml:space="preserve"> PV., </w:t>
      </w:r>
      <w:proofErr w:type="spellStart"/>
      <w:r w:rsidRPr="008545FE">
        <w:rPr>
          <w:sz w:val="20"/>
          <w:szCs w:val="20"/>
        </w:rPr>
        <w:t>Anyawu</w:t>
      </w:r>
      <w:proofErr w:type="spellEnd"/>
      <w:r w:rsidRPr="008545FE">
        <w:rPr>
          <w:sz w:val="20"/>
          <w:szCs w:val="20"/>
        </w:rPr>
        <w:t xml:space="preserve"> GI., </w:t>
      </w:r>
      <w:proofErr w:type="spellStart"/>
      <w:r w:rsidRPr="008545FE">
        <w:rPr>
          <w:sz w:val="20"/>
          <w:szCs w:val="20"/>
        </w:rPr>
        <w:t>Njoku</w:t>
      </w:r>
      <w:proofErr w:type="spellEnd"/>
      <w:r w:rsidRPr="008545FE">
        <w:rPr>
          <w:sz w:val="20"/>
          <w:szCs w:val="20"/>
        </w:rPr>
        <w:t xml:space="preserve"> MO, </w:t>
      </w:r>
      <w:proofErr w:type="spellStart"/>
      <w:r w:rsidRPr="008545FE">
        <w:rPr>
          <w:sz w:val="20"/>
          <w:szCs w:val="20"/>
        </w:rPr>
        <w:t>Idoko</w:t>
      </w:r>
      <w:proofErr w:type="spellEnd"/>
      <w:r w:rsidRPr="008545FE">
        <w:rPr>
          <w:sz w:val="20"/>
          <w:szCs w:val="20"/>
        </w:rPr>
        <w:t xml:space="preserve"> JH. Prevalence of</w:t>
      </w:r>
      <w:r w:rsidR="008545FE">
        <w:rPr>
          <w:sz w:val="20"/>
          <w:szCs w:val="20"/>
        </w:rPr>
        <w:t xml:space="preserve"> </w:t>
      </w:r>
      <w:r w:rsidRPr="008545FE">
        <w:rPr>
          <w:sz w:val="20"/>
          <w:szCs w:val="20"/>
        </w:rPr>
        <w:t>hepatitis</w:t>
      </w:r>
      <w:r w:rsidR="008545FE">
        <w:rPr>
          <w:sz w:val="20"/>
          <w:szCs w:val="20"/>
        </w:rPr>
        <w:t xml:space="preserve"> </w:t>
      </w:r>
      <w:r w:rsidRPr="008545FE">
        <w:rPr>
          <w:sz w:val="20"/>
          <w:szCs w:val="20"/>
        </w:rPr>
        <w:t>B</w:t>
      </w:r>
      <w:r w:rsidR="008545FE">
        <w:rPr>
          <w:sz w:val="20"/>
          <w:szCs w:val="20"/>
        </w:rPr>
        <w:t xml:space="preserve"> </w:t>
      </w:r>
      <w:r w:rsidRPr="008545FE">
        <w:rPr>
          <w:sz w:val="20"/>
          <w:szCs w:val="20"/>
        </w:rPr>
        <w:t>surface antigen</w:t>
      </w:r>
      <w:r w:rsidR="000B5E21" w:rsidRPr="008545FE">
        <w:rPr>
          <w:sz w:val="20"/>
          <w:szCs w:val="20"/>
        </w:rPr>
        <w:t xml:space="preserve"> </w:t>
      </w:r>
      <w:r w:rsidRPr="008545FE">
        <w:rPr>
          <w:sz w:val="20"/>
          <w:szCs w:val="20"/>
        </w:rPr>
        <w:t>among blood donor and human immune deficiency</w:t>
      </w:r>
      <w:r w:rsidR="008545FE">
        <w:rPr>
          <w:sz w:val="20"/>
          <w:szCs w:val="20"/>
        </w:rPr>
        <w:t xml:space="preserve"> </w:t>
      </w:r>
      <w:r w:rsidRPr="008545FE">
        <w:rPr>
          <w:sz w:val="20"/>
          <w:szCs w:val="20"/>
        </w:rPr>
        <w:t>virus</w:t>
      </w:r>
      <w:r w:rsidR="008545FE">
        <w:rPr>
          <w:sz w:val="20"/>
          <w:szCs w:val="20"/>
        </w:rPr>
        <w:t xml:space="preserve"> </w:t>
      </w:r>
      <w:r w:rsidRPr="008545FE">
        <w:rPr>
          <w:sz w:val="20"/>
          <w:szCs w:val="20"/>
        </w:rPr>
        <w:t>infected patients</w:t>
      </w:r>
      <w:r w:rsidR="008545FE">
        <w:rPr>
          <w:sz w:val="20"/>
          <w:szCs w:val="20"/>
        </w:rPr>
        <w:t xml:space="preserve"> </w:t>
      </w:r>
      <w:proofErr w:type="spellStart"/>
      <w:r w:rsidRPr="008545FE">
        <w:rPr>
          <w:sz w:val="20"/>
          <w:szCs w:val="20"/>
        </w:rPr>
        <w:t>Jos</w:t>
      </w:r>
      <w:proofErr w:type="spellEnd"/>
      <w:r w:rsidR="008545FE">
        <w:rPr>
          <w:sz w:val="20"/>
          <w:szCs w:val="20"/>
        </w:rPr>
        <w:t>,</w:t>
      </w:r>
      <w:r w:rsidRPr="008545FE">
        <w:rPr>
          <w:sz w:val="20"/>
          <w:szCs w:val="20"/>
        </w:rPr>
        <w:t xml:space="preserve"> Nigeria</w:t>
      </w:r>
      <w:r w:rsidR="008545FE">
        <w:rPr>
          <w:sz w:val="20"/>
          <w:szCs w:val="20"/>
        </w:rPr>
        <w:t>.</w:t>
      </w:r>
      <w:r w:rsidRPr="008545FE">
        <w:rPr>
          <w:sz w:val="20"/>
          <w:szCs w:val="20"/>
        </w:rPr>
        <w:t xml:space="preserve"> </w:t>
      </w:r>
      <w:proofErr w:type="spellStart"/>
      <w:r w:rsidRPr="008545FE">
        <w:rPr>
          <w:sz w:val="20"/>
          <w:szCs w:val="20"/>
        </w:rPr>
        <w:t>Mem</w:t>
      </w:r>
      <w:proofErr w:type="spellEnd"/>
      <w:r w:rsidRPr="008545FE">
        <w:rPr>
          <w:sz w:val="20"/>
          <w:szCs w:val="20"/>
        </w:rPr>
        <w:t xml:space="preserve"> last </w:t>
      </w:r>
      <w:proofErr w:type="spellStart"/>
      <w:r w:rsidRPr="008545FE">
        <w:rPr>
          <w:sz w:val="20"/>
          <w:szCs w:val="20"/>
        </w:rPr>
        <w:t>Oswaldo</w:t>
      </w:r>
      <w:proofErr w:type="spellEnd"/>
      <w:r w:rsidRPr="008545FE">
        <w:rPr>
          <w:sz w:val="20"/>
          <w:szCs w:val="20"/>
        </w:rPr>
        <w:t xml:space="preserve"> Cruz</w:t>
      </w:r>
      <w:r w:rsidR="000B5E21" w:rsidRPr="008545FE">
        <w:rPr>
          <w:sz w:val="20"/>
          <w:szCs w:val="20"/>
        </w:rPr>
        <w:t xml:space="preserve"> </w:t>
      </w:r>
      <w:r w:rsidRPr="008545FE">
        <w:rPr>
          <w:sz w:val="20"/>
          <w:szCs w:val="20"/>
        </w:rPr>
        <w:t>2005; 100:13-16</w:t>
      </w:r>
      <w:r w:rsidR="008545FE" w:rsidRPr="008545FE">
        <w:rPr>
          <w:sz w:val="20"/>
          <w:szCs w:val="20"/>
        </w:rPr>
        <w:t>.</w:t>
      </w:r>
    </w:p>
    <w:p w:rsidR="008049D6" w:rsidRPr="008545FE" w:rsidRDefault="008049D6" w:rsidP="00274E46">
      <w:pPr>
        <w:pStyle w:val="ListParagraph"/>
        <w:numPr>
          <w:ilvl w:val="0"/>
          <w:numId w:val="5"/>
        </w:numPr>
        <w:tabs>
          <w:tab w:val="left" w:pos="720"/>
          <w:tab w:val="left" w:pos="990"/>
        </w:tabs>
        <w:snapToGrid w:val="0"/>
        <w:ind w:left="425" w:hanging="425"/>
        <w:jc w:val="both"/>
        <w:rPr>
          <w:sz w:val="20"/>
          <w:szCs w:val="20"/>
        </w:rPr>
      </w:pPr>
      <w:proofErr w:type="spellStart"/>
      <w:r w:rsidRPr="008545FE">
        <w:rPr>
          <w:sz w:val="20"/>
          <w:szCs w:val="20"/>
        </w:rPr>
        <w:t>Sadoh</w:t>
      </w:r>
      <w:proofErr w:type="spellEnd"/>
      <w:r w:rsidRPr="008545FE">
        <w:rPr>
          <w:sz w:val="20"/>
          <w:szCs w:val="20"/>
        </w:rPr>
        <w:t xml:space="preserve"> AE., </w:t>
      </w:r>
      <w:proofErr w:type="spellStart"/>
      <w:r w:rsidRPr="008545FE">
        <w:rPr>
          <w:sz w:val="20"/>
          <w:szCs w:val="20"/>
        </w:rPr>
        <w:t>Sadoh</w:t>
      </w:r>
      <w:proofErr w:type="spellEnd"/>
      <w:r w:rsidRPr="008545FE">
        <w:rPr>
          <w:sz w:val="20"/>
          <w:szCs w:val="20"/>
        </w:rPr>
        <w:t xml:space="preserve"> WE., </w:t>
      </w:r>
      <w:proofErr w:type="spellStart"/>
      <w:r w:rsidRPr="008545FE">
        <w:rPr>
          <w:sz w:val="20"/>
          <w:szCs w:val="20"/>
        </w:rPr>
        <w:t>Iduoriyekemwen</w:t>
      </w:r>
      <w:proofErr w:type="spellEnd"/>
      <w:r w:rsidRPr="008545FE">
        <w:rPr>
          <w:sz w:val="20"/>
          <w:szCs w:val="20"/>
        </w:rPr>
        <w:t xml:space="preserve"> SA. HIV co-infection with hepatitis B and C viruses among</w:t>
      </w:r>
      <w:r w:rsidR="008545FE">
        <w:rPr>
          <w:sz w:val="20"/>
          <w:szCs w:val="20"/>
        </w:rPr>
        <w:t xml:space="preserve"> </w:t>
      </w:r>
      <w:r w:rsidRPr="008545FE">
        <w:rPr>
          <w:sz w:val="20"/>
          <w:szCs w:val="20"/>
        </w:rPr>
        <w:t>Nigerian</w:t>
      </w:r>
      <w:r w:rsidR="000B5E21" w:rsidRPr="008545FE">
        <w:rPr>
          <w:sz w:val="20"/>
          <w:szCs w:val="20"/>
        </w:rPr>
        <w:t xml:space="preserve"> </w:t>
      </w:r>
      <w:r w:rsidRPr="008545FE">
        <w:rPr>
          <w:sz w:val="20"/>
          <w:szCs w:val="20"/>
        </w:rPr>
        <w:t>children in antiretroviral treatment</w:t>
      </w:r>
      <w:r w:rsidR="008545FE">
        <w:rPr>
          <w:sz w:val="20"/>
          <w:szCs w:val="20"/>
        </w:rPr>
        <w:t xml:space="preserve"> </w:t>
      </w:r>
      <w:r w:rsidRPr="008545FE">
        <w:rPr>
          <w:sz w:val="20"/>
          <w:szCs w:val="20"/>
        </w:rPr>
        <w:t>program. SAJCH March 2011; 5 Mol.</w:t>
      </w:r>
    </w:p>
    <w:p w:rsidR="008049D6" w:rsidRPr="008545FE" w:rsidRDefault="008049D6" w:rsidP="00274E46">
      <w:pPr>
        <w:pStyle w:val="ListParagraph"/>
        <w:numPr>
          <w:ilvl w:val="0"/>
          <w:numId w:val="5"/>
        </w:numPr>
        <w:snapToGrid w:val="0"/>
        <w:ind w:left="425" w:hanging="425"/>
        <w:jc w:val="both"/>
        <w:rPr>
          <w:sz w:val="20"/>
          <w:szCs w:val="20"/>
        </w:rPr>
      </w:pPr>
      <w:r w:rsidRPr="008545FE">
        <w:rPr>
          <w:sz w:val="20"/>
          <w:szCs w:val="20"/>
        </w:rPr>
        <w:t>CDC (2008) Recommendations for Identification and public health management</w:t>
      </w:r>
      <w:r w:rsidR="008545FE">
        <w:rPr>
          <w:sz w:val="20"/>
          <w:szCs w:val="20"/>
        </w:rPr>
        <w:t xml:space="preserve"> </w:t>
      </w:r>
      <w:r w:rsidRPr="008545FE">
        <w:rPr>
          <w:sz w:val="20"/>
          <w:szCs w:val="20"/>
        </w:rPr>
        <w:t>of persons with chronic hepatitis</w:t>
      </w:r>
      <w:r w:rsidR="000B5E21" w:rsidRPr="008545FE">
        <w:rPr>
          <w:sz w:val="20"/>
          <w:szCs w:val="20"/>
        </w:rPr>
        <w:t xml:space="preserve"> </w:t>
      </w:r>
      <w:r w:rsidRPr="008545FE">
        <w:rPr>
          <w:sz w:val="20"/>
          <w:szCs w:val="20"/>
        </w:rPr>
        <w:t>B infection</w:t>
      </w:r>
      <w:r w:rsidR="008545FE">
        <w:rPr>
          <w:sz w:val="20"/>
          <w:szCs w:val="20"/>
        </w:rPr>
        <w:t>.</w:t>
      </w:r>
      <w:r w:rsidRPr="008545FE">
        <w:rPr>
          <w:sz w:val="20"/>
          <w:szCs w:val="20"/>
        </w:rPr>
        <w:t xml:space="preserve"> </w:t>
      </w:r>
      <w:r w:rsidRPr="008545FE">
        <w:rPr>
          <w:i/>
          <w:sz w:val="20"/>
          <w:szCs w:val="20"/>
        </w:rPr>
        <w:t xml:space="preserve">Morbidity and mortality report (MMWR) </w:t>
      </w:r>
      <w:proofErr w:type="spellStart"/>
      <w:r w:rsidRPr="008545FE">
        <w:rPr>
          <w:i/>
          <w:sz w:val="20"/>
          <w:szCs w:val="20"/>
        </w:rPr>
        <w:t>Recomm</w:t>
      </w:r>
      <w:proofErr w:type="spellEnd"/>
      <w:r w:rsidRPr="008545FE">
        <w:rPr>
          <w:i/>
          <w:sz w:val="20"/>
          <w:szCs w:val="20"/>
        </w:rPr>
        <w:t xml:space="preserve"> Rep</w:t>
      </w:r>
      <w:r w:rsidRPr="008545FE">
        <w:rPr>
          <w:sz w:val="20"/>
          <w:szCs w:val="20"/>
        </w:rPr>
        <w:t>; 57(NO.RR-8</w:t>
      </w:r>
      <w:r w:rsidR="008545FE" w:rsidRPr="008545FE">
        <w:rPr>
          <w:sz w:val="20"/>
          <w:szCs w:val="20"/>
        </w:rPr>
        <w:t>.</w:t>
      </w:r>
    </w:p>
    <w:p w:rsidR="008049D6" w:rsidRPr="008545FE" w:rsidRDefault="008049D6" w:rsidP="00274E46">
      <w:pPr>
        <w:pStyle w:val="ListParagraph"/>
        <w:numPr>
          <w:ilvl w:val="0"/>
          <w:numId w:val="5"/>
        </w:numPr>
        <w:tabs>
          <w:tab w:val="left" w:pos="990"/>
          <w:tab w:val="left" w:pos="1800"/>
        </w:tabs>
        <w:snapToGrid w:val="0"/>
        <w:ind w:left="425" w:hanging="425"/>
        <w:jc w:val="both"/>
        <w:rPr>
          <w:sz w:val="20"/>
          <w:szCs w:val="20"/>
        </w:rPr>
      </w:pPr>
      <w:proofErr w:type="spellStart"/>
      <w:r w:rsidRPr="008545FE">
        <w:rPr>
          <w:sz w:val="20"/>
          <w:szCs w:val="20"/>
        </w:rPr>
        <w:t>Benhamou</w:t>
      </w:r>
      <w:proofErr w:type="spellEnd"/>
      <w:r w:rsidRPr="008545FE">
        <w:rPr>
          <w:sz w:val="20"/>
          <w:szCs w:val="20"/>
        </w:rPr>
        <w:t xml:space="preserve"> Y., </w:t>
      </w:r>
      <w:proofErr w:type="spellStart"/>
      <w:r w:rsidRPr="008545FE">
        <w:rPr>
          <w:sz w:val="20"/>
          <w:szCs w:val="20"/>
        </w:rPr>
        <w:t>Brochet</w:t>
      </w:r>
      <w:proofErr w:type="spellEnd"/>
      <w:r w:rsidRPr="008545FE">
        <w:rPr>
          <w:sz w:val="20"/>
          <w:szCs w:val="20"/>
        </w:rPr>
        <w:t xml:space="preserve"> M., Martino </w:t>
      </w:r>
      <w:proofErr w:type="gramStart"/>
      <w:r w:rsidRPr="008545FE">
        <w:rPr>
          <w:sz w:val="20"/>
          <w:szCs w:val="20"/>
        </w:rPr>
        <w:t>VDI.,</w:t>
      </w:r>
      <w:proofErr w:type="gramEnd"/>
      <w:r w:rsidRPr="008545FE">
        <w:rPr>
          <w:sz w:val="20"/>
          <w:szCs w:val="20"/>
        </w:rPr>
        <w:t xml:space="preserve"> Charlotte F., </w:t>
      </w:r>
      <w:proofErr w:type="spellStart"/>
      <w:r w:rsidRPr="008545FE">
        <w:rPr>
          <w:sz w:val="20"/>
          <w:szCs w:val="20"/>
        </w:rPr>
        <w:t>Azaria</w:t>
      </w:r>
      <w:proofErr w:type="spellEnd"/>
      <w:r w:rsidRPr="008545FE">
        <w:rPr>
          <w:sz w:val="20"/>
          <w:szCs w:val="20"/>
        </w:rPr>
        <w:t xml:space="preserve">, F. </w:t>
      </w:r>
      <w:proofErr w:type="spellStart"/>
      <w:r w:rsidRPr="008545FE">
        <w:rPr>
          <w:sz w:val="20"/>
          <w:szCs w:val="20"/>
        </w:rPr>
        <w:t>Lliver</w:t>
      </w:r>
      <w:proofErr w:type="spellEnd"/>
      <w:r w:rsidRPr="008545FE">
        <w:rPr>
          <w:sz w:val="20"/>
          <w:szCs w:val="20"/>
        </w:rPr>
        <w:t xml:space="preserve"> </w:t>
      </w:r>
      <w:proofErr w:type="spellStart"/>
      <w:r w:rsidRPr="008545FE">
        <w:rPr>
          <w:sz w:val="20"/>
          <w:szCs w:val="20"/>
        </w:rPr>
        <w:t>fribrosis</w:t>
      </w:r>
      <w:proofErr w:type="spellEnd"/>
      <w:r w:rsidRPr="008545FE">
        <w:rPr>
          <w:sz w:val="20"/>
          <w:szCs w:val="20"/>
        </w:rPr>
        <w:t xml:space="preserve"> progression in human</w:t>
      </w:r>
      <w:r w:rsidR="000B5E21" w:rsidRPr="008545FE">
        <w:rPr>
          <w:sz w:val="20"/>
          <w:szCs w:val="20"/>
        </w:rPr>
        <w:t xml:space="preserve"> </w:t>
      </w:r>
      <w:r w:rsidRPr="008545FE">
        <w:rPr>
          <w:sz w:val="20"/>
          <w:szCs w:val="20"/>
        </w:rPr>
        <w:t>immunodeficiency virus and hepatitis C virus co-infected patients</w:t>
      </w:r>
      <w:r w:rsidR="008545FE">
        <w:rPr>
          <w:sz w:val="20"/>
          <w:szCs w:val="20"/>
        </w:rPr>
        <w:t>.</w:t>
      </w:r>
      <w:r w:rsidRPr="008545FE">
        <w:rPr>
          <w:sz w:val="20"/>
          <w:szCs w:val="20"/>
        </w:rPr>
        <w:t xml:space="preserve"> The </w:t>
      </w:r>
      <w:proofErr w:type="spellStart"/>
      <w:r w:rsidRPr="008545FE">
        <w:rPr>
          <w:sz w:val="20"/>
          <w:szCs w:val="20"/>
        </w:rPr>
        <w:t>multivirc</w:t>
      </w:r>
      <w:proofErr w:type="spellEnd"/>
      <w:r w:rsidR="008545FE">
        <w:rPr>
          <w:sz w:val="20"/>
          <w:szCs w:val="20"/>
        </w:rPr>
        <w:t xml:space="preserve"> </w:t>
      </w:r>
      <w:r w:rsidRPr="008545FE">
        <w:rPr>
          <w:sz w:val="20"/>
          <w:szCs w:val="20"/>
        </w:rPr>
        <w:t xml:space="preserve">Group </w:t>
      </w:r>
      <w:proofErr w:type="spellStart"/>
      <w:r w:rsidRPr="008545FE">
        <w:rPr>
          <w:sz w:val="20"/>
          <w:szCs w:val="20"/>
        </w:rPr>
        <w:t>Hepatology</w:t>
      </w:r>
      <w:proofErr w:type="spellEnd"/>
      <w:r w:rsidRPr="008545FE">
        <w:rPr>
          <w:sz w:val="20"/>
          <w:szCs w:val="20"/>
        </w:rPr>
        <w:t xml:space="preserve"> 1999; 30:</w:t>
      </w:r>
      <w:r w:rsidR="000B5E21" w:rsidRPr="008545FE">
        <w:rPr>
          <w:sz w:val="20"/>
          <w:szCs w:val="20"/>
        </w:rPr>
        <w:t xml:space="preserve"> </w:t>
      </w:r>
      <w:r w:rsidRPr="008545FE">
        <w:rPr>
          <w:sz w:val="20"/>
          <w:szCs w:val="20"/>
        </w:rPr>
        <w:t>1054- 1058</w:t>
      </w:r>
      <w:r w:rsidR="008545FE" w:rsidRPr="008545FE">
        <w:rPr>
          <w:sz w:val="20"/>
          <w:szCs w:val="20"/>
        </w:rPr>
        <w:t>.</w:t>
      </w:r>
    </w:p>
    <w:p w:rsidR="004D0467" w:rsidRPr="008545FE" w:rsidRDefault="008049D6" w:rsidP="00274E46">
      <w:pPr>
        <w:pStyle w:val="ListParagraph"/>
        <w:numPr>
          <w:ilvl w:val="0"/>
          <w:numId w:val="5"/>
        </w:numPr>
        <w:tabs>
          <w:tab w:val="left" w:pos="990"/>
          <w:tab w:val="left" w:pos="1800"/>
        </w:tabs>
        <w:snapToGrid w:val="0"/>
        <w:ind w:left="425" w:hanging="425"/>
        <w:jc w:val="both"/>
        <w:rPr>
          <w:sz w:val="20"/>
          <w:szCs w:val="20"/>
        </w:rPr>
      </w:pPr>
      <w:proofErr w:type="spellStart"/>
      <w:r w:rsidRPr="008545FE">
        <w:rPr>
          <w:sz w:val="20"/>
          <w:szCs w:val="20"/>
        </w:rPr>
        <w:t>Omisakin</w:t>
      </w:r>
      <w:proofErr w:type="spellEnd"/>
      <w:r w:rsidRPr="008545FE">
        <w:rPr>
          <w:sz w:val="20"/>
          <w:szCs w:val="20"/>
        </w:rPr>
        <w:t xml:space="preserve"> CT., </w:t>
      </w:r>
      <w:proofErr w:type="spellStart"/>
      <w:r w:rsidRPr="008545FE">
        <w:rPr>
          <w:sz w:val="20"/>
          <w:szCs w:val="20"/>
        </w:rPr>
        <w:t>Esan</w:t>
      </w:r>
      <w:proofErr w:type="spellEnd"/>
      <w:r w:rsidRPr="008545FE">
        <w:rPr>
          <w:sz w:val="20"/>
          <w:szCs w:val="20"/>
        </w:rPr>
        <w:t xml:space="preserve"> AJ., </w:t>
      </w:r>
      <w:proofErr w:type="spellStart"/>
      <w:r w:rsidRPr="008545FE">
        <w:rPr>
          <w:sz w:val="20"/>
          <w:szCs w:val="20"/>
        </w:rPr>
        <w:t>Owoseni</w:t>
      </w:r>
      <w:proofErr w:type="spellEnd"/>
      <w:r w:rsidRPr="008545FE">
        <w:rPr>
          <w:sz w:val="20"/>
          <w:szCs w:val="20"/>
        </w:rPr>
        <w:t xml:space="preserve"> M.F., </w:t>
      </w:r>
      <w:proofErr w:type="spellStart"/>
      <w:r w:rsidRPr="008545FE">
        <w:rPr>
          <w:sz w:val="20"/>
          <w:szCs w:val="20"/>
        </w:rPr>
        <w:t>Ojo</w:t>
      </w:r>
      <w:proofErr w:type="spellEnd"/>
      <w:r w:rsidRPr="008545FE">
        <w:rPr>
          <w:sz w:val="20"/>
          <w:szCs w:val="20"/>
        </w:rPr>
        <w:t xml:space="preserve">-Bola O, </w:t>
      </w:r>
      <w:proofErr w:type="spellStart"/>
      <w:r w:rsidRPr="008545FE">
        <w:rPr>
          <w:sz w:val="20"/>
          <w:szCs w:val="20"/>
        </w:rPr>
        <w:t>Aina</w:t>
      </w:r>
      <w:proofErr w:type="spellEnd"/>
      <w:r w:rsidRPr="008545FE">
        <w:rPr>
          <w:sz w:val="20"/>
          <w:szCs w:val="20"/>
        </w:rPr>
        <w:t xml:space="preserve"> OO., </w:t>
      </w:r>
      <w:proofErr w:type="spellStart"/>
      <w:r w:rsidRPr="008545FE">
        <w:rPr>
          <w:sz w:val="20"/>
          <w:szCs w:val="20"/>
        </w:rPr>
        <w:t>Omoniyi</w:t>
      </w:r>
      <w:proofErr w:type="spellEnd"/>
      <w:r w:rsidRPr="008545FE">
        <w:rPr>
          <w:sz w:val="20"/>
          <w:szCs w:val="20"/>
        </w:rPr>
        <w:t xml:space="preserve"> DP. Human immunodeficiency virus Infection among pregnant</w:t>
      </w:r>
      <w:r w:rsidR="008545FE">
        <w:rPr>
          <w:sz w:val="20"/>
          <w:szCs w:val="20"/>
        </w:rPr>
        <w:t xml:space="preserve"> </w:t>
      </w:r>
      <w:r w:rsidRPr="008545FE">
        <w:rPr>
          <w:sz w:val="20"/>
          <w:szCs w:val="20"/>
        </w:rPr>
        <w:t>women in Nigeria: prevalence and trend</w:t>
      </w:r>
      <w:r w:rsidR="008545FE">
        <w:rPr>
          <w:sz w:val="20"/>
          <w:szCs w:val="20"/>
        </w:rPr>
        <w:t xml:space="preserve">, </w:t>
      </w:r>
      <w:r w:rsidRPr="008545FE">
        <w:rPr>
          <w:sz w:val="20"/>
          <w:szCs w:val="20"/>
        </w:rPr>
        <w:t>International</w:t>
      </w:r>
      <w:r w:rsidR="008545FE">
        <w:rPr>
          <w:sz w:val="20"/>
          <w:szCs w:val="20"/>
        </w:rPr>
        <w:t xml:space="preserve"> </w:t>
      </w:r>
      <w:r w:rsidRPr="008545FE">
        <w:rPr>
          <w:sz w:val="20"/>
          <w:szCs w:val="20"/>
        </w:rPr>
        <w:t>STD</w:t>
      </w:r>
      <w:r w:rsidR="008545FE">
        <w:rPr>
          <w:sz w:val="20"/>
          <w:szCs w:val="20"/>
        </w:rPr>
        <w:t xml:space="preserve"> </w:t>
      </w:r>
      <w:r w:rsidRPr="008545FE">
        <w:rPr>
          <w:sz w:val="20"/>
          <w:szCs w:val="20"/>
        </w:rPr>
        <w:t>research and reviews 2014;</w:t>
      </w:r>
      <w:r w:rsidR="000B5E21" w:rsidRPr="008545FE">
        <w:rPr>
          <w:sz w:val="20"/>
          <w:szCs w:val="20"/>
        </w:rPr>
        <w:t xml:space="preserve"> </w:t>
      </w:r>
      <w:r w:rsidRPr="008545FE">
        <w:rPr>
          <w:sz w:val="20"/>
          <w:szCs w:val="20"/>
        </w:rPr>
        <w:t>2(2): 94-100</w:t>
      </w:r>
      <w:r w:rsidR="008545FE" w:rsidRPr="008545FE">
        <w:rPr>
          <w:sz w:val="20"/>
          <w:szCs w:val="20"/>
        </w:rPr>
        <w:t>.</w:t>
      </w:r>
    </w:p>
    <w:p w:rsidR="008049D6" w:rsidRPr="008545FE" w:rsidRDefault="008049D6" w:rsidP="00274E46">
      <w:pPr>
        <w:pStyle w:val="ListParagraph"/>
        <w:numPr>
          <w:ilvl w:val="0"/>
          <w:numId w:val="5"/>
        </w:numPr>
        <w:tabs>
          <w:tab w:val="left" w:pos="630"/>
        </w:tabs>
        <w:snapToGrid w:val="0"/>
        <w:ind w:left="425" w:hanging="425"/>
        <w:jc w:val="both"/>
        <w:rPr>
          <w:sz w:val="20"/>
          <w:szCs w:val="20"/>
        </w:rPr>
      </w:pPr>
      <w:proofErr w:type="spellStart"/>
      <w:r w:rsidRPr="008545FE">
        <w:rPr>
          <w:sz w:val="20"/>
          <w:szCs w:val="20"/>
        </w:rPr>
        <w:t>Opara</w:t>
      </w:r>
      <w:proofErr w:type="spellEnd"/>
      <w:r w:rsidRPr="008545FE">
        <w:rPr>
          <w:sz w:val="20"/>
          <w:szCs w:val="20"/>
        </w:rPr>
        <w:t xml:space="preserve"> MI, </w:t>
      </w:r>
      <w:proofErr w:type="spellStart"/>
      <w:r w:rsidRPr="008545FE">
        <w:rPr>
          <w:sz w:val="20"/>
          <w:szCs w:val="20"/>
        </w:rPr>
        <w:t>Ogbebor</w:t>
      </w:r>
      <w:proofErr w:type="spellEnd"/>
      <w:r w:rsidRPr="008545FE">
        <w:rPr>
          <w:sz w:val="20"/>
          <w:szCs w:val="20"/>
        </w:rPr>
        <w:t xml:space="preserve"> VO, </w:t>
      </w:r>
      <w:proofErr w:type="spellStart"/>
      <w:r w:rsidRPr="008545FE">
        <w:rPr>
          <w:sz w:val="20"/>
          <w:szCs w:val="20"/>
        </w:rPr>
        <w:t>Fasasi</w:t>
      </w:r>
      <w:proofErr w:type="spellEnd"/>
      <w:r w:rsidRPr="008545FE">
        <w:rPr>
          <w:sz w:val="20"/>
          <w:szCs w:val="20"/>
        </w:rPr>
        <w:t xml:space="preserve"> MA, </w:t>
      </w:r>
      <w:proofErr w:type="spellStart"/>
      <w:r w:rsidRPr="008545FE">
        <w:rPr>
          <w:sz w:val="20"/>
          <w:szCs w:val="20"/>
        </w:rPr>
        <w:t>Akanmu</w:t>
      </w:r>
      <w:proofErr w:type="spellEnd"/>
      <w:r w:rsidRPr="008545FE">
        <w:rPr>
          <w:sz w:val="20"/>
          <w:szCs w:val="20"/>
        </w:rPr>
        <w:t xml:space="preserve"> SA, </w:t>
      </w:r>
      <w:proofErr w:type="spellStart"/>
      <w:r w:rsidRPr="008545FE">
        <w:rPr>
          <w:sz w:val="20"/>
          <w:szCs w:val="20"/>
        </w:rPr>
        <w:t>Bamiro</w:t>
      </w:r>
      <w:proofErr w:type="spellEnd"/>
      <w:r w:rsidRPr="008545FE">
        <w:rPr>
          <w:sz w:val="20"/>
          <w:szCs w:val="20"/>
        </w:rPr>
        <w:t xml:space="preserve"> BS, </w:t>
      </w:r>
      <w:proofErr w:type="spellStart"/>
      <w:r w:rsidRPr="008545FE">
        <w:rPr>
          <w:sz w:val="20"/>
          <w:szCs w:val="20"/>
        </w:rPr>
        <w:t>Ayolabi</w:t>
      </w:r>
      <w:proofErr w:type="spellEnd"/>
      <w:r w:rsidRPr="008545FE">
        <w:rPr>
          <w:sz w:val="20"/>
          <w:szCs w:val="20"/>
        </w:rPr>
        <w:t xml:space="preserve"> CI, et al. Incidences of</w:t>
      </w:r>
      <w:r w:rsidR="008545FE">
        <w:rPr>
          <w:sz w:val="20"/>
          <w:szCs w:val="20"/>
        </w:rPr>
        <w:t xml:space="preserve"> </w:t>
      </w:r>
      <w:r w:rsidRPr="008545FE">
        <w:rPr>
          <w:sz w:val="20"/>
          <w:szCs w:val="20"/>
        </w:rPr>
        <w:t>Hepatitis B and</w:t>
      </w:r>
      <w:r w:rsidR="000B5E21" w:rsidRPr="008545FE">
        <w:rPr>
          <w:sz w:val="20"/>
          <w:szCs w:val="20"/>
        </w:rPr>
        <w:t xml:space="preserve"> </w:t>
      </w:r>
      <w:r w:rsidRPr="008545FE">
        <w:rPr>
          <w:sz w:val="20"/>
          <w:szCs w:val="20"/>
        </w:rPr>
        <w:t>Syphilis Co-Infection with HIV in Antiretroviral Treatment-Naïve Adult Patients</w:t>
      </w:r>
      <w:r w:rsidR="008545FE">
        <w:rPr>
          <w:sz w:val="20"/>
          <w:szCs w:val="20"/>
        </w:rPr>
        <w:t xml:space="preserve"> </w:t>
      </w:r>
      <w:r w:rsidRPr="008545FE">
        <w:rPr>
          <w:sz w:val="20"/>
          <w:szCs w:val="20"/>
        </w:rPr>
        <w:t xml:space="preserve">Attending APIN Clinic at a University Teaching Hospital in Lagos, Nigeria. J AIDS </w:t>
      </w:r>
      <w:proofErr w:type="spellStart"/>
      <w:r w:rsidRPr="008545FE">
        <w:rPr>
          <w:sz w:val="20"/>
          <w:szCs w:val="20"/>
        </w:rPr>
        <w:t>Clin</w:t>
      </w:r>
      <w:proofErr w:type="spellEnd"/>
      <w:r w:rsidRPr="008545FE">
        <w:rPr>
          <w:sz w:val="20"/>
          <w:szCs w:val="20"/>
        </w:rPr>
        <w:t xml:space="preserve"> Res 2013; 4: 191. doi:10.4172/2155-6113.1000191</w:t>
      </w:r>
      <w:r w:rsidR="008545FE" w:rsidRPr="008545FE">
        <w:rPr>
          <w:sz w:val="20"/>
          <w:szCs w:val="20"/>
        </w:rPr>
        <w:t>.</w:t>
      </w:r>
    </w:p>
    <w:p w:rsidR="008049D6" w:rsidRPr="008545FE" w:rsidRDefault="008049D6" w:rsidP="00274E46">
      <w:pPr>
        <w:pStyle w:val="ListParagraph"/>
        <w:numPr>
          <w:ilvl w:val="0"/>
          <w:numId w:val="5"/>
        </w:numPr>
        <w:tabs>
          <w:tab w:val="left" w:pos="630"/>
        </w:tabs>
        <w:snapToGrid w:val="0"/>
        <w:ind w:left="425" w:hanging="425"/>
        <w:jc w:val="both"/>
        <w:rPr>
          <w:sz w:val="20"/>
          <w:szCs w:val="20"/>
        </w:rPr>
      </w:pPr>
      <w:proofErr w:type="spellStart"/>
      <w:r w:rsidRPr="008545FE">
        <w:rPr>
          <w:sz w:val="20"/>
          <w:szCs w:val="20"/>
        </w:rPr>
        <w:t>Wasserheit</w:t>
      </w:r>
      <w:proofErr w:type="spellEnd"/>
      <w:r w:rsidRPr="008545FE">
        <w:rPr>
          <w:sz w:val="20"/>
          <w:szCs w:val="20"/>
        </w:rPr>
        <w:t xml:space="preserve"> </w:t>
      </w:r>
      <w:proofErr w:type="gramStart"/>
      <w:r w:rsidRPr="008545FE">
        <w:rPr>
          <w:sz w:val="20"/>
          <w:szCs w:val="20"/>
        </w:rPr>
        <w:t>JN..</w:t>
      </w:r>
      <w:proofErr w:type="gramEnd"/>
      <w:r w:rsidRPr="008545FE">
        <w:rPr>
          <w:sz w:val="20"/>
          <w:szCs w:val="20"/>
        </w:rPr>
        <w:t xml:space="preserve"> </w:t>
      </w:r>
      <w:proofErr w:type="spellStart"/>
      <w:r w:rsidRPr="008545FE">
        <w:rPr>
          <w:sz w:val="20"/>
          <w:szCs w:val="20"/>
        </w:rPr>
        <w:t>Epidermologic</w:t>
      </w:r>
      <w:proofErr w:type="spellEnd"/>
      <w:r w:rsidRPr="008545FE">
        <w:rPr>
          <w:sz w:val="20"/>
          <w:szCs w:val="20"/>
        </w:rPr>
        <w:t xml:space="preserve"> synergy: Interrelationships between human immunodeficiency virus and other</w:t>
      </w:r>
      <w:r w:rsidR="000B5E21" w:rsidRPr="008545FE">
        <w:rPr>
          <w:sz w:val="20"/>
          <w:szCs w:val="20"/>
        </w:rPr>
        <w:t xml:space="preserve"> </w:t>
      </w:r>
      <w:r w:rsidRPr="008545FE">
        <w:rPr>
          <w:sz w:val="20"/>
          <w:szCs w:val="20"/>
        </w:rPr>
        <w:t xml:space="preserve">sexually transmitted diseases. </w:t>
      </w:r>
      <w:r w:rsidRPr="008545FE">
        <w:rPr>
          <w:i/>
          <w:sz w:val="20"/>
          <w:szCs w:val="20"/>
        </w:rPr>
        <w:t>Sexually Transmitted disease</w:t>
      </w:r>
      <w:r w:rsidRPr="008545FE">
        <w:rPr>
          <w:sz w:val="20"/>
          <w:szCs w:val="20"/>
        </w:rPr>
        <w:t xml:space="preserve"> 1992; 9: 61- 77.</w:t>
      </w:r>
    </w:p>
    <w:p w:rsidR="00274E46" w:rsidRPr="008545FE" w:rsidRDefault="00274E46" w:rsidP="00274E46">
      <w:pPr>
        <w:snapToGrid w:val="0"/>
        <w:ind w:left="425" w:hanging="425"/>
        <w:jc w:val="both"/>
        <w:rPr>
          <w:sz w:val="20"/>
          <w:szCs w:val="20"/>
        </w:rPr>
        <w:sectPr w:rsidR="00274E46" w:rsidRPr="008545FE" w:rsidSect="007549F2">
          <w:footnotePr>
            <w:pos w:val="beneathText"/>
          </w:footnotePr>
          <w:type w:val="continuous"/>
          <w:pgSz w:w="12240" w:h="15840" w:code="1"/>
          <w:pgMar w:top="1440" w:right="1440" w:bottom="1440" w:left="1440" w:header="720" w:footer="720" w:gutter="0"/>
          <w:cols w:num="2" w:space="720"/>
          <w:docGrid w:linePitch="360"/>
        </w:sectPr>
      </w:pPr>
    </w:p>
    <w:p w:rsidR="00B3167C" w:rsidRPr="008545FE" w:rsidRDefault="00B3167C" w:rsidP="00274E46">
      <w:pPr>
        <w:snapToGrid w:val="0"/>
        <w:ind w:left="425" w:hanging="425"/>
        <w:jc w:val="both"/>
        <w:rPr>
          <w:sz w:val="20"/>
          <w:szCs w:val="20"/>
        </w:rPr>
      </w:pPr>
    </w:p>
    <w:p w:rsidR="00EB51F4" w:rsidRPr="008545FE" w:rsidRDefault="00EB51F4" w:rsidP="00274E46">
      <w:pPr>
        <w:snapToGrid w:val="0"/>
        <w:ind w:left="425" w:hanging="425"/>
        <w:jc w:val="both"/>
        <w:rPr>
          <w:sz w:val="20"/>
          <w:szCs w:val="20"/>
        </w:rPr>
      </w:pPr>
    </w:p>
    <w:p w:rsidR="00274E46" w:rsidRPr="008545FE" w:rsidRDefault="00274E46" w:rsidP="00274E46">
      <w:pPr>
        <w:snapToGrid w:val="0"/>
        <w:ind w:left="425" w:hanging="425"/>
        <w:jc w:val="both"/>
        <w:rPr>
          <w:sz w:val="20"/>
          <w:szCs w:val="20"/>
        </w:rPr>
      </w:pPr>
    </w:p>
    <w:p w:rsidR="004D0467" w:rsidRPr="008545FE" w:rsidRDefault="00274E46" w:rsidP="00274E46">
      <w:pPr>
        <w:snapToGrid w:val="0"/>
        <w:ind w:left="425" w:hanging="425"/>
        <w:jc w:val="both"/>
        <w:rPr>
          <w:sz w:val="20"/>
          <w:szCs w:val="20"/>
        </w:rPr>
      </w:pPr>
      <w:r w:rsidRPr="008545FE">
        <w:rPr>
          <w:sz w:val="20"/>
          <w:szCs w:val="20"/>
        </w:rPr>
        <w:t>4/13/2016</w:t>
      </w:r>
    </w:p>
    <w:sectPr w:rsidR="004D0467" w:rsidRPr="008545FE" w:rsidSect="007549F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04" w:rsidRDefault="00956504">
      <w:r>
        <w:separator/>
      </w:r>
    </w:p>
  </w:endnote>
  <w:endnote w:type="continuationSeparator" w:id="0">
    <w:p w:rsidR="00956504" w:rsidRDefault="00956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Default="0093101A" w:rsidP="00B3167C">
    <w:pPr>
      <w:pStyle w:val="Footer"/>
      <w:framePr w:wrap="around" w:vAnchor="text" w:hAnchor="margin" w:xAlign="center" w:y="1"/>
      <w:rPr>
        <w:rStyle w:val="PageNumber"/>
      </w:rPr>
    </w:pPr>
    <w:r>
      <w:rPr>
        <w:rStyle w:val="PageNumber"/>
      </w:rPr>
      <w:fldChar w:fldCharType="begin"/>
    </w:r>
    <w:r w:rsidR="00274E46">
      <w:rPr>
        <w:rStyle w:val="PageNumber"/>
      </w:rPr>
      <w:instrText xml:space="preserve">PAGE  </w:instrText>
    </w:r>
    <w:r>
      <w:rPr>
        <w:rStyle w:val="PageNumber"/>
      </w:rPr>
      <w:fldChar w:fldCharType="end"/>
    </w:r>
  </w:p>
  <w:p w:rsidR="00274E46" w:rsidRDefault="00274E4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0B" w:rsidRPr="00274E46" w:rsidRDefault="0093101A" w:rsidP="00274E46">
    <w:pPr>
      <w:jc w:val="center"/>
      <w:rPr>
        <w:sz w:val="20"/>
      </w:rPr>
    </w:pPr>
    <w:r w:rsidRPr="00274E46">
      <w:rPr>
        <w:sz w:val="20"/>
      </w:rPr>
      <w:fldChar w:fldCharType="begin"/>
    </w:r>
    <w:r w:rsidR="00274E46" w:rsidRPr="00274E46">
      <w:rPr>
        <w:sz w:val="20"/>
      </w:rPr>
      <w:instrText xml:space="preserve"> page </w:instrText>
    </w:r>
    <w:r w:rsidRPr="00274E46">
      <w:rPr>
        <w:sz w:val="20"/>
      </w:rPr>
      <w:fldChar w:fldCharType="separate"/>
    </w:r>
    <w:r w:rsidR="000B6B81">
      <w:rPr>
        <w:noProof/>
        <w:sz w:val="20"/>
      </w:rPr>
      <w:t>52</w:t>
    </w:r>
    <w:r w:rsidRPr="00274E4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93101A" w:rsidP="00274E46">
    <w:pPr>
      <w:jc w:val="center"/>
      <w:rPr>
        <w:sz w:val="20"/>
      </w:rPr>
    </w:pPr>
    <w:r w:rsidRPr="00274E46">
      <w:rPr>
        <w:sz w:val="20"/>
      </w:rPr>
      <w:fldChar w:fldCharType="begin"/>
    </w:r>
    <w:r w:rsidR="00274E46" w:rsidRPr="00274E46">
      <w:rPr>
        <w:sz w:val="20"/>
      </w:rPr>
      <w:instrText xml:space="preserve"> page </w:instrText>
    </w:r>
    <w:r w:rsidRPr="00274E46">
      <w:rPr>
        <w:sz w:val="20"/>
      </w:rPr>
      <w:fldChar w:fldCharType="separate"/>
    </w:r>
    <w:r w:rsidR="00DC7125">
      <w:rPr>
        <w:noProof/>
        <w:sz w:val="20"/>
      </w:rPr>
      <w:t>48</w:t>
    </w:r>
    <w:r w:rsidRPr="00274E4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Default="0093101A" w:rsidP="00B3167C">
    <w:pPr>
      <w:pStyle w:val="Footer"/>
      <w:framePr w:wrap="around" w:vAnchor="text" w:hAnchor="margin" w:xAlign="center" w:y="1"/>
      <w:rPr>
        <w:rStyle w:val="PageNumber"/>
      </w:rPr>
    </w:pPr>
    <w:r>
      <w:rPr>
        <w:rStyle w:val="PageNumber"/>
      </w:rPr>
      <w:fldChar w:fldCharType="begin"/>
    </w:r>
    <w:r w:rsidR="00274E46">
      <w:rPr>
        <w:rStyle w:val="PageNumber"/>
      </w:rPr>
      <w:instrText xml:space="preserve">PAGE  </w:instrText>
    </w:r>
    <w:r>
      <w:rPr>
        <w:rStyle w:val="PageNumber"/>
      </w:rPr>
      <w:fldChar w:fldCharType="end"/>
    </w:r>
  </w:p>
  <w:p w:rsidR="00274E46" w:rsidRDefault="00274E4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93101A" w:rsidP="00274E46">
    <w:pPr>
      <w:jc w:val="center"/>
      <w:rPr>
        <w:sz w:val="20"/>
      </w:rPr>
    </w:pPr>
    <w:r w:rsidRPr="00274E46">
      <w:rPr>
        <w:sz w:val="20"/>
      </w:rPr>
      <w:fldChar w:fldCharType="begin"/>
    </w:r>
    <w:r w:rsidR="00274E46" w:rsidRPr="00274E46">
      <w:rPr>
        <w:sz w:val="20"/>
      </w:rPr>
      <w:instrText xml:space="preserve"> page </w:instrText>
    </w:r>
    <w:r w:rsidRPr="00274E46">
      <w:rPr>
        <w:sz w:val="20"/>
      </w:rPr>
      <w:fldChar w:fldCharType="separate"/>
    </w:r>
    <w:r w:rsidR="00DC7125">
      <w:rPr>
        <w:noProof/>
        <w:sz w:val="20"/>
      </w:rPr>
      <w:t>49</w:t>
    </w:r>
    <w:r w:rsidRPr="00274E4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Default="0093101A" w:rsidP="00B3167C">
    <w:pPr>
      <w:pStyle w:val="Footer"/>
      <w:framePr w:wrap="around" w:vAnchor="text" w:hAnchor="margin" w:xAlign="center" w:y="1"/>
      <w:rPr>
        <w:rStyle w:val="PageNumber"/>
      </w:rPr>
    </w:pPr>
    <w:r>
      <w:rPr>
        <w:rStyle w:val="PageNumber"/>
      </w:rPr>
      <w:fldChar w:fldCharType="begin"/>
    </w:r>
    <w:r w:rsidR="00274E46">
      <w:rPr>
        <w:rStyle w:val="PageNumber"/>
      </w:rPr>
      <w:instrText xml:space="preserve">PAGE  </w:instrText>
    </w:r>
    <w:r>
      <w:rPr>
        <w:rStyle w:val="PageNumber"/>
      </w:rPr>
      <w:fldChar w:fldCharType="end"/>
    </w:r>
  </w:p>
  <w:p w:rsidR="00274E46" w:rsidRDefault="00274E4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93101A" w:rsidP="00274E46">
    <w:pPr>
      <w:jc w:val="center"/>
      <w:rPr>
        <w:sz w:val="20"/>
      </w:rPr>
    </w:pPr>
    <w:r w:rsidRPr="00274E46">
      <w:rPr>
        <w:sz w:val="20"/>
      </w:rPr>
      <w:fldChar w:fldCharType="begin"/>
    </w:r>
    <w:r w:rsidR="00274E46" w:rsidRPr="00274E46">
      <w:rPr>
        <w:sz w:val="20"/>
      </w:rPr>
      <w:instrText xml:space="preserve"> page </w:instrText>
    </w:r>
    <w:r w:rsidRPr="00274E46">
      <w:rPr>
        <w:sz w:val="20"/>
      </w:rPr>
      <w:fldChar w:fldCharType="separate"/>
    </w:r>
    <w:r w:rsidR="00274E46">
      <w:rPr>
        <w:noProof/>
        <w:sz w:val="20"/>
      </w:rPr>
      <w:t>1</w:t>
    </w:r>
    <w:r w:rsidRPr="00274E4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Default="0093101A" w:rsidP="00B3167C">
    <w:pPr>
      <w:pStyle w:val="Footer"/>
      <w:framePr w:wrap="around" w:vAnchor="text" w:hAnchor="margin" w:xAlign="center" w:y="1"/>
      <w:rPr>
        <w:rStyle w:val="PageNumber"/>
      </w:rPr>
    </w:pPr>
    <w:r>
      <w:rPr>
        <w:rStyle w:val="PageNumber"/>
      </w:rPr>
      <w:fldChar w:fldCharType="begin"/>
    </w:r>
    <w:r w:rsidR="00274E46">
      <w:rPr>
        <w:rStyle w:val="PageNumber"/>
      </w:rPr>
      <w:instrText xml:space="preserve">PAGE  </w:instrText>
    </w:r>
    <w:r>
      <w:rPr>
        <w:rStyle w:val="PageNumber"/>
      </w:rPr>
      <w:fldChar w:fldCharType="end"/>
    </w:r>
  </w:p>
  <w:p w:rsidR="00274E46" w:rsidRDefault="00274E4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93101A" w:rsidP="00274E46">
    <w:pPr>
      <w:jc w:val="center"/>
      <w:rPr>
        <w:sz w:val="20"/>
      </w:rPr>
    </w:pPr>
    <w:r w:rsidRPr="00274E46">
      <w:rPr>
        <w:sz w:val="20"/>
      </w:rPr>
      <w:fldChar w:fldCharType="begin"/>
    </w:r>
    <w:r w:rsidR="00274E46" w:rsidRPr="00274E46">
      <w:rPr>
        <w:sz w:val="20"/>
      </w:rPr>
      <w:instrText xml:space="preserve"> page </w:instrText>
    </w:r>
    <w:r w:rsidRPr="00274E46">
      <w:rPr>
        <w:sz w:val="20"/>
      </w:rPr>
      <w:fldChar w:fldCharType="separate"/>
    </w:r>
    <w:r w:rsidR="000B6B81">
      <w:rPr>
        <w:noProof/>
        <w:sz w:val="20"/>
      </w:rPr>
      <w:t>50</w:t>
    </w:r>
    <w:r w:rsidRPr="00274E4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0B" w:rsidRDefault="0093101A" w:rsidP="00B3167C">
    <w:pPr>
      <w:pStyle w:val="Footer"/>
      <w:framePr w:wrap="around" w:vAnchor="text" w:hAnchor="margin" w:xAlign="center" w:y="1"/>
      <w:rPr>
        <w:rStyle w:val="PageNumber"/>
      </w:rPr>
    </w:pPr>
    <w:r>
      <w:rPr>
        <w:rStyle w:val="PageNumber"/>
      </w:rPr>
      <w:fldChar w:fldCharType="begin"/>
    </w:r>
    <w:r w:rsidR="006C5D0B">
      <w:rPr>
        <w:rStyle w:val="PageNumber"/>
      </w:rPr>
      <w:instrText xml:space="preserve">PAGE  </w:instrText>
    </w:r>
    <w:r>
      <w:rPr>
        <w:rStyle w:val="PageNumber"/>
      </w:rPr>
      <w:fldChar w:fldCharType="end"/>
    </w:r>
  </w:p>
  <w:p w:rsidR="006C5D0B" w:rsidRDefault="006C5D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04" w:rsidRDefault="00956504">
      <w:r>
        <w:separator/>
      </w:r>
    </w:p>
  </w:footnote>
  <w:footnote w:type="continuationSeparator" w:id="0">
    <w:p w:rsidR="00956504" w:rsidRDefault="00956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274E46" w:rsidP="00274E46">
    <w:pPr>
      <w:pBdr>
        <w:bottom w:val="thinThickMediumGap" w:sz="12" w:space="1" w:color="auto"/>
      </w:pBdr>
      <w:tabs>
        <w:tab w:val="left" w:pos="851"/>
        <w:tab w:val="right" w:pos="8364"/>
      </w:tabs>
      <w:adjustRightInd w:val="0"/>
      <w:snapToGrid w:val="0"/>
      <w:jc w:val="both"/>
      <w:rPr>
        <w:iCs/>
        <w:sz w:val="20"/>
        <w:szCs w:val="20"/>
      </w:rPr>
    </w:pPr>
    <w:r w:rsidRPr="00274E46">
      <w:rPr>
        <w:rFonts w:hint="eastAsia"/>
        <w:iCs/>
        <w:color w:val="000000"/>
        <w:sz w:val="20"/>
        <w:szCs w:val="20"/>
      </w:rPr>
      <w:tab/>
    </w:r>
    <w:r w:rsidRPr="00274E46">
      <w:rPr>
        <w:iCs/>
        <w:color w:val="000000"/>
        <w:sz w:val="20"/>
        <w:szCs w:val="20"/>
      </w:rPr>
      <w:t xml:space="preserve">Researcher </w:t>
    </w:r>
    <w:r w:rsidRPr="00274E46">
      <w:rPr>
        <w:iCs/>
        <w:sz w:val="20"/>
        <w:szCs w:val="20"/>
      </w:rPr>
      <w:t>201</w:t>
    </w:r>
    <w:r w:rsidRPr="00274E46">
      <w:rPr>
        <w:rFonts w:hint="eastAsia"/>
        <w:iCs/>
        <w:sz w:val="20"/>
        <w:szCs w:val="20"/>
      </w:rPr>
      <w:t>6</w:t>
    </w:r>
    <w:proofErr w:type="gramStart"/>
    <w:r w:rsidRPr="00274E46">
      <w:rPr>
        <w:iCs/>
        <w:sz w:val="20"/>
        <w:szCs w:val="20"/>
      </w:rPr>
      <w:t>;</w:t>
    </w:r>
    <w:r w:rsidRPr="00274E46">
      <w:rPr>
        <w:rFonts w:hint="eastAsia"/>
        <w:iCs/>
        <w:sz w:val="20"/>
        <w:szCs w:val="20"/>
      </w:rPr>
      <w:t>8</w:t>
    </w:r>
    <w:proofErr w:type="gramEnd"/>
    <w:r w:rsidRPr="00274E46">
      <w:rPr>
        <w:iCs/>
        <w:sz w:val="20"/>
        <w:szCs w:val="20"/>
      </w:rPr>
      <w:t>(</w:t>
    </w:r>
    <w:r w:rsidRPr="00274E46">
      <w:rPr>
        <w:rFonts w:hint="eastAsia"/>
        <w:iCs/>
        <w:sz w:val="20"/>
        <w:szCs w:val="20"/>
      </w:rPr>
      <w:t>4</w:t>
    </w:r>
    <w:r w:rsidRPr="00274E46">
      <w:rPr>
        <w:iCs/>
        <w:sz w:val="20"/>
        <w:szCs w:val="20"/>
      </w:rPr>
      <w:t xml:space="preserve">)  </w:t>
    </w:r>
    <w:r w:rsidRPr="00274E46">
      <w:rPr>
        <w:rFonts w:hint="eastAsia"/>
        <w:iCs/>
        <w:sz w:val="20"/>
        <w:szCs w:val="20"/>
      </w:rPr>
      <w:t xml:space="preserve"> </w:t>
    </w:r>
    <w:r w:rsidRPr="00274E46">
      <w:rPr>
        <w:iCs/>
        <w:sz w:val="20"/>
        <w:szCs w:val="20"/>
      </w:rPr>
      <w:t xml:space="preserve"> </w:t>
    </w:r>
    <w:r w:rsidRPr="00274E46">
      <w:rPr>
        <w:rFonts w:hint="eastAsia"/>
        <w:iCs/>
        <w:sz w:val="20"/>
        <w:szCs w:val="20"/>
      </w:rPr>
      <w:tab/>
    </w:r>
    <w:r w:rsidRPr="00274E46">
      <w:rPr>
        <w:iCs/>
        <w:sz w:val="20"/>
        <w:szCs w:val="20"/>
      </w:rPr>
      <w:t xml:space="preserve">    </w:t>
    </w:r>
    <w:r w:rsidRPr="00274E46">
      <w:rPr>
        <w:sz w:val="20"/>
        <w:szCs w:val="20"/>
      </w:rPr>
      <w:t xml:space="preserve"> </w:t>
    </w:r>
    <w:hyperlink r:id="rId1" w:history="1">
      <w:r w:rsidRPr="00274E46">
        <w:rPr>
          <w:rStyle w:val="Hyperlink"/>
          <w:sz w:val="20"/>
          <w:szCs w:val="20"/>
        </w:rPr>
        <w:t>http://www.sciencepub.net/researcher</w:t>
      </w:r>
    </w:hyperlink>
  </w:p>
  <w:p w:rsidR="00274E46" w:rsidRPr="00274E46" w:rsidRDefault="00274E46" w:rsidP="00274E4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274E46" w:rsidP="00274E46">
    <w:pPr>
      <w:pBdr>
        <w:bottom w:val="thinThickMediumGap" w:sz="12" w:space="1" w:color="auto"/>
      </w:pBdr>
      <w:tabs>
        <w:tab w:val="left" w:pos="851"/>
        <w:tab w:val="right" w:pos="8364"/>
      </w:tabs>
      <w:adjustRightInd w:val="0"/>
      <w:snapToGrid w:val="0"/>
      <w:jc w:val="both"/>
      <w:rPr>
        <w:iCs/>
        <w:sz w:val="20"/>
        <w:szCs w:val="20"/>
      </w:rPr>
    </w:pPr>
    <w:r w:rsidRPr="00274E46">
      <w:rPr>
        <w:rFonts w:hint="eastAsia"/>
        <w:iCs/>
        <w:color w:val="000000"/>
        <w:sz w:val="20"/>
        <w:szCs w:val="20"/>
      </w:rPr>
      <w:tab/>
    </w:r>
    <w:r w:rsidRPr="00274E46">
      <w:rPr>
        <w:iCs/>
        <w:color w:val="000000"/>
        <w:sz w:val="20"/>
        <w:szCs w:val="20"/>
      </w:rPr>
      <w:t xml:space="preserve">Researcher </w:t>
    </w:r>
    <w:r w:rsidRPr="00274E46">
      <w:rPr>
        <w:iCs/>
        <w:sz w:val="20"/>
        <w:szCs w:val="20"/>
      </w:rPr>
      <w:t>201</w:t>
    </w:r>
    <w:r w:rsidRPr="00274E46">
      <w:rPr>
        <w:rFonts w:hint="eastAsia"/>
        <w:iCs/>
        <w:sz w:val="20"/>
        <w:szCs w:val="20"/>
      </w:rPr>
      <w:t>6</w:t>
    </w:r>
    <w:proofErr w:type="gramStart"/>
    <w:r w:rsidRPr="00274E46">
      <w:rPr>
        <w:iCs/>
        <w:sz w:val="20"/>
        <w:szCs w:val="20"/>
      </w:rPr>
      <w:t>;</w:t>
    </w:r>
    <w:r w:rsidRPr="00274E46">
      <w:rPr>
        <w:rFonts w:hint="eastAsia"/>
        <w:iCs/>
        <w:sz w:val="20"/>
        <w:szCs w:val="20"/>
      </w:rPr>
      <w:t>8</w:t>
    </w:r>
    <w:proofErr w:type="gramEnd"/>
    <w:r w:rsidRPr="00274E46">
      <w:rPr>
        <w:iCs/>
        <w:sz w:val="20"/>
        <w:szCs w:val="20"/>
      </w:rPr>
      <w:t>(</w:t>
    </w:r>
    <w:r w:rsidRPr="00274E46">
      <w:rPr>
        <w:rFonts w:hint="eastAsia"/>
        <w:iCs/>
        <w:sz w:val="20"/>
        <w:szCs w:val="20"/>
      </w:rPr>
      <w:t>4</w:t>
    </w:r>
    <w:r w:rsidRPr="00274E46">
      <w:rPr>
        <w:iCs/>
        <w:sz w:val="20"/>
        <w:szCs w:val="20"/>
      </w:rPr>
      <w:t xml:space="preserve">)  </w:t>
    </w:r>
    <w:r w:rsidRPr="00274E46">
      <w:rPr>
        <w:rFonts w:hint="eastAsia"/>
        <w:iCs/>
        <w:sz w:val="20"/>
        <w:szCs w:val="20"/>
      </w:rPr>
      <w:t xml:space="preserve"> </w:t>
    </w:r>
    <w:r w:rsidRPr="00274E46">
      <w:rPr>
        <w:iCs/>
        <w:sz w:val="20"/>
        <w:szCs w:val="20"/>
      </w:rPr>
      <w:t xml:space="preserve"> </w:t>
    </w:r>
    <w:r w:rsidRPr="00274E46">
      <w:rPr>
        <w:rFonts w:hint="eastAsia"/>
        <w:iCs/>
        <w:sz w:val="20"/>
        <w:szCs w:val="20"/>
      </w:rPr>
      <w:tab/>
    </w:r>
    <w:r w:rsidRPr="00274E46">
      <w:rPr>
        <w:iCs/>
        <w:sz w:val="20"/>
        <w:szCs w:val="20"/>
      </w:rPr>
      <w:t xml:space="preserve">    </w:t>
    </w:r>
    <w:r w:rsidRPr="00274E46">
      <w:rPr>
        <w:sz w:val="20"/>
        <w:szCs w:val="20"/>
      </w:rPr>
      <w:t xml:space="preserve"> </w:t>
    </w:r>
    <w:hyperlink r:id="rId1" w:history="1">
      <w:r w:rsidRPr="00274E46">
        <w:rPr>
          <w:rStyle w:val="Hyperlink"/>
          <w:sz w:val="20"/>
          <w:szCs w:val="20"/>
        </w:rPr>
        <w:t>http://www.sciencepub.net/researcher</w:t>
      </w:r>
    </w:hyperlink>
  </w:p>
  <w:p w:rsidR="00274E46" w:rsidRPr="00274E46" w:rsidRDefault="00274E46" w:rsidP="00274E4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274E46" w:rsidP="00274E46">
    <w:pPr>
      <w:pBdr>
        <w:bottom w:val="thinThickMediumGap" w:sz="12" w:space="1" w:color="auto"/>
      </w:pBdr>
      <w:tabs>
        <w:tab w:val="left" w:pos="851"/>
        <w:tab w:val="right" w:pos="8364"/>
      </w:tabs>
      <w:adjustRightInd w:val="0"/>
      <w:snapToGrid w:val="0"/>
      <w:jc w:val="both"/>
      <w:rPr>
        <w:iCs/>
        <w:sz w:val="20"/>
        <w:szCs w:val="20"/>
      </w:rPr>
    </w:pPr>
    <w:r w:rsidRPr="00274E46">
      <w:rPr>
        <w:rFonts w:hint="eastAsia"/>
        <w:iCs/>
        <w:color w:val="000000"/>
        <w:sz w:val="20"/>
        <w:szCs w:val="20"/>
      </w:rPr>
      <w:tab/>
    </w:r>
    <w:r w:rsidRPr="00274E46">
      <w:rPr>
        <w:iCs/>
        <w:color w:val="000000"/>
        <w:sz w:val="20"/>
        <w:szCs w:val="20"/>
      </w:rPr>
      <w:t xml:space="preserve">Researcher </w:t>
    </w:r>
    <w:r w:rsidRPr="00274E46">
      <w:rPr>
        <w:iCs/>
        <w:sz w:val="20"/>
        <w:szCs w:val="20"/>
      </w:rPr>
      <w:t>201</w:t>
    </w:r>
    <w:r w:rsidRPr="00274E46">
      <w:rPr>
        <w:rFonts w:hint="eastAsia"/>
        <w:iCs/>
        <w:sz w:val="20"/>
        <w:szCs w:val="20"/>
      </w:rPr>
      <w:t>6</w:t>
    </w:r>
    <w:proofErr w:type="gramStart"/>
    <w:r w:rsidRPr="00274E46">
      <w:rPr>
        <w:iCs/>
        <w:sz w:val="20"/>
        <w:szCs w:val="20"/>
      </w:rPr>
      <w:t>;</w:t>
    </w:r>
    <w:r w:rsidRPr="00274E46">
      <w:rPr>
        <w:rFonts w:hint="eastAsia"/>
        <w:iCs/>
        <w:sz w:val="20"/>
        <w:szCs w:val="20"/>
      </w:rPr>
      <w:t>8</w:t>
    </w:r>
    <w:proofErr w:type="gramEnd"/>
    <w:r w:rsidRPr="00274E46">
      <w:rPr>
        <w:iCs/>
        <w:sz w:val="20"/>
        <w:szCs w:val="20"/>
      </w:rPr>
      <w:t>(</w:t>
    </w:r>
    <w:r w:rsidRPr="00274E46">
      <w:rPr>
        <w:rFonts w:hint="eastAsia"/>
        <w:iCs/>
        <w:sz w:val="20"/>
        <w:szCs w:val="20"/>
      </w:rPr>
      <w:t>4</w:t>
    </w:r>
    <w:r w:rsidRPr="00274E46">
      <w:rPr>
        <w:iCs/>
        <w:sz w:val="20"/>
        <w:szCs w:val="20"/>
      </w:rPr>
      <w:t xml:space="preserve">)  </w:t>
    </w:r>
    <w:r w:rsidRPr="00274E46">
      <w:rPr>
        <w:rFonts w:hint="eastAsia"/>
        <w:iCs/>
        <w:sz w:val="20"/>
        <w:szCs w:val="20"/>
      </w:rPr>
      <w:t xml:space="preserve"> </w:t>
    </w:r>
    <w:r w:rsidRPr="00274E46">
      <w:rPr>
        <w:iCs/>
        <w:sz w:val="20"/>
        <w:szCs w:val="20"/>
      </w:rPr>
      <w:t xml:space="preserve"> </w:t>
    </w:r>
    <w:r w:rsidRPr="00274E46">
      <w:rPr>
        <w:rFonts w:hint="eastAsia"/>
        <w:iCs/>
        <w:sz w:val="20"/>
        <w:szCs w:val="20"/>
      </w:rPr>
      <w:tab/>
    </w:r>
    <w:r w:rsidRPr="00274E46">
      <w:rPr>
        <w:iCs/>
        <w:sz w:val="20"/>
        <w:szCs w:val="20"/>
      </w:rPr>
      <w:t xml:space="preserve">    </w:t>
    </w:r>
    <w:r w:rsidRPr="00274E46">
      <w:rPr>
        <w:sz w:val="20"/>
        <w:szCs w:val="20"/>
      </w:rPr>
      <w:t xml:space="preserve"> </w:t>
    </w:r>
    <w:hyperlink r:id="rId1" w:history="1">
      <w:r w:rsidRPr="00274E46">
        <w:rPr>
          <w:rStyle w:val="Hyperlink"/>
          <w:sz w:val="20"/>
          <w:szCs w:val="20"/>
        </w:rPr>
        <w:t>http://www.sciencepub.net/researcher</w:t>
      </w:r>
    </w:hyperlink>
  </w:p>
  <w:p w:rsidR="00274E46" w:rsidRPr="00274E46" w:rsidRDefault="00274E46" w:rsidP="00274E46">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274E46" w:rsidP="00274E46">
    <w:pPr>
      <w:pBdr>
        <w:bottom w:val="thinThickMediumGap" w:sz="12" w:space="1" w:color="auto"/>
      </w:pBdr>
      <w:tabs>
        <w:tab w:val="left" w:pos="851"/>
        <w:tab w:val="right" w:pos="8364"/>
      </w:tabs>
      <w:adjustRightInd w:val="0"/>
      <w:snapToGrid w:val="0"/>
      <w:jc w:val="both"/>
      <w:rPr>
        <w:iCs/>
        <w:sz w:val="20"/>
        <w:szCs w:val="20"/>
      </w:rPr>
    </w:pPr>
    <w:r w:rsidRPr="00274E46">
      <w:rPr>
        <w:rFonts w:hint="eastAsia"/>
        <w:iCs/>
        <w:color w:val="000000"/>
        <w:sz w:val="20"/>
        <w:szCs w:val="20"/>
      </w:rPr>
      <w:tab/>
    </w:r>
    <w:r w:rsidRPr="00274E46">
      <w:rPr>
        <w:iCs/>
        <w:color w:val="000000"/>
        <w:sz w:val="20"/>
        <w:szCs w:val="20"/>
      </w:rPr>
      <w:t xml:space="preserve">Researcher </w:t>
    </w:r>
    <w:r w:rsidRPr="00274E46">
      <w:rPr>
        <w:iCs/>
        <w:sz w:val="20"/>
        <w:szCs w:val="20"/>
      </w:rPr>
      <w:t>201</w:t>
    </w:r>
    <w:r w:rsidRPr="00274E46">
      <w:rPr>
        <w:rFonts w:hint="eastAsia"/>
        <w:iCs/>
        <w:sz w:val="20"/>
        <w:szCs w:val="20"/>
      </w:rPr>
      <w:t>6</w:t>
    </w:r>
    <w:proofErr w:type="gramStart"/>
    <w:r w:rsidRPr="00274E46">
      <w:rPr>
        <w:iCs/>
        <w:sz w:val="20"/>
        <w:szCs w:val="20"/>
      </w:rPr>
      <w:t>;</w:t>
    </w:r>
    <w:r w:rsidRPr="00274E46">
      <w:rPr>
        <w:rFonts w:hint="eastAsia"/>
        <w:iCs/>
        <w:sz w:val="20"/>
        <w:szCs w:val="20"/>
      </w:rPr>
      <w:t>8</w:t>
    </w:r>
    <w:proofErr w:type="gramEnd"/>
    <w:r w:rsidRPr="00274E46">
      <w:rPr>
        <w:iCs/>
        <w:sz w:val="20"/>
        <w:szCs w:val="20"/>
      </w:rPr>
      <w:t>(</w:t>
    </w:r>
    <w:r w:rsidRPr="00274E46">
      <w:rPr>
        <w:rFonts w:hint="eastAsia"/>
        <w:iCs/>
        <w:sz w:val="20"/>
        <w:szCs w:val="20"/>
      </w:rPr>
      <w:t>4</w:t>
    </w:r>
    <w:r w:rsidRPr="00274E46">
      <w:rPr>
        <w:iCs/>
        <w:sz w:val="20"/>
        <w:szCs w:val="20"/>
      </w:rPr>
      <w:t xml:space="preserve">)  </w:t>
    </w:r>
    <w:r w:rsidRPr="00274E46">
      <w:rPr>
        <w:rFonts w:hint="eastAsia"/>
        <w:iCs/>
        <w:sz w:val="20"/>
        <w:szCs w:val="20"/>
      </w:rPr>
      <w:t xml:space="preserve"> </w:t>
    </w:r>
    <w:r w:rsidRPr="00274E46">
      <w:rPr>
        <w:iCs/>
        <w:sz w:val="20"/>
        <w:szCs w:val="20"/>
      </w:rPr>
      <w:t xml:space="preserve"> </w:t>
    </w:r>
    <w:r w:rsidRPr="00274E46">
      <w:rPr>
        <w:rFonts w:hint="eastAsia"/>
        <w:iCs/>
        <w:sz w:val="20"/>
        <w:szCs w:val="20"/>
      </w:rPr>
      <w:tab/>
    </w:r>
    <w:r w:rsidRPr="00274E46">
      <w:rPr>
        <w:iCs/>
        <w:sz w:val="20"/>
        <w:szCs w:val="20"/>
      </w:rPr>
      <w:t xml:space="preserve">    </w:t>
    </w:r>
    <w:r w:rsidRPr="00274E46">
      <w:rPr>
        <w:sz w:val="20"/>
        <w:szCs w:val="20"/>
      </w:rPr>
      <w:t xml:space="preserve"> </w:t>
    </w:r>
    <w:hyperlink r:id="rId1" w:history="1">
      <w:r w:rsidRPr="00274E46">
        <w:rPr>
          <w:rStyle w:val="Hyperlink"/>
          <w:sz w:val="20"/>
          <w:szCs w:val="20"/>
        </w:rPr>
        <w:t>http://www.sciencepub.net/researcher</w:t>
      </w:r>
    </w:hyperlink>
  </w:p>
  <w:p w:rsidR="00274E46" w:rsidRPr="00274E46" w:rsidRDefault="00274E46" w:rsidP="00274E4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46" w:rsidRPr="00274E46" w:rsidRDefault="00274E46" w:rsidP="00274E46">
    <w:pPr>
      <w:pBdr>
        <w:bottom w:val="thinThickMediumGap" w:sz="12" w:space="1" w:color="auto"/>
      </w:pBdr>
      <w:tabs>
        <w:tab w:val="left" w:pos="851"/>
        <w:tab w:val="right" w:pos="8364"/>
      </w:tabs>
      <w:adjustRightInd w:val="0"/>
      <w:snapToGrid w:val="0"/>
      <w:jc w:val="both"/>
      <w:rPr>
        <w:iCs/>
        <w:sz w:val="20"/>
        <w:szCs w:val="20"/>
      </w:rPr>
    </w:pPr>
    <w:r w:rsidRPr="00274E46">
      <w:rPr>
        <w:rFonts w:hint="eastAsia"/>
        <w:iCs/>
        <w:color w:val="000000"/>
        <w:sz w:val="20"/>
        <w:szCs w:val="20"/>
      </w:rPr>
      <w:tab/>
    </w:r>
    <w:r w:rsidRPr="00274E46">
      <w:rPr>
        <w:iCs/>
        <w:color w:val="000000"/>
        <w:sz w:val="20"/>
        <w:szCs w:val="20"/>
      </w:rPr>
      <w:t xml:space="preserve">Researcher </w:t>
    </w:r>
    <w:r w:rsidRPr="00274E46">
      <w:rPr>
        <w:iCs/>
        <w:sz w:val="20"/>
        <w:szCs w:val="20"/>
      </w:rPr>
      <w:t>201</w:t>
    </w:r>
    <w:r w:rsidRPr="00274E46">
      <w:rPr>
        <w:rFonts w:hint="eastAsia"/>
        <w:iCs/>
        <w:sz w:val="20"/>
        <w:szCs w:val="20"/>
      </w:rPr>
      <w:t>6</w:t>
    </w:r>
    <w:proofErr w:type="gramStart"/>
    <w:r w:rsidRPr="00274E46">
      <w:rPr>
        <w:iCs/>
        <w:sz w:val="20"/>
        <w:szCs w:val="20"/>
      </w:rPr>
      <w:t>;</w:t>
    </w:r>
    <w:r w:rsidRPr="00274E46">
      <w:rPr>
        <w:rFonts w:hint="eastAsia"/>
        <w:iCs/>
        <w:sz w:val="20"/>
        <w:szCs w:val="20"/>
      </w:rPr>
      <w:t>8</w:t>
    </w:r>
    <w:proofErr w:type="gramEnd"/>
    <w:r w:rsidRPr="00274E46">
      <w:rPr>
        <w:iCs/>
        <w:sz w:val="20"/>
        <w:szCs w:val="20"/>
      </w:rPr>
      <w:t>(</w:t>
    </w:r>
    <w:r w:rsidRPr="00274E46">
      <w:rPr>
        <w:rFonts w:hint="eastAsia"/>
        <w:iCs/>
        <w:sz w:val="20"/>
        <w:szCs w:val="20"/>
      </w:rPr>
      <w:t>4</w:t>
    </w:r>
    <w:r w:rsidRPr="00274E46">
      <w:rPr>
        <w:iCs/>
        <w:sz w:val="20"/>
        <w:szCs w:val="20"/>
      </w:rPr>
      <w:t xml:space="preserve">)  </w:t>
    </w:r>
    <w:r w:rsidRPr="00274E46">
      <w:rPr>
        <w:rFonts w:hint="eastAsia"/>
        <w:iCs/>
        <w:sz w:val="20"/>
        <w:szCs w:val="20"/>
      </w:rPr>
      <w:t xml:space="preserve"> </w:t>
    </w:r>
    <w:r w:rsidRPr="00274E46">
      <w:rPr>
        <w:iCs/>
        <w:sz w:val="20"/>
        <w:szCs w:val="20"/>
      </w:rPr>
      <w:t xml:space="preserve"> </w:t>
    </w:r>
    <w:r w:rsidRPr="00274E46">
      <w:rPr>
        <w:rFonts w:hint="eastAsia"/>
        <w:iCs/>
        <w:sz w:val="20"/>
        <w:szCs w:val="20"/>
      </w:rPr>
      <w:tab/>
    </w:r>
    <w:r w:rsidRPr="00274E46">
      <w:rPr>
        <w:iCs/>
        <w:sz w:val="20"/>
        <w:szCs w:val="20"/>
      </w:rPr>
      <w:t xml:space="preserve">    </w:t>
    </w:r>
    <w:r w:rsidRPr="00274E46">
      <w:rPr>
        <w:sz w:val="20"/>
        <w:szCs w:val="20"/>
      </w:rPr>
      <w:t xml:space="preserve"> </w:t>
    </w:r>
    <w:hyperlink r:id="rId1" w:history="1">
      <w:r w:rsidRPr="00274E46">
        <w:rPr>
          <w:rStyle w:val="Hyperlink"/>
          <w:sz w:val="20"/>
          <w:szCs w:val="20"/>
        </w:rPr>
        <w:t>http://www.sciencepub.net/researcher</w:t>
      </w:r>
    </w:hyperlink>
  </w:p>
  <w:p w:rsidR="00274E46" w:rsidRPr="00274E46" w:rsidRDefault="00274E46" w:rsidP="00274E4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4BA7AAA"/>
    <w:multiLevelType w:val="hybridMultilevel"/>
    <w:tmpl w:val="41DE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6866"/>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0458"/>
    <w:rsid w:val="0006091F"/>
    <w:rsid w:val="00062F96"/>
    <w:rsid w:val="00075A53"/>
    <w:rsid w:val="00080CE9"/>
    <w:rsid w:val="000827B7"/>
    <w:rsid w:val="000844D7"/>
    <w:rsid w:val="00086790"/>
    <w:rsid w:val="00090A06"/>
    <w:rsid w:val="000A0250"/>
    <w:rsid w:val="000B46C6"/>
    <w:rsid w:val="000B5E21"/>
    <w:rsid w:val="000B6B81"/>
    <w:rsid w:val="0012013E"/>
    <w:rsid w:val="001817C7"/>
    <w:rsid w:val="00183764"/>
    <w:rsid w:val="001964D0"/>
    <w:rsid w:val="001B41B8"/>
    <w:rsid w:val="001B650D"/>
    <w:rsid w:val="001C1272"/>
    <w:rsid w:val="001C3D42"/>
    <w:rsid w:val="001E064F"/>
    <w:rsid w:val="00204CA9"/>
    <w:rsid w:val="00205E97"/>
    <w:rsid w:val="002130BC"/>
    <w:rsid w:val="00245C21"/>
    <w:rsid w:val="002721F1"/>
    <w:rsid w:val="00274E46"/>
    <w:rsid w:val="0028131F"/>
    <w:rsid w:val="00282FA1"/>
    <w:rsid w:val="002B5613"/>
    <w:rsid w:val="002D3558"/>
    <w:rsid w:val="002D4AC2"/>
    <w:rsid w:val="002D589A"/>
    <w:rsid w:val="002E0700"/>
    <w:rsid w:val="002F20CD"/>
    <w:rsid w:val="002F49EF"/>
    <w:rsid w:val="00314F95"/>
    <w:rsid w:val="003169A5"/>
    <w:rsid w:val="00322FAB"/>
    <w:rsid w:val="00345581"/>
    <w:rsid w:val="0034702D"/>
    <w:rsid w:val="003679A0"/>
    <w:rsid w:val="003856EC"/>
    <w:rsid w:val="00394B65"/>
    <w:rsid w:val="003A2CEA"/>
    <w:rsid w:val="003A785E"/>
    <w:rsid w:val="003B55FF"/>
    <w:rsid w:val="003B651F"/>
    <w:rsid w:val="003C0116"/>
    <w:rsid w:val="003C4C28"/>
    <w:rsid w:val="003E7FC6"/>
    <w:rsid w:val="004015FE"/>
    <w:rsid w:val="004055B8"/>
    <w:rsid w:val="004241F3"/>
    <w:rsid w:val="0043645D"/>
    <w:rsid w:val="00454A59"/>
    <w:rsid w:val="00456753"/>
    <w:rsid w:val="00471E57"/>
    <w:rsid w:val="00480715"/>
    <w:rsid w:val="0049143E"/>
    <w:rsid w:val="004918F4"/>
    <w:rsid w:val="004C7E2A"/>
    <w:rsid w:val="004D01D3"/>
    <w:rsid w:val="004D0467"/>
    <w:rsid w:val="004E6CED"/>
    <w:rsid w:val="004E795C"/>
    <w:rsid w:val="004F4AFB"/>
    <w:rsid w:val="00520D1A"/>
    <w:rsid w:val="0052512B"/>
    <w:rsid w:val="00532912"/>
    <w:rsid w:val="00553F9B"/>
    <w:rsid w:val="005856E2"/>
    <w:rsid w:val="00593132"/>
    <w:rsid w:val="005A21B0"/>
    <w:rsid w:val="005A2BDE"/>
    <w:rsid w:val="005A5E42"/>
    <w:rsid w:val="005C2F35"/>
    <w:rsid w:val="005D1DA6"/>
    <w:rsid w:val="005F11C2"/>
    <w:rsid w:val="005F5E04"/>
    <w:rsid w:val="0060612C"/>
    <w:rsid w:val="0065209A"/>
    <w:rsid w:val="00655209"/>
    <w:rsid w:val="00657995"/>
    <w:rsid w:val="00675C6E"/>
    <w:rsid w:val="006B5399"/>
    <w:rsid w:val="006C5D0B"/>
    <w:rsid w:val="006D5C2E"/>
    <w:rsid w:val="006E6ACB"/>
    <w:rsid w:val="006E7156"/>
    <w:rsid w:val="006F1706"/>
    <w:rsid w:val="00705D3C"/>
    <w:rsid w:val="00744442"/>
    <w:rsid w:val="007549F2"/>
    <w:rsid w:val="007725E7"/>
    <w:rsid w:val="0078507E"/>
    <w:rsid w:val="007B01CC"/>
    <w:rsid w:val="007D3D09"/>
    <w:rsid w:val="007D746F"/>
    <w:rsid w:val="007F763B"/>
    <w:rsid w:val="008049D6"/>
    <w:rsid w:val="00810EDC"/>
    <w:rsid w:val="008131CF"/>
    <w:rsid w:val="00814FA7"/>
    <w:rsid w:val="008233D0"/>
    <w:rsid w:val="0085007D"/>
    <w:rsid w:val="008545FE"/>
    <w:rsid w:val="0086534B"/>
    <w:rsid w:val="00875C08"/>
    <w:rsid w:val="00891497"/>
    <w:rsid w:val="008A20AC"/>
    <w:rsid w:val="008A67B6"/>
    <w:rsid w:val="008B6CAF"/>
    <w:rsid w:val="008E2E68"/>
    <w:rsid w:val="0091208A"/>
    <w:rsid w:val="00914558"/>
    <w:rsid w:val="0093101A"/>
    <w:rsid w:val="00935CF7"/>
    <w:rsid w:val="0094140D"/>
    <w:rsid w:val="009459B3"/>
    <w:rsid w:val="009524A5"/>
    <w:rsid w:val="00952EB8"/>
    <w:rsid w:val="00956504"/>
    <w:rsid w:val="00997A8E"/>
    <w:rsid w:val="009A3681"/>
    <w:rsid w:val="00A13C49"/>
    <w:rsid w:val="00A1557F"/>
    <w:rsid w:val="00A3476D"/>
    <w:rsid w:val="00A558D8"/>
    <w:rsid w:val="00A67749"/>
    <w:rsid w:val="00AE24A6"/>
    <w:rsid w:val="00B26A0E"/>
    <w:rsid w:val="00B3167C"/>
    <w:rsid w:val="00B36B45"/>
    <w:rsid w:val="00B47820"/>
    <w:rsid w:val="00B519BD"/>
    <w:rsid w:val="00B57A04"/>
    <w:rsid w:val="00B60E8D"/>
    <w:rsid w:val="00B80C0E"/>
    <w:rsid w:val="00B918AE"/>
    <w:rsid w:val="00B94E19"/>
    <w:rsid w:val="00BA24E5"/>
    <w:rsid w:val="00BD2A8D"/>
    <w:rsid w:val="00BF6579"/>
    <w:rsid w:val="00C023F6"/>
    <w:rsid w:val="00C0761F"/>
    <w:rsid w:val="00C101C9"/>
    <w:rsid w:val="00C20014"/>
    <w:rsid w:val="00C41133"/>
    <w:rsid w:val="00C44596"/>
    <w:rsid w:val="00C46583"/>
    <w:rsid w:val="00C60D61"/>
    <w:rsid w:val="00C92003"/>
    <w:rsid w:val="00CB074D"/>
    <w:rsid w:val="00CC4387"/>
    <w:rsid w:val="00CE7B2F"/>
    <w:rsid w:val="00CF24FB"/>
    <w:rsid w:val="00CF6616"/>
    <w:rsid w:val="00D0140D"/>
    <w:rsid w:val="00D04C27"/>
    <w:rsid w:val="00D13147"/>
    <w:rsid w:val="00D16700"/>
    <w:rsid w:val="00D26F2E"/>
    <w:rsid w:val="00D3777A"/>
    <w:rsid w:val="00D56002"/>
    <w:rsid w:val="00D75AD5"/>
    <w:rsid w:val="00D778C9"/>
    <w:rsid w:val="00DC7125"/>
    <w:rsid w:val="00DC7B2C"/>
    <w:rsid w:val="00DD112C"/>
    <w:rsid w:val="00DE4428"/>
    <w:rsid w:val="00DF6507"/>
    <w:rsid w:val="00DF7353"/>
    <w:rsid w:val="00E015B9"/>
    <w:rsid w:val="00E02E8C"/>
    <w:rsid w:val="00E03B17"/>
    <w:rsid w:val="00E34501"/>
    <w:rsid w:val="00E34DBD"/>
    <w:rsid w:val="00E52EA0"/>
    <w:rsid w:val="00E57761"/>
    <w:rsid w:val="00E617EB"/>
    <w:rsid w:val="00E73E1D"/>
    <w:rsid w:val="00E75ED9"/>
    <w:rsid w:val="00EA34A7"/>
    <w:rsid w:val="00EB51F4"/>
    <w:rsid w:val="00EC565A"/>
    <w:rsid w:val="00EC5C53"/>
    <w:rsid w:val="00ED4441"/>
    <w:rsid w:val="00ED4A29"/>
    <w:rsid w:val="00ED4ED9"/>
    <w:rsid w:val="00EE1CEE"/>
    <w:rsid w:val="00EE1F4B"/>
    <w:rsid w:val="00EF55BA"/>
    <w:rsid w:val="00F03305"/>
    <w:rsid w:val="00F038EB"/>
    <w:rsid w:val="00F2228B"/>
    <w:rsid w:val="00F4324C"/>
    <w:rsid w:val="00F62573"/>
    <w:rsid w:val="00F657E1"/>
    <w:rsid w:val="00F83A62"/>
    <w:rsid w:val="00FA684D"/>
    <w:rsid w:val="00FA6D77"/>
    <w:rsid w:val="00FB5B6A"/>
    <w:rsid w:val="00FC4906"/>
    <w:rsid w:val="00FC6439"/>
    <w:rsid w:val="00FC776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E6CED"/>
    <w:pPr>
      <w:keepNext/>
      <w:numPr>
        <w:numId w:val="1"/>
      </w:numPr>
      <w:outlineLvl w:val="0"/>
    </w:pPr>
    <w:rPr>
      <w:b/>
      <w:bCs/>
      <w:sz w:val="32"/>
    </w:rPr>
  </w:style>
  <w:style w:type="paragraph" w:styleId="Heading2">
    <w:name w:val="heading 2"/>
    <w:basedOn w:val="Normal"/>
    <w:next w:val="Normal"/>
    <w:qFormat/>
    <w:rsid w:val="004E6CED"/>
    <w:pPr>
      <w:keepNext/>
      <w:numPr>
        <w:ilvl w:val="1"/>
        <w:numId w:val="1"/>
      </w:numPr>
      <w:jc w:val="both"/>
      <w:outlineLvl w:val="1"/>
    </w:pPr>
    <w:rPr>
      <w:b/>
      <w:sz w:val="28"/>
    </w:rPr>
  </w:style>
  <w:style w:type="paragraph" w:styleId="Heading3">
    <w:name w:val="heading 3"/>
    <w:basedOn w:val="Normal"/>
    <w:next w:val="Normal"/>
    <w:qFormat/>
    <w:rsid w:val="004E6CED"/>
    <w:pPr>
      <w:keepNext/>
      <w:numPr>
        <w:ilvl w:val="2"/>
        <w:numId w:val="1"/>
      </w:numPr>
      <w:spacing w:line="360" w:lineRule="auto"/>
      <w:jc w:val="both"/>
      <w:outlineLvl w:val="2"/>
    </w:pPr>
    <w:rPr>
      <w:b/>
      <w:bCs/>
    </w:rPr>
  </w:style>
  <w:style w:type="paragraph" w:styleId="Heading6">
    <w:name w:val="heading 6"/>
    <w:basedOn w:val="Normal"/>
    <w:next w:val="Normal"/>
    <w:qFormat/>
    <w:rsid w:val="004E6CE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E6CED"/>
  </w:style>
  <w:style w:type="character" w:customStyle="1" w:styleId="WW-Absatz-Standardschriftart">
    <w:name w:val="WW-Absatz-Standardschriftart"/>
    <w:rsid w:val="004E6CED"/>
  </w:style>
  <w:style w:type="character" w:customStyle="1" w:styleId="WW-Absatz-Standardschriftart1">
    <w:name w:val="WW-Absatz-Standardschriftart1"/>
    <w:rsid w:val="004E6CED"/>
  </w:style>
  <w:style w:type="character" w:customStyle="1" w:styleId="WW-Absatz-Standardschriftart11">
    <w:name w:val="WW-Absatz-Standardschriftart11"/>
    <w:rsid w:val="004E6CED"/>
  </w:style>
  <w:style w:type="character" w:customStyle="1" w:styleId="WW-Absatz-Standardschriftart111">
    <w:name w:val="WW-Absatz-Standardschriftart111"/>
    <w:rsid w:val="004E6CED"/>
  </w:style>
  <w:style w:type="character" w:customStyle="1" w:styleId="WW-Absatz-Standardschriftart1111">
    <w:name w:val="WW-Absatz-Standardschriftart1111"/>
    <w:rsid w:val="004E6CED"/>
  </w:style>
  <w:style w:type="character" w:customStyle="1" w:styleId="WW-Absatz-Standardschriftart11111">
    <w:name w:val="WW-Absatz-Standardschriftart11111"/>
    <w:rsid w:val="004E6CED"/>
  </w:style>
  <w:style w:type="character" w:customStyle="1" w:styleId="WW-Absatz-Standardschriftart111111">
    <w:name w:val="WW-Absatz-Standardschriftart111111"/>
    <w:rsid w:val="004E6CED"/>
  </w:style>
  <w:style w:type="character" w:customStyle="1" w:styleId="WW-Absatz-Standardschriftart1111111">
    <w:name w:val="WW-Absatz-Standardschriftart1111111"/>
    <w:rsid w:val="004E6CED"/>
  </w:style>
  <w:style w:type="character" w:customStyle="1" w:styleId="WW-Absatz-Standardschriftart11111111">
    <w:name w:val="WW-Absatz-Standardschriftart11111111"/>
    <w:rsid w:val="004E6CED"/>
  </w:style>
  <w:style w:type="character" w:customStyle="1" w:styleId="WW-Absatz-Standardschriftart111111111">
    <w:name w:val="WW-Absatz-Standardschriftart111111111"/>
    <w:rsid w:val="004E6CED"/>
  </w:style>
  <w:style w:type="character" w:customStyle="1" w:styleId="WW-Absatz-Standardschriftart1111111111">
    <w:name w:val="WW-Absatz-Standardschriftart1111111111"/>
    <w:rsid w:val="004E6CED"/>
  </w:style>
  <w:style w:type="character" w:customStyle="1" w:styleId="WW-Absatz-Standardschriftart11111111111">
    <w:name w:val="WW-Absatz-Standardschriftart11111111111"/>
    <w:rsid w:val="004E6CED"/>
  </w:style>
  <w:style w:type="character" w:customStyle="1" w:styleId="WW-Absatz-Standardschriftart111111111111">
    <w:name w:val="WW-Absatz-Standardschriftart111111111111"/>
    <w:rsid w:val="004E6CED"/>
  </w:style>
  <w:style w:type="character" w:customStyle="1" w:styleId="WW-Absatz-Standardschriftart1111111111111">
    <w:name w:val="WW-Absatz-Standardschriftart1111111111111"/>
    <w:rsid w:val="004E6CED"/>
  </w:style>
  <w:style w:type="character" w:customStyle="1" w:styleId="WW-Absatz-Standardschriftart11111111111111">
    <w:name w:val="WW-Absatz-Standardschriftart11111111111111"/>
    <w:rsid w:val="004E6CED"/>
  </w:style>
  <w:style w:type="character" w:customStyle="1" w:styleId="WW-Absatz-Standardschriftart111111111111111">
    <w:name w:val="WW-Absatz-Standardschriftart111111111111111"/>
    <w:rsid w:val="004E6CED"/>
  </w:style>
  <w:style w:type="character" w:customStyle="1" w:styleId="WW-Absatz-Standardschriftart1111111111111111">
    <w:name w:val="WW-Absatz-Standardschriftart1111111111111111"/>
    <w:rsid w:val="004E6CED"/>
  </w:style>
  <w:style w:type="character" w:customStyle="1" w:styleId="WW8Num1z0">
    <w:name w:val="WW8Num1z0"/>
    <w:rsid w:val="004E6CED"/>
    <w:rPr>
      <w:rFonts w:ascii="Symbol" w:eastAsia="Times New Roman" w:hAnsi="Symbol" w:cs="Times New Roman"/>
    </w:rPr>
  </w:style>
  <w:style w:type="character" w:customStyle="1" w:styleId="WW8Num1z1">
    <w:name w:val="WW8Num1z1"/>
    <w:rsid w:val="004E6CED"/>
    <w:rPr>
      <w:rFonts w:ascii="Courier New" w:hAnsi="Courier New" w:cs="Courier New"/>
    </w:rPr>
  </w:style>
  <w:style w:type="character" w:customStyle="1" w:styleId="WW8Num1z2">
    <w:name w:val="WW8Num1z2"/>
    <w:rsid w:val="004E6CED"/>
    <w:rPr>
      <w:rFonts w:ascii="Wingdings" w:hAnsi="Wingdings"/>
    </w:rPr>
  </w:style>
  <w:style w:type="character" w:customStyle="1" w:styleId="WW8Num1z3">
    <w:name w:val="WW8Num1z3"/>
    <w:rsid w:val="004E6CED"/>
    <w:rPr>
      <w:rFonts w:ascii="Symbol" w:hAnsi="Symbol"/>
    </w:rPr>
  </w:style>
  <w:style w:type="character" w:styleId="PageNumber">
    <w:name w:val="page number"/>
    <w:basedOn w:val="DefaultParagraphFont"/>
    <w:rsid w:val="004E6CED"/>
  </w:style>
  <w:style w:type="character" w:styleId="Hyperlink">
    <w:name w:val="Hyperlink"/>
    <w:basedOn w:val="DefaultParagraphFont"/>
    <w:rsid w:val="004E6CED"/>
    <w:rPr>
      <w:color w:val="0000FF"/>
      <w:u w:val="single"/>
    </w:rPr>
  </w:style>
  <w:style w:type="character" w:styleId="FollowedHyperlink">
    <w:name w:val="FollowedHyperlink"/>
    <w:basedOn w:val="DefaultParagraphFont"/>
    <w:rsid w:val="004E6CED"/>
    <w:rPr>
      <w:color w:val="800080"/>
      <w:u w:val="single"/>
    </w:rPr>
  </w:style>
  <w:style w:type="character" w:customStyle="1" w:styleId="NumberingSymbols">
    <w:name w:val="Numbering Symbols"/>
    <w:rsid w:val="004E6CED"/>
  </w:style>
  <w:style w:type="paragraph" w:customStyle="1" w:styleId="Heading">
    <w:name w:val="Heading"/>
    <w:basedOn w:val="Normal"/>
    <w:next w:val="BodyText"/>
    <w:rsid w:val="004E6CED"/>
    <w:pPr>
      <w:keepNext/>
      <w:spacing w:before="240" w:after="120"/>
    </w:pPr>
    <w:rPr>
      <w:rFonts w:ascii="Nimbus Sans L" w:eastAsia="DejaVu Sans" w:hAnsi="Nimbus Sans L" w:cs="DejaVu Sans"/>
      <w:sz w:val="28"/>
      <w:szCs w:val="28"/>
    </w:rPr>
  </w:style>
  <w:style w:type="paragraph" w:styleId="BodyText">
    <w:name w:val="Body Text"/>
    <w:basedOn w:val="Normal"/>
    <w:rsid w:val="004E6CED"/>
    <w:pPr>
      <w:spacing w:line="360" w:lineRule="auto"/>
    </w:pPr>
  </w:style>
  <w:style w:type="paragraph" w:styleId="List">
    <w:name w:val="List"/>
    <w:basedOn w:val="BodyText"/>
    <w:rsid w:val="004E6CED"/>
  </w:style>
  <w:style w:type="paragraph" w:styleId="Caption">
    <w:name w:val="caption"/>
    <w:basedOn w:val="Normal"/>
    <w:qFormat/>
    <w:rsid w:val="004E6CED"/>
    <w:pPr>
      <w:suppressLineNumbers/>
      <w:spacing w:before="120" w:after="120"/>
    </w:pPr>
    <w:rPr>
      <w:i/>
      <w:iCs/>
    </w:rPr>
  </w:style>
  <w:style w:type="paragraph" w:customStyle="1" w:styleId="Index">
    <w:name w:val="Index"/>
    <w:basedOn w:val="Normal"/>
    <w:rsid w:val="004E6CED"/>
    <w:pPr>
      <w:suppressLineNumbers/>
    </w:pPr>
  </w:style>
  <w:style w:type="paragraph" w:styleId="Header">
    <w:name w:val="header"/>
    <w:basedOn w:val="Normal"/>
    <w:next w:val="Heading1"/>
    <w:link w:val="HeaderChar"/>
    <w:rsid w:val="004E6CED"/>
    <w:pPr>
      <w:tabs>
        <w:tab w:val="center" w:pos="4320"/>
        <w:tab w:val="right" w:pos="8640"/>
      </w:tabs>
    </w:pPr>
  </w:style>
  <w:style w:type="paragraph" w:styleId="BodyTextIndent3">
    <w:name w:val="Body Text Indent 3"/>
    <w:basedOn w:val="Normal"/>
    <w:rsid w:val="004E6CED"/>
    <w:pPr>
      <w:spacing w:line="360" w:lineRule="auto"/>
      <w:ind w:firstLine="720"/>
      <w:jc w:val="both"/>
    </w:pPr>
    <w:rPr>
      <w:b/>
      <w:bCs/>
    </w:rPr>
  </w:style>
  <w:style w:type="paragraph" w:styleId="BodyTextIndent">
    <w:name w:val="Body Text Indent"/>
    <w:basedOn w:val="Normal"/>
    <w:rsid w:val="004E6CED"/>
    <w:pPr>
      <w:ind w:left="540" w:hanging="720"/>
      <w:jc w:val="both"/>
    </w:pPr>
  </w:style>
  <w:style w:type="paragraph" w:styleId="BodyTextIndent2">
    <w:name w:val="Body Text Indent 2"/>
    <w:basedOn w:val="Normal"/>
    <w:rsid w:val="004E6CED"/>
    <w:pPr>
      <w:spacing w:line="360" w:lineRule="auto"/>
      <w:ind w:firstLine="720"/>
      <w:jc w:val="both"/>
    </w:pPr>
  </w:style>
  <w:style w:type="paragraph" w:styleId="BodyText2">
    <w:name w:val="Body Text 2"/>
    <w:basedOn w:val="Normal"/>
    <w:rsid w:val="004E6CED"/>
    <w:pPr>
      <w:spacing w:line="360" w:lineRule="auto"/>
      <w:jc w:val="both"/>
    </w:pPr>
  </w:style>
  <w:style w:type="paragraph" w:styleId="Footer">
    <w:name w:val="footer"/>
    <w:basedOn w:val="Normal"/>
    <w:rsid w:val="004E6CED"/>
    <w:pPr>
      <w:tabs>
        <w:tab w:val="center" w:pos="4320"/>
        <w:tab w:val="right" w:pos="8640"/>
      </w:tabs>
    </w:pPr>
    <w:rPr>
      <w:sz w:val="32"/>
    </w:rPr>
  </w:style>
  <w:style w:type="paragraph" w:customStyle="1" w:styleId="TableContents">
    <w:name w:val="Table Contents"/>
    <w:basedOn w:val="Normal"/>
    <w:rsid w:val="004E6CED"/>
    <w:pPr>
      <w:suppressLineNumbers/>
    </w:pPr>
  </w:style>
  <w:style w:type="paragraph" w:customStyle="1" w:styleId="TableHeading">
    <w:name w:val="Table Heading"/>
    <w:basedOn w:val="TableContents"/>
    <w:rsid w:val="004E6CED"/>
    <w:pPr>
      <w:jc w:val="center"/>
    </w:pPr>
    <w:rPr>
      <w:b/>
      <w:bCs/>
    </w:rPr>
  </w:style>
  <w:style w:type="paragraph" w:customStyle="1" w:styleId="Framecontents">
    <w:name w:val="Frame contents"/>
    <w:basedOn w:val="BodyText"/>
    <w:rsid w:val="004E6CED"/>
  </w:style>
  <w:style w:type="paragraph" w:customStyle="1" w:styleId="Text">
    <w:name w:val="Text"/>
    <w:basedOn w:val="Normal"/>
    <w:rsid w:val="004E6CE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59"/>
    <w:rsid w:val="00CB074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12C"/>
    <w:rPr>
      <w:rFonts w:ascii="Tahoma" w:hAnsi="Tahoma" w:cs="Tahoma"/>
      <w:sz w:val="16"/>
      <w:szCs w:val="16"/>
    </w:rPr>
  </w:style>
  <w:style w:type="character" w:customStyle="1" w:styleId="BalloonTextChar">
    <w:name w:val="Balloon Text Char"/>
    <w:basedOn w:val="DefaultParagraphFont"/>
    <w:link w:val="BalloonText"/>
    <w:uiPriority w:val="99"/>
    <w:semiHidden/>
    <w:rsid w:val="0060612C"/>
    <w:rPr>
      <w:rFonts w:ascii="Tahoma" w:hAnsi="Tahoma" w:cs="Tahoma"/>
      <w:sz w:val="16"/>
      <w:szCs w:val="16"/>
      <w:lang w:eastAsia="ar-SA"/>
    </w:rPr>
  </w:style>
  <w:style w:type="character" w:customStyle="1" w:styleId="apple-converted-space">
    <w:name w:val="apple-converted-space"/>
    <w:basedOn w:val="DefaultParagraphFont"/>
    <w:rsid w:val="00A558D8"/>
  </w:style>
  <w:style w:type="character" w:styleId="Emphasis">
    <w:name w:val="Emphasis"/>
    <w:basedOn w:val="DefaultParagraphFont"/>
    <w:uiPriority w:val="20"/>
    <w:qFormat/>
    <w:rsid w:val="00A558D8"/>
    <w:rPr>
      <w:i/>
      <w:iCs/>
    </w:rPr>
  </w:style>
  <w:style w:type="character" w:customStyle="1" w:styleId="mixed-citation">
    <w:name w:val="mixed-citation"/>
    <w:basedOn w:val="DefaultParagraphFont"/>
    <w:rsid w:val="00F038EB"/>
  </w:style>
  <w:style w:type="character" w:customStyle="1" w:styleId="ref-title">
    <w:name w:val="ref-title"/>
    <w:basedOn w:val="DefaultParagraphFont"/>
    <w:rsid w:val="00F038EB"/>
  </w:style>
  <w:style w:type="character" w:customStyle="1" w:styleId="ref-journal">
    <w:name w:val="ref-journal"/>
    <w:basedOn w:val="DefaultParagraphFont"/>
    <w:rsid w:val="00F038EB"/>
  </w:style>
  <w:style w:type="character" w:customStyle="1" w:styleId="ref-vol">
    <w:name w:val="ref-vol"/>
    <w:basedOn w:val="DefaultParagraphFont"/>
    <w:rsid w:val="00F038EB"/>
  </w:style>
  <w:style w:type="character" w:customStyle="1" w:styleId="ref-iss">
    <w:name w:val="ref-iss"/>
    <w:basedOn w:val="DefaultParagraphFont"/>
    <w:rsid w:val="00F038EB"/>
  </w:style>
  <w:style w:type="paragraph" w:styleId="ListParagraph">
    <w:name w:val="List Paragraph"/>
    <w:basedOn w:val="Normal"/>
    <w:uiPriority w:val="34"/>
    <w:qFormat/>
    <w:rsid w:val="000B5E21"/>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olanrewaju.adetutu@uniabuja.edu.ng"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rsj08041607"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mailto:olanrewaju.adetutu@uniabuja.edu.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aper%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Sheet2!$B$3</c:f>
              <c:strCache>
                <c:ptCount val="1"/>
                <c:pt idx="0">
                  <c:v>Prev</c:v>
                </c:pt>
              </c:strCache>
            </c:strRef>
          </c:tx>
          <c:cat>
            <c:strRef>
              <c:f>Sheet2!$A$4:$A$7</c:f>
              <c:strCache>
                <c:ptCount val="4"/>
                <c:pt idx="0">
                  <c:v>AMAC</c:v>
                </c:pt>
                <c:pt idx="1">
                  <c:v>GWAGWA</c:v>
                </c:pt>
                <c:pt idx="2">
                  <c:v>BWARI</c:v>
                </c:pt>
                <c:pt idx="3">
                  <c:v>KWALI</c:v>
                </c:pt>
              </c:strCache>
            </c:strRef>
          </c:cat>
          <c:val>
            <c:numRef>
              <c:f>Sheet2!$B$4:$B$7</c:f>
              <c:numCache>
                <c:formatCode>General</c:formatCode>
                <c:ptCount val="4"/>
                <c:pt idx="0">
                  <c:v>16.829999999999988</c:v>
                </c:pt>
                <c:pt idx="1">
                  <c:v>13.77</c:v>
                </c:pt>
                <c:pt idx="2">
                  <c:v>13.639999999999999</c:v>
                </c:pt>
                <c:pt idx="3">
                  <c:v>10.26</c:v>
                </c:pt>
              </c:numCache>
            </c:numRef>
          </c:val>
        </c:ser>
        <c:axId val="72860800"/>
        <c:axId val="72862720"/>
      </c:barChart>
      <c:catAx>
        <c:axId val="72860800"/>
        <c:scaling>
          <c:orientation val="minMax"/>
        </c:scaling>
        <c:axPos val="b"/>
        <c:title>
          <c:tx>
            <c:rich>
              <a:bodyPr/>
              <a:lstStyle/>
              <a:p>
                <a:pPr>
                  <a:defRPr lang="en-US"/>
                </a:pPr>
                <a:r>
                  <a:rPr lang="en-US"/>
                  <a:t>AREA</a:t>
                </a:r>
                <a:r>
                  <a:rPr lang="en-US" baseline="0"/>
                  <a:t> COUNCIL</a:t>
                </a:r>
                <a:endParaRPr lang="en-US"/>
              </a:p>
            </c:rich>
          </c:tx>
        </c:title>
        <c:tickLblPos val="nextTo"/>
        <c:txPr>
          <a:bodyPr/>
          <a:lstStyle/>
          <a:p>
            <a:pPr>
              <a:defRPr lang="en-US"/>
            </a:pPr>
            <a:endParaRPr lang="en-US"/>
          </a:p>
        </c:txPr>
        <c:crossAx val="72862720"/>
        <c:crosses val="autoZero"/>
        <c:auto val="1"/>
        <c:lblAlgn val="ctr"/>
        <c:lblOffset val="100"/>
      </c:catAx>
      <c:valAx>
        <c:axId val="72862720"/>
        <c:scaling>
          <c:orientation val="minMax"/>
        </c:scaling>
        <c:axPos val="l"/>
        <c:majorGridlines/>
        <c:title>
          <c:tx>
            <c:rich>
              <a:bodyPr rot="-5400000" vert="horz"/>
              <a:lstStyle/>
              <a:p>
                <a:pPr>
                  <a:defRPr lang="en-US"/>
                </a:pPr>
                <a:r>
                  <a:rPr lang="en-US"/>
                  <a:t>PREVALENCE (%)</a:t>
                </a:r>
              </a:p>
            </c:rich>
          </c:tx>
        </c:title>
        <c:numFmt formatCode="General" sourceLinked="1"/>
        <c:tickLblPos val="nextTo"/>
        <c:txPr>
          <a:bodyPr/>
          <a:lstStyle/>
          <a:p>
            <a:pPr>
              <a:defRPr lang="en-US" sz="800"/>
            </a:pPr>
            <a:endParaRPr lang="en-US"/>
          </a:p>
        </c:txPr>
        <c:crossAx val="72860800"/>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181106709531651"/>
          <c:y val="8.6483442949031306E-2"/>
          <c:w val="0.50698737527572157"/>
          <c:h val="0.5227273424260287"/>
        </c:manualLayout>
      </c:layout>
      <c:barChart>
        <c:barDir val="col"/>
        <c:grouping val="clustered"/>
        <c:ser>
          <c:idx val="0"/>
          <c:order val="0"/>
          <c:tx>
            <c:strRef>
              <c:f>Sheet1!$C$1</c:f>
              <c:strCache>
                <c:ptCount val="1"/>
                <c:pt idx="0">
                  <c:v>HBV</c:v>
                </c:pt>
              </c:strCache>
            </c:strRef>
          </c:tx>
          <c:cat>
            <c:multiLvlStrRef>
              <c:f>Sheet1!$A$2:$B$9</c:f>
              <c:multiLvlStrCache>
                <c:ptCount val="8"/>
                <c:lvl>
                  <c:pt idx="0">
                    <c:v>M</c:v>
                  </c:pt>
                  <c:pt idx="1">
                    <c:v>F</c:v>
                  </c:pt>
                  <c:pt idx="2">
                    <c:v>M</c:v>
                  </c:pt>
                  <c:pt idx="3">
                    <c:v>F</c:v>
                  </c:pt>
                  <c:pt idx="4">
                    <c:v>M</c:v>
                  </c:pt>
                  <c:pt idx="5">
                    <c:v>F</c:v>
                  </c:pt>
                  <c:pt idx="6">
                    <c:v>M</c:v>
                  </c:pt>
                  <c:pt idx="7">
                    <c:v>F</c:v>
                  </c:pt>
                </c:lvl>
                <c:lvl>
                  <c:pt idx="0">
                    <c:v>AMAC</c:v>
                  </c:pt>
                  <c:pt idx="2">
                    <c:v>GWAGS</c:v>
                  </c:pt>
                  <c:pt idx="4">
                    <c:v>BWARI</c:v>
                  </c:pt>
                  <c:pt idx="6">
                    <c:v>KWALI</c:v>
                  </c:pt>
                </c:lvl>
              </c:multiLvlStrCache>
            </c:multiLvlStrRef>
          </c:cat>
          <c:val>
            <c:numRef>
              <c:f>Sheet1!$C$2:$C$9</c:f>
              <c:numCache>
                <c:formatCode>General</c:formatCode>
                <c:ptCount val="8"/>
                <c:pt idx="0">
                  <c:v>18.18</c:v>
                </c:pt>
                <c:pt idx="1">
                  <c:v>8.77</c:v>
                </c:pt>
                <c:pt idx="2">
                  <c:v>21.67</c:v>
                </c:pt>
                <c:pt idx="3">
                  <c:v>2.56</c:v>
                </c:pt>
                <c:pt idx="4">
                  <c:v>20</c:v>
                </c:pt>
                <c:pt idx="5">
                  <c:v>2.44</c:v>
                </c:pt>
                <c:pt idx="6">
                  <c:v>21.43</c:v>
                </c:pt>
                <c:pt idx="7">
                  <c:v>4</c:v>
                </c:pt>
              </c:numCache>
            </c:numRef>
          </c:val>
        </c:ser>
        <c:ser>
          <c:idx val="1"/>
          <c:order val="1"/>
          <c:tx>
            <c:strRef>
              <c:f>Sheet1!$D$1</c:f>
              <c:strCache>
                <c:ptCount val="1"/>
                <c:pt idx="0">
                  <c:v>HCV</c:v>
                </c:pt>
              </c:strCache>
            </c:strRef>
          </c:tx>
          <c:cat>
            <c:multiLvlStrRef>
              <c:f>Sheet1!$A$2:$B$9</c:f>
              <c:multiLvlStrCache>
                <c:ptCount val="8"/>
                <c:lvl>
                  <c:pt idx="0">
                    <c:v>M</c:v>
                  </c:pt>
                  <c:pt idx="1">
                    <c:v>F</c:v>
                  </c:pt>
                  <c:pt idx="2">
                    <c:v>M</c:v>
                  </c:pt>
                  <c:pt idx="3">
                    <c:v>F</c:v>
                  </c:pt>
                  <c:pt idx="4">
                    <c:v>M</c:v>
                  </c:pt>
                  <c:pt idx="5">
                    <c:v>F</c:v>
                  </c:pt>
                  <c:pt idx="6">
                    <c:v>M</c:v>
                  </c:pt>
                  <c:pt idx="7">
                    <c:v>F</c:v>
                  </c:pt>
                </c:lvl>
                <c:lvl>
                  <c:pt idx="0">
                    <c:v>AMAC</c:v>
                  </c:pt>
                  <c:pt idx="2">
                    <c:v>GWAGS</c:v>
                  </c:pt>
                  <c:pt idx="4">
                    <c:v>BWARI</c:v>
                  </c:pt>
                  <c:pt idx="6">
                    <c:v>KWALI</c:v>
                  </c:pt>
                </c:lvl>
              </c:multiLvlStrCache>
            </c:multiLvlStrRef>
          </c:cat>
          <c:val>
            <c:numRef>
              <c:f>Sheet1!$D$2:$D$9</c:f>
              <c:numCache>
                <c:formatCode>General</c:formatCode>
                <c:ptCount val="8"/>
                <c:pt idx="0">
                  <c:v>2.27</c:v>
                </c:pt>
                <c:pt idx="1">
                  <c:v>5.26</c:v>
                </c:pt>
                <c:pt idx="2">
                  <c:v>5</c:v>
                </c:pt>
                <c:pt idx="3">
                  <c:v>0</c:v>
                </c:pt>
                <c:pt idx="4">
                  <c:v>4</c:v>
                </c:pt>
                <c:pt idx="5">
                  <c:v>2.44</c:v>
                </c:pt>
                <c:pt idx="6">
                  <c:v>0</c:v>
                </c:pt>
                <c:pt idx="7">
                  <c:v>0</c:v>
                </c:pt>
              </c:numCache>
            </c:numRef>
          </c:val>
        </c:ser>
        <c:ser>
          <c:idx val="2"/>
          <c:order val="2"/>
          <c:tx>
            <c:strRef>
              <c:f>Sheet1!$E$1</c:f>
              <c:strCache>
                <c:ptCount val="1"/>
                <c:pt idx="0">
                  <c:v>SYPHILIS</c:v>
                </c:pt>
              </c:strCache>
            </c:strRef>
          </c:tx>
          <c:cat>
            <c:multiLvlStrRef>
              <c:f>Sheet1!$A$2:$B$9</c:f>
              <c:multiLvlStrCache>
                <c:ptCount val="8"/>
                <c:lvl>
                  <c:pt idx="0">
                    <c:v>M</c:v>
                  </c:pt>
                  <c:pt idx="1">
                    <c:v>F</c:v>
                  </c:pt>
                  <c:pt idx="2">
                    <c:v>M</c:v>
                  </c:pt>
                  <c:pt idx="3">
                    <c:v>F</c:v>
                  </c:pt>
                  <c:pt idx="4">
                    <c:v>M</c:v>
                  </c:pt>
                  <c:pt idx="5">
                    <c:v>F</c:v>
                  </c:pt>
                  <c:pt idx="6">
                    <c:v>M</c:v>
                  </c:pt>
                  <c:pt idx="7">
                    <c:v>F</c:v>
                  </c:pt>
                </c:lvl>
                <c:lvl>
                  <c:pt idx="0">
                    <c:v>AMAC</c:v>
                  </c:pt>
                  <c:pt idx="2">
                    <c:v>GWAGS</c:v>
                  </c:pt>
                  <c:pt idx="4">
                    <c:v>BWARI</c:v>
                  </c:pt>
                  <c:pt idx="6">
                    <c:v>KWALI</c:v>
                  </c:pt>
                </c:lvl>
              </c:multiLvlStrCache>
            </c:multiLvlStrRef>
          </c:cat>
          <c:val>
            <c:numRef>
              <c:f>Sheet1!$E$2:$E$9</c:f>
              <c:numCache>
                <c:formatCode>General</c:formatCode>
                <c:ptCount val="8"/>
                <c:pt idx="0">
                  <c:v>0</c:v>
                </c:pt>
                <c:pt idx="1">
                  <c:v>0</c:v>
                </c:pt>
                <c:pt idx="2">
                  <c:v>1.6700000000000021</c:v>
                </c:pt>
                <c:pt idx="3">
                  <c:v>0</c:v>
                </c:pt>
                <c:pt idx="4">
                  <c:v>4</c:v>
                </c:pt>
                <c:pt idx="5">
                  <c:v>0</c:v>
                </c:pt>
                <c:pt idx="6">
                  <c:v>0</c:v>
                </c:pt>
                <c:pt idx="7">
                  <c:v>0</c:v>
                </c:pt>
              </c:numCache>
            </c:numRef>
          </c:val>
        </c:ser>
        <c:axId val="72917376"/>
        <c:axId val="72919296"/>
      </c:barChart>
      <c:catAx>
        <c:axId val="72917376"/>
        <c:scaling>
          <c:orientation val="minMax"/>
        </c:scaling>
        <c:axPos val="b"/>
        <c:title>
          <c:tx>
            <c:rich>
              <a:bodyPr/>
              <a:lstStyle/>
              <a:p>
                <a:pPr>
                  <a:defRPr lang="en-US" sz="900"/>
                </a:pPr>
                <a:r>
                  <a:rPr lang="en-US" sz="900"/>
                  <a:t>Locations</a:t>
                </a:r>
              </a:p>
            </c:rich>
          </c:tx>
        </c:title>
        <c:tickLblPos val="nextTo"/>
        <c:txPr>
          <a:bodyPr/>
          <a:lstStyle/>
          <a:p>
            <a:pPr>
              <a:defRPr lang="en-US" sz="800"/>
            </a:pPr>
            <a:endParaRPr lang="en-US"/>
          </a:p>
        </c:txPr>
        <c:crossAx val="72919296"/>
        <c:crosses val="autoZero"/>
        <c:auto val="1"/>
        <c:lblAlgn val="ctr"/>
        <c:lblOffset val="100"/>
      </c:catAx>
      <c:valAx>
        <c:axId val="72919296"/>
        <c:scaling>
          <c:orientation val="minMax"/>
        </c:scaling>
        <c:axPos val="l"/>
        <c:majorGridlines/>
        <c:title>
          <c:tx>
            <c:rich>
              <a:bodyPr rot="-5400000" vert="horz"/>
              <a:lstStyle/>
              <a:p>
                <a:pPr>
                  <a:defRPr lang="en-US" sz="900"/>
                </a:pPr>
                <a:r>
                  <a:rPr lang="en-US" sz="900"/>
                  <a:t>prevalence(%)</a:t>
                </a:r>
              </a:p>
            </c:rich>
          </c:tx>
        </c:title>
        <c:numFmt formatCode="General" sourceLinked="1"/>
        <c:tickLblPos val="nextTo"/>
        <c:txPr>
          <a:bodyPr/>
          <a:lstStyle/>
          <a:p>
            <a:pPr>
              <a:defRPr lang="en-US"/>
            </a:pPr>
            <a:endParaRPr lang="en-US"/>
          </a:p>
        </c:txPr>
        <c:crossAx val="72917376"/>
        <c:crosses val="autoZero"/>
        <c:crossBetween val="between"/>
      </c:valAx>
    </c:plotArea>
    <c:legend>
      <c:legendPos val="r"/>
      <c:txPr>
        <a:bodyPr/>
        <a:lstStyle/>
        <a:p>
          <a:pPr>
            <a:defRPr lang="en-US"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19892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User</cp:lastModifiedBy>
  <cp:revision>2</cp:revision>
  <cp:lastPrinted>2016-04-16T18:26:00Z</cp:lastPrinted>
  <dcterms:created xsi:type="dcterms:W3CDTF">2016-05-02T22:09:00Z</dcterms:created>
  <dcterms:modified xsi:type="dcterms:W3CDTF">2016-05-02T22:09:00Z</dcterms:modified>
  <cp:category>science</cp:category>
</cp:coreProperties>
</file>