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BD" w:rsidRPr="00161EA1" w:rsidRDefault="00F00BC7" w:rsidP="00F00BC7">
      <w:pPr>
        <w:snapToGrid w:val="0"/>
        <w:jc w:val="center"/>
        <w:rPr>
          <w:b/>
          <w:sz w:val="20"/>
          <w:szCs w:val="20"/>
        </w:rPr>
      </w:pPr>
      <w:proofErr w:type="gramStart"/>
      <w:r w:rsidRPr="00161EA1">
        <w:rPr>
          <w:b/>
          <w:sz w:val="20"/>
          <w:szCs w:val="20"/>
        </w:rPr>
        <w:t>Biodegradability Of Unused Lubricating Brake Fluids In Fresh And Marine Ecosystem.</w:t>
      </w:r>
      <w:proofErr w:type="gramEnd"/>
    </w:p>
    <w:p w:rsidR="00FA6CBD" w:rsidRPr="00161EA1" w:rsidRDefault="00FA6CBD" w:rsidP="00F00BC7">
      <w:pPr>
        <w:snapToGrid w:val="0"/>
        <w:jc w:val="center"/>
        <w:rPr>
          <w:sz w:val="20"/>
          <w:szCs w:val="20"/>
        </w:rPr>
      </w:pPr>
    </w:p>
    <w:p w:rsidR="00FA6CBD" w:rsidRPr="00161EA1" w:rsidRDefault="00F00BC7" w:rsidP="00F00BC7">
      <w:pPr>
        <w:snapToGrid w:val="0"/>
        <w:jc w:val="center"/>
        <w:rPr>
          <w:sz w:val="20"/>
          <w:szCs w:val="20"/>
          <w:lang w:eastAsia="zh-CN"/>
        </w:rPr>
      </w:pPr>
      <w:r w:rsidRPr="00161EA1">
        <w:rPr>
          <w:sz w:val="20"/>
          <w:szCs w:val="20"/>
          <w:vertAlign w:val="superscript"/>
        </w:rPr>
        <w:t>1</w:t>
      </w:r>
      <w:r w:rsidRPr="00161EA1">
        <w:rPr>
          <w:sz w:val="20"/>
          <w:szCs w:val="20"/>
        </w:rPr>
        <w:t xml:space="preserve">vincent C. </w:t>
      </w:r>
      <w:proofErr w:type="spellStart"/>
      <w:r w:rsidRPr="00161EA1">
        <w:rPr>
          <w:sz w:val="20"/>
          <w:szCs w:val="20"/>
        </w:rPr>
        <w:t>Wokem</w:t>
      </w:r>
      <w:proofErr w:type="spellEnd"/>
      <w:r w:rsidRPr="00161EA1">
        <w:rPr>
          <w:sz w:val="20"/>
          <w:szCs w:val="20"/>
        </w:rPr>
        <w:t xml:space="preserve"> </w:t>
      </w:r>
      <w:proofErr w:type="gramStart"/>
      <w:r w:rsidRPr="00161EA1">
        <w:rPr>
          <w:sz w:val="20"/>
          <w:szCs w:val="20"/>
        </w:rPr>
        <w:t>And</w:t>
      </w:r>
      <w:proofErr w:type="gramEnd"/>
      <w:r w:rsidRPr="00161EA1">
        <w:rPr>
          <w:sz w:val="20"/>
          <w:szCs w:val="20"/>
        </w:rPr>
        <w:t xml:space="preserve"> </w:t>
      </w:r>
      <w:r w:rsidRPr="00161EA1">
        <w:rPr>
          <w:sz w:val="20"/>
          <w:szCs w:val="20"/>
          <w:vertAlign w:val="superscript"/>
        </w:rPr>
        <w:t>2</w:t>
      </w:r>
      <w:r w:rsidRPr="00161EA1">
        <w:rPr>
          <w:sz w:val="20"/>
          <w:szCs w:val="20"/>
        </w:rPr>
        <w:t>lucky</w:t>
      </w:r>
      <w:r w:rsidR="00161EA1">
        <w:rPr>
          <w:sz w:val="20"/>
          <w:szCs w:val="20"/>
        </w:rPr>
        <w:t>.</w:t>
      </w:r>
      <w:r w:rsidRPr="00161EA1">
        <w:rPr>
          <w:sz w:val="20"/>
          <w:szCs w:val="20"/>
        </w:rPr>
        <w:t xml:space="preserve">O. </w:t>
      </w:r>
      <w:proofErr w:type="spellStart"/>
      <w:r w:rsidRPr="00161EA1">
        <w:rPr>
          <w:sz w:val="20"/>
          <w:szCs w:val="20"/>
        </w:rPr>
        <w:t>Odokuma</w:t>
      </w:r>
      <w:proofErr w:type="spellEnd"/>
    </w:p>
    <w:p w:rsidR="00F00BC7" w:rsidRPr="00161EA1" w:rsidRDefault="00F00BC7" w:rsidP="00F00BC7">
      <w:pPr>
        <w:snapToGrid w:val="0"/>
        <w:jc w:val="center"/>
        <w:rPr>
          <w:sz w:val="20"/>
          <w:szCs w:val="20"/>
          <w:lang w:eastAsia="zh-CN"/>
        </w:rPr>
      </w:pPr>
    </w:p>
    <w:p w:rsidR="008173E0" w:rsidRPr="00161EA1" w:rsidRDefault="00F00BC7" w:rsidP="00F00BC7">
      <w:pPr>
        <w:snapToGrid w:val="0"/>
        <w:jc w:val="center"/>
        <w:rPr>
          <w:sz w:val="20"/>
          <w:szCs w:val="20"/>
        </w:rPr>
      </w:pPr>
      <w:r w:rsidRPr="00161EA1">
        <w:rPr>
          <w:sz w:val="20"/>
          <w:szCs w:val="20"/>
        </w:rPr>
        <w:t>Department Of Microbiology, University Of Port Harcourt, P.M.B 5323, Port Harcourt,</w:t>
      </w:r>
    </w:p>
    <w:p w:rsidR="00923515" w:rsidRPr="00161EA1" w:rsidRDefault="00F00BC7" w:rsidP="00F00BC7">
      <w:pPr>
        <w:snapToGrid w:val="0"/>
        <w:jc w:val="center"/>
        <w:rPr>
          <w:rFonts w:hint="eastAsia"/>
          <w:sz w:val="20"/>
          <w:szCs w:val="20"/>
          <w:lang w:eastAsia="zh-CN"/>
        </w:rPr>
      </w:pPr>
      <w:r w:rsidRPr="00161EA1">
        <w:rPr>
          <w:sz w:val="20"/>
          <w:szCs w:val="20"/>
        </w:rPr>
        <w:t xml:space="preserve">Rivers State, Nigeria. Tel: +2348130306131. E-Mail: </w:t>
      </w:r>
      <w:hyperlink r:id="rId7" w:history="1">
        <w:r w:rsidR="00161EA1" w:rsidRPr="00161EA1">
          <w:rPr>
            <w:rStyle w:val="Hyperlink"/>
            <w:sz w:val="20"/>
            <w:szCs w:val="20"/>
          </w:rPr>
          <w:t>Chineduvin@Yahoo.Com</w:t>
        </w:r>
      </w:hyperlink>
      <w:r w:rsidR="00161EA1" w:rsidRPr="00161EA1">
        <w:rPr>
          <w:rFonts w:hint="eastAsia"/>
          <w:sz w:val="20"/>
          <w:szCs w:val="20"/>
          <w:lang w:eastAsia="zh-CN"/>
        </w:rPr>
        <w:t xml:space="preserve"> </w:t>
      </w:r>
    </w:p>
    <w:p w:rsidR="00923515" w:rsidRPr="00161EA1" w:rsidRDefault="00923515" w:rsidP="00F00BC7">
      <w:pPr>
        <w:snapToGrid w:val="0"/>
        <w:jc w:val="center"/>
        <w:rPr>
          <w:sz w:val="20"/>
          <w:szCs w:val="20"/>
        </w:rPr>
      </w:pPr>
    </w:p>
    <w:p w:rsidR="007F6A9D" w:rsidRPr="00161EA1" w:rsidRDefault="00F00BC7" w:rsidP="00F00BC7">
      <w:pPr>
        <w:snapToGrid w:val="0"/>
        <w:jc w:val="both"/>
        <w:rPr>
          <w:sz w:val="20"/>
          <w:szCs w:val="20"/>
        </w:rPr>
      </w:pPr>
      <w:r w:rsidRPr="00161EA1">
        <w:rPr>
          <w:b/>
          <w:sz w:val="20"/>
          <w:szCs w:val="20"/>
        </w:rPr>
        <w:t>Abstract</w:t>
      </w:r>
      <w:r w:rsidRPr="00161EA1">
        <w:rPr>
          <w:b/>
          <w:sz w:val="20"/>
          <w:szCs w:val="20"/>
          <w:lang w:eastAsia="zh-CN"/>
        </w:rPr>
        <w:t xml:space="preserve">: </w:t>
      </w:r>
      <w:r w:rsidR="00FA6CBD" w:rsidRPr="00161EA1">
        <w:rPr>
          <w:sz w:val="20"/>
          <w:szCs w:val="20"/>
        </w:rPr>
        <w:t>The biodegradability of four unused lubricating brake fluids (Total brake fluid</w:t>
      </w:r>
      <w:r w:rsidR="00C5609D" w:rsidRPr="00161EA1">
        <w:rPr>
          <w:sz w:val="20"/>
          <w:szCs w:val="20"/>
        </w:rPr>
        <w:t>,</w:t>
      </w:r>
      <w:r w:rsidR="00FA6CBD" w:rsidRPr="00161EA1">
        <w:rPr>
          <w:sz w:val="20"/>
          <w:szCs w:val="20"/>
        </w:rPr>
        <w:t xml:space="preserve"> </w:t>
      </w:r>
      <w:r w:rsidR="00CF268C" w:rsidRPr="00161EA1">
        <w:rPr>
          <w:sz w:val="20"/>
          <w:szCs w:val="20"/>
        </w:rPr>
        <w:t xml:space="preserve">Allied brake fluid, </w:t>
      </w:r>
      <w:proofErr w:type="spellStart"/>
      <w:r w:rsidR="00CF268C" w:rsidRPr="00161EA1">
        <w:rPr>
          <w:sz w:val="20"/>
          <w:szCs w:val="20"/>
        </w:rPr>
        <w:t>Oando</w:t>
      </w:r>
      <w:proofErr w:type="spellEnd"/>
      <w:r w:rsidR="00CF268C" w:rsidRPr="00161EA1">
        <w:rPr>
          <w:sz w:val="20"/>
          <w:szCs w:val="20"/>
        </w:rPr>
        <w:t xml:space="preserve"> brake fluid </w:t>
      </w:r>
      <w:r w:rsidR="00FA6CBD" w:rsidRPr="00161EA1">
        <w:rPr>
          <w:sz w:val="20"/>
          <w:szCs w:val="20"/>
        </w:rPr>
        <w:t xml:space="preserve">and Ate brake fluid) was carried out in fresh and marine water obtained from </w:t>
      </w:r>
      <w:proofErr w:type="spellStart"/>
      <w:r w:rsidR="00FA6CBD" w:rsidRPr="00161EA1">
        <w:rPr>
          <w:sz w:val="20"/>
          <w:szCs w:val="20"/>
        </w:rPr>
        <w:t>Isiokpo</w:t>
      </w:r>
      <w:proofErr w:type="spellEnd"/>
      <w:r w:rsidR="00FA6CBD" w:rsidRPr="00161EA1">
        <w:rPr>
          <w:sz w:val="20"/>
          <w:szCs w:val="20"/>
        </w:rPr>
        <w:t xml:space="preserve"> </w:t>
      </w:r>
      <w:r w:rsidR="006264D2" w:rsidRPr="00161EA1">
        <w:rPr>
          <w:sz w:val="20"/>
          <w:szCs w:val="20"/>
        </w:rPr>
        <w:t>s</w:t>
      </w:r>
      <w:r w:rsidR="00FA6CBD" w:rsidRPr="00161EA1">
        <w:rPr>
          <w:sz w:val="20"/>
          <w:szCs w:val="20"/>
        </w:rPr>
        <w:t xml:space="preserve">tream and Bonny </w:t>
      </w:r>
      <w:r w:rsidR="00CF268C" w:rsidRPr="00161EA1">
        <w:rPr>
          <w:sz w:val="20"/>
          <w:szCs w:val="20"/>
        </w:rPr>
        <w:t xml:space="preserve">river </w:t>
      </w:r>
      <w:r w:rsidR="00FA6CBD" w:rsidRPr="00161EA1">
        <w:rPr>
          <w:sz w:val="20"/>
          <w:szCs w:val="20"/>
        </w:rPr>
        <w:t xml:space="preserve">of the Niger Delta, South </w:t>
      </w:r>
      <w:proofErr w:type="spellStart"/>
      <w:r w:rsidR="00FA6CBD" w:rsidRPr="00161EA1">
        <w:rPr>
          <w:sz w:val="20"/>
          <w:szCs w:val="20"/>
        </w:rPr>
        <w:t>South</w:t>
      </w:r>
      <w:proofErr w:type="spellEnd"/>
      <w:r w:rsidR="00FA6CBD" w:rsidRPr="00161EA1">
        <w:rPr>
          <w:sz w:val="20"/>
          <w:szCs w:val="20"/>
        </w:rPr>
        <w:t xml:space="preserve"> Nigeria. Biodegradability</w:t>
      </w:r>
      <w:r w:rsidR="006264D2" w:rsidRPr="00161EA1">
        <w:rPr>
          <w:sz w:val="20"/>
          <w:szCs w:val="20"/>
        </w:rPr>
        <w:t>,</w:t>
      </w:r>
      <w:r w:rsidR="00FA6CBD" w:rsidRPr="00161EA1">
        <w:rPr>
          <w:sz w:val="20"/>
          <w:szCs w:val="20"/>
        </w:rPr>
        <w:t xml:space="preserve"> of the brake fluids were obtained after a 56 day period of incubation monitored at 2 weeks intervals using the percentage ratio of Biological Oxygen Demand (BOD) to Chemical Oxygen Demand (COD). Olive oil was used as the positive control while sodium </w:t>
      </w:r>
      <w:proofErr w:type="spellStart"/>
      <w:r w:rsidR="00FA6CBD" w:rsidRPr="00161EA1">
        <w:rPr>
          <w:sz w:val="20"/>
          <w:szCs w:val="20"/>
        </w:rPr>
        <w:t>azide</w:t>
      </w:r>
      <w:proofErr w:type="spellEnd"/>
      <w:r w:rsidR="00FA6CBD" w:rsidRPr="00161EA1">
        <w:rPr>
          <w:sz w:val="20"/>
          <w:szCs w:val="20"/>
        </w:rPr>
        <w:t xml:space="preserve"> served as the negative control. The results obtained showed the following rate of biodegradability in fresh water and marine water; </w:t>
      </w:r>
      <w:r w:rsidR="00CF268C" w:rsidRPr="00161EA1">
        <w:rPr>
          <w:sz w:val="20"/>
          <w:szCs w:val="20"/>
        </w:rPr>
        <w:t xml:space="preserve">Total </w:t>
      </w:r>
      <w:r w:rsidR="00FA6CBD" w:rsidRPr="00161EA1">
        <w:rPr>
          <w:sz w:val="20"/>
          <w:szCs w:val="20"/>
        </w:rPr>
        <w:t>brake fluid (20, 2.3 percent), Allied brake fluid (40%</w:t>
      </w:r>
      <w:r w:rsidR="00CF268C" w:rsidRPr="00161EA1">
        <w:rPr>
          <w:sz w:val="20"/>
          <w:szCs w:val="20"/>
        </w:rPr>
        <w:t>,</w:t>
      </w:r>
      <w:r w:rsidR="00FA6CBD" w:rsidRPr="00161EA1">
        <w:rPr>
          <w:sz w:val="20"/>
          <w:szCs w:val="20"/>
        </w:rPr>
        <w:t xml:space="preserve"> 1%), </w:t>
      </w:r>
      <w:proofErr w:type="spellStart"/>
      <w:r w:rsidR="00FA6CBD" w:rsidRPr="00161EA1">
        <w:rPr>
          <w:sz w:val="20"/>
          <w:szCs w:val="20"/>
        </w:rPr>
        <w:t>Oando</w:t>
      </w:r>
      <w:proofErr w:type="spellEnd"/>
      <w:r w:rsidR="00FA6CBD" w:rsidRPr="00161EA1">
        <w:rPr>
          <w:sz w:val="20"/>
          <w:szCs w:val="20"/>
        </w:rPr>
        <w:t xml:space="preserve"> brake fluid (44%, 2.5%), and Ate brake fluid </w:t>
      </w:r>
      <w:r w:rsidR="001C47AA" w:rsidRPr="00161EA1">
        <w:rPr>
          <w:sz w:val="20"/>
          <w:szCs w:val="20"/>
        </w:rPr>
        <w:t>(13.3%, 2.1%). Statistical analysis using ANOVA, showed that ther</w:t>
      </w:r>
      <w:r w:rsidR="00296ABC" w:rsidRPr="00161EA1">
        <w:rPr>
          <w:sz w:val="20"/>
          <w:szCs w:val="20"/>
        </w:rPr>
        <w:t>e was significant difference (P&lt;</w:t>
      </w:r>
      <w:r w:rsidR="001C47AA" w:rsidRPr="00161EA1">
        <w:rPr>
          <w:sz w:val="20"/>
          <w:szCs w:val="20"/>
        </w:rPr>
        <w:t xml:space="preserve">0.05) in the parentage mineralization of Allied brake fluid in both fresh and marine water sources. </w:t>
      </w:r>
      <w:r w:rsidR="00DD27F5" w:rsidRPr="00161EA1">
        <w:rPr>
          <w:sz w:val="20"/>
          <w:szCs w:val="20"/>
        </w:rPr>
        <w:t>Biodegradability</w:t>
      </w:r>
      <w:r w:rsidR="001C47AA" w:rsidRPr="00161EA1">
        <w:rPr>
          <w:sz w:val="20"/>
          <w:szCs w:val="20"/>
        </w:rPr>
        <w:t xml:space="preserve"> of the brake fluids </w:t>
      </w:r>
      <w:r w:rsidR="00045BBD" w:rsidRPr="00161EA1">
        <w:rPr>
          <w:sz w:val="20"/>
          <w:szCs w:val="20"/>
        </w:rPr>
        <w:t>was</w:t>
      </w:r>
      <w:r w:rsidR="001C47AA" w:rsidRPr="00161EA1">
        <w:rPr>
          <w:sz w:val="20"/>
          <w:szCs w:val="20"/>
        </w:rPr>
        <w:t xml:space="preserve"> higher in fresh water than in the marine water. Results obtained from the viable bacterial and fungal counts </w:t>
      </w:r>
      <w:r w:rsidR="00CF268C" w:rsidRPr="00161EA1">
        <w:rPr>
          <w:sz w:val="20"/>
          <w:szCs w:val="20"/>
        </w:rPr>
        <w:t xml:space="preserve">(TVC) </w:t>
      </w:r>
      <w:r w:rsidR="001C47AA" w:rsidRPr="00161EA1">
        <w:rPr>
          <w:sz w:val="20"/>
          <w:szCs w:val="20"/>
        </w:rPr>
        <w:t xml:space="preserve">indicated higher </w:t>
      </w:r>
      <w:r w:rsidR="00CF268C" w:rsidRPr="00161EA1">
        <w:rPr>
          <w:sz w:val="20"/>
          <w:szCs w:val="20"/>
        </w:rPr>
        <w:t xml:space="preserve">total heterotrophic bacterial </w:t>
      </w:r>
      <w:r w:rsidR="00045BBD" w:rsidRPr="00161EA1">
        <w:rPr>
          <w:sz w:val="20"/>
          <w:szCs w:val="20"/>
        </w:rPr>
        <w:t xml:space="preserve">(THB) </w:t>
      </w:r>
      <w:r w:rsidR="001C47AA" w:rsidRPr="00161EA1">
        <w:rPr>
          <w:sz w:val="20"/>
          <w:szCs w:val="20"/>
        </w:rPr>
        <w:t xml:space="preserve">count than </w:t>
      </w:r>
      <w:r w:rsidR="00CF268C" w:rsidRPr="00161EA1">
        <w:rPr>
          <w:sz w:val="20"/>
          <w:szCs w:val="20"/>
        </w:rPr>
        <w:t xml:space="preserve">total fungal </w:t>
      </w:r>
      <w:r w:rsidR="00DD27F5" w:rsidRPr="00161EA1">
        <w:rPr>
          <w:sz w:val="20"/>
          <w:szCs w:val="20"/>
        </w:rPr>
        <w:t xml:space="preserve">(TF) </w:t>
      </w:r>
      <w:r w:rsidR="001C47AA" w:rsidRPr="00161EA1">
        <w:rPr>
          <w:sz w:val="20"/>
          <w:szCs w:val="20"/>
        </w:rPr>
        <w:t>counts and higher hydrocarbon utilizing bacteria (HUB) counts</w:t>
      </w:r>
      <w:r w:rsidR="00CF268C" w:rsidRPr="00161EA1">
        <w:rPr>
          <w:sz w:val="20"/>
          <w:szCs w:val="20"/>
        </w:rPr>
        <w:t xml:space="preserve"> </w:t>
      </w:r>
      <w:r w:rsidR="001C47AA" w:rsidRPr="00161EA1">
        <w:rPr>
          <w:sz w:val="20"/>
          <w:szCs w:val="20"/>
        </w:rPr>
        <w:t>than Hydrocarbon Utilizing Fungi (HUF) counts</w:t>
      </w:r>
      <w:r w:rsidR="00CF268C" w:rsidRPr="00161EA1">
        <w:rPr>
          <w:sz w:val="20"/>
          <w:szCs w:val="20"/>
        </w:rPr>
        <w:t>.</w:t>
      </w:r>
      <w:r w:rsidR="001C47AA" w:rsidRPr="00161EA1">
        <w:rPr>
          <w:sz w:val="20"/>
          <w:szCs w:val="20"/>
        </w:rPr>
        <w:t xml:space="preserve"> </w:t>
      </w:r>
      <w:r w:rsidR="00CF268C" w:rsidRPr="00161EA1">
        <w:rPr>
          <w:sz w:val="20"/>
          <w:szCs w:val="20"/>
        </w:rPr>
        <w:t xml:space="preserve">Characterization </w:t>
      </w:r>
      <w:r w:rsidR="001C47AA" w:rsidRPr="00161EA1">
        <w:rPr>
          <w:sz w:val="20"/>
          <w:szCs w:val="20"/>
        </w:rPr>
        <w:t xml:space="preserve">and identification tests revealed that a microbial consortium comprising of the following genera; </w:t>
      </w:r>
      <w:r w:rsidR="001C47AA" w:rsidRPr="00161EA1">
        <w:rPr>
          <w:i/>
          <w:sz w:val="20"/>
          <w:szCs w:val="20"/>
        </w:rPr>
        <w:t>Bacillus</w:t>
      </w:r>
      <w:r w:rsidR="00CF268C" w:rsidRPr="00161EA1">
        <w:rPr>
          <w:i/>
          <w:sz w:val="20"/>
          <w:szCs w:val="20"/>
        </w:rPr>
        <w:t>,</w:t>
      </w:r>
      <w:r w:rsidR="001C47AA" w:rsidRPr="00161EA1">
        <w:rPr>
          <w:i/>
          <w:sz w:val="20"/>
          <w:szCs w:val="20"/>
        </w:rPr>
        <w:t xml:space="preserve"> Pseudomonas,</w:t>
      </w:r>
      <w:r w:rsidR="001C47AA" w:rsidRPr="00161EA1">
        <w:rPr>
          <w:sz w:val="20"/>
          <w:szCs w:val="20"/>
        </w:rPr>
        <w:t xml:space="preserve"> </w:t>
      </w:r>
      <w:r w:rsidR="001C47AA" w:rsidRPr="00161EA1">
        <w:rPr>
          <w:i/>
          <w:sz w:val="20"/>
          <w:szCs w:val="20"/>
        </w:rPr>
        <w:t>Proteus, Escherichia,</w:t>
      </w:r>
      <w:r w:rsidR="001C47AA" w:rsidRPr="00161EA1">
        <w:rPr>
          <w:sz w:val="20"/>
          <w:szCs w:val="20"/>
        </w:rPr>
        <w:t xml:space="preserve"> </w:t>
      </w:r>
      <w:r w:rsidR="001C47AA" w:rsidRPr="00161EA1">
        <w:rPr>
          <w:i/>
          <w:sz w:val="20"/>
          <w:szCs w:val="20"/>
        </w:rPr>
        <w:t>Micrococcus</w:t>
      </w:r>
      <w:r w:rsidR="00CF268C" w:rsidRPr="00161EA1">
        <w:rPr>
          <w:i/>
          <w:sz w:val="20"/>
          <w:szCs w:val="20"/>
        </w:rPr>
        <w:t xml:space="preserve">, </w:t>
      </w:r>
      <w:proofErr w:type="spellStart"/>
      <w:r w:rsidR="001C47AA" w:rsidRPr="00161EA1">
        <w:rPr>
          <w:i/>
          <w:sz w:val="20"/>
          <w:szCs w:val="20"/>
        </w:rPr>
        <w:t>Arthrobacter</w:t>
      </w:r>
      <w:proofErr w:type="spellEnd"/>
      <w:r w:rsidR="001C47AA" w:rsidRPr="00161EA1">
        <w:rPr>
          <w:i/>
          <w:sz w:val="20"/>
          <w:szCs w:val="20"/>
        </w:rPr>
        <w:t xml:space="preserve">, </w:t>
      </w:r>
      <w:proofErr w:type="spellStart"/>
      <w:r w:rsidR="001C47AA" w:rsidRPr="00161EA1">
        <w:rPr>
          <w:i/>
          <w:sz w:val="20"/>
          <w:szCs w:val="20"/>
        </w:rPr>
        <w:t>Enterobacter</w:t>
      </w:r>
      <w:proofErr w:type="spellEnd"/>
      <w:r w:rsidR="001C47AA" w:rsidRPr="00161EA1">
        <w:rPr>
          <w:sz w:val="20"/>
          <w:szCs w:val="20"/>
        </w:rPr>
        <w:t xml:space="preserve"> and </w:t>
      </w:r>
      <w:proofErr w:type="spellStart"/>
      <w:r w:rsidR="00621E50" w:rsidRPr="00161EA1">
        <w:rPr>
          <w:i/>
          <w:sz w:val="20"/>
          <w:szCs w:val="20"/>
        </w:rPr>
        <w:t>Citrobacter</w:t>
      </w:r>
      <w:proofErr w:type="spellEnd"/>
      <w:r w:rsidR="00621E50" w:rsidRPr="00161EA1">
        <w:rPr>
          <w:sz w:val="20"/>
          <w:szCs w:val="20"/>
        </w:rPr>
        <w:t xml:space="preserve"> </w:t>
      </w:r>
      <w:r w:rsidR="001C47AA" w:rsidRPr="00161EA1">
        <w:rPr>
          <w:sz w:val="20"/>
          <w:szCs w:val="20"/>
        </w:rPr>
        <w:t xml:space="preserve">was implicated in the biodegradation process in fresh water, while </w:t>
      </w:r>
      <w:r w:rsidR="001C47AA" w:rsidRPr="00161EA1">
        <w:rPr>
          <w:i/>
          <w:sz w:val="20"/>
          <w:szCs w:val="20"/>
        </w:rPr>
        <w:t>Bacillus,</w:t>
      </w:r>
      <w:r w:rsidR="001C47AA" w:rsidRPr="00161EA1">
        <w:rPr>
          <w:sz w:val="20"/>
          <w:szCs w:val="20"/>
        </w:rPr>
        <w:t xml:space="preserve"> </w:t>
      </w:r>
      <w:r w:rsidR="001C47AA" w:rsidRPr="00161EA1">
        <w:rPr>
          <w:i/>
          <w:sz w:val="20"/>
          <w:szCs w:val="20"/>
        </w:rPr>
        <w:t>Pseudomonas,</w:t>
      </w:r>
      <w:r w:rsidR="001C47AA" w:rsidRPr="00161EA1">
        <w:rPr>
          <w:sz w:val="20"/>
          <w:szCs w:val="20"/>
        </w:rPr>
        <w:t xml:space="preserve"> </w:t>
      </w:r>
      <w:r w:rsidR="001C47AA" w:rsidRPr="00161EA1">
        <w:rPr>
          <w:i/>
          <w:sz w:val="20"/>
          <w:szCs w:val="20"/>
        </w:rPr>
        <w:t>Staphylococcus,</w:t>
      </w:r>
      <w:r w:rsidR="001C47AA" w:rsidRPr="00161EA1">
        <w:rPr>
          <w:sz w:val="20"/>
          <w:szCs w:val="20"/>
        </w:rPr>
        <w:t xml:space="preserve"> </w:t>
      </w:r>
      <w:proofErr w:type="spellStart"/>
      <w:r w:rsidR="001C47AA" w:rsidRPr="00161EA1">
        <w:rPr>
          <w:i/>
          <w:sz w:val="20"/>
          <w:szCs w:val="20"/>
        </w:rPr>
        <w:t>Enterobacter</w:t>
      </w:r>
      <w:proofErr w:type="spellEnd"/>
      <w:r w:rsidR="001C47AA" w:rsidRPr="00161EA1">
        <w:rPr>
          <w:sz w:val="20"/>
          <w:szCs w:val="20"/>
        </w:rPr>
        <w:t xml:space="preserve"> and </w:t>
      </w:r>
      <w:proofErr w:type="spellStart"/>
      <w:r w:rsidR="00CF268C" w:rsidRPr="00161EA1">
        <w:rPr>
          <w:i/>
          <w:sz w:val="20"/>
          <w:szCs w:val="20"/>
        </w:rPr>
        <w:t>Citrobacter</w:t>
      </w:r>
      <w:proofErr w:type="spellEnd"/>
      <w:r w:rsidR="001C47AA" w:rsidRPr="00161EA1">
        <w:rPr>
          <w:sz w:val="20"/>
          <w:szCs w:val="20"/>
        </w:rPr>
        <w:t xml:space="preserve"> was implicated in the marine water source. Similarly, the moulds encountered from the fresh water were, </w:t>
      </w:r>
      <w:proofErr w:type="spellStart"/>
      <w:r w:rsidR="001C47AA" w:rsidRPr="00161EA1">
        <w:rPr>
          <w:i/>
          <w:sz w:val="20"/>
          <w:szCs w:val="20"/>
        </w:rPr>
        <w:t>Aspergillus</w:t>
      </w:r>
      <w:proofErr w:type="spellEnd"/>
      <w:r w:rsidR="001C47AA" w:rsidRPr="00161EA1">
        <w:rPr>
          <w:i/>
          <w:sz w:val="20"/>
          <w:szCs w:val="20"/>
        </w:rPr>
        <w:t xml:space="preserve">, </w:t>
      </w:r>
      <w:proofErr w:type="spellStart"/>
      <w:r w:rsidR="001C47AA" w:rsidRPr="00161EA1">
        <w:rPr>
          <w:i/>
          <w:sz w:val="20"/>
          <w:szCs w:val="20"/>
        </w:rPr>
        <w:t>Fusarium</w:t>
      </w:r>
      <w:proofErr w:type="spellEnd"/>
      <w:r w:rsidR="001C47AA" w:rsidRPr="00161EA1">
        <w:rPr>
          <w:i/>
          <w:sz w:val="20"/>
          <w:szCs w:val="20"/>
        </w:rPr>
        <w:t xml:space="preserve">, </w:t>
      </w:r>
      <w:proofErr w:type="spellStart"/>
      <w:r w:rsidR="001C47AA" w:rsidRPr="00161EA1">
        <w:rPr>
          <w:i/>
          <w:sz w:val="20"/>
          <w:szCs w:val="20"/>
        </w:rPr>
        <w:t>Penicillium</w:t>
      </w:r>
      <w:proofErr w:type="spellEnd"/>
      <w:r w:rsidR="001C47AA" w:rsidRPr="00161EA1">
        <w:rPr>
          <w:i/>
          <w:sz w:val="20"/>
          <w:szCs w:val="20"/>
        </w:rPr>
        <w:t>,</w:t>
      </w:r>
      <w:r w:rsidR="001C47AA" w:rsidRPr="00161EA1">
        <w:rPr>
          <w:sz w:val="20"/>
          <w:szCs w:val="20"/>
        </w:rPr>
        <w:t xml:space="preserve"> </w:t>
      </w:r>
      <w:proofErr w:type="spellStart"/>
      <w:r w:rsidR="00E46663" w:rsidRPr="00161EA1">
        <w:rPr>
          <w:i/>
          <w:sz w:val="20"/>
          <w:szCs w:val="20"/>
        </w:rPr>
        <w:t>Geotric</w:t>
      </w:r>
      <w:r w:rsidR="001C47AA" w:rsidRPr="00161EA1">
        <w:rPr>
          <w:i/>
          <w:sz w:val="20"/>
          <w:szCs w:val="20"/>
        </w:rPr>
        <w:t>um</w:t>
      </w:r>
      <w:proofErr w:type="spellEnd"/>
      <w:r w:rsidR="001C47AA" w:rsidRPr="00161EA1">
        <w:rPr>
          <w:sz w:val="20"/>
          <w:szCs w:val="20"/>
        </w:rPr>
        <w:t xml:space="preserve"> and </w:t>
      </w:r>
      <w:proofErr w:type="spellStart"/>
      <w:r w:rsidR="00CF268C" w:rsidRPr="00161EA1">
        <w:rPr>
          <w:i/>
          <w:sz w:val="20"/>
          <w:szCs w:val="20"/>
        </w:rPr>
        <w:t>Cladosporuim</w:t>
      </w:r>
      <w:proofErr w:type="spellEnd"/>
      <w:r w:rsidR="001C47AA" w:rsidRPr="00161EA1">
        <w:rPr>
          <w:sz w:val="20"/>
          <w:szCs w:val="20"/>
        </w:rPr>
        <w:t xml:space="preserve">. The yeast was </w:t>
      </w:r>
      <w:proofErr w:type="spellStart"/>
      <w:r w:rsidR="001C47AA" w:rsidRPr="00161EA1">
        <w:rPr>
          <w:i/>
          <w:sz w:val="20"/>
          <w:szCs w:val="20"/>
        </w:rPr>
        <w:t>candida</w:t>
      </w:r>
      <w:proofErr w:type="spellEnd"/>
      <w:r w:rsidR="001C47AA" w:rsidRPr="00161EA1">
        <w:rPr>
          <w:sz w:val="20"/>
          <w:szCs w:val="20"/>
        </w:rPr>
        <w:t xml:space="preserve"> sp</w:t>
      </w:r>
      <w:r w:rsidR="00443B4C" w:rsidRPr="00161EA1">
        <w:rPr>
          <w:sz w:val="20"/>
          <w:szCs w:val="20"/>
        </w:rPr>
        <w:t>ecies</w:t>
      </w:r>
      <w:r w:rsidR="001C47AA" w:rsidRPr="00161EA1">
        <w:rPr>
          <w:sz w:val="20"/>
          <w:szCs w:val="20"/>
        </w:rPr>
        <w:t xml:space="preserve">. In marine water, the moulds were </w:t>
      </w:r>
      <w:proofErr w:type="spellStart"/>
      <w:r w:rsidR="001C47AA" w:rsidRPr="00161EA1">
        <w:rPr>
          <w:i/>
          <w:sz w:val="20"/>
          <w:szCs w:val="20"/>
        </w:rPr>
        <w:t>Aspergillus</w:t>
      </w:r>
      <w:proofErr w:type="spellEnd"/>
      <w:r w:rsidR="001C47AA" w:rsidRPr="00161EA1">
        <w:rPr>
          <w:sz w:val="20"/>
          <w:szCs w:val="20"/>
        </w:rPr>
        <w:t xml:space="preserve"> and </w:t>
      </w:r>
      <w:proofErr w:type="spellStart"/>
      <w:r w:rsidR="001C47AA" w:rsidRPr="00161EA1">
        <w:rPr>
          <w:i/>
          <w:sz w:val="20"/>
          <w:szCs w:val="20"/>
        </w:rPr>
        <w:t>Fusarium</w:t>
      </w:r>
      <w:proofErr w:type="spellEnd"/>
      <w:r w:rsidR="001C47AA" w:rsidRPr="00161EA1">
        <w:rPr>
          <w:i/>
          <w:sz w:val="20"/>
          <w:szCs w:val="20"/>
        </w:rPr>
        <w:t>.</w:t>
      </w:r>
      <w:r w:rsidR="001C47AA" w:rsidRPr="00161EA1">
        <w:rPr>
          <w:sz w:val="20"/>
          <w:szCs w:val="20"/>
        </w:rPr>
        <w:t xml:space="preserve"> </w:t>
      </w:r>
      <w:r w:rsidR="00C26F22" w:rsidRPr="00161EA1">
        <w:rPr>
          <w:sz w:val="20"/>
          <w:szCs w:val="20"/>
        </w:rPr>
        <w:t xml:space="preserve">Physicochemical </w:t>
      </w:r>
      <w:r w:rsidR="001C47AA" w:rsidRPr="00161EA1">
        <w:rPr>
          <w:sz w:val="20"/>
          <w:szCs w:val="20"/>
        </w:rPr>
        <w:t>parameter</w:t>
      </w:r>
      <w:r w:rsidR="00400CF4" w:rsidRPr="00161EA1">
        <w:rPr>
          <w:sz w:val="20"/>
          <w:szCs w:val="20"/>
        </w:rPr>
        <w:t>s monitored were</w:t>
      </w:r>
      <w:r w:rsidR="001C47AA" w:rsidRPr="00161EA1">
        <w:rPr>
          <w:sz w:val="20"/>
          <w:szCs w:val="20"/>
        </w:rPr>
        <w:t xml:space="preserve"> </w:t>
      </w:r>
      <w:r w:rsidR="00256E44" w:rsidRPr="00161EA1">
        <w:rPr>
          <w:sz w:val="20"/>
          <w:szCs w:val="20"/>
        </w:rPr>
        <w:t>p</w:t>
      </w:r>
      <w:r w:rsidR="001C47AA" w:rsidRPr="00161EA1">
        <w:rPr>
          <w:sz w:val="20"/>
          <w:szCs w:val="20"/>
        </w:rPr>
        <w:t>H, salinity, BOD, COD, TOC, DO, NO</w:t>
      </w:r>
      <w:r w:rsidR="00400CF4" w:rsidRPr="00161EA1">
        <w:rPr>
          <w:sz w:val="20"/>
          <w:szCs w:val="20"/>
          <w:vertAlign w:val="subscript"/>
        </w:rPr>
        <w:t>3</w:t>
      </w:r>
      <w:r w:rsidR="00400CF4" w:rsidRPr="00161EA1">
        <w:rPr>
          <w:sz w:val="20"/>
          <w:szCs w:val="20"/>
          <w:vertAlign w:val="superscript"/>
        </w:rPr>
        <w:t>2-</w:t>
      </w:r>
      <w:r w:rsidR="001C47AA" w:rsidRPr="00161EA1">
        <w:rPr>
          <w:sz w:val="20"/>
          <w:szCs w:val="20"/>
        </w:rPr>
        <w:t xml:space="preserve"> SO</w:t>
      </w:r>
      <w:r w:rsidR="00B7013C" w:rsidRPr="00161EA1">
        <w:rPr>
          <w:sz w:val="20"/>
          <w:szCs w:val="20"/>
          <w:vertAlign w:val="subscript"/>
        </w:rPr>
        <w:t>4</w:t>
      </w:r>
      <w:r w:rsidR="001C47AA" w:rsidRPr="00161EA1">
        <w:rPr>
          <w:sz w:val="20"/>
          <w:szCs w:val="20"/>
          <w:vertAlign w:val="superscript"/>
        </w:rPr>
        <w:t>2-</w:t>
      </w:r>
      <w:r w:rsidR="001C47AA" w:rsidRPr="00161EA1">
        <w:rPr>
          <w:sz w:val="20"/>
          <w:szCs w:val="20"/>
        </w:rPr>
        <w:t xml:space="preserve"> </w:t>
      </w:r>
      <w:r w:rsidR="00B7013C" w:rsidRPr="00161EA1">
        <w:rPr>
          <w:sz w:val="20"/>
          <w:szCs w:val="20"/>
        </w:rPr>
        <w:t>and PO</w:t>
      </w:r>
      <w:r w:rsidR="00B7013C" w:rsidRPr="00161EA1">
        <w:rPr>
          <w:sz w:val="20"/>
          <w:szCs w:val="20"/>
          <w:vertAlign w:val="subscript"/>
        </w:rPr>
        <w:t>4</w:t>
      </w:r>
      <w:r w:rsidR="00B7013C" w:rsidRPr="00161EA1">
        <w:rPr>
          <w:sz w:val="20"/>
          <w:szCs w:val="20"/>
          <w:vertAlign w:val="superscript"/>
        </w:rPr>
        <w:t>3-</w:t>
      </w:r>
      <w:r w:rsidR="00B7013C" w:rsidRPr="00161EA1">
        <w:rPr>
          <w:sz w:val="20"/>
          <w:szCs w:val="20"/>
        </w:rPr>
        <w:t xml:space="preserve">. </w:t>
      </w:r>
      <w:r w:rsidR="00F7451F" w:rsidRPr="00161EA1">
        <w:rPr>
          <w:sz w:val="20"/>
          <w:szCs w:val="20"/>
        </w:rPr>
        <w:t xml:space="preserve">The </w:t>
      </w:r>
      <w:r w:rsidR="00C500C7" w:rsidRPr="00161EA1">
        <w:rPr>
          <w:sz w:val="20"/>
          <w:szCs w:val="20"/>
        </w:rPr>
        <w:t>study indicates</w:t>
      </w:r>
      <w:r w:rsidR="00F7451F" w:rsidRPr="00161EA1">
        <w:rPr>
          <w:sz w:val="20"/>
          <w:szCs w:val="20"/>
        </w:rPr>
        <w:t xml:space="preserve"> that the lubricating brake fluids which are petroleum based were not readily biodegradable in fresh and marine aquatic ecosystems</w:t>
      </w:r>
      <w:r w:rsidR="00401184" w:rsidRPr="00161EA1">
        <w:rPr>
          <w:sz w:val="20"/>
          <w:szCs w:val="20"/>
        </w:rPr>
        <w:t>,</w:t>
      </w:r>
      <w:r w:rsidR="00F7451F" w:rsidRPr="00161EA1">
        <w:rPr>
          <w:sz w:val="20"/>
          <w:szCs w:val="20"/>
        </w:rPr>
        <w:t xml:space="preserve"> hence research into production of </w:t>
      </w:r>
      <w:proofErr w:type="spellStart"/>
      <w:r w:rsidR="00F7451F" w:rsidRPr="00161EA1">
        <w:rPr>
          <w:sz w:val="20"/>
          <w:szCs w:val="20"/>
        </w:rPr>
        <w:t>biobased</w:t>
      </w:r>
      <w:proofErr w:type="spellEnd"/>
      <w:r w:rsidR="00F7451F" w:rsidRPr="00161EA1">
        <w:rPr>
          <w:sz w:val="20"/>
          <w:szCs w:val="20"/>
        </w:rPr>
        <w:t xml:space="preserve"> lubricating oils that are environmentally friendly</w:t>
      </w:r>
      <w:r w:rsidR="00443B4C" w:rsidRPr="00161EA1">
        <w:rPr>
          <w:sz w:val="20"/>
          <w:szCs w:val="20"/>
        </w:rPr>
        <w:t>,</w:t>
      </w:r>
      <w:r w:rsidR="00F7451F" w:rsidRPr="00161EA1">
        <w:rPr>
          <w:sz w:val="20"/>
          <w:szCs w:val="20"/>
        </w:rPr>
        <w:t xml:space="preserve"> cost effective and efficient in performance is highly recommended</w:t>
      </w:r>
      <w:r w:rsidR="00401184" w:rsidRPr="00161EA1">
        <w:rPr>
          <w:sz w:val="20"/>
          <w:szCs w:val="20"/>
        </w:rPr>
        <w:t>.</w:t>
      </w:r>
    </w:p>
    <w:p w:rsidR="002C1F33" w:rsidRPr="00161EA1" w:rsidRDefault="002C1F33" w:rsidP="00F00BC7">
      <w:pPr>
        <w:pStyle w:val="Text"/>
        <w:snapToGrid w:val="0"/>
        <w:spacing w:line="240" w:lineRule="auto"/>
        <w:ind w:firstLine="0"/>
        <w:rPr>
          <w:rFonts w:eastAsiaTheme="minorEastAsia"/>
          <w:lang w:eastAsia="zh-CN"/>
        </w:rPr>
      </w:pPr>
      <w:proofErr w:type="gramStart"/>
      <w:r w:rsidRPr="00161EA1">
        <w:t>[</w:t>
      </w:r>
      <w:r w:rsidR="00F00BC7" w:rsidRPr="00161EA1">
        <w:rPr>
          <w:vertAlign w:val="superscript"/>
        </w:rPr>
        <w:t xml:space="preserve"> </w:t>
      </w:r>
      <w:proofErr w:type="spellStart"/>
      <w:r w:rsidR="00F00BC7" w:rsidRPr="00161EA1">
        <w:t>vincent</w:t>
      </w:r>
      <w:proofErr w:type="spellEnd"/>
      <w:proofErr w:type="gramEnd"/>
      <w:r w:rsidR="00F00BC7" w:rsidRPr="00161EA1">
        <w:t xml:space="preserve"> C. </w:t>
      </w:r>
      <w:proofErr w:type="spellStart"/>
      <w:r w:rsidR="00F00BC7" w:rsidRPr="00161EA1">
        <w:t>Wokem</w:t>
      </w:r>
      <w:proofErr w:type="spellEnd"/>
      <w:r w:rsidR="00F00BC7" w:rsidRPr="00161EA1">
        <w:t xml:space="preserve"> And</w:t>
      </w:r>
      <w:r w:rsidR="00161EA1">
        <w:t xml:space="preserve"> </w:t>
      </w:r>
      <w:proofErr w:type="spellStart"/>
      <w:r w:rsidR="00F00BC7" w:rsidRPr="00161EA1">
        <w:t>lucky</w:t>
      </w:r>
      <w:r w:rsidR="00161EA1">
        <w:t>.</w:t>
      </w:r>
      <w:r w:rsidR="00F00BC7" w:rsidRPr="00161EA1">
        <w:t>O</w:t>
      </w:r>
      <w:proofErr w:type="spellEnd"/>
      <w:r w:rsidR="00F00BC7" w:rsidRPr="00161EA1">
        <w:t xml:space="preserve">. </w:t>
      </w:r>
      <w:proofErr w:type="spellStart"/>
      <w:r w:rsidR="00F00BC7" w:rsidRPr="00161EA1">
        <w:t>Odokuma</w:t>
      </w:r>
      <w:proofErr w:type="spellEnd"/>
      <w:r w:rsidRPr="00161EA1">
        <w:t xml:space="preserve">. </w:t>
      </w:r>
      <w:proofErr w:type="gramStart"/>
      <w:r w:rsidR="00F00BC7" w:rsidRPr="00161EA1">
        <w:rPr>
          <w:b/>
        </w:rPr>
        <w:t>Biodegradability Of Unused Lubricating Brake Fluids In Fresh And Marine Ecosystem</w:t>
      </w:r>
      <w:r w:rsidRPr="00161EA1">
        <w:rPr>
          <w:rFonts w:eastAsia="Times New Roman"/>
          <w:b/>
          <w:bCs/>
          <w:lang w:bidi="fa-IR"/>
        </w:rPr>
        <w:t>.</w:t>
      </w:r>
      <w:proofErr w:type="gramEnd"/>
      <w:r w:rsidRPr="00161EA1">
        <w:rPr>
          <w:b/>
        </w:rPr>
        <w:t xml:space="preserve"> </w:t>
      </w:r>
      <w:r w:rsidRPr="00161EA1">
        <w:rPr>
          <w:rFonts w:eastAsia="Times New Roman"/>
          <w:bCs/>
          <w:i/>
        </w:rPr>
        <w:t>Rep Opinion</w:t>
      </w:r>
      <w:r w:rsidRPr="00161EA1">
        <w:rPr>
          <w:rFonts w:eastAsia="Times New Roman"/>
          <w:bCs/>
        </w:rPr>
        <w:t xml:space="preserve"> </w:t>
      </w:r>
      <w:r w:rsidRPr="00161EA1">
        <w:t>201</w:t>
      </w:r>
      <w:r w:rsidRPr="00161EA1">
        <w:rPr>
          <w:rFonts w:eastAsiaTheme="minorEastAsia" w:hint="eastAsia"/>
          <w:lang w:eastAsia="zh-CN"/>
        </w:rPr>
        <w:t>6</w:t>
      </w:r>
      <w:proofErr w:type="gramStart"/>
      <w:r w:rsidRPr="00161EA1">
        <w:t>;</w:t>
      </w:r>
      <w:r w:rsidRPr="00161EA1">
        <w:rPr>
          <w:rFonts w:eastAsiaTheme="minorEastAsia" w:hint="eastAsia"/>
          <w:lang w:eastAsia="zh-CN"/>
        </w:rPr>
        <w:t>8</w:t>
      </w:r>
      <w:proofErr w:type="gramEnd"/>
      <w:r w:rsidRPr="00161EA1">
        <w:t>(</w:t>
      </w:r>
      <w:r w:rsidRPr="00161EA1">
        <w:rPr>
          <w:rFonts w:eastAsiaTheme="minorEastAsia" w:hint="eastAsia"/>
          <w:lang w:eastAsia="zh-CN"/>
        </w:rPr>
        <w:t>5</w:t>
      </w:r>
      <w:r w:rsidRPr="00161EA1">
        <w:t>):</w:t>
      </w:r>
      <w:r w:rsidR="00834086" w:rsidRPr="00161EA1">
        <w:rPr>
          <w:noProof/>
          <w:color w:val="000000"/>
        </w:rPr>
        <w:t>50</w:t>
      </w:r>
      <w:r w:rsidRPr="00161EA1">
        <w:rPr>
          <w:color w:val="000000"/>
        </w:rPr>
        <w:t>-</w:t>
      </w:r>
      <w:r w:rsidR="00834086" w:rsidRPr="00161EA1">
        <w:rPr>
          <w:noProof/>
          <w:color w:val="000000"/>
        </w:rPr>
        <w:t>6</w:t>
      </w:r>
      <w:r w:rsidR="00161EA1">
        <w:rPr>
          <w:rFonts w:eastAsiaTheme="minorEastAsia" w:hint="eastAsia"/>
          <w:noProof/>
          <w:color w:val="000000"/>
          <w:lang w:eastAsia="zh-CN"/>
        </w:rPr>
        <w:t>1</w:t>
      </w:r>
      <w:r w:rsidRPr="00161EA1">
        <w:t xml:space="preserve">]. </w:t>
      </w:r>
      <w:proofErr w:type="gramStart"/>
      <w:r w:rsidRPr="00161EA1">
        <w:t>ISSN 1553-9873 (print); ISSN 2375-7205 (online).</w:t>
      </w:r>
      <w:proofErr w:type="gramEnd"/>
      <w:r w:rsidRPr="00161EA1">
        <w:t xml:space="preserve"> </w:t>
      </w:r>
      <w:hyperlink r:id="rId8" w:history="1">
        <w:r w:rsidRPr="00161EA1">
          <w:rPr>
            <w:rStyle w:val="Hyperlink"/>
            <w:color w:val="0000FF"/>
          </w:rPr>
          <w:t>http://www.sciencepub.net/report</w:t>
        </w:r>
      </w:hyperlink>
      <w:r w:rsidRPr="00161EA1">
        <w:rPr>
          <w:rFonts w:hint="eastAsia"/>
        </w:rPr>
        <w:t>.</w:t>
      </w:r>
      <w:r w:rsidRPr="00161EA1">
        <w:t xml:space="preserve"> </w:t>
      </w:r>
      <w:r w:rsidR="00F00BC7" w:rsidRPr="00161EA1">
        <w:rPr>
          <w:rFonts w:eastAsiaTheme="minorEastAsia" w:hint="eastAsia"/>
          <w:lang w:eastAsia="zh-CN"/>
        </w:rPr>
        <w:t>9</w:t>
      </w:r>
      <w:r w:rsidRPr="00161EA1">
        <w:rPr>
          <w:rFonts w:eastAsiaTheme="minorEastAsia" w:hint="eastAsia"/>
          <w:lang w:eastAsia="zh-CN"/>
        </w:rPr>
        <w:t xml:space="preserve">. </w:t>
      </w:r>
      <w:proofErr w:type="gramStart"/>
      <w:r w:rsidRPr="00161EA1">
        <w:rPr>
          <w:color w:val="000000"/>
          <w:shd w:val="clear" w:color="auto" w:fill="FFFFFF"/>
        </w:rPr>
        <w:t>doi</w:t>
      </w:r>
      <w:proofErr w:type="gramEnd"/>
      <w:r w:rsidRPr="00161EA1">
        <w:rPr>
          <w:color w:val="000000"/>
          <w:shd w:val="clear" w:color="auto" w:fill="FFFFFF"/>
        </w:rPr>
        <w:t>:</w:t>
      </w:r>
      <w:hyperlink r:id="rId9" w:history="1">
        <w:r w:rsidRPr="00161EA1">
          <w:rPr>
            <w:rStyle w:val="Hyperlink"/>
            <w:color w:val="0000FF"/>
            <w:shd w:val="clear" w:color="auto" w:fill="FFFFFF"/>
          </w:rPr>
          <w:t>10.7537/mars</w:t>
        </w:r>
        <w:r w:rsidRPr="00161EA1">
          <w:rPr>
            <w:rStyle w:val="Hyperlink"/>
            <w:rFonts w:hint="eastAsia"/>
            <w:color w:val="0000FF"/>
            <w:shd w:val="clear" w:color="auto" w:fill="FFFFFF"/>
          </w:rPr>
          <w:t>ro</w:t>
        </w:r>
        <w:r w:rsidRPr="00161EA1">
          <w:rPr>
            <w:rStyle w:val="Hyperlink"/>
            <w:color w:val="0000FF"/>
            <w:shd w:val="clear" w:color="auto" w:fill="FFFFFF"/>
          </w:rPr>
          <w:t>j</w:t>
        </w:r>
        <w:r w:rsidRPr="00161EA1">
          <w:rPr>
            <w:rStyle w:val="Hyperlink"/>
            <w:rFonts w:hint="eastAsia"/>
            <w:color w:val="0000FF"/>
            <w:shd w:val="clear" w:color="auto" w:fill="FFFFFF"/>
          </w:rPr>
          <w:t>0</w:t>
        </w:r>
        <w:r w:rsidRPr="00161EA1">
          <w:rPr>
            <w:rStyle w:val="Hyperlink"/>
            <w:rFonts w:eastAsiaTheme="minorEastAsia" w:hint="eastAsia"/>
            <w:color w:val="0000FF"/>
            <w:shd w:val="clear" w:color="auto" w:fill="FFFFFF"/>
            <w:lang w:eastAsia="zh-CN"/>
          </w:rPr>
          <w:t>805</w:t>
        </w:r>
        <w:r w:rsidRPr="00161EA1">
          <w:rPr>
            <w:rStyle w:val="Hyperlink"/>
            <w:color w:val="0000FF"/>
            <w:shd w:val="clear" w:color="auto" w:fill="FFFFFF"/>
          </w:rPr>
          <w:t>1</w:t>
        </w:r>
        <w:r w:rsidRPr="00161EA1">
          <w:rPr>
            <w:rStyle w:val="Hyperlink"/>
            <w:rFonts w:eastAsiaTheme="minorEastAsia" w:hint="eastAsia"/>
            <w:color w:val="0000FF"/>
            <w:shd w:val="clear" w:color="auto" w:fill="FFFFFF"/>
            <w:lang w:eastAsia="zh-CN"/>
          </w:rPr>
          <w:t>6</w:t>
        </w:r>
        <w:r w:rsidRPr="00161EA1">
          <w:rPr>
            <w:rStyle w:val="Hyperlink"/>
            <w:color w:val="0000FF"/>
            <w:shd w:val="clear" w:color="auto" w:fill="FFFFFF"/>
          </w:rPr>
          <w:t>0</w:t>
        </w:r>
        <w:r w:rsidR="00F00BC7" w:rsidRPr="00161EA1">
          <w:rPr>
            <w:rStyle w:val="Hyperlink"/>
            <w:rFonts w:eastAsiaTheme="minorEastAsia" w:hint="eastAsia"/>
            <w:color w:val="0000FF"/>
            <w:shd w:val="clear" w:color="auto" w:fill="FFFFFF"/>
            <w:lang w:eastAsia="zh-CN"/>
          </w:rPr>
          <w:t>9</w:t>
        </w:r>
      </w:hyperlink>
      <w:r w:rsidRPr="00161EA1">
        <w:rPr>
          <w:color w:val="000000"/>
          <w:shd w:val="clear" w:color="auto" w:fill="FFFFFF"/>
        </w:rPr>
        <w:t>.</w:t>
      </w:r>
    </w:p>
    <w:p w:rsidR="007F6A9D" w:rsidRPr="00161EA1" w:rsidRDefault="007F6A9D" w:rsidP="00F00BC7">
      <w:pPr>
        <w:snapToGrid w:val="0"/>
        <w:jc w:val="both"/>
        <w:rPr>
          <w:sz w:val="20"/>
          <w:szCs w:val="20"/>
        </w:rPr>
      </w:pPr>
    </w:p>
    <w:p w:rsidR="00A3564C" w:rsidRPr="00161EA1" w:rsidRDefault="007F6A9D" w:rsidP="00F00BC7">
      <w:pPr>
        <w:snapToGrid w:val="0"/>
        <w:jc w:val="both"/>
        <w:rPr>
          <w:sz w:val="20"/>
          <w:szCs w:val="20"/>
        </w:rPr>
      </w:pPr>
      <w:r w:rsidRPr="00161EA1">
        <w:rPr>
          <w:b/>
          <w:sz w:val="20"/>
          <w:szCs w:val="20"/>
        </w:rPr>
        <w:t>Key words:</w:t>
      </w:r>
      <w:r w:rsidR="00A3564C" w:rsidRPr="00161EA1">
        <w:rPr>
          <w:b/>
          <w:sz w:val="20"/>
          <w:szCs w:val="20"/>
        </w:rPr>
        <w:t xml:space="preserve"> </w:t>
      </w:r>
      <w:r w:rsidR="005E07BC" w:rsidRPr="00161EA1">
        <w:rPr>
          <w:sz w:val="20"/>
          <w:szCs w:val="20"/>
        </w:rPr>
        <w:t xml:space="preserve">Biodegradation, </w:t>
      </w:r>
      <w:r w:rsidRPr="00161EA1">
        <w:rPr>
          <w:sz w:val="20"/>
          <w:szCs w:val="20"/>
        </w:rPr>
        <w:t xml:space="preserve">Mineralization, Lubricating Oils, Biodegradability, Brake </w:t>
      </w:r>
      <w:r w:rsidR="00443B4C" w:rsidRPr="00161EA1">
        <w:rPr>
          <w:sz w:val="20"/>
          <w:szCs w:val="20"/>
        </w:rPr>
        <w:t>fluids</w:t>
      </w:r>
      <w:r w:rsidRPr="00161EA1">
        <w:rPr>
          <w:sz w:val="20"/>
          <w:szCs w:val="20"/>
        </w:rPr>
        <w:t>.</w:t>
      </w:r>
    </w:p>
    <w:p w:rsidR="00A3564C" w:rsidRPr="00161EA1" w:rsidRDefault="00A3564C" w:rsidP="00F00BC7">
      <w:pPr>
        <w:snapToGrid w:val="0"/>
        <w:jc w:val="both"/>
        <w:rPr>
          <w:sz w:val="20"/>
          <w:szCs w:val="20"/>
        </w:rPr>
      </w:pPr>
    </w:p>
    <w:p w:rsidR="00F00BC7" w:rsidRPr="00161EA1" w:rsidRDefault="00F00BC7" w:rsidP="00F00BC7">
      <w:pPr>
        <w:snapToGrid w:val="0"/>
        <w:jc w:val="both"/>
        <w:rPr>
          <w:b/>
          <w:sz w:val="20"/>
          <w:szCs w:val="20"/>
        </w:rPr>
        <w:sectPr w:rsidR="00F00BC7" w:rsidRPr="00161EA1" w:rsidSect="00834086">
          <w:headerReference w:type="default" r:id="rId10"/>
          <w:footerReference w:type="even" r:id="rId11"/>
          <w:footerReference w:type="default" r:id="rId12"/>
          <w:type w:val="continuous"/>
          <w:pgSz w:w="12240" w:h="15840" w:code="1"/>
          <w:pgMar w:top="1440" w:right="1440" w:bottom="1440" w:left="1440" w:header="720" w:footer="720" w:gutter="0"/>
          <w:pgNumType w:start="50"/>
          <w:cols w:space="720"/>
          <w:docGrid w:linePitch="360"/>
        </w:sectPr>
      </w:pPr>
    </w:p>
    <w:p w:rsidR="00920F42" w:rsidRPr="00161EA1" w:rsidRDefault="00F00BC7" w:rsidP="00F00BC7">
      <w:pPr>
        <w:snapToGrid w:val="0"/>
        <w:jc w:val="both"/>
        <w:rPr>
          <w:sz w:val="20"/>
          <w:szCs w:val="20"/>
        </w:rPr>
      </w:pPr>
      <w:r w:rsidRPr="00161EA1">
        <w:rPr>
          <w:b/>
          <w:sz w:val="20"/>
          <w:szCs w:val="20"/>
        </w:rPr>
        <w:lastRenderedPageBreak/>
        <w:t>1. Introduction</w:t>
      </w:r>
    </w:p>
    <w:p w:rsidR="00A3564C" w:rsidRPr="00161EA1" w:rsidRDefault="00630D01" w:rsidP="00F00BC7">
      <w:pPr>
        <w:snapToGrid w:val="0"/>
        <w:ind w:firstLine="425"/>
        <w:jc w:val="both"/>
        <w:rPr>
          <w:sz w:val="20"/>
          <w:szCs w:val="20"/>
        </w:rPr>
      </w:pPr>
      <w:r w:rsidRPr="00161EA1">
        <w:rPr>
          <w:sz w:val="20"/>
          <w:szCs w:val="20"/>
        </w:rPr>
        <w:t>Hydraulic fluids (brake fluids) are fluids that are used in machines that perform work through transfer of power from one location to another.</w:t>
      </w:r>
      <w:r w:rsidRPr="00161EA1">
        <w:rPr>
          <w:b/>
          <w:sz w:val="20"/>
          <w:szCs w:val="20"/>
        </w:rPr>
        <w:t xml:space="preserve"> </w:t>
      </w:r>
      <w:r w:rsidRPr="00161EA1">
        <w:rPr>
          <w:sz w:val="20"/>
          <w:szCs w:val="20"/>
        </w:rPr>
        <w:t>In addition to transferring power, hydraulic fluids much lubricate, transfer heat and be compatible with other materials such as seals, gaskets and metal components in the system. Most</w:t>
      </w:r>
      <w:r w:rsidR="00DF3027" w:rsidRPr="00161EA1">
        <w:rPr>
          <w:sz w:val="20"/>
          <w:szCs w:val="20"/>
        </w:rPr>
        <w:t xml:space="preserve"> brake glycol fluid</w:t>
      </w:r>
      <w:r w:rsidR="00AC155E" w:rsidRPr="00161EA1">
        <w:rPr>
          <w:sz w:val="20"/>
          <w:szCs w:val="20"/>
        </w:rPr>
        <w:t>s</w:t>
      </w:r>
      <w:r w:rsidR="00DF3027" w:rsidRPr="00161EA1">
        <w:rPr>
          <w:sz w:val="20"/>
          <w:szCs w:val="20"/>
        </w:rPr>
        <w:t xml:space="preserve"> used today are glycol-either based, </w:t>
      </w:r>
      <w:r w:rsidR="00AC155E" w:rsidRPr="00161EA1">
        <w:rPr>
          <w:sz w:val="20"/>
          <w:szCs w:val="20"/>
        </w:rPr>
        <w:t xml:space="preserve">but mineral oil and silicone based fluids are available. They contain a base fluid, metal corrosion inhibitor, and an antioxidant (Givens and Michael, 2003; </w:t>
      </w:r>
      <w:proofErr w:type="spellStart"/>
      <w:r w:rsidR="00AC155E" w:rsidRPr="00161EA1">
        <w:rPr>
          <w:sz w:val="20"/>
          <w:szCs w:val="20"/>
        </w:rPr>
        <w:t>Placek</w:t>
      </w:r>
      <w:proofErr w:type="spellEnd"/>
      <w:r w:rsidR="00AC155E" w:rsidRPr="00161EA1">
        <w:rPr>
          <w:sz w:val="20"/>
          <w:szCs w:val="20"/>
        </w:rPr>
        <w:t>, 2006).</w:t>
      </w:r>
    </w:p>
    <w:p w:rsidR="00A3564C" w:rsidRPr="00161EA1" w:rsidRDefault="00AC155E" w:rsidP="00F00BC7">
      <w:pPr>
        <w:snapToGrid w:val="0"/>
        <w:ind w:firstLine="425"/>
        <w:jc w:val="both"/>
        <w:rPr>
          <w:sz w:val="20"/>
          <w:szCs w:val="20"/>
        </w:rPr>
      </w:pPr>
      <w:r w:rsidRPr="00161EA1">
        <w:rPr>
          <w:sz w:val="20"/>
          <w:szCs w:val="20"/>
        </w:rPr>
        <w:t>Hydraulic</w:t>
      </w:r>
      <w:r w:rsidR="00630D01" w:rsidRPr="00161EA1">
        <w:rPr>
          <w:sz w:val="20"/>
          <w:szCs w:val="20"/>
        </w:rPr>
        <w:t xml:space="preserve"> fluids are petroleum – based (</w:t>
      </w:r>
      <w:proofErr w:type="spellStart"/>
      <w:r w:rsidR="00630D01" w:rsidRPr="00161EA1">
        <w:rPr>
          <w:sz w:val="20"/>
          <w:szCs w:val="20"/>
        </w:rPr>
        <w:t>Mortier</w:t>
      </w:r>
      <w:proofErr w:type="spellEnd"/>
      <w:r w:rsidR="00630D01" w:rsidRPr="00161EA1">
        <w:rPr>
          <w:sz w:val="20"/>
          <w:szCs w:val="20"/>
        </w:rPr>
        <w:t xml:space="preserve"> and </w:t>
      </w:r>
      <w:proofErr w:type="spellStart"/>
      <w:r w:rsidR="00630D01" w:rsidRPr="00161EA1">
        <w:rPr>
          <w:sz w:val="20"/>
          <w:szCs w:val="20"/>
        </w:rPr>
        <w:t>Orszuliki</w:t>
      </w:r>
      <w:proofErr w:type="spellEnd"/>
      <w:r w:rsidR="00630D01" w:rsidRPr="00161EA1">
        <w:rPr>
          <w:sz w:val="20"/>
          <w:szCs w:val="20"/>
        </w:rPr>
        <w:t xml:space="preserve">, 1992). Hydraulic fluids are essentially hydrocarbons and their release to the environment are referred to as petroleum contamination which results from leaking above ground and underground storage tanks, high –pressure hydraulic lines that fractures, including carelessness of automobile technicians. All </w:t>
      </w:r>
      <w:r w:rsidR="00923515" w:rsidRPr="00161EA1">
        <w:rPr>
          <w:sz w:val="20"/>
          <w:szCs w:val="20"/>
        </w:rPr>
        <w:t>these contribute</w:t>
      </w:r>
      <w:r w:rsidR="00630D01" w:rsidRPr="00161EA1">
        <w:rPr>
          <w:sz w:val="20"/>
          <w:szCs w:val="20"/>
        </w:rPr>
        <w:t xml:space="preserve"> to the environmental burden (</w:t>
      </w:r>
      <w:proofErr w:type="spellStart"/>
      <w:r w:rsidR="00630D01" w:rsidRPr="00161EA1">
        <w:rPr>
          <w:sz w:val="20"/>
          <w:szCs w:val="20"/>
        </w:rPr>
        <w:t>Betton</w:t>
      </w:r>
      <w:proofErr w:type="spellEnd"/>
      <w:r w:rsidR="00630D01" w:rsidRPr="00161EA1">
        <w:rPr>
          <w:sz w:val="20"/>
          <w:szCs w:val="20"/>
        </w:rPr>
        <w:t xml:space="preserve">, 1992). Hydraulic fluids contain variable amounts of </w:t>
      </w:r>
      <w:r w:rsidR="00630D01" w:rsidRPr="00161EA1">
        <w:rPr>
          <w:sz w:val="20"/>
          <w:szCs w:val="20"/>
        </w:rPr>
        <w:lastRenderedPageBreak/>
        <w:t xml:space="preserve">chemical substances toxic to humans and/or other organisms in terrestrial and aquatic </w:t>
      </w:r>
      <w:r w:rsidR="0072234A" w:rsidRPr="00161EA1">
        <w:rPr>
          <w:sz w:val="20"/>
          <w:szCs w:val="20"/>
        </w:rPr>
        <w:t>environments</w:t>
      </w:r>
      <w:r w:rsidR="00E751C8" w:rsidRPr="00161EA1">
        <w:rPr>
          <w:sz w:val="20"/>
          <w:szCs w:val="20"/>
        </w:rPr>
        <w:t xml:space="preserve">. It is estimated that, approximately 50% of all lubricating oils sold worldwide end up in the environment via total loss applications, volatility, spills or accident. More than 95% of these materials are currently mineral </w:t>
      </w:r>
      <w:r w:rsidR="003167C4" w:rsidRPr="00161EA1">
        <w:rPr>
          <w:sz w:val="20"/>
          <w:szCs w:val="20"/>
        </w:rPr>
        <w:t>oil based.</w:t>
      </w:r>
    </w:p>
    <w:p w:rsidR="00A3564C" w:rsidRPr="00161EA1" w:rsidRDefault="003167C4" w:rsidP="00F00BC7">
      <w:pPr>
        <w:snapToGrid w:val="0"/>
        <w:ind w:firstLine="425"/>
        <w:jc w:val="both"/>
        <w:rPr>
          <w:sz w:val="20"/>
          <w:szCs w:val="20"/>
        </w:rPr>
      </w:pPr>
      <w:r w:rsidRPr="00161EA1">
        <w:rPr>
          <w:sz w:val="20"/>
          <w:szCs w:val="20"/>
        </w:rPr>
        <w:t xml:space="preserve">In view of their high </w:t>
      </w:r>
      <w:proofErr w:type="spellStart"/>
      <w:r w:rsidRPr="00161EA1">
        <w:rPr>
          <w:sz w:val="20"/>
          <w:szCs w:val="20"/>
        </w:rPr>
        <w:t>ecotoxicity</w:t>
      </w:r>
      <w:proofErr w:type="spellEnd"/>
      <w:r w:rsidRPr="00161EA1">
        <w:rPr>
          <w:sz w:val="20"/>
          <w:szCs w:val="20"/>
        </w:rPr>
        <w:t xml:space="preserve"> and low biodegradability, mineral oil based lubricating oils constitute a conside</w:t>
      </w:r>
      <w:r w:rsidR="00A3564C" w:rsidRPr="00161EA1">
        <w:rPr>
          <w:sz w:val="20"/>
          <w:szCs w:val="20"/>
        </w:rPr>
        <w:t>rable threat to the environment</w:t>
      </w:r>
      <w:r w:rsidR="00E751C8" w:rsidRPr="00161EA1">
        <w:rPr>
          <w:sz w:val="20"/>
          <w:szCs w:val="20"/>
        </w:rPr>
        <w:t xml:space="preserve"> </w:t>
      </w:r>
      <w:r w:rsidR="0072234A" w:rsidRPr="00161EA1">
        <w:rPr>
          <w:sz w:val="20"/>
          <w:szCs w:val="20"/>
        </w:rPr>
        <w:t>(</w:t>
      </w:r>
      <w:proofErr w:type="spellStart"/>
      <w:r w:rsidRPr="00161EA1">
        <w:rPr>
          <w:sz w:val="20"/>
          <w:szCs w:val="20"/>
        </w:rPr>
        <w:t>Leth</w:t>
      </w:r>
      <w:proofErr w:type="spellEnd"/>
      <w:r w:rsidRPr="00161EA1">
        <w:rPr>
          <w:sz w:val="20"/>
          <w:szCs w:val="20"/>
        </w:rPr>
        <w:t xml:space="preserve"> and </w:t>
      </w:r>
      <w:proofErr w:type="spellStart"/>
      <w:r w:rsidRPr="00161EA1">
        <w:rPr>
          <w:sz w:val="20"/>
          <w:szCs w:val="20"/>
        </w:rPr>
        <w:t>Gregesen</w:t>
      </w:r>
      <w:proofErr w:type="spellEnd"/>
      <w:r w:rsidRPr="00161EA1">
        <w:rPr>
          <w:sz w:val="20"/>
          <w:szCs w:val="20"/>
        </w:rPr>
        <w:t xml:space="preserve">, 2005; Manfred, 2006; Takahashi </w:t>
      </w:r>
      <w:r w:rsidRPr="00161EA1">
        <w:rPr>
          <w:i/>
          <w:sz w:val="20"/>
          <w:szCs w:val="20"/>
        </w:rPr>
        <w:t>et al</w:t>
      </w:r>
      <w:r w:rsidRPr="00161EA1">
        <w:rPr>
          <w:sz w:val="20"/>
          <w:szCs w:val="20"/>
        </w:rPr>
        <w:t>., 2007; APHA, 2012</w:t>
      </w:r>
      <w:r w:rsidR="0072234A" w:rsidRPr="00161EA1">
        <w:rPr>
          <w:sz w:val="20"/>
          <w:szCs w:val="20"/>
        </w:rPr>
        <w:t xml:space="preserve">). An immediate effect of the presence of </w:t>
      </w:r>
      <w:r w:rsidR="00F14BEB" w:rsidRPr="00161EA1">
        <w:rPr>
          <w:sz w:val="20"/>
          <w:szCs w:val="20"/>
        </w:rPr>
        <w:t>hydraulic fluid</w:t>
      </w:r>
      <w:r w:rsidR="00F52D1A" w:rsidRPr="00161EA1">
        <w:rPr>
          <w:sz w:val="20"/>
          <w:szCs w:val="20"/>
        </w:rPr>
        <w:t xml:space="preserve"> in the soil is a decrease</w:t>
      </w:r>
      <w:r w:rsidR="0072234A" w:rsidRPr="00161EA1">
        <w:rPr>
          <w:sz w:val="20"/>
          <w:szCs w:val="20"/>
        </w:rPr>
        <w:t xml:space="preserve"> in the population of soil microorganisms. The aquatic environment is the most severely threatened by oil pollution (</w:t>
      </w:r>
      <w:proofErr w:type="spellStart"/>
      <w:r w:rsidR="0072234A" w:rsidRPr="00161EA1">
        <w:rPr>
          <w:sz w:val="20"/>
          <w:szCs w:val="20"/>
        </w:rPr>
        <w:t>Anka</w:t>
      </w:r>
      <w:proofErr w:type="spellEnd"/>
      <w:r w:rsidR="0072234A" w:rsidRPr="00161EA1">
        <w:rPr>
          <w:sz w:val="20"/>
          <w:szCs w:val="20"/>
        </w:rPr>
        <w:t xml:space="preserve"> </w:t>
      </w:r>
      <w:r w:rsidR="0072234A" w:rsidRPr="00161EA1">
        <w:rPr>
          <w:i/>
          <w:sz w:val="20"/>
          <w:szCs w:val="20"/>
        </w:rPr>
        <w:t xml:space="preserve">et al; </w:t>
      </w:r>
      <w:r w:rsidR="0072234A" w:rsidRPr="00161EA1">
        <w:rPr>
          <w:sz w:val="20"/>
          <w:szCs w:val="20"/>
        </w:rPr>
        <w:t>1998). When various products ge</w:t>
      </w:r>
      <w:r w:rsidR="00066A80" w:rsidRPr="00161EA1">
        <w:rPr>
          <w:sz w:val="20"/>
          <w:szCs w:val="20"/>
        </w:rPr>
        <w:t>t</w:t>
      </w:r>
      <w:r w:rsidR="0072234A" w:rsidRPr="00161EA1">
        <w:rPr>
          <w:sz w:val="20"/>
          <w:szCs w:val="20"/>
        </w:rPr>
        <w:t xml:space="preserve">s into the water bodies, they may be biodegraded by the indigenous microorganisms </w:t>
      </w:r>
      <w:r w:rsidR="00066A80" w:rsidRPr="00161EA1">
        <w:rPr>
          <w:sz w:val="20"/>
          <w:szCs w:val="20"/>
        </w:rPr>
        <w:t>(</w:t>
      </w:r>
      <w:proofErr w:type="spellStart"/>
      <w:r w:rsidR="0072234A" w:rsidRPr="00161EA1">
        <w:rPr>
          <w:sz w:val="20"/>
          <w:szCs w:val="20"/>
        </w:rPr>
        <w:t>Odokuma</w:t>
      </w:r>
      <w:proofErr w:type="spellEnd"/>
      <w:r w:rsidR="0072234A" w:rsidRPr="00161EA1">
        <w:rPr>
          <w:sz w:val="20"/>
          <w:szCs w:val="20"/>
        </w:rPr>
        <w:t xml:space="preserve"> and </w:t>
      </w:r>
      <w:proofErr w:type="spellStart"/>
      <w:r w:rsidR="00066A80" w:rsidRPr="00161EA1">
        <w:rPr>
          <w:sz w:val="20"/>
          <w:szCs w:val="20"/>
        </w:rPr>
        <w:t>Otakunefor</w:t>
      </w:r>
      <w:proofErr w:type="spellEnd"/>
      <w:r w:rsidR="00066A80" w:rsidRPr="00161EA1">
        <w:rPr>
          <w:sz w:val="20"/>
          <w:szCs w:val="20"/>
        </w:rPr>
        <w:t xml:space="preserve"> </w:t>
      </w:r>
      <w:r w:rsidR="00B84A00" w:rsidRPr="00161EA1">
        <w:rPr>
          <w:sz w:val="20"/>
          <w:szCs w:val="20"/>
        </w:rPr>
        <w:t>2003</w:t>
      </w:r>
      <w:r w:rsidR="00066A80" w:rsidRPr="00161EA1">
        <w:rPr>
          <w:sz w:val="20"/>
          <w:szCs w:val="20"/>
        </w:rPr>
        <w:t>;</w:t>
      </w:r>
      <w:r w:rsidR="00B84A00" w:rsidRPr="00161EA1">
        <w:rPr>
          <w:sz w:val="20"/>
          <w:szCs w:val="20"/>
        </w:rPr>
        <w:t xml:space="preserve"> </w:t>
      </w:r>
      <w:proofErr w:type="spellStart"/>
      <w:r w:rsidR="00B84A00" w:rsidRPr="00161EA1">
        <w:rPr>
          <w:sz w:val="20"/>
          <w:szCs w:val="20"/>
        </w:rPr>
        <w:t>Adesodu</w:t>
      </w:r>
      <w:proofErr w:type="spellEnd"/>
      <w:r w:rsidR="00B84A00" w:rsidRPr="00161EA1">
        <w:rPr>
          <w:sz w:val="20"/>
          <w:szCs w:val="20"/>
        </w:rPr>
        <w:t xml:space="preserve"> and </w:t>
      </w:r>
      <w:proofErr w:type="spellStart"/>
      <w:r w:rsidR="00B84A00" w:rsidRPr="00161EA1">
        <w:rPr>
          <w:sz w:val="20"/>
          <w:szCs w:val="20"/>
        </w:rPr>
        <w:t>Mbagwu</w:t>
      </w:r>
      <w:proofErr w:type="spellEnd"/>
      <w:r w:rsidR="00B84A00" w:rsidRPr="00161EA1">
        <w:rPr>
          <w:sz w:val="20"/>
          <w:szCs w:val="20"/>
        </w:rPr>
        <w:t>, 2008</w:t>
      </w:r>
      <w:r w:rsidR="00066A80" w:rsidRPr="00161EA1">
        <w:rPr>
          <w:sz w:val="20"/>
          <w:szCs w:val="20"/>
        </w:rPr>
        <w:t>;</w:t>
      </w:r>
      <w:r w:rsidR="0078253F" w:rsidRPr="00161EA1">
        <w:rPr>
          <w:sz w:val="20"/>
          <w:szCs w:val="20"/>
        </w:rPr>
        <w:t xml:space="preserve"> </w:t>
      </w:r>
      <w:proofErr w:type="spellStart"/>
      <w:r w:rsidR="0078253F" w:rsidRPr="00161EA1">
        <w:rPr>
          <w:sz w:val="20"/>
          <w:szCs w:val="20"/>
        </w:rPr>
        <w:t>Agarry</w:t>
      </w:r>
      <w:proofErr w:type="spellEnd"/>
      <w:r w:rsidR="0078253F" w:rsidRPr="00161EA1">
        <w:rPr>
          <w:sz w:val="20"/>
          <w:szCs w:val="20"/>
        </w:rPr>
        <w:t xml:space="preserve"> </w:t>
      </w:r>
      <w:r w:rsidR="0078253F" w:rsidRPr="00161EA1">
        <w:rPr>
          <w:i/>
          <w:sz w:val="20"/>
          <w:szCs w:val="20"/>
        </w:rPr>
        <w:t>et al</w:t>
      </w:r>
      <w:r w:rsidR="00066A80" w:rsidRPr="00161EA1">
        <w:rPr>
          <w:i/>
          <w:sz w:val="20"/>
          <w:szCs w:val="20"/>
        </w:rPr>
        <w:t>.,</w:t>
      </w:r>
      <w:r w:rsidR="0078253F" w:rsidRPr="00161EA1">
        <w:rPr>
          <w:sz w:val="20"/>
          <w:szCs w:val="20"/>
        </w:rPr>
        <w:t xml:space="preserve"> 2010). They may pose toxicity problems </w:t>
      </w:r>
      <w:r w:rsidR="0078253F" w:rsidRPr="00161EA1">
        <w:rPr>
          <w:sz w:val="20"/>
          <w:szCs w:val="20"/>
        </w:rPr>
        <w:lastRenderedPageBreak/>
        <w:t xml:space="preserve">to the </w:t>
      </w:r>
      <w:r w:rsidR="00434059" w:rsidRPr="00161EA1">
        <w:rPr>
          <w:sz w:val="20"/>
          <w:szCs w:val="20"/>
        </w:rPr>
        <w:t>indigenous</w:t>
      </w:r>
      <w:r w:rsidR="0078253F" w:rsidRPr="00161EA1">
        <w:rPr>
          <w:sz w:val="20"/>
          <w:szCs w:val="20"/>
        </w:rPr>
        <w:t xml:space="preserve"> </w:t>
      </w:r>
      <w:proofErr w:type="spellStart"/>
      <w:r w:rsidR="0078253F" w:rsidRPr="00161EA1">
        <w:rPr>
          <w:sz w:val="20"/>
          <w:szCs w:val="20"/>
        </w:rPr>
        <w:t>microflora</w:t>
      </w:r>
      <w:proofErr w:type="spellEnd"/>
      <w:r w:rsidR="0078253F" w:rsidRPr="00161EA1">
        <w:rPr>
          <w:sz w:val="20"/>
          <w:szCs w:val="20"/>
        </w:rPr>
        <w:t xml:space="preserve"> (</w:t>
      </w:r>
      <w:proofErr w:type="spellStart"/>
      <w:r w:rsidR="00066A80" w:rsidRPr="00161EA1">
        <w:rPr>
          <w:sz w:val="20"/>
          <w:szCs w:val="20"/>
        </w:rPr>
        <w:t>Okpokwasili</w:t>
      </w:r>
      <w:proofErr w:type="spellEnd"/>
      <w:r w:rsidR="00066A80" w:rsidRPr="00161EA1">
        <w:rPr>
          <w:sz w:val="20"/>
          <w:szCs w:val="20"/>
        </w:rPr>
        <w:t xml:space="preserve"> and </w:t>
      </w:r>
      <w:proofErr w:type="spellStart"/>
      <w:r w:rsidR="00066A80" w:rsidRPr="00161EA1">
        <w:rPr>
          <w:sz w:val="20"/>
          <w:szCs w:val="20"/>
        </w:rPr>
        <w:t>Odokuma</w:t>
      </w:r>
      <w:proofErr w:type="spellEnd"/>
      <w:r w:rsidR="00066A80" w:rsidRPr="00161EA1">
        <w:rPr>
          <w:sz w:val="20"/>
          <w:szCs w:val="20"/>
        </w:rPr>
        <w:t>, 1996;</w:t>
      </w:r>
      <w:r w:rsidR="002045C6" w:rsidRPr="00161EA1">
        <w:rPr>
          <w:sz w:val="20"/>
          <w:szCs w:val="20"/>
        </w:rPr>
        <w:t xml:space="preserve"> Barron </w:t>
      </w:r>
      <w:r w:rsidR="002045C6" w:rsidRPr="00161EA1">
        <w:rPr>
          <w:i/>
          <w:sz w:val="20"/>
          <w:szCs w:val="20"/>
        </w:rPr>
        <w:t>et al</w:t>
      </w:r>
      <w:r w:rsidR="00066A80" w:rsidRPr="00161EA1">
        <w:rPr>
          <w:i/>
          <w:sz w:val="20"/>
          <w:szCs w:val="20"/>
        </w:rPr>
        <w:t>.,</w:t>
      </w:r>
      <w:r w:rsidR="002045C6" w:rsidRPr="00161EA1">
        <w:rPr>
          <w:sz w:val="20"/>
          <w:szCs w:val="20"/>
        </w:rPr>
        <w:t xml:space="preserve"> 2003</w:t>
      </w:r>
      <w:r w:rsidR="0078253F" w:rsidRPr="00161EA1">
        <w:rPr>
          <w:sz w:val="20"/>
          <w:szCs w:val="20"/>
        </w:rPr>
        <w:t>)</w:t>
      </w:r>
      <w:r w:rsidR="002045C6" w:rsidRPr="00161EA1">
        <w:rPr>
          <w:sz w:val="20"/>
          <w:szCs w:val="20"/>
        </w:rPr>
        <w:t>.</w:t>
      </w:r>
    </w:p>
    <w:p w:rsidR="00EC38F0" w:rsidRPr="00161EA1" w:rsidRDefault="00434059" w:rsidP="00F00BC7">
      <w:pPr>
        <w:snapToGrid w:val="0"/>
        <w:ind w:firstLine="425"/>
        <w:jc w:val="both"/>
        <w:rPr>
          <w:sz w:val="20"/>
          <w:szCs w:val="20"/>
        </w:rPr>
      </w:pPr>
      <w:r w:rsidRPr="00161EA1">
        <w:rPr>
          <w:sz w:val="20"/>
          <w:szCs w:val="20"/>
        </w:rPr>
        <w:t>Biodegradability, a mea</w:t>
      </w:r>
      <w:r w:rsidR="002045C6" w:rsidRPr="00161EA1">
        <w:rPr>
          <w:sz w:val="20"/>
          <w:szCs w:val="20"/>
        </w:rPr>
        <w:t>sure of the extent by which organic compound is biodegraded or totally utilized by microorganisms resulting in the production of carbon dioxide, water, mineral salts and new biological cellular constituents (</w:t>
      </w:r>
      <w:proofErr w:type="spellStart"/>
      <w:r w:rsidR="002045C6" w:rsidRPr="00161EA1">
        <w:rPr>
          <w:sz w:val="20"/>
          <w:szCs w:val="20"/>
        </w:rPr>
        <w:t>biomas</w:t>
      </w:r>
      <w:proofErr w:type="spellEnd"/>
      <w:r w:rsidR="00B84A00" w:rsidRPr="00161EA1">
        <w:rPr>
          <w:sz w:val="20"/>
          <w:szCs w:val="20"/>
        </w:rPr>
        <w:t>)</w:t>
      </w:r>
      <w:r w:rsidR="002045C6" w:rsidRPr="00161EA1">
        <w:rPr>
          <w:sz w:val="20"/>
          <w:szCs w:val="20"/>
        </w:rPr>
        <w:t>. This is also know</w:t>
      </w:r>
      <w:r w:rsidR="00066A80" w:rsidRPr="00161EA1">
        <w:rPr>
          <w:sz w:val="20"/>
          <w:szCs w:val="20"/>
        </w:rPr>
        <w:t>n</w:t>
      </w:r>
      <w:r w:rsidR="002045C6" w:rsidRPr="00161EA1">
        <w:rPr>
          <w:sz w:val="20"/>
          <w:szCs w:val="20"/>
        </w:rPr>
        <w:t xml:space="preserve"> as mineralization (Atlas, 1984). It has provided </w:t>
      </w:r>
      <w:r w:rsidR="00F52D1A" w:rsidRPr="00161EA1">
        <w:rPr>
          <w:sz w:val="20"/>
          <w:szCs w:val="20"/>
        </w:rPr>
        <w:t xml:space="preserve">a standard guide for assessing </w:t>
      </w:r>
      <w:r w:rsidR="003F70CF" w:rsidRPr="00161EA1">
        <w:rPr>
          <w:sz w:val="20"/>
          <w:szCs w:val="20"/>
        </w:rPr>
        <w:t>t</w:t>
      </w:r>
      <w:r w:rsidR="002045C6" w:rsidRPr="00161EA1">
        <w:rPr>
          <w:sz w:val="20"/>
          <w:szCs w:val="20"/>
        </w:rPr>
        <w:t xml:space="preserve">he degree of </w:t>
      </w:r>
      <w:r w:rsidR="003F70CF" w:rsidRPr="00161EA1">
        <w:rPr>
          <w:sz w:val="20"/>
          <w:szCs w:val="20"/>
        </w:rPr>
        <w:t>biodegradation</w:t>
      </w:r>
      <w:r w:rsidR="002045C6" w:rsidRPr="00161EA1">
        <w:rPr>
          <w:sz w:val="20"/>
          <w:szCs w:val="20"/>
        </w:rPr>
        <w:t xml:space="preserve"> of pollutants in a given ecosystem (ASTM, 2003).</w:t>
      </w:r>
      <w:r w:rsidR="00F52D1A" w:rsidRPr="00161EA1">
        <w:rPr>
          <w:sz w:val="20"/>
          <w:szCs w:val="20"/>
        </w:rPr>
        <w:t xml:space="preserve"> The biodegradation process relies on microorganisms,</w:t>
      </w:r>
      <w:r w:rsidR="003F70CF" w:rsidRPr="00161EA1">
        <w:rPr>
          <w:sz w:val="20"/>
          <w:szCs w:val="20"/>
        </w:rPr>
        <w:t xml:space="preserve"> to break down chemical substances. Certain chemical structures are more susceptible to microbial break down than others, for example vegetable oils will biodegrade more rapidly than petroleum oils (Madsen, 1996; Manfred, 2006). </w:t>
      </w:r>
      <w:r w:rsidR="002045C6" w:rsidRPr="00161EA1">
        <w:rPr>
          <w:sz w:val="20"/>
          <w:szCs w:val="20"/>
        </w:rPr>
        <w:t xml:space="preserve">The objective of this study therefore was to evaluate the biodegradability of four lubricating hydraulic brake fluids (Total brake fluid; </w:t>
      </w:r>
      <w:r w:rsidR="003F5D25" w:rsidRPr="00161EA1">
        <w:rPr>
          <w:sz w:val="20"/>
          <w:szCs w:val="20"/>
        </w:rPr>
        <w:t xml:space="preserve">allied brake fluid, </w:t>
      </w:r>
      <w:proofErr w:type="spellStart"/>
      <w:r w:rsidR="003F5D25" w:rsidRPr="00161EA1">
        <w:rPr>
          <w:sz w:val="20"/>
          <w:szCs w:val="20"/>
        </w:rPr>
        <w:t>Oando</w:t>
      </w:r>
      <w:proofErr w:type="spellEnd"/>
      <w:r w:rsidR="003F5D25" w:rsidRPr="00161EA1">
        <w:rPr>
          <w:sz w:val="20"/>
          <w:szCs w:val="20"/>
        </w:rPr>
        <w:t xml:space="preserve"> </w:t>
      </w:r>
      <w:r w:rsidR="002045C6" w:rsidRPr="00161EA1">
        <w:rPr>
          <w:sz w:val="20"/>
          <w:szCs w:val="20"/>
        </w:rPr>
        <w:t>brake fluid and Ate brake fluid) in fresh and marine aquati</w:t>
      </w:r>
      <w:r w:rsidR="00EC38F0" w:rsidRPr="00161EA1">
        <w:rPr>
          <w:sz w:val="20"/>
          <w:szCs w:val="20"/>
        </w:rPr>
        <w:t>c ecosystems of the Niger Delta.</w:t>
      </w:r>
    </w:p>
    <w:p w:rsidR="00A3564C" w:rsidRPr="00161EA1" w:rsidRDefault="00A3564C" w:rsidP="00F00BC7">
      <w:pPr>
        <w:snapToGrid w:val="0"/>
        <w:jc w:val="both"/>
        <w:rPr>
          <w:b/>
          <w:sz w:val="20"/>
          <w:szCs w:val="20"/>
        </w:rPr>
      </w:pPr>
    </w:p>
    <w:p w:rsidR="00EC38F0" w:rsidRPr="00161EA1" w:rsidRDefault="00F00BC7" w:rsidP="00F00BC7">
      <w:pPr>
        <w:snapToGrid w:val="0"/>
        <w:jc w:val="both"/>
        <w:rPr>
          <w:b/>
          <w:sz w:val="20"/>
          <w:szCs w:val="20"/>
        </w:rPr>
      </w:pPr>
      <w:r w:rsidRPr="00161EA1">
        <w:rPr>
          <w:b/>
          <w:sz w:val="20"/>
          <w:szCs w:val="20"/>
        </w:rPr>
        <w:t xml:space="preserve">2. Materials </w:t>
      </w:r>
      <w:proofErr w:type="gramStart"/>
      <w:r w:rsidRPr="00161EA1">
        <w:rPr>
          <w:b/>
          <w:sz w:val="20"/>
          <w:szCs w:val="20"/>
        </w:rPr>
        <w:t>And</w:t>
      </w:r>
      <w:proofErr w:type="gramEnd"/>
      <w:r w:rsidRPr="00161EA1">
        <w:rPr>
          <w:b/>
          <w:sz w:val="20"/>
          <w:szCs w:val="20"/>
        </w:rPr>
        <w:t xml:space="preserve"> Methods</w:t>
      </w:r>
    </w:p>
    <w:p w:rsidR="00A3564C" w:rsidRPr="00161EA1" w:rsidRDefault="00A3564C" w:rsidP="00F00BC7">
      <w:pPr>
        <w:snapToGrid w:val="0"/>
        <w:jc w:val="both"/>
        <w:rPr>
          <w:b/>
          <w:sz w:val="20"/>
          <w:szCs w:val="20"/>
        </w:rPr>
      </w:pPr>
      <w:r w:rsidRPr="00161EA1">
        <w:rPr>
          <w:b/>
          <w:sz w:val="20"/>
          <w:szCs w:val="20"/>
        </w:rPr>
        <w:t>2.1. Sample</w:t>
      </w:r>
    </w:p>
    <w:p w:rsidR="0095557C" w:rsidRPr="00161EA1" w:rsidRDefault="00EC38F0" w:rsidP="00F00BC7">
      <w:pPr>
        <w:snapToGrid w:val="0"/>
        <w:ind w:firstLine="425"/>
        <w:jc w:val="both"/>
        <w:rPr>
          <w:sz w:val="20"/>
          <w:szCs w:val="20"/>
        </w:rPr>
      </w:pPr>
      <w:r w:rsidRPr="00161EA1">
        <w:rPr>
          <w:sz w:val="20"/>
          <w:szCs w:val="20"/>
        </w:rPr>
        <w:t xml:space="preserve">Fresh water sample was obtained from </w:t>
      </w:r>
      <w:proofErr w:type="spellStart"/>
      <w:r w:rsidRPr="00161EA1">
        <w:rPr>
          <w:sz w:val="20"/>
          <w:szCs w:val="20"/>
        </w:rPr>
        <w:t>Isiokpo</w:t>
      </w:r>
      <w:proofErr w:type="spellEnd"/>
      <w:r w:rsidRPr="00161EA1">
        <w:rPr>
          <w:sz w:val="20"/>
          <w:szCs w:val="20"/>
        </w:rPr>
        <w:t xml:space="preserve"> </w:t>
      </w:r>
      <w:r w:rsidR="003F5D25" w:rsidRPr="00161EA1">
        <w:rPr>
          <w:sz w:val="20"/>
          <w:szCs w:val="20"/>
        </w:rPr>
        <w:t>s</w:t>
      </w:r>
      <w:r w:rsidRPr="00161EA1">
        <w:rPr>
          <w:sz w:val="20"/>
          <w:szCs w:val="20"/>
        </w:rPr>
        <w:t xml:space="preserve">tream in </w:t>
      </w:r>
      <w:proofErr w:type="spellStart"/>
      <w:r w:rsidRPr="00161EA1">
        <w:rPr>
          <w:sz w:val="20"/>
          <w:szCs w:val="20"/>
        </w:rPr>
        <w:t>Ikwerre</w:t>
      </w:r>
      <w:proofErr w:type="spellEnd"/>
      <w:r w:rsidRPr="00161EA1">
        <w:rPr>
          <w:sz w:val="20"/>
          <w:szCs w:val="20"/>
        </w:rPr>
        <w:t xml:space="preserve"> Local Government Area of Rivers State, while marine water sample was collected from </w:t>
      </w:r>
      <w:proofErr w:type="gramStart"/>
      <w:r w:rsidRPr="00161EA1">
        <w:rPr>
          <w:sz w:val="20"/>
          <w:szCs w:val="20"/>
        </w:rPr>
        <w:t>Bonny</w:t>
      </w:r>
      <w:proofErr w:type="gramEnd"/>
      <w:r w:rsidRPr="00161EA1">
        <w:rPr>
          <w:sz w:val="20"/>
          <w:szCs w:val="20"/>
        </w:rPr>
        <w:t xml:space="preserve"> </w:t>
      </w:r>
      <w:r w:rsidR="003F5D25" w:rsidRPr="00161EA1">
        <w:rPr>
          <w:sz w:val="20"/>
          <w:szCs w:val="20"/>
        </w:rPr>
        <w:t>r</w:t>
      </w:r>
      <w:r w:rsidRPr="00161EA1">
        <w:rPr>
          <w:sz w:val="20"/>
          <w:szCs w:val="20"/>
        </w:rPr>
        <w:t>iver estuary of Rivers State. 4litre plastic con</w:t>
      </w:r>
      <w:r w:rsidR="003F5D25" w:rsidRPr="00161EA1">
        <w:rPr>
          <w:sz w:val="20"/>
          <w:szCs w:val="20"/>
        </w:rPr>
        <w:t>tainers</w:t>
      </w:r>
      <w:r w:rsidRPr="00161EA1">
        <w:rPr>
          <w:sz w:val="20"/>
          <w:szCs w:val="20"/>
        </w:rPr>
        <w:t xml:space="preserve"> were employed. Samples were capped and transported in </w:t>
      </w:r>
      <w:r w:rsidR="003F5D25" w:rsidRPr="00161EA1">
        <w:rPr>
          <w:sz w:val="20"/>
          <w:szCs w:val="20"/>
        </w:rPr>
        <w:t>Ice Park</w:t>
      </w:r>
      <w:r w:rsidRPr="00161EA1">
        <w:rPr>
          <w:sz w:val="20"/>
          <w:szCs w:val="20"/>
        </w:rPr>
        <w:t xml:space="preserve"> to the laboratory. Analyses were carried out and samples were stored in refrigerator at 4</w:t>
      </w:r>
      <w:r w:rsidRPr="00161EA1">
        <w:rPr>
          <w:sz w:val="20"/>
          <w:szCs w:val="20"/>
          <w:vertAlign w:val="superscript"/>
        </w:rPr>
        <w:t>o</w:t>
      </w:r>
      <w:r w:rsidRPr="00161EA1">
        <w:rPr>
          <w:sz w:val="20"/>
          <w:szCs w:val="20"/>
        </w:rPr>
        <w:t>C</w:t>
      </w:r>
      <w:r w:rsidR="008415A5" w:rsidRPr="00161EA1">
        <w:rPr>
          <w:sz w:val="20"/>
          <w:szCs w:val="20"/>
        </w:rPr>
        <w:t>.</w:t>
      </w:r>
      <w:r w:rsidR="00161EA1">
        <w:rPr>
          <w:rFonts w:hint="eastAsia"/>
          <w:sz w:val="20"/>
          <w:szCs w:val="20"/>
          <w:lang w:eastAsia="zh-CN"/>
        </w:rPr>
        <w:t xml:space="preserve"> </w:t>
      </w:r>
      <w:r w:rsidR="00224E51" w:rsidRPr="00161EA1">
        <w:rPr>
          <w:sz w:val="20"/>
          <w:szCs w:val="20"/>
        </w:rPr>
        <w:t xml:space="preserve">The lubricating hydraulic brake fluids used in this study were obtained from the company’s </w:t>
      </w:r>
      <w:r w:rsidR="003F5D25" w:rsidRPr="00161EA1">
        <w:rPr>
          <w:sz w:val="20"/>
          <w:szCs w:val="20"/>
        </w:rPr>
        <w:t>headquarters</w:t>
      </w:r>
      <w:r w:rsidR="00224E51" w:rsidRPr="00161EA1">
        <w:rPr>
          <w:sz w:val="20"/>
          <w:szCs w:val="20"/>
        </w:rPr>
        <w:t xml:space="preserve">, and major distributors located in Port Harcourt, Nigeria. All reagents employed in this study were of analytical grade and were obtained from BPH Chemical Ltd, Poole, England. Nutrient </w:t>
      </w:r>
      <w:proofErr w:type="gramStart"/>
      <w:r w:rsidR="00224E51" w:rsidRPr="00161EA1">
        <w:rPr>
          <w:sz w:val="20"/>
          <w:szCs w:val="20"/>
        </w:rPr>
        <w:t>Agar,</w:t>
      </w:r>
      <w:proofErr w:type="gramEnd"/>
      <w:r w:rsidR="00224E51" w:rsidRPr="00161EA1">
        <w:rPr>
          <w:sz w:val="20"/>
          <w:szCs w:val="20"/>
        </w:rPr>
        <w:t xml:space="preserve"> and Potato Dextrose Agar were obtained from International Diagnostic Groups, Lancashire, England. Filter paper (</w:t>
      </w:r>
      <w:proofErr w:type="spellStart"/>
      <w:r w:rsidR="00224E51" w:rsidRPr="00161EA1">
        <w:rPr>
          <w:sz w:val="20"/>
          <w:szCs w:val="20"/>
        </w:rPr>
        <w:t>Whatman</w:t>
      </w:r>
      <w:proofErr w:type="spellEnd"/>
      <w:r w:rsidR="00224E51" w:rsidRPr="00161EA1">
        <w:rPr>
          <w:sz w:val="20"/>
          <w:szCs w:val="20"/>
        </w:rPr>
        <w:t xml:space="preserve"> No. 1) WER </w:t>
      </w:r>
      <w:proofErr w:type="spellStart"/>
      <w:r w:rsidR="00224E51" w:rsidRPr="00161EA1">
        <w:rPr>
          <w:sz w:val="20"/>
          <w:szCs w:val="20"/>
        </w:rPr>
        <w:t>Bauston</w:t>
      </w:r>
      <w:proofErr w:type="spellEnd"/>
      <w:r w:rsidR="00224E51" w:rsidRPr="00161EA1">
        <w:rPr>
          <w:sz w:val="20"/>
          <w:szCs w:val="20"/>
        </w:rPr>
        <w:t xml:space="preserve"> Ltd</w:t>
      </w:r>
      <w:r w:rsidR="00B43A5D" w:rsidRPr="00161EA1">
        <w:rPr>
          <w:sz w:val="20"/>
          <w:szCs w:val="20"/>
        </w:rPr>
        <w:t>,</w:t>
      </w:r>
      <w:r w:rsidR="00224E51" w:rsidRPr="00161EA1">
        <w:rPr>
          <w:sz w:val="20"/>
          <w:szCs w:val="20"/>
        </w:rPr>
        <w:t xml:space="preserve"> London were also used. The Bonny </w:t>
      </w:r>
      <w:r w:rsidR="0095557C" w:rsidRPr="00161EA1">
        <w:rPr>
          <w:sz w:val="20"/>
          <w:szCs w:val="20"/>
        </w:rPr>
        <w:t>Light crude used was obtained from Shell Petroleum Development Company (SPDC) Port Harcourt.</w:t>
      </w:r>
    </w:p>
    <w:p w:rsidR="0095557C" w:rsidRPr="00161EA1" w:rsidRDefault="00A3564C" w:rsidP="00F00BC7">
      <w:pPr>
        <w:snapToGrid w:val="0"/>
        <w:jc w:val="both"/>
        <w:rPr>
          <w:b/>
          <w:sz w:val="20"/>
          <w:szCs w:val="20"/>
        </w:rPr>
      </w:pPr>
      <w:r w:rsidRPr="00161EA1">
        <w:rPr>
          <w:b/>
          <w:sz w:val="20"/>
          <w:szCs w:val="20"/>
        </w:rPr>
        <w:t xml:space="preserve">2.2. </w:t>
      </w:r>
      <w:r w:rsidR="0095557C" w:rsidRPr="00161EA1">
        <w:rPr>
          <w:b/>
          <w:sz w:val="20"/>
          <w:szCs w:val="20"/>
        </w:rPr>
        <w:t>Preliminary Toxicity Test (Range Finding)</w:t>
      </w:r>
    </w:p>
    <w:p w:rsidR="00E5381D" w:rsidRPr="00161EA1" w:rsidRDefault="0095557C" w:rsidP="00F00BC7">
      <w:pPr>
        <w:snapToGrid w:val="0"/>
        <w:ind w:firstLine="425"/>
        <w:jc w:val="both"/>
        <w:rPr>
          <w:sz w:val="20"/>
          <w:szCs w:val="20"/>
        </w:rPr>
      </w:pPr>
      <w:r w:rsidRPr="00161EA1">
        <w:rPr>
          <w:sz w:val="20"/>
          <w:szCs w:val="20"/>
        </w:rPr>
        <w:t xml:space="preserve">This was carried out to determine the non toxic concentrations of the various hydraulic brake fluids to the </w:t>
      </w:r>
      <w:proofErr w:type="spellStart"/>
      <w:r w:rsidRPr="00161EA1">
        <w:rPr>
          <w:sz w:val="20"/>
          <w:szCs w:val="20"/>
        </w:rPr>
        <w:t>indegenious</w:t>
      </w:r>
      <w:proofErr w:type="spellEnd"/>
      <w:r w:rsidRPr="00161EA1">
        <w:rPr>
          <w:sz w:val="20"/>
          <w:szCs w:val="20"/>
        </w:rPr>
        <w:t xml:space="preserve"> </w:t>
      </w:r>
      <w:proofErr w:type="spellStart"/>
      <w:r w:rsidRPr="00161EA1">
        <w:rPr>
          <w:sz w:val="20"/>
          <w:szCs w:val="20"/>
        </w:rPr>
        <w:t>microflora</w:t>
      </w:r>
      <w:proofErr w:type="spellEnd"/>
      <w:r w:rsidRPr="00161EA1">
        <w:rPr>
          <w:sz w:val="20"/>
          <w:szCs w:val="20"/>
        </w:rPr>
        <w:t xml:space="preserve"> of the fresh and marine water samples. It involved plating out in duplicates 0.lml of serial dilutions of water sample on Mineral Salt Agar (MSA) using spread </w:t>
      </w:r>
      <w:r w:rsidR="00E5381D" w:rsidRPr="00161EA1">
        <w:rPr>
          <w:sz w:val="20"/>
          <w:szCs w:val="20"/>
        </w:rPr>
        <w:t>plate method (APHA, 1998) containing different concentrations of brake fluids and incubating at room temperature (28±2</w:t>
      </w:r>
      <w:r w:rsidR="00E5381D" w:rsidRPr="00161EA1">
        <w:rPr>
          <w:sz w:val="20"/>
          <w:szCs w:val="20"/>
          <w:vertAlign w:val="superscript"/>
        </w:rPr>
        <w:t>0</w:t>
      </w:r>
      <w:r w:rsidR="00E5381D" w:rsidRPr="00161EA1">
        <w:rPr>
          <w:sz w:val="20"/>
          <w:szCs w:val="20"/>
        </w:rPr>
        <w:t xml:space="preserve">C) for 48h. </w:t>
      </w:r>
      <w:r w:rsidR="000F36E0" w:rsidRPr="00161EA1">
        <w:rPr>
          <w:sz w:val="20"/>
          <w:szCs w:val="20"/>
        </w:rPr>
        <w:t xml:space="preserve">Concentrations of the test hydraulic brake </w:t>
      </w:r>
      <w:r w:rsidR="00E5381D" w:rsidRPr="00161EA1">
        <w:rPr>
          <w:sz w:val="20"/>
          <w:szCs w:val="20"/>
        </w:rPr>
        <w:t>fluids employed were 100mg/l</w:t>
      </w:r>
      <w:r w:rsidR="00B43A5D" w:rsidRPr="00161EA1">
        <w:rPr>
          <w:sz w:val="20"/>
          <w:szCs w:val="20"/>
        </w:rPr>
        <w:t>,</w:t>
      </w:r>
      <w:r w:rsidR="00E5381D" w:rsidRPr="00161EA1">
        <w:rPr>
          <w:sz w:val="20"/>
          <w:szCs w:val="20"/>
        </w:rPr>
        <w:t xml:space="preserve"> 10mg/l, 1.0mg/l, 0.lmg/l and 0.0lmg/l respectively. This was performed </w:t>
      </w:r>
      <w:r w:rsidR="00E5381D" w:rsidRPr="00161EA1">
        <w:rPr>
          <w:sz w:val="20"/>
          <w:szCs w:val="20"/>
        </w:rPr>
        <w:lastRenderedPageBreak/>
        <w:t xml:space="preserve">by a </w:t>
      </w:r>
      <w:proofErr w:type="spellStart"/>
      <w:r w:rsidR="00E5381D" w:rsidRPr="00161EA1">
        <w:rPr>
          <w:sz w:val="20"/>
          <w:szCs w:val="20"/>
        </w:rPr>
        <w:t>ten fold</w:t>
      </w:r>
      <w:proofErr w:type="spellEnd"/>
      <w:r w:rsidR="00E5381D" w:rsidRPr="00161EA1">
        <w:rPr>
          <w:sz w:val="20"/>
          <w:szCs w:val="20"/>
        </w:rPr>
        <w:t xml:space="preserve"> serial dilution of each brake fluid. Aseptically</w:t>
      </w:r>
      <w:r w:rsidR="00B43A5D" w:rsidRPr="00161EA1">
        <w:rPr>
          <w:sz w:val="20"/>
          <w:szCs w:val="20"/>
        </w:rPr>
        <w:t>,</w:t>
      </w:r>
      <w:r w:rsidR="00E5381D" w:rsidRPr="00161EA1">
        <w:rPr>
          <w:sz w:val="20"/>
          <w:szCs w:val="20"/>
        </w:rPr>
        <w:t xml:space="preserve"> 1.0ml of brake fluid was transferred into the 10</w:t>
      </w:r>
      <w:r w:rsidR="00E5381D" w:rsidRPr="00161EA1">
        <w:rPr>
          <w:sz w:val="20"/>
          <w:szCs w:val="20"/>
          <w:vertAlign w:val="superscript"/>
        </w:rPr>
        <w:t>-1</w:t>
      </w:r>
      <w:r w:rsidR="00E5381D" w:rsidRPr="00161EA1">
        <w:rPr>
          <w:sz w:val="20"/>
          <w:szCs w:val="20"/>
        </w:rPr>
        <w:t xml:space="preserve"> flask containing 100ml of water source. This was thoroughly mixed and 1.0ml of the mixture was transferred to 10</w:t>
      </w:r>
      <w:r w:rsidR="00E5381D" w:rsidRPr="00161EA1">
        <w:rPr>
          <w:sz w:val="20"/>
          <w:szCs w:val="20"/>
          <w:vertAlign w:val="superscript"/>
        </w:rPr>
        <w:t>-2</w:t>
      </w:r>
      <w:r w:rsidR="00B43A5D" w:rsidRPr="00161EA1">
        <w:rPr>
          <w:sz w:val="20"/>
          <w:szCs w:val="20"/>
        </w:rPr>
        <w:t xml:space="preserve"> flask containing 99ml of the</w:t>
      </w:r>
      <w:r w:rsidR="00E5381D" w:rsidRPr="00161EA1">
        <w:rPr>
          <w:sz w:val="20"/>
          <w:szCs w:val="20"/>
        </w:rPr>
        <w:t xml:space="preserve"> water sample. The procedure was repeated up to 10</w:t>
      </w:r>
      <w:r w:rsidR="00E5381D" w:rsidRPr="00161EA1">
        <w:rPr>
          <w:sz w:val="20"/>
          <w:szCs w:val="20"/>
          <w:vertAlign w:val="superscript"/>
        </w:rPr>
        <w:t>-5</w:t>
      </w:r>
      <w:r w:rsidR="00E5381D" w:rsidRPr="00161EA1">
        <w:rPr>
          <w:sz w:val="20"/>
          <w:szCs w:val="20"/>
        </w:rPr>
        <w:t xml:space="preserve"> flask containing 99ml of water source. </w:t>
      </w:r>
      <w:r w:rsidR="00B43A5D" w:rsidRPr="00161EA1">
        <w:rPr>
          <w:sz w:val="20"/>
          <w:szCs w:val="20"/>
        </w:rPr>
        <w:t>Enumeration of colonies was</w:t>
      </w:r>
      <w:r w:rsidR="00E5381D" w:rsidRPr="00161EA1">
        <w:rPr>
          <w:sz w:val="20"/>
          <w:szCs w:val="20"/>
        </w:rPr>
        <w:t xml:space="preserve"> carried out after incubation at room temperature (28±2</w:t>
      </w:r>
      <w:r w:rsidR="00E5381D" w:rsidRPr="00161EA1">
        <w:rPr>
          <w:sz w:val="20"/>
          <w:szCs w:val="20"/>
          <w:vertAlign w:val="superscript"/>
        </w:rPr>
        <w:t>0</w:t>
      </w:r>
      <w:r w:rsidR="000F36E0" w:rsidRPr="00161EA1">
        <w:rPr>
          <w:sz w:val="20"/>
          <w:szCs w:val="20"/>
        </w:rPr>
        <w:t>C) for 48h</w:t>
      </w:r>
      <w:r w:rsidR="00E5381D" w:rsidRPr="00161EA1">
        <w:rPr>
          <w:sz w:val="20"/>
          <w:szCs w:val="20"/>
        </w:rPr>
        <w:t xml:space="preserve"> (Table 1).</w:t>
      </w:r>
    </w:p>
    <w:p w:rsidR="00FA6CBD" w:rsidRPr="00161EA1" w:rsidRDefault="00A3564C" w:rsidP="00F00BC7">
      <w:pPr>
        <w:snapToGrid w:val="0"/>
        <w:jc w:val="both"/>
        <w:rPr>
          <w:b/>
          <w:sz w:val="20"/>
          <w:szCs w:val="20"/>
        </w:rPr>
      </w:pPr>
      <w:r w:rsidRPr="00161EA1">
        <w:rPr>
          <w:b/>
          <w:sz w:val="20"/>
          <w:szCs w:val="20"/>
        </w:rPr>
        <w:t xml:space="preserve">2.3. </w:t>
      </w:r>
      <w:r w:rsidR="00E5381D" w:rsidRPr="00161EA1">
        <w:rPr>
          <w:b/>
          <w:sz w:val="20"/>
          <w:szCs w:val="20"/>
        </w:rPr>
        <w:t>Enumeration of Microbial Populations</w:t>
      </w:r>
    </w:p>
    <w:p w:rsidR="000A0E5C" w:rsidRPr="00161EA1" w:rsidRDefault="00D82673" w:rsidP="00F00BC7">
      <w:pPr>
        <w:snapToGrid w:val="0"/>
        <w:ind w:firstLine="425"/>
        <w:jc w:val="both"/>
        <w:rPr>
          <w:sz w:val="20"/>
          <w:szCs w:val="20"/>
        </w:rPr>
      </w:pPr>
      <w:r w:rsidRPr="00161EA1">
        <w:rPr>
          <w:sz w:val="20"/>
          <w:szCs w:val="20"/>
        </w:rPr>
        <w:t>The Total Heterotrophic Bacterial</w:t>
      </w:r>
      <w:r w:rsidR="00E5381D" w:rsidRPr="00161EA1">
        <w:rPr>
          <w:sz w:val="20"/>
          <w:szCs w:val="20"/>
        </w:rPr>
        <w:t xml:space="preserve"> (THB) count of water samples and total viable bacterial count </w:t>
      </w:r>
      <w:r w:rsidR="000A0E5C" w:rsidRPr="00161EA1">
        <w:rPr>
          <w:sz w:val="20"/>
          <w:szCs w:val="20"/>
        </w:rPr>
        <w:t>(TVC) during the preliminary toxicity test were carried out on nutrient agar (</w:t>
      </w:r>
      <w:proofErr w:type="spellStart"/>
      <w:r w:rsidR="000A0E5C" w:rsidRPr="00161EA1">
        <w:rPr>
          <w:sz w:val="20"/>
          <w:szCs w:val="20"/>
        </w:rPr>
        <w:t>oxoid</w:t>
      </w:r>
      <w:proofErr w:type="spellEnd"/>
      <w:r w:rsidR="000A0E5C" w:rsidRPr="00161EA1">
        <w:rPr>
          <w:sz w:val="20"/>
          <w:szCs w:val="20"/>
        </w:rPr>
        <w:t>) using the spread plate method (APHA, 1998). Plates were properly labeled and incubated at 37</w:t>
      </w:r>
      <w:r w:rsidR="000A0E5C" w:rsidRPr="00161EA1">
        <w:rPr>
          <w:sz w:val="20"/>
          <w:szCs w:val="20"/>
          <w:vertAlign w:val="superscript"/>
        </w:rPr>
        <w:t>0</w:t>
      </w:r>
      <w:r w:rsidR="000A0E5C" w:rsidRPr="00161EA1">
        <w:rPr>
          <w:sz w:val="20"/>
          <w:szCs w:val="20"/>
        </w:rPr>
        <w:t>C for 24h after which the plates were examined for colony formation and e</w:t>
      </w:r>
      <w:r w:rsidR="00F21AC4" w:rsidRPr="00161EA1">
        <w:rPr>
          <w:sz w:val="20"/>
          <w:szCs w:val="20"/>
        </w:rPr>
        <w:t>num</w:t>
      </w:r>
      <w:r w:rsidR="000A0E5C" w:rsidRPr="00161EA1">
        <w:rPr>
          <w:sz w:val="20"/>
          <w:szCs w:val="20"/>
        </w:rPr>
        <w:t>eration.</w:t>
      </w:r>
      <w:r w:rsidR="00F21AC4" w:rsidRPr="00161EA1">
        <w:rPr>
          <w:sz w:val="20"/>
          <w:szCs w:val="20"/>
        </w:rPr>
        <w:t xml:space="preserve"> </w:t>
      </w:r>
      <w:r w:rsidR="000A0E5C" w:rsidRPr="00161EA1">
        <w:rPr>
          <w:sz w:val="20"/>
          <w:szCs w:val="20"/>
        </w:rPr>
        <w:t xml:space="preserve">The Hydrocarbon Utilizing Bacterial (HUB) count of water samples was performed in duplicates on MSA of Mills </w:t>
      </w:r>
      <w:r w:rsidR="000A0E5C" w:rsidRPr="00161EA1">
        <w:rPr>
          <w:i/>
          <w:sz w:val="20"/>
          <w:szCs w:val="20"/>
        </w:rPr>
        <w:t>et al</w:t>
      </w:r>
      <w:r w:rsidR="006A23CB" w:rsidRPr="00161EA1">
        <w:rPr>
          <w:i/>
          <w:sz w:val="20"/>
          <w:szCs w:val="20"/>
        </w:rPr>
        <w:t>.,</w:t>
      </w:r>
      <w:r w:rsidR="000A0E5C" w:rsidRPr="00161EA1">
        <w:rPr>
          <w:sz w:val="20"/>
          <w:szCs w:val="20"/>
        </w:rPr>
        <w:t xml:space="preserve"> (</w:t>
      </w:r>
      <w:r w:rsidR="009F16F6" w:rsidRPr="00161EA1">
        <w:rPr>
          <w:sz w:val="20"/>
          <w:szCs w:val="20"/>
        </w:rPr>
        <w:t xml:space="preserve">1978) as modified by </w:t>
      </w:r>
      <w:proofErr w:type="spellStart"/>
      <w:r w:rsidR="009F16F6" w:rsidRPr="00161EA1">
        <w:rPr>
          <w:sz w:val="20"/>
          <w:szCs w:val="20"/>
        </w:rPr>
        <w:t>Okpokwasili</w:t>
      </w:r>
      <w:proofErr w:type="spellEnd"/>
      <w:r w:rsidR="000A0E5C" w:rsidRPr="00161EA1">
        <w:rPr>
          <w:sz w:val="20"/>
          <w:szCs w:val="20"/>
        </w:rPr>
        <w:t xml:space="preserve"> and </w:t>
      </w:r>
      <w:proofErr w:type="spellStart"/>
      <w:r w:rsidR="000A0E5C" w:rsidRPr="00161EA1">
        <w:rPr>
          <w:sz w:val="20"/>
          <w:szCs w:val="20"/>
        </w:rPr>
        <w:t>Odokuma</w:t>
      </w:r>
      <w:proofErr w:type="spellEnd"/>
      <w:r w:rsidR="000A0E5C" w:rsidRPr="00161EA1">
        <w:rPr>
          <w:sz w:val="20"/>
          <w:szCs w:val="20"/>
        </w:rPr>
        <w:t xml:space="preserve"> (1990). Sterile filter papers (</w:t>
      </w:r>
      <w:proofErr w:type="spellStart"/>
      <w:r w:rsidR="000A0E5C" w:rsidRPr="00161EA1">
        <w:rPr>
          <w:sz w:val="20"/>
          <w:szCs w:val="20"/>
        </w:rPr>
        <w:t>What</w:t>
      </w:r>
      <w:r w:rsidR="006A23CB" w:rsidRPr="00161EA1">
        <w:rPr>
          <w:sz w:val="20"/>
          <w:szCs w:val="20"/>
        </w:rPr>
        <w:t>man</w:t>
      </w:r>
      <w:proofErr w:type="spellEnd"/>
      <w:r w:rsidR="000A0E5C" w:rsidRPr="00161EA1">
        <w:rPr>
          <w:sz w:val="20"/>
          <w:szCs w:val="20"/>
        </w:rPr>
        <w:t xml:space="preserve"> No. 1) saturated with Bonny light crude oil </w:t>
      </w:r>
      <w:proofErr w:type="gramStart"/>
      <w:r w:rsidR="000A0E5C" w:rsidRPr="00161EA1">
        <w:rPr>
          <w:sz w:val="20"/>
          <w:szCs w:val="20"/>
        </w:rPr>
        <w:t>were</w:t>
      </w:r>
      <w:proofErr w:type="gramEnd"/>
      <w:r w:rsidR="000A0E5C" w:rsidRPr="00161EA1">
        <w:rPr>
          <w:sz w:val="20"/>
          <w:szCs w:val="20"/>
        </w:rPr>
        <w:t xml:space="preserve"> aseptically placed on the inside cover of each plate and kept in an inverted position and incubated at 30</w:t>
      </w:r>
      <w:r w:rsidR="000A0E5C" w:rsidRPr="00161EA1">
        <w:rPr>
          <w:sz w:val="20"/>
          <w:szCs w:val="20"/>
          <w:vertAlign w:val="superscript"/>
        </w:rPr>
        <w:t>0</w:t>
      </w:r>
      <w:r w:rsidR="000A0E5C" w:rsidRPr="00161EA1">
        <w:rPr>
          <w:sz w:val="20"/>
          <w:szCs w:val="20"/>
        </w:rPr>
        <w:t>C for 48h. The same method was employed for Hydrocarbon Utilizing Fungi (HUF) counts, using PDA and incorporating with sterile filter paper saturated with Bonny light crude oil incubating at 30</w:t>
      </w:r>
      <w:r w:rsidR="000A0E5C" w:rsidRPr="00161EA1">
        <w:rPr>
          <w:sz w:val="20"/>
          <w:szCs w:val="20"/>
          <w:vertAlign w:val="superscript"/>
        </w:rPr>
        <w:t>0</w:t>
      </w:r>
      <w:r w:rsidR="000A0E5C" w:rsidRPr="00161EA1">
        <w:rPr>
          <w:sz w:val="20"/>
          <w:szCs w:val="20"/>
        </w:rPr>
        <w:t>C for 5–7 days.</w:t>
      </w:r>
      <w:r w:rsidR="00A3564C" w:rsidRPr="00161EA1">
        <w:rPr>
          <w:sz w:val="20"/>
          <w:szCs w:val="20"/>
        </w:rPr>
        <w:t xml:space="preserve"> </w:t>
      </w:r>
      <w:r w:rsidR="000A0E5C" w:rsidRPr="00161EA1">
        <w:rPr>
          <w:sz w:val="20"/>
          <w:szCs w:val="20"/>
        </w:rPr>
        <w:t>The initial day THB count of biodegradation test set up were enumerated by spread plate method on MSA plates. Plating was carried out by plating 0.lml of serial dilution in duplicates and subsequent THB counts at day (14, 28, 42 and 56), were carried out as earlier described. The initial day (day 0) TF count population of test set up</w:t>
      </w:r>
      <w:r w:rsidR="001F1258" w:rsidRPr="00161EA1">
        <w:rPr>
          <w:sz w:val="20"/>
          <w:szCs w:val="20"/>
        </w:rPr>
        <w:t xml:space="preserve"> as well as day 14, 28 42 and 56 were estimated by spread plate method on PDA plates in duplicates as earlier descri</w:t>
      </w:r>
      <w:r w:rsidR="00072B96" w:rsidRPr="00161EA1">
        <w:rPr>
          <w:sz w:val="20"/>
          <w:szCs w:val="20"/>
        </w:rPr>
        <w:t>bed for enumeration of HUB and HUF for the natural water sources were employed.</w:t>
      </w:r>
    </w:p>
    <w:p w:rsidR="00A3564C" w:rsidRPr="00161EA1" w:rsidRDefault="00A3564C" w:rsidP="00F00BC7">
      <w:pPr>
        <w:snapToGrid w:val="0"/>
        <w:jc w:val="both"/>
        <w:rPr>
          <w:b/>
          <w:sz w:val="20"/>
          <w:szCs w:val="20"/>
        </w:rPr>
      </w:pPr>
      <w:r w:rsidRPr="00161EA1">
        <w:rPr>
          <w:b/>
          <w:sz w:val="20"/>
          <w:szCs w:val="20"/>
        </w:rPr>
        <w:t>2.4. Biodegradation analysis</w:t>
      </w:r>
    </w:p>
    <w:p w:rsidR="003D469B" w:rsidRPr="00161EA1" w:rsidRDefault="00072B96" w:rsidP="00F00BC7">
      <w:pPr>
        <w:snapToGrid w:val="0"/>
        <w:ind w:firstLine="425"/>
        <w:jc w:val="both"/>
        <w:rPr>
          <w:sz w:val="20"/>
          <w:szCs w:val="20"/>
        </w:rPr>
      </w:pPr>
      <w:r w:rsidRPr="00161EA1">
        <w:rPr>
          <w:sz w:val="20"/>
          <w:szCs w:val="20"/>
        </w:rPr>
        <w:t xml:space="preserve">Biodegradation test were carried out in 12 2L Erlenmeyer flasks. To each flask was added 900ml MSB and </w:t>
      </w:r>
      <w:r w:rsidR="006A23CB" w:rsidRPr="00161EA1">
        <w:rPr>
          <w:sz w:val="20"/>
          <w:szCs w:val="20"/>
        </w:rPr>
        <w:t xml:space="preserve">sterilized </w:t>
      </w:r>
      <w:r w:rsidRPr="00161EA1">
        <w:rPr>
          <w:sz w:val="20"/>
          <w:szCs w:val="20"/>
        </w:rPr>
        <w:t>by autoclaving at 121</w:t>
      </w:r>
      <w:r w:rsidRPr="00161EA1">
        <w:rPr>
          <w:sz w:val="20"/>
          <w:szCs w:val="20"/>
          <w:vertAlign w:val="superscript"/>
        </w:rPr>
        <w:t>0</w:t>
      </w:r>
      <w:r w:rsidRPr="00161EA1">
        <w:rPr>
          <w:sz w:val="20"/>
          <w:szCs w:val="20"/>
        </w:rPr>
        <w:t>C for 15mins. After cooling appropriate concentration of test hydraulic brake fluid was aseptically added based on the preliminary toxicity te</w:t>
      </w:r>
      <w:r w:rsidR="009F16F6" w:rsidRPr="00161EA1">
        <w:rPr>
          <w:sz w:val="20"/>
          <w:szCs w:val="20"/>
        </w:rPr>
        <w:t>sts (range finding) carried out</w:t>
      </w:r>
      <w:r w:rsidRPr="00161EA1">
        <w:rPr>
          <w:sz w:val="20"/>
          <w:szCs w:val="20"/>
        </w:rPr>
        <w:t xml:space="preserve"> </w:t>
      </w:r>
      <w:r w:rsidR="009F16F6" w:rsidRPr="00161EA1">
        <w:rPr>
          <w:sz w:val="20"/>
          <w:szCs w:val="20"/>
        </w:rPr>
        <w:t>(</w:t>
      </w:r>
      <w:r w:rsidRPr="00161EA1">
        <w:rPr>
          <w:sz w:val="20"/>
          <w:szCs w:val="20"/>
        </w:rPr>
        <w:t>Table 3</w:t>
      </w:r>
      <w:r w:rsidR="009F16F6" w:rsidRPr="00161EA1">
        <w:rPr>
          <w:sz w:val="20"/>
          <w:szCs w:val="20"/>
        </w:rPr>
        <w:t>)</w:t>
      </w:r>
      <w:r w:rsidRPr="00161EA1">
        <w:rPr>
          <w:sz w:val="20"/>
          <w:szCs w:val="20"/>
        </w:rPr>
        <w:t xml:space="preserve">. (TTBF – 1.0mg/l, ALBF – 1.0mg/l, OABF – 0.01mg/L, ATBF – 1.0mg/L, and 0.1mg/L of olive oil for positive control). To the negative control 2g of sodium </w:t>
      </w:r>
      <w:proofErr w:type="spellStart"/>
      <w:r w:rsidRPr="00161EA1">
        <w:rPr>
          <w:sz w:val="20"/>
          <w:szCs w:val="20"/>
        </w:rPr>
        <w:t>azide</w:t>
      </w:r>
      <w:proofErr w:type="spellEnd"/>
      <w:r w:rsidRPr="00161EA1">
        <w:rPr>
          <w:sz w:val="20"/>
          <w:szCs w:val="20"/>
        </w:rPr>
        <w:t xml:space="preserve"> was added. To each set up, 100ml of water sample was aseptically added as the </w:t>
      </w:r>
      <w:proofErr w:type="spellStart"/>
      <w:r w:rsidRPr="00161EA1">
        <w:rPr>
          <w:sz w:val="20"/>
          <w:szCs w:val="20"/>
        </w:rPr>
        <w:t>inoculum</w:t>
      </w:r>
      <w:proofErr w:type="spellEnd"/>
      <w:r w:rsidRPr="00161EA1">
        <w:rPr>
          <w:sz w:val="20"/>
          <w:szCs w:val="20"/>
        </w:rPr>
        <w:t>.</w:t>
      </w:r>
      <w:r w:rsidR="00A3564C" w:rsidRPr="00161EA1">
        <w:rPr>
          <w:sz w:val="20"/>
          <w:szCs w:val="20"/>
        </w:rPr>
        <w:t xml:space="preserve"> </w:t>
      </w:r>
      <w:r w:rsidRPr="00161EA1">
        <w:rPr>
          <w:sz w:val="20"/>
          <w:szCs w:val="20"/>
        </w:rPr>
        <w:t xml:space="preserve">The entire </w:t>
      </w:r>
      <w:r w:rsidR="009F16F6" w:rsidRPr="00161EA1">
        <w:rPr>
          <w:sz w:val="20"/>
          <w:szCs w:val="20"/>
        </w:rPr>
        <w:t>tests set up were</w:t>
      </w:r>
      <w:r w:rsidRPr="00161EA1">
        <w:rPr>
          <w:sz w:val="20"/>
          <w:szCs w:val="20"/>
        </w:rPr>
        <w:t xml:space="preserve"> labeled as shown in </w:t>
      </w:r>
      <w:r w:rsidR="00D31C04" w:rsidRPr="00161EA1">
        <w:rPr>
          <w:sz w:val="20"/>
          <w:szCs w:val="20"/>
        </w:rPr>
        <w:t xml:space="preserve">Table </w:t>
      </w:r>
      <w:r w:rsidRPr="00161EA1">
        <w:rPr>
          <w:sz w:val="20"/>
          <w:szCs w:val="20"/>
        </w:rPr>
        <w:t xml:space="preserve">2. Repeated </w:t>
      </w:r>
      <w:r w:rsidR="000F36E0" w:rsidRPr="00161EA1">
        <w:rPr>
          <w:sz w:val="20"/>
          <w:szCs w:val="20"/>
        </w:rPr>
        <w:t>samplings for microbiological and physicochemical analyses were</w:t>
      </w:r>
      <w:r w:rsidRPr="00161EA1">
        <w:rPr>
          <w:sz w:val="20"/>
          <w:szCs w:val="20"/>
        </w:rPr>
        <w:t xml:space="preserve"> carried out at initial day and subsequently at 2 weeks intervals for a 56 day monitoring</w:t>
      </w:r>
      <w:r w:rsidR="003325C2" w:rsidRPr="00161EA1">
        <w:rPr>
          <w:sz w:val="20"/>
          <w:szCs w:val="20"/>
        </w:rPr>
        <w:t>.</w:t>
      </w:r>
      <w:r w:rsidR="00A3564C" w:rsidRPr="00161EA1">
        <w:rPr>
          <w:sz w:val="20"/>
          <w:szCs w:val="20"/>
        </w:rPr>
        <w:t xml:space="preserve"> </w:t>
      </w:r>
      <w:r w:rsidR="003325C2" w:rsidRPr="00161EA1">
        <w:rPr>
          <w:sz w:val="20"/>
          <w:szCs w:val="20"/>
        </w:rPr>
        <w:t xml:space="preserve">Biodegradability for </w:t>
      </w:r>
      <w:r w:rsidR="003325C2" w:rsidRPr="00161EA1">
        <w:rPr>
          <w:sz w:val="20"/>
          <w:szCs w:val="20"/>
        </w:rPr>
        <w:lastRenderedPageBreak/>
        <w:t xml:space="preserve">a 56 day incubation period was monitored using the percentage ratio of BOD to COD. The BOD for each test set up was monitored using method adopted from Stewart </w:t>
      </w:r>
      <w:r w:rsidR="006A23CB" w:rsidRPr="00161EA1">
        <w:rPr>
          <w:i/>
          <w:sz w:val="20"/>
          <w:szCs w:val="20"/>
        </w:rPr>
        <w:t>et al.,</w:t>
      </w:r>
      <w:r w:rsidR="003325C2" w:rsidRPr="00161EA1">
        <w:rPr>
          <w:i/>
          <w:sz w:val="20"/>
          <w:szCs w:val="20"/>
        </w:rPr>
        <w:t xml:space="preserve"> </w:t>
      </w:r>
      <w:r w:rsidR="003325C2" w:rsidRPr="00161EA1">
        <w:rPr>
          <w:sz w:val="20"/>
          <w:szCs w:val="20"/>
        </w:rPr>
        <w:t xml:space="preserve">(1974) at day 0, 14, 28 42 and day 56. The COD for each set up were determined by method adopted from Stewart </w:t>
      </w:r>
      <w:r w:rsidR="003325C2" w:rsidRPr="00161EA1">
        <w:rPr>
          <w:i/>
          <w:sz w:val="20"/>
          <w:szCs w:val="20"/>
        </w:rPr>
        <w:t>et al</w:t>
      </w:r>
      <w:r w:rsidR="006A23CB" w:rsidRPr="00161EA1">
        <w:rPr>
          <w:i/>
          <w:sz w:val="20"/>
          <w:szCs w:val="20"/>
        </w:rPr>
        <w:t>.,</w:t>
      </w:r>
      <w:r w:rsidR="003325C2" w:rsidRPr="00161EA1">
        <w:rPr>
          <w:sz w:val="20"/>
          <w:szCs w:val="20"/>
        </w:rPr>
        <w:t xml:space="preserve"> (1974)</w:t>
      </w:r>
      <w:r w:rsidR="003D469B" w:rsidRPr="00161EA1">
        <w:rPr>
          <w:sz w:val="20"/>
          <w:szCs w:val="20"/>
        </w:rPr>
        <w:t xml:space="preserve"> at initial day, 14, 28, 42 and day 56.</w:t>
      </w:r>
      <w:r w:rsidR="00A3564C" w:rsidRPr="00161EA1">
        <w:rPr>
          <w:sz w:val="20"/>
          <w:szCs w:val="20"/>
        </w:rPr>
        <w:t xml:space="preserve"> </w:t>
      </w:r>
      <w:r w:rsidR="003D469B" w:rsidRPr="00161EA1">
        <w:rPr>
          <w:sz w:val="20"/>
          <w:szCs w:val="20"/>
        </w:rPr>
        <w:t xml:space="preserve">The ultimate biodegradability also referred to as the percentage of carbon in the material that is potentially </w:t>
      </w:r>
      <w:proofErr w:type="spellStart"/>
      <w:r w:rsidR="003D469B" w:rsidRPr="00161EA1">
        <w:rPr>
          <w:sz w:val="20"/>
          <w:szCs w:val="20"/>
        </w:rPr>
        <w:t>mineralizable</w:t>
      </w:r>
      <w:proofErr w:type="spellEnd"/>
      <w:r w:rsidR="003D469B" w:rsidRPr="00161EA1">
        <w:rPr>
          <w:sz w:val="20"/>
          <w:szCs w:val="20"/>
        </w:rPr>
        <w:t xml:space="preserve"> was calculated from the percentage of ratio of BOD for day 0</w:t>
      </w:r>
      <w:r w:rsidR="007A609B" w:rsidRPr="00161EA1">
        <w:rPr>
          <w:sz w:val="20"/>
          <w:szCs w:val="20"/>
        </w:rPr>
        <w:t>,</w:t>
      </w:r>
      <w:r w:rsidR="003D469B" w:rsidRPr="00161EA1">
        <w:rPr>
          <w:sz w:val="20"/>
          <w:szCs w:val="20"/>
        </w:rPr>
        <w:t xml:space="preserve"> 14, 28, 42 and 56 to COD at day 0.</w:t>
      </w:r>
    </w:p>
    <w:p w:rsidR="00D31C04" w:rsidRPr="00161EA1" w:rsidRDefault="00D31C04" w:rsidP="00F00BC7">
      <w:pPr>
        <w:snapToGrid w:val="0"/>
        <w:ind w:firstLine="425"/>
        <w:jc w:val="both"/>
        <w:rPr>
          <w:sz w:val="20"/>
          <w:szCs w:val="20"/>
        </w:rPr>
      </w:pPr>
      <w:r w:rsidRPr="00161EA1">
        <w:rPr>
          <w:sz w:val="20"/>
          <w:szCs w:val="20"/>
        </w:rPr>
        <w:t>Mineralization</w:t>
      </w:r>
      <w:r w:rsidR="003D469B" w:rsidRPr="00161EA1">
        <w:rPr>
          <w:sz w:val="20"/>
          <w:szCs w:val="20"/>
        </w:rPr>
        <w:t xml:space="preserve"> = </w:t>
      </w:r>
      <w:r w:rsidR="00F00BC7" w:rsidRPr="00161EA1">
        <w:rPr>
          <w:sz w:val="20"/>
          <w:szCs w:val="20"/>
        </w:rPr>
        <w:object w:dxaOrig="3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23.15pt" o:ole="">
            <v:imagedata r:id="rId13" o:title=""/>
          </v:shape>
          <o:OLEObject Type="Embed" ProgID="Equation.3" ShapeID="_x0000_i1025" DrawAspect="Content" ObjectID="_1525765126" r:id="rId14"/>
        </w:object>
      </w:r>
    </w:p>
    <w:p w:rsidR="00A3564C" w:rsidRPr="00161EA1" w:rsidRDefault="00A3564C" w:rsidP="00F00BC7">
      <w:pPr>
        <w:snapToGrid w:val="0"/>
        <w:jc w:val="both"/>
        <w:rPr>
          <w:b/>
          <w:sz w:val="20"/>
          <w:szCs w:val="20"/>
        </w:rPr>
      </w:pPr>
      <w:r w:rsidRPr="00161EA1">
        <w:rPr>
          <w:b/>
          <w:sz w:val="20"/>
          <w:szCs w:val="20"/>
        </w:rPr>
        <w:t>2.5. Physicochemical analysis</w:t>
      </w:r>
    </w:p>
    <w:p w:rsidR="00160711" w:rsidRPr="00161EA1" w:rsidRDefault="003D469B" w:rsidP="00F00BC7">
      <w:pPr>
        <w:snapToGrid w:val="0"/>
        <w:ind w:firstLine="425"/>
        <w:jc w:val="both"/>
        <w:rPr>
          <w:sz w:val="20"/>
          <w:szCs w:val="20"/>
        </w:rPr>
      </w:pPr>
      <w:r w:rsidRPr="00161EA1">
        <w:rPr>
          <w:sz w:val="20"/>
          <w:szCs w:val="20"/>
        </w:rPr>
        <w:t xml:space="preserve">Physicochemical </w:t>
      </w:r>
      <w:r w:rsidR="00550A0A" w:rsidRPr="00161EA1">
        <w:rPr>
          <w:sz w:val="20"/>
          <w:szCs w:val="20"/>
        </w:rPr>
        <w:t>parameters of water samples and biodegrad</w:t>
      </w:r>
      <w:r w:rsidR="00160711" w:rsidRPr="00161EA1">
        <w:rPr>
          <w:sz w:val="20"/>
          <w:szCs w:val="20"/>
        </w:rPr>
        <w:t>ation experimental set up analyz</w:t>
      </w:r>
      <w:r w:rsidR="00550A0A" w:rsidRPr="00161EA1">
        <w:rPr>
          <w:sz w:val="20"/>
          <w:szCs w:val="20"/>
        </w:rPr>
        <w:t>ed were pH, salinity, BOD, COD, TOC, DO, NO</w:t>
      </w:r>
      <w:r w:rsidR="00D31C04" w:rsidRPr="00161EA1">
        <w:rPr>
          <w:sz w:val="20"/>
          <w:szCs w:val="20"/>
          <w:vertAlign w:val="subscript"/>
        </w:rPr>
        <w:t>3</w:t>
      </w:r>
      <w:r w:rsidR="00D31C04" w:rsidRPr="00161EA1">
        <w:rPr>
          <w:sz w:val="20"/>
          <w:szCs w:val="20"/>
          <w:vertAlign w:val="superscript"/>
        </w:rPr>
        <w:t>2-</w:t>
      </w:r>
      <w:r w:rsidR="00550A0A" w:rsidRPr="00161EA1">
        <w:rPr>
          <w:sz w:val="20"/>
          <w:szCs w:val="20"/>
        </w:rPr>
        <w:t xml:space="preserve"> SO</w:t>
      </w:r>
      <w:r w:rsidR="00550A0A" w:rsidRPr="00161EA1">
        <w:rPr>
          <w:sz w:val="20"/>
          <w:szCs w:val="20"/>
          <w:vertAlign w:val="subscript"/>
        </w:rPr>
        <w:t>4</w:t>
      </w:r>
      <w:r w:rsidR="00550A0A" w:rsidRPr="00161EA1">
        <w:rPr>
          <w:sz w:val="20"/>
          <w:szCs w:val="20"/>
          <w:vertAlign w:val="superscript"/>
        </w:rPr>
        <w:t xml:space="preserve"> 2-</w:t>
      </w:r>
      <w:r w:rsidR="00160711" w:rsidRPr="00161EA1">
        <w:rPr>
          <w:sz w:val="20"/>
          <w:szCs w:val="20"/>
          <w:vertAlign w:val="superscript"/>
        </w:rPr>
        <w:t xml:space="preserve"> </w:t>
      </w:r>
      <w:r w:rsidR="00160711" w:rsidRPr="00161EA1">
        <w:rPr>
          <w:sz w:val="20"/>
          <w:szCs w:val="20"/>
        </w:rPr>
        <w:t xml:space="preserve">and </w:t>
      </w:r>
      <w:r w:rsidR="00D31C04" w:rsidRPr="00161EA1">
        <w:rPr>
          <w:sz w:val="20"/>
          <w:szCs w:val="20"/>
        </w:rPr>
        <w:t>PO</w:t>
      </w:r>
      <w:r w:rsidR="00D31C04" w:rsidRPr="00161EA1">
        <w:rPr>
          <w:sz w:val="20"/>
          <w:szCs w:val="20"/>
          <w:vertAlign w:val="subscript"/>
        </w:rPr>
        <w:t>4</w:t>
      </w:r>
      <w:r w:rsidR="00493C53" w:rsidRPr="00161EA1">
        <w:rPr>
          <w:sz w:val="20"/>
          <w:szCs w:val="20"/>
          <w:vertAlign w:val="superscript"/>
        </w:rPr>
        <w:t>3-</w:t>
      </w:r>
      <w:r w:rsidR="00160711" w:rsidRPr="00161EA1">
        <w:rPr>
          <w:sz w:val="20"/>
          <w:szCs w:val="20"/>
        </w:rPr>
        <w:t xml:space="preserve">. They were determined using methods adopted from </w:t>
      </w:r>
      <w:r w:rsidR="007A609B" w:rsidRPr="00161EA1">
        <w:rPr>
          <w:sz w:val="20"/>
          <w:szCs w:val="20"/>
        </w:rPr>
        <w:t>S</w:t>
      </w:r>
      <w:r w:rsidR="00160711" w:rsidRPr="00161EA1">
        <w:rPr>
          <w:sz w:val="20"/>
          <w:szCs w:val="20"/>
        </w:rPr>
        <w:t xml:space="preserve">tewart </w:t>
      </w:r>
      <w:r w:rsidR="00160711" w:rsidRPr="00161EA1">
        <w:rPr>
          <w:i/>
          <w:sz w:val="20"/>
          <w:szCs w:val="20"/>
        </w:rPr>
        <w:t>et al</w:t>
      </w:r>
      <w:r w:rsidR="007A609B" w:rsidRPr="00161EA1">
        <w:rPr>
          <w:i/>
          <w:sz w:val="20"/>
          <w:szCs w:val="20"/>
        </w:rPr>
        <w:t>.,</w:t>
      </w:r>
      <w:r w:rsidR="00160711" w:rsidRPr="00161EA1">
        <w:rPr>
          <w:sz w:val="20"/>
          <w:szCs w:val="20"/>
        </w:rPr>
        <w:t xml:space="preserve"> (1974).</w:t>
      </w:r>
    </w:p>
    <w:p w:rsidR="00A3564C" w:rsidRPr="00161EA1" w:rsidRDefault="00A3564C" w:rsidP="00F00BC7">
      <w:pPr>
        <w:snapToGrid w:val="0"/>
        <w:jc w:val="both"/>
        <w:rPr>
          <w:b/>
          <w:sz w:val="20"/>
          <w:szCs w:val="20"/>
        </w:rPr>
      </w:pPr>
      <w:r w:rsidRPr="00161EA1">
        <w:rPr>
          <w:b/>
          <w:sz w:val="20"/>
          <w:szCs w:val="20"/>
        </w:rPr>
        <w:t>2.6. Isolation and identification</w:t>
      </w:r>
    </w:p>
    <w:p w:rsidR="00160711" w:rsidRPr="00161EA1" w:rsidRDefault="00160711" w:rsidP="00F00BC7">
      <w:pPr>
        <w:snapToGrid w:val="0"/>
        <w:ind w:firstLine="425"/>
        <w:jc w:val="both"/>
        <w:rPr>
          <w:sz w:val="20"/>
          <w:szCs w:val="20"/>
        </w:rPr>
      </w:pPr>
      <w:r w:rsidRPr="00161EA1">
        <w:rPr>
          <w:sz w:val="20"/>
          <w:szCs w:val="20"/>
        </w:rPr>
        <w:t xml:space="preserve">Isolation and identification of bacterial and fungal hydrocarbon </w:t>
      </w:r>
      <w:r w:rsidR="00A53D45" w:rsidRPr="00161EA1">
        <w:rPr>
          <w:sz w:val="20"/>
          <w:szCs w:val="20"/>
        </w:rPr>
        <w:t>utilizes</w:t>
      </w:r>
      <w:r w:rsidRPr="00161EA1">
        <w:rPr>
          <w:sz w:val="20"/>
          <w:szCs w:val="20"/>
        </w:rPr>
        <w:t xml:space="preserve"> were accomplished on basis of their cultural morphological characteristics and by Gram staining. The isolates were further subjected to series of biochemical tests for identification and characterization using the determination schemes Holt </w:t>
      </w:r>
      <w:r w:rsidRPr="00161EA1">
        <w:rPr>
          <w:i/>
          <w:sz w:val="20"/>
          <w:szCs w:val="20"/>
        </w:rPr>
        <w:t xml:space="preserve">et al; </w:t>
      </w:r>
      <w:r w:rsidRPr="00161EA1">
        <w:rPr>
          <w:sz w:val="20"/>
          <w:szCs w:val="20"/>
        </w:rPr>
        <w:t>(1994). Similarly, moulds were identified through their cultural as well as microscopic features.</w:t>
      </w:r>
    </w:p>
    <w:p w:rsidR="00160711" w:rsidRPr="00161EA1" w:rsidRDefault="00A3564C" w:rsidP="00F00BC7">
      <w:pPr>
        <w:snapToGrid w:val="0"/>
        <w:jc w:val="both"/>
        <w:rPr>
          <w:b/>
          <w:sz w:val="20"/>
          <w:szCs w:val="20"/>
        </w:rPr>
      </w:pPr>
      <w:r w:rsidRPr="00161EA1">
        <w:rPr>
          <w:b/>
          <w:sz w:val="20"/>
          <w:szCs w:val="20"/>
        </w:rPr>
        <w:t>2.7. Statistical Analysis</w:t>
      </w:r>
    </w:p>
    <w:p w:rsidR="003D469B" w:rsidRPr="00161EA1" w:rsidRDefault="0016174B" w:rsidP="00F00BC7">
      <w:pPr>
        <w:snapToGrid w:val="0"/>
        <w:ind w:firstLine="425"/>
        <w:jc w:val="both"/>
        <w:rPr>
          <w:sz w:val="20"/>
          <w:szCs w:val="20"/>
        </w:rPr>
      </w:pPr>
      <w:r w:rsidRPr="00161EA1">
        <w:rPr>
          <w:sz w:val="20"/>
          <w:szCs w:val="20"/>
        </w:rPr>
        <w:t>Analysis of variance (ANOVA) method (</w:t>
      </w:r>
      <w:proofErr w:type="spellStart"/>
      <w:r w:rsidRPr="00161EA1">
        <w:rPr>
          <w:sz w:val="20"/>
          <w:szCs w:val="20"/>
        </w:rPr>
        <w:t>Finey</w:t>
      </w:r>
      <w:proofErr w:type="spellEnd"/>
      <w:r w:rsidRPr="00161EA1">
        <w:rPr>
          <w:sz w:val="20"/>
          <w:szCs w:val="20"/>
        </w:rPr>
        <w:t xml:space="preserve">, 1978) was employed </w:t>
      </w:r>
      <w:r w:rsidR="00CB2EBC" w:rsidRPr="00161EA1">
        <w:rPr>
          <w:sz w:val="20"/>
          <w:szCs w:val="20"/>
        </w:rPr>
        <w:t>to analyze data obtained.</w:t>
      </w:r>
    </w:p>
    <w:p w:rsidR="00A3564C" w:rsidRPr="00161EA1" w:rsidRDefault="00A3564C" w:rsidP="00F00BC7">
      <w:pPr>
        <w:snapToGrid w:val="0"/>
        <w:jc w:val="both"/>
        <w:rPr>
          <w:b/>
          <w:sz w:val="20"/>
          <w:szCs w:val="20"/>
        </w:rPr>
      </w:pPr>
    </w:p>
    <w:p w:rsidR="00CB2EBC" w:rsidRPr="00161EA1" w:rsidRDefault="00A3564C" w:rsidP="00F00BC7">
      <w:pPr>
        <w:snapToGrid w:val="0"/>
        <w:jc w:val="both"/>
        <w:rPr>
          <w:b/>
          <w:sz w:val="20"/>
          <w:szCs w:val="20"/>
        </w:rPr>
      </w:pPr>
      <w:r w:rsidRPr="00161EA1">
        <w:rPr>
          <w:b/>
          <w:sz w:val="20"/>
          <w:szCs w:val="20"/>
        </w:rPr>
        <w:t>3</w:t>
      </w:r>
      <w:r w:rsidR="00F00BC7" w:rsidRPr="00161EA1">
        <w:rPr>
          <w:b/>
          <w:sz w:val="20"/>
          <w:szCs w:val="20"/>
        </w:rPr>
        <w:t>. Results</w:t>
      </w:r>
    </w:p>
    <w:p w:rsidR="00BB5114" w:rsidRPr="00161EA1" w:rsidRDefault="00CB2EBC" w:rsidP="00F00BC7">
      <w:pPr>
        <w:snapToGrid w:val="0"/>
        <w:ind w:firstLine="425"/>
        <w:jc w:val="both"/>
        <w:rPr>
          <w:sz w:val="20"/>
          <w:szCs w:val="20"/>
        </w:rPr>
      </w:pPr>
      <w:r w:rsidRPr="00161EA1">
        <w:rPr>
          <w:sz w:val="20"/>
          <w:szCs w:val="20"/>
        </w:rPr>
        <w:t xml:space="preserve">The result of physicochemical characteristics of the fresh and marine aquatic systems used in the study before biodegradation test is presented in </w:t>
      </w:r>
      <w:r w:rsidR="007A609B" w:rsidRPr="00161EA1">
        <w:rPr>
          <w:sz w:val="20"/>
          <w:szCs w:val="20"/>
        </w:rPr>
        <w:t xml:space="preserve">Table </w:t>
      </w:r>
      <w:r w:rsidRPr="00161EA1">
        <w:rPr>
          <w:sz w:val="20"/>
          <w:szCs w:val="20"/>
        </w:rPr>
        <w:t xml:space="preserve">1. The THB and TF counts of fresh and marine water sources as well as HUB and HUF are presented in </w:t>
      </w:r>
      <w:r w:rsidR="007A609B" w:rsidRPr="00161EA1">
        <w:rPr>
          <w:sz w:val="20"/>
          <w:szCs w:val="20"/>
        </w:rPr>
        <w:t xml:space="preserve">Table 2. Forty </w:t>
      </w:r>
      <w:r w:rsidR="00C24857" w:rsidRPr="00161EA1">
        <w:rPr>
          <w:sz w:val="20"/>
          <w:szCs w:val="20"/>
        </w:rPr>
        <w:t>eight</w:t>
      </w:r>
      <w:r w:rsidRPr="00161EA1">
        <w:rPr>
          <w:sz w:val="20"/>
          <w:szCs w:val="20"/>
        </w:rPr>
        <w:t xml:space="preserve"> percent of the THB </w:t>
      </w:r>
      <w:r w:rsidR="002722E6" w:rsidRPr="00161EA1">
        <w:rPr>
          <w:sz w:val="20"/>
          <w:szCs w:val="20"/>
        </w:rPr>
        <w:t>populations enumerated from fresh water sample were</w:t>
      </w:r>
      <w:r w:rsidRPr="00161EA1">
        <w:rPr>
          <w:sz w:val="20"/>
          <w:szCs w:val="20"/>
        </w:rPr>
        <w:t xml:space="preserve"> HUB, </w:t>
      </w:r>
      <w:r w:rsidR="00BB5114" w:rsidRPr="00161EA1">
        <w:rPr>
          <w:sz w:val="20"/>
          <w:szCs w:val="20"/>
        </w:rPr>
        <w:t>while 25% of the THF count represented HUF. On the other hand, in the marine water sample 9% of the THB, were HUB, and 7% of the THF enumerated were HUF the result showed that the fresh water sample had higher density of HUB than the marine water sample.</w:t>
      </w:r>
    </w:p>
    <w:p w:rsidR="00BB5114" w:rsidRPr="00161EA1" w:rsidRDefault="00BB5114" w:rsidP="00F00BC7">
      <w:pPr>
        <w:snapToGrid w:val="0"/>
        <w:ind w:firstLine="425"/>
        <w:jc w:val="both"/>
        <w:rPr>
          <w:sz w:val="20"/>
          <w:szCs w:val="20"/>
        </w:rPr>
      </w:pPr>
      <w:r w:rsidRPr="00161EA1">
        <w:rPr>
          <w:sz w:val="20"/>
          <w:szCs w:val="20"/>
        </w:rPr>
        <w:t xml:space="preserve">The THB, TF, HUB and HUF counts during the </w:t>
      </w:r>
      <w:r w:rsidR="00C24857" w:rsidRPr="00161EA1">
        <w:rPr>
          <w:sz w:val="20"/>
          <w:szCs w:val="20"/>
        </w:rPr>
        <w:t>monitoring</w:t>
      </w:r>
      <w:r w:rsidRPr="00161EA1">
        <w:rPr>
          <w:sz w:val="20"/>
          <w:szCs w:val="20"/>
        </w:rPr>
        <w:t xml:space="preserve"> p</w:t>
      </w:r>
      <w:r w:rsidR="000F36E0" w:rsidRPr="00161EA1">
        <w:rPr>
          <w:sz w:val="20"/>
          <w:szCs w:val="20"/>
        </w:rPr>
        <w:t>eriod are illustrated in Figs.</w:t>
      </w:r>
      <w:r w:rsidRPr="00161EA1">
        <w:rPr>
          <w:sz w:val="20"/>
          <w:szCs w:val="20"/>
        </w:rPr>
        <w:t xml:space="preserve"> </w:t>
      </w:r>
      <w:proofErr w:type="gramStart"/>
      <w:r w:rsidRPr="00161EA1">
        <w:rPr>
          <w:sz w:val="20"/>
          <w:szCs w:val="20"/>
        </w:rPr>
        <w:t>(1 – 8).</w:t>
      </w:r>
      <w:proofErr w:type="gramEnd"/>
      <w:r w:rsidRPr="00161EA1">
        <w:rPr>
          <w:sz w:val="20"/>
          <w:szCs w:val="20"/>
        </w:rPr>
        <w:t xml:space="preserve"> Generally, the growth profile of brake fluid samples in fresh and marine water followed the same pattern. They increased expo</w:t>
      </w:r>
      <w:r w:rsidR="00C24857" w:rsidRPr="00161EA1">
        <w:rPr>
          <w:sz w:val="20"/>
          <w:szCs w:val="20"/>
        </w:rPr>
        <w:t>nentially from day 0 to day 14,</w:t>
      </w:r>
      <w:r w:rsidRPr="00161EA1">
        <w:rPr>
          <w:sz w:val="20"/>
          <w:szCs w:val="20"/>
        </w:rPr>
        <w:t xml:space="preserve"> </w:t>
      </w:r>
      <w:r w:rsidRPr="00161EA1">
        <w:rPr>
          <w:sz w:val="20"/>
          <w:szCs w:val="20"/>
        </w:rPr>
        <w:lastRenderedPageBreak/>
        <w:t>gradually increased thereafter to day 28, and declined sharply</w:t>
      </w:r>
      <w:r w:rsidR="00A53D45" w:rsidRPr="00161EA1">
        <w:rPr>
          <w:sz w:val="20"/>
          <w:szCs w:val="20"/>
        </w:rPr>
        <w:t xml:space="preserve"> from day 42 to day 56 (Figs.</w:t>
      </w:r>
      <w:r w:rsidRPr="00161EA1">
        <w:rPr>
          <w:sz w:val="20"/>
          <w:szCs w:val="20"/>
        </w:rPr>
        <w:t>1 – 8).</w:t>
      </w:r>
    </w:p>
    <w:p w:rsidR="002679EE" w:rsidRPr="00161EA1" w:rsidRDefault="002679EE" w:rsidP="00F00BC7">
      <w:pPr>
        <w:snapToGrid w:val="0"/>
        <w:ind w:firstLine="425"/>
        <w:jc w:val="both"/>
        <w:rPr>
          <w:sz w:val="20"/>
          <w:szCs w:val="20"/>
        </w:rPr>
      </w:pPr>
      <w:r w:rsidRPr="00161EA1">
        <w:rPr>
          <w:sz w:val="20"/>
          <w:szCs w:val="20"/>
        </w:rPr>
        <w:t xml:space="preserve">Changes in physicochemical parameters during the biodegradation monitoring of hydraulic brake fluid samples are illustrated in Figs. </w:t>
      </w:r>
      <w:proofErr w:type="gramStart"/>
      <w:r w:rsidRPr="00161EA1">
        <w:rPr>
          <w:sz w:val="20"/>
          <w:szCs w:val="20"/>
        </w:rPr>
        <w:t>(9 – 26).</w:t>
      </w:r>
      <w:proofErr w:type="gramEnd"/>
      <w:r w:rsidRPr="00161EA1">
        <w:rPr>
          <w:sz w:val="20"/>
          <w:szCs w:val="20"/>
        </w:rPr>
        <w:t xml:space="preserve"> Percentage </w:t>
      </w:r>
      <w:proofErr w:type="spellStart"/>
      <w:r w:rsidRPr="00161EA1">
        <w:rPr>
          <w:sz w:val="20"/>
          <w:szCs w:val="20"/>
        </w:rPr>
        <w:t>mineralizations</w:t>
      </w:r>
      <w:proofErr w:type="spellEnd"/>
      <w:r w:rsidRPr="00161EA1">
        <w:rPr>
          <w:sz w:val="20"/>
          <w:szCs w:val="20"/>
        </w:rPr>
        <w:t xml:space="preserve"> (Biodegradability) of the various hydraulic brake fluid samples including positive and negative controls at day 56 are shown in Table 5. The result showed that </w:t>
      </w:r>
      <w:proofErr w:type="spellStart"/>
      <w:r w:rsidRPr="00161EA1">
        <w:rPr>
          <w:sz w:val="20"/>
          <w:szCs w:val="20"/>
        </w:rPr>
        <w:t>Oando</w:t>
      </w:r>
      <w:proofErr w:type="spellEnd"/>
      <w:r w:rsidRPr="00161EA1">
        <w:rPr>
          <w:sz w:val="20"/>
          <w:szCs w:val="20"/>
        </w:rPr>
        <w:t xml:space="preserve"> brake fluid had the highest value of 44% biodegradability in fresh water sample and Ate brake fluid had the least value of 20% while biodegradability of the brake fluids were generally very low in marine water sample with 2.5% for </w:t>
      </w:r>
      <w:proofErr w:type="spellStart"/>
      <w:r w:rsidRPr="00161EA1">
        <w:rPr>
          <w:sz w:val="20"/>
          <w:szCs w:val="20"/>
        </w:rPr>
        <w:t>Oando</w:t>
      </w:r>
      <w:proofErr w:type="spellEnd"/>
      <w:r w:rsidRPr="00161EA1">
        <w:rPr>
          <w:sz w:val="20"/>
          <w:szCs w:val="20"/>
        </w:rPr>
        <w:t xml:space="preserve"> brake fluid being the highest and 1.6% for Allied brake fluid being the least.</w:t>
      </w:r>
    </w:p>
    <w:p w:rsidR="002679EE" w:rsidRPr="00161EA1" w:rsidRDefault="002679EE" w:rsidP="00F00BC7">
      <w:pPr>
        <w:snapToGrid w:val="0"/>
        <w:ind w:firstLine="425"/>
        <w:jc w:val="both"/>
        <w:rPr>
          <w:sz w:val="20"/>
          <w:szCs w:val="20"/>
        </w:rPr>
      </w:pPr>
      <w:r w:rsidRPr="00161EA1">
        <w:rPr>
          <w:sz w:val="20"/>
          <w:szCs w:val="20"/>
        </w:rPr>
        <w:t xml:space="preserve">Statistical analysis results showed that there was significant difference (at 95% probability level) between the bacterial and fungal populations in fresh and marine water samples during the biodegradation process. There was significant difference in populations of THB, </w:t>
      </w:r>
      <w:proofErr w:type="spellStart"/>
      <w:r w:rsidRPr="00161EA1">
        <w:rPr>
          <w:sz w:val="20"/>
          <w:szCs w:val="20"/>
        </w:rPr>
        <w:t>F</w:t>
      </w:r>
      <w:r w:rsidRPr="00161EA1">
        <w:rPr>
          <w:sz w:val="20"/>
          <w:szCs w:val="20"/>
          <w:vertAlign w:val="subscript"/>
        </w:rPr>
        <w:t>cal</w:t>
      </w:r>
      <w:proofErr w:type="spellEnd"/>
      <w:r w:rsidRPr="00161EA1">
        <w:rPr>
          <w:sz w:val="20"/>
          <w:szCs w:val="20"/>
        </w:rPr>
        <w:t xml:space="preserve">. = 46.190 while = </w:t>
      </w:r>
      <w:proofErr w:type="spellStart"/>
      <w:r w:rsidRPr="00161EA1">
        <w:rPr>
          <w:sz w:val="20"/>
          <w:szCs w:val="20"/>
        </w:rPr>
        <w:t>F</w:t>
      </w:r>
      <w:r w:rsidRPr="00161EA1">
        <w:rPr>
          <w:sz w:val="20"/>
          <w:szCs w:val="20"/>
          <w:vertAlign w:val="subscript"/>
        </w:rPr>
        <w:t>tab</w:t>
      </w:r>
      <w:proofErr w:type="spellEnd"/>
      <w:r w:rsidRPr="00161EA1">
        <w:rPr>
          <w:sz w:val="20"/>
          <w:szCs w:val="20"/>
        </w:rPr>
        <w:t xml:space="preserve">. = 2.620. HUF was significantly greater in fresh water than in marine during the biodegradation of the hydraulic brake fluids, </w:t>
      </w:r>
      <w:proofErr w:type="spellStart"/>
      <w:r w:rsidRPr="00161EA1">
        <w:rPr>
          <w:sz w:val="20"/>
          <w:szCs w:val="20"/>
        </w:rPr>
        <w:t>F</w:t>
      </w:r>
      <w:r w:rsidRPr="00161EA1">
        <w:rPr>
          <w:sz w:val="20"/>
          <w:szCs w:val="20"/>
          <w:vertAlign w:val="subscript"/>
        </w:rPr>
        <w:t>cal</w:t>
      </w:r>
      <w:proofErr w:type="spellEnd"/>
      <w:proofErr w:type="gramStart"/>
      <w:r w:rsidRPr="00161EA1">
        <w:rPr>
          <w:sz w:val="20"/>
          <w:szCs w:val="20"/>
        </w:rPr>
        <w:t>.=</w:t>
      </w:r>
      <w:proofErr w:type="gramEnd"/>
      <w:r w:rsidRPr="00161EA1">
        <w:rPr>
          <w:sz w:val="20"/>
          <w:szCs w:val="20"/>
        </w:rPr>
        <w:t xml:space="preserve"> 7.411 while </w:t>
      </w:r>
      <w:proofErr w:type="spellStart"/>
      <w:r w:rsidRPr="00161EA1">
        <w:rPr>
          <w:sz w:val="20"/>
          <w:szCs w:val="20"/>
        </w:rPr>
        <w:t>F</w:t>
      </w:r>
      <w:r w:rsidRPr="00161EA1">
        <w:rPr>
          <w:sz w:val="20"/>
          <w:szCs w:val="20"/>
          <w:vertAlign w:val="subscript"/>
        </w:rPr>
        <w:t>tab</w:t>
      </w:r>
      <w:proofErr w:type="spellEnd"/>
      <w:r w:rsidRPr="00161EA1">
        <w:rPr>
          <w:sz w:val="20"/>
          <w:szCs w:val="20"/>
        </w:rPr>
        <w:t xml:space="preserve">. = 2.620. For physicochemical parameters, statistical analysis showed that there were significant differences (P &lt; 0.05) in changes of the following parameters during the biodegradability monitoring of all the four brake fluids in fresh and marine water samples; salinity, </w:t>
      </w:r>
      <w:proofErr w:type="spellStart"/>
      <w:r w:rsidRPr="00161EA1">
        <w:rPr>
          <w:sz w:val="20"/>
          <w:szCs w:val="20"/>
        </w:rPr>
        <w:t>sulphate</w:t>
      </w:r>
      <w:proofErr w:type="spellEnd"/>
      <w:r w:rsidRPr="00161EA1">
        <w:rPr>
          <w:sz w:val="20"/>
          <w:szCs w:val="20"/>
        </w:rPr>
        <w:t>, and dissolved oxygen. Only ATBF (Ate brake fluid) was significantly different in the changes when compared in fresh and marine water samples (</w:t>
      </w:r>
      <w:proofErr w:type="spellStart"/>
      <w:r w:rsidRPr="00161EA1">
        <w:rPr>
          <w:sz w:val="20"/>
          <w:szCs w:val="20"/>
        </w:rPr>
        <w:t>F</w:t>
      </w:r>
      <w:r w:rsidRPr="00161EA1">
        <w:rPr>
          <w:sz w:val="20"/>
          <w:szCs w:val="20"/>
          <w:vertAlign w:val="subscript"/>
        </w:rPr>
        <w:t>cal</w:t>
      </w:r>
      <w:proofErr w:type="spellEnd"/>
      <w:r w:rsidRPr="00161EA1">
        <w:rPr>
          <w:sz w:val="20"/>
          <w:szCs w:val="20"/>
        </w:rPr>
        <w:t xml:space="preserve">. = 5.912 while </w:t>
      </w:r>
      <w:proofErr w:type="spellStart"/>
      <w:r w:rsidRPr="00161EA1">
        <w:rPr>
          <w:sz w:val="20"/>
          <w:szCs w:val="20"/>
        </w:rPr>
        <w:t>F</w:t>
      </w:r>
      <w:r w:rsidRPr="00161EA1">
        <w:rPr>
          <w:sz w:val="20"/>
          <w:szCs w:val="20"/>
          <w:vertAlign w:val="subscript"/>
        </w:rPr>
        <w:t>tab</w:t>
      </w:r>
      <w:proofErr w:type="spellEnd"/>
      <w:r w:rsidRPr="00161EA1">
        <w:rPr>
          <w:sz w:val="20"/>
          <w:szCs w:val="20"/>
        </w:rPr>
        <w:t>. = 5.317).</w:t>
      </w:r>
      <w:r w:rsidR="00161EA1">
        <w:rPr>
          <w:sz w:val="20"/>
          <w:szCs w:val="20"/>
        </w:rPr>
        <w:t xml:space="preserve"> </w:t>
      </w:r>
      <w:r w:rsidRPr="00161EA1">
        <w:rPr>
          <w:sz w:val="20"/>
          <w:szCs w:val="20"/>
        </w:rPr>
        <w:t>There were no significant differences in the changes of the following parameters; pH, BOD, COD, TOC, NO</w:t>
      </w:r>
      <w:r w:rsidRPr="00161EA1">
        <w:rPr>
          <w:sz w:val="20"/>
          <w:szCs w:val="20"/>
          <w:vertAlign w:val="subscript"/>
        </w:rPr>
        <w:t>3</w:t>
      </w:r>
      <w:r w:rsidRPr="00161EA1">
        <w:rPr>
          <w:sz w:val="20"/>
          <w:szCs w:val="20"/>
          <w:vertAlign w:val="superscript"/>
        </w:rPr>
        <w:t xml:space="preserve">2- </w:t>
      </w:r>
      <w:r w:rsidRPr="00161EA1">
        <w:rPr>
          <w:sz w:val="20"/>
          <w:szCs w:val="20"/>
        </w:rPr>
        <w:t>and PO</w:t>
      </w:r>
      <w:r w:rsidRPr="00161EA1">
        <w:rPr>
          <w:sz w:val="20"/>
          <w:szCs w:val="20"/>
          <w:vertAlign w:val="subscript"/>
        </w:rPr>
        <w:t>4</w:t>
      </w:r>
      <w:r w:rsidRPr="00161EA1">
        <w:rPr>
          <w:sz w:val="20"/>
          <w:szCs w:val="20"/>
          <w:vertAlign w:val="superscript"/>
        </w:rPr>
        <w:t>3-</w:t>
      </w:r>
      <w:r w:rsidR="00161EA1">
        <w:rPr>
          <w:sz w:val="20"/>
          <w:szCs w:val="20"/>
          <w:vertAlign w:val="superscript"/>
        </w:rPr>
        <w:t>,</w:t>
      </w:r>
      <w:r w:rsidR="00161EA1">
        <w:rPr>
          <w:rFonts w:hint="eastAsia"/>
          <w:sz w:val="20"/>
          <w:szCs w:val="20"/>
          <w:lang w:eastAsia="zh-CN"/>
        </w:rPr>
        <w:t xml:space="preserve"> </w:t>
      </w:r>
      <w:r w:rsidRPr="00161EA1">
        <w:rPr>
          <w:sz w:val="20"/>
          <w:szCs w:val="20"/>
        </w:rPr>
        <w:t>BOD, COD, TOC, NO</w:t>
      </w:r>
      <w:r w:rsidRPr="00161EA1">
        <w:rPr>
          <w:sz w:val="20"/>
          <w:szCs w:val="20"/>
          <w:vertAlign w:val="subscript"/>
        </w:rPr>
        <w:t>3</w:t>
      </w:r>
      <w:r w:rsidRPr="00161EA1">
        <w:rPr>
          <w:sz w:val="20"/>
          <w:szCs w:val="20"/>
          <w:vertAlign w:val="superscript"/>
        </w:rPr>
        <w:t>2-</w:t>
      </w:r>
      <w:r w:rsidRPr="00161EA1">
        <w:rPr>
          <w:sz w:val="20"/>
          <w:szCs w:val="20"/>
        </w:rPr>
        <w:t xml:space="preserve"> and PO</w:t>
      </w:r>
      <w:r w:rsidRPr="00161EA1">
        <w:rPr>
          <w:sz w:val="20"/>
          <w:szCs w:val="20"/>
          <w:vertAlign w:val="subscript"/>
        </w:rPr>
        <w:t>4</w:t>
      </w:r>
      <w:r w:rsidRPr="00161EA1">
        <w:rPr>
          <w:sz w:val="20"/>
          <w:szCs w:val="20"/>
          <w:vertAlign w:val="superscript"/>
        </w:rPr>
        <w:t>3-</w:t>
      </w:r>
      <w:r w:rsidRPr="00161EA1">
        <w:rPr>
          <w:sz w:val="20"/>
          <w:szCs w:val="20"/>
        </w:rPr>
        <w:t>.</w:t>
      </w:r>
    </w:p>
    <w:p w:rsidR="00F00BC7" w:rsidRPr="00161EA1" w:rsidRDefault="00F00BC7" w:rsidP="00F00BC7">
      <w:pPr>
        <w:snapToGrid w:val="0"/>
        <w:jc w:val="both"/>
        <w:rPr>
          <w:b/>
          <w:sz w:val="20"/>
          <w:szCs w:val="20"/>
          <w:lang w:eastAsia="zh-CN"/>
        </w:rPr>
      </w:pPr>
    </w:p>
    <w:p w:rsidR="00F00BC7" w:rsidRPr="00161EA1" w:rsidRDefault="00F00BC7" w:rsidP="00F00BC7">
      <w:pPr>
        <w:snapToGrid w:val="0"/>
        <w:jc w:val="both"/>
        <w:rPr>
          <w:sz w:val="20"/>
          <w:szCs w:val="20"/>
        </w:rPr>
      </w:pPr>
      <w:r w:rsidRPr="00161EA1">
        <w:rPr>
          <w:b/>
          <w:sz w:val="20"/>
          <w:szCs w:val="20"/>
        </w:rPr>
        <w:t>Table 1:</w:t>
      </w:r>
      <w:r w:rsidR="00161EA1">
        <w:rPr>
          <w:rFonts w:hint="eastAsia"/>
          <w:sz w:val="20"/>
          <w:szCs w:val="20"/>
          <w:lang w:eastAsia="zh-CN"/>
        </w:rPr>
        <w:t xml:space="preserve"> </w:t>
      </w:r>
      <w:r w:rsidRPr="00161EA1">
        <w:rPr>
          <w:sz w:val="20"/>
          <w:szCs w:val="20"/>
        </w:rPr>
        <w:t>Physicochemical parameters of habitat water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125"/>
        <w:gridCol w:w="1346"/>
      </w:tblGrid>
      <w:tr w:rsidR="00F00BC7" w:rsidRPr="00161EA1" w:rsidTr="00161EA1">
        <w:trPr>
          <w:cantSplit/>
          <w:jc w:val="center"/>
        </w:trPr>
        <w:tc>
          <w:tcPr>
            <w:tcW w:w="5000" w:type="pct"/>
            <w:gridSpan w:val="3"/>
            <w:vAlign w:val="center"/>
          </w:tcPr>
          <w:p w:rsidR="00F00BC7" w:rsidRPr="00161EA1" w:rsidRDefault="00F00BC7" w:rsidP="00F00BC7">
            <w:pPr>
              <w:snapToGrid w:val="0"/>
              <w:jc w:val="both"/>
              <w:rPr>
                <w:rFonts w:eastAsiaTheme="minorEastAsia"/>
                <w:b/>
                <w:color w:val="000000"/>
                <w:sz w:val="20"/>
                <w:szCs w:val="20"/>
              </w:rPr>
            </w:pPr>
            <w:r w:rsidRPr="00161EA1">
              <w:rPr>
                <w:rFonts w:eastAsiaTheme="minorEastAsia"/>
                <w:b/>
                <w:color w:val="000000"/>
                <w:sz w:val="20"/>
                <w:szCs w:val="20"/>
              </w:rPr>
              <w:t xml:space="preserve">Parameters </w:t>
            </w:r>
            <w:r w:rsidRPr="00161EA1">
              <w:rPr>
                <w:rFonts w:eastAsiaTheme="minorEastAsia"/>
                <w:b/>
                <w:color w:val="000000"/>
                <w:sz w:val="20"/>
                <w:szCs w:val="20"/>
              </w:rPr>
              <w:tab/>
            </w:r>
            <w:r w:rsidRPr="00161EA1">
              <w:rPr>
                <w:rFonts w:eastAsiaTheme="minorEastAsia"/>
                <w:b/>
                <w:color w:val="000000"/>
                <w:sz w:val="20"/>
                <w:szCs w:val="20"/>
              </w:rPr>
              <w:tab/>
            </w:r>
            <w:r w:rsidR="00161EA1">
              <w:rPr>
                <w:rFonts w:eastAsiaTheme="minorEastAsia"/>
                <w:b/>
                <w:color w:val="000000"/>
                <w:sz w:val="20"/>
                <w:szCs w:val="20"/>
              </w:rPr>
              <w:t xml:space="preserve"> </w:t>
            </w:r>
            <w:r w:rsidRPr="00161EA1">
              <w:rPr>
                <w:rFonts w:eastAsiaTheme="minorEastAsia"/>
                <w:b/>
                <w:color w:val="000000"/>
                <w:sz w:val="20"/>
                <w:szCs w:val="20"/>
              </w:rPr>
              <w:t>Values</w:t>
            </w:r>
          </w:p>
        </w:tc>
      </w:tr>
      <w:tr w:rsidR="00F00BC7" w:rsidRPr="00161EA1" w:rsidTr="00161EA1">
        <w:trPr>
          <w:cantSplit/>
          <w:jc w:val="center"/>
        </w:trPr>
        <w:tc>
          <w:tcPr>
            <w:tcW w:w="5000" w:type="pct"/>
            <w:gridSpan w:val="3"/>
            <w:vAlign w:val="center"/>
          </w:tcPr>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 xml:space="preserve">Freshwater </w:t>
            </w:r>
            <w:r w:rsidRPr="00161EA1">
              <w:rPr>
                <w:rFonts w:eastAsiaTheme="minorEastAsia"/>
                <w:color w:val="000000"/>
                <w:sz w:val="20"/>
                <w:szCs w:val="20"/>
              </w:rPr>
              <w:tab/>
            </w:r>
            <w:r w:rsidRPr="00161EA1">
              <w:rPr>
                <w:rFonts w:eastAsiaTheme="minorEastAsia"/>
                <w:color w:val="000000"/>
                <w:sz w:val="20"/>
                <w:szCs w:val="20"/>
              </w:rPr>
              <w:tab/>
              <w:t>Marine water</w:t>
            </w:r>
          </w:p>
        </w:tc>
      </w:tr>
      <w:tr w:rsidR="00F00BC7" w:rsidRPr="00161EA1" w:rsidTr="00161EA1">
        <w:trPr>
          <w:cantSplit/>
          <w:jc w:val="center"/>
        </w:trPr>
        <w:tc>
          <w:tcPr>
            <w:tcW w:w="2319" w:type="pct"/>
            <w:vAlign w:val="center"/>
          </w:tcPr>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pH</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Salinity (mg/L)</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BOD (mg/L)</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COD mg/L</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 xml:space="preserve">TOC </w:t>
            </w:r>
            <w:r w:rsidRPr="00161EA1">
              <w:rPr>
                <w:rFonts w:eastAsiaTheme="minorEastAsia"/>
                <w:color w:val="000000"/>
                <w:sz w:val="20"/>
                <w:szCs w:val="20"/>
              </w:rPr>
              <w:tab/>
              <w:t>(%)</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DO (mg/L)</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NO</w:t>
            </w:r>
            <w:r w:rsidRPr="00161EA1">
              <w:rPr>
                <w:rFonts w:eastAsiaTheme="minorEastAsia"/>
                <w:color w:val="000000"/>
                <w:sz w:val="20"/>
                <w:szCs w:val="20"/>
                <w:vertAlign w:val="superscript"/>
              </w:rPr>
              <w:t>2-</w:t>
            </w:r>
            <w:r w:rsidRPr="00161EA1">
              <w:rPr>
                <w:rFonts w:eastAsiaTheme="minorEastAsia"/>
                <w:color w:val="000000"/>
                <w:sz w:val="20"/>
                <w:szCs w:val="20"/>
                <w:vertAlign w:val="subscript"/>
              </w:rPr>
              <w:t>3</w:t>
            </w:r>
            <w:r w:rsidRPr="00161EA1">
              <w:rPr>
                <w:rFonts w:eastAsiaTheme="minorEastAsia"/>
                <w:color w:val="000000"/>
                <w:sz w:val="20"/>
                <w:szCs w:val="20"/>
                <w:vertAlign w:val="superscript"/>
              </w:rPr>
              <w:t xml:space="preserve"> </w:t>
            </w:r>
            <w:r w:rsidRPr="00161EA1">
              <w:rPr>
                <w:rFonts w:eastAsiaTheme="minorEastAsia"/>
                <w:color w:val="000000"/>
                <w:sz w:val="20"/>
                <w:szCs w:val="20"/>
              </w:rPr>
              <w:t>(mg/L)</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SO</w:t>
            </w:r>
            <w:r w:rsidRPr="00161EA1">
              <w:rPr>
                <w:rFonts w:eastAsiaTheme="minorEastAsia"/>
                <w:color w:val="000000"/>
                <w:sz w:val="20"/>
                <w:szCs w:val="20"/>
                <w:vertAlign w:val="subscript"/>
              </w:rPr>
              <w:t>4</w:t>
            </w:r>
            <w:r w:rsidRPr="00161EA1">
              <w:rPr>
                <w:rFonts w:eastAsiaTheme="minorEastAsia"/>
                <w:color w:val="000000"/>
                <w:sz w:val="20"/>
                <w:szCs w:val="20"/>
                <w:vertAlign w:val="superscript"/>
              </w:rPr>
              <w:t>2-</w:t>
            </w:r>
            <w:r w:rsidRPr="00161EA1">
              <w:rPr>
                <w:rFonts w:eastAsiaTheme="minorEastAsia"/>
                <w:color w:val="000000"/>
                <w:sz w:val="20"/>
                <w:szCs w:val="20"/>
              </w:rPr>
              <w:t>(mg/L)</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PO</w:t>
            </w:r>
            <w:r w:rsidRPr="00161EA1">
              <w:rPr>
                <w:rFonts w:eastAsiaTheme="minorEastAsia"/>
                <w:color w:val="000000"/>
                <w:sz w:val="20"/>
                <w:szCs w:val="20"/>
                <w:vertAlign w:val="subscript"/>
              </w:rPr>
              <w:t>4</w:t>
            </w:r>
            <w:r w:rsidRPr="00161EA1">
              <w:rPr>
                <w:rFonts w:eastAsiaTheme="minorEastAsia"/>
                <w:color w:val="000000"/>
                <w:sz w:val="20"/>
                <w:szCs w:val="20"/>
                <w:vertAlign w:val="superscript"/>
              </w:rPr>
              <w:t>3-</w:t>
            </w:r>
            <w:r w:rsidRPr="00161EA1">
              <w:rPr>
                <w:rFonts w:eastAsiaTheme="minorEastAsia"/>
                <w:color w:val="000000"/>
                <w:sz w:val="20"/>
                <w:szCs w:val="20"/>
              </w:rPr>
              <w:t xml:space="preserve"> (mg/L)</w:t>
            </w:r>
          </w:p>
        </w:tc>
        <w:tc>
          <w:tcPr>
            <w:tcW w:w="1221" w:type="pct"/>
            <w:vAlign w:val="center"/>
          </w:tcPr>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6.39</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32.5</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8</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7.2</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0.0258</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6.56</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3.088</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68.80</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0.0825</w:t>
            </w:r>
          </w:p>
        </w:tc>
        <w:tc>
          <w:tcPr>
            <w:tcW w:w="1460" w:type="pct"/>
            <w:vAlign w:val="center"/>
          </w:tcPr>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4.55</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35,262.5</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16.64</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20.0</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0.0234</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752</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0.8824</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688.89</w:t>
            </w:r>
          </w:p>
          <w:p w:rsidR="00F00BC7" w:rsidRPr="00161EA1" w:rsidRDefault="00F00BC7" w:rsidP="00F00BC7">
            <w:pPr>
              <w:snapToGrid w:val="0"/>
              <w:jc w:val="both"/>
              <w:rPr>
                <w:rFonts w:eastAsiaTheme="minorEastAsia"/>
                <w:color w:val="000000"/>
                <w:sz w:val="20"/>
                <w:szCs w:val="20"/>
              </w:rPr>
            </w:pPr>
            <w:r w:rsidRPr="00161EA1">
              <w:rPr>
                <w:rFonts w:eastAsiaTheme="minorEastAsia"/>
                <w:color w:val="000000"/>
                <w:sz w:val="20"/>
                <w:szCs w:val="20"/>
              </w:rPr>
              <w:t>0.00824</w:t>
            </w:r>
          </w:p>
        </w:tc>
      </w:tr>
    </w:tbl>
    <w:p w:rsidR="00F00BC7" w:rsidRPr="00161EA1" w:rsidRDefault="00F00BC7" w:rsidP="00F00BC7">
      <w:pPr>
        <w:snapToGrid w:val="0"/>
        <w:jc w:val="both"/>
        <w:rPr>
          <w:b/>
          <w:sz w:val="20"/>
          <w:szCs w:val="20"/>
          <w:lang w:eastAsia="zh-CN"/>
        </w:rPr>
      </w:pPr>
    </w:p>
    <w:p w:rsidR="00F00BC7" w:rsidRPr="00161EA1" w:rsidRDefault="00F00BC7" w:rsidP="00F00BC7">
      <w:pPr>
        <w:snapToGrid w:val="0"/>
        <w:jc w:val="both"/>
        <w:rPr>
          <w:b/>
          <w:sz w:val="20"/>
          <w:szCs w:val="20"/>
          <w:lang w:eastAsia="zh-CN"/>
        </w:rPr>
        <w:sectPr w:rsidR="00F00BC7" w:rsidRPr="00161EA1" w:rsidSect="00161EA1">
          <w:type w:val="continuous"/>
          <w:pgSz w:w="12240" w:h="15840" w:code="1"/>
          <w:pgMar w:top="1440" w:right="1440" w:bottom="1440" w:left="1440" w:header="720" w:footer="720" w:gutter="0"/>
          <w:cols w:num="2" w:space="576"/>
          <w:docGrid w:linePitch="360"/>
        </w:sectPr>
      </w:pPr>
    </w:p>
    <w:p w:rsidR="002679EE" w:rsidRPr="00161EA1" w:rsidRDefault="002679EE" w:rsidP="00F00BC7">
      <w:pPr>
        <w:snapToGrid w:val="0"/>
        <w:jc w:val="both"/>
        <w:rPr>
          <w:b/>
          <w:sz w:val="20"/>
          <w:szCs w:val="20"/>
        </w:rPr>
      </w:pPr>
    </w:p>
    <w:p w:rsidR="00F00BC7" w:rsidRPr="00161EA1" w:rsidRDefault="00F00BC7" w:rsidP="00741774">
      <w:pPr>
        <w:snapToGrid w:val="0"/>
        <w:spacing w:line="240" w:lineRule="atLeast"/>
        <w:jc w:val="both"/>
        <w:rPr>
          <w:rFonts w:hint="eastAsia"/>
          <w:b/>
          <w:sz w:val="20"/>
          <w:szCs w:val="20"/>
          <w:lang w:eastAsia="zh-CN"/>
        </w:rPr>
      </w:pPr>
    </w:p>
    <w:p w:rsidR="00161EA1" w:rsidRDefault="00161EA1" w:rsidP="00741774">
      <w:pPr>
        <w:snapToGrid w:val="0"/>
        <w:spacing w:line="240" w:lineRule="atLeast"/>
        <w:jc w:val="both"/>
        <w:rPr>
          <w:rFonts w:hint="eastAsia"/>
          <w:b/>
          <w:sz w:val="20"/>
          <w:szCs w:val="20"/>
          <w:lang w:eastAsia="zh-CN"/>
        </w:rPr>
      </w:pPr>
    </w:p>
    <w:p w:rsidR="00161EA1" w:rsidRDefault="00161EA1" w:rsidP="00741774">
      <w:pPr>
        <w:snapToGrid w:val="0"/>
        <w:spacing w:line="240" w:lineRule="atLeast"/>
        <w:jc w:val="both"/>
        <w:rPr>
          <w:rFonts w:hint="eastAsia"/>
          <w:b/>
          <w:sz w:val="20"/>
          <w:szCs w:val="20"/>
          <w:lang w:eastAsia="zh-CN"/>
        </w:rPr>
      </w:pPr>
    </w:p>
    <w:p w:rsidR="00161EA1" w:rsidRDefault="00161EA1" w:rsidP="00741774">
      <w:pPr>
        <w:snapToGrid w:val="0"/>
        <w:spacing w:line="240" w:lineRule="atLeast"/>
        <w:jc w:val="both"/>
        <w:rPr>
          <w:rFonts w:hint="eastAsia"/>
          <w:b/>
          <w:sz w:val="20"/>
          <w:szCs w:val="20"/>
          <w:lang w:eastAsia="zh-CN"/>
        </w:rPr>
      </w:pPr>
    </w:p>
    <w:p w:rsidR="00944DB9" w:rsidRPr="00161EA1" w:rsidRDefault="0025601E" w:rsidP="00741774">
      <w:pPr>
        <w:snapToGrid w:val="0"/>
        <w:spacing w:line="240" w:lineRule="atLeast"/>
        <w:jc w:val="center"/>
        <w:rPr>
          <w:sz w:val="20"/>
          <w:szCs w:val="20"/>
        </w:rPr>
      </w:pPr>
      <w:r w:rsidRPr="00161EA1">
        <w:rPr>
          <w:b/>
          <w:sz w:val="20"/>
          <w:szCs w:val="20"/>
        </w:rPr>
        <w:t>Table 2:</w:t>
      </w:r>
      <w:r w:rsidR="00161EA1" w:rsidRPr="00161EA1">
        <w:rPr>
          <w:rFonts w:hint="eastAsia"/>
          <w:b/>
          <w:sz w:val="20"/>
          <w:szCs w:val="20"/>
          <w:lang w:eastAsia="zh-CN"/>
        </w:rPr>
        <w:t xml:space="preserve"> </w:t>
      </w:r>
      <w:r w:rsidR="00944DB9" w:rsidRPr="00161EA1">
        <w:rPr>
          <w:sz w:val="20"/>
          <w:szCs w:val="20"/>
        </w:rPr>
        <w:t xml:space="preserve">Bacterial and fungal counts of habitat water </w:t>
      </w:r>
      <w:r w:rsidR="00944DB9" w:rsidRPr="00161EA1">
        <w:rPr>
          <w:sz w:val="20"/>
          <w:szCs w:val="20"/>
        </w:rPr>
        <w:tab/>
        <w:t>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1971"/>
        <w:gridCol w:w="2141"/>
        <w:gridCol w:w="1971"/>
        <w:gridCol w:w="2141"/>
      </w:tblGrid>
      <w:tr w:rsidR="0025601E" w:rsidRPr="00161EA1" w:rsidTr="00161EA1">
        <w:trPr>
          <w:cantSplit/>
          <w:jc w:val="center"/>
        </w:trPr>
        <w:tc>
          <w:tcPr>
            <w:tcW w:w="5000" w:type="pct"/>
            <w:gridSpan w:val="5"/>
            <w:vAlign w:val="center"/>
          </w:tcPr>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Type of</w:t>
            </w:r>
            <w:r w:rsidR="00F00BC7" w:rsidRPr="00161EA1">
              <w:rPr>
                <w:rFonts w:eastAsiaTheme="minorEastAsia" w:hint="eastAsia"/>
                <w:color w:val="000000"/>
                <w:sz w:val="20"/>
                <w:szCs w:val="20"/>
                <w:lang w:eastAsia="zh-CN"/>
              </w:rPr>
              <w:t xml:space="preserve"> </w:t>
            </w:r>
            <w:r w:rsidRPr="00161EA1">
              <w:rPr>
                <w:rFonts w:eastAsiaTheme="minorEastAsia"/>
                <w:color w:val="000000"/>
                <w:sz w:val="20"/>
                <w:szCs w:val="20"/>
              </w:rPr>
              <w:t>count</w:t>
            </w:r>
            <w:r w:rsidR="002B292B" w:rsidRPr="00161EA1">
              <w:rPr>
                <w:rFonts w:eastAsiaTheme="minorEastAsia"/>
                <w:color w:val="000000"/>
                <w:sz w:val="20"/>
                <w:szCs w:val="20"/>
              </w:rPr>
              <w:tab/>
            </w:r>
            <w:r w:rsidR="002B292B" w:rsidRPr="00161EA1">
              <w:rPr>
                <w:rFonts w:eastAsiaTheme="minorEastAsia"/>
                <w:color w:val="000000"/>
                <w:sz w:val="20"/>
                <w:szCs w:val="20"/>
              </w:rPr>
              <w:tab/>
            </w:r>
            <w:r w:rsidRPr="00161EA1">
              <w:rPr>
                <w:rFonts w:eastAsiaTheme="minorEastAsia"/>
                <w:color w:val="000000"/>
                <w:sz w:val="20"/>
                <w:szCs w:val="20"/>
              </w:rPr>
              <w:t>Fresh water</w:t>
            </w:r>
            <w:r w:rsidR="002B292B" w:rsidRPr="00161EA1">
              <w:rPr>
                <w:rFonts w:eastAsiaTheme="minorEastAsia"/>
                <w:color w:val="000000"/>
                <w:sz w:val="20"/>
                <w:szCs w:val="20"/>
              </w:rPr>
              <w:tab/>
            </w:r>
            <w:r w:rsidR="002B292B" w:rsidRPr="00161EA1">
              <w:rPr>
                <w:rFonts w:eastAsiaTheme="minorEastAsia"/>
                <w:color w:val="000000"/>
                <w:sz w:val="20"/>
                <w:szCs w:val="20"/>
              </w:rPr>
              <w:tab/>
              <w:t xml:space="preserve"> </w:t>
            </w:r>
            <w:r w:rsidRPr="00161EA1">
              <w:rPr>
                <w:rFonts w:eastAsiaTheme="minorEastAsia"/>
                <w:color w:val="000000"/>
                <w:sz w:val="20"/>
                <w:szCs w:val="20"/>
              </w:rPr>
              <w:t>Marine water</w:t>
            </w:r>
          </w:p>
        </w:tc>
      </w:tr>
      <w:tr w:rsidR="0025601E" w:rsidRPr="00161EA1" w:rsidTr="00161EA1">
        <w:trPr>
          <w:cantSplit/>
          <w:jc w:val="center"/>
        </w:trPr>
        <w:tc>
          <w:tcPr>
            <w:tcW w:w="706" w:type="pct"/>
            <w:vAlign w:val="center"/>
          </w:tcPr>
          <w:p w:rsidR="0025601E" w:rsidRPr="00161EA1" w:rsidRDefault="0025601E" w:rsidP="00741774">
            <w:pPr>
              <w:snapToGrid w:val="0"/>
              <w:spacing w:line="240" w:lineRule="atLeast"/>
              <w:jc w:val="both"/>
              <w:rPr>
                <w:rFonts w:eastAsiaTheme="minorEastAsia"/>
                <w:color w:val="000000"/>
                <w:sz w:val="20"/>
                <w:szCs w:val="20"/>
              </w:rPr>
            </w:pPr>
          </w:p>
        </w:tc>
        <w:tc>
          <w:tcPr>
            <w:tcW w:w="1029" w:type="pct"/>
            <w:vAlign w:val="center"/>
          </w:tcPr>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w:t>
            </w:r>
            <w:proofErr w:type="spellStart"/>
            <w:r w:rsidRPr="00161EA1">
              <w:rPr>
                <w:rFonts w:eastAsiaTheme="minorEastAsia"/>
                <w:color w:val="000000"/>
                <w:sz w:val="20"/>
                <w:szCs w:val="20"/>
              </w:rPr>
              <w:t>cfu</w:t>
            </w:r>
            <w:proofErr w:type="spellEnd"/>
            <w:r w:rsidRPr="00161EA1">
              <w:rPr>
                <w:rFonts w:eastAsiaTheme="minorEastAsia"/>
                <w:color w:val="000000"/>
                <w:sz w:val="20"/>
                <w:szCs w:val="20"/>
              </w:rPr>
              <w:t>/ml)</w:t>
            </w:r>
          </w:p>
        </w:tc>
        <w:tc>
          <w:tcPr>
            <w:tcW w:w="1118" w:type="pct"/>
            <w:vAlign w:val="center"/>
          </w:tcPr>
          <w:p w:rsidR="0025601E" w:rsidRPr="00161EA1" w:rsidRDefault="002B292B"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xml:space="preserve">(%) </w:t>
            </w:r>
            <w:r w:rsidR="0025601E" w:rsidRPr="00161EA1">
              <w:rPr>
                <w:rFonts w:eastAsiaTheme="minorEastAsia"/>
                <w:color w:val="000000"/>
                <w:sz w:val="20"/>
                <w:szCs w:val="20"/>
              </w:rPr>
              <w:t>count</w:t>
            </w:r>
          </w:p>
        </w:tc>
        <w:tc>
          <w:tcPr>
            <w:tcW w:w="1029" w:type="pct"/>
            <w:vAlign w:val="center"/>
          </w:tcPr>
          <w:p w:rsidR="0025601E" w:rsidRPr="00161EA1" w:rsidRDefault="0025601E"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Cfu</w:t>
            </w:r>
            <w:proofErr w:type="spellEnd"/>
            <w:r w:rsidRPr="00161EA1">
              <w:rPr>
                <w:rFonts w:eastAsiaTheme="minorEastAsia"/>
                <w:color w:val="000000"/>
                <w:sz w:val="20"/>
                <w:szCs w:val="20"/>
              </w:rPr>
              <w:t>/ml</w:t>
            </w:r>
          </w:p>
        </w:tc>
        <w:tc>
          <w:tcPr>
            <w:tcW w:w="1118" w:type="pct"/>
            <w:vAlign w:val="center"/>
          </w:tcPr>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count</w:t>
            </w:r>
          </w:p>
        </w:tc>
      </w:tr>
      <w:tr w:rsidR="0025601E" w:rsidRPr="00161EA1" w:rsidTr="00161EA1">
        <w:trPr>
          <w:cantSplit/>
          <w:jc w:val="center"/>
        </w:trPr>
        <w:tc>
          <w:tcPr>
            <w:tcW w:w="706" w:type="pct"/>
            <w:vAlign w:val="center"/>
          </w:tcPr>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THB</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HUB</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TFC</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HUF</w:t>
            </w:r>
          </w:p>
        </w:tc>
        <w:tc>
          <w:tcPr>
            <w:tcW w:w="1029" w:type="pct"/>
            <w:vAlign w:val="center"/>
          </w:tcPr>
          <w:p w:rsidR="0025601E" w:rsidRPr="00161EA1" w:rsidRDefault="0025601E"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4.7 x 10</w:t>
            </w:r>
            <w:r w:rsidRPr="00161EA1">
              <w:rPr>
                <w:rFonts w:eastAsiaTheme="minorEastAsia"/>
                <w:color w:val="000000"/>
                <w:sz w:val="20"/>
                <w:szCs w:val="20"/>
                <w:vertAlign w:val="superscript"/>
              </w:rPr>
              <w:t>3</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2.3 x 10</w:t>
            </w:r>
            <w:r w:rsidRPr="00161EA1">
              <w:rPr>
                <w:rFonts w:eastAsiaTheme="minorEastAsia"/>
                <w:color w:val="000000"/>
                <w:sz w:val="20"/>
                <w:szCs w:val="20"/>
                <w:vertAlign w:val="superscript"/>
              </w:rPr>
              <w:t>3</w:t>
            </w:r>
          </w:p>
          <w:p w:rsidR="0025601E" w:rsidRPr="00161EA1" w:rsidRDefault="0025601E"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8.0 x 10</w:t>
            </w:r>
            <w:r w:rsidRPr="00161EA1">
              <w:rPr>
                <w:rFonts w:eastAsiaTheme="minorEastAsia"/>
                <w:color w:val="000000"/>
                <w:sz w:val="20"/>
                <w:szCs w:val="20"/>
                <w:vertAlign w:val="superscript"/>
              </w:rPr>
              <w:t>2</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2.0 x 10</w:t>
            </w:r>
            <w:r w:rsidRPr="00161EA1">
              <w:rPr>
                <w:rFonts w:eastAsiaTheme="minorEastAsia"/>
                <w:color w:val="000000"/>
                <w:sz w:val="20"/>
                <w:szCs w:val="20"/>
                <w:vertAlign w:val="superscript"/>
              </w:rPr>
              <w:t>2</w:t>
            </w:r>
          </w:p>
        </w:tc>
        <w:tc>
          <w:tcPr>
            <w:tcW w:w="1118" w:type="pct"/>
            <w:vAlign w:val="center"/>
          </w:tcPr>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52</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48</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75</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25</w:t>
            </w:r>
          </w:p>
        </w:tc>
        <w:tc>
          <w:tcPr>
            <w:tcW w:w="1029" w:type="pct"/>
            <w:vAlign w:val="center"/>
          </w:tcPr>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5.6 x 10</w:t>
            </w:r>
            <w:r w:rsidRPr="00161EA1">
              <w:rPr>
                <w:rFonts w:eastAsiaTheme="minorEastAsia"/>
                <w:color w:val="000000"/>
                <w:sz w:val="20"/>
                <w:szCs w:val="20"/>
                <w:vertAlign w:val="superscript"/>
              </w:rPr>
              <w:t>3</w:t>
            </w:r>
          </w:p>
          <w:p w:rsidR="0025601E" w:rsidRPr="00161EA1" w:rsidRDefault="0025601E"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5.0 x 10</w:t>
            </w:r>
            <w:r w:rsidRPr="00161EA1">
              <w:rPr>
                <w:rFonts w:eastAsiaTheme="minorEastAsia"/>
                <w:color w:val="000000"/>
                <w:sz w:val="20"/>
                <w:szCs w:val="20"/>
                <w:vertAlign w:val="superscript"/>
              </w:rPr>
              <w:t>2</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3.0 x 10</w:t>
            </w:r>
            <w:r w:rsidRPr="00161EA1">
              <w:rPr>
                <w:rFonts w:eastAsiaTheme="minorEastAsia"/>
                <w:color w:val="000000"/>
                <w:sz w:val="20"/>
                <w:szCs w:val="20"/>
                <w:vertAlign w:val="superscript"/>
              </w:rPr>
              <w:t>2</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2.0 x 10</w:t>
            </w:r>
          </w:p>
        </w:tc>
        <w:tc>
          <w:tcPr>
            <w:tcW w:w="1118" w:type="pct"/>
            <w:vAlign w:val="center"/>
          </w:tcPr>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91</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9</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93</w:t>
            </w:r>
          </w:p>
          <w:p w:rsidR="0025601E" w:rsidRPr="00161EA1" w:rsidRDefault="0025601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7</w:t>
            </w:r>
          </w:p>
        </w:tc>
      </w:tr>
    </w:tbl>
    <w:p w:rsidR="00F00BC7" w:rsidRDefault="00F00BC7" w:rsidP="00741774">
      <w:pPr>
        <w:snapToGrid w:val="0"/>
        <w:spacing w:line="240" w:lineRule="atLeast"/>
        <w:jc w:val="both"/>
        <w:rPr>
          <w:rFonts w:hint="eastAsia"/>
          <w:b/>
          <w:sz w:val="20"/>
          <w:szCs w:val="20"/>
          <w:lang w:eastAsia="zh-CN"/>
        </w:rPr>
      </w:pPr>
    </w:p>
    <w:p w:rsidR="00161EA1" w:rsidRPr="00161EA1" w:rsidRDefault="00161EA1" w:rsidP="00741774">
      <w:pPr>
        <w:snapToGrid w:val="0"/>
        <w:spacing w:line="240" w:lineRule="atLeast"/>
        <w:jc w:val="both"/>
        <w:rPr>
          <w:b/>
          <w:sz w:val="20"/>
          <w:szCs w:val="20"/>
          <w:lang w:eastAsia="zh-CN"/>
        </w:rPr>
      </w:pPr>
    </w:p>
    <w:p w:rsidR="006C7896" w:rsidRPr="00161EA1" w:rsidRDefault="006C7896" w:rsidP="00741774">
      <w:pPr>
        <w:snapToGrid w:val="0"/>
        <w:spacing w:line="240" w:lineRule="atLeast"/>
        <w:jc w:val="both"/>
        <w:rPr>
          <w:sz w:val="20"/>
          <w:szCs w:val="20"/>
        </w:rPr>
      </w:pPr>
      <w:proofErr w:type="gramStart"/>
      <w:r w:rsidRPr="00161EA1">
        <w:rPr>
          <w:b/>
          <w:sz w:val="20"/>
          <w:szCs w:val="20"/>
        </w:rPr>
        <w:t>Table 3:</w:t>
      </w:r>
      <w:r w:rsidR="00A3564C" w:rsidRPr="00161EA1">
        <w:rPr>
          <w:sz w:val="20"/>
          <w:szCs w:val="20"/>
        </w:rPr>
        <w:t xml:space="preserve"> </w:t>
      </w:r>
      <w:r w:rsidRPr="00161EA1">
        <w:rPr>
          <w:sz w:val="20"/>
          <w:szCs w:val="20"/>
        </w:rPr>
        <w:t>TVC (</w:t>
      </w:r>
      <w:proofErr w:type="spellStart"/>
      <w:r w:rsidRPr="00161EA1">
        <w:rPr>
          <w:sz w:val="20"/>
          <w:szCs w:val="20"/>
        </w:rPr>
        <w:t>cfu</w:t>
      </w:r>
      <w:proofErr w:type="spellEnd"/>
      <w:r w:rsidRPr="00161EA1">
        <w:rPr>
          <w:sz w:val="20"/>
          <w:szCs w:val="20"/>
        </w:rPr>
        <w:t>/ml) during preliminary toxicity testing of the various brake fluids samples in fresh and</w:t>
      </w:r>
      <w:r w:rsidR="00A3564C" w:rsidRPr="00161EA1">
        <w:rPr>
          <w:sz w:val="20"/>
          <w:szCs w:val="20"/>
        </w:rPr>
        <w:t xml:space="preserve"> </w:t>
      </w:r>
      <w:r w:rsidRPr="00161EA1">
        <w:rPr>
          <w:sz w:val="20"/>
          <w:szCs w:val="20"/>
        </w:rPr>
        <w:t>marine water sample</w:t>
      </w:r>
      <w:r w:rsidR="00944DB9" w:rsidRPr="00161EA1">
        <w:rPr>
          <w:sz w:val="20"/>
          <w:szCs w:val="20"/>
        </w:rPr>
        <w:t>s</w:t>
      </w:r>
      <w:r w:rsidRPr="00161EA1">
        <w:rPr>
          <w:sz w:val="20"/>
          <w:szCs w:val="20"/>
        </w:rPr>
        <w:t xml:space="preserve"> after 48h incubation at room temperature (28±2</w:t>
      </w:r>
      <w:r w:rsidRPr="00161EA1">
        <w:rPr>
          <w:sz w:val="20"/>
          <w:szCs w:val="20"/>
          <w:vertAlign w:val="superscript"/>
        </w:rPr>
        <w:t>0</w:t>
      </w:r>
      <w:r w:rsidRPr="00161EA1">
        <w:rPr>
          <w:sz w:val="20"/>
          <w:szCs w:val="20"/>
        </w:rPr>
        <w:t>C).</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857"/>
        <w:gridCol w:w="960"/>
        <w:gridCol w:w="960"/>
        <w:gridCol w:w="858"/>
        <w:gridCol w:w="858"/>
        <w:gridCol w:w="858"/>
        <w:gridCol w:w="960"/>
        <w:gridCol w:w="960"/>
        <w:gridCol w:w="858"/>
        <w:gridCol w:w="856"/>
      </w:tblGrid>
      <w:tr w:rsidR="006C7896" w:rsidRPr="00161EA1" w:rsidTr="00161EA1">
        <w:trPr>
          <w:cantSplit/>
          <w:jc w:val="center"/>
        </w:trPr>
        <w:tc>
          <w:tcPr>
            <w:tcW w:w="5000" w:type="pct"/>
            <w:gridSpan w:val="11"/>
            <w:vAlign w:val="center"/>
          </w:tcPr>
          <w:p w:rsidR="00E8230C" w:rsidRPr="00161EA1" w:rsidRDefault="00E91B7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Test hydraulic brake fluid</w:t>
            </w:r>
            <w:r w:rsidR="00F00BC7" w:rsidRPr="00161EA1">
              <w:rPr>
                <w:rFonts w:eastAsiaTheme="minorEastAsia" w:hint="eastAsia"/>
                <w:color w:val="000000"/>
                <w:sz w:val="20"/>
                <w:szCs w:val="20"/>
                <w:lang w:eastAsia="zh-CN"/>
              </w:rPr>
              <w:t xml:space="preserve"> </w:t>
            </w:r>
            <w:r w:rsidR="004F6E91" w:rsidRPr="00161EA1">
              <w:rPr>
                <w:rFonts w:eastAsiaTheme="minorEastAsia"/>
                <w:color w:val="000000"/>
                <w:sz w:val="20"/>
                <w:szCs w:val="20"/>
              </w:rPr>
              <w:t>Conc.</w:t>
            </w:r>
          </w:p>
          <w:p w:rsidR="006C7896" w:rsidRPr="00161EA1" w:rsidRDefault="004F6E91"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w:t>
            </w:r>
            <w:r w:rsidR="006C7896" w:rsidRPr="00161EA1">
              <w:rPr>
                <w:rFonts w:eastAsiaTheme="minorEastAsia"/>
                <w:color w:val="000000"/>
                <w:sz w:val="20"/>
                <w:szCs w:val="20"/>
              </w:rPr>
              <w:t>mg/l)</w:t>
            </w:r>
            <w:r w:rsidR="006C7896" w:rsidRPr="00161EA1">
              <w:rPr>
                <w:rFonts w:eastAsiaTheme="minorEastAsia"/>
                <w:color w:val="000000"/>
                <w:sz w:val="20"/>
                <w:szCs w:val="20"/>
              </w:rPr>
              <w:tab/>
            </w:r>
            <w:r w:rsidR="00161EA1">
              <w:rPr>
                <w:rFonts w:eastAsiaTheme="minorEastAsia"/>
                <w:color w:val="000000"/>
                <w:sz w:val="20"/>
                <w:szCs w:val="20"/>
              </w:rPr>
              <w:t xml:space="preserve">   </w:t>
            </w:r>
            <w:r w:rsidR="00A13BC1" w:rsidRPr="00161EA1">
              <w:rPr>
                <w:rFonts w:eastAsiaTheme="minorEastAsia"/>
                <w:color w:val="000000"/>
                <w:sz w:val="20"/>
                <w:szCs w:val="20"/>
              </w:rPr>
              <w:t xml:space="preserve">   </w:t>
            </w:r>
            <w:r w:rsidR="006C7896" w:rsidRPr="00161EA1">
              <w:rPr>
                <w:rFonts w:eastAsiaTheme="minorEastAsia"/>
                <w:color w:val="000000"/>
                <w:sz w:val="20"/>
                <w:szCs w:val="20"/>
              </w:rPr>
              <w:t>TTBF</w:t>
            </w:r>
            <w:r w:rsidR="006C7896" w:rsidRPr="00161EA1">
              <w:rPr>
                <w:rFonts w:eastAsiaTheme="minorEastAsia"/>
                <w:color w:val="000000"/>
                <w:sz w:val="20"/>
                <w:szCs w:val="20"/>
              </w:rPr>
              <w:tab/>
            </w:r>
            <w:r w:rsidR="00377A57" w:rsidRPr="00161EA1">
              <w:rPr>
                <w:rFonts w:eastAsiaTheme="minorEastAsia"/>
                <w:color w:val="000000"/>
                <w:sz w:val="20"/>
                <w:szCs w:val="20"/>
              </w:rPr>
              <w:tab/>
            </w:r>
            <w:r w:rsidR="00A13BC1" w:rsidRPr="00161EA1">
              <w:rPr>
                <w:rFonts w:eastAsiaTheme="minorEastAsia"/>
                <w:color w:val="000000"/>
                <w:sz w:val="20"/>
                <w:szCs w:val="20"/>
              </w:rPr>
              <w:t xml:space="preserve">        </w:t>
            </w:r>
            <w:r w:rsidR="006C7896" w:rsidRPr="00161EA1">
              <w:rPr>
                <w:rFonts w:eastAsiaTheme="minorEastAsia"/>
                <w:color w:val="000000"/>
                <w:sz w:val="20"/>
                <w:szCs w:val="20"/>
              </w:rPr>
              <w:t>ALBF</w:t>
            </w:r>
            <w:r w:rsidR="006C7896" w:rsidRPr="00161EA1">
              <w:rPr>
                <w:rFonts w:eastAsiaTheme="minorEastAsia"/>
                <w:color w:val="000000"/>
                <w:sz w:val="20"/>
                <w:szCs w:val="20"/>
              </w:rPr>
              <w:tab/>
            </w:r>
            <w:r w:rsidR="00377A57" w:rsidRPr="00161EA1">
              <w:rPr>
                <w:rFonts w:eastAsiaTheme="minorEastAsia"/>
                <w:color w:val="000000"/>
                <w:sz w:val="20"/>
                <w:szCs w:val="20"/>
              </w:rPr>
              <w:tab/>
            </w:r>
            <w:r w:rsidR="00A13BC1" w:rsidRPr="00161EA1">
              <w:rPr>
                <w:rFonts w:eastAsiaTheme="minorEastAsia"/>
                <w:color w:val="000000"/>
                <w:sz w:val="20"/>
                <w:szCs w:val="20"/>
              </w:rPr>
              <w:t xml:space="preserve"> </w:t>
            </w:r>
            <w:r w:rsidR="006C7896" w:rsidRPr="00161EA1">
              <w:rPr>
                <w:rFonts w:eastAsiaTheme="minorEastAsia"/>
                <w:color w:val="000000"/>
                <w:sz w:val="20"/>
                <w:szCs w:val="20"/>
              </w:rPr>
              <w:t>OABF</w:t>
            </w:r>
            <w:r w:rsidR="006C7896" w:rsidRPr="00161EA1">
              <w:rPr>
                <w:rFonts w:eastAsiaTheme="minorEastAsia"/>
                <w:color w:val="000000"/>
                <w:sz w:val="20"/>
                <w:szCs w:val="20"/>
              </w:rPr>
              <w:tab/>
            </w:r>
            <w:r w:rsidR="00377A57" w:rsidRPr="00161EA1">
              <w:rPr>
                <w:rFonts w:eastAsiaTheme="minorEastAsia"/>
                <w:color w:val="000000"/>
                <w:sz w:val="20"/>
                <w:szCs w:val="20"/>
              </w:rPr>
              <w:tab/>
            </w:r>
            <w:r w:rsidR="00A13BC1" w:rsidRPr="00161EA1">
              <w:rPr>
                <w:rFonts w:eastAsiaTheme="minorEastAsia"/>
                <w:color w:val="000000"/>
                <w:sz w:val="20"/>
                <w:szCs w:val="20"/>
              </w:rPr>
              <w:t xml:space="preserve">   </w:t>
            </w:r>
            <w:r w:rsidR="006C7896" w:rsidRPr="00161EA1">
              <w:rPr>
                <w:rFonts w:eastAsiaTheme="minorEastAsia"/>
                <w:color w:val="000000"/>
                <w:sz w:val="20"/>
                <w:szCs w:val="20"/>
              </w:rPr>
              <w:t>ATBF</w:t>
            </w:r>
            <w:r w:rsidR="006C7896" w:rsidRPr="00161EA1">
              <w:rPr>
                <w:rFonts w:eastAsiaTheme="minorEastAsia"/>
                <w:color w:val="000000"/>
                <w:sz w:val="20"/>
                <w:szCs w:val="20"/>
              </w:rPr>
              <w:tab/>
            </w:r>
            <w:r w:rsidR="00377A57" w:rsidRPr="00161EA1">
              <w:rPr>
                <w:rFonts w:eastAsiaTheme="minorEastAsia"/>
                <w:color w:val="000000"/>
                <w:sz w:val="20"/>
                <w:szCs w:val="20"/>
              </w:rPr>
              <w:tab/>
            </w:r>
            <w:r w:rsidR="00A13BC1" w:rsidRPr="00161EA1">
              <w:rPr>
                <w:rFonts w:eastAsiaTheme="minorEastAsia"/>
                <w:color w:val="000000"/>
                <w:sz w:val="20"/>
                <w:szCs w:val="20"/>
              </w:rPr>
              <w:t xml:space="preserve"> </w:t>
            </w:r>
            <w:r w:rsidR="006C7896" w:rsidRPr="00161EA1">
              <w:rPr>
                <w:rFonts w:eastAsiaTheme="minorEastAsia"/>
                <w:color w:val="000000"/>
                <w:sz w:val="20"/>
                <w:szCs w:val="20"/>
              </w:rPr>
              <w:t>Olive oil</w:t>
            </w:r>
          </w:p>
        </w:tc>
      </w:tr>
      <w:tr w:rsidR="00377A57" w:rsidRPr="00161EA1" w:rsidTr="00161EA1">
        <w:trPr>
          <w:cantSplit/>
          <w:jc w:val="center"/>
        </w:trPr>
        <w:tc>
          <w:tcPr>
            <w:tcW w:w="309" w:type="pct"/>
            <w:vAlign w:val="center"/>
          </w:tcPr>
          <w:p w:rsidR="006C7896" w:rsidRPr="00161EA1" w:rsidRDefault="006C7896" w:rsidP="00741774">
            <w:pPr>
              <w:snapToGrid w:val="0"/>
              <w:spacing w:line="240" w:lineRule="atLeast"/>
              <w:jc w:val="both"/>
              <w:rPr>
                <w:rFonts w:eastAsiaTheme="minorEastAsia"/>
                <w:color w:val="000000"/>
                <w:sz w:val="20"/>
                <w:szCs w:val="20"/>
              </w:rPr>
            </w:pPr>
          </w:p>
        </w:tc>
        <w:tc>
          <w:tcPr>
            <w:tcW w:w="448"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FW</w:t>
            </w:r>
          </w:p>
        </w:tc>
        <w:tc>
          <w:tcPr>
            <w:tcW w:w="501"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MW</w:t>
            </w:r>
          </w:p>
        </w:tc>
        <w:tc>
          <w:tcPr>
            <w:tcW w:w="501"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FW</w:t>
            </w:r>
          </w:p>
        </w:tc>
        <w:tc>
          <w:tcPr>
            <w:tcW w:w="448"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MW</w:t>
            </w:r>
          </w:p>
        </w:tc>
        <w:tc>
          <w:tcPr>
            <w:tcW w:w="448"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FW</w:t>
            </w:r>
          </w:p>
        </w:tc>
        <w:tc>
          <w:tcPr>
            <w:tcW w:w="448"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MW</w:t>
            </w:r>
          </w:p>
        </w:tc>
        <w:tc>
          <w:tcPr>
            <w:tcW w:w="501"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FW</w:t>
            </w:r>
          </w:p>
        </w:tc>
        <w:tc>
          <w:tcPr>
            <w:tcW w:w="501"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MW</w:t>
            </w:r>
          </w:p>
        </w:tc>
        <w:tc>
          <w:tcPr>
            <w:tcW w:w="448"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FW</w:t>
            </w:r>
          </w:p>
        </w:tc>
        <w:tc>
          <w:tcPr>
            <w:tcW w:w="448"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MW</w:t>
            </w:r>
          </w:p>
        </w:tc>
      </w:tr>
      <w:tr w:rsidR="00377A57" w:rsidRPr="00161EA1" w:rsidTr="00161EA1">
        <w:trPr>
          <w:cantSplit/>
          <w:jc w:val="center"/>
        </w:trPr>
        <w:tc>
          <w:tcPr>
            <w:tcW w:w="309" w:type="pct"/>
            <w:vAlign w:val="center"/>
          </w:tcPr>
          <w:p w:rsidR="006C7896"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100</w:t>
            </w:r>
          </w:p>
          <w:p w:rsidR="00377A57"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10</w:t>
            </w:r>
          </w:p>
          <w:p w:rsidR="00377A57"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1.0</w:t>
            </w:r>
          </w:p>
          <w:p w:rsidR="00377A57"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0.1</w:t>
            </w:r>
          </w:p>
          <w:p w:rsidR="00377A57"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0.01</w:t>
            </w:r>
          </w:p>
        </w:tc>
        <w:tc>
          <w:tcPr>
            <w:tcW w:w="448" w:type="pct"/>
            <w:vAlign w:val="center"/>
          </w:tcPr>
          <w:p w:rsidR="006C7896" w:rsidRPr="00161EA1" w:rsidRDefault="00377A57"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3.0x10</w:t>
            </w:r>
            <w:r w:rsidRPr="00161EA1">
              <w:rPr>
                <w:rFonts w:eastAsiaTheme="minorEastAsia"/>
                <w:color w:val="000000"/>
                <w:sz w:val="20"/>
                <w:szCs w:val="20"/>
                <w:vertAlign w:val="superscript"/>
              </w:rPr>
              <w:t>4</w:t>
            </w:r>
          </w:p>
          <w:p w:rsidR="00377A57" w:rsidRPr="00161EA1" w:rsidRDefault="00377A57"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4.0x10</w:t>
            </w:r>
            <w:r w:rsidRPr="00161EA1">
              <w:rPr>
                <w:rFonts w:eastAsiaTheme="minorEastAsia"/>
                <w:color w:val="000000"/>
                <w:sz w:val="20"/>
                <w:szCs w:val="20"/>
                <w:vertAlign w:val="superscript"/>
              </w:rPr>
              <w:t>4</w:t>
            </w:r>
          </w:p>
          <w:p w:rsidR="00377A57" w:rsidRPr="00161EA1" w:rsidRDefault="00377A57"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8.9x10</w:t>
            </w:r>
            <w:r w:rsidRPr="00161EA1">
              <w:rPr>
                <w:rFonts w:eastAsiaTheme="minorEastAsia"/>
                <w:color w:val="000000"/>
                <w:sz w:val="20"/>
                <w:szCs w:val="20"/>
                <w:vertAlign w:val="superscript"/>
              </w:rPr>
              <w:t>5</w:t>
            </w:r>
          </w:p>
          <w:p w:rsidR="00377A57" w:rsidRPr="00161EA1" w:rsidRDefault="00377A57"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5.0x10</w:t>
            </w:r>
            <w:r w:rsidRPr="00161EA1">
              <w:rPr>
                <w:rFonts w:eastAsiaTheme="minorEastAsia"/>
                <w:color w:val="000000"/>
                <w:sz w:val="20"/>
                <w:szCs w:val="20"/>
                <w:vertAlign w:val="superscript"/>
              </w:rPr>
              <w:t>4</w:t>
            </w:r>
          </w:p>
          <w:p w:rsidR="00377A57" w:rsidRPr="00161EA1" w:rsidRDefault="00377A57"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4.0x10</w:t>
            </w:r>
            <w:r w:rsidRPr="00161EA1">
              <w:rPr>
                <w:rFonts w:eastAsiaTheme="minorEastAsia"/>
                <w:color w:val="000000"/>
                <w:sz w:val="20"/>
                <w:szCs w:val="20"/>
                <w:vertAlign w:val="superscript"/>
              </w:rPr>
              <w:t>3</w:t>
            </w:r>
          </w:p>
        </w:tc>
        <w:tc>
          <w:tcPr>
            <w:tcW w:w="501" w:type="pct"/>
            <w:vAlign w:val="center"/>
          </w:tcPr>
          <w:p w:rsidR="00377A57" w:rsidRPr="00161EA1" w:rsidRDefault="00377A57"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1.50x10</w:t>
            </w:r>
            <w:r w:rsidRPr="00161EA1">
              <w:rPr>
                <w:rFonts w:eastAsiaTheme="minorEastAsia"/>
                <w:color w:val="000000"/>
                <w:sz w:val="20"/>
                <w:szCs w:val="20"/>
                <w:vertAlign w:val="superscript"/>
              </w:rPr>
              <w:t>4</w:t>
            </w:r>
          </w:p>
          <w:p w:rsidR="00377A57"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7.0x10</w:t>
            </w:r>
            <w:r w:rsidRPr="00161EA1">
              <w:rPr>
                <w:rFonts w:eastAsiaTheme="minorEastAsia"/>
                <w:color w:val="000000"/>
                <w:sz w:val="20"/>
                <w:szCs w:val="20"/>
                <w:vertAlign w:val="superscript"/>
              </w:rPr>
              <w:t>3</w:t>
            </w:r>
          </w:p>
          <w:p w:rsidR="000E1AEF"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1.15x10</w:t>
            </w:r>
            <w:r w:rsidRPr="00161EA1">
              <w:rPr>
                <w:rFonts w:eastAsiaTheme="minorEastAsia"/>
                <w:color w:val="000000"/>
                <w:sz w:val="20"/>
                <w:szCs w:val="20"/>
                <w:vertAlign w:val="superscript"/>
              </w:rPr>
              <w:t>5</w:t>
            </w:r>
          </w:p>
          <w:p w:rsidR="000E1AEF" w:rsidRPr="00161EA1" w:rsidRDefault="000E1AEF"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4.0x10</w:t>
            </w:r>
            <w:r w:rsidRPr="00161EA1">
              <w:rPr>
                <w:rFonts w:eastAsiaTheme="minorEastAsia"/>
                <w:color w:val="000000"/>
                <w:sz w:val="20"/>
                <w:szCs w:val="20"/>
                <w:vertAlign w:val="superscript"/>
              </w:rPr>
              <w:t>4</w:t>
            </w:r>
          </w:p>
          <w:p w:rsidR="006C7896" w:rsidRPr="00161EA1" w:rsidRDefault="000E1AEF"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6.0x10</w:t>
            </w:r>
            <w:r w:rsidRPr="00161EA1">
              <w:rPr>
                <w:rFonts w:eastAsiaTheme="minorEastAsia"/>
                <w:color w:val="000000"/>
                <w:sz w:val="20"/>
                <w:szCs w:val="20"/>
                <w:vertAlign w:val="superscript"/>
              </w:rPr>
              <w:t>3</w:t>
            </w:r>
          </w:p>
        </w:tc>
        <w:tc>
          <w:tcPr>
            <w:tcW w:w="501" w:type="pct"/>
            <w:vAlign w:val="center"/>
          </w:tcPr>
          <w:p w:rsidR="006C7896"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9.0x10</w:t>
            </w:r>
            <w:r w:rsidRPr="00161EA1">
              <w:rPr>
                <w:rFonts w:eastAsiaTheme="minorEastAsia"/>
                <w:color w:val="000000"/>
                <w:sz w:val="20"/>
                <w:szCs w:val="20"/>
                <w:vertAlign w:val="superscript"/>
              </w:rPr>
              <w:t>3</w:t>
            </w:r>
          </w:p>
          <w:p w:rsidR="000E1AEF"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3.6x10</w:t>
            </w:r>
            <w:r w:rsidRPr="00161EA1">
              <w:rPr>
                <w:rFonts w:eastAsiaTheme="minorEastAsia"/>
                <w:color w:val="000000"/>
                <w:sz w:val="20"/>
                <w:szCs w:val="20"/>
                <w:vertAlign w:val="superscript"/>
              </w:rPr>
              <w:t>4</w:t>
            </w:r>
          </w:p>
          <w:p w:rsidR="000E1AEF"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1.35x10</w:t>
            </w:r>
            <w:r w:rsidRPr="00161EA1">
              <w:rPr>
                <w:rFonts w:eastAsiaTheme="minorEastAsia"/>
                <w:color w:val="000000"/>
                <w:sz w:val="20"/>
                <w:szCs w:val="20"/>
                <w:vertAlign w:val="superscript"/>
              </w:rPr>
              <w:t>5</w:t>
            </w:r>
          </w:p>
          <w:p w:rsidR="000E1AEF"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4.0x10</w:t>
            </w:r>
            <w:r w:rsidRPr="00161EA1">
              <w:rPr>
                <w:rFonts w:eastAsiaTheme="minorEastAsia"/>
                <w:color w:val="000000"/>
                <w:sz w:val="20"/>
                <w:szCs w:val="20"/>
                <w:vertAlign w:val="superscript"/>
              </w:rPr>
              <w:t>3</w:t>
            </w:r>
          </w:p>
          <w:p w:rsidR="000E1AEF" w:rsidRPr="00161EA1" w:rsidRDefault="000E1AEF"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4.0x10</w:t>
            </w:r>
            <w:r w:rsidRPr="00161EA1">
              <w:rPr>
                <w:rFonts w:eastAsiaTheme="minorEastAsia"/>
                <w:color w:val="000000"/>
                <w:sz w:val="20"/>
                <w:szCs w:val="20"/>
                <w:vertAlign w:val="superscript"/>
              </w:rPr>
              <w:t>3</w:t>
            </w:r>
          </w:p>
        </w:tc>
        <w:tc>
          <w:tcPr>
            <w:tcW w:w="448" w:type="pct"/>
            <w:vAlign w:val="center"/>
          </w:tcPr>
          <w:p w:rsidR="006C7896"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1.0x10</w:t>
            </w:r>
            <w:r w:rsidRPr="00161EA1">
              <w:rPr>
                <w:rFonts w:eastAsiaTheme="minorEastAsia"/>
                <w:color w:val="000000"/>
                <w:sz w:val="20"/>
                <w:szCs w:val="20"/>
                <w:vertAlign w:val="superscript"/>
              </w:rPr>
              <w:t>4</w:t>
            </w:r>
          </w:p>
          <w:p w:rsidR="000E1AEF"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5.6x10</w:t>
            </w:r>
            <w:r w:rsidRPr="00161EA1">
              <w:rPr>
                <w:rFonts w:eastAsiaTheme="minorEastAsia"/>
                <w:color w:val="000000"/>
                <w:sz w:val="20"/>
                <w:szCs w:val="20"/>
                <w:vertAlign w:val="superscript"/>
              </w:rPr>
              <w:t>4</w:t>
            </w:r>
          </w:p>
          <w:p w:rsidR="000E1AEF"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2.3x10</w:t>
            </w:r>
            <w:r w:rsidRPr="00161EA1">
              <w:rPr>
                <w:rFonts w:eastAsiaTheme="minorEastAsia"/>
                <w:color w:val="000000"/>
                <w:sz w:val="20"/>
                <w:szCs w:val="20"/>
                <w:vertAlign w:val="superscript"/>
              </w:rPr>
              <w:t>5</w:t>
            </w:r>
          </w:p>
          <w:p w:rsidR="000E1AEF" w:rsidRPr="00161EA1" w:rsidRDefault="000E1AEF"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6.0x10</w:t>
            </w:r>
            <w:r w:rsidRPr="00161EA1">
              <w:rPr>
                <w:rFonts w:eastAsiaTheme="minorEastAsia"/>
                <w:color w:val="000000"/>
                <w:sz w:val="20"/>
                <w:szCs w:val="20"/>
                <w:vertAlign w:val="superscript"/>
              </w:rPr>
              <w:t>3</w:t>
            </w:r>
          </w:p>
          <w:p w:rsidR="000E1AEF" w:rsidRPr="00161EA1" w:rsidRDefault="000E1AEF"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6.0x10</w:t>
            </w:r>
            <w:r w:rsidRPr="00161EA1">
              <w:rPr>
                <w:rFonts w:eastAsiaTheme="minorEastAsia"/>
                <w:color w:val="000000"/>
                <w:sz w:val="20"/>
                <w:szCs w:val="20"/>
                <w:vertAlign w:val="superscript"/>
              </w:rPr>
              <w:t>3</w:t>
            </w:r>
          </w:p>
        </w:tc>
        <w:tc>
          <w:tcPr>
            <w:tcW w:w="448" w:type="pct"/>
            <w:vAlign w:val="center"/>
          </w:tcPr>
          <w:p w:rsidR="006C7896" w:rsidRPr="00161EA1" w:rsidRDefault="0004104A"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4.0x10</w:t>
            </w:r>
            <w:r w:rsidRPr="00161EA1">
              <w:rPr>
                <w:rFonts w:eastAsiaTheme="minorEastAsia"/>
                <w:color w:val="000000"/>
                <w:sz w:val="20"/>
                <w:szCs w:val="20"/>
                <w:vertAlign w:val="superscript"/>
              </w:rPr>
              <w:t>3</w:t>
            </w:r>
          </w:p>
          <w:p w:rsidR="0004104A" w:rsidRPr="00161EA1" w:rsidRDefault="0004104A"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6.0x10</w:t>
            </w:r>
            <w:r w:rsidRPr="00161EA1">
              <w:rPr>
                <w:rFonts w:eastAsiaTheme="minorEastAsia"/>
                <w:color w:val="000000"/>
                <w:sz w:val="20"/>
                <w:szCs w:val="20"/>
                <w:vertAlign w:val="superscript"/>
              </w:rPr>
              <w:t>3</w:t>
            </w:r>
          </w:p>
          <w:p w:rsidR="0004104A" w:rsidRPr="00161EA1" w:rsidRDefault="0004104A"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1.2x10</w:t>
            </w:r>
            <w:r w:rsidRPr="00161EA1">
              <w:rPr>
                <w:rFonts w:eastAsiaTheme="minorEastAsia"/>
                <w:color w:val="000000"/>
                <w:sz w:val="20"/>
                <w:szCs w:val="20"/>
                <w:vertAlign w:val="superscript"/>
              </w:rPr>
              <w:t>4</w:t>
            </w:r>
          </w:p>
          <w:p w:rsidR="0004104A" w:rsidRPr="00161EA1" w:rsidRDefault="0004104A"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6.3x10</w:t>
            </w:r>
            <w:r w:rsidRPr="00161EA1">
              <w:rPr>
                <w:rFonts w:eastAsiaTheme="minorEastAsia"/>
                <w:color w:val="000000"/>
                <w:sz w:val="20"/>
                <w:szCs w:val="20"/>
                <w:vertAlign w:val="superscript"/>
              </w:rPr>
              <w:t>4</w:t>
            </w:r>
          </w:p>
          <w:p w:rsidR="0004104A" w:rsidRPr="00161EA1" w:rsidRDefault="0004104A"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7.5x10</w:t>
            </w:r>
            <w:r w:rsidRPr="00161EA1">
              <w:rPr>
                <w:rFonts w:eastAsiaTheme="minorEastAsia"/>
                <w:color w:val="000000"/>
                <w:sz w:val="20"/>
                <w:szCs w:val="20"/>
                <w:vertAlign w:val="superscript"/>
              </w:rPr>
              <w:t>4</w:t>
            </w:r>
          </w:p>
        </w:tc>
        <w:tc>
          <w:tcPr>
            <w:tcW w:w="448" w:type="pct"/>
            <w:vAlign w:val="center"/>
          </w:tcPr>
          <w:p w:rsidR="006C7896" w:rsidRPr="00161EA1" w:rsidRDefault="00D0440C"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8.0x10</w:t>
            </w:r>
            <w:r w:rsidRPr="00161EA1">
              <w:rPr>
                <w:rFonts w:eastAsiaTheme="minorEastAsia"/>
                <w:color w:val="000000"/>
                <w:sz w:val="20"/>
                <w:szCs w:val="20"/>
                <w:vertAlign w:val="superscript"/>
              </w:rPr>
              <w:t>3</w:t>
            </w:r>
          </w:p>
          <w:p w:rsidR="00D0440C" w:rsidRPr="00161EA1" w:rsidRDefault="00D0440C"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9.0x10</w:t>
            </w:r>
            <w:r w:rsidRPr="00161EA1">
              <w:rPr>
                <w:rFonts w:eastAsiaTheme="minorEastAsia"/>
                <w:color w:val="000000"/>
                <w:sz w:val="20"/>
                <w:szCs w:val="20"/>
                <w:vertAlign w:val="superscript"/>
              </w:rPr>
              <w:t>3</w:t>
            </w:r>
          </w:p>
          <w:p w:rsidR="00D0440C" w:rsidRPr="00161EA1" w:rsidRDefault="00D0440C"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3.2x10</w:t>
            </w:r>
            <w:r w:rsidRPr="00161EA1">
              <w:rPr>
                <w:rFonts w:eastAsiaTheme="minorEastAsia"/>
                <w:color w:val="000000"/>
                <w:sz w:val="20"/>
                <w:szCs w:val="20"/>
                <w:vertAlign w:val="superscript"/>
              </w:rPr>
              <w:t>4</w:t>
            </w:r>
          </w:p>
          <w:p w:rsidR="00D0440C" w:rsidRPr="00161EA1" w:rsidRDefault="00D0440C"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6.3x10</w:t>
            </w:r>
            <w:r w:rsidRPr="00161EA1">
              <w:rPr>
                <w:rFonts w:eastAsiaTheme="minorEastAsia"/>
                <w:color w:val="000000"/>
                <w:sz w:val="20"/>
                <w:szCs w:val="20"/>
                <w:vertAlign w:val="superscript"/>
              </w:rPr>
              <w:t>4</w:t>
            </w:r>
          </w:p>
          <w:p w:rsidR="00D0440C" w:rsidRPr="00161EA1" w:rsidRDefault="00D0440C" w:rsidP="00741774">
            <w:pPr>
              <w:snapToGrid w:val="0"/>
              <w:spacing w:line="240" w:lineRule="atLeast"/>
              <w:jc w:val="both"/>
              <w:rPr>
                <w:rFonts w:eastAsiaTheme="minorEastAsia"/>
                <w:b/>
                <w:color w:val="000000"/>
                <w:sz w:val="20"/>
                <w:szCs w:val="20"/>
              </w:rPr>
            </w:pPr>
            <w:r w:rsidRPr="00161EA1">
              <w:rPr>
                <w:rFonts w:eastAsiaTheme="minorEastAsia"/>
                <w:color w:val="000000"/>
                <w:sz w:val="20"/>
                <w:szCs w:val="20"/>
              </w:rPr>
              <w:t>9.5x10</w:t>
            </w:r>
            <w:r w:rsidRPr="00161EA1">
              <w:rPr>
                <w:rFonts w:eastAsiaTheme="minorEastAsia"/>
                <w:color w:val="000000"/>
                <w:sz w:val="20"/>
                <w:szCs w:val="20"/>
                <w:vertAlign w:val="superscript"/>
              </w:rPr>
              <w:t>3</w:t>
            </w:r>
          </w:p>
        </w:tc>
        <w:tc>
          <w:tcPr>
            <w:tcW w:w="501" w:type="pct"/>
            <w:vAlign w:val="center"/>
          </w:tcPr>
          <w:p w:rsidR="006C7896"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1.2</w:t>
            </w:r>
            <w:r w:rsidR="00AE70CB" w:rsidRPr="00161EA1">
              <w:rPr>
                <w:rFonts w:eastAsiaTheme="minorEastAsia"/>
                <w:color w:val="000000"/>
                <w:sz w:val="20"/>
                <w:szCs w:val="20"/>
              </w:rPr>
              <w:t>x10</w:t>
            </w:r>
            <w:r w:rsidRPr="00161EA1">
              <w:rPr>
                <w:rFonts w:eastAsiaTheme="minorEastAsia"/>
                <w:color w:val="000000"/>
                <w:sz w:val="20"/>
                <w:szCs w:val="20"/>
                <w:vertAlign w:val="superscript"/>
              </w:rPr>
              <w:t>3</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6.0x10</w:t>
            </w:r>
            <w:r w:rsidRPr="00161EA1">
              <w:rPr>
                <w:rFonts w:eastAsiaTheme="minorEastAsia"/>
                <w:color w:val="000000"/>
                <w:sz w:val="20"/>
                <w:szCs w:val="20"/>
                <w:vertAlign w:val="superscript"/>
              </w:rPr>
              <w:t>3</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1.25x10</w:t>
            </w:r>
            <w:r w:rsidRPr="00161EA1">
              <w:rPr>
                <w:rFonts w:eastAsiaTheme="minorEastAsia"/>
                <w:color w:val="000000"/>
                <w:sz w:val="20"/>
                <w:szCs w:val="20"/>
                <w:vertAlign w:val="superscript"/>
              </w:rPr>
              <w:t>5</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3.0x10</w:t>
            </w:r>
            <w:r w:rsidRPr="00161EA1">
              <w:rPr>
                <w:rFonts w:eastAsiaTheme="minorEastAsia"/>
                <w:color w:val="000000"/>
                <w:sz w:val="20"/>
                <w:szCs w:val="20"/>
                <w:vertAlign w:val="superscript"/>
              </w:rPr>
              <w:t>3</w:t>
            </w:r>
          </w:p>
          <w:p w:rsidR="00483E9B" w:rsidRPr="00161EA1" w:rsidRDefault="00483E9B"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5.0x10</w:t>
            </w:r>
            <w:r w:rsidRPr="00161EA1">
              <w:rPr>
                <w:rFonts w:eastAsiaTheme="minorEastAsia"/>
                <w:color w:val="000000"/>
                <w:sz w:val="20"/>
                <w:szCs w:val="20"/>
                <w:vertAlign w:val="superscript"/>
              </w:rPr>
              <w:t>4</w:t>
            </w:r>
          </w:p>
        </w:tc>
        <w:tc>
          <w:tcPr>
            <w:tcW w:w="501" w:type="pct"/>
            <w:vAlign w:val="center"/>
          </w:tcPr>
          <w:p w:rsidR="006C7896"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3.2x10</w:t>
            </w:r>
            <w:r w:rsidRPr="00161EA1">
              <w:rPr>
                <w:rFonts w:eastAsiaTheme="minorEastAsia"/>
                <w:color w:val="000000"/>
                <w:sz w:val="20"/>
                <w:szCs w:val="20"/>
                <w:vertAlign w:val="superscript"/>
              </w:rPr>
              <w:t>3</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8.0x10</w:t>
            </w:r>
            <w:r w:rsidRPr="00161EA1">
              <w:rPr>
                <w:rFonts w:eastAsiaTheme="minorEastAsia"/>
                <w:color w:val="000000"/>
                <w:sz w:val="20"/>
                <w:szCs w:val="20"/>
                <w:vertAlign w:val="superscript"/>
              </w:rPr>
              <w:t>3</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2.25x10</w:t>
            </w:r>
            <w:r w:rsidRPr="00161EA1">
              <w:rPr>
                <w:rFonts w:eastAsiaTheme="minorEastAsia"/>
                <w:color w:val="000000"/>
                <w:sz w:val="20"/>
                <w:szCs w:val="20"/>
                <w:vertAlign w:val="superscript"/>
              </w:rPr>
              <w:t>5</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5.0x10</w:t>
            </w:r>
            <w:r w:rsidRPr="00161EA1">
              <w:rPr>
                <w:rFonts w:eastAsiaTheme="minorEastAsia"/>
                <w:color w:val="000000"/>
                <w:sz w:val="20"/>
                <w:szCs w:val="20"/>
                <w:vertAlign w:val="superscript"/>
              </w:rPr>
              <w:t>3</w:t>
            </w:r>
          </w:p>
          <w:p w:rsidR="00483E9B" w:rsidRPr="00161EA1" w:rsidRDefault="00483E9B"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8.0x10</w:t>
            </w:r>
            <w:r w:rsidRPr="00161EA1">
              <w:rPr>
                <w:rFonts w:eastAsiaTheme="minorEastAsia"/>
                <w:color w:val="000000"/>
                <w:sz w:val="20"/>
                <w:szCs w:val="20"/>
                <w:vertAlign w:val="superscript"/>
              </w:rPr>
              <w:t>3</w:t>
            </w:r>
          </w:p>
        </w:tc>
        <w:tc>
          <w:tcPr>
            <w:tcW w:w="448" w:type="pct"/>
            <w:vAlign w:val="center"/>
          </w:tcPr>
          <w:p w:rsidR="006C7896"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4.3x10</w:t>
            </w:r>
            <w:r w:rsidRPr="00161EA1">
              <w:rPr>
                <w:rFonts w:eastAsiaTheme="minorEastAsia"/>
                <w:color w:val="000000"/>
                <w:sz w:val="20"/>
                <w:szCs w:val="20"/>
                <w:vertAlign w:val="superscript"/>
              </w:rPr>
              <w:t>4</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9.0x10</w:t>
            </w:r>
            <w:r w:rsidRPr="00161EA1">
              <w:rPr>
                <w:rFonts w:eastAsiaTheme="minorEastAsia"/>
                <w:color w:val="000000"/>
                <w:sz w:val="20"/>
                <w:szCs w:val="20"/>
                <w:vertAlign w:val="superscript"/>
              </w:rPr>
              <w:t>4</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3.2x10</w:t>
            </w:r>
            <w:r w:rsidRPr="00161EA1">
              <w:rPr>
                <w:rFonts w:eastAsiaTheme="minorEastAsia"/>
                <w:color w:val="000000"/>
                <w:sz w:val="20"/>
                <w:szCs w:val="20"/>
                <w:vertAlign w:val="superscript"/>
              </w:rPr>
              <w:t>5</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7.8x10</w:t>
            </w:r>
            <w:r w:rsidRPr="00161EA1">
              <w:rPr>
                <w:rFonts w:eastAsiaTheme="minorEastAsia"/>
                <w:color w:val="000000"/>
                <w:sz w:val="20"/>
                <w:szCs w:val="20"/>
                <w:vertAlign w:val="superscript"/>
              </w:rPr>
              <w:t>5</w:t>
            </w:r>
          </w:p>
          <w:p w:rsidR="00483E9B" w:rsidRPr="00161EA1" w:rsidRDefault="00483E9B"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8.6x10</w:t>
            </w:r>
            <w:r w:rsidRPr="00161EA1">
              <w:rPr>
                <w:rFonts w:eastAsiaTheme="minorEastAsia"/>
                <w:color w:val="000000"/>
                <w:sz w:val="20"/>
                <w:szCs w:val="20"/>
                <w:vertAlign w:val="superscript"/>
              </w:rPr>
              <w:t>5</w:t>
            </w:r>
          </w:p>
        </w:tc>
        <w:tc>
          <w:tcPr>
            <w:tcW w:w="448" w:type="pct"/>
            <w:vAlign w:val="center"/>
          </w:tcPr>
          <w:p w:rsidR="006C7896"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6.0x10</w:t>
            </w:r>
            <w:r w:rsidRPr="00161EA1">
              <w:rPr>
                <w:rFonts w:eastAsiaTheme="minorEastAsia"/>
                <w:color w:val="000000"/>
                <w:sz w:val="20"/>
                <w:szCs w:val="20"/>
                <w:vertAlign w:val="superscript"/>
              </w:rPr>
              <w:t>3</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6.4x10</w:t>
            </w:r>
            <w:r w:rsidRPr="00161EA1">
              <w:rPr>
                <w:rFonts w:eastAsiaTheme="minorEastAsia"/>
                <w:color w:val="000000"/>
                <w:sz w:val="20"/>
                <w:szCs w:val="20"/>
                <w:vertAlign w:val="superscript"/>
              </w:rPr>
              <w:t>4</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7.3x10</w:t>
            </w:r>
            <w:r w:rsidRPr="00161EA1">
              <w:rPr>
                <w:rFonts w:eastAsiaTheme="minorEastAsia"/>
                <w:color w:val="000000"/>
                <w:sz w:val="20"/>
                <w:szCs w:val="20"/>
                <w:vertAlign w:val="superscript"/>
              </w:rPr>
              <w:t>4</w:t>
            </w:r>
          </w:p>
          <w:p w:rsidR="00483E9B" w:rsidRPr="00161EA1" w:rsidRDefault="00483E9B" w:rsidP="00741774">
            <w:pPr>
              <w:snapToGrid w:val="0"/>
              <w:spacing w:line="240" w:lineRule="atLeast"/>
              <w:jc w:val="both"/>
              <w:rPr>
                <w:rFonts w:eastAsiaTheme="minorEastAsia"/>
                <w:color w:val="000000"/>
                <w:sz w:val="20"/>
                <w:szCs w:val="20"/>
                <w:vertAlign w:val="superscript"/>
              </w:rPr>
            </w:pPr>
            <w:r w:rsidRPr="00161EA1">
              <w:rPr>
                <w:rFonts w:eastAsiaTheme="minorEastAsia"/>
                <w:color w:val="000000"/>
                <w:sz w:val="20"/>
                <w:szCs w:val="20"/>
              </w:rPr>
              <w:t>8.5x10</w:t>
            </w:r>
            <w:r w:rsidRPr="00161EA1">
              <w:rPr>
                <w:rFonts w:eastAsiaTheme="minorEastAsia"/>
                <w:color w:val="000000"/>
                <w:sz w:val="20"/>
                <w:szCs w:val="20"/>
                <w:vertAlign w:val="superscript"/>
              </w:rPr>
              <w:t>5</w:t>
            </w:r>
          </w:p>
          <w:p w:rsidR="00483E9B" w:rsidRPr="00161EA1" w:rsidRDefault="00483E9B"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9.7x10</w:t>
            </w:r>
            <w:r w:rsidRPr="00161EA1">
              <w:rPr>
                <w:rFonts w:eastAsiaTheme="minorEastAsia"/>
                <w:color w:val="000000"/>
                <w:sz w:val="20"/>
                <w:szCs w:val="20"/>
                <w:vertAlign w:val="superscript"/>
              </w:rPr>
              <w:t>5</w:t>
            </w:r>
          </w:p>
        </w:tc>
      </w:tr>
    </w:tbl>
    <w:p w:rsidR="000B302C" w:rsidRPr="00161EA1" w:rsidRDefault="000B302C" w:rsidP="00741774">
      <w:pPr>
        <w:snapToGrid w:val="0"/>
        <w:spacing w:line="240" w:lineRule="atLeast"/>
        <w:jc w:val="both"/>
        <w:rPr>
          <w:sz w:val="20"/>
          <w:szCs w:val="20"/>
          <w:lang w:eastAsia="zh-CN"/>
        </w:rPr>
      </w:pPr>
    </w:p>
    <w:p w:rsidR="000B302C" w:rsidRPr="00161EA1" w:rsidRDefault="000B302C" w:rsidP="00741774">
      <w:pPr>
        <w:snapToGrid w:val="0"/>
        <w:spacing w:line="240" w:lineRule="atLeast"/>
        <w:jc w:val="center"/>
        <w:rPr>
          <w:sz w:val="20"/>
          <w:szCs w:val="20"/>
        </w:rPr>
      </w:pPr>
      <w:r w:rsidRPr="00161EA1">
        <w:rPr>
          <w:b/>
          <w:sz w:val="20"/>
          <w:szCs w:val="20"/>
        </w:rPr>
        <w:t>Table</w:t>
      </w:r>
      <w:r w:rsidR="00C41AC8" w:rsidRPr="00161EA1">
        <w:rPr>
          <w:b/>
          <w:sz w:val="20"/>
          <w:szCs w:val="20"/>
        </w:rPr>
        <w:t xml:space="preserve"> 4</w:t>
      </w:r>
      <w:r w:rsidRPr="00161EA1">
        <w:rPr>
          <w:b/>
          <w:sz w:val="20"/>
          <w:szCs w:val="20"/>
        </w:rPr>
        <w:t>:</w:t>
      </w:r>
      <w:r w:rsidR="00161EA1">
        <w:rPr>
          <w:rFonts w:hint="eastAsia"/>
          <w:b/>
          <w:sz w:val="20"/>
          <w:szCs w:val="20"/>
          <w:lang w:eastAsia="zh-CN"/>
        </w:rPr>
        <w:t xml:space="preserve"> </w:t>
      </w:r>
      <w:r w:rsidRPr="00161EA1">
        <w:rPr>
          <w:sz w:val="20"/>
          <w:szCs w:val="20"/>
        </w:rPr>
        <w:t>Biodegradation test set up</w:t>
      </w:r>
    </w:p>
    <w:tbl>
      <w:tblPr>
        <w:tblW w:w="5000" w:type="pct"/>
        <w:jc w:val="center"/>
        <w:tblBorders>
          <w:top w:val="single" w:sz="4" w:space="0" w:color="auto"/>
          <w:bottom w:val="single" w:sz="4" w:space="0" w:color="auto"/>
          <w:insideH w:val="single" w:sz="4" w:space="0" w:color="auto"/>
        </w:tblBorders>
        <w:tblLook w:val="01E0"/>
      </w:tblPr>
      <w:tblGrid>
        <w:gridCol w:w="2128"/>
        <w:gridCol w:w="1314"/>
        <w:gridCol w:w="1459"/>
        <w:gridCol w:w="4675"/>
      </w:tblGrid>
      <w:tr w:rsidR="000B302C" w:rsidRPr="00161EA1" w:rsidTr="00F00BC7">
        <w:trPr>
          <w:trHeight w:val="283"/>
          <w:jc w:val="center"/>
        </w:trPr>
        <w:tc>
          <w:tcPr>
            <w:tcW w:w="1111" w:type="pct"/>
            <w:vAlign w:val="center"/>
          </w:tcPr>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Brake fluid</w:t>
            </w:r>
            <w:r w:rsidR="00F00BC7" w:rsidRPr="00161EA1">
              <w:rPr>
                <w:rFonts w:eastAsiaTheme="minorEastAsia" w:hint="eastAsia"/>
                <w:color w:val="000000"/>
                <w:sz w:val="20"/>
                <w:szCs w:val="20"/>
                <w:lang w:eastAsia="zh-CN"/>
              </w:rPr>
              <w:t xml:space="preserve"> </w:t>
            </w:r>
            <w:r w:rsidRPr="00161EA1">
              <w:rPr>
                <w:rFonts w:eastAsiaTheme="minorEastAsia"/>
                <w:color w:val="000000"/>
                <w:sz w:val="20"/>
                <w:szCs w:val="20"/>
              </w:rPr>
              <w:t>Test code</w:t>
            </w:r>
          </w:p>
        </w:tc>
        <w:tc>
          <w:tcPr>
            <w:tcW w:w="686" w:type="pct"/>
            <w:vAlign w:val="center"/>
          </w:tcPr>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xml:space="preserve">Fresh </w:t>
            </w:r>
            <w:r w:rsidR="00C41AC8" w:rsidRPr="00161EA1">
              <w:rPr>
                <w:rFonts w:eastAsiaTheme="minorEastAsia"/>
                <w:color w:val="000000"/>
                <w:sz w:val="20"/>
                <w:szCs w:val="20"/>
              </w:rPr>
              <w:t>Water</w:t>
            </w:r>
          </w:p>
        </w:tc>
        <w:tc>
          <w:tcPr>
            <w:tcW w:w="762" w:type="pct"/>
            <w:vAlign w:val="center"/>
          </w:tcPr>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xml:space="preserve">Marine </w:t>
            </w:r>
            <w:r w:rsidR="00C41AC8" w:rsidRPr="00161EA1">
              <w:rPr>
                <w:rFonts w:eastAsiaTheme="minorEastAsia"/>
                <w:color w:val="000000"/>
                <w:sz w:val="20"/>
                <w:szCs w:val="20"/>
              </w:rPr>
              <w:t>Water</w:t>
            </w:r>
          </w:p>
        </w:tc>
        <w:tc>
          <w:tcPr>
            <w:tcW w:w="2441" w:type="pct"/>
            <w:vAlign w:val="center"/>
          </w:tcPr>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Description</w:t>
            </w:r>
          </w:p>
        </w:tc>
      </w:tr>
      <w:tr w:rsidR="000B302C" w:rsidRPr="00161EA1" w:rsidTr="00F00BC7">
        <w:trPr>
          <w:trHeight w:val="283"/>
          <w:jc w:val="center"/>
        </w:trPr>
        <w:tc>
          <w:tcPr>
            <w:tcW w:w="1111" w:type="pct"/>
            <w:vAlign w:val="center"/>
          </w:tcPr>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TTBF</w:t>
            </w:r>
          </w:p>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OABF</w:t>
            </w:r>
          </w:p>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ALBF</w:t>
            </w:r>
          </w:p>
          <w:p w:rsidR="000B302C" w:rsidRPr="00161EA1" w:rsidRDefault="000B302C"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ATBF</w:t>
            </w:r>
          </w:p>
          <w:p w:rsidR="00C41AC8" w:rsidRPr="00161EA1" w:rsidRDefault="000B302C"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O.Oil</w:t>
            </w:r>
            <w:proofErr w:type="spellEnd"/>
          </w:p>
          <w:p w:rsidR="000B302C" w:rsidRPr="00161EA1" w:rsidRDefault="000B302C"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Naz</w:t>
            </w:r>
            <w:proofErr w:type="spellEnd"/>
          </w:p>
        </w:tc>
        <w:tc>
          <w:tcPr>
            <w:tcW w:w="686" w:type="pct"/>
            <w:vAlign w:val="center"/>
          </w:tcPr>
          <w:p w:rsidR="000B302C"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TTBF F</w:t>
            </w:r>
            <w:r w:rsidR="000B302C" w:rsidRPr="00161EA1">
              <w:rPr>
                <w:rFonts w:eastAsiaTheme="minorEastAsia"/>
                <w:color w:val="000000"/>
                <w:sz w:val="20"/>
                <w:szCs w:val="20"/>
              </w:rPr>
              <w:t>W</w:t>
            </w:r>
          </w:p>
          <w:p w:rsidR="000B302C"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OABF F</w:t>
            </w:r>
            <w:r w:rsidR="000B302C" w:rsidRPr="00161EA1">
              <w:rPr>
                <w:rFonts w:eastAsiaTheme="minorEastAsia"/>
                <w:color w:val="000000"/>
                <w:sz w:val="20"/>
                <w:szCs w:val="20"/>
              </w:rPr>
              <w:t>W</w:t>
            </w:r>
          </w:p>
          <w:p w:rsidR="000B302C"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ALBF F</w:t>
            </w:r>
            <w:r w:rsidR="000B302C" w:rsidRPr="00161EA1">
              <w:rPr>
                <w:rFonts w:eastAsiaTheme="minorEastAsia"/>
                <w:color w:val="000000"/>
                <w:sz w:val="20"/>
                <w:szCs w:val="20"/>
              </w:rPr>
              <w:t>W</w:t>
            </w:r>
          </w:p>
          <w:p w:rsidR="000B302C"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ATBF F</w:t>
            </w:r>
            <w:r w:rsidR="000B302C" w:rsidRPr="00161EA1">
              <w:rPr>
                <w:rFonts w:eastAsiaTheme="minorEastAsia"/>
                <w:color w:val="000000"/>
                <w:sz w:val="20"/>
                <w:szCs w:val="20"/>
              </w:rPr>
              <w:t>W</w:t>
            </w:r>
          </w:p>
          <w:p w:rsidR="000B302C" w:rsidRPr="00161EA1" w:rsidRDefault="00944DB9"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O.Oil</w:t>
            </w:r>
            <w:proofErr w:type="spellEnd"/>
            <w:r w:rsidRPr="00161EA1">
              <w:rPr>
                <w:rFonts w:eastAsiaTheme="minorEastAsia"/>
                <w:color w:val="000000"/>
                <w:sz w:val="20"/>
                <w:szCs w:val="20"/>
              </w:rPr>
              <w:t xml:space="preserve"> F</w:t>
            </w:r>
            <w:r w:rsidR="000B302C" w:rsidRPr="00161EA1">
              <w:rPr>
                <w:rFonts w:eastAsiaTheme="minorEastAsia"/>
                <w:color w:val="000000"/>
                <w:sz w:val="20"/>
                <w:szCs w:val="20"/>
              </w:rPr>
              <w:t>W</w:t>
            </w:r>
          </w:p>
          <w:p w:rsidR="000B302C" w:rsidRPr="00161EA1" w:rsidRDefault="00944DB9"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Naz</w:t>
            </w:r>
            <w:proofErr w:type="spellEnd"/>
            <w:r w:rsidRPr="00161EA1">
              <w:rPr>
                <w:rFonts w:eastAsiaTheme="minorEastAsia"/>
                <w:color w:val="000000"/>
                <w:sz w:val="20"/>
                <w:szCs w:val="20"/>
              </w:rPr>
              <w:t xml:space="preserve"> F</w:t>
            </w:r>
            <w:r w:rsidR="000B302C" w:rsidRPr="00161EA1">
              <w:rPr>
                <w:rFonts w:eastAsiaTheme="minorEastAsia"/>
                <w:color w:val="000000"/>
                <w:sz w:val="20"/>
                <w:szCs w:val="20"/>
              </w:rPr>
              <w:t>W</w:t>
            </w:r>
          </w:p>
        </w:tc>
        <w:tc>
          <w:tcPr>
            <w:tcW w:w="762" w:type="pct"/>
            <w:vAlign w:val="center"/>
          </w:tcPr>
          <w:p w:rsidR="000B302C"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TTBF M</w:t>
            </w:r>
            <w:r w:rsidR="00C41AC8" w:rsidRPr="00161EA1">
              <w:rPr>
                <w:rFonts w:eastAsiaTheme="minorEastAsia"/>
                <w:color w:val="000000"/>
                <w:sz w:val="20"/>
                <w:szCs w:val="20"/>
              </w:rPr>
              <w:t>W</w:t>
            </w:r>
          </w:p>
          <w:p w:rsidR="00C41AC8"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OABF M</w:t>
            </w:r>
            <w:r w:rsidR="00C41AC8" w:rsidRPr="00161EA1">
              <w:rPr>
                <w:rFonts w:eastAsiaTheme="minorEastAsia"/>
                <w:color w:val="000000"/>
                <w:sz w:val="20"/>
                <w:szCs w:val="20"/>
              </w:rPr>
              <w:t>W</w:t>
            </w:r>
          </w:p>
          <w:p w:rsidR="00C41AC8"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ALBF M</w:t>
            </w:r>
            <w:r w:rsidR="00C41AC8" w:rsidRPr="00161EA1">
              <w:rPr>
                <w:rFonts w:eastAsiaTheme="minorEastAsia"/>
                <w:color w:val="000000"/>
                <w:sz w:val="20"/>
                <w:szCs w:val="20"/>
              </w:rPr>
              <w:t>W</w:t>
            </w:r>
          </w:p>
          <w:p w:rsidR="00C41AC8" w:rsidRPr="00161EA1" w:rsidRDefault="00944DB9"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ATBF M</w:t>
            </w:r>
            <w:r w:rsidR="00C41AC8" w:rsidRPr="00161EA1">
              <w:rPr>
                <w:rFonts w:eastAsiaTheme="minorEastAsia"/>
                <w:color w:val="000000"/>
                <w:sz w:val="20"/>
                <w:szCs w:val="20"/>
              </w:rPr>
              <w:t>W</w:t>
            </w:r>
          </w:p>
          <w:p w:rsidR="00C41AC8" w:rsidRPr="00161EA1" w:rsidRDefault="00C41AC8"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O.Oil</w:t>
            </w:r>
            <w:proofErr w:type="spellEnd"/>
            <w:r w:rsidRPr="00161EA1">
              <w:rPr>
                <w:rFonts w:eastAsiaTheme="minorEastAsia"/>
                <w:b/>
                <w:color w:val="000000"/>
                <w:sz w:val="20"/>
                <w:szCs w:val="20"/>
              </w:rPr>
              <w:t xml:space="preserve"> </w:t>
            </w:r>
            <w:r w:rsidR="00944DB9" w:rsidRPr="00161EA1">
              <w:rPr>
                <w:rFonts w:eastAsiaTheme="minorEastAsia"/>
                <w:color w:val="000000"/>
                <w:sz w:val="20"/>
                <w:szCs w:val="20"/>
              </w:rPr>
              <w:t>M</w:t>
            </w:r>
            <w:r w:rsidRPr="00161EA1">
              <w:rPr>
                <w:rFonts w:eastAsiaTheme="minorEastAsia"/>
                <w:color w:val="000000"/>
                <w:sz w:val="20"/>
                <w:szCs w:val="20"/>
              </w:rPr>
              <w:t>W</w:t>
            </w:r>
          </w:p>
          <w:p w:rsidR="00C41AC8" w:rsidRPr="00161EA1" w:rsidRDefault="00944DB9"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Naz</w:t>
            </w:r>
            <w:proofErr w:type="spellEnd"/>
            <w:r w:rsidRPr="00161EA1">
              <w:rPr>
                <w:rFonts w:eastAsiaTheme="minorEastAsia"/>
                <w:color w:val="000000"/>
                <w:sz w:val="20"/>
                <w:szCs w:val="20"/>
              </w:rPr>
              <w:t xml:space="preserve"> M</w:t>
            </w:r>
            <w:r w:rsidR="00C41AC8" w:rsidRPr="00161EA1">
              <w:rPr>
                <w:rFonts w:eastAsiaTheme="minorEastAsia"/>
                <w:color w:val="000000"/>
                <w:sz w:val="20"/>
                <w:szCs w:val="20"/>
              </w:rPr>
              <w:t>W</w:t>
            </w:r>
          </w:p>
        </w:tc>
        <w:tc>
          <w:tcPr>
            <w:tcW w:w="2441" w:type="pct"/>
            <w:vAlign w:val="center"/>
          </w:tcPr>
          <w:p w:rsidR="000B302C" w:rsidRPr="00161EA1" w:rsidRDefault="00C41AC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xml:space="preserve">MSB+ Water sample + </w:t>
            </w:r>
            <w:r w:rsidR="00015670" w:rsidRPr="00161EA1">
              <w:rPr>
                <w:rFonts w:eastAsiaTheme="minorEastAsia"/>
                <w:color w:val="000000"/>
                <w:sz w:val="20"/>
                <w:szCs w:val="20"/>
              </w:rPr>
              <w:t>Total</w:t>
            </w:r>
            <w:r w:rsidR="00161EA1">
              <w:rPr>
                <w:rFonts w:eastAsiaTheme="minorEastAsia"/>
                <w:color w:val="000000"/>
                <w:sz w:val="20"/>
                <w:szCs w:val="20"/>
              </w:rPr>
              <w:t xml:space="preserve"> </w:t>
            </w:r>
            <w:r w:rsidR="00015670" w:rsidRPr="00161EA1">
              <w:rPr>
                <w:rFonts w:eastAsiaTheme="minorEastAsia"/>
                <w:color w:val="000000"/>
                <w:sz w:val="20"/>
                <w:szCs w:val="20"/>
              </w:rPr>
              <w:t xml:space="preserve">brake </w:t>
            </w:r>
            <w:r w:rsidRPr="00161EA1">
              <w:rPr>
                <w:rFonts w:eastAsiaTheme="minorEastAsia"/>
                <w:color w:val="000000"/>
                <w:sz w:val="20"/>
                <w:szCs w:val="20"/>
              </w:rPr>
              <w:t>fluid</w:t>
            </w:r>
          </w:p>
          <w:p w:rsidR="00C41AC8" w:rsidRPr="00161EA1" w:rsidRDefault="00C41AC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xml:space="preserve">MSB+ Water sample + </w:t>
            </w:r>
            <w:proofErr w:type="spellStart"/>
            <w:r w:rsidR="00015670" w:rsidRPr="00161EA1">
              <w:rPr>
                <w:rFonts w:eastAsiaTheme="minorEastAsia"/>
                <w:color w:val="000000"/>
                <w:sz w:val="20"/>
                <w:szCs w:val="20"/>
              </w:rPr>
              <w:t>Oando</w:t>
            </w:r>
            <w:proofErr w:type="spellEnd"/>
            <w:r w:rsidR="00015670" w:rsidRPr="00161EA1">
              <w:rPr>
                <w:rFonts w:eastAsiaTheme="minorEastAsia"/>
                <w:color w:val="000000"/>
                <w:sz w:val="20"/>
                <w:szCs w:val="20"/>
              </w:rPr>
              <w:t xml:space="preserve"> brake </w:t>
            </w:r>
            <w:r w:rsidRPr="00161EA1">
              <w:rPr>
                <w:rFonts w:eastAsiaTheme="minorEastAsia"/>
                <w:color w:val="000000"/>
                <w:sz w:val="20"/>
                <w:szCs w:val="20"/>
              </w:rPr>
              <w:t>fluid</w:t>
            </w:r>
          </w:p>
          <w:p w:rsidR="00C41AC8" w:rsidRPr="00161EA1" w:rsidRDefault="00C41AC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MSB+ Water sample + Allied brake fluid</w:t>
            </w:r>
          </w:p>
          <w:p w:rsidR="00C41AC8" w:rsidRPr="00161EA1" w:rsidRDefault="00C41AC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MSB+ Water sample + Ate brake fluid</w:t>
            </w:r>
          </w:p>
          <w:p w:rsidR="00C41AC8" w:rsidRPr="00161EA1" w:rsidRDefault="00C41AC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xml:space="preserve">MSB+ Water sample + </w:t>
            </w:r>
            <w:r w:rsidR="00015670" w:rsidRPr="00161EA1">
              <w:rPr>
                <w:rFonts w:eastAsiaTheme="minorEastAsia"/>
                <w:color w:val="000000"/>
                <w:sz w:val="20"/>
                <w:szCs w:val="20"/>
              </w:rPr>
              <w:t>Olive</w:t>
            </w:r>
            <w:r w:rsidRPr="00161EA1">
              <w:rPr>
                <w:rFonts w:eastAsiaTheme="minorEastAsia"/>
                <w:color w:val="000000"/>
                <w:sz w:val="20"/>
                <w:szCs w:val="20"/>
              </w:rPr>
              <w:t xml:space="preserve"> </w:t>
            </w:r>
            <w:r w:rsidR="00015670" w:rsidRPr="00161EA1">
              <w:rPr>
                <w:rFonts w:eastAsiaTheme="minorEastAsia"/>
                <w:color w:val="000000"/>
                <w:sz w:val="20"/>
                <w:szCs w:val="20"/>
              </w:rPr>
              <w:t>oil (+</w:t>
            </w:r>
            <w:proofErr w:type="spellStart"/>
            <w:r w:rsidR="00015670" w:rsidRPr="00161EA1">
              <w:rPr>
                <w:rFonts w:eastAsiaTheme="minorEastAsia"/>
                <w:color w:val="000000"/>
                <w:sz w:val="20"/>
                <w:szCs w:val="20"/>
              </w:rPr>
              <w:t>ve</w:t>
            </w:r>
            <w:proofErr w:type="spellEnd"/>
            <w:r w:rsidR="00015670" w:rsidRPr="00161EA1">
              <w:rPr>
                <w:rFonts w:eastAsiaTheme="minorEastAsia"/>
                <w:color w:val="000000"/>
                <w:sz w:val="20"/>
                <w:szCs w:val="20"/>
              </w:rPr>
              <w:t xml:space="preserve"> control)</w:t>
            </w:r>
          </w:p>
          <w:p w:rsidR="00C41AC8" w:rsidRPr="00161EA1" w:rsidRDefault="00C41AC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MSB+ Water sample +</w:t>
            </w:r>
            <w:r w:rsidR="00F3131B" w:rsidRPr="00161EA1">
              <w:rPr>
                <w:rFonts w:eastAsiaTheme="minorEastAsia"/>
                <w:color w:val="000000"/>
                <w:sz w:val="20"/>
                <w:szCs w:val="20"/>
              </w:rPr>
              <w:t xml:space="preserve"> Sodium </w:t>
            </w:r>
            <w:proofErr w:type="spellStart"/>
            <w:r w:rsidR="00F3131B" w:rsidRPr="00161EA1">
              <w:rPr>
                <w:rFonts w:eastAsiaTheme="minorEastAsia"/>
                <w:color w:val="000000"/>
                <w:sz w:val="20"/>
                <w:szCs w:val="20"/>
              </w:rPr>
              <w:t>azide</w:t>
            </w:r>
            <w:proofErr w:type="spellEnd"/>
            <w:r w:rsidR="00F3131B" w:rsidRPr="00161EA1">
              <w:rPr>
                <w:rFonts w:eastAsiaTheme="minorEastAsia"/>
                <w:color w:val="000000"/>
                <w:sz w:val="20"/>
                <w:szCs w:val="20"/>
              </w:rPr>
              <w:t xml:space="preserve"> </w:t>
            </w:r>
            <w:r w:rsidRPr="00161EA1">
              <w:rPr>
                <w:rFonts w:eastAsiaTheme="minorEastAsia"/>
                <w:color w:val="000000"/>
                <w:sz w:val="20"/>
                <w:szCs w:val="20"/>
              </w:rPr>
              <w:t>(</w:t>
            </w:r>
            <w:r w:rsidR="00F3131B" w:rsidRPr="00161EA1">
              <w:rPr>
                <w:rFonts w:eastAsiaTheme="minorEastAsia"/>
                <w:color w:val="000000"/>
                <w:sz w:val="20"/>
                <w:szCs w:val="20"/>
              </w:rPr>
              <w:t>-</w:t>
            </w:r>
            <w:proofErr w:type="spellStart"/>
            <w:r w:rsidR="00F3131B" w:rsidRPr="00161EA1">
              <w:rPr>
                <w:rFonts w:eastAsiaTheme="minorEastAsia"/>
                <w:color w:val="000000"/>
                <w:sz w:val="20"/>
                <w:szCs w:val="20"/>
              </w:rPr>
              <w:t>ve</w:t>
            </w:r>
            <w:proofErr w:type="spellEnd"/>
            <w:r w:rsidR="00F3131B" w:rsidRPr="00161EA1">
              <w:rPr>
                <w:rFonts w:eastAsiaTheme="minorEastAsia"/>
                <w:color w:val="000000"/>
                <w:sz w:val="20"/>
                <w:szCs w:val="20"/>
              </w:rPr>
              <w:t xml:space="preserve"> control</w:t>
            </w:r>
            <w:r w:rsidRPr="00161EA1">
              <w:rPr>
                <w:rFonts w:eastAsiaTheme="minorEastAsia"/>
                <w:color w:val="000000"/>
                <w:sz w:val="20"/>
                <w:szCs w:val="20"/>
              </w:rPr>
              <w:t>)</w:t>
            </w:r>
          </w:p>
        </w:tc>
      </w:tr>
    </w:tbl>
    <w:p w:rsidR="006C7896" w:rsidRPr="00161EA1" w:rsidRDefault="00C41AC8" w:rsidP="00741774">
      <w:pPr>
        <w:snapToGrid w:val="0"/>
        <w:spacing w:line="240" w:lineRule="atLeast"/>
        <w:jc w:val="both"/>
        <w:rPr>
          <w:sz w:val="20"/>
          <w:szCs w:val="20"/>
        </w:rPr>
      </w:pPr>
      <w:r w:rsidRPr="00161EA1">
        <w:rPr>
          <w:sz w:val="20"/>
          <w:szCs w:val="20"/>
        </w:rPr>
        <w:t>MSB = Miner</w:t>
      </w:r>
      <w:r w:rsidR="00944DB9" w:rsidRPr="00161EA1">
        <w:rPr>
          <w:sz w:val="20"/>
          <w:szCs w:val="20"/>
        </w:rPr>
        <w:t>al salt broth, F</w:t>
      </w:r>
      <w:r w:rsidR="00FA47A5" w:rsidRPr="00161EA1">
        <w:rPr>
          <w:sz w:val="20"/>
          <w:szCs w:val="20"/>
        </w:rPr>
        <w:t>W = fresh water, MW = Marine water</w:t>
      </w:r>
      <w:r w:rsidR="00C312C0" w:rsidRPr="00161EA1">
        <w:rPr>
          <w:sz w:val="20"/>
          <w:szCs w:val="20"/>
        </w:rPr>
        <w:t>.</w:t>
      </w:r>
    </w:p>
    <w:p w:rsidR="008812B7" w:rsidRPr="00161EA1" w:rsidRDefault="008812B7" w:rsidP="00741774">
      <w:pPr>
        <w:snapToGrid w:val="0"/>
        <w:spacing w:line="240" w:lineRule="atLeast"/>
        <w:jc w:val="both"/>
        <w:rPr>
          <w:sz w:val="20"/>
          <w:szCs w:val="20"/>
          <w:lang w:eastAsia="zh-CN"/>
        </w:rPr>
      </w:pPr>
    </w:p>
    <w:p w:rsidR="00F00BC7" w:rsidRPr="00161EA1" w:rsidRDefault="00F00BC7" w:rsidP="00741774">
      <w:pPr>
        <w:snapToGrid w:val="0"/>
        <w:spacing w:line="240" w:lineRule="atLeast"/>
        <w:jc w:val="both"/>
        <w:rPr>
          <w:sz w:val="20"/>
          <w:szCs w:val="20"/>
          <w:lang w:eastAsia="zh-CN"/>
        </w:rPr>
      </w:pPr>
    </w:p>
    <w:p w:rsidR="00C41AC8" w:rsidRPr="00161EA1" w:rsidRDefault="00C41AC8" w:rsidP="00741774">
      <w:pPr>
        <w:snapToGrid w:val="0"/>
        <w:spacing w:line="240" w:lineRule="atLeast"/>
        <w:jc w:val="both"/>
        <w:rPr>
          <w:sz w:val="20"/>
          <w:szCs w:val="20"/>
        </w:rPr>
      </w:pPr>
      <w:r w:rsidRPr="00161EA1">
        <w:rPr>
          <w:b/>
          <w:sz w:val="20"/>
          <w:szCs w:val="20"/>
        </w:rPr>
        <w:t>Table 5:</w:t>
      </w:r>
      <w:r w:rsidR="00161EA1">
        <w:rPr>
          <w:rFonts w:hint="eastAsia"/>
          <w:b/>
          <w:sz w:val="20"/>
          <w:szCs w:val="20"/>
          <w:lang w:eastAsia="zh-CN"/>
        </w:rPr>
        <w:t xml:space="preserve"> </w:t>
      </w:r>
      <w:r w:rsidRPr="00161EA1">
        <w:rPr>
          <w:sz w:val="20"/>
          <w:szCs w:val="20"/>
        </w:rPr>
        <w:t>Percentage mineralization (Biodegradability) of hydraulic brake fluid samples at day 56 in fresh</w:t>
      </w:r>
      <w:r w:rsidR="00A3564C" w:rsidRPr="00161EA1">
        <w:rPr>
          <w:sz w:val="20"/>
          <w:szCs w:val="20"/>
        </w:rPr>
        <w:t xml:space="preserve"> </w:t>
      </w:r>
      <w:r w:rsidRPr="00161EA1">
        <w:rPr>
          <w:sz w:val="20"/>
          <w:szCs w:val="20"/>
        </w:rPr>
        <w:t>and marine water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038"/>
        <w:gridCol w:w="2576"/>
      </w:tblGrid>
      <w:tr w:rsidR="006B4AE8" w:rsidRPr="00161EA1" w:rsidTr="00161EA1">
        <w:trPr>
          <w:cantSplit/>
          <w:jc w:val="center"/>
        </w:trPr>
        <w:tc>
          <w:tcPr>
            <w:tcW w:w="4788" w:type="dxa"/>
          </w:tcPr>
          <w:p w:rsidR="006B4AE8" w:rsidRPr="00161EA1" w:rsidRDefault="006B4AE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Brake fluid</w:t>
            </w:r>
          </w:p>
          <w:p w:rsidR="006B4AE8" w:rsidRPr="00161EA1" w:rsidRDefault="006B4AE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Code</w:t>
            </w:r>
          </w:p>
        </w:tc>
        <w:tc>
          <w:tcPr>
            <w:tcW w:w="4614" w:type="dxa"/>
            <w:gridSpan w:val="2"/>
          </w:tcPr>
          <w:p w:rsidR="006B4AE8" w:rsidRPr="00161EA1" w:rsidRDefault="006B4AE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Biodegradability</w:t>
            </w:r>
          </w:p>
          <w:p w:rsidR="006B4AE8" w:rsidRPr="00161EA1" w:rsidRDefault="006B4AE8"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Fresh Water (%)</w:t>
            </w:r>
            <w:r w:rsidRPr="00161EA1">
              <w:rPr>
                <w:rFonts w:eastAsiaTheme="minorEastAsia"/>
                <w:color w:val="000000"/>
                <w:sz w:val="20"/>
                <w:szCs w:val="20"/>
              </w:rPr>
              <w:tab/>
            </w:r>
            <w:r w:rsidR="00161EA1">
              <w:rPr>
                <w:rFonts w:eastAsiaTheme="minorEastAsia"/>
                <w:color w:val="000000"/>
                <w:sz w:val="20"/>
                <w:szCs w:val="20"/>
              </w:rPr>
              <w:t xml:space="preserve"> </w:t>
            </w:r>
            <w:r w:rsidRPr="00161EA1">
              <w:rPr>
                <w:rFonts w:eastAsiaTheme="minorEastAsia"/>
                <w:color w:val="000000"/>
                <w:sz w:val="20"/>
                <w:szCs w:val="20"/>
              </w:rPr>
              <w:t xml:space="preserve">      Marine Water (%)</w:t>
            </w:r>
          </w:p>
        </w:tc>
      </w:tr>
      <w:tr w:rsidR="007D670E" w:rsidRPr="00161EA1" w:rsidTr="00161EA1">
        <w:trPr>
          <w:cantSplit/>
          <w:jc w:val="center"/>
        </w:trPr>
        <w:tc>
          <w:tcPr>
            <w:tcW w:w="4788" w:type="dxa"/>
          </w:tcPr>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TTBF = Total brake fluid</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ALBF = Allied brake fluid</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 xml:space="preserve">OABF = </w:t>
            </w:r>
            <w:proofErr w:type="spellStart"/>
            <w:r w:rsidRPr="00161EA1">
              <w:rPr>
                <w:rFonts w:eastAsiaTheme="minorEastAsia"/>
                <w:color w:val="000000"/>
                <w:sz w:val="20"/>
                <w:szCs w:val="20"/>
              </w:rPr>
              <w:t>Oando</w:t>
            </w:r>
            <w:proofErr w:type="spellEnd"/>
            <w:r w:rsidRPr="00161EA1">
              <w:rPr>
                <w:rFonts w:eastAsiaTheme="minorEastAsia"/>
                <w:color w:val="000000"/>
                <w:sz w:val="20"/>
                <w:szCs w:val="20"/>
              </w:rPr>
              <w:t xml:space="preserve"> brake fluid</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ATBF = Ate brake fluid</w:t>
            </w:r>
            <w:r w:rsidR="00C312C0" w:rsidRPr="00161EA1">
              <w:rPr>
                <w:rFonts w:eastAsiaTheme="minorEastAsia"/>
                <w:color w:val="000000"/>
                <w:sz w:val="20"/>
                <w:szCs w:val="20"/>
              </w:rPr>
              <w:t xml:space="preserve"> control</w:t>
            </w:r>
          </w:p>
          <w:p w:rsidR="007D670E" w:rsidRPr="00161EA1" w:rsidRDefault="007D670E" w:rsidP="00741774">
            <w:pPr>
              <w:snapToGrid w:val="0"/>
              <w:spacing w:line="240" w:lineRule="atLeast"/>
              <w:jc w:val="both"/>
              <w:rPr>
                <w:rFonts w:eastAsiaTheme="minorEastAsia"/>
                <w:color w:val="000000"/>
                <w:sz w:val="20"/>
                <w:szCs w:val="20"/>
              </w:rPr>
            </w:pPr>
            <w:proofErr w:type="spellStart"/>
            <w:r w:rsidRPr="00161EA1">
              <w:rPr>
                <w:rFonts w:eastAsiaTheme="minorEastAsia"/>
                <w:color w:val="000000"/>
                <w:sz w:val="20"/>
                <w:szCs w:val="20"/>
              </w:rPr>
              <w:t>O.Oil</w:t>
            </w:r>
            <w:proofErr w:type="spellEnd"/>
            <w:r w:rsidRPr="00161EA1">
              <w:rPr>
                <w:rFonts w:eastAsiaTheme="minorEastAsia"/>
                <w:color w:val="000000"/>
                <w:sz w:val="20"/>
                <w:szCs w:val="20"/>
              </w:rPr>
              <w:t xml:space="preserve"> – Olive Oil (</w:t>
            </w:r>
            <w:r w:rsidR="006B4AE8" w:rsidRPr="00161EA1">
              <w:rPr>
                <w:rFonts w:eastAsiaTheme="minorEastAsia"/>
                <w:color w:val="000000"/>
                <w:sz w:val="20"/>
                <w:szCs w:val="20"/>
              </w:rPr>
              <w:t>+</w:t>
            </w:r>
            <w:proofErr w:type="spellStart"/>
            <w:r w:rsidR="006B4AE8" w:rsidRPr="00161EA1">
              <w:rPr>
                <w:rFonts w:eastAsiaTheme="minorEastAsia"/>
                <w:color w:val="000000"/>
                <w:sz w:val="20"/>
                <w:szCs w:val="20"/>
              </w:rPr>
              <w:t>ve</w:t>
            </w:r>
            <w:proofErr w:type="spellEnd"/>
            <w:r w:rsidR="006B4AE8" w:rsidRPr="00161EA1">
              <w:rPr>
                <w:rFonts w:eastAsiaTheme="minorEastAsia"/>
                <w:color w:val="000000"/>
                <w:sz w:val="20"/>
                <w:szCs w:val="20"/>
              </w:rPr>
              <w:t xml:space="preserve"> </w:t>
            </w:r>
            <w:r w:rsidRPr="00161EA1">
              <w:rPr>
                <w:rFonts w:eastAsiaTheme="minorEastAsia"/>
                <w:color w:val="000000"/>
                <w:sz w:val="20"/>
                <w:szCs w:val="20"/>
              </w:rPr>
              <w:t>control)</w:t>
            </w:r>
          </w:p>
          <w:p w:rsidR="007D670E" w:rsidRPr="00161EA1" w:rsidRDefault="006B4AE8" w:rsidP="00741774">
            <w:pPr>
              <w:snapToGrid w:val="0"/>
              <w:spacing w:line="240" w:lineRule="atLeast"/>
              <w:jc w:val="both"/>
              <w:rPr>
                <w:rFonts w:eastAsiaTheme="minorEastAsia"/>
                <w:color w:val="000000"/>
                <w:sz w:val="20"/>
                <w:szCs w:val="20"/>
                <w:lang w:val="it-IT"/>
              </w:rPr>
            </w:pPr>
            <w:r w:rsidRPr="00161EA1">
              <w:rPr>
                <w:rFonts w:eastAsiaTheme="minorEastAsia"/>
                <w:color w:val="000000"/>
                <w:sz w:val="20"/>
                <w:szCs w:val="20"/>
                <w:lang w:val="it-IT"/>
              </w:rPr>
              <w:t xml:space="preserve">Naz – Sodium azide (-ve </w:t>
            </w:r>
            <w:r w:rsidR="007D670E" w:rsidRPr="00161EA1">
              <w:rPr>
                <w:rFonts w:eastAsiaTheme="minorEastAsia"/>
                <w:color w:val="000000"/>
                <w:sz w:val="20"/>
                <w:szCs w:val="20"/>
                <w:lang w:val="it-IT"/>
              </w:rPr>
              <w:t>control )</w:t>
            </w:r>
          </w:p>
        </w:tc>
        <w:tc>
          <w:tcPr>
            <w:tcW w:w="2038" w:type="dxa"/>
          </w:tcPr>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20</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40</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44</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13.3</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80</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5.3</w:t>
            </w:r>
          </w:p>
        </w:tc>
        <w:tc>
          <w:tcPr>
            <w:tcW w:w="2576" w:type="dxa"/>
          </w:tcPr>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2.3</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1.6</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2.5</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2.1</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5.3</w:t>
            </w:r>
          </w:p>
          <w:p w:rsidR="007D670E" w:rsidRPr="00161EA1" w:rsidRDefault="007D670E" w:rsidP="00741774">
            <w:pPr>
              <w:snapToGrid w:val="0"/>
              <w:spacing w:line="240" w:lineRule="atLeast"/>
              <w:jc w:val="both"/>
              <w:rPr>
                <w:rFonts w:eastAsiaTheme="minorEastAsia"/>
                <w:color w:val="000000"/>
                <w:sz w:val="20"/>
                <w:szCs w:val="20"/>
              </w:rPr>
            </w:pPr>
            <w:r w:rsidRPr="00161EA1">
              <w:rPr>
                <w:rFonts w:eastAsiaTheme="minorEastAsia"/>
                <w:color w:val="000000"/>
                <w:sz w:val="20"/>
                <w:szCs w:val="20"/>
              </w:rPr>
              <w:t>1.2</w:t>
            </w:r>
          </w:p>
        </w:tc>
      </w:tr>
    </w:tbl>
    <w:p w:rsidR="006A278B" w:rsidRDefault="006A278B" w:rsidP="00741774">
      <w:pPr>
        <w:snapToGrid w:val="0"/>
        <w:spacing w:line="240" w:lineRule="atLeast"/>
        <w:jc w:val="both"/>
        <w:rPr>
          <w:rFonts w:hint="eastAsia"/>
          <w:sz w:val="20"/>
          <w:szCs w:val="20"/>
          <w:lang w:eastAsia="zh-CN"/>
        </w:rPr>
      </w:pPr>
    </w:p>
    <w:p w:rsidR="00161EA1" w:rsidRPr="00161EA1" w:rsidRDefault="00161EA1" w:rsidP="00741774">
      <w:pPr>
        <w:snapToGrid w:val="0"/>
        <w:spacing w:line="240" w:lineRule="atLeast"/>
        <w:jc w:val="both"/>
        <w:rPr>
          <w:rFonts w:hint="eastAsia"/>
          <w:sz w:val="20"/>
          <w:szCs w:val="20"/>
          <w:lang w:eastAsia="zh-CN"/>
        </w:rPr>
      </w:pPr>
    </w:p>
    <w:p w:rsidR="006A278B" w:rsidRPr="00161EA1" w:rsidRDefault="00C018FB" w:rsidP="00F00BC7">
      <w:pPr>
        <w:snapToGrid w:val="0"/>
        <w:jc w:val="center"/>
        <w:rPr>
          <w:sz w:val="20"/>
          <w:szCs w:val="20"/>
        </w:rPr>
      </w:pPr>
      <w:r w:rsidRPr="00161EA1">
        <w:rPr>
          <w:sz w:val="20"/>
          <w:szCs w:val="20"/>
        </w:rPr>
      </w:r>
      <w:r w:rsidRPr="00161EA1">
        <w:rPr>
          <w:sz w:val="20"/>
          <w:szCs w:val="20"/>
        </w:rPr>
        <w:pict>
          <v:group id="_x0000_s1029" style="width:474pt;height:608.5pt;mso-position-horizontal-relative:char;mso-position-vertical-relative:line" coordorigin="720,662" coordsize="10932,14123">
            <v:group id="_x0000_s1030" style="position:absolute;left:720;top:662;width:10932;height:14123" coordorigin="720,662" coordsize="10932,14123">
              <v:shape id="_x0000_s1031" type="#_x0000_t75" style="position:absolute;left:885;top:662;width:5280;height:4156">
                <v:imagedata r:id="rId15" o:title=""/>
              </v:shape>
              <v:shape id="_x0000_s1032" type="#_x0000_t75" style="position:absolute;left:6405;top:825;width:5073;height:3925">
                <v:imagedata r:id="rId16" o:title=""/>
              </v:shape>
              <v:shape id="_x0000_s1033" type="#_x0000_t75" style="position:absolute;left:855;top:5900;width:5014;height:4050">
                <v:imagedata r:id="rId17" o:title=""/>
              </v:shape>
              <v:shape id="_x0000_s1034" type="#_x0000_t75" style="position:absolute;left:6601;top:6130;width:5009;height:3866">
                <v:imagedata r:id="rId18" o:title=""/>
              </v:shape>
              <v:shape id="_x0000_s1035" type="#_x0000_t75" style="position:absolute;left:720;top:10662;width:5231;height:3898">
                <v:imagedata r:id="rId19" o:title=""/>
              </v:shape>
              <v:shape id="_x0000_s1036" type="#_x0000_t75" style="position:absolute;left:6585;top:10909;width:5067;height:3876">
                <v:imagedata r:id="rId20" o:title=""/>
              </v:shape>
            </v:group>
            <v:rect id="_x0000_s1037" style="position:absolute;left:1779;top:4455;width:128;height:143" stroked="f"/>
            <v:shapetype id="_x0000_t202" coordsize="21600,21600" o:spt="202" path="m,l,21600r21600,l21600,xe">
              <v:stroke joinstyle="miter"/>
              <v:path gradientshapeok="t" o:connecttype="rect"/>
            </v:shapetype>
            <v:shape id="_x0000_s1038" type="#_x0000_t202" style="position:absolute;left:1638;top:4383;width:331;height:299" filled="f" stroked="f">
              <v:textbox>
                <w:txbxContent>
                  <w:p w:rsidR="006A278B" w:rsidRPr="00B5207F" w:rsidRDefault="006A278B" w:rsidP="006A278B">
                    <w:pPr>
                      <w:rPr>
                        <w:rFonts w:ascii="Arial" w:hAnsi="Arial" w:cs="Arial"/>
                        <w:sz w:val="14"/>
                      </w:rPr>
                    </w:pPr>
                    <w:r w:rsidRPr="00B5207F">
                      <w:rPr>
                        <w:rFonts w:ascii="Arial" w:hAnsi="Arial" w:cs="Arial"/>
                        <w:sz w:val="14"/>
                      </w:rPr>
                      <w:t>1</w:t>
                    </w:r>
                  </w:p>
                </w:txbxContent>
              </v:textbox>
            </v:shape>
            <v:shape id="_x0000_s1039" type="#_x0000_t202" style="position:absolute;left:1239;top:4371;width:675;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1</w:t>
                    </w:r>
                  </w:p>
                </w:txbxContent>
              </v:textbox>
            </v:shape>
            <v:shape id="_x0000_s1040" type="#_x0000_t202" style="position:absolute;left:6579;top:4334;width:675;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2</w:t>
                    </w:r>
                  </w:p>
                </w:txbxContent>
              </v:textbox>
            </v:shape>
            <v:shape id="_x0000_s1041" type="#_x0000_t202" style="position:absolute;left:1084;top:9478;width:675;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3</w:t>
                    </w:r>
                  </w:p>
                </w:txbxContent>
              </v:textbox>
            </v:shape>
            <v:shape id="_x0000_s1042" type="#_x0000_t202" style="position:absolute;left:6715;top:9591;width:675;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4</w:t>
                    </w:r>
                  </w:p>
                </w:txbxContent>
              </v:textbox>
            </v:shape>
            <v:shape id="_x0000_s1043" type="#_x0000_t202" style="position:absolute;left:1044;top:14134;width:683;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5:</w:t>
                    </w:r>
                  </w:p>
                </w:txbxContent>
              </v:textbox>
            </v:shape>
            <v:shape id="_x0000_s1044" type="#_x0000_t202" style="position:absolute;left:6638;top:14372;width:675;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6:</w:t>
                    </w:r>
                  </w:p>
                </w:txbxContent>
              </v:textbox>
            </v:shape>
            <w10:wrap type="none"/>
            <w10:anchorlock/>
          </v:group>
        </w:pict>
      </w:r>
      <w:r w:rsidRPr="00161EA1">
        <w:rPr>
          <w:sz w:val="20"/>
          <w:szCs w:val="20"/>
        </w:rPr>
      </w:r>
      <w:r w:rsidRPr="00161EA1">
        <w:rPr>
          <w:sz w:val="20"/>
          <w:szCs w:val="20"/>
        </w:rPr>
        <w:pict>
          <v:group id="_x0000_s1045" style="width:433.65pt;height:627.95pt;mso-position-horizontal-relative:char;mso-position-vertical-relative:line" coordorigin="690,507" coordsize="11055,13774">
            <v:shape id="_x0000_s1046" type="#_x0000_t75" style="position:absolute;left:690;top:507;width:5356;height:4268">
              <v:imagedata r:id="rId21" o:title=""/>
            </v:shape>
            <v:shape id="_x0000_s1047" type="#_x0000_t75" style="position:absolute;left:6180;top:787;width:5535;height:4180">
              <v:imagedata r:id="rId22" o:title=""/>
            </v:shape>
            <v:shape id="_x0000_s1048" type="#_x0000_t75" style="position:absolute;left:900;top:5092;width:5142;height:4427">
              <v:imagedata r:id="rId23" o:title=""/>
            </v:shape>
            <v:shape id="_x0000_s1049" type="#_x0000_t75" style="position:absolute;left:6165;top:5269;width:5580;height:4506">
              <v:imagedata r:id="rId24" o:title=""/>
            </v:shape>
            <v:group id="_x0000_s1050" style="position:absolute;left:690;top:9817;width:11028;height:4464" coordorigin="690,9817" coordsize="11028,4464">
              <v:shape id="_x0000_s1051" type="#_x0000_t75" style="position:absolute;left:690;top:9817;width:5194;height:4264">
                <v:imagedata r:id="rId25" o:title=""/>
              </v:shape>
              <v:shape id="_x0000_s1052" type="#_x0000_t75" style="position:absolute;left:6377;top:10308;width:5341;height:3973">
                <v:imagedata r:id="rId26" o:title=""/>
              </v:shape>
            </v:group>
            <v:shape id="_x0000_s1053" type="#_x0000_t202" style="position:absolute;left:1104;top:4339;width:683;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7:</w:t>
                    </w:r>
                  </w:p>
                </w:txbxContent>
              </v:textbox>
            </v:shape>
            <v:shape id="_x0000_s1054" type="#_x0000_t202" style="position:absolute;left:6931;top:4532;width:675;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8:</w:t>
                    </w:r>
                  </w:p>
                </w:txbxContent>
              </v:textbox>
            </v:shape>
            <v:shape id="_x0000_s1055" type="#_x0000_t202" style="position:absolute;left:1375;top:9064;width:683;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9:</w:t>
                    </w:r>
                  </w:p>
                </w:txbxContent>
              </v:textbox>
            </v:shape>
            <v:shape id="_x0000_s1056" type="#_x0000_t202" style="position:absolute;left:6706;top:9333;width:750;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10:</w:t>
                    </w:r>
                  </w:p>
                </w:txbxContent>
              </v:textbox>
            </v:shape>
            <v:shape id="_x0000_s1057" type="#_x0000_t202" style="position:absolute;left:1052;top:13645;width:803;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11:</w:t>
                    </w:r>
                  </w:p>
                </w:txbxContent>
              </v:textbox>
            </v:shape>
            <v:shape id="_x0000_s1058" type="#_x0000_t202" style="position:absolute;left:6608;top:13885;width:750;height:308" stroked="f">
              <v:textbox>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12:</w:t>
                    </w:r>
                  </w:p>
                </w:txbxContent>
              </v:textbox>
            </v:shape>
            <w10:wrap type="none"/>
            <w10:anchorlock/>
          </v:group>
        </w:pict>
      </w:r>
    </w:p>
    <w:p w:rsidR="00F00BC7" w:rsidRPr="00161EA1" w:rsidRDefault="00C018FB" w:rsidP="00F00BC7">
      <w:pPr>
        <w:snapToGrid w:val="0"/>
        <w:jc w:val="center"/>
        <w:rPr>
          <w:sz w:val="20"/>
          <w:szCs w:val="20"/>
          <w:lang w:eastAsia="zh-CN"/>
        </w:rPr>
      </w:pPr>
      <w:r w:rsidRPr="00161EA1">
        <w:rPr>
          <w:sz w:val="20"/>
          <w:szCs w:val="20"/>
        </w:rPr>
      </w:r>
      <w:r w:rsidRPr="00161EA1">
        <w:rPr>
          <w:sz w:val="20"/>
          <w:szCs w:val="20"/>
        </w:rPr>
        <w:pict>
          <v:group id="_x0000_s1086" style="width:404.9pt;height:155.6pt;mso-position-horizontal-relative:char;mso-position-vertical-relative:line" coordorigin="450,297" coordsize="11233,4975">
            <v:shape id="_x0000_s1087" type="#_x0000_t75" style="position:absolute;left:450;top:297;width:5497;height:4861">
              <v:imagedata r:id="rId27" o:title=""/>
            </v:shape>
            <v:shape id="_x0000_s1088" type="#_x0000_t75" style="position:absolute;left:6075;top:688;width:5608;height:4575">
              <v:imagedata r:id="rId28" o:title=""/>
            </v:shape>
            <v:shape id="_x0000_s1089" type="#_x0000_t202" style="position:absolute;left:826;top:4837;width:749;height:308" stroked="f">
              <v:textbox>
                <w:txbxContent>
                  <w:p w:rsidR="006A278B" w:rsidRPr="00A85751" w:rsidRDefault="006A278B" w:rsidP="006A278B">
                    <w:pPr>
                      <w:rPr>
                        <w:rFonts w:ascii="Arial" w:hAnsi="Arial" w:cs="Arial"/>
                        <w:b/>
                        <w:sz w:val="12"/>
                      </w:rPr>
                    </w:pPr>
                    <w:r w:rsidRPr="00A85751">
                      <w:rPr>
                        <w:rFonts w:ascii="Arial" w:hAnsi="Arial" w:cs="Arial"/>
                        <w:b/>
                        <w:sz w:val="12"/>
                      </w:rPr>
                      <w:t>Fig. 25:</w:t>
                    </w:r>
                  </w:p>
                </w:txbxContent>
              </v:textbox>
            </v:shape>
            <v:shape id="_x0000_s1090" type="#_x0000_t202" style="position:absolute;left:6166;top:4964;width:719;height:308" stroked="f">
              <v:textbox>
                <w:txbxContent>
                  <w:p w:rsidR="006A278B" w:rsidRPr="00A85751" w:rsidRDefault="006A278B" w:rsidP="006A278B">
                    <w:pPr>
                      <w:rPr>
                        <w:rFonts w:ascii="Arial" w:hAnsi="Arial" w:cs="Arial"/>
                        <w:b/>
                        <w:sz w:val="12"/>
                      </w:rPr>
                    </w:pPr>
                    <w:r w:rsidRPr="00A85751">
                      <w:rPr>
                        <w:rFonts w:ascii="Arial" w:hAnsi="Arial" w:cs="Arial"/>
                        <w:b/>
                        <w:sz w:val="12"/>
                      </w:rPr>
                      <w:t>Fig. 2</w:t>
                    </w:r>
                    <w:r>
                      <w:rPr>
                        <w:rFonts w:ascii="Arial" w:hAnsi="Arial" w:cs="Arial"/>
                        <w:b/>
                        <w:sz w:val="12"/>
                      </w:rPr>
                      <w:t>6</w:t>
                    </w:r>
                    <w:r w:rsidRPr="00A85751">
                      <w:rPr>
                        <w:rFonts w:ascii="Arial" w:hAnsi="Arial" w:cs="Arial"/>
                        <w:b/>
                        <w:sz w:val="12"/>
                      </w:rPr>
                      <w:t>:</w:t>
                    </w:r>
                  </w:p>
                </w:txbxContent>
              </v:textbox>
            </v:shape>
            <w10:wrap type="none"/>
            <w10:anchorlock/>
          </v:group>
        </w:pict>
      </w:r>
      <w:r w:rsidRPr="00161EA1">
        <w:rPr>
          <w:sz w:val="20"/>
          <w:szCs w:val="20"/>
        </w:rPr>
      </w:r>
      <w:r w:rsidRPr="00161EA1">
        <w:rPr>
          <w:sz w:val="20"/>
          <w:szCs w:val="20"/>
        </w:rPr>
        <w:pict>
          <v:group id="_x0000_s1091" style="width:456.35pt;height:471pt;mso-position-horizontal-relative:char;mso-position-vertical-relative:line" coordorigin="540,508" coordsize="11295,14880">
            <v:group id="_x0000_s1060" style="position:absolute;left:540;top:508;width:11295;height:14880" coordorigin="510,258" coordsize="11295,14880">
              <v:shape id="_x0000_s1061" type="#_x0000_t75" style="position:absolute;left:510;top:258;width:5643;height:4689">
                <v:imagedata r:id="rId29" o:title=""/>
              </v:shape>
              <v:shape id="_x0000_s1062" type="#_x0000_t75" style="position:absolute;left:6309;top:400;width:5421;height:4703">
                <v:imagedata r:id="rId30" o:title=""/>
              </v:shape>
              <v:shape id="_x0000_s1063" type="#_x0000_t75" style="position:absolute;left:759;top:5063;width:5280;height:4872">
                <v:imagedata r:id="rId31" o:title=""/>
              </v:shape>
              <v:shape id="_x0000_s1064" type="#_x0000_t75" style="position:absolute;left:6360;top:5369;width:5445;height:4849">
                <v:imagedata r:id="rId32" o:title=""/>
              </v:shape>
              <v:shape id="_x0000_s1065" type="#_x0000_t75" style="position:absolute;left:691;top:10083;width:5215;height:4995">
                <v:imagedata r:id="rId33" o:title=""/>
              </v:shape>
              <v:shape id="_x0000_s1066" type="#_x0000_t75" style="position:absolute;left:6350;top:10383;width:5410;height:4755">
                <v:imagedata r:id="rId34" o:title=""/>
              </v:shape>
            </v:group>
            <v:shape id="_x0000_s1067" type="#_x0000_t202" style="position:absolute;left:650;top:4840;width:763;height:308" stroked="f">
              <v:textbox style="mso-next-textbox:#_x0000_s1067">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13:</w:t>
                    </w:r>
                  </w:p>
                </w:txbxContent>
              </v:textbox>
            </v:shape>
            <v:shape id="_x0000_s1068" type="#_x0000_t202" style="position:absolute;left:6579;top:4947;width:750;height:308" stroked="f">
              <v:textbox style="mso-next-textbox:#_x0000_s1068">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14:</w:t>
                    </w:r>
                  </w:p>
                </w:txbxContent>
              </v:textbox>
            </v:shape>
            <v:shape id="_x0000_s1069" type="#_x0000_t202" style="position:absolute;left:1031;top:9836;width:803;height:308" stroked="f">
              <v:textbox style="mso-next-textbox:#_x0000_s1069">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15:</w:t>
                    </w:r>
                  </w:p>
                </w:txbxContent>
              </v:textbox>
            </v:shape>
            <v:shape id="_x0000_s1070" type="#_x0000_t202" style="position:absolute;left:6864;top:9949;width:750;height:308" stroked="f">
              <v:textbox style="mso-next-textbox:#_x0000_s1070">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16:</w:t>
                    </w:r>
                  </w:p>
                </w:txbxContent>
              </v:textbox>
            </v:shape>
            <v:shape id="_x0000_s1071" type="#_x0000_t202" style="position:absolute;left:1076;top:14846;width:803;height:308" stroked="f">
              <v:textbox style="mso-next-textbox:#_x0000_s1071">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17:</w:t>
                    </w:r>
                  </w:p>
                </w:txbxContent>
              </v:textbox>
            </v:shape>
            <v:shape id="_x0000_s1072" type="#_x0000_t202" style="position:absolute;left:6760;top:14809;width:750;height:308" stroked="f">
              <v:textbox style="mso-next-textbox:#_x0000_s1072">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18:</w:t>
                    </w:r>
                  </w:p>
                </w:txbxContent>
              </v:textbox>
            </v:shape>
            <w10:wrap type="none"/>
            <w10:anchorlock/>
          </v:group>
        </w:pict>
      </w:r>
      <w:r w:rsidRPr="00161EA1">
        <w:rPr>
          <w:sz w:val="20"/>
          <w:szCs w:val="20"/>
        </w:rPr>
      </w:r>
      <w:r w:rsidRPr="00161EA1">
        <w:rPr>
          <w:sz w:val="20"/>
          <w:szCs w:val="20"/>
        </w:rPr>
        <w:pict>
          <v:group id="_x0000_s1093" style="width:459.6pt;height:621.7pt;mso-position-horizontal-relative:char;mso-position-vertical-relative:line" coordorigin="523,475" coordsize="11322,14400">
            <v:group id="_x0000_s1073" style="position:absolute;left:523;top:475;width:11322;height:14400" coordorigin="513,375" coordsize="11322,14400">
              <v:shape id="_x0000_s1074" type="#_x0000_t75" style="position:absolute;left:630;top:375;width:5808;height:4410">
                <v:imagedata r:id="rId35" o:title=""/>
              </v:shape>
              <v:shape id="_x0000_s1075" type="#_x0000_t75" style="position:absolute;left:6175;top:621;width:5435;height:4225">
                <v:imagedata r:id="rId36" o:title="" cropright="5912f"/>
              </v:shape>
              <v:shape id="_x0000_s1076" type="#_x0000_t75" style="position:absolute;left:645;top:4998;width:5307;height:4761">
                <v:imagedata r:id="rId37" o:title=""/>
              </v:shape>
              <v:shape id="_x0000_s1077" type="#_x0000_t75" style="position:absolute;left:6003;top:5130;width:5832;height:4622">
                <v:imagedata r:id="rId38" o:title=""/>
              </v:shape>
              <v:shape id="_x0000_s1078" type="#_x0000_t75" style="position:absolute;left:513;top:10110;width:5331;height:4470">
                <v:imagedata r:id="rId39" o:title=""/>
              </v:shape>
              <v:shape id="_x0000_s1079" type="#_x0000_t75" style="position:absolute;left:5977;top:10220;width:5770;height:4555">
                <v:imagedata r:id="rId40" o:title=""/>
              </v:shape>
              <v:shape id="_x0000_s1080" type="#_x0000_t202" style="position:absolute;left:896;top:4329;width:803;height:308" stroked="f">
                <v:textbox style="mso-next-textbox:#_x0000_s1080">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19:</w:t>
                      </w:r>
                    </w:p>
                  </w:txbxContent>
                </v:textbox>
              </v:shape>
              <v:shape id="_x0000_s1081" type="#_x0000_t202" style="position:absolute;left:6423;top:4419;width:750;height:308" stroked="f">
                <v:textbox style="mso-next-textbox:#_x0000_s1081">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20:</w:t>
                      </w:r>
                    </w:p>
                  </w:txbxContent>
                </v:textbox>
              </v:shape>
              <v:shape id="_x0000_s1082" type="#_x0000_t202" style="position:absolute;left:693;top:9272;width:803;height:308" stroked="f">
                <v:textbox style="mso-next-textbox:#_x0000_s1082">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21:</w:t>
                      </w:r>
                    </w:p>
                  </w:txbxContent>
                </v:textbox>
              </v:shape>
              <v:shape id="_x0000_s1083" type="#_x0000_t202" style="position:absolute;left:6535;top:9197;width:750;height:308" stroked="f">
                <v:textbox style="mso-next-textbox:#_x0000_s1083">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22:</w:t>
                      </w:r>
                    </w:p>
                  </w:txbxContent>
                </v:textbox>
              </v:shape>
              <v:shape id="_x0000_s1084" type="#_x0000_t202" style="position:absolute;left:775;top:14289;width:803;height:308" stroked="f">
                <v:textbox style="mso-next-textbox:#_x0000_s1084">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Fig.</w:t>
                      </w:r>
                      <w:r>
                        <w:rPr>
                          <w:rFonts w:ascii="Arial" w:hAnsi="Arial" w:cs="Arial"/>
                          <w:b/>
                          <w:sz w:val="12"/>
                        </w:rPr>
                        <w:t xml:space="preserve"> 23:</w:t>
                      </w:r>
                    </w:p>
                  </w:txbxContent>
                </v:textbox>
              </v:shape>
              <v:shape id="_x0000_s1085" type="#_x0000_t202" style="position:absolute;left:6265;top:14417;width:750;height:308" stroked="f">
                <v:textbox style="mso-next-textbox:#_x0000_s1085">
                  <w:txbxContent>
                    <w:p w:rsidR="006A278B" w:rsidRPr="00A85751" w:rsidRDefault="006A278B" w:rsidP="006A278B">
                      <w:pPr>
                        <w:rPr>
                          <w:rFonts w:ascii="Arial" w:hAnsi="Arial" w:cs="Arial"/>
                          <w:b/>
                          <w:sz w:val="12"/>
                        </w:rPr>
                      </w:pPr>
                      <w:r>
                        <w:rPr>
                          <w:rFonts w:ascii="Arial" w:hAnsi="Arial" w:cs="Arial"/>
                          <w:b/>
                          <w:sz w:val="12"/>
                        </w:rPr>
                        <w:t xml:space="preserve"> </w:t>
                      </w:r>
                      <w:r w:rsidRPr="00A85751">
                        <w:rPr>
                          <w:rFonts w:ascii="Arial" w:hAnsi="Arial" w:cs="Arial"/>
                          <w:b/>
                          <w:sz w:val="12"/>
                        </w:rPr>
                        <w:t xml:space="preserve">Fig. </w:t>
                      </w:r>
                      <w:r>
                        <w:rPr>
                          <w:rFonts w:ascii="Arial" w:hAnsi="Arial" w:cs="Arial"/>
                          <w:b/>
                          <w:sz w:val="12"/>
                        </w:rPr>
                        <w:t>24:</w:t>
                      </w:r>
                    </w:p>
                  </w:txbxContent>
                </v:textbox>
              </v:shape>
            </v:group>
            <v:shape id="_x0000_s1092" type="#_x0000_t202" style="position:absolute;left:8630;top:4700;width:1100;height:320" stroked="f">
              <v:textbox style="mso-next-textbox:#_x0000_s1092">
                <w:txbxContent>
                  <w:p w:rsidR="001D7962" w:rsidRPr="001D7962" w:rsidRDefault="001D7962">
                    <w:pPr>
                      <w:rPr>
                        <w:sz w:val="14"/>
                      </w:rPr>
                    </w:pPr>
                    <w:proofErr w:type="spellStart"/>
                    <w:proofErr w:type="gramStart"/>
                    <w:r w:rsidRPr="001D7962">
                      <w:rPr>
                        <w:sz w:val="14"/>
                      </w:rPr>
                      <w:t>inoculum</w:t>
                    </w:r>
                    <w:proofErr w:type="spellEnd"/>
                    <w:proofErr w:type="gramEnd"/>
                  </w:p>
                </w:txbxContent>
              </v:textbox>
            </v:shape>
            <w10:wrap type="none"/>
            <w10:anchorlock/>
          </v:group>
        </w:pict>
      </w:r>
    </w:p>
    <w:p w:rsidR="00F00BC7" w:rsidRDefault="00F00BC7" w:rsidP="00F00BC7">
      <w:pPr>
        <w:snapToGrid w:val="0"/>
        <w:ind w:firstLine="425"/>
        <w:jc w:val="both"/>
        <w:rPr>
          <w:rFonts w:hint="eastAsia"/>
          <w:sz w:val="20"/>
          <w:szCs w:val="20"/>
          <w:lang w:eastAsia="zh-CN"/>
        </w:rPr>
      </w:pPr>
    </w:p>
    <w:p w:rsidR="00161EA1" w:rsidRDefault="00161EA1" w:rsidP="00F00BC7">
      <w:pPr>
        <w:snapToGrid w:val="0"/>
        <w:ind w:firstLine="425"/>
        <w:jc w:val="both"/>
        <w:rPr>
          <w:rFonts w:hint="eastAsia"/>
          <w:sz w:val="20"/>
          <w:szCs w:val="20"/>
          <w:lang w:eastAsia="zh-CN"/>
        </w:rPr>
      </w:pPr>
    </w:p>
    <w:p w:rsidR="00161EA1" w:rsidRPr="00161EA1" w:rsidRDefault="00161EA1" w:rsidP="00F00BC7">
      <w:pPr>
        <w:snapToGrid w:val="0"/>
        <w:ind w:firstLine="425"/>
        <w:jc w:val="both"/>
        <w:rPr>
          <w:sz w:val="20"/>
          <w:szCs w:val="20"/>
          <w:lang w:eastAsia="zh-CN"/>
        </w:rPr>
      </w:pPr>
    </w:p>
    <w:p w:rsidR="00F00BC7" w:rsidRPr="00161EA1" w:rsidRDefault="00F00BC7" w:rsidP="00F00BC7">
      <w:pPr>
        <w:snapToGrid w:val="0"/>
        <w:jc w:val="both"/>
        <w:rPr>
          <w:b/>
          <w:sz w:val="20"/>
          <w:szCs w:val="20"/>
        </w:rPr>
        <w:sectPr w:rsidR="00F00BC7" w:rsidRPr="00161EA1" w:rsidSect="00AF0C8C">
          <w:type w:val="continuous"/>
          <w:pgSz w:w="12240" w:h="15840" w:code="1"/>
          <w:pgMar w:top="1440" w:right="1440" w:bottom="1440" w:left="1440" w:header="720" w:footer="720" w:gutter="0"/>
          <w:cols w:space="720"/>
          <w:docGrid w:linePitch="360"/>
        </w:sectPr>
      </w:pPr>
    </w:p>
    <w:p w:rsidR="000E6C68" w:rsidRPr="00161EA1" w:rsidRDefault="002679EE" w:rsidP="00F00BC7">
      <w:pPr>
        <w:snapToGrid w:val="0"/>
        <w:jc w:val="both"/>
        <w:rPr>
          <w:b/>
          <w:sz w:val="20"/>
          <w:szCs w:val="20"/>
        </w:rPr>
      </w:pPr>
      <w:r w:rsidRPr="00161EA1">
        <w:rPr>
          <w:b/>
          <w:sz w:val="20"/>
          <w:szCs w:val="20"/>
        </w:rPr>
        <w:lastRenderedPageBreak/>
        <w:t xml:space="preserve">4. </w:t>
      </w:r>
      <w:r w:rsidR="00F00BC7" w:rsidRPr="00161EA1">
        <w:rPr>
          <w:b/>
          <w:sz w:val="20"/>
          <w:szCs w:val="20"/>
        </w:rPr>
        <w:t>Discussion</w:t>
      </w:r>
    </w:p>
    <w:p w:rsidR="002679EE" w:rsidRPr="00161EA1" w:rsidRDefault="000E6C68" w:rsidP="00F00BC7">
      <w:pPr>
        <w:snapToGrid w:val="0"/>
        <w:ind w:firstLine="425"/>
        <w:jc w:val="both"/>
        <w:rPr>
          <w:sz w:val="20"/>
          <w:szCs w:val="20"/>
        </w:rPr>
      </w:pPr>
      <w:r w:rsidRPr="00161EA1">
        <w:rPr>
          <w:sz w:val="20"/>
          <w:szCs w:val="20"/>
        </w:rPr>
        <w:t xml:space="preserve">The results of the microbial counts during the biodegradation process (growth profile) showed the exponential growth of both </w:t>
      </w:r>
      <w:proofErr w:type="spellStart"/>
      <w:r w:rsidRPr="00161EA1">
        <w:rPr>
          <w:sz w:val="20"/>
          <w:szCs w:val="20"/>
        </w:rPr>
        <w:t>bacterial</w:t>
      </w:r>
      <w:proofErr w:type="spellEnd"/>
      <w:r w:rsidRPr="00161EA1">
        <w:rPr>
          <w:sz w:val="20"/>
          <w:szCs w:val="20"/>
        </w:rPr>
        <w:t xml:space="preserve"> and fungi from day O to day 14 (</w:t>
      </w:r>
      <w:r w:rsidR="00A53D45" w:rsidRPr="00161EA1">
        <w:rPr>
          <w:sz w:val="20"/>
          <w:szCs w:val="20"/>
        </w:rPr>
        <w:t>Figs.</w:t>
      </w:r>
      <w:r w:rsidRPr="00161EA1">
        <w:rPr>
          <w:sz w:val="20"/>
          <w:szCs w:val="20"/>
        </w:rPr>
        <w:t xml:space="preserve">1 – 8) indicates that the hydraulic brake fluids were being metabolized as sole sources of carbon and energy. The decline in population of THB, HUB and TF counts from day 42 to 56 may be due to nutrient exhaustion with possible accumulation of toxic metabolites in the media, which marked the </w:t>
      </w:r>
      <w:proofErr w:type="spellStart"/>
      <w:r w:rsidRPr="00161EA1">
        <w:rPr>
          <w:sz w:val="20"/>
          <w:szCs w:val="20"/>
        </w:rPr>
        <w:t>on set</w:t>
      </w:r>
      <w:proofErr w:type="spellEnd"/>
      <w:r w:rsidRPr="00161EA1">
        <w:rPr>
          <w:sz w:val="20"/>
          <w:szCs w:val="20"/>
        </w:rPr>
        <w:t xml:space="preserve"> </w:t>
      </w:r>
      <w:r w:rsidR="00017D17" w:rsidRPr="00161EA1">
        <w:rPr>
          <w:sz w:val="20"/>
          <w:szCs w:val="20"/>
        </w:rPr>
        <w:t>of</w:t>
      </w:r>
      <w:r w:rsidRPr="00161EA1">
        <w:rPr>
          <w:sz w:val="20"/>
          <w:szCs w:val="20"/>
        </w:rPr>
        <w:t xml:space="preserve"> stationary and death phases. The bacterial lo</w:t>
      </w:r>
      <w:r w:rsidR="005260FC" w:rsidRPr="00161EA1">
        <w:rPr>
          <w:sz w:val="20"/>
          <w:szCs w:val="20"/>
        </w:rPr>
        <w:t>ads of fresh and marine</w:t>
      </w:r>
      <w:r w:rsidR="00D513B7" w:rsidRPr="00161EA1">
        <w:rPr>
          <w:sz w:val="20"/>
          <w:szCs w:val="20"/>
        </w:rPr>
        <w:t xml:space="preserve"> water</w:t>
      </w:r>
      <w:r w:rsidR="005260FC" w:rsidRPr="00161EA1">
        <w:rPr>
          <w:sz w:val="20"/>
          <w:szCs w:val="20"/>
        </w:rPr>
        <w:t xml:space="preserve"> </w:t>
      </w:r>
      <w:r w:rsidR="00D513B7" w:rsidRPr="00161EA1">
        <w:rPr>
          <w:sz w:val="20"/>
          <w:szCs w:val="20"/>
        </w:rPr>
        <w:t>samples</w:t>
      </w:r>
      <w:r w:rsidR="005260FC" w:rsidRPr="00161EA1">
        <w:rPr>
          <w:sz w:val="20"/>
          <w:szCs w:val="20"/>
        </w:rPr>
        <w:t xml:space="preserve"> (Table 1) indicated that the fresh water had higher HUB and HUF counts than the marine water sample. This could have accounted for the higher biodegradability rates of the brake fluids in the fresh water system.</w:t>
      </w:r>
    </w:p>
    <w:p w:rsidR="002679EE" w:rsidRPr="00161EA1" w:rsidRDefault="005260FC" w:rsidP="00F00BC7">
      <w:pPr>
        <w:snapToGrid w:val="0"/>
        <w:ind w:firstLine="425"/>
        <w:jc w:val="both"/>
        <w:rPr>
          <w:sz w:val="20"/>
          <w:szCs w:val="20"/>
        </w:rPr>
      </w:pPr>
      <w:r w:rsidRPr="00161EA1">
        <w:rPr>
          <w:sz w:val="20"/>
          <w:szCs w:val="20"/>
        </w:rPr>
        <w:t xml:space="preserve">The relative few or no growth recorded in the negative control test </w:t>
      </w:r>
      <w:r w:rsidR="00D513B7" w:rsidRPr="00161EA1">
        <w:rPr>
          <w:sz w:val="20"/>
          <w:szCs w:val="20"/>
        </w:rPr>
        <w:t>system</w:t>
      </w:r>
      <w:r w:rsidRPr="00161EA1">
        <w:rPr>
          <w:sz w:val="20"/>
          <w:szCs w:val="20"/>
        </w:rPr>
        <w:t xml:space="preserve"> was due to the application of sodium </w:t>
      </w:r>
      <w:proofErr w:type="spellStart"/>
      <w:r w:rsidRPr="00161EA1">
        <w:rPr>
          <w:sz w:val="20"/>
          <w:szCs w:val="20"/>
        </w:rPr>
        <w:t>azide</w:t>
      </w:r>
      <w:proofErr w:type="spellEnd"/>
      <w:r w:rsidRPr="00161EA1">
        <w:rPr>
          <w:sz w:val="20"/>
          <w:szCs w:val="20"/>
        </w:rPr>
        <w:t xml:space="preserve"> as a biocide, which eliminated microorganisms in both water samples. The results obtained from the characterization and identification of brake fluid utilizing bacterial and fungal isolates reveal the fo</w:t>
      </w:r>
      <w:r w:rsidR="00570A7A" w:rsidRPr="00161EA1">
        <w:rPr>
          <w:sz w:val="20"/>
          <w:szCs w:val="20"/>
        </w:rPr>
        <w:t>llowing genera</w:t>
      </w:r>
      <w:r w:rsidR="00D513B7" w:rsidRPr="00161EA1">
        <w:rPr>
          <w:sz w:val="20"/>
          <w:szCs w:val="20"/>
        </w:rPr>
        <w:t xml:space="preserve"> </w:t>
      </w:r>
      <w:r w:rsidR="00570A7A" w:rsidRPr="00161EA1">
        <w:rPr>
          <w:sz w:val="20"/>
          <w:szCs w:val="20"/>
        </w:rPr>
        <w:t>from fresh water</w:t>
      </w:r>
      <w:r w:rsidR="00B805CF" w:rsidRPr="00161EA1">
        <w:rPr>
          <w:sz w:val="20"/>
          <w:szCs w:val="20"/>
        </w:rPr>
        <w:t xml:space="preserve"> </w:t>
      </w:r>
      <w:r w:rsidR="00017D17" w:rsidRPr="00161EA1">
        <w:rPr>
          <w:sz w:val="20"/>
          <w:szCs w:val="20"/>
        </w:rPr>
        <w:t xml:space="preserve">source; </w:t>
      </w:r>
      <w:r w:rsidR="00B805CF" w:rsidRPr="00161EA1">
        <w:rPr>
          <w:i/>
          <w:sz w:val="20"/>
          <w:szCs w:val="20"/>
        </w:rPr>
        <w:t xml:space="preserve">Bacillus, Pseudomonas, Proteus, Escherichia, </w:t>
      </w:r>
      <w:proofErr w:type="spellStart"/>
      <w:r w:rsidR="00B805CF" w:rsidRPr="00161EA1">
        <w:rPr>
          <w:i/>
          <w:sz w:val="20"/>
          <w:szCs w:val="20"/>
        </w:rPr>
        <w:t>Microscoccus</w:t>
      </w:r>
      <w:proofErr w:type="spellEnd"/>
      <w:r w:rsidR="00B805CF" w:rsidRPr="00161EA1">
        <w:rPr>
          <w:i/>
          <w:sz w:val="20"/>
          <w:szCs w:val="20"/>
        </w:rPr>
        <w:t xml:space="preserve">, </w:t>
      </w:r>
      <w:proofErr w:type="spellStart"/>
      <w:r w:rsidR="00B805CF" w:rsidRPr="00161EA1">
        <w:rPr>
          <w:i/>
          <w:sz w:val="20"/>
          <w:szCs w:val="20"/>
        </w:rPr>
        <w:t>Enterobacter</w:t>
      </w:r>
      <w:proofErr w:type="spellEnd"/>
      <w:r w:rsidR="00B805CF" w:rsidRPr="00161EA1">
        <w:rPr>
          <w:i/>
          <w:sz w:val="20"/>
          <w:szCs w:val="20"/>
        </w:rPr>
        <w:t>,</w:t>
      </w:r>
      <w:r w:rsidR="00B805CF" w:rsidRPr="00161EA1">
        <w:rPr>
          <w:sz w:val="20"/>
          <w:szCs w:val="20"/>
        </w:rPr>
        <w:t xml:space="preserve"> and </w:t>
      </w:r>
      <w:proofErr w:type="spellStart"/>
      <w:r w:rsidR="00017D17" w:rsidRPr="00161EA1">
        <w:rPr>
          <w:i/>
          <w:sz w:val="20"/>
          <w:szCs w:val="20"/>
        </w:rPr>
        <w:t>Citrobacter</w:t>
      </w:r>
      <w:proofErr w:type="spellEnd"/>
      <w:r w:rsidR="00B805CF" w:rsidRPr="00161EA1">
        <w:rPr>
          <w:sz w:val="20"/>
          <w:szCs w:val="20"/>
        </w:rPr>
        <w:t>,</w:t>
      </w:r>
      <w:r w:rsidR="008E63D9" w:rsidRPr="00161EA1">
        <w:rPr>
          <w:sz w:val="20"/>
          <w:szCs w:val="20"/>
        </w:rPr>
        <w:t xml:space="preserve"> </w:t>
      </w:r>
      <w:r w:rsidR="00017D17" w:rsidRPr="00161EA1">
        <w:rPr>
          <w:sz w:val="20"/>
          <w:szCs w:val="20"/>
        </w:rPr>
        <w:t xml:space="preserve">while </w:t>
      </w:r>
      <w:r w:rsidR="00017D17" w:rsidRPr="00161EA1">
        <w:rPr>
          <w:i/>
          <w:sz w:val="20"/>
          <w:szCs w:val="20"/>
        </w:rPr>
        <w:t xml:space="preserve">Bacillus, Pseudomonas, Staphylococcus, </w:t>
      </w:r>
      <w:proofErr w:type="spellStart"/>
      <w:r w:rsidR="00017D17" w:rsidRPr="00161EA1">
        <w:rPr>
          <w:i/>
          <w:sz w:val="20"/>
          <w:szCs w:val="20"/>
        </w:rPr>
        <w:t>Enterobacter</w:t>
      </w:r>
      <w:proofErr w:type="spellEnd"/>
      <w:r w:rsidR="00017D17" w:rsidRPr="00161EA1">
        <w:rPr>
          <w:i/>
          <w:sz w:val="20"/>
          <w:szCs w:val="20"/>
        </w:rPr>
        <w:t xml:space="preserve">, </w:t>
      </w:r>
      <w:r w:rsidR="00017D17" w:rsidRPr="00161EA1">
        <w:rPr>
          <w:sz w:val="20"/>
          <w:szCs w:val="20"/>
        </w:rPr>
        <w:t xml:space="preserve">and </w:t>
      </w:r>
      <w:proofErr w:type="spellStart"/>
      <w:r w:rsidR="00017D17" w:rsidRPr="00161EA1">
        <w:rPr>
          <w:i/>
          <w:sz w:val="20"/>
          <w:szCs w:val="20"/>
        </w:rPr>
        <w:t>Citrobacter</w:t>
      </w:r>
      <w:proofErr w:type="spellEnd"/>
      <w:r w:rsidR="00017D17" w:rsidRPr="00161EA1">
        <w:rPr>
          <w:i/>
          <w:sz w:val="20"/>
          <w:szCs w:val="20"/>
        </w:rPr>
        <w:t xml:space="preserve">, </w:t>
      </w:r>
      <w:r w:rsidR="008E63D9" w:rsidRPr="00161EA1">
        <w:rPr>
          <w:sz w:val="20"/>
          <w:szCs w:val="20"/>
        </w:rPr>
        <w:t>were implicat</w:t>
      </w:r>
      <w:r w:rsidR="00570A7A" w:rsidRPr="00161EA1">
        <w:rPr>
          <w:sz w:val="20"/>
          <w:szCs w:val="20"/>
        </w:rPr>
        <w:t>ed from the marine water source</w:t>
      </w:r>
      <w:r w:rsidR="008E63D9" w:rsidRPr="00161EA1">
        <w:rPr>
          <w:sz w:val="20"/>
          <w:szCs w:val="20"/>
        </w:rPr>
        <w:t xml:space="preserve">. The fungal genera </w:t>
      </w:r>
      <w:r w:rsidR="00792CD8" w:rsidRPr="00161EA1">
        <w:rPr>
          <w:sz w:val="20"/>
          <w:szCs w:val="20"/>
        </w:rPr>
        <w:t xml:space="preserve">implicated from the fresh water source were </w:t>
      </w:r>
      <w:proofErr w:type="spellStart"/>
      <w:r w:rsidR="00570A7A" w:rsidRPr="00161EA1">
        <w:rPr>
          <w:i/>
          <w:sz w:val="20"/>
          <w:szCs w:val="20"/>
        </w:rPr>
        <w:t>Aspergillus</w:t>
      </w:r>
      <w:proofErr w:type="spellEnd"/>
      <w:r w:rsidR="00570A7A" w:rsidRPr="00161EA1">
        <w:rPr>
          <w:i/>
          <w:sz w:val="20"/>
          <w:szCs w:val="20"/>
        </w:rPr>
        <w:t xml:space="preserve">, </w:t>
      </w:r>
      <w:proofErr w:type="spellStart"/>
      <w:r w:rsidR="00570A7A" w:rsidRPr="00161EA1">
        <w:rPr>
          <w:i/>
          <w:sz w:val="20"/>
          <w:szCs w:val="20"/>
        </w:rPr>
        <w:t>Fusarium</w:t>
      </w:r>
      <w:proofErr w:type="spellEnd"/>
      <w:r w:rsidR="00570A7A" w:rsidRPr="00161EA1">
        <w:rPr>
          <w:i/>
          <w:sz w:val="20"/>
          <w:szCs w:val="20"/>
        </w:rPr>
        <w:t xml:space="preserve">, </w:t>
      </w:r>
      <w:proofErr w:type="spellStart"/>
      <w:r w:rsidR="00570A7A" w:rsidRPr="00161EA1">
        <w:rPr>
          <w:i/>
          <w:sz w:val="20"/>
          <w:szCs w:val="20"/>
        </w:rPr>
        <w:t>Pen</w:t>
      </w:r>
      <w:r w:rsidR="00792CD8" w:rsidRPr="00161EA1">
        <w:rPr>
          <w:i/>
          <w:sz w:val="20"/>
          <w:szCs w:val="20"/>
        </w:rPr>
        <w:t>icillium</w:t>
      </w:r>
      <w:proofErr w:type="spellEnd"/>
      <w:r w:rsidR="00792CD8" w:rsidRPr="00161EA1">
        <w:rPr>
          <w:i/>
          <w:sz w:val="20"/>
          <w:szCs w:val="20"/>
        </w:rPr>
        <w:t xml:space="preserve">, </w:t>
      </w:r>
      <w:proofErr w:type="spellStart"/>
      <w:r w:rsidR="00792CD8" w:rsidRPr="00161EA1">
        <w:rPr>
          <w:i/>
          <w:sz w:val="20"/>
          <w:szCs w:val="20"/>
        </w:rPr>
        <w:t>Geotrichum</w:t>
      </w:r>
      <w:proofErr w:type="spellEnd"/>
      <w:r w:rsidR="00792CD8" w:rsidRPr="00161EA1">
        <w:rPr>
          <w:i/>
          <w:sz w:val="20"/>
          <w:szCs w:val="20"/>
        </w:rPr>
        <w:t xml:space="preserve"> and </w:t>
      </w:r>
      <w:proofErr w:type="spellStart"/>
      <w:r w:rsidR="00792CD8" w:rsidRPr="00161EA1">
        <w:rPr>
          <w:i/>
          <w:sz w:val="20"/>
          <w:szCs w:val="20"/>
        </w:rPr>
        <w:t>Cladosporium</w:t>
      </w:r>
      <w:proofErr w:type="spellEnd"/>
      <w:r w:rsidR="00792CD8" w:rsidRPr="00161EA1">
        <w:rPr>
          <w:i/>
          <w:sz w:val="20"/>
          <w:szCs w:val="20"/>
        </w:rPr>
        <w:t>.</w:t>
      </w:r>
      <w:r w:rsidR="00792CD8" w:rsidRPr="00161EA1">
        <w:rPr>
          <w:sz w:val="20"/>
          <w:szCs w:val="20"/>
        </w:rPr>
        <w:t xml:space="preserve"> Yeast was </w:t>
      </w:r>
      <w:r w:rsidR="00792CD8" w:rsidRPr="00161EA1">
        <w:rPr>
          <w:i/>
          <w:sz w:val="20"/>
          <w:szCs w:val="20"/>
        </w:rPr>
        <w:t>Candida</w:t>
      </w:r>
      <w:r w:rsidR="00570A7A" w:rsidRPr="00161EA1">
        <w:rPr>
          <w:sz w:val="20"/>
          <w:szCs w:val="20"/>
        </w:rPr>
        <w:t xml:space="preserve"> s</w:t>
      </w:r>
      <w:r w:rsidR="00792CD8" w:rsidRPr="00161EA1">
        <w:rPr>
          <w:sz w:val="20"/>
          <w:szCs w:val="20"/>
        </w:rPr>
        <w:t xml:space="preserve">p. In the marine water source, the moulds encountered were </w:t>
      </w:r>
      <w:proofErr w:type="spellStart"/>
      <w:r w:rsidR="00792CD8" w:rsidRPr="00161EA1">
        <w:rPr>
          <w:i/>
          <w:sz w:val="20"/>
          <w:szCs w:val="20"/>
        </w:rPr>
        <w:t>Aspergillus</w:t>
      </w:r>
      <w:proofErr w:type="spellEnd"/>
      <w:r w:rsidR="00792CD8" w:rsidRPr="00161EA1">
        <w:rPr>
          <w:i/>
          <w:sz w:val="20"/>
          <w:szCs w:val="20"/>
        </w:rPr>
        <w:t xml:space="preserve">, and </w:t>
      </w:r>
      <w:proofErr w:type="spellStart"/>
      <w:r w:rsidR="00792CD8" w:rsidRPr="00161EA1">
        <w:rPr>
          <w:i/>
          <w:sz w:val="20"/>
          <w:szCs w:val="20"/>
        </w:rPr>
        <w:t>Fusarium</w:t>
      </w:r>
      <w:proofErr w:type="spellEnd"/>
      <w:r w:rsidR="00792CD8" w:rsidRPr="00161EA1">
        <w:rPr>
          <w:i/>
          <w:sz w:val="20"/>
          <w:szCs w:val="20"/>
        </w:rPr>
        <w:t>.</w:t>
      </w:r>
      <w:r w:rsidR="00792CD8" w:rsidRPr="00161EA1">
        <w:rPr>
          <w:sz w:val="20"/>
          <w:szCs w:val="20"/>
        </w:rPr>
        <w:t xml:space="preserve"> Some of the organisms isolated in this study were implicated</w:t>
      </w:r>
      <w:r w:rsidR="00570A7A" w:rsidRPr="00161EA1">
        <w:rPr>
          <w:sz w:val="20"/>
          <w:szCs w:val="20"/>
        </w:rPr>
        <w:t xml:space="preserve"> in earlier studies</w:t>
      </w:r>
      <w:r w:rsidR="00792CD8" w:rsidRPr="00161EA1">
        <w:rPr>
          <w:sz w:val="20"/>
          <w:szCs w:val="20"/>
        </w:rPr>
        <w:t xml:space="preserve"> as being able to de</w:t>
      </w:r>
      <w:r w:rsidR="00570A7A" w:rsidRPr="00161EA1">
        <w:rPr>
          <w:sz w:val="20"/>
          <w:szCs w:val="20"/>
        </w:rPr>
        <w:t>grade car engine lubricating oil</w:t>
      </w:r>
      <w:r w:rsidR="00792CD8" w:rsidRPr="00161EA1">
        <w:rPr>
          <w:sz w:val="20"/>
          <w:szCs w:val="20"/>
        </w:rPr>
        <w:t xml:space="preserve"> by </w:t>
      </w:r>
      <w:proofErr w:type="spellStart"/>
      <w:r w:rsidR="00792CD8" w:rsidRPr="00161EA1">
        <w:rPr>
          <w:sz w:val="20"/>
          <w:szCs w:val="20"/>
        </w:rPr>
        <w:t>Ekwenye</w:t>
      </w:r>
      <w:proofErr w:type="spellEnd"/>
      <w:r w:rsidR="00792CD8" w:rsidRPr="00161EA1">
        <w:rPr>
          <w:sz w:val="20"/>
          <w:szCs w:val="20"/>
        </w:rPr>
        <w:t xml:space="preserve"> and Ike (2007). They included </w:t>
      </w:r>
      <w:r w:rsidR="00792CD8" w:rsidRPr="00161EA1">
        <w:rPr>
          <w:i/>
          <w:sz w:val="20"/>
          <w:szCs w:val="20"/>
        </w:rPr>
        <w:t>Bacillus, Pseudomonas, Micrococcus</w:t>
      </w:r>
      <w:r w:rsidR="00792CD8" w:rsidRPr="00161EA1">
        <w:rPr>
          <w:sz w:val="20"/>
          <w:szCs w:val="20"/>
          <w:u w:val="single"/>
        </w:rPr>
        <w:t xml:space="preserve"> </w:t>
      </w:r>
      <w:r w:rsidR="00792CD8" w:rsidRPr="00161EA1">
        <w:rPr>
          <w:sz w:val="20"/>
          <w:szCs w:val="20"/>
        </w:rPr>
        <w:t xml:space="preserve">and </w:t>
      </w:r>
      <w:proofErr w:type="spellStart"/>
      <w:r w:rsidR="00017D17" w:rsidRPr="00161EA1">
        <w:rPr>
          <w:i/>
          <w:sz w:val="20"/>
          <w:szCs w:val="20"/>
        </w:rPr>
        <w:t>Citrobacter</w:t>
      </w:r>
      <w:proofErr w:type="spellEnd"/>
      <w:r w:rsidR="00017D17" w:rsidRPr="00161EA1">
        <w:rPr>
          <w:sz w:val="20"/>
          <w:szCs w:val="20"/>
        </w:rPr>
        <w:t xml:space="preserve"> </w:t>
      </w:r>
      <w:r w:rsidR="00792CD8" w:rsidRPr="00161EA1">
        <w:rPr>
          <w:sz w:val="20"/>
          <w:szCs w:val="20"/>
        </w:rPr>
        <w:t xml:space="preserve">while the fungi included </w:t>
      </w:r>
      <w:proofErr w:type="spellStart"/>
      <w:r w:rsidR="00792CD8" w:rsidRPr="00161EA1">
        <w:rPr>
          <w:i/>
          <w:sz w:val="20"/>
          <w:szCs w:val="20"/>
        </w:rPr>
        <w:t>Aspergillus</w:t>
      </w:r>
      <w:proofErr w:type="spellEnd"/>
      <w:r w:rsidR="00792CD8" w:rsidRPr="00161EA1">
        <w:rPr>
          <w:i/>
          <w:sz w:val="20"/>
          <w:szCs w:val="20"/>
        </w:rPr>
        <w:t xml:space="preserve">, </w:t>
      </w:r>
      <w:proofErr w:type="spellStart"/>
      <w:r w:rsidR="00792CD8" w:rsidRPr="00161EA1">
        <w:rPr>
          <w:i/>
          <w:sz w:val="20"/>
          <w:szCs w:val="20"/>
        </w:rPr>
        <w:t>Cladosporium</w:t>
      </w:r>
      <w:proofErr w:type="spellEnd"/>
      <w:r w:rsidR="00792CD8" w:rsidRPr="00161EA1">
        <w:rPr>
          <w:i/>
          <w:sz w:val="20"/>
          <w:szCs w:val="20"/>
        </w:rPr>
        <w:t xml:space="preserve"> and </w:t>
      </w:r>
      <w:proofErr w:type="spellStart"/>
      <w:r w:rsidR="00792CD8" w:rsidRPr="00161EA1">
        <w:rPr>
          <w:i/>
          <w:sz w:val="20"/>
          <w:szCs w:val="20"/>
        </w:rPr>
        <w:t>Penicillium</w:t>
      </w:r>
      <w:proofErr w:type="spellEnd"/>
      <w:r w:rsidR="00792CD8" w:rsidRPr="00161EA1">
        <w:rPr>
          <w:i/>
          <w:sz w:val="20"/>
          <w:szCs w:val="20"/>
        </w:rPr>
        <w:t>.</w:t>
      </w:r>
    </w:p>
    <w:p w:rsidR="00937023" w:rsidRPr="00161EA1" w:rsidRDefault="00792CD8" w:rsidP="00F00BC7">
      <w:pPr>
        <w:snapToGrid w:val="0"/>
        <w:ind w:firstLine="425"/>
        <w:jc w:val="both"/>
        <w:rPr>
          <w:sz w:val="20"/>
          <w:szCs w:val="20"/>
        </w:rPr>
      </w:pPr>
      <w:r w:rsidRPr="00161EA1">
        <w:rPr>
          <w:sz w:val="20"/>
          <w:szCs w:val="20"/>
        </w:rPr>
        <w:t xml:space="preserve">A comparison of data in </w:t>
      </w:r>
      <w:r w:rsidR="00017D17" w:rsidRPr="00161EA1">
        <w:rPr>
          <w:sz w:val="20"/>
          <w:szCs w:val="20"/>
        </w:rPr>
        <w:t xml:space="preserve">Table </w:t>
      </w:r>
      <w:r w:rsidR="005F2E1D" w:rsidRPr="00161EA1">
        <w:rPr>
          <w:sz w:val="20"/>
          <w:szCs w:val="20"/>
        </w:rPr>
        <w:t>2</w:t>
      </w:r>
      <w:r w:rsidR="00D513B7" w:rsidRPr="00161EA1">
        <w:rPr>
          <w:sz w:val="20"/>
          <w:szCs w:val="20"/>
        </w:rPr>
        <w:t xml:space="preserve"> </w:t>
      </w:r>
      <w:r w:rsidR="005F2E1D" w:rsidRPr="00161EA1">
        <w:rPr>
          <w:sz w:val="20"/>
          <w:szCs w:val="20"/>
        </w:rPr>
        <w:t>(microbial counts)</w:t>
      </w:r>
      <w:r w:rsidRPr="00161EA1">
        <w:rPr>
          <w:sz w:val="20"/>
          <w:szCs w:val="20"/>
        </w:rPr>
        <w:t xml:space="preserve"> an</w:t>
      </w:r>
      <w:r w:rsidR="00017D17" w:rsidRPr="00161EA1">
        <w:rPr>
          <w:sz w:val="20"/>
          <w:szCs w:val="20"/>
        </w:rPr>
        <w:t>d</w:t>
      </w:r>
      <w:r w:rsidR="00D513B7" w:rsidRPr="00161EA1">
        <w:rPr>
          <w:sz w:val="20"/>
          <w:szCs w:val="20"/>
        </w:rPr>
        <w:t xml:space="preserve"> Figs.</w:t>
      </w:r>
      <w:r w:rsidR="005F2E1D" w:rsidRPr="00161EA1">
        <w:rPr>
          <w:sz w:val="20"/>
          <w:szCs w:val="20"/>
        </w:rPr>
        <w:t xml:space="preserve"> 1 – 8</w:t>
      </w:r>
      <w:r w:rsidRPr="00161EA1">
        <w:rPr>
          <w:sz w:val="20"/>
          <w:szCs w:val="20"/>
        </w:rPr>
        <w:t xml:space="preserve"> </w:t>
      </w:r>
      <w:r w:rsidR="005F2E1D" w:rsidRPr="00161EA1">
        <w:rPr>
          <w:sz w:val="20"/>
          <w:szCs w:val="20"/>
        </w:rPr>
        <w:t>(</w:t>
      </w:r>
      <w:r w:rsidRPr="00161EA1">
        <w:rPr>
          <w:sz w:val="20"/>
          <w:szCs w:val="20"/>
        </w:rPr>
        <w:t>growth profile</w:t>
      </w:r>
      <w:r w:rsidR="005F2E1D" w:rsidRPr="00161EA1">
        <w:rPr>
          <w:sz w:val="20"/>
          <w:szCs w:val="20"/>
        </w:rPr>
        <w:t>)</w:t>
      </w:r>
      <w:r w:rsidRPr="00161EA1">
        <w:rPr>
          <w:sz w:val="20"/>
          <w:szCs w:val="20"/>
        </w:rPr>
        <w:t xml:space="preserve">, </w:t>
      </w:r>
      <w:r w:rsidR="00017D17" w:rsidRPr="00161EA1">
        <w:rPr>
          <w:sz w:val="20"/>
          <w:szCs w:val="20"/>
        </w:rPr>
        <w:t>s</w:t>
      </w:r>
      <w:r w:rsidRPr="00161EA1">
        <w:rPr>
          <w:sz w:val="20"/>
          <w:szCs w:val="20"/>
        </w:rPr>
        <w:t>uggests that bacteria played a greater role in the</w:t>
      </w:r>
      <w:r w:rsidR="0086433C" w:rsidRPr="00161EA1">
        <w:rPr>
          <w:sz w:val="20"/>
          <w:szCs w:val="20"/>
        </w:rPr>
        <w:t xml:space="preserve"> bio</w:t>
      </w:r>
      <w:r w:rsidRPr="00161EA1">
        <w:rPr>
          <w:sz w:val="20"/>
          <w:szCs w:val="20"/>
        </w:rPr>
        <w:t xml:space="preserve">degradation of hydraulic brake fluids than fungi; hence the higher THB and HUB counts than THF and FUB counts throughout the test period in both fresh and marine water samples. </w:t>
      </w:r>
      <w:proofErr w:type="spellStart"/>
      <w:r w:rsidRPr="00161EA1">
        <w:rPr>
          <w:sz w:val="20"/>
          <w:szCs w:val="20"/>
        </w:rPr>
        <w:t>Benneth</w:t>
      </w:r>
      <w:proofErr w:type="spellEnd"/>
      <w:r w:rsidRPr="00161EA1">
        <w:rPr>
          <w:sz w:val="20"/>
          <w:szCs w:val="20"/>
        </w:rPr>
        <w:t xml:space="preserve"> and</w:t>
      </w:r>
      <w:r w:rsidR="0086433C" w:rsidRPr="00161EA1">
        <w:rPr>
          <w:sz w:val="20"/>
          <w:szCs w:val="20"/>
        </w:rPr>
        <w:t xml:space="preserve"> Faison (1997) attributed the dominance</w:t>
      </w:r>
      <w:r w:rsidRPr="00161EA1">
        <w:rPr>
          <w:sz w:val="20"/>
          <w:szCs w:val="20"/>
        </w:rPr>
        <w:t xml:space="preserve"> of bac</w:t>
      </w:r>
      <w:r w:rsidR="0086433C" w:rsidRPr="00161EA1">
        <w:rPr>
          <w:sz w:val="20"/>
          <w:szCs w:val="20"/>
        </w:rPr>
        <w:t>terial degraders to the fact that</w:t>
      </w:r>
      <w:r w:rsidRPr="00161EA1">
        <w:rPr>
          <w:sz w:val="20"/>
          <w:szCs w:val="20"/>
        </w:rPr>
        <w:t xml:space="preserve"> fungi are more proficient at co-metabolism and bioaccumulation than using pollutants as sole carbon source. The proportion of </w:t>
      </w:r>
      <w:r w:rsidR="009631E5" w:rsidRPr="00161EA1">
        <w:rPr>
          <w:sz w:val="20"/>
          <w:szCs w:val="20"/>
        </w:rPr>
        <w:t>the microbial population capable of hydrocarbon degradation in a</w:t>
      </w:r>
      <w:r w:rsidR="00D508A7" w:rsidRPr="00161EA1">
        <w:rPr>
          <w:sz w:val="20"/>
          <w:szCs w:val="20"/>
        </w:rPr>
        <w:t>q</w:t>
      </w:r>
      <w:r w:rsidR="009631E5" w:rsidRPr="00161EA1">
        <w:rPr>
          <w:sz w:val="20"/>
          <w:szCs w:val="20"/>
        </w:rPr>
        <w:t>uatic</w:t>
      </w:r>
      <w:r w:rsidR="001D3A42" w:rsidRPr="00161EA1">
        <w:rPr>
          <w:sz w:val="20"/>
          <w:szCs w:val="20"/>
        </w:rPr>
        <w:t xml:space="preserve"> habita</w:t>
      </w:r>
      <w:r w:rsidR="00937023" w:rsidRPr="00161EA1">
        <w:rPr>
          <w:sz w:val="20"/>
          <w:szCs w:val="20"/>
        </w:rPr>
        <w:t>t</w:t>
      </w:r>
      <w:r w:rsidR="001D3A42" w:rsidRPr="00161EA1">
        <w:rPr>
          <w:sz w:val="20"/>
          <w:szCs w:val="20"/>
        </w:rPr>
        <w:t xml:space="preserve"> is influenced by a number of factors which include; physical</w:t>
      </w:r>
      <w:r w:rsidR="00B3115A" w:rsidRPr="00161EA1">
        <w:rPr>
          <w:sz w:val="20"/>
          <w:szCs w:val="20"/>
        </w:rPr>
        <w:t>,</w:t>
      </w:r>
      <w:r w:rsidR="001D3A42" w:rsidRPr="00161EA1">
        <w:rPr>
          <w:sz w:val="20"/>
          <w:szCs w:val="20"/>
        </w:rPr>
        <w:t xml:space="preserve"> </w:t>
      </w:r>
      <w:r w:rsidR="00A86866" w:rsidRPr="00161EA1">
        <w:rPr>
          <w:sz w:val="20"/>
          <w:szCs w:val="20"/>
        </w:rPr>
        <w:t>environmental</w:t>
      </w:r>
      <w:r w:rsidR="003A2D31" w:rsidRPr="00161EA1">
        <w:rPr>
          <w:sz w:val="20"/>
          <w:szCs w:val="20"/>
        </w:rPr>
        <w:t xml:space="preserve"> and</w:t>
      </w:r>
      <w:r w:rsidR="00A86866" w:rsidRPr="00161EA1">
        <w:rPr>
          <w:sz w:val="20"/>
          <w:szCs w:val="20"/>
        </w:rPr>
        <w:t xml:space="preserve"> chemical factors (Le</w:t>
      </w:r>
      <w:r w:rsidR="00B3115A" w:rsidRPr="00161EA1">
        <w:rPr>
          <w:sz w:val="20"/>
          <w:szCs w:val="20"/>
        </w:rPr>
        <w:t>ah</w:t>
      </w:r>
      <w:r w:rsidR="00A86866" w:rsidRPr="00161EA1">
        <w:rPr>
          <w:sz w:val="20"/>
          <w:szCs w:val="20"/>
        </w:rPr>
        <w:t xml:space="preserve">y and </w:t>
      </w:r>
      <w:proofErr w:type="spellStart"/>
      <w:r w:rsidR="00937023" w:rsidRPr="00161EA1">
        <w:rPr>
          <w:sz w:val="20"/>
          <w:szCs w:val="20"/>
        </w:rPr>
        <w:t>Cowel</w:t>
      </w:r>
      <w:proofErr w:type="spellEnd"/>
      <w:r w:rsidR="00A86866" w:rsidRPr="00161EA1">
        <w:rPr>
          <w:sz w:val="20"/>
          <w:szCs w:val="20"/>
        </w:rPr>
        <w:t>, 1990</w:t>
      </w:r>
      <w:r w:rsidR="00B3115A" w:rsidRPr="00161EA1">
        <w:rPr>
          <w:sz w:val="20"/>
          <w:szCs w:val="20"/>
        </w:rPr>
        <w:t>;</w:t>
      </w:r>
      <w:r w:rsidR="00A86866" w:rsidRPr="00161EA1">
        <w:rPr>
          <w:sz w:val="20"/>
          <w:szCs w:val="20"/>
        </w:rPr>
        <w:t xml:space="preserve"> Ward </w:t>
      </w:r>
      <w:r w:rsidR="00A86866" w:rsidRPr="00161EA1">
        <w:rPr>
          <w:i/>
          <w:sz w:val="20"/>
          <w:szCs w:val="20"/>
        </w:rPr>
        <w:t>et al</w:t>
      </w:r>
      <w:r w:rsidR="00B3115A" w:rsidRPr="00161EA1">
        <w:rPr>
          <w:i/>
          <w:sz w:val="20"/>
          <w:szCs w:val="20"/>
        </w:rPr>
        <w:t>.,</w:t>
      </w:r>
      <w:r w:rsidR="00A86866" w:rsidRPr="00161EA1">
        <w:rPr>
          <w:i/>
          <w:sz w:val="20"/>
          <w:szCs w:val="20"/>
        </w:rPr>
        <w:t xml:space="preserve"> </w:t>
      </w:r>
      <w:r w:rsidR="00A86866" w:rsidRPr="00161EA1">
        <w:rPr>
          <w:sz w:val="20"/>
          <w:szCs w:val="20"/>
        </w:rPr>
        <w:t>2003</w:t>
      </w:r>
      <w:r w:rsidR="00B3115A" w:rsidRPr="00161EA1">
        <w:rPr>
          <w:sz w:val="20"/>
          <w:szCs w:val="20"/>
        </w:rPr>
        <w:t>;</w:t>
      </w:r>
      <w:r w:rsidR="00A86866" w:rsidRPr="00161EA1">
        <w:rPr>
          <w:sz w:val="20"/>
          <w:szCs w:val="20"/>
        </w:rPr>
        <w:t xml:space="preserve"> Van </w:t>
      </w:r>
      <w:proofErr w:type="spellStart"/>
      <w:r w:rsidR="00A86866" w:rsidRPr="00161EA1">
        <w:rPr>
          <w:sz w:val="20"/>
          <w:szCs w:val="20"/>
        </w:rPr>
        <w:t>Hamme</w:t>
      </w:r>
      <w:proofErr w:type="spellEnd"/>
      <w:r w:rsidR="00A86866" w:rsidRPr="00161EA1">
        <w:rPr>
          <w:sz w:val="20"/>
          <w:szCs w:val="20"/>
        </w:rPr>
        <w:t xml:space="preserve"> </w:t>
      </w:r>
      <w:r w:rsidR="00A86866" w:rsidRPr="00161EA1">
        <w:rPr>
          <w:i/>
          <w:sz w:val="20"/>
          <w:szCs w:val="20"/>
        </w:rPr>
        <w:t xml:space="preserve">el </w:t>
      </w:r>
      <w:r w:rsidR="00A86866" w:rsidRPr="00161EA1">
        <w:rPr>
          <w:i/>
          <w:sz w:val="20"/>
          <w:szCs w:val="20"/>
        </w:rPr>
        <w:lastRenderedPageBreak/>
        <w:t>al</w:t>
      </w:r>
      <w:r w:rsidR="00B3115A" w:rsidRPr="00161EA1">
        <w:rPr>
          <w:i/>
          <w:sz w:val="20"/>
          <w:szCs w:val="20"/>
        </w:rPr>
        <w:t>.,</w:t>
      </w:r>
      <w:r w:rsidR="00A86866" w:rsidRPr="00161EA1">
        <w:rPr>
          <w:i/>
          <w:sz w:val="20"/>
          <w:szCs w:val="20"/>
        </w:rPr>
        <w:t xml:space="preserve"> </w:t>
      </w:r>
      <w:r w:rsidR="00A86866" w:rsidRPr="00161EA1">
        <w:rPr>
          <w:sz w:val="20"/>
          <w:szCs w:val="20"/>
        </w:rPr>
        <w:t>2003)</w:t>
      </w:r>
      <w:r w:rsidR="00D8732E" w:rsidRPr="00161EA1">
        <w:rPr>
          <w:sz w:val="20"/>
          <w:szCs w:val="20"/>
        </w:rPr>
        <w:t xml:space="preserve"> </w:t>
      </w:r>
      <w:r w:rsidR="005630A1" w:rsidRPr="00161EA1">
        <w:rPr>
          <w:sz w:val="20"/>
          <w:szCs w:val="20"/>
        </w:rPr>
        <w:t>and biological factors such as microbial consortium (</w:t>
      </w:r>
      <w:proofErr w:type="spellStart"/>
      <w:r w:rsidR="005630A1" w:rsidRPr="00161EA1">
        <w:rPr>
          <w:sz w:val="20"/>
          <w:szCs w:val="20"/>
        </w:rPr>
        <w:t>Mishra</w:t>
      </w:r>
      <w:proofErr w:type="spellEnd"/>
      <w:r w:rsidR="005630A1" w:rsidRPr="00161EA1">
        <w:rPr>
          <w:sz w:val="20"/>
          <w:szCs w:val="20"/>
        </w:rPr>
        <w:t xml:space="preserve"> </w:t>
      </w:r>
      <w:r w:rsidR="005630A1" w:rsidRPr="00161EA1">
        <w:rPr>
          <w:i/>
          <w:sz w:val="20"/>
          <w:szCs w:val="20"/>
        </w:rPr>
        <w:t>et al</w:t>
      </w:r>
      <w:r w:rsidR="00B3115A" w:rsidRPr="00161EA1">
        <w:rPr>
          <w:i/>
          <w:sz w:val="20"/>
          <w:szCs w:val="20"/>
        </w:rPr>
        <w:t>.,</w:t>
      </w:r>
      <w:r w:rsidR="005630A1" w:rsidRPr="00161EA1">
        <w:rPr>
          <w:i/>
          <w:sz w:val="20"/>
          <w:szCs w:val="20"/>
        </w:rPr>
        <w:t xml:space="preserve"> </w:t>
      </w:r>
      <w:r w:rsidR="00B3115A" w:rsidRPr="00161EA1">
        <w:rPr>
          <w:sz w:val="20"/>
          <w:szCs w:val="20"/>
        </w:rPr>
        <w:t>2001</w:t>
      </w:r>
      <w:r w:rsidR="005630A1" w:rsidRPr="00161EA1">
        <w:rPr>
          <w:sz w:val="20"/>
          <w:szCs w:val="20"/>
        </w:rPr>
        <w:t xml:space="preserve">; </w:t>
      </w:r>
      <w:proofErr w:type="spellStart"/>
      <w:r w:rsidR="001466DB" w:rsidRPr="00161EA1">
        <w:rPr>
          <w:sz w:val="20"/>
          <w:szCs w:val="20"/>
        </w:rPr>
        <w:t>Adekunle</w:t>
      </w:r>
      <w:proofErr w:type="spellEnd"/>
      <w:r w:rsidR="001466DB" w:rsidRPr="00161EA1">
        <w:rPr>
          <w:sz w:val="20"/>
          <w:szCs w:val="20"/>
        </w:rPr>
        <w:t xml:space="preserve"> and </w:t>
      </w:r>
      <w:proofErr w:type="spellStart"/>
      <w:r w:rsidR="001466DB" w:rsidRPr="00161EA1">
        <w:rPr>
          <w:sz w:val="20"/>
          <w:szCs w:val="20"/>
        </w:rPr>
        <w:t>Oluyode</w:t>
      </w:r>
      <w:proofErr w:type="spellEnd"/>
      <w:r w:rsidR="001466DB" w:rsidRPr="00161EA1">
        <w:rPr>
          <w:sz w:val="20"/>
          <w:szCs w:val="20"/>
        </w:rPr>
        <w:t>, 2005</w:t>
      </w:r>
      <w:r w:rsidR="00B3115A" w:rsidRPr="00161EA1">
        <w:rPr>
          <w:sz w:val="20"/>
          <w:szCs w:val="20"/>
        </w:rPr>
        <w:t>;</w:t>
      </w:r>
      <w:r w:rsidR="001466DB" w:rsidRPr="00161EA1">
        <w:rPr>
          <w:sz w:val="20"/>
          <w:szCs w:val="20"/>
        </w:rPr>
        <w:t xml:space="preserve"> </w:t>
      </w:r>
      <w:r w:rsidR="00B3115A" w:rsidRPr="00161EA1">
        <w:rPr>
          <w:sz w:val="20"/>
          <w:szCs w:val="20"/>
        </w:rPr>
        <w:t xml:space="preserve">adaptation, </w:t>
      </w:r>
      <w:proofErr w:type="spellStart"/>
      <w:r w:rsidR="001466DB" w:rsidRPr="00161EA1">
        <w:rPr>
          <w:sz w:val="20"/>
          <w:szCs w:val="20"/>
        </w:rPr>
        <w:t>Maleszak</w:t>
      </w:r>
      <w:proofErr w:type="spellEnd"/>
      <w:r w:rsidR="001466DB" w:rsidRPr="00161EA1">
        <w:rPr>
          <w:sz w:val="20"/>
          <w:szCs w:val="20"/>
        </w:rPr>
        <w:t xml:space="preserve"> </w:t>
      </w:r>
      <w:r w:rsidR="001466DB" w:rsidRPr="00161EA1">
        <w:rPr>
          <w:i/>
          <w:sz w:val="20"/>
          <w:szCs w:val="20"/>
        </w:rPr>
        <w:t>et al</w:t>
      </w:r>
      <w:r w:rsidR="00B3115A" w:rsidRPr="00161EA1">
        <w:rPr>
          <w:i/>
          <w:sz w:val="20"/>
          <w:szCs w:val="20"/>
        </w:rPr>
        <w:t>.,</w:t>
      </w:r>
      <w:r w:rsidR="001466DB" w:rsidRPr="00161EA1">
        <w:rPr>
          <w:i/>
          <w:sz w:val="20"/>
          <w:szCs w:val="20"/>
        </w:rPr>
        <w:t xml:space="preserve"> </w:t>
      </w:r>
      <w:r w:rsidR="001466DB" w:rsidRPr="00161EA1">
        <w:rPr>
          <w:sz w:val="20"/>
          <w:szCs w:val="20"/>
        </w:rPr>
        <w:t>2004</w:t>
      </w:r>
      <w:r w:rsidR="0086433C" w:rsidRPr="00161EA1">
        <w:rPr>
          <w:sz w:val="20"/>
          <w:szCs w:val="20"/>
        </w:rPr>
        <w:t>) and</w:t>
      </w:r>
      <w:r w:rsidR="00937023" w:rsidRPr="00161EA1">
        <w:rPr>
          <w:sz w:val="20"/>
          <w:szCs w:val="20"/>
        </w:rPr>
        <w:t xml:space="preserve"> </w:t>
      </w:r>
      <w:r w:rsidR="00B3115A" w:rsidRPr="00161EA1">
        <w:rPr>
          <w:sz w:val="20"/>
          <w:szCs w:val="20"/>
        </w:rPr>
        <w:t xml:space="preserve">genetic enrichment and seeding </w:t>
      </w:r>
      <w:r w:rsidR="0086433C" w:rsidRPr="00161EA1">
        <w:rPr>
          <w:sz w:val="20"/>
          <w:szCs w:val="20"/>
        </w:rPr>
        <w:t>(</w:t>
      </w:r>
      <w:proofErr w:type="spellStart"/>
      <w:r w:rsidR="00937023" w:rsidRPr="00161EA1">
        <w:rPr>
          <w:sz w:val="20"/>
          <w:szCs w:val="20"/>
        </w:rPr>
        <w:t>Onwura</w:t>
      </w:r>
      <w:proofErr w:type="spellEnd"/>
      <w:r w:rsidR="00937023" w:rsidRPr="00161EA1">
        <w:rPr>
          <w:sz w:val="20"/>
          <w:szCs w:val="20"/>
        </w:rPr>
        <w:t xml:space="preserve"> and </w:t>
      </w:r>
      <w:proofErr w:type="spellStart"/>
      <w:r w:rsidR="00937023" w:rsidRPr="00161EA1">
        <w:rPr>
          <w:sz w:val="20"/>
          <w:szCs w:val="20"/>
        </w:rPr>
        <w:t>Nwuke</w:t>
      </w:r>
      <w:proofErr w:type="spellEnd"/>
      <w:r w:rsidR="00937023" w:rsidRPr="00161EA1">
        <w:rPr>
          <w:sz w:val="20"/>
          <w:szCs w:val="20"/>
        </w:rPr>
        <w:t xml:space="preserve">, 2004; </w:t>
      </w:r>
      <w:proofErr w:type="spellStart"/>
      <w:r w:rsidR="00937023" w:rsidRPr="00161EA1">
        <w:rPr>
          <w:sz w:val="20"/>
          <w:szCs w:val="20"/>
        </w:rPr>
        <w:t>Hamamura</w:t>
      </w:r>
      <w:proofErr w:type="spellEnd"/>
      <w:r w:rsidR="00937023" w:rsidRPr="00161EA1">
        <w:rPr>
          <w:sz w:val="20"/>
          <w:szCs w:val="20"/>
        </w:rPr>
        <w:t xml:space="preserve"> </w:t>
      </w:r>
      <w:r w:rsidR="00937023" w:rsidRPr="00161EA1">
        <w:rPr>
          <w:i/>
          <w:sz w:val="20"/>
          <w:szCs w:val="20"/>
        </w:rPr>
        <w:t>et al</w:t>
      </w:r>
      <w:r w:rsidR="00B3115A" w:rsidRPr="00161EA1">
        <w:rPr>
          <w:i/>
          <w:sz w:val="20"/>
          <w:szCs w:val="20"/>
        </w:rPr>
        <w:t>.,</w:t>
      </w:r>
      <w:r w:rsidR="00937023" w:rsidRPr="00161EA1">
        <w:rPr>
          <w:i/>
          <w:sz w:val="20"/>
          <w:szCs w:val="20"/>
        </w:rPr>
        <w:t xml:space="preserve"> </w:t>
      </w:r>
      <w:r w:rsidR="00937023" w:rsidRPr="00161EA1">
        <w:rPr>
          <w:sz w:val="20"/>
          <w:szCs w:val="20"/>
        </w:rPr>
        <w:t>2001).</w:t>
      </w:r>
    </w:p>
    <w:p w:rsidR="002679EE" w:rsidRPr="00161EA1" w:rsidRDefault="00937023" w:rsidP="00F00BC7">
      <w:pPr>
        <w:snapToGrid w:val="0"/>
        <w:ind w:firstLine="425"/>
        <w:jc w:val="both"/>
        <w:rPr>
          <w:sz w:val="20"/>
          <w:szCs w:val="20"/>
        </w:rPr>
      </w:pPr>
      <w:r w:rsidRPr="00161EA1">
        <w:rPr>
          <w:sz w:val="20"/>
          <w:szCs w:val="20"/>
        </w:rPr>
        <w:t xml:space="preserve">The values of the physicochemical parameters of the habitat water sources (Table 1) showed differences in their characteristics. The values of salinity of 32.5mg/l for fresh water and 36,262.5 mg/L for marine water </w:t>
      </w:r>
      <w:r w:rsidR="001E5880" w:rsidRPr="00161EA1">
        <w:rPr>
          <w:sz w:val="20"/>
          <w:szCs w:val="20"/>
        </w:rPr>
        <w:t>gave a mark difference betw</w:t>
      </w:r>
      <w:r w:rsidR="0086433C" w:rsidRPr="00161EA1">
        <w:rPr>
          <w:sz w:val="20"/>
          <w:szCs w:val="20"/>
        </w:rPr>
        <w:t>een the two water sources</w:t>
      </w:r>
      <w:r w:rsidR="001E5880" w:rsidRPr="00161EA1">
        <w:rPr>
          <w:sz w:val="20"/>
          <w:szCs w:val="20"/>
        </w:rPr>
        <w:t xml:space="preserve">. Since the </w:t>
      </w:r>
      <w:proofErr w:type="spellStart"/>
      <w:r w:rsidR="001E5880" w:rsidRPr="00161EA1">
        <w:rPr>
          <w:sz w:val="20"/>
          <w:szCs w:val="20"/>
        </w:rPr>
        <w:t>NaCl</w:t>
      </w:r>
      <w:proofErr w:type="spellEnd"/>
      <w:r w:rsidR="001E5880" w:rsidRPr="00161EA1">
        <w:rPr>
          <w:sz w:val="20"/>
          <w:szCs w:val="20"/>
        </w:rPr>
        <w:t xml:space="preserve"> concentration, salinity and </w:t>
      </w:r>
      <w:proofErr w:type="spellStart"/>
      <w:r w:rsidR="001E5880" w:rsidRPr="00161EA1">
        <w:rPr>
          <w:sz w:val="20"/>
          <w:szCs w:val="20"/>
        </w:rPr>
        <w:t>sulphate</w:t>
      </w:r>
      <w:proofErr w:type="spellEnd"/>
      <w:r w:rsidR="001E5880" w:rsidRPr="00161EA1">
        <w:rPr>
          <w:sz w:val="20"/>
          <w:szCs w:val="20"/>
        </w:rPr>
        <w:t xml:space="preserve"> are a function of chloride ion concentration, it is not surprising that the values of salinity and </w:t>
      </w:r>
      <w:proofErr w:type="spellStart"/>
      <w:r w:rsidR="001E5880" w:rsidRPr="00161EA1">
        <w:rPr>
          <w:sz w:val="20"/>
          <w:szCs w:val="20"/>
        </w:rPr>
        <w:t>sulphate</w:t>
      </w:r>
      <w:proofErr w:type="spellEnd"/>
      <w:r w:rsidR="001E5880" w:rsidRPr="00161EA1">
        <w:rPr>
          <w:sz w:val="20"/>
          <w:szCs w:val="20"/>
        </w:rPr>
        <w:t xml:space="preserve"> are higher in marine water than in fr</w:t>
      </w:r>
      <w:r w:rsidR="00B3115A" w:rsidRPr="00161EA1">
        <w:rPr>
          <w:sz w:val="20"/>
          <w:szCs w:val="20"/>
        </w:rPr>
        <w:t xml:space="preserve">esh water sample. </w:t>
      </w:r>
      <w:r w:rsidR="00487D14" w:rsidRPr="00161EA1">
        <w:rPr>
          <w:sz w:val="20"/>
          <w:szCs w:val="20"/>
        </w:rPr>
        <w:t>These results indicate</w:t>
      </w:r>
      <w:r w:rsidR="001E5880" w:rsidRPr="00161EA1">
        <w:rPr>
          <w:sz w:val="20"/>
          <w:szCs w:val="20"/>
        </w:rPr>
        <w:t xml:space="preserve"> that dominant </w:t>
      </w:r>
      <w:proofErr w:type="spellStart"/>
      <w:r w:rsidR="001E5880" w:rsidRPr="00161EA1">
        <w:rPr>
          <w:sz w:val="20"/>
          <w:szCs w:val="20"/>
        </w:rPr>
        <w:t>microflora</w:t>
      </w:r>
      <w:proofErr w:type="spellEnd"/>
      <w:r w:rsidR="001E5880" w:rsidRPr="00161EA1">
        <w:rPr>
          <w:sz w:val="20"/>
          <w:szCs w:val="20"/>
        </w:rPr>
        <w:t xml:space="preserve"> in the fresh wat</w:t>
      </w:r>
      <w:r w:rsidR="00D513B7" w:rsidRPr="00161EA1">
        <w:rPr>
          <w:sz w:val="20"/>
          <w:szCs w:val="20"/>
        </w:rPr>
        <w:t>er source would be non-halophytic</w:t>
      </w:r>
      <w:r w:rsidR="001E5880" w:rsidRPr="00161EA1">
        <w:rPr>
          <w:sz w:val="20"/>
          <w:szCs w:val="20"/>
        </w:rPr>
        <w:t xml:space="preserve"> and </w:t>
      </w:r>
      <w:r w:rsidR="00D513B7" w:rsidRPr="00161EA1">
        <w:rPr>
          <w:sz w:val="20"/>
          <w:szCs w:val="20"/>
        </w:rPr>
        <w:t>halophytic</w:t>
      </w:r>
      <w:r w:rsidR="001E5880" w:rsidRPr="00161EA1">
        <w:rPr>
          <w:sz w:val="20"/>
          <w:szCs w:val="20"/>
        </w:rPr>
        <w:t xml:space="preserve"> organisms in the marine water source which had low pH value of 4.55.</w:t>
      </w:r>
    </w:p>
    <w:p w:rsidR="002679EE" w:rsidRPr="00161EA1" w:rsidRDefault="001E5880" w:rsidP="00F00BC7">
      <w:pPr>
        <w:snapToGrid w:val="0"/>
        <w:ind w:firstLine="425"/>
        <w:jc w:val="both"/>
        <w:rPr>
          <w:sz w:val="20"/>
          <w:szCs w:val="20"/>
        </w:rPr>
      </w:pPr>
      <w:r w:rsidRPr="00161EA1">
        <w:rPr>
          <w:sz w:val="20"/>
          <w:szCs w:val="20"/>
        </w:rPr>
        <w:t xml:space="preserve">Phosphate and nitrate are scarce in seawater (Nester </w:t>
      </w:r>
      <w:r w:rsidRPr="00161EA1">
        <w:rPr>
          <w:i/>
          <w:sz w:val="20"/>
          <w:szCs w:val="20"/>
        </w:rPr>
        <w:t>et al</w:t>
      </w:r>
      <w:r w:rsidR="00487D14" w:rsidRPr="00161EA1">
        <w:rPr>
          <w:i/>
          <w:sz w:val="20"/>
          <w:szCs w:val="20"/>
        </w:rPr>
        <w:t>.,</w:t>
      </w:r>
      <w:r w:rsidRPr="00161EA1">
        <w:rPr>
          <w:sz w:val="20"/>
          <w:szCs w:val="20"/>
        </w:rPr>
        <w:t xml:space="preserve"> 2001)</w:t>
      </w:r>
      <w:r w:rsidR="00487D14" w:rsidRPr="00161EA1">
        <w:rPr>
          <w:sz w:val="20"/>
          <w:szCs w:val="20"/>
        </w:rPr>
        <w:t>.</w:t>
      </w:r>
      <w:r w:rsidRPr="00161EA1">
        <w:rPr>
          <w:sz w:val="20"/>
          <w:szCs w:val="20"/>
        </w:rPr>
        <w:t xml:space="preserve"> </w:t>
      </w:r>
      <w:r w:rsidR="00487D14" w:rsidRPr="00161EA1">
        <w:rPr>
          <w:sz w:val="20"/>
          <w:szCs w:val="20"/>
        </w:rPr>
        <w:t xml:space="preserve">Sea </w:t>
      </w:r>
      <w:r w:rsidRPr="00161EA1">
        <w:rPr>
          <w:sz w:val="20"/>
          <w:szCs w:val="20"/>
        </w:rPr>
        <w:t>water usually contains fewer organisms than fr</w:t>
      </w:r>
      <w:r w:rsidR="00D513B7" w:rsidRPr="00161EA1">
        <w:rPr>
          <w:sz w:val="20"/>
          <w:szCs w:val="20"/>
        </w:rPr>
        <w:t>esh water, but higher halophytic</w:t>
      </w:r>
      <w:r w:rsidRPr="00161EA1">
        <w:rPr>
          <w:sz w:val="20"/>
          <w:szCs w:val="20"/>
        </w:rPr>
        <w:t xml:space="preserve"> organisms, those that prefer or require high salt concentration thrive in it (Nester </w:t>
      </w:r>
      <w:r w:rsidRPr="00161EA1">
        <w:rPr>
          <w:i/>
          <w:sz w:val="20"/>
          <w:szCs w:val="20"/>
        </w:rPr>
        <w:t>et al</w:t>
      </w:r>
      <w:r w:rsidR="00487D14" w:rsidRPr="00161EA1">
        <w:rPr>
          <w:i/>
          <w:sz w:val="20"/>
          <w:szCs w:val="20"/>
        </w:rPr>
        <w:t>.,</w:t>
      </w:r>
      <w:r w:rsidRPr="00161EA1">
        <w:rPr>
          <w:i/>
          <w:sz w:val="20"/>
          <w:szCs w:val="20"/>
        </w:rPr>
        <w:t xml:space="preserve"> </w:t>
      </w:r>
      <w:r w:rsidRPr="00161EA1">
        <w:rPr>
          <w:sz w:val="20"/>
          <w:szCs w:val="20"/>
        </w:rPr>
        <w:t>2001). The values of phosphate and nitrate of the marine water source showed low values of 0.00824 and 0.8824 mg/l, while that of fresh water were 0.0824 and 3.088mg/l</w:t>
      </w:r>
      <w:r w:rsidR="00487D14" w:rsidRPr="00161EA1">
        <w:rPr>
          <w:sz w:val="20"/>
          <w:szCs w:val="20"/>
        </w:rPr>
        <w:t>.</w:t>
      </w:r>
      <w:r w:rsidR="00CE45FC" w:rsidRPr="00161EA1">
        <w:rPr>
          <w:sz w:val="20"/>
          <w:szCs w:val="20"/>
        </w:rPr>
        <w:t xml:space="preserve"> These mark differences in the physicochemical results of the two water samples may have influenced to large extent the biodegradability rat</w:t>
      </w:r>
      <w:r w:rsidR="007A7E5D" w:rsidRPr="00161EA1">
        <w:rPr>
          <w:sz w:val="20"/>
          <w:szCs w:val="20"/>
        </w:rPr>
        <w:t xml:space="preserve">es in both aquatic environments (Nester </w:t>
      </w:r>
      <w:r w:rsidR="007A7E5D" w:rsidRPr="00161EA1">
        <w:rPr>
          <w:i/>
          <w:sz w:val="20"/>
          <w:szCs w:val="20"/>
        </w:rPr>
        <w:t>et al.,</w:t>
      </w:r>
      <w:r w:rsidR="007A7E5D" w:rsidRPr="00161EA1">
        <w:rPr>
          <w:sz w:val="20"/>
          <w:szCs w:val="20"/>
        </w:rPr>
        <w:t xml:space="preserve"> 2001).</w:t>
      </w:r>
    </w:p>
    <w:p w:rsidR="00310B5D" w:rsidRPr="00161EA1" w:rsidRDefault="00487D14" w:rsidP="00F00BC7">
      <w:pPr>
        <w:snapToGrid w:val="0"/>
        <w:ind w:firstLine="425"/>
        <w:jc w:val="both"/>
        <w:rPr>
          <w:sz w:val="20"/>
          <w:szCs w:val="20"/>
        </w:rPr>
      </w:pPr>
      <w:proofErr w:type="gramStart"/>
      <w:r w:rsidRPr="00161EA1">
        <w:rPr>
          <w:sz w:val="20"/>
          <w:szCs w:val="20"/>
        </w:rPr>
        <w:t xml:space="preserve">Changes </w:t>
      </w:r>
      <w:r w:rsidR="00A6534A" w:rsidRPr="00161EA1">
        <w:rPr>
          <w:sz w:val="20"/>
          <w:szCs w:val="20"/>
        </w:rPr>
        <w:t>in pH (</w:t>
      </w:r>
      <w:r w:rsidR="00D513B7" w:rsidRPr="00161EA1">
        <w:rPr>
          <w:sz w:val="20"/>
          <w:szCs w:val="20"/>
        </w:rPr>
        <w:t xml:space="preserve">Figs. </w:t>
      </w:r>
      <w:r w:rsidR="006E44F0" w:rsidRPr="00161EA1">
        <w:rPr>
          <w:sz w:val="20"/>
          <w:szCs w:val="20"/>
        </w:rPr>
        <w:t>9 and 10) during the biodegradation period showed pH of nearly neutrality in most of the test systems in both fresh and marine water samples.</w:t>
      </w:r>
      <w:proofErr w:type="gramEnd"/>
      <w:r w:rsidR="006E44F0" w:rsidRPr="00161EA1">
        <w:rPr>
          <w:sz w:val="20"/>
          <w:szCs w:val="20"/>
        </w:rPr>
        <w:t xml:space="preserve"> Most important hydrocarbon degrading heterotrophic bacteria and fungi perform best when pH is near neutral. However, fungi are known to be more tolerant of acidic conditions (</w:t>
      </w:r>
      <w:proofErr w:type="spellStart"/>
      <w:r w:rsidR="006E44F0" w:rsidRPr="00161EA1">
        <w:rPr>
          <w:sz w:val="20"/>
          <w:szCs w:val="20"/>
        </w:rPr>
        <w:t>Delyan</w:t>
      </w:r>
      <w:proofErr w:type="spellEnd"/>
      <w:r w:rsidR="006E44F0" w:rsidRPr="00161EA1">
        <w:rPr>
          <w:sz w:val="20"/>
          <w:szCs w:val="20"/>
        </w:rPr>
        <w:t xml:space="preserve"> </w:t>
      </w:r>
      <w:r w:rsidR="006E44F0" w:rsidRPr="00161EA1">
        <w:rPr>
          <w:i/>
          <w:sz w:val="20"/>
          <w:szCs w:val="20"/>
        </w:rPr>
        <w:t>et al</w:t>
      </w:r>
      <w:r w:rsidRPr="00161EA1">
        <w:rPr>
          <w:i/>
          <w:sz w:val="20"/>
          <w:szCs w:val="20"/>
        </w:rPr>
        <w:t>.,</w:t>
      </w:r>
      <w:r w:rsidR="006E44F0" w:rsidRPr="00161EA1">
        <w:rPr>
          <w:i/>
          <w:sz w:val="20"/>
          <w:szCs w:val="20"/>
        </w:rPr>
        <w:t xml:space="preserve"> </w:t>
      </w:r>
      <w:r w:rsidR="006E44F0" w:rsidRPr="00161EA1">
        <w:rPr>
          <w:sz w:val="20"/>
          <w:szCs w:val="20"/>
        </w:rPr>
        <w:t>1990)</w:t>
      </w:r>
      <w:r w:rsidRPr="00161EA1">
        <w:rPr>
          <w:sz w:val="20"/>
          <w:szCs w:val="20"/>
        </w:rPr>
        <w:t>.</w:t>
      </w:r>
      <w:r w:rsidR="006E44F0" w:rsidRPr="00161EA1">
        <w:rPr>
          <w:sz w:val="20"/>
          <w:szCs w:val="20"/>
        </w:rPr>
        <w:t xml:space="preserve"> </w:t>
      </w:r>
      <w:r w:rsidRPr="00161EA1">
        <w:rPr>
          <w:sz w:val="20"/>
          <w:szCs w:val="20"/>
        </w:rPr>
        <w:t xml:space="preserve">Changes </w:t>
      </w:r>
      <w:r w:rsidR="006E44F0" w:rsidRPr="00161EA1">
        <w:rPr>
          <w:sz w:val="20"/>
          <w:szCs w:val="20"/>
        </w:rPr>
        <w:t>in salinity showed higher values in marine water than in fresh water, with gradual increase and decli</w:t>
      </w:r>
      <w:r w:rsidR="00A6534A" w:rsidRPr="00161EA1">
        <w:rPr>
          <w:sz w:val="20"/>
          <w:szCs w:val="20"/>
        </w:rPr>
        <w:t>ne from day 42 to day 56 (</w:t>
      </w:r>
      <w:r w:rsidR="00D513B7" w:rsidRPr="00161EA1">
        <w:rPr>
          <w:sz w:val="20"/>
          <w:szCs w:val="20"/>
        </w:rPr>
        <w:t>Figs.</w:t>
      </w:r>
      <w:r w:rsidR="006E44F0" w:rsidRPr="00161EA1">
        <w:rPr>
          <w:sz w:val="20"/>
          <w:szCs w:val="20"/>
        </w:rPr>
        <w:t xml:space="preserve"> 13 – 14)</w:t>
      </w:r>
      <w:r w:rsidR="00310B5D" w:rsidRPr="00161EA1">
        <w:rPr>
          <w:sz w:val="20"/>
          <w:szCs w:val="20"/>
        </w:rPr>
        <w:t xml:space="preserve">. The result of percentage mineralization (Table 5) showed that biodegradability was higher in fresh water than marine water. </w:t>
      </w:r>
      <w:r w:rsidR="00D513B7" w:rsidRPr="00161EA1">
        <w:rPr>
          <w:sz w:val="20"/>
          <w:szCs w:val="20"/>
        </w:rPr>
        <w:t>Hyper salinity</w:t>
      </w:r>
      <w:r w:rsidR="00310B5D" w:rsidRPr="00161EA1">
        <w:rPr>
          <w:sz w:val="20"/>
          <w:szCs w:val="20"/>
        </w:rPr>
        <w:t xml:space="preserve"> will result in the decrease in microbial metabolic rates. </w:t>
      </w:r>
      <w:proofErr w:type="spellStart"/>
      <w:r w:rsidR="00310B5D" w:rsidRPr="00161EA1">
        <w:rPr>
          <w:sz w:val="20"/>
          <w:szCs w:val="20"/>
        </w:rPr>
        <w:t>Okpokwasili</w:t>
      </w:r>
      <w:proofErr w:type="spellEnd"/>
      <w:r w:rsidR="00310B5D" w:rsidRPr="00161EA1">
        <w:rPr>
          <w:sz w:val="20"/>
          <w:szCs w:val="20"/>
        </w:rPr>
        <w:t xml:space="preserve"> and </w:t>
      </w:r>
      <w:proofErr w:type="spellStart"/>
      <w:r w:rsidR="00310B5D" w:rsidRPr="00161EA1">
        <w:rPr>
          <w:sz w:val="20"/>
          <w:szCs w:val="20"/>
        </w:rPr>
        <w:t>Odokuma</w:t>
      </w:r>
      <w:proofErr w:type="spellEnd"/>
      <w:r w:rsidR="00310B5D" w:rsidRPr="00161EA1">
        <w:rPr>
          <w:sz w:val="20"/>
          <w:szCs w:val="20"/>
        </w:rPr>
        <w:t xml:space="preserve"> (1990) have observed that biodegradation of oil spill dispersants decreased with increase in salinity in artificial media.</w:t>
      </w:r>
    </w:p>
    <w:p w:rsidR="00EE4B88" w:rsidRPr="00161EA1" w:rsidRDefault="00310B5D" w:rsidP="00F00BC7">
      <w:pPr>
        <w:snapToGrid w:val="0"/>
        <w:ind w:firstLine="425"/>
        <w:jc w:val="both"/>
        <w:rPr>
          <w:sz w:val="20"/>
          <w:szCs w:val="20"/>
        </w:rPr>
      </w:pPr>
      <w:r w:rsidRPr="00161EA1">
        <w:rPr>
          <w:sz w:val="20"/>
          <w:szCs w:val="20"/>
        </w:rPr>
        <w:t>The BOD and COD values of the two water bodies were 8mg/L and 7.2mg /L for fresh water while 16.64mg/L and 20.0mg/L in marine water, indicating higher BOD and COD in the marine system; this implies that the marine water sample was potentially polluted than the fresh water sample (</w:t>
      </w:r>
      <w:proofErr w:type="spellStart"/>
      <w:r w:rsidRPr="00161EA1">
        <w:rPr>
          <w:sz w:val="20"/>
          <w:szCs w:val="20"/>
        </w:rPr>
        <w:t>Osubanjo</w:t>
      </w:r>
      <w:proofErr w:type="spellEnd"/>
      <w:r w:rsidR="00487D14" w:rsidRPr="00161EA1">
        <w:rPr>
          <w:sz w:val="20"/>
          <w:szCs w:val="20"/>
        </w:rPr>
        <w:t>,</w:t>
      </w:r>
      <w:r w:rsidRPr="00161EA1">
        <w:rPr>
          <w:sz w:val="20"/>
          <w:szCs w:val="20"/>
        </w:rPr>
        <w:t xml:space="preserve"> 1992). The decrease in BOD in the various test </w:t>
      </w:r>
      <w:r w:rsidRPr="00161EA1">
        <w:rPr>
          <w:sz w:val="20"/>
          <w:szCs w:val="20"/>
        </w:rPr>
        <w:lastRenderedPageBreak/>
        <w:t>systems in both fresh and marine water samples (except in th</w:t>
      </w:r>
      <w:r w:rsidR="003C42AD" w:rsidRPr="00161EA1">
        <w:rPr>
          <w:sz w:val="20"/>
          <w:szCs w:val="20"/>
        </w:rPr>
        <w:t>e negative control tests) showed</w:t>
      </w:r>
      <w:r w:rsidRPr="00161EA1">
        <w:rPr>
          <w:sz w:val="20"/>
          <w:szCs w:val="20"/>
        </w:rPr>
        <w:t xml:space="preserve"> that the amount of degradable organic materials</w:t>
      </w:r>
      <w:r w:rsidR="00617CE5" w:rsidRPr="00161EA1">
        <w:rPr>
          <w:sz w:val="20"/>
          <w:szCs w:val="20"/>
        </w:rPr>
        <w:t xml:space="preserve"> </w:t>
      </w:r>
      <w:r w:rsidR="00C50310" w:rsidRPr="00161EA1">
        <w:rPr>
          <w:sz w:val="20"/>
          <w:szCs w:val="20"/>
        </w:rPr>
        <w:t xml:space="preserve">present </w:t>
      </w:r>
      <w:r w:rsidR="00F654FA" w:rsidRPr="00161EA1">
        <w:rPr>
          <w:sz w:val="20"/>
          <w:szCs w:val="20"/>
        </w:rPr>
        <w:t xml:space="preserve">in the </w:t>
      </w:r>
      <w:r w:rsidR="003C42AD" w:rsidRPr="00161EA1">
        <w:rPr>
          <w:sz w:val="20"/>
          <w:szCs w:val="20"/>
        </w:rPr>
        <w:t xml:space="preserve">water </w:t>
      </w:r>
      <w:r w:rsidR="00F654FA" w:rsidRPr="00161EA1">
        <w:rPr>
          <w:sz w:val="20"/>
          <w:szCs w:val="20"/>
        </w:rPr>
        <w:t>samples were being utilized by the microorganisms (</w:t>
      </w:r>
      <w:r w:rsidR="00D513B7" w:rsidRPr="00161EA1">
        <w:rPr>
          <w:sz w:val="20"/>
          <w:szCs w:val="20"/>
        </w:rPr>
        <w:t>Figs.</w:t>
      </w:r>
      <w:r w:rsidR="003C42AD" w:rsidRPr="00161EA1">
        <w:rPr>
          <w:sz w:val="20"/>
          <w:szCs w:val="20"/>
        </w:rPr>
        <w:t xml:space="preserve"> </w:t>
      </w:r>
      <w:r w:rsidR="00F654FA" w:rsidRPr="00161EA1">
        <w:rPr>
          <w:sz w:val="20"/>
          <w:szCs w:val="20"/>
        </w:rPr>
        <w:t>11 – 12). BOD represents the amount of oxygen</w:t>
      </w:r>
      <w:r w:rsidR="00EE4B88" w:rsidRPr="00161EA1">
        <w:rPr>
          <w:sz w:val="20"/>
          <w:szCs w:val="20"/>
        </w:rPr>
        <w:t xml:space="preserve"> required for the microbial decomposition of organic matter in water sample</w:t>
      </w:r>
      <w:r w:rsidR="003C42AD" w:rsidRPr="00161EA1">
        <w:rPr>
          <w:sz w:val="20"/>
          <w:szCs w:val="20"/>
        </w:rPr>
        <w:t>. It is roughly proportional to the amount of degradable organic matter present in the water sample</w:t>
      </w:r>
      <w:r w:rsidR="00EE4B88" w:rsidRPr="00161EA1">
        <w:rPr>
          <w:sz w:val="20"/>
          <w:szCs w:val="20"/>
        </w:rPr>
        <w:t xml:space="preserve"> (</w:t>
      </w:r>
      <w:proofErr w:type="spellStart"/>
      <w:r w:rsidR="00EE4B88" w:rsidRPr="00161EA1">
        <w:rPr>
          <w:sz w:val="20"/>
          <w:szCs w:val="20"/>
        </w:rPr>
        <w:t>Pelczer</w:t>
      </w:r>
      <w:proofErr w:type="spellEnd"/>
      <w:r w:rsidR="00EE4B88" w:rsidRPr="00161EA1">
        <w:rPr>
          <w:sz w:val="20"/>
          <w:szCs w:val="20"/>
        </w:rPr>
        <w:t xml:space="preserve"> </w:t>
      </w:r>
      <w:r w:rsidR="00EE4B88" w:rsidRPr="00161EA1">
        <w:rPr>
          <w:i/>
          <w:sz w:val="20"/>
          <w:szCs w:val="20"/>
        </w:rPr>
        <w:t>et al</w:t>
      </w:r>
      <w:r w:rsidR="00487D14" w:rsidRPr="00161EA1">
        <w:rPr>
          <w:i/>
          <w:sz w:val="20"/>
          <w:szCs w:val="20"/>
        </w:rPr>
        <w:t>.,</w:t>
      </w:r>
      <w:r w:rsidR="00EE4B88" w:rsidRPr="00161EA1">
        <w:rPr>
          <w:sz w:val="20"/>
          <w:szCs w:val="20"/>
        </w:rPr>
        <w:t xml:space="preserve"> 1982</w:t>
      </w:r>
      <w:r w:rsidR="003C42AD" w:rsidRPr="00161EA1">
        <w:rPr>
          <w:sz w:val="20"/>
          <w:szCs w:val="20"/>
        </w:rPr>
        <w:t xml:space="preserve">; Nester </w:t>
      </w:r>
      <w:r w:rsidR="003C42AD" w:rsidRPr="00161EA1">
        <w:rPr>
          <w:i/>
          <w:sz w:val="20"/>
          <w:szCs w:val="20"/>
        </w:rPr>
        <w:t>et al</w:t>
      </w:r>
      <w:r w:rsidR="003C42AD" w:rsidRPr="00161EA1">
        <w:rPr>
          <w:sz w:val="20"/>
          <w:szCs w:val="20"/>
        </w:rPr>
        <w:t>., 2001</w:t>
      </w:r>
      <w:r w:rsidR="00EE4B88" w:rsidRPr="00161EA1">
        <w:rPr>
          <w:sz w:val="20"/>
          <w:szCs w:val="20"/>
        </w:rPr>
        <w:t>).</w:t>
      </w:r>
    </w:p>
    <w:p w:rsidR="00EE4B88" w:rsidRPr="00161EA1" w:rsidRDefault="00614770" w:rsidP="00F00BC7">
      <w:pPr>
        <w:snapToGrid w:val="0"/>
        <w:ind w:firstLine="425"/>
        <w:jc w:val="both"/>
        <w:rPr>
          <w:sz w:val="20"/>
          <w:szCs w:val="20"/>
        </w:rPr>
      </w:pPr>
      <w:r w:rsidRPr="00161EA1">
        <w:rPr>
          <w:sz w:val="20"/>
          <w:szCs w:val="20"/>
        </w:rPr>
        <w:t xml:space="preserve">Changes in </w:t>
      </w:r>
      <w:r w:rsidR="00EE4B88" w:rsidRPr="00161EA1">
        <w:rPr>
          <w:sz w:val="20"/>
          <w:szCs w:val="20"/>
        </w:rPr>
        <w:t xml:space="preserve">DO </w:t>
      </w:r>
      <w:r w:rsidRPr="00161EA1">
        <w:rPr>
          <w:sz w:val="20"/>
          <w:szCs w:val="20"/>
        </w:rPr>
        <w:t>during the period of incubation showed various levels</w:t>
      </w:r>
      <w:r w:rsidR="00EE4B88" w:rsidRPr="00161EA1">
        <w:rPr>
          <w:sz w:val="20"/>
          <w:szCs w:val="20"/>
        </w:rPr>
        <w:t xml:space="preserve"> (</w:t>
      </w:r>
      <w:r w:rsidR="00D513B7" w:rsidRPr="00161EA1">
        <w:rPr>
          <w:sz w:val="20"/>
          <w:szCs w:val="20"/>
        </w:rPr>
        <w:t>Figs.</w:t>
      </w:r>
      <w:r w:rsidR="00EE4B88" w:rsidRPr="00161EA1">
        <w:rPr>
          <w:sz w:val="20"/>
          <w:szCs w:val="20"/>
        </w:rPr>
        <w:t xml:space="preserve"> 19 – 20).</w:t>
      </w:r>
      <w:r w:rsidR="00161EA1">
        <w:rPr>
          <w:rFonts w:hint="eastAsia"/>
          <w:sz w:val="20"/>
          <w:szCs w:val="20"/>
          <w:lang w:eastAsia="zh-CN"/>
        </w:rPr>
        <w:t xml:space="preserve"> </w:t>
      </w:r>
      <w:r w:rsidR="00624907" w:rsidRPr="00161EA1">
        <w:rPr>
          <w:sz w:val="20"/>
          <w:szCs w:val="20"/>
        </w:rPr>
        <w:t>Heterotrophic</w:t>
      </w:r>
      <w:r w:rsidRPr="00161EA1">
        <w:rPr>
          <w:sz w:val="20"/>
          <w:szCs w:val="20"/>
        </w:rPr>
        <w:t xml:space="preserve"> bacterial population will cause </w:t>
      </w:r>
      <w:r w:rsidR="00624907" w:rsidRPr="00161EA1">
        <w:rPr>
          <w:sz w:val="20"/>
          <w:szCs w:val="20"/>
        </w:rPr>
        <w:t>depletion</w:t>
      </w:r>
      <w:r w:rsidRPr="00161EA1">
        <w:rPr>
          <w:sz w:val="20"/>
          <w:szCs w:val="20"/>
        </w:rPr>
        <w:t xml:space="preserve"> in DO levels. The DO of the negative control system was higher than that of the test systems and </w:t>
      </w:r>
      <w:r w:rsidR="00624907" w:rsidRPr="00161EA1">
        <w:rPr>
          <w:sz w:val="20"/>
          <w:szCs w:val="20"/>
        </w:rPr>
        <w:t xml:space="preserve">positive control system due to the absence of micro organisms to utilize the </w:t>
      </w:r>
      <w:r w:rsidR="000439FE" w:rsidRPr="00161EA1">
        <w:rPr>
          <w:sz w:val="20"/>
          <w:szCs w:val="20"/>
        </w:rPr>
        <w:t>oxygen (</w:t>
      </w:r>
      <w:proofErr w:type="spellStart"/>
      <w:r w:rsidR="000439FE" w:rsidRPr="00161EA1">
        <w:rPr>
          <w:sz w:val="20"/>
          <w:szCs w:val="20"/>
        </w:rPr>
        <w:t>Odokuma</w:t>
      </w:r>
      <w:proofErr w:type="spellEnd"/>
      <w:r w:rsidR="000439FE" w:rsidRPr="00161EA1">
        <w:rPr>
          <w:sz w:val="20"/>
          <w:szCs w:val="20"/>
        </w:rPr>
        <w:t xml:space="preserve"> and </w:t>
      </w:r>
      <w:proofErr w:type="spellStart"/>
      <w:r w:rsidR="000439FE" w:rsidRPr="00161EA1">
        <w:rPr>
          <w:sz w:val="20"/>
          <w:szCs w:val="20"/>
        </w:rPr>
        <w:t>Okpokwasili</w:t>
      </w:r>
      <w:proofErr w:type="spellEnd"/>
      <w:r w:rsidR="000439FE" w:rsidRPr="00161EA1">
        <w:rPr>
          <w:sz w:val="20"/>
          <w:szCs w:val="20"/>
        </w:rPr>
        <w:t>, 1993)</w:t>
      </w:r>
      <w:r w:rsidR="00EE4B88" w:rsidRPr="00161EA1">
        <w:rPr>
          <w:sz w:val="20"/>
          <w:szCs w:val="20"/>
        </w:rPr>
        <w:t xml:space="preserve"> The changes in COD in fresh and marine water</w:t>
      </w:r>
      <w:r w:rsidR="003C6349" w:rsidRPr="00161EA1">
        <w:rPr>
          <w:sz w:val="20"/>
          <w:szCs w:val="20"/>
        </w:rPr>
        <w:t xml:space="preserve"> samples</w:t>
      </w:r>
      <w:r w:rsidR="00EE4B88" w:rsidRPr="00161EA1">
        <w:rPr>
          <w:sz w:val="20"/>
          <w:szCs w:val="20"/>
        </w:rPr>
        <w:t xml:space="preserve"> showed that the highest values were recorded on day 28 during the degradation period. COD provides a measure of the oxygen equivalent of that portion of the organic matter in a water sample that is susceptible to oxidation (Stewart </w:t>
      </w:r>
      <w:r w:rsidR="00EE4B88" w:rsidRPr="00161EA1">
        <w:rPr>
          <w:i/>
          <w:sz w:val="20"/>
          <w:szCs w:val="20"/>
        </w:rPr>
        <w:t xml:space="preserve">et al; </w:t>
      </w:r>
      <w:r w:rsidR="00EE4B88" w:rsidRPr="00161EA1">
        <w:rPr>
          <w:sz w:val="20"/>
          <w:szCs w:val="20"/>
        </w:rPr>
        <w:t>1974). The high values of COD recorded on day 28 in the negative control in marine and fresh water during the incubation period may be due to chemical reactions in the systems.</w:t>
      </w:r>
    </w:p>
    <w:p w:rsidR="004D0CC9" w:rsidRPr="00161EA1" w:rsidRDefault="003C6349" w:rsidP="00F00BC7">
      <w:pPr>
        <w:snapToGrid w:val="0"/>
        <w:ind w:firstLine="425"/>
        <w:jc w:val="both"/>
        <w:rPr>
          <w:sz w:val="20"/>
          <w:szCs w:val="20"/>
        </w:rPr>
      </w:pPr>
      <w:r w:rsidRPr="00161EA1">
        <w:rPr>
          <w:sz w:val="20"/>
          <w:szCs w:val="20"/>
        </w:rPr>
        <w:t>There were</w:t>
      </w:r>
      <w:r w:rsidR="00EE4B88" w:rsidRPr="00161EA1">
        <w:rPr>
          <w:sz w:val="20"/>
          <w:szCs w:val="20"/>
        </w:rPr>
        <w:t xml:space="preserve"> substan</w:t>
      </w:r>
      <w:r w:rsidR="004D0CC9" w:rsidRPr="00161EA1">
        <w:rPr>
          <w:sz w:val="20"/>
          <w:szCs w:val="20"/>
        </w:rPr>
        <w:t>t</w:t>
      </w:r>
      <w:r w:rsidR="00EE4B88" w:rsidRPr="00161EA1">
        <w:rPr>
          <w:sz w:val="20"/>
          <w:szCs w:val="20"/>
        </w:rPr>
        <w:t>ial decrease</w:t>
      </w:r>
      <w:r w:rsidRPr="00161EA1">
        <w:rPr>
          <w:sz w:val="20"/>
          <w:szCs w:val="20"/>
        </w:rPr>
        <w:t>s</w:t>
      </w:r>
      <w:r w:rsidR="00EE4B88" w:rsidRPr="00161EA1">
        <w:rPr>
          <w:sz w:val="20"/>
          <w:szCs w:val="20"/>
        </w:rPr>
        <w:t xml:space="preserve"> in TOC values from day 0 to day 28 in the fresh water sample and from day 0 to day 14 in marine water sample during the period of incubation </w:t>
      </w:r>
      <w:r w:rsidR="004D0CC9" w:rsidRPr="00161EA1">
        <w:rPr>
          <w:sz w:val="20"/>
          <w:szCs w:val="20"/>
        </w:rPr>
        <w:t>(</w:t>
      </w:r>
      <w:r w:rsidRPr="00161EA1">
        <w:rPr>
          <w:sz w:val="20"/>
          <w:szCs w:val="20"/>
        </w:rPr>
        <w:t>Figs.</w:t>
      </w:r>
      <w:r w:rsidR="004D0CC9" w:rsidRPr="00161EA1">
        <w:rPr>
          <w:sz w:val="20"/>
          <w:szCs w:val="20"/>
        </w:rPr>
        <w:t xml:space="preserve"> 17 – 18). This suggests that the microorganisms were utilizing some of the organic carbon during their metabolic activities. </w:t>
      </w:r>
      <w:proofErr w:type="gramStart"/>
      <w:r w:rsidR="004D0CC9" w:rsidRPr="00161EA1">
        <w:rPr>
          <w:sz w:val="20"/>
          <w:szCs w:val="20"/>
        </w:rPr>
        <w:t xml:space="preserve">Other chemical parameters that showed substantial </w:t>
      </w:r>
      <w:r w:rsidR="000439FE" w:rsidRPr="00161EA1">
        <w:rPr>
          <w:sz w:val="20"/>
          <w:szCs w:val="20"/>
        </w:rPr>
        <w:t>decreases at one period or the other in course of the biodegradability monitoring were</w:t>
      </w:r>
      <w:r w:rsidR="004D0CC9" w:rsidRPr="00161EA1">
        <w:rPr>
          <w:sz w:val="20"/>
          <w:szCs w:val="20"/>
        </w:rPr>
        <w:t>; N0</w:t>
      </w:r>
      <w:r w:rsidR="004D0CC9" w:rsidRPr="00161EA1">
        <w:rPr>
          <w:sz w:val="20"/>
          <w:szCs w:val="20"/>
          <w:vertAlign w:val="subscript"/>
        </w:rPr>
        <w:t>3</w:t>
      </w:r>
      <w:r w:rsidR="006524F0" w:rsidRPr="00161EA1">
        <w:rPr>
          <w:sz w:val="20"/>
          <w:szCs w:val="20"/>
          <w:vertAlign w:val="superscript"/>
        </w:rPr>
        <w:t>2-</w:t>
      </w:r>
      <w:r w:rsidR="004D0CC9" w:rsidRPr="00161EA1">
        <w:rPr>
          <w:sz w:val="20"/>
          <w:szCs w:val="20"/>
        </w:rPr>
        <w:t xml:space="preserve"> (</w:t>
      </w:r>
      <w:r w:rsidR="006524F0" w:rsidRPr="00161EA1">
        <w:rPr>
          <w:sz w:val="20"/>
          <w:szCs w:val="20"/>
        </w:rPr>
        <w:t>Fig</w:t>
      </w:r>
      <w:r w:rsidR="00487D14" w:rsidRPr="00161EA1">
        <w:rPr>
          <w:sz w:val="20"/>
          <w:szCs w:val="20"/>
        </w:rPr>
        <w:t>.</w:t>
      </w:r>
      <w:r w:rsidR="004D0CC9" w:rsidRPr="00161EA1">
        <w:rPr>
          <w:sz w:val="20"/>
          <w:szCs w:val="20"/>
        </w:rPr>
        <w:t xml:space="preserve"> 21)</w:t>
      </w:r>
      <w:r w:rsidR="006524F0" w:rsidRPr="00161EA1">
        <w:rPr>
          <w:sz w:val="20"/>
          <w:szCs w:val="20"/>
        </w:rPr>
        <w:t>,</w:t>
      </w:r>
      <w:r w:rsidR="004D0CC9" w:rsidRPr="00161EA1">
        <w:rPr>
          <w:sz w:val="20"/>
          <w:szCs w:val="20"/>
        </w:rPr>
        <w:t xml:space="preserve"> SO</w:t>
      </w:r>
      <w:r w:rsidR="00487D14" w:rsidRPr="00161EA1">
        <w:rPr>
          <w:sz w:val="20"/>
          <w:szCs w:val="20"/>
          <w:vertAlign w:val="subscript"/>
        </w:rPr>
        <w:t>4</w:t>
      </w:r>
      <w:r w:rsidR="004D0CC9" w:rsidRPr="00161EA1">
        <w:rPr>
          <w:sz w:val="20"/>
          <w:szCs w:val="20"/>
          <w:vertAlign w:val="superscript"/>
        </w:rPr>
        <w:t>2-</w:t>
      </w:r>
      <w:r w:rsidR="004D0CC9" w:rsidRPr="00161EA1">
        <w:rPr>
          <w:sz w:val="20"/>
          <w:szCs w:val="20"/>
        </w:rPr>
        <w:t xml:space="preserve"> and PO</w:t>
      </w:r>
      <w:r w:rsidR="00487D14" w:rsidRPr="00161EA1">
        <w:rPr>
          <w:sz w:val="20"/>
          <w:szCs w:val="20"/>
          <w:vertAlign w:val="subscript"/>
        </w:rPr>
        <w:t>4</w:t>
      </w:r>
      <w:r w:rsidR="004D0CC9" w:rsidRPr="00161EA1">
        <w:rPr>
          <w:sz w:val="20"/>
          <w:szCs w:val="20"/>
          <w:vertAlign w:val="superscript"/>
        </w:rPr>
        <w:t>3-</w:t>
      </w:r>
      <w:r w:rsidR="004D0CC9" w:rsidRPr="00161EA1">
        <w:rPr>
          <w:sz w:val="20"/>
          <w:szCs w:val="20"/>
        </w:rPr>
        <w:t xml:space="preserve"> (</w:t>
      </w:r>
      <w:r w:rsidRPr="00161EA1">
        <w:rPr>
          <w:sz w:val="20"/>
          <w:szCs w:val="20"/>
        </w:rPr>
        <w:t>Figs.</w:t>
      </w:r>
      <w:r w:rsidR="004D0CC9" w:rsidRPr="00161EA1">
        <w:rPr>
          <w:sz w:val="20"/>
          <w:szCs w:val="20"/>
        </w:rPr>
        <w:t xml:space="preserve"> 25 – 26).</w:t>
      </w:r>
      <w:proofErr w:type="gramEnd"/>
      <w:r w:rsidR="004D0CC9" w:rsidRPr="00161EA1">
        <w:rPr>
          <w:sz w:val="20"/>
          <w:szCs w:val="20"/>
        </w:rPr>
        <w:t xml:space="preserve"> Generally, these reductions indicated that the degraders were utilizing so</w:t>
      </w:r>
      <w:r w:rsidR="00487D14" w:rsidRPr="00161EA1">
        <w:rPr>
          <w:sz w:val="20"/>
          <w:szCs w:val="20"/>
        </w:rPr>
        <w:t>me of the metallic salts of thes</w:t>
      </w:r>
      <w:r w:rsidR="004D0CC9" w:rsidRPr="00161EA1">
        <w:rPr>
          <w:sz w:val="20"/>
          <w:szCs w:val="20"/>
        </w:rPr>
        <w:t xml:space="preserve">e anions as sources of nitrogen, </w:t>
      </w:r>
      <w:proofErr w:type="spellStart"/>
      <w:r w:rsidR="004D0CC9" w:rsidRPr="00161EA1">
        <w:rPr>
          <w:sz w:val="20"/>
          <w:szCs w:val="20"/>
        </w:rPr>
        <w:t>sulphur</w:t>
      </w:r>
      <w:proofErr w:type="spellEnd"/>
      <w:r w:rsidR="004D0CC9" w:rsidRPr="00161EA1">
        <w:rPr>
          <w:sz w:val="20"/>
          <w:szCs w:val="20"/>
        </w:rPr>
        <w:t xml:space="preserve"> and phosphorus respectively</w:t>
      </w:r>
      <w:r w:rsidR="00487D14" w:rsidRPr="00161EA1">
        <w:rPr>
          <w:sz w:val="20"/>
          <w:szCs w:val="20"/>
        </w:rPr>
        <w:t>.</w:t>
      </w:r>
      <w:r w:rsidR="004D0CC9" w:rsidRPr="00161EA1">
        <w:rPr>
          <w:sz w:val="20"/>
          <w:szCs w:val="20"/>
        </w:rPr>
        <w:t xml:space="preserve"> </w:t>
      </w:r>
      <w:r w:rsidR="00487D14" w:rsidRPr="00161EA1">
        <w:rPr>
          <w:sz w:val="20"/>
          <w:szCs w:val="20"/>
        </w:rPr>
        <w:t xml:space="preserve">Similar </w:t>
      </w:r>
      <w:r w:rsidR="004D0CC9" w:rsidRPr="00161EA1">
        <w:rPr>
          <w:sz w:val="20"/>
          <w:szCs w:val="20"/>
        </w:rPr>
        <w:t xml:space="preserve">observations </w:t>
      </w:r>
      <w:r w:rsidRPr="00161EA1">
        <w:rPr>
          <w:sz w:val="20"/>
          <w:szCs w:val="20"/>
        </w:rPr>
        <w:t xml:space="preserve">have been reported by </w:t>
      </w:r>
      <w:proofErr w:type="spellStart"/>
      <w:r w:rsidRPr="00161EA1">
        <w:rPr>
          <w:sz w:val="20"/>
          <w:szCs w:val="20"/>
        </w:rPr>
        <w:t>Odokuma</w:t>
      </w:r>
      <w:proofErr w:type="spellEnd"/>
      <w:r w:rsidRPr="00161EA1">
        <w:rPr>
          <w:sz w:val="20"/>
          <w:szCs w:val="20"/>
        </w:rPr>
        <w:t xml:space="preserve"> an</w:t>
      </w:r>
      <w:r w:rsidR="002679EE" w:rsidRPr="00161EA1">
        <w:rPr>
          <w:sz w:val="20"/>
          <w:szCs w:val="20"/>
        </w:rPr>
        <w:t xml:space="preserve">d </w:t>
      </w:r>
      <w:proofErr w:type="spellStart"/>
      <w:r w:rsidR="002679EE" w:rsidRPr="00161EA1">
        <w:rPr>
          <w:sz w:val="20"/>
          <w:szCs w:val="20"/>
        </w:rPr>
        <w:t>Akpokodje</w:t>
      </w:r>
      <w:proofErr w:type="spellEnd"/>
      <w:r w:rsidR="002679EE" w:rsidRPr="00161EA1">
        <w:rPr>
          <w:sz w:val="20"/>
          <w:szCs w:val="20"/>
        </w:rPr>
        <w:t xml:space="preserve"> (2004) and</w:t>
      </w:r>
      <w:r w:rsidR="004D0CC9" w:rsidRPr="00161EA1">
        <w:rPr>
          <w:sz w:val="20"/>
          <w:szCs w:val="20"/>
        </w:rPr>
        <w:t xml:space="preserve"> </w:t>
      </w:r>
      <w:proofErr w:type="spellStart"/>
      <w:r w:rsidR="004D0CC9" w:rsidRPr="00161EA1">
        <w:rPr>
          <w:sz w:val="20"/>
          <w:szCs w:val="20"/>
        </w:rPr>
        <w:t>Odokuma</w:t>
      </w:r>
      <w:proofErr w:type="spellEnd"/>
      <w:r w:rsidR="004D0CC9" w:rsidRPr="00161EA1">
        <w:rPr>
          <w:sz w:val="20"/>
          <w:szCs w:val="20"/>
        </w:rPr>
        <w:t xml:space="preserve"> and </w:t>
      </w:r>
      <w:proofErr w:type="spellStart"/>
      <w:r w:rsidR="004D0CC9" w:rsidRPr="00161EA1">
        <w:rPr>
          <w:sz w:val="20"/>
          <w:szCs w:val="20"/>
        </w:rPr>
        <w:t>Okara</w:t>
      </w:r>
      <w:proofErr w:type="spellEnd"/>
      <w:r w:rsidR="004D0CC9" w:rsidRPr="00161EA1">
        <w:rPr>
          <w:sz w:val="20"/>
          <w:szCs w:val="20"/>
        </w:rPr>
        <w:t xml:space="preserve"> (2005).</w:t>
      </w:r>
    </w:p>
    <w:p w:rsidR="002679EE" w:rsidRPr="00161EA1" w:rsidRDefault="003C6349" w:rsidP="00F00BC7">
      <w:pPr>
        <w:snapToGrid w:val="0"/>
        <w:ind w:firstLine="425"/>
        <w:jc w:val="both"/>
        <w:rPr>
          <w:sz w:val="20"/>
          <w:szCs w:val="20"/>
        </w:rPr>
      </w:pPr>
      <w:r w:rsidRPr="00161EA1">
        <w:rPr>
          <w:sz w:val="20"/>
          <w:szCs w:val="20"/>
        </w:rPr>
        <w:t xml:space="preserve">The </w:t>
      </w:r>
      <w:r w:rsidR="004D0CC9" w:rsidRPr="00161EA1">
        <w:rPr>
          <w:sz w:val="20"/>
          <w:szCs w:val="20"/>
        </w:rPr>
        <w:t>results of percentage mineralization (</w:t>
      </w:r>
      <w:r w:rsidR="004B6ACA" w:rsidRPr="00161EA1">
        <w:rPr>
          <w:sz w:val="20"/>
          <w:szCs w:val="20"/>
        </w:rPr>
        <w:t>biodegradability</w:t>
      </w:r>
      <w:r w:rsidR="004D0CC9" w:rsidRPr="00161EA1">
        <w:rPr>
          <w:sz w:val="20"/>
          <w:szCs w:val="20"/>
        </w:rPr>
        <w:t>)</w:t>
      </w:r>
      <w:r w:rsidR="004B6ACA" w:rsidRPr="00161EA1">
        <w:rPr>
          <w:sz w:val="20"/>
          <w:szCs w:val="20"/>
        </w:rPr>
        <w:t xml:space="preserve"> </w:t>
      </w:r>
      <w:r w:rsidR="00487D14" w:rsidRPr="00161EA1">
        <w:rPr>
          <w:sz w:val="20"/>
          <w:szCs w:val="20"/>
        </w:rPr>
        <w:t xml:space="preserve">Table </w:t>
      </w:r>
      <w:r w:rsidR="004B6ACA" w:rsidRPr="00161EA1">
        <w:rPr>
          <w:sz w:val="20"/>
          <w:szCs w:val="20"/>
        </w:rPr>
        <w:t xml:space="preserve">5, showed that biodegradability of the hydraulic brake fluids were higher in fresh water than in marine water sample. The high salinity of the marine water source may have affected degradation of the brake fluids by microorganism in the marine water sample. Similar observations had been made by </w:t>
      </w:r>
      <w:proofErr w:type="spellStart"/>
      <w:r w:rsidR="004B6ACA" w:rsidRPr="00161EA1">
        <w:rPr>
          <w:sz w:val="20"/>
          <w:szCs w:val="20"/>
        </w:rPr>
        <w:t>Okpokwasili</w:t>
      </w:r>
      <w:proofErr w:type="spellEnd"/>
      <w:r w:rsidR="004B6ACA" w:rsidRPr="00161EA1">
        <w:rPr>
          <w:sz w:val="20"/>
          <w:szCs w:val="20"/>
        </w:rPr>
        <w:t xml:space="preserve"> and </w:t>
      </w:r>
      <w:proofErr w:type="spellStart"/>
      <w:r w:rsidR="004B6ACA" w:rsidRPr="00161EA1">
        <w:rPr>
          <w:sz w:val="20"/>
          <w:szCs w:val="20"/>
        </w:rPr>
        <w:t>Odokuma</w:t>
      </w:r>
      <w:proofErr w:type="spellEnd"/>
      <w:r w:rsidR="004B6ACA" w:rsidRPr="00161EA1">
        <w:rPr>
          <w:sz w:val="20"/>
          <w:szCs w:val="20"/>
        </w:rPr>
        <w:t xml:space="preserve"> (1990). It </w:t>
      </w:r>
      <w:r w:rsidR="00487D14" w:rsidRPr="00161EA1">
        <w:rPr>
          <w:sz w:val="20"/>
          <w:szCs w:val="20"/>
        </w:rPr>
        <w:t>was</w:t>
      </w:r>
      <w:r w:rsidR="004B6ACA" w:rsidRPr="00161EA1">
        <w:rPr>
          <w:sz w:val="20"/>
          <w:szCs w:val="20"/>
        </w:rPr>
        <w:t xml:space="preserve"> observed that </w:t>
      </w:r>
      <w:proofErr w:type="spellStart"/>
      <w:r w:rsidR="00487D14" w:rsidRPr="00161EA1">
        <w:rPr>
          <w:sz w:val="20"/>
          <w:szCs w:val="20"/>
        </w:rPr>
        <w:t>Oando</w:t>
      </w:r>
      <w:proofErr w:type="spellEnd"/>
      <w:r w:rsidR="00487D14" w:rsidRPr="00161EA1">
        <w:rPr>
          <w:sz w:val="20"/>
          <w:szCs w:val="20"/>
        </w:rPr>
        <w:t xml:space="preserve"> brake fluid had the highest degradability</w:t>
      </w:r>
      <w:r w:rsidR="004B6ACA" w:rsidRPr="00161EA1">
        <w:rPr>
          <w:sz w:val="20"/>
          <w:szCs w:val="20"/>
        </w:rPr>
        <w:t xml:space="preserve"> with 44% followed by Allied brake fluid (40%), Total brak</w:t>
      </w:r>
      <w:r w:rsidR="00D1301A" w:rsidRPr="00161EA1">
        <w:rPr>
          <w:sz w:val="20"/>
          <w:szCs w:val="20"/>
        </w:rPr>
        <w:t>e</w:t>
      </w:r>
      <w:r w:rsidR="004B6ACA" w:rsidRPr="00161EA1">
        <w:rPr>
          <w:sz w:val="20"/>
          <w:szCs w:val="20"/>
        </w:rPr>
        <w:t xml:space="preserve"> fluid (20%) and least Ate brake fluid (13.3%) in the fresh water sample while in the marine water sample</w:t>
      </w:r>
      <w:r w:rsidR="00487D14" w:rsidRPr="00161EA1">
        <w:rPr>
          <w:sz w:val="20"/>
          <w:szCs w:val="20"/>
        </w:rPr>
        <w:t>,</w:t>
      </w:r>
      <w:r w:rsidR="004B6ACA" w:rsidRPr="00161EA1">
        <w:rPr>
          <w:sz w:val="20"/>
          <w:szCs w:val="20"/>
        </w:rPr>
        <w:t xml:space="preserve"> degradability was very low with 2.5% for </w:t>
      </w:r>
      <w:proofErr w:type="spellStart"/>
      <w:r w:rsidR="004B6ACA" w:rsidRPr="00161EA1">
        <w:rPr>
          <w:sz w:val="20"/>
          <w:szCs w:val="20"/>
        </w:rPr>
        <w:t>Oando</w:t>
      </w:r>
      <w:proofErr w:type="spellEnd"/>
      <w:r w:rsidR="004B6ACA" w:rsidRPr="00161EA1">
        <w:rPr>
          <w:sz w:val="20"/>
          <w:szCs w:val="20"/>
        </w:rPr>
        <w:t xml:space="preserve"> </w:t>
      </w:r>
      <w:r w:rsidR="004B6ACA" w:rsidRPr="00161EA1">
        <w:rPr>
          <w:sz w:val="20"/>
          <w:szCs w:val="20"/>
        </w:rPr>
        <w:lastRenderedPageBreak/>
        <w:t xml:space="preserve">brake fluid being the highest while Allied brake fluid with 1.6% </w:t>
      </w:r>
      <w:r w:rsidR="00487D14" w:rsidRPr="00161EA1">
        <w:rPr>
          <w:sz w:val="20"/>
          <w:szCs w:val="20"/>
        </w:rPr>
        <w:t>was</w:t>
      </w:r>
      <w:r w:rsidR="004B6ACA" w:rsidRPr="00161EA1">
        <w:rPr>
          <w:sz w:val="20"/>
          <w:szCs w:val="20"/>
        </w:rPr>
        <w:t xml:space="preserve"> the least.</w:t>
      </w:r>
    </w:p>
    <w:p w:rsidR="00FD6FE9" w:rsidRPr="00161EA1" w:rsidRDefault="004B6ACA" w:rsidP="00F00BC7">
      <w:pPr>
        <w:snapToGrid w:val="0"/>
        <w:ind w:firstLine="425"/>
        <w:jc w:val="both"/>
        <w:rPr>
          <w:sz w:val="20"/>
          <w:szCs w:val="20"/>
        </w:rPr>
      </w:pPr>
      <w:r w:rsidRPr="00161EA1">
        <w:rPr>
          <w:sz w:val="20"/>
          <w:szCs w:val="20"/>
        </w:rPr>
        <w:t xml:space="preserve">The olive Oil (positive control) had 80% degradability in fresh water sample. The Olive Oil being a vegetable Oil was more degradable than </w:t>
      </w:r>
      <w:r w:rsidR="00C931DF" w:rsidRPr="00161EA1">
        <w:rPr>
          <w:sz w:val="20"/>
          <w:szCs w:val="20"/>
        </w:rPr>
        <w:t>the petroleum based hydraulic fluids used in this study.</w:t>
      </w:r>
      <w:r w:rsidR="007F05D6" w:rsidRPr="00161EA1">
        <w:rPr>
          <w:sz w:val="20"/>
          <w:szCs w:val="20"/>
        </w:rPr>
        <w:t xml:space="preserve"> Lubricants and hydraulic fluids based on plant oils are rapidly and completely biodegradable, and are of low </w:t>
      </w:r>
      <w:proofErr w:type="spellStart"/>
      <w:r w:rsidR="007F05D6" w:rsidRPr="00161EA1">
        <w:rPr>
          <w:sz w:val="20"/>
          <w:szCs w:val="20"/>
        </w:rPr>
        <w:t>ecotoxicity</w:t>
      </w:r>
      <w:proofErr w:type="spellEnd"/>
      <w:r w:rsidR="007F05D6" w:rsidRPr="00161EA1">
        <w:rPr>
          <w:sz w:val="20"/>
          <w:szCs w:val="20"/>
        </w:rPr>
        <w:t xml:space="preserve">, display excellent </w:t>
      </w:r>
      <w:proofErr w:type="spellStart"/>
      <w:r w:rsidR="007F05D6" w:rsidRPr="00161EA1">
        <w:rPr>
          <w:sz w:val="20"/>
          <w:szCs w:val="20"/>
        </w:rPr>
        <w:t>tribiological</w:t>
      </w:r>
      <w:proofErr w:type="spellEnd"/>
      <w:r w:rsidR="007F05D6" w:rsidRPr="00161EA1">
        <w:rPr>
          <w:sz w:val="20"/>
          <w:szCs w:val="20"/>
        </w:rPr>
        <w:t xml:space="preserve"> properties and generally have very high viscosity indices and flashpoints (Manfred, 2006)</w:t>
      </w:r>
      <w:r w:rsidR="002B238B" w:rsidRPr="00161EA1">
        <w:rPr>
          <w:sz w:val="20"/>
          <w:szCs w:val="20"/>
        </w:rPr>
        <w:t>.</w:t>
      </w:r>
      <w:r w:rsidR="007F05D6" w:rsidRPr="00161EA1">
        <w:rPr>
          <w:sz w:val="20"/>
          <w:szCs w:val="20"/>
        </w:rPr>
        <w:t xml:space="preserve"> </w:t>
      </w:r>
      <w:r w:rsidR="00C931DF" w:rsidRPr="00161EA1">
        <w:rPr>
          <w:sz w:val="20"/>
          <w:szCs w:val="20"/>
        </w:rPr>
        <w:t xml:space="preserve">The percentage </w:t>
      </w:r>
      <w:r w:rsidR="004C2A2B" w:rsidRPr="00161EA1">
        <w:rPr>
          <w:sz w:val="20"/>
          <w:szCs w:val="20"/>
        </w:rPr>
        <w:t>mineralization values observed in negative controls of 5.3% in fresh water sample and 1.2% in marine water sample could be attributed to natural attenuation processes other than biodegradation since microorganisms were eliminated by application of biocide. The minor decreases observed in some of the physicochemical parameters in the negative controls (TOC, SO</w:t>
      </w:r>
      <w:r w:rsidR="005B382D" w:rsidRPr="00161EA1">
        <w:rPr>
          <w:sz w:val="20"/>
          <w:szCs w:val="20"/>
          <w:vertAlign w:val="subscript"/>
        </w:rPr>
        <w:t>4</w:t>
      </w:r>
      <w:r w:rsidR="004C2A2B" w:rsidRPr="00161EA1">
        <w:rPr>
          <w:sz w:val="20"/>
          <w:szCs w:val="20"/>
          <w:vertAlign w:val="superscript"/>
        </w:rPr>
        <w:t>2-</w:t>
      </w:r>
      <w:r w:rsidR="004C2A2B" w:rsidRPr="00161EA1">
        <w:rPr>
          <w:sz w:val="20"/>
          <w:szCs w:val="20"/>
        </w:rPr>
        <w:t>, NO</w:t>
      </w:r>
      <w:r w:rsidR="004C2A2B" w:rsidRPr="00161EA1">
        <w:rPr>
          <w:sz w:val="20"/>
          <w:szCs w:val="20"/>
          <w:vertAlign w:val="subscript"/>
        </w:rPr>
        <w:t>3</w:t>
      </w:r>
      <w:r w:rsidR="005B382D" w:rsidRPr="00161EA1">
        <w:rPr>
          <w:sz w:val="20"/>
          <w:szCs w:val="20"/>
          <w:vertAlign w:val="superscript"/>
        </w:rPr>
        <w:t>-</w:t>
      </w:r>
      <w:r w:rsidR="004C2A2B" w:rsidRPr="00161EA1">
        <w:rPr>
          <w:sz w:val="20"/>
          <w:szCs w:val="20"/>
        </w:rPr>
        <w:t xml:space="preserve"> </w:t>
      </w:r>
      <w:r w:rsidR="00C45A31" w:rsidRPr="00161EA1">
        <w:rPr>
          <w:sz w:val="20"/>
          <w:szCs w:val="20"/>
        </w:rPr>
        <w:t xml:space="preserve">and </w:t>
      </w:r>
      <w:r w:rsidR="004C2A2B" w:rsidRPr="00161EA1">
        <w:rPr>
          <w:sz w:val="20"/>
          <w:szCs w:val="20"/>
        </w:rPr>
        <w:t>PO</w:t>
      </w:r>
      <w:r w:rsidR="005B382D" w:rsidRPr="00161EA1">
        <w:rPr>
          <w:sz w:val="20"/>
          <w:szCs w:val="20"/>
          <w:vertAlign w:val="superscript"/>
        </w:rPr>
        <w:t>3-</w:t>
      </w:r>
      <w:r w:rsidR="00C45A31" w:rsidRPr="00161EA1">
        <w:rPr>
          <w:sz w:val="20"/>
          <w:szCs w:val="20"/>
          <w:vertAlign w:val="subscript"/>
        </w:rPr>
        <w:t>4</w:t>
      </w:r>
      <w:r w:rsidR="004C2A2B" w:rsidRPr="00161EA1">
        <w:rPr>
          <w:sz w:val="20"/>
          <w:szCs w:val="20"/>
        </w:rPr>
        <w:t>)</w:t>
      </w:r>
      <w:r w:rsidR="00C45A31" w:rsidRPr="00161EA1">
        <w:rPr>
          <w:sz w:val="20"/>
          <w:szCs w:val="20"/>
        </w:rPr>
        <w:t xml:space="preserve"> suggested the involvement of non-biological factors, possibly photo-oxidation. The differences in the rate of biodegradability of the hydraulic brake fluids used in this study, can be attr</w:t>
      </w:r>
      <w:r w:rsidR="00FD6FE9" w:rsidRPr="00161EA1">
        <w:rPr>
          <w:sz w:val="20"/>
          <w:szCs w:val="20"/>
        </w:rPr>
        <w:t>ibuted to the following factors;</w:t>
      </w:r>
      <w:r w:rsidR="00C45A31" w:rsidRPr="00161EA1">
        <w:rPr>
          <w:sz w:val="20"/>
          <w:szCs w:val="20"/>
        </w:rPr>
        <w:t xml:space="preserve"> </w:t>
      </w:r>
      <w:r w:rsidR="00FD6FE9" w:rsidRPr="00161EA1">
        <w:rPr>
          <w:sz w:val="20"/>
          <w:szCs w:val="20"/>
        </w:rPr>
        <w:t xml:space="preserve">the </w:t>
      </w:r>
      <w:r w:rsidR="00C45A31" w:rsidRPr="00161EA1">
        <w:rPr>
          <w:sz w:val="20"/>
          <w:szCs w:val="20"/>
        </w:rPr>
        <w:t>total</w:t>
      </w:r>
      <w:r w:rsidR="00FD6FE9" w:rsidRPr="00161EA1">
        <w:rPr>
          <w:sz w:val="20"/>
          <w:szCs w:val="20"/>
        </w:rPr>
        <w:t xml:space="preserve"> viable counts of microbial populations of the two aquatic systems, the physicochemical parameters of the aquatic habitat</w:t>
      </w:r>
      <w:r w:rsidR="002B238B" w:rsidRPr="00161EA1">
        <w:rPr>
          <w:sz w:val="20"/>
          <w:szCs w:val="20"/>
        </w:rPr>
        <w:t>s</w:t>
      </w:r>
      <w:r w:rsidR="00FD6FE9" w:rsidRPr="00161EA1">
        <w:rPr>
          <w:sz w:val="20"/>
          <w:szCs w:val="20"/>
        </w:rPr>
        <w:t>, available nutrients and chemical composition of the different hydraulic brake fluids.</w:t>
      </w:r>
    </w:p>
    <w:p w:rsidR="00A0193E" w:rsidRPr="00161EA1" w:rsidRDefault="005E2AD9" w:rsidP="00F00BC7">
      <w:pPr>
        <w:snapToGrid w:val="0"/>
        <w:ind w:firstLine="425"/>
        <w:jc w:val="both"/>
        <w:rPr>
          <w:sz w:val="20"/>
          <w:szCs w:val="20"/>
        </w:rPr>
      </w:pPr>
      <w:r w:rsidRPr="00161EA1">
        <w:rPr>
          <w:sz w:val="20"/>
          <w:szCs w:val="20"/>
        </w:rPr>
        <w:t xml:space="preserve">The findings of this study strongly suggest that the hydraulic brake fluids samples used in this study were not readily biodegradable having </w:t>
      </w:r>
      <w:r w:rsidR="002B238B" w:rsidRPr="00161EA1">
        <w:rPr>
          <w:sz w:val="20"/>
          <w:szCs w:val="20"/>
        </w:rPr>
        <w:t>biodegradability less than 50 %</w:t>
      </w:r>
      <w:r w:rsidR="00161EA1">
        <w:rPr>
          <w:rFonts w:hint="eastAsia"/>
          <w:sz w:val="20"/>
          <w:szCs w:val="20"/>
          <w:lang w:eastAsia="zh-CN"/>
        </w:rPr>
        <w:t xml:space="preserve"> </w:t>
      </w:r>
      <w:r w:rsidR="002B238B" w:rsidRPr="00161EA1">
        <w:rPr>
          <w:sz w:val="20"/>
          <w:szCs w:val="20"/>
        </w:rPr>
        <w:t>(ASTM, 2003).</w:t>
      </w:r>
      <w:r w:rsidRPr="00161EA1">
        <w:rPr>
          <w:sz w:val="20"/>
          <w:szCs w:val="20"/>
        </w:rPr>
        <w:t xml:space="preserve"> More importantly, this study indicated that different factors come into play to determine</w:t>
      </w:r>
      <w:r w:rsidR="00802F0A" w:rsidRPr="00161EA1">
        <w:rPr>
          <w:sz w:val="20"/>
          <w:szCs w:val="20"/>
        </w:rPr>
        <w:t xml:space="preserve"> the </w:t>
      </w:r>
      <w:r w:rsidR="002B238B" w:rsidRPr="00161EA1">
        <w:rPr>
          <w:sz w:val="20"/>
          <w:szCs w:val="20"/>
        </w:rPr>
        <w:t>biodegradability or recalcitrance</w:t>
      </w:r>
      <w:r w:rsidR="00802F0A" w:rsidRPr="00161EA1">
        <w:rPr>
          <w:sz w:val="20"/>
          <w:szCs w:val="20"/>
        </w:rPr>
        <w:t xml:space="preserve"> of a hydraulic brake fluid.</w:t>
      </w:r>
      <w:r w:rsidR="00A0193E" w:rsidRPr="00161EA1">
        <w:rPr>
          <w:sz w:val="20"/>
          <w:szCs w:val="20"/>
        </w:rPr>
        <w:t xml:space="preserve"> The </w:t>
      </w:r>
      <w:r w:rsidR="005B382D" w:rsidRPr="00161EA1">
        <w:rPr>
          <w:sz w:val="20"/>
          <w:szCs w:val="20"/>
        </w:rPr>
        <w:t>results of controlled experiments with environmental samples closely resemble</w:t>
      </w:r>
      <w:r w:rsidR="00A0193E" w:rsidRPr="00161EA1">
        <w:rPr>
          <w:sz w:val="20"/>
          <w:szCs w:val="20"/>
        </w:rPr>
        <w:t xml:space="preserve"> what is obtainable </w:t>
      </w:r>
      <w:r w:rsidR="00A0193E" w:rsidRPr="00161EA1">
        <w:rPr>
          <w:i/>
          <w:sz w:val="20"/>
          <w:szCs w:val="20"/>
        </w:rPr>
        <w:t>in situ</w:t>
      </w:r>
      <w:r w:rsidR="00A0193E" w:rsidRPr="00161EA1">
        <w:rPr>
          <w:sz w:val="20"/>
          <w:szCs w:val="20"/>
        </w:rPr>
        <w:t>.</w:t>
      </w:r>
      <w:r w:rsidR="005B382D" w:rsidRPr="00161EA1">
        <w:rPr>
          <w:sz w:val="20"/>
          <w:szCs w:val="20"/>
        </w:rPr>
        <w:t xml:space="preserve"> </w:t>
      </w:r>
      <w:r w:rsidR="00A0193E" w:rsidRPr="00161EA1">
        <w:rPr>
          <w:sz w:val="20"/>
          <w:szCs w:val="20"/>
        </w:rPr>
        <w:t>However, it might be erroneous to extrapolate the rate of biodegradability observed in this study to what can be obtained in field situation.</w:t>
      </w:r>
    </w:p>
    <w:p w:rsidR="00A0193E" w:rsidRPr="00161EA1" w:rsidRDefault="00A0193E" w:rsidP="00F00BC7">
      <w:pPr>
        <w:snapToGrid w:val="0"/>
        <w:ind w:firstLine="425"/>
        <w:jc w:val="both"/>
        <w:rPr>
          <w:sz w:val="20"/>
          <w:szCs w:val="20"/>
        </w:rPr>
      </w:pPr>
      <w:r w:rsidRPr="00161EA1">
        <w:rPr>
          <w:sz w:val="20"/>
          <w:szCs w:val="20"/>
        </w:rPr>
        <w:t>In the light of the findings of this study, it is recommended that appropriate government agencies should regulate and monitor the type of additives used in formulating petroleum based hydraulic brake fluids, and</w:t>
      </w:r>
      <w:r w:rsidR="002B238B" w:rsidRPr="00161EA1">
        <w:rPr>
          <w:sz w:val="20"/>
          <w:szCs w:val="20"/>
        </w:rPr>
        <w:t xml:space="preserve"> encourage </w:t>
      </w:r>
      <w:r w:rsidRPr="00161EA1">
        <w:rPr>
          <w:sz w:val="20"/>
          <w:szCs w:val="20"/>
        </w:rPr>
        <w:t>more research into the formulation/</w:t>
      </w:r>
      <w:r w:rsidR="005B382D" w:rsidRPr="00161EA1">
        <w:rPr>
          <w:sz w:val="20"/>
          <w:szCs w:val="20"/>
        </w:rPr>
        <w:t>manufacture</w:t>
      </w:r>
      <w:r w:rsidRPr="00161EA1">
        <w:rPr>
          <w:sz w:val="20"/>
          <w:szCs w:val="20"/>
        </w:rPr>
        <w:t xml:space="preserve"> of bio-based lubricating hydraulic brake fluids/oils that are environmentally friendly</w:t>
      </w:r>
      <w:r w:rsidR="005B382D" w:rsidRPr="00161EA1">
        <w:rPr>
          <w:sz w:val="20"/>
          <w:szCs w:val="20"/>
        </w:rPr>
        <w:t>,</w:t>
      </w:r>
      <w:r w:rsidRPr="00161EA1">
        <w:rPr>
          <w:sz w:val="20"/>
          <w:szCs w:val="20"/>
        </w:rPr>
        <w:t xml:space="preserve"> cost effective and are efficient in performance like the petroleum – based brake fluid</w:t>
      </w:r>
      <w:r w:rsidR="002B238B" w:rsidRPr="00161EA1">
        <w:rPr>
          <w:sz w:val="20"/>
          <w:szCs w:val="20"/>
        </w:rPr>
        <w:t>s</w:t>
      </w:r>
      <w:r w:rsidRPr="00161EA1">
        <w:rPr>
          <w:sz w:val="20"/>
          <w:szCs w:val="20"/>
        </w:rPr>
        <w:t xml:space="preserve">. These bio-based products if spilled into the environment will readily degrade and disappear with little or no harm to the ecosystem. Petroleum </w:t>
      </w:r>
      <w:r w:rsidR="003E3EB2" w:rsidRPr="00161EA1">
        <w:rPr>
          <w:sz w:val="20"/>
          <w:szCs w:val="20"/>
        </w:rPr>
        <w:t>products, when spilled, remain for years and cause a lot of harm to the environment.</w:t>
      </w:r>
    </w:p>
    <w:p w:rsidR="002679EE" w:rsidRDefault="002679EE" w:rsidP="00F00BC7">
      <w:pPr>
        <w:snapToGrid w:val="0"/>
        <w:ind w:firstLine="425"/>
        <w:jc w:val="both"/>
        <w:rPr>
          <w:rFonts w:hint="eastAsia"/>
          <w:b/>
          <w:sz w:val="20"/>
          <w:szCs w:val="20"/>
          <w:lang w:eastAsia="zh-CN"/>
        </w:rPr>
      </w:pPr>
    </w:p>
    <w:p w:rsidR="00161EA1" w:rsidRPr="00161EA1" w:rsidRDefault="00161EA1" w:rsidP="00F00BC7">
      <w:pPr>
        <w:snapToGrid w:val="0"/>
        <w:ind w:firstLine="425"/>
        <w:jc w:val="both"/>
        <w:rPr>
          <w:rFonts w:hint="eastAsia"/>
          <w:b/>
          <w:sz w:val="20"/>
          <w:szCs w:val="20"/>
          <w:lang w:eastAsia="zh-CN"/>
        </w:rPr>
      </w:pPr>
    </w:p>
    <w:p w:rsidR="00DD2732" w:rsidRPr="00161EA1" w:rsidRDefault="00F00BC7" w:rsidP="00F00BC7">
      <w:pPr>
        <w:snapToGrid w:val="0"/>
        <w:jc w:val="both"/>
        <w:rPr>
          <w:b/>
          <w:sz w:val="20"/>
          <w:szCs w:val="20"/>
        </w:rPr>
      </w:pPr>
      <w:r w:rsidRPr="00161EA1">
        <w:rPr>
          <w:b/>
          <w:sz w:val="20"/>
          <w:szCs w:val="20"/>
        </w:rPr>
        <w:lastRenderedPageBreak/>
        <w:t>References</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Adekunle</w:t>
      </w:r>
      <w:proofErr w:type="spellEnd"/>
      <w:r w:rsidRPr="00161EA1">
        <w:rPr>
          <w:sz w:val="20"/>
          <w:szCs w:val="20"/>
        </w:rPr>
        <w:t xml:space="preserve">, A.A. and T.F. </w:t>
      </w:r>
      <w:proofErr w:type="spellStart"/>
      <w:r w:rsidRPr="00161EA1">
        <w:rPr>
          <w:sz w:val="20"/>
          <w:szCs w:val="20"/>
        </w:rPr>
        <w:t>Oluyode</w:t>
      </w:r>
      <w:proofErr w:type="spellEnd"/>
      <w:r w:rsidRPr="00161EA1">
        <w:rPr>
          <w:sz w:val="20"/>
          <w:szCs w:val="20"/>
        </w:rPr>
        <w:t xml:space="preserve"> (2005) Biodegradation of crude petroleum products by fungi </w:t>
      </w:r>
      <w:r w:rsidR="003C6349" w:rsidRPr="00161EA1">
        <w:rPr>
          <w:sz w:val="20"/>
          <w:szCs w:val="20"/>
        </w:rPr>
        <w:t>isolated from two oil seeds (mel</w:t>
      </w:r>
      <w:r w:rsidRPr="00161EA1">
        <w:rPr>
          <w:sz w:val="20"/>
          <w:szCs w:val="20"/>
        </w:rPr>
        <w:t xml:space="preserve">on and </w:t>
      </w:r>
      <w:proofErr w:type="spellStart"/>
      <w:r w:rsidRPr="00161EA1">
        <w:rPr>
          <w:sz w:val="20"/>
          <w:szCs w:val="20"/>
        </w:rPr>
        <w:t>soyabean</w:t>
      </w:r>
      <w:proofErr w:type="spellEnd"/>
      <w:r w:rsidRPr="00161EA1">
        <w:rPr>
          <w:sz w:val="20"/>
          <w:szCs w:val="20"/>
        </w:rPr>
        <w:t xml:space="preserve">). </w:t>
      </w:r>
      <w:r w:rsidRPr="00161EA1">
        <w:rPr>
          <w:i/>
          <w:sz w:val="20"/>
          <w:szCs w:val="20"/>
        </w:rPr>
        <w:t>J. Environ. Biology</w:t>
      </w:r>
      <w:r w:rsidR="00BA5969" w:rsidRPr="00161EA1">
        <w:rPr>
          <w:i/>
          <w:sz w:val="20"/>
          <w:szCs w:val="20"/>
        </w:rPr>
        <w:t>,</w:t>
      </w:r>
      <w:r w:rsidRPr="00161EA1">
        <w:rPr>
          <w:sz w:val="20"/>
          <w:szCs w:val="20"/>
        </w:rPr>
        <w:t xml:space="preserve"> 26 (1):37-42.</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Adesodun</w:t>
      </w:r>
      <w:proofErr w:type="spellEnd"/>
      <w:r w:rsidRPr="00161EA1">
        <w:rPr>
          <w:sz w:val="20"/>
          <w:szCs w:val="20"/>
        </w:rPr>
        <w:t xml:space="preserve">, J.K, and J.S.C </w:t>
      </w:r>
      <w:proofErr w:type="spellStart"/>
      <w:r w:rsidRPr="00161EA1">
        <w:rPr>
          <w:sz w:val="20"/>
          <w:szCs w:val="20"/>
        </w:rPr>
        <w:t>Mbagu</w:t>
      </w:r>
      <w:proofErr w:type="spellEnd"/>
      <w:r w:rsidRPr="00161EA1">
        <w:rPr>
          <w:sz w:val="20"/>
          <w:szCs w:val="20"/>
        </w:rPr>
        <w:t xml:space="preserve"> (2008) Biodegradation of waste lubricating petroleum oil in a tropical </w:t>
      </w:r>
      <w:proofErr w:type="spellStart"/>
      <w:r w:rsidRPr="00161EA1">
        <w:rPr>
          <w:sz w:val="20"/>
          <w:szCs w:val="20"/>
        </w:rPr>
        <w:t>alfisol</w:t>
      </w:r>
      <w:proofErr w:type="spellEnd"/>
      <w:r w:rsidRPr="00161EA1">
        <w:rPr>
          <w:sz w:val="20"/>
          <w:szCs w:val="20"/>
        </w:rPr>
        <w:t xml:space="preserve"> as mediated by animal droppings. </w:t>
      </w:r>
      <w:proofErr w:type="spellStart"/>
      <w:r w:rsidRPr="00161EA1">
        <w:rPr>
          <w:i/>
          <w:sz w:val="20"/>
          <w:szCs w:val="20"/>
        </w:rPr>
        <w:t>Bioresource</w:t>
      </w:r>
      <w:proofErr w:type="spellEnd"/>
      <w:r w:rsidRPr="00161EA1">
        <w:rPr>
          <w:i/>
          <w:sz w:val="20"/>
          <w:szCs w:val="20"/>
        </w:rPr>
        <w:t xml:space="preserve"> Technol.</w:t>
      </w:r>
      <w:r w:rsidRPr="00161EA1">
        <w:rPr>
          <w:sz w:val="20"/>
          <w:szCs w:val="20"/>
        </w:rPr>
        <w:t xml:space="preserve"> 99:5659 – 5665.</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Agarry</w:t>
      </w:r>
      <w:proofErr w:type="spellEnd"/>
      <w:r w:rsidRPr="00161EA1">
        <w:rPr>
          <w:sz w:val="20"/>
          <w:szCs w:val="20"/>
        </w:rPr>
        <w:t xml:space="preserve">, S.E., C.N. </w:t>
      </w:r>
      <w:proofErr w:type="spellStart"/>
      <w:r w:rsidRPr="00161EA1">
        <w:rPr>
          <w:sz w:val="20"/>
          <w:szCs w:val="20"/>
        </w:rPr>
        <w:t>Owabor</w:t>
      </w:r>
      <w:proofErr w:type="spellEnd"/>
      <w:r w:rsidRPr="00161EA1">
        <w:rPr>
          <w:sz w:val="20"/>
          <w:szCs w:val="20"/>
        </w:rPr>
        <w:t xml:space="preserve"> and P.O Yusuf. (2010), Studies on biodegradation of kerosene in soil under different bioremediation strategies </w:t>
      </w:r>
      <w:proofErr w:type="spellStart"/>
      <w:r w:rsidR="00BA5969" w:rsidRPr="00161EA1">
        <w:rPr>
          <w:i/>
          <w:sz w:val="20"/>
          <w:szCs w:val="20"/>
        </w:rPr>
        <w:t>Bioremed</w:t>
      </w:r>
      <w:proofErr w:type="spellEnd"/>
      <w:r w:rsidR="00BA5969" w:rsidRPr="00161EA1">
        <w:rPr>
          <w:i/>
          <w:sz w:val="20"/>
          <w:szCs w:val="20"/>
        </w:rPr>
        <w:t>.</w:t>
      </w:r>
      <w:r w:rsidRPr="00161EA1">
        <w:rPr>
          <w:i/>
          <w:sz w:val="20"/>
          <w:szCs w:val="20"/>
        </w:rPr>
        <w:t xml:space="preserve"> J.</w:t>
      </w:r>
      <w:r w:rsidRPr="00161EA1">
        <w:rPr>
          <w:sz w:val="20"/>
          <w:szCs w:val="20"/>
        </w:rPr>
        <w:t xml:space="preserve"> 14 (13): 135-141.</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Anka</w:t>
      </w:r>
      <w:proofErr w:type="spellEnd"/>
      <w:r w:rsidRPr="00161EA1">
        <w:rPr>
          <w:sz w:val="20"/>
          <w:szCs w:val="20"/>
        </w:rPr>
        <w:t xml:space="preserve"> R.M, A.U. </w:t>
      </w:r>
      <w:proofErr w:type="spellStart"/>
      <w:r w:rsidRPr="00161EA1">
        <w:rPr>
          <w:sz w:val="20"/>
          <w:szCs w:val="20"/>
        </w:rPr>
        <w:t>Birninyamri</w:t>
      </w:r>
      <w:proofErr w:type="spellEnd"/>
      <w:r w:rsidRPr="00161EA1">
        <w:rPr>
          <w:sz w:val="20"/>
          <w:szCs w:val="20"/>
        </w:rPr>
        <w:t xml:space="preserve">, and J.U </w:t>
      </w:r>
      <w:proofErr w:type="spellStart"/>
      <w:r w:rsidRPr="00161EA1">
        <w:rPr>
          <w:sz w:val="20"/>
          <w:szCs w:val="20"/>
        </w:rPr>
        <w:t>Chinoko</w:t>
      </w:r>
      <w:proofErr w:type="spellEnd"/>
      <w:r w:rsidRPr="00161EA1">
        <w:rPr>
          <w:sz w:val="20"/>
          <w:szCs w:val="20"/>
        </w:rPr>
        <w:t xml:space="preserve"> (1998) Analysis of some environmental pollutants within </w:t>
      </w:r>
      <w:proofErr w:type="spellStart"/>
      <w:r w:rsidRPr="00161EA1">
        <w:rPr>
          <w:sz w:val="20"/>
          <w:szCs w:val="20"/>
        </w:rPr>
        <w:t>Sokoto</w:t>
      </w:r>
      <w:proofErr w:type="spellEnd"/>
      <w:r w:rsidRPr="00161EA1">
        <w:rPr>
          <w:sz w:val="20"/>
          <w:szCs w:val="20"/>
        </w:rPr>
        <w:t xml:space="preserve"> metropolis. </w:t>
      </w:r>
      <w:r w:rsidRPr="00161EA1">
        <w:rPr>
          <w:i/>
          <w:sz w:val="20"/>
          <w:szCs w:val="20"/>
        </w:rPr>
        <w:t>Symposium on Chemistry and Biotechnology for National Development.</w:t>
      </w:r>
      <w:r w:rsidRPr="00161EA1">
        <w:rPr>
          <w:sz w:val="20"/>
          <w:szCs w:val="20"/>
        </w:rPr>
        <w:t xml:space="preserve"> </w:t>
      </w:r>
      <w:proofErr w:type="spellStart"/>
      <w:r w:rsidRPr="00161EA1">
        <w:rPr>
          <w:sz w:val="20"/>
          <w:szCs w:val="20"/>
        </w:rPr>
        <w:t>Shoda</w:t>
      </w:r>
      <w:proofErr w:type="spellEnd"/>
      <w:r w:rsidRPr="00161EA1">
        <w:rPr>
          <w:sz w:val="20"/>
          <w:szCs w:val="20"/>
        </w:rPr>
        <w:t xml:space="preserve"> Science and Technology complex. Abuja Nigeria. Pp. 153-155.</w:t>
      </w:r>
    </w:p>
    <w:p w:rsidR="00DD2732" w:rsidRPr="00161EA1" w:rsidRDefault="00DD2732" w:rsidP="00F00BC7">
      <w:pPr>
        <w:numPr>
          <w:ilvl w:val="0"/>
          <w:numId w:val="1"/>
        </w:numPr>
        <w:snapToGrid w:val="0"/>
        <w:ind w:left="425" w:hanging="425"/>
        <w:jc w:val="both"/>
        <w:rPr>
          <w:sz w:val="20"/>
          <w:szCs w:val="20"/>
        </w:rPr>
      </w:pPr>
      <w:r w:rsidRPr="00161EA1">
        <w:rPr>
          <w:sz w:val="20"/>
          <w:szCs w:val="20"/>
        </w:rPr>
        <w:t>APHA – America Public Health Association (1998) Standard methods for examination of water and waste water. 16</w:t>
      </w:r>
      <w:r w:rsidRPr="00161EA1">
        <w:rPr>
          <w:sz w:val="20"/>
          <w:szCs w:val="20"/>
          <w:vertAlign w:val="superscript"/>
        </w:rPr>
        <w:t>th</w:t>
      </w:r>
      <w:r w:rsidRPr="00161EA1">
        <w:rPr>
          <w:sz w:val="20"/>
          <w:szCs w:val="20"/>
        </w:rPr>
        <w:t xml:space="preserve"> ed. Washington DC.</w:t>
      </w:r>
    </w:p>
    <w:p w:rsidR="00B12713" w:rsidRPr="00161EA1" w:rsidRDefault="00B12713" w:rsidP="00F00BC7">
      <w:pPr>
        <w:numPr>
          <w:ilvl w:val="0"/>
          <w:numId w:val="1"/>
        </w:numPr>
        <w:snapToGrid w:val="0"/>
        <w:ind w:left="425" w:hanging="425"/>
        <w:jc w:val="both"/>
        <w:rPr>
          <w:sz w:val="20"/>
          <w:szCs w:val="20"/>
        </w:rPr>
      </w:pPr>
      <w:r w:rsidRPr="00161EA1">
        <w:rPr>
          <w:sz w:val="20"/>
          <w:szCs w:val="20"/>
        </w:rPr>
        <w:t xml:space="preserve">APHA – American Public Health Association (2012) APHA Policy Statement 20125. The Environmental and Occupational Health </w:t>
      </w:r>
      <w:r w:rsidR="003C6349" w:rsidRPr="00161EA1">
        <w:rPr>
          <w:sz w:val="20"/>
          <w:szCs w:val="20"/>
        </w:rPr>
        <w:t xml:space="preserve">Impacts </w:t>
      </w:r>
      <w:r w:rsidRPr="00161EA1">
        <w:rPr>
          <w:sz w:val="20"/>
          <w:szCs w:val="20"/>
        </w:rPr>
        <w:t>of high-volume Hydraulic fracturing of unconventional Gas Reserves.</w:t>
      </w:r>
    </w:p>
    <w:p w:rsidR="00DD2732" w:rsidRPr="00161EA1" w:rsidRDefault="00DD2732" w:rsidP="00F00BC7">
      <w:pPr>
        <w:numPr>
          <w:ilvl w:val="0"/>
          <w:numId w:val="1"/>
        </w:numPr>
        <w:snapToGrid w:val="0"/>
        <w:ind w:left="425" w:hanging="425"/>
        <w:jc w:val="both"/>
        <w:rPr>
          <w:sz w:val="20"/>
          <w:szCs w:val="20"/>
        </w:rPr>
      </w:pPr>
      <w:r w:rsidRPr="00161EA1">
        <w:rPr>
          <w:sz w:val="20"/>
          <w:szCs w:val="20"/>
        </w:rPr>
        <w:t xml:space="preserve">ASTM – American Society for Testing Materials. D6006 – 97a (2003). Standard Guide for Assessing Biodegradability of hydraulic fluids </w:t>
      </w:r>
      <w:r w:rsidRPr="00161EA1">
        <w:rPr>
          <w:i/>
          <w:sz w:val="20"/>
          <w:szCs w:val="20"/>
        </w:rPr>
        <w:t>Book of Standards.</w:t>
      </w:r>
      <w:r w:rsidRPr="00161EA1">
        <w:rPr>
          <w:sz w:val="20"/>
          <w:szCs w:val="20"/>
        </w:rPr>
        <w:t xml:space="preserve"> 5:3.</w:t>
      </w:r>
    </w:p>
    <w:p w:rsidR="00DD2732" w:rsidRPr="00161EA1" w:rsidRDefault="00DD2732" w:rsidP="00F00BC7">
      <w:pPr>
        <w:numPr>
          <w:ilvl w:val="0"/>
          <w:numId w:val="1"/>
        </w:numPr>
        <w:snapToGrid w:val="0"/>
        <w:ind w:left="425" w:hanging="425"/>
        <w:jc w:val="both"/>
        <w:rPr>
          <w:sz w:val="20"/>
          <w:szCs w:val="20"/>
        </w:rPr>
      </w:pPr>
      <w:r w:rsidRPr="00161EA1">
        <w:rPr>
          <w:sz w:val="20"/>
          <w:szCs w:val="20"/>
        </w:rPr>
        <w:t>Barron, M.G., M.G. C</w:t>
      </w:r>
      <w:r w:rsidR="001562EE" w:rsidRPr="00161EA1">
        <w:rPr>
          <w:sz w:val="20"/>
          <w:szCs w:val="20"/>
        </w:rPr>
        <w:t>h</w:t>
      </w:r>
      <w:r w:rsidRPr="00161EA1">
        <w:rPr>
          <w:sz w:val="20"/>
          <w:szCs w:val="20"/>
        </w:rPr>
        <w:t xml:space="preserve">arles, J.W. Short and S.D. Rice (2003) </w:t>
      </w:r>
      <w:proofErr w:type="spellStart"/>
      <w:r w:rsidRPr="00161EA1">
        <w:rPr>
          <w:sz w:val="20"/>
          <w:szCs w:val="20"/>
        </w:rPr>
        <w:t>Photoenhanced</w:t>
      </w:r>
      <w:proofErr w:type="spellEnd"/>
      <w:r w:rsidRPr="00161EA1">
        <w:rPr>
          <w:sz w:val="20"/>
          <w:szCs w:val="20"/>
        </w:rPr>
        <w:t xml:space="preserve"> toxicity of aqueous phase and chemically dispersed withered Alaska North </w:t>
      </w:r>
      <w:proofErr w:type="spellStart"/>
      <w:r w:rsidRPr="00161EA1">
        <w:rPr>
          <w:sz w:val="20"/>
          <w:szCs w:val="20"/>
        </w:rPr>
        <w:t>slop</w:t>
      </w:r>
      <w:proofErr w:type="spellEnd"/>
      <w:r w:rsidRPr="00161EA1">
        <w:rPr>
          <w:sz w:val="20"/>
          <w:szCs w:val="20"/>
        </w:rPr>
        <w:t xml:space="preserve"> to crude oil to </w:t>
      </w:r>
      <w:r w:rsidR="00BA5969" w:rsidRPr="00161EA1">
        <w:rPr>
          <w:sz w:val="20"/>
          <w:szCs w:val="20"/>
        </w:rPr>
        <w:t>P</w:t>
      </w:r>
      <w:r w:rsidRPr="00161EA1">
        <w:rPr>
          <w:sz w:val="20"/>
          <w:szCs w:val="20"/>
        </w:rPr>
        <w:t xml:space="preserve">acific herring eggs and larvae. </w:t>
      </w:r>
      <w:r w:rsidRPr="00161EA1">
        <w:rPr>
          <w:i/>
          <w:sz w:val="20"/>
          <w:szCs w:val="20"/>
        </w:rPr>
        <w:t xml:space="preserve">Environ. </w:t>
      </w:r>
      <w:proofErr w:type="spellStart"/>
      <w:r w:rsidRPr="00161EA1">
        <w:rPr>
          <w:i/>
          <w:sz w:val="20"/>
          <w:szCs w:val="20"/>
        </w:rPr>
        <w:t>Texicol</w:t>
      </w:r>
      <w:proofErr w:type="spellEnd"/>
      <w:r w:rsidRPr="00161EA1">
        <w:rPr>
          <w:i/>
          <w:sz w:val="20"/>
          <w:szCs w:val="20"/>
        </w:rPr>
        <w:t>. Chem.</w:t>
      </w:r>
      <w:r w:rsidRPr="00161EA1">
        <w:rPr>
          <w:sz w:val="20"/>
          <w:szCs w:val="20"/>
        </w:rPr>
        <w:t xml:space="preserve"> 22 (3)</w:t>
      </w:r>
      <w:r w:rsidR="00BA5969" w:rsidRPr="00161EA1">
        <w:rPr>
          <w:sz w:val="20"/>
          <w:szCs w:val="20"/>
        </w:rPr>
        <w:t>:</w:t>
      </w:r>
      <w:r w:rsidRPr="00161EA1">
        <w:rPr>
          <w:sz w:val="20"/>
          <w:szCs w:val="20"/>
        </w:rPr>
        <w:t xml:space="preserve"> 650-660.</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Benneth</w:t>
      </w:r>
      <w:proofErr w:type="spellEnd"/>
      <w:r w:rsidRPr="00161EA1">
        <w:rPr>
          <w:sz w:val="20"/>
          <w:szCs w:val="20"/>
        </w:rPr>
        <w:t>,</w:t>
      </w:r>
      <w:r w:rsidR="00923515" w:rsidRPr="00161EA1">
        <w:rPr>
          <w:sz w:val="20"/>
          <w:szCs w:val="20"/>
        </w:rPr>
        <w:t xml:space="preserve"> </w:t>
      </w:r>
      <w:r w:rsidR="004E4C11" w:rsidRPr="00161EA1">
        <w:rPr>
          <w:sz w:val="20"/>
          <w:szCs w:val="20"/>
        </w:rPr>
        <w:t>C</w:t>
      </w:r>
      <w:r w:rsidR="00923515" w:rsidRPr="00161EA1">
        <w:rPr>
          <w:sz w:val="20"/>
          <w:szCs w:val="20"/>
        </w:rPr>
        <w:t>.</w:t>
      </w:r>
      <w:r w:rsidRPr="00161EA1">
        <w:rPr>
          <w:sz w:val="20"/>
          <w:szCs w:val="20"/>
        </w:rPr>
        <w:t xml:space="preserve"> and B.D. </w:t>
      </w:r>
      <w:proofErr w:type="spellStart"/>
      <w:r w:rsidRPr="00161EA1">
        <w:rPr>
          <w:sz w:val="20"/>
          <w:szCs w:val="20"/>
        </w:rPr>
        <w:t>Fasion</w:t>
      </w:r>
      <w:proofErr w:type="spellEnd"/>
      <w:r w:rsidRPr="00161EA1">
        <w:rPr>
          <w:sz w:val="20"/>
          <w:szCs w:val="20"/>
        </w:rPr>
        <w:t xml:space="preserve"> (1997) Use of fungi in biodegradation. In: </w:t>
      </w:r>
      <w:r w:rsidRPr="00161EA1">
        <w:rPr>
          <w:i/>
          <w:sz w:val="20"/>
          <w:szCs w:val="20"/>
        </w:rPr>
        <w:t>Manual</w:t>
      </w:r>
      <w:r w:rsidRPr="00161EA1">
        <w:rPr>
          <w:sz w:val="20"/>
          <w:szCs w:val="20"/>
        </w:rPr>
        <w:t xml:space="preserve"> </w:t>
      </w:r>
      <w:r w:rsidRPr="00161EA1">
        <w:rPr>
          <w:i/>
          <w:sz w:val="20"/>
          <w:szCs w:val="20"/>
        </w:rPr>
        <w:t>of Environmental Microbiology</w:t>
      </w:r>
      <w:r w:rsidRPr="00161EA1">
        <w:rPr>
          <w:sz w:val="20"/>
          <w:szCs w:val="20"/>
        </w:rPr>
        <w:t xml:space="preserve"> (Hurst, C.J, G.R. Knudsen, M.J. </w:t>
      </w:r>
      <w:proofErr w:type="spellStart"/>
      <w:r w:rsidRPr="00161EA1">
        <w:rPr>
          <w:sz w:val="20"/>
          <w:szCs w:val="20"/>
        </w:rPr>
        <w:t>Mclnerney</w:t>
      </w:r>
      <w:proofErr w:type="spellEnd"/>
      <w:r w:rsidRPr="00161EA1">
        <w:rPr>
          <w:sz w:val="20"/>
          <w:szCs w:val="20"/>
        </w:rPr>
        <w:t xml:space="preserve">, L.D. </w:t>
      </w:r>
      <w:proofErr w:type="spellStart"/>
      <w:r w:rsidRPr="00161EA1">
        <w:rPr>
          <w:sz w:val="20"/>
          <w:szCs w:val="20"/>
        </w:rPr>
        <w:t>Stetzenbach</w:t>
      </w:r>
      <w:proofErr w:type="spellEnd"/>
      <w:r w:rsidRPr="00161EA1">
        <w:rPr>
          <w:sz w:val="20"/>
          <w:szCs w:val="20"/>
        </w:rPr>
        <w:t xml:space="preserve"> and M.V. Walker eds.), pp 730-737 A</w:t>
      </w:r>
      <w:r w:rsidR="00BA5969" w:rsidRPr="00161EA1">
        <w:rPr>
          <w:sz w:val="20"/>
          <w:szCs w:val="20"/>
        </w:rPr>
        <w:t>S</w:t>
      </w:r>
      <w:r w:rsidRPr="00161EA1">
        <w:rPr>
          <w:sz w:val="20"/>
          <w:szCs w:val="20"/>
        </w:rPr>
        <w:t xml:space="preserve"> Press, Washington DC.</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Betton</w:t>
      </w:r>
      <w:proofErr w:type="spellEnd"/>
      <w:r w:rsidRPr="00161EA1">
        <w:rPr>
          <w:sz w:val="20"/>
          <w:szCs w:val="20"/>
        </w:rPr>
        <w:t xml:space="preserve">, C.L (1992) Lubricants and their Environmental Impact. In: </w:t>
      </w:r>
      <w:r w:rsidRPr="00161EA1">
        <w:rPr>
          <w:i/>
          <w:sz w:val="20"/>
          <w:szCs w:val="20"/>
        </w:rPr>
        <w:t>Chemistry and Technology of Lubricants</w:t>
      </w:r>
      <w:r w:rsidRPr="00161EA1">
        <w:rPr>
          <w:sz w:val="20"/>
          <w:szCs w:val="20"/>
        </w:rPr>
        <w:t>. 2</w:t>
      </w:r>
      <w:r w:rsidRPr="00161EA1">
        <w:rPr>
          <w:sz w:val="20"/>
          <w:szCs w:val="20"/>
          <w:vertAlign w:val="superscript"/>
        </w:rPr>
        <w:t>nd</w:t>
      </w:r>
      <w:r w:rsidRPr="00161EA1">
        <w:rPr>
          <w:sz w:val="20"/>
          <w:szCs w:val="20"/>
        </w:rPr>
        <w:t xml:space="preserve"> ed. (</w:t>
      </w:r>
      <w:proofErr w:type="spellStart"/>
      <w:r w:rsidRPr="00161EA1">
        <w:rPr>
          <w:sz w:val="20"/>
          <w:szCs w:val="20"/>
        </w:rPr>
        <w:t>Mortier</w:t>
      </w:r>
      <w:proofErr w:type="spellEnd"/>
      <w:r w:rsidRPr="00161EA1">
        <w:rPr>
          <w:sz w:val="20"/>
          <w:szCs w:val="20"/>
        </w:rPr>
        <w:t xml:space="preserve">, R.M and S.T. </w:t>
      </w:r>
      <w:proofErr w:type="spellStart"/>
      <w:r w:rsidRPr="00161EA1">
        <w:rPr>
          <w:sz w:val="20"/>
          <w:szCs w:val="20"/>
        </w:rPr>
        <w:t>Orszulik</w:t>
      </w:r>
      <w:proofErr w:type="spellEnd"/>
      <w:r w:rsidRPr="00161EA1">
        <w:rPr>
          <w:sz w:val="20"/>
          <w:szCs w:val="20"/>
        </w:rPr>
        <w:t xml:space="preserve"> </w:t>
      </w:r>
      <w:proofErr w:type="spellStart"/>
      <w:proofErr w:type="gramStart"/>
      <w:r w:rsidRPr="00161EA1">
        <w:rPr>
          <w:sz w:val="20"/>
          <w:szCs w:val="20"/>
        </w:rPr>
        <w:t>eds</w:t>
      </w:r>
      <w:proofErr w:type="spellEnd"/>
      <w:proofErr w:type="gramEnd"/>
      <w:r w:rsidRPr="00161EA1">
        <w:rPr>
          <w:sz w:val="20"/>
          <w:szCs w:val="20"/>
        </w:rPr>
        <w:t>), pp 354 – 370. Blackie Academic and Professional London UK.</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Boszezy</w:t>
      </w:r>
      <w:proofErr w:type="spellEnd"/>
      <w:r w:rsidRPr="00161EA1">
        <w:rPr>
          <w:sz w:val="20"/>
          <w:szCs w:val="20"/>
        </w:rPr>
        <w:t xml:space="preserve"> – </w:t>
      </w:r>
      <w:proofErr w:type="spellStart"/>
      <w:r w:rsidRPr="00161EA1">
        <w:rPr>
          <w:sz w:val="20"/>
          <w:szCs w:val="20"/>
        </w:rPr>
        <w:t>Maleazak</w:t>
      </w:r>
      <w:proofErr w:type="spellEnd"/>
      <w:r w:rsidRPr="00161EA1">
        <w:rPr>
          <w:sz w:val="20"/>
          <w:szCs w:val="20"/>
        </w:rPr>
        <w:t xml:space="preserve">, H.A, </w:t>
      </w:r>
      <w:proofErr w:type="spellStart"/>
      <w:r w:rsidRPr="00161EA1">
        <w:rPr>
          <w:sz w:val="20"/>
          <w:szCs w:val="20"/>
        </w:rPr>
        <w:t>Przestrzeiska</w:t>
      </w:r>
      <w:proofErr w:type="spellEnd"/>
      <w:r w:rsidRPr="00161EA1">
        <w:rPr>
          <w:sz w:val="20"/>
          <w:szCs w:val="20"/>
        </w:rPr>
        <w:t xml:space="preserve">, E. </w:t>
      </w:r>
      <w:proofErr w:type="spellStart"/>
      <w:r w:rsidRPr="00161EA1">
        <w:rPr>
          <w:sz w:val="20"/>
          <w:szCs w:val="20"/>
        </w:rPr>
        <w:t>Bieszkiewic</w:t>
      </w:r>
      <w:proofErr w:type="spellEnd"/>
      <w:r w:rsidRPr="00161EA1">
        <w:rPr>
          <w:sz w:val="20"/>
          <w:szCs w:val="20"/>
        </w:rPr>
        <w:t xml:space="preserve"> and M. </w:t>
      </w:r>
      <w:proofErr w:type="spellStart"/>
      <w:r w:rsidRPr="00161EA1">
        <w:rPr>
          <w:sz w:val="20"/>
          <w:szCs w:val="20"/>
        </w:rPr>
        <w:t>Horoch</w:t>
      </w:r>
      <w:proofErr w:type="spellEnd"/>
      <w:r w:rsidRPr="00161EA1">
        <w:rPr>
          <w:sz w:val="20"/>
          <w:szCs w:val="20"/>
        </w:rPr>
        <w:t xml:space="preserve"> (2004) Biodegradation of petroleum products by microorganisms adapted to high crude Oil concentration in presence of easy assimilated carbon source </w:t>
      </w:r>
      <w:r w:rsidRPr="00161EA1">
        <w:rPr>
          <w:i/>
          <w:sz w:val="20"/>
          <w:szCs w:val="20"/>
        </w:rPr>
        <w:t xml:space="preserve">Pol. J. </w:t>
      </w:r>
      <w:proofErr w:type="spellStart"/>
      <w:r w:rsidRPr="00161EA1">
        <w:rPr>
          <w:i/>
          <w:sz w:val="20"/>
          <w:szCs w:val="20"/>
        </w:rPr>
        <w:t>Microbiol</w:t>
      </w:r>
      <w:proofErr w:type="spellEnd"/>
      <w:r w:rsidRPr="00161EA1">
        <w:rPr>
          <w:i/>
          <w:sz w:val="20"/>
          <w:szCs w:val="20"/>
        </w:rPr>
        <w:t>.</w:t>
      </w:r>
      <w:r w:rsidRPr="00161EA1">
        <w:rPr>
          <w:sz w:val="20"/>
          <w:szCs w:val="20"/>
        </w:rPr>
        <w:t xml:space="preserve"> 53(3): 183-187.</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Delyan</w:t>
      </w:r>
      <w:proofErr w:type="spellEnd"/>
      <w:r w:rsidRPr="00161EA1">
        <w:rPr>
          <w:sz w:val="20"/>
          <w:szCs w:val="20"/>
        </w:rPr>
        <w:t>, U., H.</w:t>
      </w:r>
      <w:r w:rsidR="00BA5969" w:rsidRPr="00161EA1">
        <w:rPr>
          <w:sz w:val="20"/>
          <w:szCs w:val="20"/>
        </w:rPr>
        <w:t>,</w:t>
      </w:r>
      <w:r w:rsidRPr="00161EA1">
        <w:rPr>
          <w:sz w:val="20"/>
          <w:szCs w:val="20"/>
        </w:rPr>
        <w:t xml:space="preserve"> Harder and T.H. </w:t>
      </w:r>
      <w:proofErr w:type="spellStart"/>
      <w:r w:rsidRPr="00161EA1">
        <w:rPr>
          <w:sz w:val="20"/>
          <w:szCs w:val="20"/>
        </w:rPr>
        <w:t>Hopner</w:t>
      </w:r>
      <w:proofErr w:type="spellEnd"/>
      <w:r w:rsidRPr="00161EA1">
        <w:rPr>
          <w:sz w:val="20"/>
          <w:szCs w:val="20"/>
        </w:rPr>
        <w:t xml:space="preserve"> (1990) Hydrocarbon Biodegradation in </w:t>
      </w:r>
      <w:r w:rsidR="00BA5969" w:rsidRPr="00161EA1">
        <w:rPr>
          <w:sz w:val="20"/>
          <w:szCs w:val="20"/>
        </w:rPr>
        <w:t xml:space="preserve">sediments </w:t>
      </w:r>
      <w:r w:rsidRPr="00161EA1">
        <w:rPr>
          <w:sz w:val="20"/>
          <w:szCs w:val="20"/>
        </w:rPr>
        <w:t xml:space="preserve">and </w:t>
      </w:r>
      <w:r w:rsidRPr="00161EA1">
        <w:rPr>
          <w:sz w:val="20"/>
          <w:szCs w:val="20"/>
        </w:rPr>
        <w:lastRenderedPageBreak/>
        <w:t xml:space="preserve">soil. A systematic examination of physical and chemical conditions part ii pH values. </w:t>
      </w:r>
      <w:proofErr w:type="spellStart"/>
      <w:r w:rsidRPr="00161EA1">
        <w:rPr>
          <w:i/>
          <w:sz w:val="20"/>
          <w:szCs w:val="20"/>
        </w:rPr>
        <w:t>Wissesschaft</w:t>
      </w:r>
      <w:proofErr w:type="spellEnd"/>
      <w:r w:rsidRPr="00161EA1">
        <w:rPr>
          <w:i/>
          <w:sz w:val="20"/>
          <w:szCs w:val="20"/>
        </w:rPr>
        <w:t xml:space="preserve"> </w:t>
      </w:r>
      <w:proofErr w:type="spellStart"/>
      <w:r w:rsidRPr="00161EA1">
        <w:rPr>
          <w:i/>
          <w:sz w:val="20"/>
          <w:szCs w:val="20"/>
        </w:rPr>
        <w:t>Technik</w:t>
      </w:r>
      <w:proofErr w:type="spellEnd"/>
      <w:r w:rsidRPr="00161EA1">
        <w:rPr>
          <w:i/>
          <w:sz w:val="20"/>
          <w:szCs w:val="20"/>
        </w:rPr>
        <w:t xml:space="preserve"> Sci. Technol.</w:t>
      </w:r>
      <w:r w:rsidRPr="00161EA1">
        <w:rPr>
          <w:sz w:val="20"/>
          <w:szCs w:val="20"/>
        </w:rPr>
        <w:t xml:space="preserve"> 43:337-342.</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Ekwenye</w:t>
      </w:r>
      <w:proofErr w:type="spellEnd"/>
      <w:r w:rsidRPr="00161EA1">
        <w:rPr>
          <w:sz w:val="20"/>
          <w:szCs w:val="20"/>
        </w:rPr>
        <w:t xml:space="preserve">, U.N and N.C. Ike (2007) Stability to Microbial deterioration of lubrication oil. </w:t>
      </w:r>
      <w:r w:rsidRPr="00161EA1">
        <w:rPr>
          <w:i/>
          <w:sz w:val="20"/>
          <w:szCs w:val="20"/>
        </w:rPr>
        <w:t>Glob. J. Pure Appl. Sci.</w:t>
      </w:r>
      <w:r w:rsidRPr="00161EA1">
        <w:rPr>
          <w:sz w:val="20"/>
          <w:szCs w:val="20"/>
        </w:rPr>
        <w:t xml:space="preserve"> 13(1): 1-5.</w:t>
      </w:r>
    </w:p>
    <w:p w:rsidR="00DD2732" w:rsidRPr="00161EA1" w:rsidRDefault="00DD2732" w:rsidP="00F00BC7">
      <w:pPr>
        <w:numPr>
          <w:ilvl w:val="0"/>
          <w:numId w:val="1"/>
        </w:numPr>
        <w:snapToGrid w:val="0"/>
        <w:ind w:left="425" w:hanging="425"/>
        <w:jc w:val="both"/>
        <w:rPr>
          <w:sz w:val="20"/>
          <w:szCs w:val="20"/>
        </w:rPr>
      </w:pPr>
      <w:r w:rsidRPr="00161EA1">
        <w:rPr>
          <w:sz w:val="20"/>
          <w:szCs w:val="20"/>
        </w:rPr>
        <w:t xml:space="preserve">Finney, D.J (1978) </w:t>
      </w:r>
      <w:r w:rsidRPr="00161EA1">
        <w:rPr>
          <w:i/>
          <w:sz w:val="20"/>
          <w:szCs w:val="20"/>
        </w:rPr>
        <w:t>Statistical Methods in Biological Assay</w:t>
      </w:r>
      <w:r w:rsidRPr="00161EA1">
        <w:rPr>
          <w:sz w:val="20"/>
          <w:szCs w:val="20"/>
          <w:u w:val="single"/>
        </w:rPr>
        <w:t>.</w:t>
      </w:r>
      <w:r w:rsidRPr="00161EA1">
        <w:rPr>
          <w:sz w:val="20"/>
          <w:szCs w:val="20"/>
        </w:rPr>
        <w:t xml:space="preserve"> 3</w:t>
      </w:r>
      <w:r w:rsidRPr="00161EA1">
        <w:rPr>
          <w:sz w:val="20"/>
          <w:szCs w:val="20"/>
          <w:vertAlign w:val="superscript"/>
        </w:rPr>
        <w:t>rd</w:t>
      </w:r>
      <w:r w:rsidRPr="00161EA1">
        <w:rPr>
          <w:sz w:val="20"/>
          <w:szCs w:val="20"/>
        </w:rPr>
        <w:t xml:space="preserve"> edition, Charles Griffin, London.</w:t>
      </w:r>
    </w:p>
    <w:p w:rsidR="00B12713" w:rsidRPr="00161EA1" w:rsidRDefault="00B12713" w:rsidP="00F00BC7">
      <w:pPr>
        <w:numPr>
          <w:ilvl w:val="0"/>
          <w:numId w:val="1"/>
        </w:numPr>
        <w:snapToGrid w:val="0"/>
        <w:ind w:left="425" w:hanging="425"/>
        <w:jc w:val="both"/>
        <w:rPr>
          <w:sz w:val="20"/>
          <w:szCs w:val="20"/>
        </w:rPr>
      </w:pPr>
      <w:r w:rsidRPr="00161EA1">
        <w:rPr>
          <w:sz w:val="20"/>
          <w:szCs w:val="20"/>
        </w:rPr>
        <w:t>Givens, W. and</w:t>
      </w:r>
      <w:r w:rsidR="00702FC2" w:rsidRPr="00161EA1">
        <w:rPr>
          <w:sz w:val="20"/>
          <w:szCs w:val="20"/>
        </w:rPr>
        <w:t xml:space="preserve"> P.</w:t>
      </w:r>
      <w:r w:rsidRPr="00161EA1">
        <w:rPr>
          <w:sz w:val="20"/>
          <w:szCs w:val="20"/>
        </w:rPr>
        <w:t xml:space="preserve"> Michael</w:t>
      </w:r>
      <w:proofErr w:type="gramStart"/>
      <w:r w:rsidRPr="00161EA1">
        <w:rPr>
          <w:sz w:val="20"/>
          <w:szCs w:val="20"/>
        </w:rPr>
        <w:t>,.</w:t>
      </w:r>
      <w:proofErr w:type="gramEnd"/>
      <w:r w:rsidRPr="00161EA1">
        <w:rPr>
          <w:sz w:val="20"/>
          <w:szCs w:val="20"/>
        </w:rPr>
        <w:t xml:space="preserve"> (2003</w:t>
      </w:r>
      <w:r w:rsidRPr="00161EA1">
        <w:rPr>
          <w:i/>
          <w:sz w:val="20"/>
          <w:szCs w:val="20"/>
        </w:rPr>
        <w:t xml:space="preserve">) Fuels and Lubricants Handbook </w:t>
      </w:r>
      <w:r w:rsidRPr="00161EA1">
        <w:rPr>
          <w:sz w:val="20"/>
          <w:szCs w:val="20"/>
        </w:rPr>
        <w:t xml:space="preserve">(G. </w:t>
      </w:r>
      <w:proofErr w:type="spellStart"/>
      <w:r w:rsidRPr="00161EA1">
        <w:rPr>
          <w:sz w:val="20"/>
          <w:szCs w:val="20"/>
        </w:rPr>
        <w:t>Totte</w:t>
      </w:r>
      <w:proofErr w:type="spellEnd"/>
      <w:r w:rsidR="00161EA1">
        <w:rPr>
          <w:sz w:val="20"/>
          <w:szCs w:val="20"/>
        </w:rPr>
        <w:t xml:space="preserve"> </w:t>
      </w:r>
      <w:proofErr w:type="gramStart"/>
      <w:r w:rsidRPr="00161EA1">
        <w:rPr>
          <w:sz w:val="20"/>
          <w:szCs w:val="20"/>
        </w:rPr>
        <w:t>ed</w:t>
      </w:r>
      <w:proofErr w:type="gramEnd"/>
      <w:r w:rsidRPr="00161EA1">
        <w:rPr>
          <w:sz w:val="20"/>
          <w:szCs w:val="20"/>
        </w:rPr>
        <w:t xml:space="preserve">.) ASTM International </w:t>
      </w:r>
      <w:r w:rsidR="00702FC2" w:rsidRPr="00161EA1">
        <w:rPr>
          <w:sz w:val="20"/>
          <w:szCs w:val="20"/>
        </w:rPr>
        <w:t>P</w:t>
      </w:r>
      <w:r w:rsidRPr="00161EA1">
        <w:rPr>
          <w:sz w:val="20"/>
          <w:szCs w:val="20"/>
        </w:rPr>
        <w:t>.373.</w:t>
      </w:r>
    </w:p>
    <w:p w:rsidR="00DD2732" w:rsidRPr="00161EA1" w:rsidRDefault="00DD2732" w:rsidP="00F00BC7">
      <w:pPr>
        <w:numPr>
          <w:ilvl w:val="0"/>
          <w:numId w:val="1"/>
        </w:numPr>
        <w:snapToGrid w:val="0"/>
        <w:ind w:left="425" w:hanging="425"/>
        <w:jc w:val="both"/>
        <w:rPr>
          <w:sz w:val="20"/>
          <w:szCs w:val="20"/>
        </w:rPr>
      </w:pPr>
      <w:r w:rsidRPr="00161EA1">
        <w:rPr>
          <w:sz w:val="20"/>
          <w:szCs w:val="20"/>
        </w:rPr>
        <w:t xml:space="preserve">Holt, J.G. N.R. Krieg, P.H.A </w:t>
      </w:r>
      <w:proofErr w:type="spellStart"/>
      <w:r w:rsidRPr="00161EA1">
        <w:rPr>
          <w:sz w:val="20"/>
          <w:szCs w:val="20"/>
        </w:rPr>
        <w:t>Sneath</w:t>
      </w:r>
      <w:proofErr w:type="spellEnd"/>
      <w:r w:rsidRPr="00161EA1">
        <w:rPr>
          <w:sz w:val="20"/>
          <w:szCs w:val="20"/>
        </w:rPr>
        <w:t xml:space="preserve">, J.F. Stanley and S.T. Williams (1994) </w:t>
      </w:r>
      <w:proofErr w:type="spellStart"/>
      <w:r w:rsidRPr="00161EA1">
        <w:rPr>
          <w:i/>
          <w:sz w:val="20"/>
          <w:szCs w:val="20"/>
        </w:rPr>
        <w:t>Bergey’s</w:t>
      </w:r>
      <w:proofErr w:type="spellEnd"/>
      <w:r w:rsidRPr="00161EA1">
        <w:rPr>
          <w:i/>
          <w:sz w:val="20"/>
          <w:szCs w:val="20"/>
        </w:rPr>
        <w:t xml:space="preserve"> Manual of Determinative Bacteriology,</w:t>
      </w:r>
      <w:r w:rsidRPr="00161EA1">
        <w:rPr>
          <w:sz w:val="20"/>
          <w:szCs w:val="20"/>
        </w:rPr>
        <w:t xml:space="preserve"> 9</w:t>
      </w:r>
      <w:r w:rsidRPr="00161EA1">
        <w:rPr>
          <w:sz w:val="20"/>
          <w:szCs w:val="20"/>
          <w:vertAlign w:val="superscript"/>
        </w:rPr>
        <w:t>th</w:t>
      </w:r>
      <w:r w:rsidRPr="00161EA1">
        <w:rPr>
          <w:sz w:val="20"/>
          <w:szCs w:val="20"/>
        </w:rPr>
        <w:t xml:space="preserve"> edition. Williams and Wilkins Publishers</w:t>
      </w:r>
      <w:r w:rsidR="00BA5969" w:rsidRPr="00161EA1">
        <w:rPr>
          <w:sz w:val="20"/>
          <w:szCs w:val="20"/>
        </w:rPr>
        <w:t>,</w:t>
      </w:r>
      <w:r w:rsidRPr="00161EA1">
        <w:rPr>
          <w:sz w:val="20"/>
          <w:szCs w:val="20"/>
        </w:rPr>
        <w:t xml:space="preserve"> Baltimore, Maryland U.S.A</w:t>
      </w:r>
      <w:r w:rsidR="00161EA1">
        <w:rPr>
          <w:sz w:val="20"/>
          <w:szCs w:val="20"/>
        </w:rPr>
        <w:t>.</w:t>
      </w:r>
    </w:p>
    <w:p w:rsidR="00DD2732" w:rsidRPr="00161EA1" w:rsidRDefault="00DD2732" w:rsidP="00F00BC7">
      <w:pPr>
        <w:numPr>
          <w:ilvl w:val="0"/>
          <w:numId w:val="1"/>
        </w:numPr>
        <w:snapToGrid w:val="0"/>
        <w:ind w:left="425" w:hanging="425"/>
        <w:jc w:val="both"/>
        <w:rPr>
          <w:sz w:val="20"/>
          <w:szCs w:val="20"/>
        </w:rPr>
      </w:pPr>
      <w:r w:rsidRPr="00161EA1">
        <w:rPr>
          <w:sz w:val="20"/>
          <w:szCs w:val="20"/>
        </w:rPr>
        <w:t xml:space="preserve">Leahy, J.G. and R.R. </w:t>
      </w:r>
      <w:proofErr w:type="spellStart"/>
      <w:r w:rsidRPr="00161EA1">
        <w:rPr>
          <w:sz w:val="20"/>
          <w:szCs w:val="20"/>
        </w:rPr>
        <w:t>Cowell</w:t>
      </w:r>
      <w:proofErr w:type="spellEnd"/>
      <w:r w:rsidRPr="00161EA1">
        <w:rPr>
          <w:sz w:val="20"/>
          <w:szCs w:val="20"/>
        </w:rPr>
        <w:t xml:space="preserve"> (1990) Microbial degradation of hydrocarbon in the environment. </w:t>
      </w:r>
      <w:proofErr w:type="spellStart"/>
      <w:r w:rsidRPr="00161EA1">
        <w:rPr>
          <w:i/>
          <w:sz w:val="20"/>
          <w:szCs w:val="20"/>
        </w:rPr>
        <w:t>Microbiol</w:t>
      </w:r>
      <w:proofErr w:type="spellEnd"/>
      <w:r w:rsidRPr="00161EA1">
        <w:rPr>
          <w:i/>
          <w:sz w:val="20"/>
          <w:szCs w:val="20"/>
        </w:rPr>
        <w:t>. Rev.</w:t>
      </w:r>
      <w:r w:rsidRPr="00161EA1">
        <w:rPr>
          <w:sz w:val="20"/>
          <w:szCs w:val="20"/>
        </w:rPr>
        <w:t xml:space="preserve"> 54 (3): 305-315.</w:t>
      </w:r>
    </w:p>
    <w:p w:rsidR="00702FC2" w:rsidRPr="00161EA1" w:rsidRDefault="00702FC2" w:rsidP="00F00BC7">
      <w:pPr>
        <w:numPr>
          <w:ilvl w:val="0"/>
          <w:numId w:val="1"/>
        </w:numPr>
        <w:snapToGrid w:val="0"/>
        <w:ind w:left="425" w:hanging="425"/>
        <w:jc w:val="both"/>
        <w:rPr>
          <w:sz w:val="20"/>
          <w:szCs w:val="20"/>
        </w:rPr>
      </w:pPr>
      <w:proofErr w:type="spellStart"/>
      <w:r w:rsidRPr="00161EA1">
        <w:rPr>
          <w:sz w:val="20"/>
          <w:szCs w:val="20"/>
        </w:rPr>
        <w:t>Leth</w:t>
      </w:r>
      <w:proofErr w:type="spellEnd"/>
      <w:r w:rsidRPr="00161EA1">
        <w:rPr>
          <w:sz w:val="20"/>
          <w:szCs w:val="20"/>
        </w:rPr>
        <w:t xml:space="preserve">, P.M. and M. </w:t>
      </w:r>
      <w:proofErr w:type="spellStart"/>
      <w:r w:rsidRPr="00161EA1">
        <w:rPr>
          <w:sz w:val="20"/>
          <w:szCs w:val="20"/>
        </w:rPr>
        <w:t>Gregesen</w:t>
      </w:r>
      <w:proofErr w:type="spellEnd"/>
      <w:r w:rsidRPr="00161EA1">
        <w:rPr>
          <w:sz w:val="20"/>
          <w:szCs w:val="20"/>
        </w:rPr>
        <w:t xml:space="preserve"> (2005). Ethylene Glycol Poisoning. </w:t>
      </w:r>
      <w:r w:rsidRPr="00161EA1">
        <w:rPr>
          <w:i/>
          <w:sz w:val="20"/>
          <w:szCs w:val="20"/>
        </w:rPr>
        <w:t>Forensic</w:t>
      </w:r>
      <w:r w:rsidR="00161EA1">
        <w:rPr>
          <w:i/>
          <w:sz w:val="20"/>
          <w:szCs w:val="20"/>
        </w:rPr>
        <w:t xml:space="preserve"> </w:t>
      </w:r>
      <w:r w:rsidRPr="00161EA1">
        <w:rPr>
          <w:i/>
          <w:sz w:val="20"/>
          <w:szCs w:val="20"/>
        </w:rPr>
        <w:t>Sci. Int</w:t>
      </w:r>
      <w:r w:rsidRPr="00161EA1">
        <w:rPr>
          <w:sz w:val="20"/>
          <w:szCs w:val="20"/>
        </w:rPr>
        <w:t>. 155 (2-3): 179-184.</w:t>
      </w:r>
    </w:p>
    <w:p w:rsidR="00645F36" w:rsidRPr="00161EA1" w:rsidRDefault="00645F36" w:rsidP="00F00BC7">
      <w:pPr>
        <w:numPr>
          <w:ilvl w:val="0"/>
          <w:numId w:val="1"/>
        </w:numPr>
        <w:snapToGrid w:val="0"/>
        <w:ind w:left="425" w:hanging="425"/>
        <w:jc w:val="both"/>
        <w:rPr>
          <w:sz w:val="20"/>
          <w:szCs w:val="20"/>
        </w:rPr>
      </w:pPr>
      <w:r w:rsidRPr="00161EA1">
        <w:rPr>
          <w:sz w:val="20"/>
          <w:szCs w:val="20"/>
        </w:rPr>
        <w:t xml:space="preserve">Manfred, S. (2006) Plant-oil- base Lubricants and Hydraulic Fluids. </w:t>
      </w:r>
      <w:r w:rsidRPr="00161EA1">
        <w:rPr>
          <w:i/>
          <w:sz w:val="20"/>
          <w:szCs w:val="20"/>
        </w:rPr>
        <w:t>J. Sci. food</w:t>
      </w:r>
      <w:r w:rsidRPr="00161EA1">
        <w:rPr>
          <w:sz w:val="20"/>
          <w:szCs w:val="20"/>
        </w:rPr>
        <w:t xml:space="preserve"> and </w:t>
      </w:r>
      <w:r w:rsidRPr="00161EA1">
        <w:rPr>
          <w:i/>
          <w:sz w:val="20"/>
          <w:szCs w:val="20"/>
        </w:rPr>
        <w:t>Agriculture</w:t>
      </w:r>
      <w:r w:rsidRPr="00161EA1">
        <w:rPr>
          <w:sz w:val="20"/>
          <w:szCs w:val="20"/>
        </w:rPr>
        <w:t>. 86 (12): 1769-1780.</w:t>
      </w:r>
    </w:p>
    <w:p w:rsidR="00DD2732" w:rsidRPr="00161EA1" w:rsidRDefault="00DD2732" w:rsidP="00F00BC7">
      <w:pPr>
        <w:numPr>
          <w:ilvl w:val="0"/>
          <w:numId w:val="1"/>
        </w:numPr>
        <w:snapToGrid w:val="0"/>
        <w:ind w:left="425" w:hanging="425"/>
        <w:jc w:val="both"/>
        <w:rPr>
          <w:sz w:val="20"/>
          <w:szCs w:val="20"/>
        </w:rPr>
      </w:pPr>
      <w:r w:rsidRPr="00161EA1">
        <w:rPr>
          <w:sz w:val="20"/>
          <w:szCs w:val="20"/>
        </w:rPr>
        <w:t xml:space="preserve">Mills, A.L., C. </w:t>
      </w:r>
      <w:proofErr w:type="spellStart"/>
      <w:r w:rsidRPr="00161EA1">
        <w:rPr>
          <w:sz w:val="20"/>
          <w:szCs w:val="20"/>
        </w:rPr>
        <w:t>Breul</w:t>
      </w:r>
      <w:proofErr w:type="spellEnd"/>
      <w:r w:rsidRPr="00161EA1">
        <w:rPr>
          <w:sz w:val="20"/>
          <w:szCs w:val="20"/>
        </w:rPr>
        <w:t xml:space="preserve"> and R.R. </w:t>
      </w:r>
      <w:proofErr w:type="spellStart"/>
      <w:r w:rsidRPr="00161EA1">
        <w:rPr>
          <w:sz w:val="20"/>
          <w:szCs w:val="20"/>
        </w:rPr>
        <w:t>Cowell</w:t>
      </w:r>
      <w:proofErr w:type="spellEnd"/>
      <w:r w:rsidRPr="00161EA1">
        <w:rPr>
          <w:sz w:val="20"/>
          <w:szCs w:val="20"/>
        </w:rPr>
        <w:t xml:space="preserve"> (1978) Enumeration of petroleum degrading marine and estuarine microorganisms by the most probable method. </w:t>
      </w:r>
      <w:r w:rsidRPr="00161EA1">
        <w:rPr>
          <w:i/>
          <w:sz w:val="20"/>
          <w:szCs w:val="20"/>
        </w:rPr>
        <w:t xml:space="preserve">Can. J. </w:t>
      </w:r>
      <w:proofErr w:type="spellStart"/>
      <w:r w:rsidRPr="00161EA1">
        <w:rPr>
          <w:i/>
          <w:sz w:val="20"/>
          <w:szCs w:val="20"/>
        </w:rPr>
        <w:t>Microbio</w:t>
      </w:r>
      <w:proofErr w:type="spellEnd"/>
      <w:r w:rsidRPr="00161EA1">
        <w:rPr>
          <w:i/>
          <w:sz w:val="20"/>
          <w:szCs w:val="20"/>
        </w:rPr>
        <w:t>.</w:t>
      </w:r>
      <w:r w:rsidRPr="00161EA1">
        <w:rPr>
          <w:sz w:val="20"/>
          <w:szCs w:val="20"/>
        </w:rPr>
        <w:t xml:space="preserve"> 24:552-557.</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Mishra</w:t>
      </w:r>
      <w:proofErr w:type="spellEnd"/>
      <w:r w:rsidRPr="00161EA1">
        <w:rPr>
          <w:sz w:val="20"/>
          <w:szCs w:val="20"/>
        </w:rPr>
        <w:t xml:space="preserve">, S., J. </w:t>
      </w:r>
      <w:proofErr w:type="spellStart"/>
      <w:r w:rsidRPr="00161EA1">
        <w:rPr>
          <w:sz w:val="20"/>
          <w:szCs w:val="20"/>
        </w:rPr>
        <w:t>Jevet</w:t>
      </w:r>
      <w:proofErr w:type="spellEnd"/>
      <w:r w:rsidRPr="00161EA1">
        <w:rPr>
          <w:sz w:val="20"/>
          <w:szCs w:val="20"/>
        </w:rPr>
        <w:t xml:space="preserve">, R. </w:t>
      </w:r>
      <w:proofErr w:type="spellStart"/>
      <w:r w:rsidRPr="00161EA1">
        <w:rPr>
          <w:sz w:val="20"/>
          <w:szCs w:val="20"/>
        </w:rPr>
        <w:t>Kubad</w:t>
      </w:r>
      <w:proofErr w:type="spellEnd"/>
      <w:r w:rsidRPr="00161EA1">
        <w:rPr>
          <w:sz w:val="20"/>
          <w:szCs w:val="20"/>
        </w:rPr>
        <w:t xml:space="preserve"> and B. </w:t>
      </w:r>
      <w:proofErr w:type="spellStart"/>
      <w:r w:rsidRPr="00161EA1">
        <w:rPr>
          <w:sz w:val="20"/>
          <w:szCs w:val="20"/>
        </w:rPr>
        <w:t>Lal</w:t>
      </w:r>
      <w:proofErr w:type="spellEnd"/>
      <w:r w:rsidRPr="00161EA1">
        <w:rPr>
          <w:sz w:val="20"/>
          <w:szCs w:val="20"/>
        </w:rPr>
        <w:t xml:space="preserve"> (2001) </w:t>
      </w:r>
      <w:r w:rsidR="007F53E7" w:rsidRPr="00161EA1">
        <w:rPr>
          <w:sz w:val="20"/>
          <w:szCs w:val="20"/>
        </w:rPr>
        <w:t xml:space="preserve">Evaluation </w:t>
      </w:r>
      <w:r w:rsidRPr="00161EA1">
        <w:rPr>
          <w:sz w:val="20"/>
          <w:szCs w:val="20"/>
        </w:rPr>
        <w:t xml:space="preserve">of </w:t>
      </w:r>
      <w:proofErr w:type="spellStart"/>
      <w:r w:rsidRPr="00161EA1">
        <w:rPr>
          <w:sz w:val="20"/>
          <w:szCs w:val="20"/>
        </w:rPr>
        <w:t>Innoculum</w:t>
      </w:r>
      <w:proofErr w:type="spellEnd"/>
      <w:r w:rsidRPr="00161EA1">
        <w:rPr>
          <w:sz w:val="20"/>
          <w:szCs w:val="20"/>
        </w:rPr>
        <w:t xml:space="preserve"> addition to stimulate </w:t>
      </w:r>
      <w:r w:rsidRPr="00161EA1">
        <w:rPr>
          <w:i/>
          <w:sz w:val="20"/>
          <w:szCs w:val="20"/>
        </w:rPr>
        <w:t>in situ</w:t>
      </w:r>
      <w:r w:rsidRPr="00161EA1">
        <w:rPr>
          <w:sz w:val="20"/>
          <w:szCs w:val="20"/>
        </w:rPr>
        <w:t xml:space="preserve"> bioremediation of oily-sludge contaminated soil. </w:t>
      </w:r>
      <w:r w:rsidRPr="00161EA1">
        <w:rPr>
          <w:i/>
          <w:sz w:val="20"/>
          <w:szCs w:val="20"/>
        </w:rPr>
        <w:t>Appl. Environ Microbiol.</w:t>
      </w:r>
      <w:r w:rsidRPr="00161EA1">
        <w:rPr>
          <w:sz w:val="20"/>
          <w:szCs w:val="20"/>
        </w:rPr>
        <w:t>67:1675.</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Mortier</w:t>
      </w:r>
      <w:proofErr w:type="spellEnd"/>
      <w:r w:rsidRPr="00161EA1">
        <w:rPr>
          <w:sz w:val="20"/>
          <w:szCs w:val="20"/>
        </w:rPr>
        <w:t xml:space="preserve">, R.M and S.T. </w:t>
      </w:r>
      <w:proofErr w:type="spellStart"/>
      <w:r w:rsidRPr="00161EA1">
        <w:rPr>
          <w:sz w:val="20"/>
          <w:szCs w:val="20"/>
        </w:rPr>
        <w:t>Orszulik</w:t>
      </w:r>
      <w:proofErr w:type="spellEnd"/>
      <w:r w:rsidRPr="00161EA1">
        <w:rPr>
          <w:sz w:val="20"/>
          <w:szCs w:val="20"/>
        </w:rPr>
        <w:t xml:space="preserve"> (1992) </w:t>
      </w:r>
      <w:r w:rsidRPr="00161EA1">
        <w:rPr>
          <w:i/>
          <w:sz w:val="20"/>
          <w:szCs w:val="20"/>
        </w:rPr>
        <w:t>Chemistry and Technology of Lubricants</w:t>
      </w:r>
      <w:r w:rsidRPr="00161EA1">
        <w:rPr>
          <w:sz w:val="20"/>
          <w:szCs w:val="20"/>
        </w:rPr>
        <w:t>. 2</w:t>
      </w:r>
      <w:r w:rsidRPr="00161EA1">
        <w:rPr>
          <w:sz w:val="20"/>
          <w:szCs w:val="20"/>
          <w:vertAlign w:val="superscript"/>
        </w:rPr>
        <w:t>nd</w:t>
      </w:r>
      <w:r w:rsidRPr="00161EA1">
        <w:rPr>
          <w:sz w:val="20"/>
          <w:szCs w:val="20"/>
        </w:rPr>
        <w:t xml:space="preserve"> ed. Blackie Academic and Professional, London UK. Pp 3 – 7, 354 – 370.</w:t>
      </w:r>
    </w:p>
    <w:p w:rsidR="00DD2732" w:rsidRPr="00161EA1" w:rsidRDefault="00DD2732" w:rsidP="00F00BC7">
      <w:pPr>
        <w:numPr>
          <w:ilvl w:val="0"/>
          <w:numId w:val="1"/>
        </w:numPr>
        <w:snapToGrid w:val="0"/>
        <w:ind w:left="425" w:hanging="425"/>
        <w:jc w:val="both"/>
        <w:rPr>
          <w:sz w:val="20"/>
          <w:szCs w:val="20"/>
        </w:rPr>
      </w:pPr>
      <w:r w:rsidRPr="00161EA1">
        <w:rPr>
          <w:sz w:val="20"/>
          <w:szCs w:val="20"/>
        </w:rPr>
        <w:t xml:space="preserve">Nester, E.W., D.G. Anderson, C.E Roberts, N.C. Pearsall and M.T. Nester (2001) </w:t>
      </w:r>
      <w:r w:rsidRPr="00161EA1">
        <w:rPr>
          <w:i/>
          <w:sz w:val="20"/>
          <w:szCs w:val="20"/>
        </w:rPr>
        <w:t xml:space="preserve">Microbiology: A human perspective. </w:t>
      </w:r>
      <w:r w:rsidRPr="00161EA1">
        <w:rPr>
          <w:sz w:val="20"/>
          <w:szCs w:val="20"/>
        </w:rPr>
        <w:t>3</w:t>
      </w:r>
      <w:r w:rsidRPr="00161EA1">
        <w:rPr>
          <w:sz w:val="20"/>
          <w:szCs w:val="20"/>
          <w:vertAlign w:val="superscript"/>
        </w:rPr>
        <w:t>rd</w:t>
      </w:r>
      <w:r w:rsidRPr="00161EA1">
        <w:rPr>
          <w:sz w:val="20"/>
          <w:szCs w:val="20"/>
        </w:rPr>
        <w:t xml:space="preserve"> edition. </w:t>
      </w:r>
      <w:proofErr w:type="spellStart"/>
      <w:r w:rsidRPr="00161EA1">
        <w:rPr>
          <w:sz w:val="20"/>
          <w:szCs w:val="20"/>
        </w:rPr>
        <w:t>Mcgraw</w:t>
      </w:r>
      <w:proofErr w:type="spellEnd"/>
      <w:r w:rsidRPr="00161EA1">
        <w:rPr>
          <w:sz w:val="20"/>
          <w:szCs w:val="20"/>
        </w:rPr>
        <w:t xml:space="preserve">-Hill </w:t>
      </w:r>
      <w:r w:rsidR="007F53E7" w:rsidRPr="00161EA1">
        <w:rPr>
          <w:sz w:val="20"/>
          <w:szCs w:val="20"/>
        </w:rPr>
        <w:t>Co</w:t>
      </w:r>
      <w:r w:rsidRPr="00161EA1">
        <w:rPr>
          <w:sz w:val="20"/>
          <w:szCs w:val="20"/>
        </w:rPr>
        <w:t>. Inc. New York. Pp 781-793.</w:t>
      </w:r>
    </w:p>
    <w:p w:rsidR="00297F0B" w:rsidRPr="00161EA1" w:rsidRDefault="00297F0B" w:rsidP="00F00BC7">
      <w:pPr>
        <w:numPr>
          <w:ilvl w:val="0"/>
          <w:numId w:val="1"/>
        </w:numPr>
        <w:snapToGrid w:val="0"/>
        <w:ind w:left="425" w:hanging="425"/>
        <w:jc w:val="both"/>
        <w:rPr>
          <w:sz w:val="20"/>
          <w:szCs w:val="20"/>
        </w:rPr>
      </w:pPr>
      <w:proofErr w:type="spellStart"/>
      <w:r w:rsidRPr="00161EA1">
        <w:rPr>
          <w:sz w:val="20"/>
          <w:szCs w:val="20"/>
        </w:rPr>
        <w:t>Odokuma</w:t>
      </w:r>
      <w:proofErr w:type="spellEnd"/>
      <w:r w:rsidRPr="00161EA1">
        <w:rPr>
          <w:sz w:val="20"/>
          <w:szCs w:val="20"/>
        </w:rPr>
        <w:t xml:space="preserve"> L.O and G.C </w:t>
      </w:r>
      <w:proofErr w:type="spellStart"/>
      <w:r w:rsidRPr="00161EA1">
        <w:rPr>
          <w:sz w:val="20"/>
          <w:szCs w:val="20"/>
        </w:rPr>
        <w:t>Okpokwasili</w:t>
      </w:r>
      <w:proofErr w:type="spellEnd"/>
      <w:r w:rsidRPr="00161EA1">
        <w:rPr>
          <w:sz w:val="20"/>
          <w:szCs w:val="20"/>
        </w:rPr>
        <w:t xml:space="preserve">, (1993), Seasonal Influences on Inorganic Anion monitoring of the New </w:t>
      </w:r>
      <w:proofErr w:type="spellStart"/>
      <w:r w:rsidRPr="00161EA1">
        <w:rPr>
          <w:sz w:val="20"/>
          <w:szCs w:val="20"/>
        </w:rPr>
        <w:t>Calabar</w:t>
      </w:r>
      <w:proofErr w:type="spellEnd"/>
      <w:r w:rsidRPr="00161EA1">
        <w:rPr>
          <w:sz w:val="20"/>
          <w:szCs w:val="20"/>
        </w:rPr>
        <w:t xml:space="preserve"> River, Nigeria. </w:t>
      </w:r>
      <w:r w:rsidRPr="00161EA1">
        <w:rPr>
          <w:i/>
          <w:sz w:val="20"/>
          <w:szCs w:val="20"/>
        </w:rPr>
        <w:t>Environ</w:t>
      </w:r>
      <w:r w:rsidRPr="00161EA1">
        <w:rPr>
          <w:sz w:val="20"/>
          <w:szCs w:val="20"/>
        </w:rPr>
        <w:t xml:space="preserve">. </w:t>
      </w:r>
      <w:proofErr w:type="spellStart"/>
      <w:r w:rsidRPr="00161EA1">
        <w:rPr>
          <w:i/>
          <w:sz w:val="20"/>
          <w:szCs w:val="20"/>
        </w:rPr>
        <w:t>M</w:t>
      </w:r>
      <w:r w:rsidR="001562EE" w:rsidRPr="00161EA1">
        <w:rPr>
          <w:i/>
          <w:sz w:val="20"/>
          <w:szCs w:val="20"/>
        </w:rPr>
        <w:t>a</w:t>
      </w:r>
      <w:r w:rsidRPr="00161EA1">
        <w:rPr>
          <w:i/>
          <w:sz w:val="20"/>
          <w:szCs w:val="20"/>
        </w:rPr>
        <w:t>gt</w:t>
      </w:r>
      <w:proofErr w:type="spellEnd"/>
      <w:r w:rsidRPr="00161EA1">
        <w:rPr>
          <w:sz w:val="20"/>
          <w:szCs w:val="20"/>
        </w:rPr>
        <w:t>. 17 (4):491-496.</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Odokuma</w:t>
      </w:r>
      <w:proofErr w:type="spellEnd"/>
      <w:r w:rsidRPr="00161EA1">
        <w:rPr>
          <w:sz w:val="20"/>
          <w:szCs w:val="20"/>
        </w:rPr>
        <w:t xml:space="preserve"> L.O and J.O </w:t>
      </w:r>
      <w:proofErr w:type="spellStart"/>
      <w:r w:rsidRPr="00161EA1">
        <w:rPr>
          <w:sz w:val="20"/>
          <w:szCs w:val="20"/>
        </w:rPr>
        <w:t>Okara</w:t>
      </w:r>
      <w:proofErr w:type="spellEnd"/>
      <w:r w:rsidRPr="00161EA1">
        <w:rPr>
          <w:sz w:val="20"/>
          <w:szCs w:val="20"/>
        </w:rPr>
        <w:t xml:space="preserve"> (2005) Biodegradability of grounded cell phone recharge cards in two Niger Delta soils </w:t>
      </w:r>
      <w:r w:rsidRPr="00161EA1">
        <w:rPr>
          <w:i/>
          <w:sz w:val="20"/>
          <w:szCs w:val="20"/>
        </w:rPr>
        <w:t>J. Appl. Sci. Engineering Technol.</w:t>
      </w:r>
      <w:r w:rsidRPr="00161EA1">
        <w:rPr>
          <w:sz w:val="20"/>
          <w:szCs w:val="20"/>
        </w:rPr>
        <w:t xml:space="preserve"> 5(182): 71-26.</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Odokuma</w:t>
      </w:r>
      <w:proofErr w:type="spellEnd"/>
      <w:r w:rsidRPr="00161EA1">
        <w:rPr>
          <w:sz w:val="20"/>
          <w:szCs w:val="20"/>
        </w:rPr>
        <w:t xml:space="preserve">, L.C and E.G. </w:t>
      </w:r>
      <w:proofErr w:type="spellStart"/>
      <w:r w:rsidRPr="00161EA1">
        <w:rPr>
          <w:sz w:val="20"/>
          <w:szCs w:val="20"/>
        </w:rPr>
        <w:t>Akpokodje</w:t>
      </w:r>
      <w:proofErr w:type="spellEnd"/>
      <w:r w:rsidRPr="00161EA1">
        <w:rPr>
          <w:sz w:val="20"/>
          <w:szCs w:val="20"/>
        </w:rPr>
        <w:t xml:space="preserve"> (2004) Biodegradability of a simulated landfill </w:t>
      </w:r>
      <w:proofErr w:type="spellStart"/>
      <w:r w:rsidRPr="00161EA1">
        <w:rPr>
          <w:sz w:val="20"/>
          <w:szCs w:val="20"/>
        </w:rPr>
        <w:t>lea</w:t>
      </w:r>
      <w:r w:rsidR="007F53E7" w:rsidRPr="00161EA1">
        <w:rPr>
          <w:sz w:val="20"/>
          <w:szCs w:val="20"/>
        </w:rPr>
        <w:t>c</w:t>
      </w:r>
      <w:r w:rsidRPr="00161EA1">
        <w:rPr>
          <w:sz w:val="20"/>
          <w:szCs w:val="20"/>
        </w:rPr>
        <w:t>hate</w:t>
      </w:r>
      <w:proofErr w:type="spellEnd"/>
      <w:r w:rsidRPr="00161EA1">
        <w:rPr>
          <w:sz w:val="20"/>
          <w:szCs w:val="20"/>
        </w:rPr>
        <w:t xml:space="preserve"> in tropical soil of depth 6.5m. </w:t>
      </w:r>
      <w:r w:rsidRPr="00161EA1">
        <w:rPr>
          <w:i/>
          <w:sz w:val="20"/>
          <w:szCs w:val="20"/>
        </w:rPr>
        <w:t>J. Appl. Sci. Engineering Technol.</w:t>
      </w:r>
      <w:r w:rsidRPr="00161EA1">
        <w:rPr>
          <w:sz w:val="20"/>
          <w:szCs w:val="20"/>
        </w:rPr>
        <w:t xml:space="preserve"> 4(1): 6-14.</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lastRenderedPageBreak/>
        <w:t>Okpokwasili</w:t>
      </w:r>
      <w:proofErr w:type="spellEnd"/>
      <w:r w:rsidRPr="00161EA1">
        <w:rPr>
          <w:sz w:val="20"/>
          <w:szCs w:val="20"/>
        </w:rPr>
        <w:t xml:space="preserve">, G.C and L.O </w:t>
      </w:r>
      <w:proofErr w:type="spellStart"/>
      <w:r w:rsidRPr="00161EA1">
        <w:rPr>
          <w:sz w:val="20"/>
          <w:szCs w:val="20"/>
        </w:rPr>
        <w:t>Odokuma</w:t>
      </w:r>
      <w:proofErr w:type="spellEnd"/>
      <w:r w:rsidRPr="00161EA1">
        <w:rPr>
          <w:sz w:val="20"/>
          <w:szCs w:val="20"/>
        </w:rPr>
        <w:t xml:space="preserve"> (1990) Effect of salinity on biodegradation of oil spill dispersants. </w:t>
      </w:r>
      <w:r w:rsidRPr="00161EA1">
        <w:rPr>
          <w:i/>
          <w:sz w:val="20"/>
          <w:szCs w:val="20"/>
        </w:rPr>
        <w:t xml:space="preserve">Waste </w:t>
      </w:r>
      <w:proofErr w:type="spellStart"/>
      <w:r w:rsidRPr="00161EA1">
        <w:rPr>
          <w:i/>
          <w:sz w:val="20"/>
          <w:szCs w:val="20"/>
        </w:rPr>
        <w:t>Magt</w:t>
      </w:r>
      <w:proofErr w:type="spellEnd"/>
      <w:r w:rsidRPr="00161EA1">
        <w:rPr>
          <w:i/>
          <w:sz w:val="20"/>
          <w:szCs w:val="20"/>
        </w:rPr>
        <w:t>.</w:t>
      </w:r>
      <w:r w:rsidRPr="00161EA1">
        <w:rPr>
          <w:sz w:val="20"/>
          <w:szCs w:val="20"/>
        </w:rPr>
        <w:t xml:space="preserve"> 10:141-146.</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Okpokwasili</w:t>
      </w:r>
      <w:proofErr w:type="spellEnd"/>
      <w:r w:rsidRPr="00161EA1">
        <w:rPr>
          <w:sz w:val="20"/>
          <w:szCs w:val="20"/>
        </w:rPr>
        <w:t xml:space="preserve">, G.C. and L.O. </w:t>
      </w:r>
      <w:proofErr w:type="spellStart"/>
      <w:r w:rsidRPr="00161EA1">
        <w:rPr>
          <w:sz w:val="20"/>
          <w:szCs w:val="20"/>
        </w:rPr>
        <w:t>Odokuma</w:t>
      </w:r>
      <w:proofErr w:type="spellEnd"/>
      <w:r w:rsidRPr="00161EA1">
        <w:rPr>
          <w:sz w:val="20"/>
          <w:szCs w:val="20"/>
        </w:rPr>
        <w:t xml:space="preserve"> (1996) Tolerance of </w:t>
      </w:r>
      <w:proofErr w:type="spellStart"/>
      <w:r w:rsidR="00395424" w:rsidRPr="00161EA1">
        <w:rPr>
          <w:sz w:val="20"/>
          <w:szCs w:val="20"/>
        </w:rPr>
        <w:t>Nitrobacter</w:t>
      </w:r>
      <w:proofErr w:type="spellEnd"/>
      <w:r w:rsidRPr="00161EA1">
        <w:rPr>
          <w:sz w:val="20"/>
          <w:szCs w:val="20"/>
        </w:rPr>
        <w:t xml:space="preserve"> to toxicity of hydrocarbon fuels. </w:t>
      </w:r>
      <w:r w:rsidRPr="00161EA1">
        <w:rPr>
          <w:i/>
          <w:sz w:val="20"/>
          <w:szCs w:val="20"/>
        </w:rPr>
        <w:t xml:space="preserve">J. Petroleum Sc. </w:t>
      </w:r>
      <w:r w:rsidR="007F53E7" w:rsidRPr="00161EA1">
        <w:rPr>
          <w:i/>
          <w:sz w:val="20"/>
          <w:szCs w:val="20"/>
        </w:rPr>
        <w:t>and engineering</w:t>
      </w:r>
      <w:r w:rsidR="000F36E0" w:rsidRPr="00161EA1">
        <w:rPr>
          <w:sz w:val="20"/>
          <w:szCs w:val="20"/>
        </w:rPr>
        <w:t>.</w:t>
      </w:r>
      <w:r w:rsidR="007F53E7" w:rsidRPr="00161EA1">
        <w:rPr>
          <w:sz w:val="20"/>
          <w:szCs w:val="20"/>
        </w:rPr>
        <w:t xml:space="preserve"> </w:t>
      </w:r>
      <w:r w:rsidRPr="00161EA1">
        <w:rPr>
          <w:sz w:val="20"/>
          <w:szCs w:val="20"/>
        </w:rPr>
        <w:t>16:89-93.</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Osibanjo</w:t>
      </w:r>
      <w:r w:rsidR="00161EA1">
        <w:rPr>
          <w:sz w:val="20"/>
          <w:szCs w:val="20"/>
        </w:rPr>
        <w:t>.</w:t>
      </w:r>
      <w:r w:rsidRPr="00161EA1">
        <w:rPr>
          <w:sz w:val="20"/>
          <w:szCs w:val="20"/>
        </w:rPr>
        <w:t>O</w:t>
      </w:r>
      <w:proofErr w:type="spellEnd"/>
      <w:r w:rsidRPr="00161EA1">
        <w:rPr>
          <w:sz w:val="20"/>
          <w:szCs w:val="20"/>
        </w:rPr>
        <w:t xml:space="preserve">. (1992) Present water quality status in Nigeria. </w:t>
      </w:r>
      <w:r w:rsidRPr="00161EA1">
        <w:rPr>
          <w:i/>
          <w:sz w:val="20"/>
          <w:szCs w:val="20"/>
        </w:rPr>
        <w:t>Federal Environmental Protecti</w:t>
      </w:r>
      <w:r w:rsidR="007F53E7" w:rsidRPr="00161EA1">
        <w:rPr>
          <w:i/>
          <w:sz w:val="20"/>
          <w:szCs w:val="20"/>
        </w:rPr>
        <w:t>on</w:t>
      </w:r>
      <w:r w:rsidRPr="00161EA1">
        <w:rPr>
          <w:i/>
          <w:sz w:val="20"/>
          <w:szCs w:val="20"/>
        </w:rPr>
        <w:t xml:space="preserve"> Agency</w:t>
      </w:r>
      <w:r w:rsidRPr="00161EA1">
        <w:rPr>
          <w:sz w:val="20"/>
          <w:szCs w:val="20"/>
        </w:rPr>
        <w:t xml:space="preserve"> (FEPA), Nigeria 35-41.</w:t>
      </w:r>
    </w:p>
    <w:p w:rsidR="00DD2732" w:rsidRPr="00161EA1" w:rsidRDefault="00DD2732" w:rsidP="00F00BC7">
      <w:pPr>
        <w:numPr>
          <w:ilvl w:val="0"/>
          <w:numId w:val="1"/>
        </w:numPr>
        <w:snapToGrid w:val="0"/>
        <w:ind w:left="425" w:hanging="425"/>
        <w:jc w:val="both"/>
        <w:rPr>
          <w:sz w:val="20"/>
          <w:szCs w:val="20"/>
        </w:rPr>
      </w:pPr>
      <w:proofErr w:type="spellStart"/>
      <w:r w:rsidRPr="00161EA1">
        <w:rPr>
          <w:sz w:val="20"/>
          <w:szCs w:val="20"/>
        </w:rPr>
        <w:t>Pelczer</w:t>
      </w:r>
      <w:proofErr w:type="spellEnd"/>
      <w:r w:rsidRPr="00161EA1">
        <w:rPr>
          <w:sz w:val="20"/>
          <w:szCs w:val="20"/>
        </w:rPr>
        <w:t xml:space="preserve"> M.J.B.D. Reid and E.C.S Chan (1982) </w:t>
      </w:r>
      <w:r w:rsidRPr="00161EA1">
        <w:rPr>
          <w:i/>
          <w:sz w:val="20"/>
          <w:szCs w:val="20"/>
        </w:rPr>
        <w:t>Microbiology</w:t>
      </w:r>
      <w:r w:rsidRPr="00161EA1">
        <w:rPr>
          <w:sz w:val="20"/>
          <w:szCs w:val="20"/>
        </w:rPr>
        <w:t xml:space="preserve"> 4</w:t>
      </w:r>
      <w:r w:rsidRPr="00161EA1">
        <w:rPr>
          <w:sz w:val="20"/>
          <w:szCs w:val="20"/>
          <w:vertAlign w:val="superscript"/>
        </w:rPr>
        <w:t>th</w:t>
      </w:r>
      <w:r w:rsidRPr="00161EA1">
        <w:rPr>
          <w:sz w:val="20"/>
          <w:szCs w:val="20"/>
        </w:rPr>
        <w:t xml:space="preserve"> </w:t>
      </w:r>
      <w:r w:rsidR="007F53E7" w:rsidRPr="00161EA1">
        <w:rPr>
          <w:sz w:val="20"/>
          <w:szCs w:val="20"/>
        </w:rPr>
        <w:t>edition</w:t>
      </w:r>
      <w:r w:rsidRPr="00161EA1">
        <w:rPr>
          <w:sz w:val="20"/>
          <w:szCs w:val="20"/>
        </w:rPr>
        <w:t>. M</w:t>
      </w:r>
      <w:r w:rsidR="007F53E7" w:rsidRPr="00161EA1">
        <w:rPr>
          <w:sz w:val="20"/>
          <w:szCs w:val="20"/>
        </w:rPr>
        <w:t>cGraw</w:t>
      </w:r>
      <w:r w:rsidRPr="00161EA1">
        <w:rPr>
          <w:sz w:val="20"/>
          <w:szCs w:val="20"/>
        </w:rPr>
        <w:t>-Hill Publishing Co. Inc. New York</w:t>
      </w:r>
      <w:r w:rsidR="007F53E7" w:rsidRPr="00161EA1">
        <w:rPr>
          <w:sz w:val="20"/>
          <w:szCs w:val="20"/>
        </w:rPr>
        <w:t>.</w:t>
      </w:r>
      <w:r w:rsidRPr="00161EA1">
        <w:rPr>
          <w:sz w:val="20"/>
          <w:szCs w:val="20"/>
        </w:rPr>
        <w:t xml:space="preserve"> 763.</w:t>
      </w:r>
    </w:p>
    <w:p w:rsidR="00DD2732" w:rsidRPr="00161EA1" w:rsidRDefault="00DD2732" w:rsidP="00F00BC7">
      <w:pPr>
        <w:numPr>
          <w:ilvl w:val="0"/>
          <w:numId w:val="1"/>
        </w:numPr>
        <w:snapToGrid w:val="0"/>
        <w:ind w:left="425" w:hanging="425"/>
        <w:jc w:val="both"/>
        <w:rPr>
          <w:sz w:val="20"/>
          <w:szCs w:val="20"/>
        </w:rPr>
      </w:pPr>
      <w:r w:rsidRPr="00161EA1">
        <w:rPr>
          <w:sz w:val="20"/>
          <w:szCs w:val="20"/>
        </w:rPr>
        <w:t xml:space="preserve">Stewart, E.A. H. </w:t>
      </w:r>
      <w:proofErr w:type="spellStart"/>
      <w:r w:rsidRPr="00161EA1">
        <w:rPr>
          <w:sz w:val="20"/>
          <w:szCs w:val="20"/>
        </w:rPr>
        <w:t>Maxcrimshaw</w:t>
      </w:r>
      <w:proofErr w:type="spellEnd"/>
      <w:r w:rsidRPr="00161EA1">
        <w:rPr>
          <w:sz w:val="20"/>
          <w:szCs w:val="20"/>
        </w:rPr>
        <w:t xml:space="preserve">, J.A. Parkinson and C. </w:t>
      </w:r>
      <w:proofErr w:type="spellStart"/>
      <w:r w:rsidRPr="00161EA1">
        <w:rPr>
          <w:sz w:val="20"/>
          <w:szCs w:val="20"/>
        </w:rPr>
        <w:t>Quarmby</w:t>
      </w:r>
      <w:proofErr w:type="spellEnd"/>
      <w:r w:rsidRPr="00161EA1">
        <w:rPr>
          <w:sz w:val="20"/>
          <w:szCs w:val="20"/>
        </w:rPr>
        <w:t xml:space="preserve"> (1974) </w:t>
      </w:r>
      <w:r w:rsidRPr="00161EA1">
        <w:rPr>
          <w:i/>
          <w:sz w:val="20"/>
          <w:szCs w:val="20"/>
        </w:rPr>
        <w:t xml:space="preserve">Chemical </w:t>
      </w:r>
      <w:r w:rsidR="007F53E7" w:rsidRPr="00161EA1">
        <w:rPr>
          <w:i/>
          <w:sz w:val="20"/>
          <w:szCs w:val="20"/>
        </w:rPr>
        <w:t xml:space="preserve">analysis </w:t>
      </w:r>
      <w:r w:rsidRPr="00161EA1">
        <w:rPr>
          <w:i/>
          <w:sz w:val="20"/>
          <w:szCs w:val="20"/>
        </w:rPr>
        <w:t xml:space="preserve">of </w:t>
      </w:r>
      <w:r w:rsidRPr="00161EA1">
        <w:rPr>
          <w:i/>
          <w:sz w:val="20"/>
          <w:szCs w:val="20"/>
        </w:rPr>
        <w:lastRenderedPageBreak/>
        <w:t xml:space="preserve">ecological </w:t>
      </w:r>
      <w:r w:rsidR="005318B6" w:rsidRPr="00161EA1">
        <w:rPr>
          <w:i/>
          <w:sz w:val="20"/>
          <w:szCs w:val="20"/>
        </w:rPr>
        <w:t xml:space="preserve">material. </w:t>
      </w:r>
      <w:r w:rsidRPr="00161EA1">
        <w:rPr>
          <w:sz w:val="20"/>
          <w:szCs w:val="20"/>
        </w:rPr>
        <w:t>Blackwell Scientific Publication, Oxford, London.</w:t>
      </w:r>
    </w:p>
    <w:p w:rsidR="00DD2732" w:rsidRPr="00161EA1" w:rsidRDefault="00E845A7" w:rsidP="00F00BC7">
      <w:pPr>
        <w:numPr>
          <w:ilvl w:val="0"/>
          <w:numId w:val="1"/>
        </w:numPr>
        <w:snapToGrid w:val="0"/>
        <w:ind w:left="425" w:hanging="425"/>
        <w:jc w:val="both"/>
        <w:rPr>
          <w:sz w:val="20"/>
          <w:szCs w:val="20"/>
        </w:rPr>
      </w:pPr>
      <w:r w:rsidRPr="00161EA1">
        <w:rPr>
          <w:sz w:val="20"/>
          <w:szCs w:val="20"/>
        </w:rPr>
        <w:t xml:space="preserve">Takahashi, S., J. </w:t>
      </w:r>
      <w:proofErr w:type="spellStart"/>
      <w:r w:rsidRPr="00161EA1">
        <w:rPr>
          <w:sz w:val="20"/>
          <w:szCs w:val="20"/>
        </w:rPr>
        <w:t>Kanetake</w:t>
      </w:r>
      <w:proofErr w:type="spellEnd"/>
      <w:r w:rsidRPr="00161EA1">
        <w:rPr>
          <w:sz w:val="20"/>
          <w:szCs w:val="20"/>
        </w:rPr>
        <w:t xml:space="preserve">, Y. </w:t>
      </w:r>
      <w:proofErr w:type="spellStart"/>
      <w:r w:rsidRPr="00161EA1">
        <w:rPr>
          <w:sz w:val="20"/>
          <w:szCs w:val="20"/>
        </w:rPr>
        <w:t>Kamukwaku</w:t>
      </w:r>
      <w:proofErr w:type="spellEnd"/>
      <w:r w:rsidRPr="00161EA1">
        <w:rPr>
          <w:sz w:val="20"/>
          <w:szCs w:val="20"/>
        </w:rPr>
        <w:t xml:space="preserve">, and M. </w:t>
      </w:r>
      <w:proofErr w:type="spellStart"/>
      <w:r w:rsidRPr="00161EA1">
        <w:rPr>
          <w:sz w:val="20"/>
          <w:szCs w:val="20"/>
        </w:rPr>
        <w:t>Funayama</w:t>
      </w:r>
      <w:proofErr w:type="spellEnd"/>
      <w:r w:rsidRPr="00161EA1">
        <w:rPr>
          <w:sz w:val="20"/>
          <w:szCs w:val="20"/>
        </w:rPr>
        <w:t xml:space="preserve"> (2007) Brain death with calcium oxalate deposition in the kidney: clue to the diagnosis of ethylene glycol poisoning </w:t>
      </w:r>
      <w:proofErr w:type="spellStart"/>
      <w:r w:rsidRPr="00161EA1">
        <w:rPr>
          <w:i/>
          <w:sz w:val="20"/>
          <w:szCs w:val="20"/>
        </w:rPr>
        <w:t>Clin</w:t>
      </w:r>
      <w:proofErr w:type="spellEnd"/>
      <w:r w:rsidRPr="00161EA1">
        <w:rPr>
          <w:i/>
          <w:sz w:val="20"/>
          <w:szCs w:val="20"/>
        </w:rPr>
        <w:t xml:space="preserve">. </w:t>
      </w:r>
      <w:proofErr w:type="spellStart"/>
      <w:r w:rsidRPr="00161EA1">
        <w:rPr>
          <w:i/>
          <w:sz w:val="20"/>
          <w:szCs w:val="20"/>
        </w:rPr>
        <w:t>Toxicol</w:t>
      </w:r>
      <w:proofErr w:type="spellEnd"/>
      <w:r w:rsidRPr="00161EA1">
        <w:rPr>
          <w:sz w:val="20"/>
          <w:szCs w:val="20"/>
        </w:rPr>
        <w:t>. 10 (1): 43-45.</w:t>
      </w:r>
    </w:p>
    <w:p w:rsidR="00F00BC7" w:rsidRPr="00161EA1" w:rsidRDefault="00DD2732" w:rsidP="00F00BC7">
      <w:pPr>
        <w:numPr>
          <w:ilvl w:val="0"/>
          <w:numId w:val="1"/>
        </w:numPr>
        <w:snapToGrid w:val="0"/>
        <w:ind w:left="425" w:hanging="425"/>
        <w:jc w:val="both"/>
        <w:rPr>
          <w:sz w:val="20"/>
          <w:szCs w:val="20"/>
          <w:lang w:eastAsia="zh-CN"/>
        </w:rPr>
      </w:pPr>
      <w:r w:rsidRPr="00161EA1">
        <w:rPr>
          <w:sz w:val="20"/>
          <w:szCs w:val="20"/>
        </w:rPr>
        <w:t xml:space="preserve">Van </w:t>
      </w:r>
      <w:proofErr w:type="spellStart"/>
      <w:r w:rsidRPr="00161EA1">
        <w:rPr>
          <w:sz w:val="20"/>
          <w:szCs w:val="20"/>
        </w:rPr>
        <w:t>Hamme</w:t>
      </w:r>
      <w:proofErr w:type="spellEnd"/>
      <w:r w:rsidRPr="00161EA1">
        <w:rPr>
          <w:sz w:val="20"/>
          <w:szCs w:val="20"/>
        </w:rPr>
        <w:t xml:space="preserve"> J.D, A. Singh and O.P. Ward (2003) Recent Advances in Petroleum Microbiology. </w:t>
      </w:r>
      <w:proofErr w:type="spellStart"/>
      <w:r w:rsidRPr="00161EA1">
        <w:rPr>
          <w:i/>
          <w:sz w:val="20"/>
          <w:szCs w:val="20"/>
        </w:rPr>
        <w:t>Microbiol</w:t>
      </w:r>
      <w:proofErr w:type="spellEnd"/>
      <w:r w:rsidRPr="00161EA1">
        <w:rPr>
          <w:i/>
          <w:sz w:val="20"/>
          <w:szCs w:val="20"/>
        </w:rPr>
        <w:t>. Mol. Rev.</w:t>
      </w:r>
      <w:r w:rsidRPr="00161EA1">
        <w:rPr>
          <w:sz w:val="20"/>
          <w:szCs w:val="20"/>
        </w:rPr>
        <w:t xml:space="preserve"> 67:249.</w:t>
      </w:r>
      <w:r w:rsidR="00F00BC7" w:rsidRPr="00161EA1">
        <w:rPr>
          <w:rFonts w:hint="eastAsia"/>
          <w:sz w:val="20"/>
          <w:szCs w:val="20"/>
          <w:lang w:eastAsia="zh-CN"/>
        </w:rPr>
        <w:t xml:space="preserve"> </w:t>
      </w:r>
      <w:r w:rsidRPr="00161EA1">
        <w:rPr>
          <w:sz w:val="20"/>
          <w:szCs w:val="20"/>
        </w:rPr>
        <w:t xml:space="preserve">Ward, W.A, Singh and J.D Van </w:t>
      </w:r>
      <w:proofErr w:type="spellStart"/>
      <w:r w:rsidRPr="00161EA1">
        <w:rPr>
          <w:sz w:val="20"/>
          <w:szCs w:val="20"/>
        </w:rPr>
        <w:t>Hamme</w:t>
      </w:r>
      <w:proofErr w:type="spellEnd"/>
      <w:r w:rsidRPr="00161EA1">
        <w:rPr>
          <w:sz w:val="20"/>
          <w:szCs w:val="20"/>
        </w:rPr>
        <w:t xml:space="preserve"> (2003). </w:t>
      </w:r>
      <w:r w:rsidR="007F53E7" w:rsidRPr="00161EA1">
        <w:rPr>
          <w:sz w:val="20"/>
          <w:szCs w:val="20"/>
        </w:rPr>
        <w:t xml:space="preserve">Anaerobic </w:t>
      </w:r>
      <w:r w:rsidRPr="00161EA1">
        <w:rPr>
          <w:sz w:val="20"/>
          <w:szCs w:val="20"/>
        </w:rPr>
        <w:t xml:space="preserve">bioremediation of petroleum hydrocarbon waste. </w:t>
      </w:r>
      <w:r w:rsidRPr="00161EA1">
        <w:rPr>
          <w:i/>
          <w:sz w:val="20"/>
          <w:szCs w:val="20"/>
        </w:rPr>
        <w:t xml:space="preserve">J. Ind. </w:t>
      </w:r>
      <w:proofErr w:type="spellStart"/>
      <w:r w:rsidRPr="00161EA1">
        <w:rPr>
          <w:i/>
          <w:sz w:val="20"/>
          <w:szCs w:val="20"/>
        </w:rPr>
        <w:t>Microbiol</w:t>
      </w:r>
      <w:proofErr w:type="spellEnd"/>
      <w:r w:rsidRPr="00161EA1">
        <w:rPr>
          <w:i/>
          <w:sz w:val="20"/>
          <w:szCs w:val="20"/>
        </w:rPr>
        <w:t>. Technol.</w:t>
      </w:r>
      <w:r w:rsidRPr="00161EA1">
        <w:rPr>
          <w:sz w:val="20"/>
          <w:szCs w:val="20"/>
        </w:rPr>
        <w:t xml:space="preserve"> 30:260.</w:t>
      </w:r>
      <w:r w:rsidR="00161EA1" w:rsidRPr="00161EA1">
        <w:rPr>
          <w:rFonts w:hint="eastAsia"/>
          <w:sz w:val="20"/>
          <w:szCs w:val="20"/>
          <w:lang w:eastAsia="zh-CN"/>
        </w:rPr>
        <w:t xml:space="preserve"> </w:t>
      </w:r>
    </w:p>
    <w:p w:rsidR="00F00BC7" w:rsidRPr="00161EA1" w:rsidRDefault="00F00BC7" w:rsidP="00F00BC7">
      <w:pPr>
        <w:snapToGrid w:val="0"/>
        <w:ind w:left="425" w:hanging="425"/>
        <w:jc w:val="both"/>
        <w:rPr>
          <w:sz w:val="20"/>
          <w:szCs w:val="20"/>
          <w:lang w:eastAsia="zh-CN"/>
        </w:rPr>
        <w:sectPr w:rsidR="00F00BC7" w:rsidRPr="00161EA1" w:rsidSect="00161EA1">
          <w:type w:val="continuous"/>
          <w:pgSz w:w="12240" w:h="15840" w:code="1"/>
          <w:pgMar w:top="1440" w:right="1440" w:bottom="1440" w:left="1440" w:header="720" w:footer="720" w:gutter="0"/>
          <w:cols w:num="2" w:space="576"/>
          <w:docGrid w:linePitch="360"/>
        </w:sectPr>
      </w:pPr>
    </w:p>
    <w:p w:rsidR="00F00BC7" w:rsidRPr="00161EA1" w:rsidRDefault="00F00BC7" w:rsidP="00F00BC7">
      <w:pPr>
        <w:snapToGrid w:val="0"/>
        <w:ind w:left="425" w:hanging="425"/>
        <w:jc w:val="both"/>
        <w:rPr>
          <w:sz w:val="20"/>
          <w:szCs w:val="20"/>
          <w:lang w:eastAsia="zh-CN"/>
        </w:rPr>
      </w:pPr>
    </w:p>
    <w:p w:rsidR="00F00BC7" w:rsidRPr="00161EA1" w:rsidRDefault="00F00BC7" w:rsidP="00F00BC7">
      <w:pPr>
        <w:snapToGrid w:val="0"/>
        <w:ind w:left="425" w:hanging="425"/>
        <w:jc w:val="both"/>
        <w:rPr>
          <w:sz w:val="20"/>
          <w:szCs w:val="20"/>
          <w:lang w:eastAsia="zh-CN"/>
        </w:rPr>
      </w:pPr>
    </w:p>
    <w:p w:rsidR="00F00BC7" w:rsidRPr="00161EA1" w:rsidRDefault="00F00BC7" w:rsidP="00F00BC7">
      <w:pPr>
        <w:snapToGrid w:val="0"/>
        <w:ind w:left="425" w:hanging="425"/>
        <w:jc w:val="both"/>
        <w:rPr>
          <w:sz w:val="20"/>
          <w:szCs w:val="20"/>
          <w:lang w:eastAsia="zh-CN"/>
        </w:rPr>
      </w:pPr>
    </w:p>
    <w:p w:rsidR="00CB2EBC" w:rsidRPr="00161EA1" w:rsidRDefault="002C1F33" w:rsidP="00F00BC7">
      <w:pPr>
        <w:snapToGrid w:val="0"/>
        <w:ind w:left="425" w:hanging="425"/>
        <w:jc w:val="both"/>
        <w:rPr>
          <w:sz w:val="20"/>
          <w:szCs w:val="20"/>
        </w:rPr>
      </w:pPr>
      <w:r w:rsidRPr="00161EA1">
        <w:rPr>
          <w:sz w:val="20"/>
          <w:szCs w:val="20"/>
        </w:rPr>
        <w:t>5/25/2016</w:t>
      </w:r>
    </w:p>
    <w:sectPr w:rsidR="00CB2EBC" w:rsidRPr="00161EA1" w:rsidSect="00AF0C8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567" w:rsidRDefault="009D4567">
      <w:r>
        <w:separator/>
      </w:r>
    </w:p>
  </w:endnote>
  <w:endnote w:type="continuationSeparator" w:id="0">
    <w:p w:rsidR="009D4567" w:rsidRDefault="009D4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04" w:rsidRDefault="00C018FB" w:rsidP="00CA3AB2">
    <w:pPr>
      <w:pStyle w:val="Footer"/>
      <w:framePr w:wrap="around" w:vAnchor="text" w:hAnchor="margin" w:xAlign="right" w:y="1"/>
      <w:rPr>
        <w:rStyle w:val="PageNumber"/>
      </w:rPr>
    </w:pPr>
    <w:r>
      <w:rPr>
        <w:rStyle w:val="PageNumber"/>
      </w:rPr>
      <w:fldChar w:fldCharType="begin"/>
    </w:r>
    <w:r w:rsidR="005D2804">
      <w:rPr>
        <w:rStyle w:val="PageNumber"/>
      </w:rPr>
      <w:instrText xml:space="preserve">PAGE  </w:instrText>
    </w:r>
    <w:r>
      <w:rPr>
        <w:rStyle w:val="PageNumber"/>
      </w:rPr>
      <w:fldChar w:fldCharType="end"/>
    </w:r>
  </w:p>
  <w:p w:rsidR="005D2804" w:rsidRDefault="005D2804" w:rsidP="002D2B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04" w:rsidRPr="002C1F33" w:rsidRDefault="00C018FB" w:rsidP="002C1F33">
    <w:pPr>
      <w:jc w:val="center"/>
      <w:rPr>
        <w:sz w:val="20"/>
      </w:rPr>
    </w:pPr>
    <w:r w:rsidRPr="002C1F33">
      <w:rPr>
        <w:sz w:val="20"/>
      </w:rPr>
      <w:fldChar w:fldCharType="begin"/>
    </w:r>
    <w:r w:rsidR="002C1F33" w:rsidRPr="002C1F33">
      <w:rPr>
        <w:sz w:val="20"/>
      </w:rPr>
      <w:instrText xml:space="preserve"> page </w:instrText>
    </w:r>
    <w:r w:rsidRPr="002C1F33">
      <w:rPr>
        <w:sz w:val="20"/>
      </w:rPr>
      <w:fldChar w:fldCharType="separate"/>
    </w:r>
    <w:r w:rsidR="00161EA1">
      <w:rPr>
        <w:noProof/>
        <w:sz w:val="20"/>
      </w:rPr>
      <w:t>61</w:t>
    </w:r>
    <w:r w:rsidRPr="002C1F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567" w:rsidRDefault="009D4567">
      <w:r>
        <w:separator/>
      </w:r>
    </w:p>
  </w:footnote>
  <w:footnote w:type="continuationSeparator" w:id="0">
    <w:p w:rsidR="009D4567" w:rsidRDefault="009D4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33" w:rsidRPr="002C1F33" w:rsidRDefault="002C1F33" w:rsidP="002C1F33">
    <w:pPr>
      <w:pBdr>
        <w:bottom w:val="thinThickMediumGap" w:sz="12" w:space="1" w:color="auto"/>
      </w:pBdr>
      <w:tabs>
        <w:tab w:val="left" w:pos="851"/>
        <w:tab w:val="right" w:pos="8364"/>
      </w:tabs>
      <w:adjustRightInd w:val="0"/>
      <w:snapToGrid w:val="0"/>
      <w:jc w:val="both"/>
      <w:rPr>
        <w:color w:val="0000FF"/>
        <w:sz w:val="20"/>
        <w:szCs w:val="20"/>
      </w:rPr>
    </w:pPr>
    <w:r w:rsidRPr="002C1F33">
      <w:rPr>
        <w:rFonts w:hint="eastAsia"/>
        <w:sz w:val="20"/>
        <w:szCs w:val="20"/>
      </w:rPr>
      <w:tab/>
    </w:r>
    <w:r w:rsidRPr="002C1F33">
      <w:rPr>
        <w:sz w:val="20"/>
        <w:szCs w:val="20"/>
      </w:rPr>
      <w:t>Report and Opinion 201</w:t>
    </w:r>
    <w:r w:rsidRPr="002C1F33">
      <w:rPr>
        <w:rFonts w:hint="eastAsia"/>
        <w:sz w:val="20"/>
        <w:szCs w:val="20"/>
      </w:rPr>
      <w:t>6</w:t>
    </w:r>
    <w:proofErr w:type="gramStart"/>
    <w:r w:rsidRPr="002C1F33">
      <w:rPr>
        <w:sz w:val="20"/>
        <w:szCs w:val="20"/>
      </w:rPr>
      <w:t>;</w:t>
    </w:r>
    <w:r w:rsidRPr="002C1F33">
      <w:rPr>
        <w:rFonts w:hint="eastAsia"/>
        <w:sz w:val="20"/>
        <w:szCs w:val="20"/>
      </w:rPr>
      <w:t>8</w:t>
    </w:r>
    <w:proofErr w:type="gramEnd"/>
    <w:r w:rsidRPr="002C1F33">
      <w:rPr>
        <w:sz w:val="20"/>
        <w:szCs w:val="20"/>
      </w:rPr>
      <w:t>(</w:t>
    </w:r>
    <w:r w:rsidRPr="002C1F33">
      <w:rPr>
        <w:rFonts w:hint="eastAsia"/>
        <w:sz w:val="20"/>
        <w:szCs w:val="20"/>
      </w:rPr>
      <w:t>5</w:t>
    </w:r>
    <w:r w:rsidRPr="002C1F33">
      <w:rPr>
        <w:sz w:val="20"/>
        <w:szCs w:val="20"/>
      </w:rPr>
      <w:t>)</w:t>
    </w:r>
    <w:r w:rsidRPr="002C1F33">
      <w:rPr>
        <w:rFonts w:hint="eastAsia"/>
        <w:sz w:val="20"/>
        <w:szCs w:val="20"/>
      </w:rPr>
      <w:t xml:space="preserve">    </w:t>
    </w:r>
    <w:r w:rsidRPr="002C1F33">
      <w:rPr>
        <w:rFonts w:hint="eastAsia"/>
        <w:sz w:val="20"/>
        <w:szCs w:val="20"/>
      </w:rPr>
      <w:tab/>
      <w:t xml:space="preserve">      </w:t>
    </w:r>
    <w:hyperlink r:id="rId1" w:history="1">
      <w:r w:rsidRPr="002C1F33">
        <w:rPr>
          <w:rStyle w:val="Hyperlink"/>
          <w:color w:val="0000FF"/>
          <w:sz w:val="20"/>
          <w:szCs w:val="20"/>
        </w:rPr>
        <w:t>http://www.sciencepub.net/report</w:t>
      </w:r>
    </w:hyperlink>
  </w:p>
  <w:p w:rsidR="002C1F33" w:rsidRPr="002C1F33" w:rsidRDefault="002C1F33" w:rsidP="002C1F3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06ECF"/>
    <w:multiLevelType w:val="hybridMultilevel"/>
    <w:tmpl w:val="90347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6CBD"/>
    <w:rsid w:val="00015670"/>
    <w:rsid w:val="00017D17"/>
    <w:rsid w:val="000222A1"/>
    <w:rsid w:val="00024E83"/>
    <w:rsid w:val="0004104A"/>
    <w:rsid w:val="000439FE"/>
    <w:rsid w:val="00045BBD"/>
    <w:rsid w:val="0004669A"/>
    <w:rsid w:val="00064CFD"/>
    <w:rsid w:val="00066A80"/>
    <w:rsid w:val="00072B96"/>
    <w:rsid w:val="000A0E5C"/>
    <w:rsid w:val="000B302C"/>
    <w:rsid w:val="000E1AEF"/>
    <w:rsid w:val="000E1CA8"/>
    <w:rsid w:val="000E2C3F"/>
    <w:rsid w:val="000E6C68"/>
    <w:rsid w:val="000F36E0"/>
    <w:rsid w:val="0010764F"/>
    <w:rsid w:val="001466DB"/>
    <w:rsid w:val="001562EE"/>
    <w:rsid w:val="00160711"/>
    <w:rsid w:val="0016174B"/>
    <w:rsid w:val="00161EA1"/>
    <w:rsid w:val="00163F2D"/>
    <w:rsid w:val="0017488C"/>
    <w:rsid w:val="0018056A"/>
    <w:rsid w:val="001811AA"/>
    <w:rsid w:val="001C47AA"/>
    <w:rsid w:val="001D3A42"/>
    <w:rsid w:val="001D7962"/>
    <w:rsid w:val="001E5880"/>
    <w:rsid w:val="001E7D02"/>
    <w:rsid w:val="001F1258"/>
    <w:rsid w:val="002045C6"/>
    <w:rsid w:val="00224E51"/>
    <w:rsid w:val="002328E7"/>
    <w:rsid w:val="00253FA6"/>
    <w:rsid w:val="0025601E"/>
    <w:rsid w:val="00256E44"/>
    <w:rsid w:val="002679EE"/>
    <w:rsid w:val="002722E6"/>
    <w:rsid w:val="00283634"/>
    <w:rsid w:val="00293FB3"/>
    <w:rsid w:val="00296ABC"/>
    <w:rsid w:val="00297F0B"/>
    <w:rsid w:val="002B238B"/>
    <w:rsid w:val="002B292B"/>
    <w:rsid w:val="002C1F33"/>
    <w:rsid w:val="002D2B7D"/>
    <w:rsid w:val="002E4BC1"/>
    <w:rsid w:val="002F7C21"/>
    <w:rsid w:val="00310B5D"/>
    <w:rsid w:val="003167C4"/>
    <w:rsid w:val="003325C2"/>
    <w:rsid w:val="00341CDD"/>
    <w:rsid w:val="00357ECA"/>
    <w:rsid w:val="00377A57"/>
    <w:rsid w:val="0039396C"/>
    <w:rsid w:val="00395424"/>
    <w:rsid w:val="003A2D31"/>
    <w:rsid w:val="003B7083"/>
    <w:rsid w:val="003C42AD"/>
    <w:rsid w:val="003C6349"/>
    <w:rsid w:val="003D233E"/>
    <w:rsid w:val="003D469B"/>
    <w:rsid w:val="003E0BFF"/>
    <w:rsid w:val="003E3EB2"/>
    <w:rsid w:val="003F5D25"/>
    <w:rsid w:val="003F70CF"/>
    <w:rsid w:val="00400CF4"/>
    <w:rsid w:val="00401184"/>
    <w:rsid w:val="00434059"/>
    <w:rsid w:val="0044139B"/>
    <w:rsid w:val="00443B4C"/>
    <w:rsid w:val="0045017E"/>
    <w:rsid w:val="00475639"/>
    <w:rsid w:val="00483E9B"/>
    <w:rsid w:val="00487D14"/>
    <w:rsid w:val="00490E5D"/>
    <w:rsid w:val="00493C53"/>
    <w:rsid w:val="004B12FE"/>
    <w:rsid w:val="004B6ACA"/>
    <w:rsid w:val="004C2A2B"/>
    <w:rsid w:val="004D0CC9"/>
    <w:rsid w:val="004D48D8"/>
    <w:rsid w:val="004E4C11"/>
    <w:rsid w:val="004F6E91"/>
    <w:rsid w:val="00525346"/>
    <w:rsid w:val="005260FC"/>
    <w:rsid w:val="005318B6"/>
    <w:rsid w:val="005453D6"/>
    <w:rsid w:val="00550A0A"/>
    <w:rsid w:val="00553C8B"/>
    <w:rsid w:val="00557099"/>
    <w:rsid w:val="005630A1"/>
    <w:rsid w:val="005662C3"/>
    <w:rsid w:val="00570A7A"/>
    <w:rsid w:val="00597176"/>
    <w:rsid w:val="005B382D"/>
    <w:rsid w:val="005B558E"/>
    <w:rsid w:val="005D2804"/>
    <w:rsid w:val="005E07BC"/>
    <w:rsid w:val="005E2AD9"/>
    <w:rsid w:val="005F0C31"/>
    <w:rsid w:val="005F2E1D"/>
    <w:rsid w:val="00612D13"/>
    <w:rsid w:val="00614770"/>
    <w:rsid w:val="00617CE5"/>
    <w:rsid w:val="00621E50"/>
    <w:rsid w:val="00624907"/>
    <w:rsid w:val="006256BE"/>
    <w:rsid w:val="006264D2"/>
    <w:rsid w:val="00630D01"/>
    <w:rsid w:val="00645F36"/>
    <w:rsid w:val="006524F0"/>
    <w:rsid w:val="006703D3"/>
    <w:rsid w:val="00675308"/>
    <w:rsid w:val="006A23CB"/>
    <w:rsid w:val="006A278B"/>
    <w:rsid w:val="006A2E6E"/>
    <w:rsid w:val="006B1CDD"/>
    <w:rsid w:val="006B4AE8"/>
    <w:rsid w:val="006C7896"/>
    <w:rsid w:val="006D4C54"/>
    <w:rsid w:val="006E44F0"/>
    <w:rsid w:val="00702FC2"/>
    <w:rsid w:val="00714FAF"/>
    <w:rsid w:val="0072234A"/>
    <w:rsid w:val="00741774"/>
    <w:rsid w:val="0076301C"/>
    <w:rsid w:val="007732BF"/>
    <w:rsid w:val="0078253F"/>
    <w:rsid w:val="00790BE6"/>
    <w:rsid w:val="00792CD8"/>
    <w:rsid w:val="007A609B"/>
    <w:rsid w:val="007A7E5D"/>
    <w:rsid w:val="007D670E"/>
    <w:rsid w:val="007F05D6"/>
    <w:rsid w:val="007F53E7"/>
    <w:rsid w:val="007F6A9D"/>
    <w:rsid w:val="00802F0A"/>
    <w:rsid w:val="008173E0"/>
    <w:rsid w:val="00834086"/>
    <w:rsid w:val="008415A5"/>
    <w:rsid w:val="0085625E"/>
    <w:rsid w:val="00864036"/>
    <w:rsid w:val="0086433C"/>
    <w:rsid w:val="008812B7"/>
    <w:rsid w:val="0088657B"/>
    <w:rsid w:val="008B7CE0"/>
    <w:rsid w:val="008E63D9"/>
    <w:rsid w:val="008F0EC1"/>
    <w:rsid w:val="00906325"/>
    <w:rsid w:val="00920F42"/>
    <w:rsid w:val="00923515"/>
    <w:rsid w:val="00937023"/>
    <w:rsid w:val="00944DB9"/>
    <w:rsid w:val="0095557C"/>
    <w:rsid w:val="009631E5"/>
    <w:rsid w:val="009760D7"/>
    <w:rsid w:val="00994BC9"/>
    <w:rsid w:val="009D4567"/>
    <w:rsid w:val="009F16F6"/>
    <w:rsid w:val="00A0193E"/>
    <w:rsid w:val="00A03976"/>
    <w:rsid w:val="00A066F7"/>
    <w:rsid w:val="00A13BC1"/>
    <w:rsid w:val="00A17D1D"/>
    <w:rsid w:val="00A24F4A"/>
    <w:rsid w:val="00A32325"/>
    <w:rsid w:val="00A34F69"/>
    <w:rsid w:val="00A3564C"/>
    <w:rsid w:val="00A53D45"/>
    <w:rsid w:val="00A6534A"/>
    <w:rsid w:val="00A86866"/>
    <w:rsid w:val="00A9787B"/>
    <w:rsid w:val="00AB3036"/>
    <w:rsid w:val="00AB5685"/>
    <w:rsid w:val="00AC155E"/>
    <w:rsid w:val="00AE70CB"/>
    <w:rsid w:val="00AF0C8C"/>
    <w:rsid w:val="00B12713"/>
    <w:rsid w:val="00B22007"/>
    <w:rsid w:val="00B277EA"/>
    <w:rsid w:val="00B3115A"/>
    <w:rsid w:val="00B43A5D"/>
    <w:rsid w:val="00B7013C"/>
    <w:rsid w:val="00B72B68"/>
    <w:rsid w:val="00B805CF"/>
    <w:rsid w:val="00B8437D"/>
    <w:rsid w:val="00B84A00"/>
    <w:rsid w:val="00BA3B2C"/>
    <w:rsid w:val="00BA5969"/>
    <w:rsid w:val="00BB5114"/>
    <w:rsid w:val="00C018FB"/>
    <w:rsid w:val="00C24857"/>
    <w:rsid w:val="00C26F22"/>
    <w:rsid w:val="00C312C0"/>
    <w:rsid w:val="00C3510D"/>
    <w:rsid w:val="00C41AC8"/>
    <w:rsid w:val="00C45A31"/>
    <w:rsid w:val="00C500C7"/>
    <w:rsid w:val="00C50310"/>
    <w:rsid w:val="00C5609D"/>
    <w:rsid w:val="00C5747C"/>
    <w:rsid w:val="00C645AF"/>
    <w:rsid w:val="00C931DF"/>
    <w:rsid w:val="00CA3AB2"/>
    <w:rsid w:val="00CA696C"/>
    <w:rsid w:val="00CB2EBC"/>
    <w:rsid w:val="00CE45FC"/>
    <w:rsid w:val="00CF268C"/>
    <w:rsid w:val="00D0440C"/>
    <w:rsid w:val="00D1301A"/>
    <w:rsid w:val="00D31C04"/>
    <w:rsid w:val="00D508A7"/>
    <w:rsid w:val="00D513B7"/>
    <w:rsid w:val="00D82673"/>
    <w:rsid w:val="00D8732E"/>
    <w:rsid w:val="00DD2732"/>
    <w:rsid w:val="00DD27F5"/>
    <w:rsid w:val="00DD2D95"/>
    <w:rsid w:val="00DE7CA6"/>
    <w:rsid w:val="00DF3027"/>
    <w:rsid w:val="00DF5747"/>
    <w:rsid w:val="00E105E7"/>
    <w:rsid w:val="00E4023C"/>
    <w:rsid w:val="00E46663"/>
    <w:rsid w:val="00E5381D"/>
    <w:rsid w:val="00E751C8"/>
    <w:rsid w:val="00E8230C"/>
    <w:rsid w:val="00E845A7"/>
    <w:rsid w:val="00E91B7C"/>
    <w:rsid w:val="00EA49EE"/>
    <w:rsid w:val="00EC38F0"/>
    <w:rsid w:val="00EC5F16"/>
    <w:rsid w:val="00EE4B88"/>
    <w:rsid w:val="00F004EC"/>
    <w:rsid w:val="00F00BC7"/>
    <w:rsid w:val="00F14BEB"/>
    <w:rsid w:val="00F208DD"/>
    <w:rsid w:val="00F21AC4"/>
    <w:rsid w:val="00F24612"/>
    <w:rsid w:val="00F27C32"/>
    <w:rsid w:val="00F3131B"/>
    <w:rsid w:val="00F46906"/>
    <w:rsid w:val="00F52D1A"/>
    <w:rsid w:val="00F537E3"/>
    <w:rsid w:val="00F64B3A"/>
    <w:rsid w:val="00F654FA"/>
    <w:rsid w:val="00F7451F"/>
    <w:rsid w:val="00F806D4"/>
    <w:rsid w:val="00F90D53"/>
    <w:rsid w:val="00F978BF"/>
    <w:rsid w:val="00FA47A5"/>
    <w:rsid w:val="00FA6CBD"/>
    <w:rsid w:val="00FA7FE6"/>
    <w:rsid w:val="00FB6A73"/>
    <w:rsid w:val="00FD6FE9"/>
    <w:rsid w:val="00FE7DFB"/>
    <w:rsid w:val="00FF17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6B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D2B7D"/>
    <w:pPr>
      <w:tabs>
        <w:tab w:val="center" w:pos="4320"/>
        <w:tab w:val="right" w:pos="8640"/>
      </w:tabs>
    </w:pPr>
  </w:style>
  <w:style w:type="character" w:styleId="PageNumber">
    <w:name w:val="page number"/>
    <w:basedOn w:val="DefaultParagraphFont"/>
    <w:rsid w:val="002D2B7D"/>
  </w:style>
  <w:style w:type="paragraph" w:styleId="Header">
    <w:name w:val="header"/>
    <w:basedOn w:val="Normal"/>
    <w:link w:val="HeaderChar"/>
    <w:rsid w:val="002679EE"/>
    <w:pPr>
      <w:tabs>
        <w:tab w:val="center" w:pos="4513"/>
        <w:tab w:val="right" w:pos="9026"/>
      </w:tabs>
    </w:pPr>
  </w:style>
  <w:style w:type="character" w:customStyle="1" w:styleId="HeaderChar">
    <w:name w:val="Header Char"/>
    <w:link w:val="Header"/>
    <w:rsid w:val="002679EE"/>
    <w:rPr>
      <w:sz w:val="24"/>
      <w:szCs w:val="24"/>
      <w:lang w:val="en-US" w:eastAsia="en-US"/>
    </w:rPr>
  </w:style>
  <w:style w:type="character" w:customStyle="1" w:styleId="FooterChar">
    <w:name w:val="Footer Char"/>
    <w:link w:val="Footer"/>
    <w:uiPriority w:val="99"/>
    <w:rsid w:val="002679EE"/>
    <w:rPr>
      <w:sz w:val="24"/>
      <w:szCs w:val="24"/>
      <w:lang w:val="en-US" w:eastAsia="en-US"/>
    </w:rPr>
  </w:style>
  <w:style w:type="character" w:styleId="Hyperlink">
    <w:name w:val="Hyperlink"/>
    <w:basedOn w:val="DefaultParagraphFont"/>
    <w:uiPriority w:val="99"/>
    <w:rsid w:val="002C1F33"/>
    <w:rPr>
      <w:color w:val="000000"/>
      <w:u w:val="single"/>
    </w:rPr>
  </w:style>
  <w:style w:type="paragraph" w:customStyle="1" w:styleId="Text">
    <w:name w:val="Text"/>
    <w:basedOn w:val="Normal"/>
    <w:rsid w:val="002C1F33"/>
    <w:pPr>
      <w:widowControl w:val="0"/>
      <w:autoSpaceDE w:val="0"/>
      <w:autoSpaceDN w:val="0"/>
      <w:spacing w:line="252" w:lineRule="auto"/>
      <w:ind w:firstLine="202"/>
      <w:jc w:val="both"/>
    </w:pPr>
    <w:rPr>
      <w:rFonts w:eastAsia="PMingLiU"/>
      <w:sz w:val="20"/>
      <w:szCs w:val="20"/>
    </w:rPr>
  </w:style>
  <w:style w:type="paragraph" w:styleId="BalloonText">
    <w:name w:val="Balloon Text"/>
    <w:basedOn w:val="Normal"/>
    <w:link w:val="BalloonTextChar"/>
    <w:rsid w:val="00A03976"/>
    <w:rPr>
      <w:rFonts w:ascii="Tahoma" w:hAnsi="Tahoma" w:cs="Tahoma"/>
      <w:sz w:val="16"/>
      <w:szCs w:val="16"/>
    </w:rPr>
  </w:style>
  <w:style w:type="character" w:customStyle="1" w:styleId="BalloonTextChar">
    <w:name w:val="Balloon Text Char"/>
    <w:basedOn w:val="DefaultParagraphFont"/>
    <w:link w:val="BalloonText"/>
    <w:rsid w:val="00A039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image" Target="media/image1.wmf"/><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theme" Target="theme/theme1.xml"/><Relationship Id="rId7" Type="http://schemas.openxmlformats.org/officeDocument/2006/relationships/hyperlink" Target="mailto:Chineduvin@Yahoo.Com" TargetMode="Externa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hyperlink" Target="http://www.dx.doi.org/10.7537/marsroj08051609" TargetMode="Externa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BIODEGRADABILITY OF UNUSED LUBRICATING BRAKE FLUIDS IN FRESH AND AQUATIC SYSTEMS</vt:lpstr>
    </vt:vector>
  </TitlesOfParts>
  <Company/>
  <LinksUpToDate>false</LinksUpToDate>
  <CharactersWithSpaces>33407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BIODEGRADABILITY OF UNUSED LUBRICATING BRAKE FLUIDS IN FRESH AND AQUATIC SYSTEMS</dc:title>
  <dc:creator>CHIOMA</dc:creator>
  <cp:lastModifiedBy>Administrator</cp:lastModifiedBy>
  <cp:revision>4</cp:revision>
  <cp:lastPrinted>2016-05-26T00:49:00Z</cp:lastPrinted>
  <dcterms:created xsi:type="dcterms:W3CDTF">2016-05-26T12:21:00Z</dcterms:created>
  <dcterms:modified xsi:type="dcterms:W3CDTF">2016-05-26T02:52:00Z</dcterms:modified>
</cp:coreProperties>
</file>