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66" w:rsidRPr="004C22EA" w:rsidRDefault="00BC1CEB" w:rsidP="0026550A">
      <w:pPr>
        <w:snapToGrid w:val="0"/>
        <w:jc w:val="center"/>
        <w:rPr>
          <w:b/>
          <w:sz w:val="20"/>
          <w:szCs w:val="20"/>
        </w:rPr>
      </w:pPr>
      <w:r w:rsidRPr="004C22EA">
        <w:rPr>
          <w:b/>
          <w:sz w:val="20"/>
          <w:szCs w:val="20"/>
        </w:rPr>
        <w:t xml:space="preserve">Epidemiology of Cattle Mange Mite in Mekelle </w:t>
      </w:r>
      <w:r w:rsidR="00033B89" w:rsidRPr="004C22EA">
        <w:rPr>
          <w:b/>
          <w:sz w:val="20"/>
          <w:szCs w:val="20"/>
        </w:rPr>
        <w:t>and</w:t>
      </w:r>
      <w:r w:rsidRPr="004C22EA">
        <w:rPr>
          <w:b/>
          <w:sz w:val="20"/>
          <w:szCs w:val="20"/>
        </w:rPr>
        <w:t xml:space="preserve"> Adigrat Districts:</w:t>
      </w:r>
      <w:r w:rsidR="004C22EA">
        <w:rPr>
          <w:b/>
          <w:sz w:val="20"/>
          <w:szCs w:val="20"/>
        </w:rPr>
        <w:t xml:space="preserve"> </w:t>
      </w:r>
      <w:r w:rsidRPr="004C22EA">
        <w:rPr>
          <w:b/>
          <w:sz w:val="20"/>
          <w:szCs w:val="20"/>
        </w:rPr>
        <w:t>Prevalence and Associated Risk Factors</w:t>
      </w:r>
    </w:p>
    <w:p w:rsidR="00700DC5" w:rsidRPr="004C22EA" w:rsidRDefault="00700DC5" w:rsidP="0026550A">
      <w:pPr>
        <w:snapToGrid w:val="0"/>
        <w:jc w:val="center"/>
        <w:rPr>
          <w:b/>
          <w:sz w:val="20"/>
          <w:szCs w:val="20"/>
        </w:rPr>
      </w:pPr>
    </w:p>
    <w:p w:rsidR="003E21D7" w:rsidRPr="004C22EA" w:rsidRDefault="009A42F8" w:rsidP="0026550A">
      <w:pPr>
        <w:snapToGrid w:val="0"/>
        <w:jc w:val="center"/>
        <w:rPr>
          <w:sz w:val="20"/>
          <w:szCs w:val="20"/>
        </w:rPr>
      </w:pPr>
      <w:r w:rsidRPr="004C22EA">
        <w:rPr>
          <w:sz w:val="20"/>
          <w:szCs w:val="20"/>
          <w:vertAlign w:val="superscript"/>
        </w:rPr>
        <w:t>1</w:t>
      </w:r>
      <w:r w:rsidR="00103C45" w:rsidRPr="004C22EA">
        <w:rPr>
          <w:sz w:val="20"/>
          <w:szCs w:val="20"/>
        </w:rPr>
        <w:t>Gezah</w:t>
      </w:r>
      <w:r w:rsidR="0085060C" w:rsidRPr="004C22EA">
        <w:rPr>
          <w:sz w:val="20"/>
          <w:szCs w:val="20"/>
        </w:rPr>
        <w:t>e</w:t>
      </w:r>
      <w:r w:rsidR="00103C45" w:rsidRPr="004C22EA">
        <w:rPr>
          <w:sz w:val="20"/>
          <w:szCs w:val="20"/>
        </w:rPr>
        <w:t>gn Ashagre</w:t>
      </w:r>
      <w:r w:rsidRPr="004C22EA">
        <w:rPr>
          <w:sz w:val="20"/>
          <w:szCs w:val="20"/>
        </w:rPr>
        <w:t xml:space="preserve">, </w:t>
      </w:r>
      <w:r w:rsidRPr="004C22EA">
        <w:rPr>
          <w:sz w:val="20"/>
          <w:szCs w:val="20"/>
          <w:vertAlign w:val="superscript"/>
        </w:rPr>
        <w:t>2</w:t>
      </w:r>
      <w:r w:rsidR="003E21D7" w:rsidRPr="004C22EA">
        <w:rPr>
          <w:sz w:val="20"/>
          <w:szCs w:val="20"/>
        </w:rPr>
        <w:t xml:space="preserve">Kefyalew Chirkena, </w:t>
      </w:r>
      <w:r w:rsidRPr="004C22EA">
        <w:rPr>
          <w:sz w:val="20"/>
          <w:szCs w:val="20"/>
          <w:vertAlign w:val="superscript"/>
        </w:rPr>
        <w:t>3</w:t>
      </w:r>
      <w:r w:rsidR="007D54D8" w:rsidRPr="004C22EA">
        <w:rPr>
          <w:sz w:val="20"/>
          <w:szCs w:val="20"/>
        </w:rPr>
        <w:t>Sisay Getachew,</w:t>
      </w:r>
      <w:r w:rsidR="00103C45" w:rsidRPr="004C22EA">
        <w:rPr>
          <w:sz w:val="20"/>
          <w:szCs w:val="20"/>
        </w:rPr>
        <w:t xml:space="preserve"> </w:t>
      </w:r>
      <w:r w:rsidR="00C90519" w:rsidRPr="004C22EA">
        <w:rPr>
          <w:sz w:val="20"/>
          <w:szCs w:val="20"/>
          <w:vertAlign w:val="superscript"/>
        </w:rPr>
        <w:t>4</w:t>
      </w:r>
      <w:r w:rsidR="00103C45" w:rsidRPr="004C22EA">
        <w:rPr>
          <w:sz w:val="20"/>
          <w:szCs w:val="20"/>
        </w:rPr>
        <w:t xml:space="preserve">Yonas Alemayehu, </w:t>
      </w:r>
      <w:r w:rsidR="00C90519" w:rsidRPr="004C22EA">
        <w:rPr>
          <w:sz w:val="20"/>
          <w:szCs w:val="20"/>
          <w:vertAlign w:val="superscript"/>
        </w:rPr>
        <w:t>5</w:t>
      </w:r>
      <w:r w:rsidR="00103C45" w:rsidRPr="004C22EA">
        <w:rPr>
          <w:sz w:val="20"/>
          <w:szCs w:val="20"/>
        </w:rPr>
        <w:t>Lemma Minda</w:t>
      </w:r>
      <w:r w:rsidR="00006DFB">
        <w:rPr>
          <w:sz w:val="20"/>
          <w:szCs w:val="20"/>
        </w:rPr>
        <w:t>, Yismashewa Wogayehu</w:t>
      </w:r>
      <w:r w:rsidR="00006DFB" w:rsidRPr="004C22EA">
        <w:rPr>
          <w:sz w:val="20"/>
          <w:szCs w:val="20"/>
          <w:vertAlign w:val="superscript"/>
        </w:rPr>
        <w:t>6</w:t>
      </w:r>
      <w:r w:rsidR="00C90519" w:rsidRPr="004C22EA">
        <w:rPr>
          <w:sz w:val="20"/>
          <w:szCs w:val="20"/>
        </w:rPr>
        <w:t xml:space="preserve"> and </w:t>
      </w:r>
      <w:r w:rsidR="00006DFB" w:rsidRPr="00006DFB">
        <w:rPr>
          <w:sz w:val="20"/>
          <w:szCs w:val="20"/>
          <w:vertAlign w:val="superscript"/>
        </w:rPr>
        <w:t>7</w:t>
      </w:r>
      <w:r w:rsidR="00C90519" w:rsidRPr="004C22EA">
        <w:rPr>
          <w:sz w:val="20"/>
          <w:szCs w:val="20"/>
        </w:rPr>
        <w:t>Getachew Dinede</w:t>
      </w:r>
    </w:p>
    <w:p w:rsidR="00700DC5" w:rsidRPr="004C22EA" w:rsidRDefault="00700DC5" w:rsidP="0026550A">
      <w:pPr>
        <w:snapToGrid w:val="0"/>
        <w:jc w:val="center"/>
        <w:rPr>
          <w:sz w:val="20"/>
          <w:szCs w:val="20"/>
        </w:rPr>
      </w:pPr>
    </w:p>
    <w:p w:rsidR="009A42F8" w:rsidRPr="004C22EA" w:rsidRDefault="00C84E1E" w:rsidP="0026550A">
      <w:pPr>
        <w:snapToGrid w:val="0"/>
        <w:jc w:val="center"/>
        <w:rPr>
          <w:sz w:val="20"/>
          <w:szCs w:val="20"/>
        </w:rPr>
      </w:pPr>
      <w:r w:rsidRPr="004C22EA">
        <w:rPr>
          <w:sz w:val="20"/>
          <w:szCs w:val="20"/>
          <w:vertAlign w:val="superscript"/>
        </w:rPr>
        <w:t>1</w:t>
      </w:r>
      <w:r w:rsidR="005B14E6" w:rsidRPr="004C22EA">
        <w:rPr>
          <w:sz w:val="20"/>
          <w:szCs w:val="20"/>
        </w:rPr>
        <w:t>Bale Zone Pastoralist area Development Office, P.O.</w:t>
      </w:r>
      <w:r w:rsidR="004C22EA">
        <w:rPr>
          <w:rFonts w:eastAsiaTheme="minorEastAsia" w:hint="eastAsia"/>
          <w:sz w:val="20"/>
          <w:szCs w:val="20"/>
          <w:lang w:eastAsia="zh-CN"/>
        </w:rPr>
        <w:t xml:space="preserve"> </w:t>
      </w:r>
      <w:r w:rsidR="005B14E6" w:rsidRPr="004C22EA">
        <w:rPr>
          <w:sz w:val="20"/>
          <w:szCs w:val="20"/>
        </w:rPr>
        <w:t>Box: 250, Oromia Regional State, Bale Robe, Ethiopia</w:t>
      </w:r>
    </w:p>
    <w:p w:rsidR="003E21D7" w:rsidRPr="004C22EA" w:rsidRDefault="009A42F8" w:rsidP="0026550A">
      <w:pPr>
        <w:snapToGrid w:val="0"/>
        <w:jc w:val="center"/>
        <w:rPr>
          <w:sz w:val="20"/>
          <w:szCs w:val="20"/>
          <w:lang w:eastAsia="en-GB"/>
        </w:rPr>
      </w:pPr>
      <w:r w:rsidRPr="004C22EA">
        <w:rPr>
          <w:b/>
          <w:sz w:val="20"/>
          <w:szCs w:val="20"/>
          <w:vertAlign w:val="superscript"/>
        </w:rPr>
        <w:t>2</w:t>
      </w:r>
      <w:r w:rsidR="003E21D7" w:rsidRPr="004C22EA">
        <w:rPr>
          <w:sz w:val="20"/>
          <w:szCs w:val="20"/>
          <w:lang w:eastAsia="en-GB"/>
        </w:rPr>
        <w:t xml:space="preserve">Ministry of Livestock and Fisheries, </w:t>
      </w:r>
      <w:r w:rsidR="00103C45" w:rsidRPr="004C22EA">
        <w:rPr>
          <w:sz w:val="20"/>
          <w:szCs w:val="20"/>
          <w:lang w:eastAsia="en-GB"/>
        </w:rPr>
        <w:t>Livestock Identification and Traceability System directorate</w:t>
      </w:r>
      <w:r w:rsidR="003E21D7" w:rsidRPr="004C22EA">
        <w:rPr>
          <w:sz w:val="20"/>
          <w:szCs w:val="20"/>
          <w:lang w:eastAsia="en-GB"/>
        </w:rPr>
        <w:t xml:space="preserve">, </w:t>
      </w:r>
      <w:r w:rsidR="003E21D7" w:rsidRPr="004C22EA">
        <w:rPr>
          <w:color w:val="000000"/>
          <w:sz w:val="20"/>
          <w:szCs w:val="20"/>
          <w:lang w:eastAsia="en-GB"/>
        </w:rPr>
        <w:t>P.O.</w:t>
      </w:r>
      <w:r w:rsidR="00700DC5" w:rsidRPr="004C22EA">
        <w:rPr>
          <w:color w:val="000000"/>
          <w:sz w:val="20"/>
          <w:szCs w:val="20"/>
          <w:lang w:eastAsia="en-GB"/>
        </w:rPr>
        <w:t xml:space="preserve"> </w:t>
      </w:r>
      <w:r w:rsidR="003E21D7" w:rsidRPr="004C22EA">
        <w:rPr>
          <w:color w:val="000000"/>
          <w:sz w:val="20"/>
          <w:szCs w:val="20"/>
          <w:lang w:eastAsia="en-GB"/>
        </w:rPr>
        <w:t xml:space="preserve">Box: 1084, </w:t>
      </w:r>
      <w:r w:rsidR="003E21D7" w:rsidRPr="004C22EA">
        <w:rPr>
          <w:sz w:val="20"/>
          <w:szCs w:val="20"/>
          <w:lang w:eastAsia="en-GB"/>
        </w:rPr>
        <w:t>Addis Ababa, Ethiopia</w:t>
      </w:r>
    </w:p>
    <w:p w:rsidR="00EB7A41" w:rsidRPr="004C22EA" w:rsidRDefault="009A42F8" w:rsidP="0026550A">
      <w:pPr>
        <w:snapToGrid w:val="0"/>
        <w:jc w:val="center"/>
        <w:rPr>
          <w:sz w:val="20"/>
          <w:szCs w:val="20"/>
          <w:lang w:eastAsia="en-GB"/>
        </w:rPr>
      </w:pPr>
      <w:r w:rsidRPr="004C22EA">
        <w:rPr>
          <w:b/>
          <w:sz w:val="20"/>
          <w:szCs w:val="20"/>
          <w:vertAlign w:val="superscript"/>
        </w:rPr>
        <w:t>3</w:t>
      </w:r>
      <w:r w:rsidR="003E21D7" w:rsidRPr="004C22EA">
        <w:rPr>
          <w:sz w:val="20"/>
          <w:szCs w:val="20"/>
          <w:lang w:eastAsia="en-GB"/>
        </w:rPr>
        <w:t>Ministry of Livestock and Fisheries</w:t>
      </w:r>
      <w:r w:rsidR="00103C45" w:rsidRPr="004C22EA">
        <w:rPr>
          <w:sz w:val="20"/>
          <w:szCs w:val="20"/>
          <w:lang w:eastAsia="en-GB"/>
        </w:rPr>
        <w:t>, Livestock</w:t>
      </w:r>
      <w:r w:rsidR="003E21D7" w:rsidRPr="004C22EA">
        <w:rPr>
          <w:sz w:val="20"/>
          <w:szCs w:val="20"/>
          <w:lang w:eastAsia="en-GB"/>
        </w:rPr>
        <w:t xml:space="preserve"> Identification and Traceability System</w:t>
      </w:r>
      <w:r w:rsidR="00103C45" w:rsidRPr="004C22EA">
        <w:rPr>
          <w:sz w:val="20"/>
          <w:szCs w:val="20"/>
          <w:lang w:eastAsia="en-GB"/>
        </w:rPr>
        <w:t xml:space="preserve"> directorate</w:t>
      </w:r>
      <w:r w:rsidR="003E21D7" w:rsidRPr="004C22EA">
        <w:rPr>
          <w:sz w:val="20"/>
          <w:szCs w:val="20"/>
          <w:lang w:eastAsia="en-GB"/>
        </w:rPr>
        <w:t xml:space="preserve">, </w:t>
      </w:r>
      <w:r w:rsidR="003E21D7" w:rsidRPr="004C22EA">
        <w:rPr>
          <w:color w:val="000000"/>
          <w:sz w:val="20"/>
          <w:szCs w:val="20"/>
          <w:lang w:eastAsia="en-GB"/>
        </w:rPr>
        <w:t>P.O.</w:t>
      </w:r>
      <w:r w:rsidR="004C22EA">
        <w:rPr>
          <w:rFonts w:eastAsiaTheme="minorEastAsia" w:hint="eastAsia"/>
          <w:color w:val="000000"/>
          <w:sz w:val="20"/>
          <w:szCs w:val="20"/>
          <w:lang w:eastAsia="zh-CN"/>
        </w:rPr>
        <w:t xml:space="preserve"> </w:t>
      </w:r>
      <w:r w:rsidR="003E21D7" w:rsidRPr="004C22EA">
        <w:rPr>
          <w:color w:val="000000"/>
          <w:sz w:val="20"/>
          <w:szCs w:val="20"/>
          <w:lang w:eastAsia="en-GB"/>
        </w:rPr>
        <w:t xml:space="preserve">Box: 1084, </w:t>
      </w:r>
      <w:r w:rsidR="003E21D7" w:rsidRPr="004C22EA">
        <w:rPr>
          <w:sz w:val="20"/>
          <w:szCs w:val="20"/>
          <w:lang w:eastAsia="en-GB"/>
        </w:rPr>
        <w:t>Addis Ababa, Ethiopia</w:t>
      </w:r>
    </w:p>
    <w:p w:rsidR="00EB7A41" w:rsidRPr="004C22EA" w:rsidRDefault="00EB7A41" w:rsidP="0026550A">
      <w:pPr>
        <w:snapToGrid w:val="0"/>
        <w:jc w:val="center"/>
        <w:rPr>
          <w:sz w:val="20"/>
          <w:szCs w:val="20"/>
          <w:lang w:eastAsia="en-GB"/>
        </w:rPr>
      </w:pPr>
      <w:r w:rsidRPr="004C22EA">
        <w:rPr>
          <w:b/>
          <w:sz w:val="20"/>
          <w:szCs w:val="20"/>
          <w:vertAlign w:val="superscript"/>
        </w:rPr>
        <w:t>4</w:t>
      </w:r>
      <w:r w:rsidRPr="004C22EA">
        <w:rPr>
          <w:sz w:val="20"/>
          <w:szCs w:val="20"/>
          <w:lang w:eastAsia="en-GB"/>
        </w:rPr>
        <w:t>Ministry of Livestock and Fisheries, Disease Prevention and Control directorate,</w:t>
      </w:r>
      <w:r w:rsidRPr="004C22EA">
        <w:rPr>
          <w:color w:val="000000"/>
          <w:sz w:val="20"/>
          <w:szCs w:val="20"/>
          <w:lang w:eastAsia="en-GB"/>
        </w:rPr>
        <w:t xml:space="preserve"> P.O.</w:t>
      </w:r>
      <w:r w:rsidR="004C22EA">
        <w:rPr>
          <w:rFonts w:eastAsiaTheme="minorEastAsia" w:hint="eastAsia"/>
          <w:color w:val="000000"/>
          <w:sz w:val="20"/>
          <w:szCs w:val="20"/>
          <w:lang w:eastAsia="zh-CN"/>
        </w:rPr>
        <w:t xml:space="preserve"> </w:t>
      </w:r>
      <w:r w:rsidRPr="004C22EA">
        <w:rPr>
          <w:color w:val="000000"/>
          <w:sz w:val="20"/>
          <w:szCs w:val="20"/>
          <w:lang w:eastAsia="en-GB"/>
        </w:rPr>
        <w:t xml:space="preserve">Box: 1084, </w:t>
      </w:r>
      <w:r w:rsidRPr="004C22EA">
        <w:rPr>
          <w:sz w:val="20"/>
          <w:szCs w:val="20"/>
          <w:lang w:eastAsia="en-GB"/>
        </w:rPr>
        <w:t>Addis Ababa, Ethiopia</w:t>
      </w:r>
    </w:p>
    <w:p w:rsidR="00103C45" w:rsidRPr="004C22EA" w:rsidRDefault="00EB7A41" w:rsidP="0026550A">
      <w:pPr>
        <w:snapToGrid w:val="0"/>
        <w:jc w:val="center"/>
        <w:rPr>
          <w:sz w:val="20"/>
          <w:szCs w:val="20"/>
          <w:lang w:eastAsia="en-GB"/>
        </w:rPr>
      </w:pPr>
      <w:r w:rsidRPr="004C22EA">
        <w:rPr>
          <w:sz w:val="20"/>
          <w:szCs w:val="20"/>
          <w:vertAlign w:val="superscript"/>
          <w:lang w:eastAsia="en-GB"/>
        </w:rPr>
        <w:t>5</w:t>
      </w:r>
      <w:r w:rsidR="00103C45" w:rsidRPr="004C22EA">
        <w:rPr>
          <w:sz w:val="20"/>
          <w:szCs w:val="20"/>
          <w:lang w:eastAsia="en-GB"/>
        </w:rPr>
        <w:t xml:space="preserve">Ministry of Livestock and Fisheries, Export Abattoir Inspection and Certification directorate, </w:t>
      </w:r>
      <w:r w:rsidR="008B30F4" w:rsidRPr="004C22EA">
        <w:rPr>
          <w:sz w:val="20"/>
          <w:szCs w:val="20"/>
          <w:lang w:eastAsia="en-GB"/>
        </w:rPr>
        <w:t>Bishoftu, Ethiopia</w:t>
      </w:r>
    </w:p>
    <w:p w:rsidR="00EB7A41" w:rsidRPr="004C22EA" w:rsidRDefault="00EB7A41" w:rsidP="0026550A">
      <w:pPr>
        <w:snapToGrid w:val="0"/>
        <w:jc w:val="center"/>
        <w:rPr>
          <w:sz w:val="20"/>
          <w:szCs w:val="20"/>
          <w:lang w:eastAsia="en-GB"/>
        </w:rPr>
      </w:pPr>
      <w:r w:rsidRPr="004C22EA">
        <w:rPr>
          <w:sz w:val="20"/>
          <w:szCs w:val="20"/>
          <w:vertAlign w:val="superscript"/>
          <w:lang w:eastAsia="en-GB"/>
        </w:rPr>
        <w:t>6</w:t>
      </w:r>
      <w:r w:rsidR="002160AB">
        <w:rPr>
          <w:sz w:val="20"/>
          <w:szCs w:val="20"/>
          <w:vertAlign w:val="superscript"/>
          <w:lang w:eastAsia="en-GB"/>
        </w:rPr>
        <w:t>,7</w:t>
      </w:r>
      <w:r w:rsidRPr="004C22EA">
        <w:rPr>
          <w:sz w:val="20"/>
          <w:szCs w:val="20"/>
          <w:lang w:eastAsia="en-GB"/>
        </w:rPr>
        <w:t xml:space="preserve">Ministry of Livestock and Fisheries, Epidemiology Directorate, </w:t>
      </w:r>
      <w:r w:rsidRPr="004C22EA">
        <w:rPr>
          <w:color w:val="000000"/>
          <w:sz w:val="20"/>
          <w:szCs w:val="20"/>
          <w:lang w:eastAsia="en-GB"/>
        </w:rPr>
        <w:t>P.O.</w:t>
      </w:r>
      <w:r w:rsidR="004C22EA">
        <w:rPr>
          <w:rFonts w:eastAsiaTheme="minorEastAsia" w:hint="eastAsia"/>
          <w:color w:val="000000"/>
          <w:sz w:val="20"/>
          <w:szCs w:val="20"/>
          <w:lang w:eastAsia="zh-CN"/>
        </w:rPr>
        <w:t xml:space="preserve"> </w:t>
      </w:r>
      <w:r w:rsidRPr="004C22EA">
        <w:rPr>
          <w:color w:val="000000"/>
          <w:sz w:val="20"/>
          <w:szCs w:val="20"/>
          <w:lang w:eastAsia="en-GB"/>
        </w:rPr>
        <w:t xml:space="preserve">Box: 1084, </w:t>
      </w:r>
      <w:r w:rsidRPr="004C22EA">
        <w:rPr>
          <w:sz w:val="20"/>
          <w:szCs w:val="20"/>
          <w:lang w:eastAsia="en-GB"/>
        </w:rPr>
        <w:t>Addis Ababa, Ethiopia</w:t>
      </w:r>
    </w:p>
    <w:p w:rsidR="00700DC5" w:rsidRPr="004C22EA" w:rsidRDefault="00700DC5" w:rsidP="0026550A">
      <w:pPr>
        <w:autoSpaceDE w:val="0"/>
        <w:autoSpaceDN w:val="0"/>
        <w:adjustRightInd w:val="0"/>
        <w:snapToGrid w:val="0"/>
        <w:jc w:val="center"/>
        <w:rPr>
          <w:sz w:val="20"/>
          <w:szCs w:val="20"/>
        </w:rPr>
      </w:pPr>
      <w:r w:rsidRPr="004C22EA">
        <w:rPr>
          <w:rFonts w:eastAsia="Times New Roman+FPEF"/>
          <w:color w:val="000000"/>
          <w:sz w:val="20"/>
          <w:szCs w:val="20"/>
        </w:rPr>
        <w:t xml:space="preserve">Telephone: +251116676953; Email: </w:t>
      </w:r>
      <w:r w:rsidRPr="004C22EA">
        <w:rPr>
          <w:rFonts w:eastAsia="Times New Roman+FPEF"/>
          <w:color w:val="0000FF"/>
          <w:sz w:val="20"/>
          <w:szCs w:val="20"/>
        </w:rPr>
        <w:t>dinedegech@gmail.com</w:t>
      </w:r>
    </w:p>
    <w:p w:rsidR="00700DC5" w:rsidRPr="004C22EA" w:rsidRDefault="00700DC5" w:rsidP="0026550A">
      <w:pPr>
        <w:snapToGrid w:val="0"/>
        <w:jc w:val="center"/>
        <w:rPr>
          <w:sz w:val="20"/>
          <w:szCs w:val="20"/>
          <w:lang w:eastAsia="en-GB"/>
        </w:rPr>
      </w:pPr>
    </w:p>
    <w:p w:rsidR="00E0216B" w:rsidRPr="004C22EA" w:rsidRDefault="00C34744" w:rsidP="0026550A">
      <w:pPr>
        <w:pStyle w:val="Heading1"/>
        <w:keepNext w:val="0"/>
        <w:snapToGrid w:val="0"/>
        <w:spacing w:before="0" w:after="0"/>
        <w:jc w:val="both"/>
        <w:rPr>
          <w:rFonts w:ascii="Times New Roman" w:hAnsi="Times New Roman" w:cs="Times New Roman"/>
          <w:b w:val="0"/>
          <w:kern w:val="0"/>
          <w:sz w:val="20"/>
          <w:szCs w:val="20"/>
        </w:rPr>
      </w:pPr>
      <w:r w:rsidRPr="004C22EA">
        <w:rPr>
          <w:rFonts w:ascii="Times New Roman" w:hAnsi="Times New Roman" w:cs="Times New Roman"/>
          <w:kern w:val="0"/>
          <w:sz w:val="20"/>
          <w:szCs w:val="20"/>
        </w:rPr>
        <w:t xml:space="preserve">Abstract: </w:t>
      </w:r>
      <w:r w:rsidR="00033B89" w:rsidRPr="004C22EA">
        <w:rPr>
          <w:rFonts w:ascii="Times New Roman" w:hAnsi="Times New Roman" w:cs="Times New Roman"/>
          <w:b w:val="0"/>
          <w:kern w:val="0"/>
          <w:sz w:val="20"/>
          <w:szCs w:val="20"/>
        </w:rPr>
        <w:t>A cross-</w:t>
      </w:r>
      <w:r w:rsidR="00694DBE" w:rsidRPr="004C22EA">
        <w:rPr>
          <w:rFonts w:ascii="Times New Roman" w:hAnsi="Times New Roman" w:cs="Times New Roman"/>
          <w:b w:val="0"/>
          <w:kern w:val="0"/>
          <w:sz w:val="20"/>
          <w:szCs w:val="20"/>
        </w:rPr>
        <w:t>sectional study</w:t>
      </w:r>
      <w:r w:rsidR="00E0216B" w:rsidRPr="004C22EA">
        <w:rPr>
          <w:rFonts w:ascii="Times New Roman" w:hAnsi="Times New Roman" w:cs="Times New Roman"/>
          <w:b w:val="0"/>
          <w:kern w:val="0"/>
          <w:sz w:val="20"/>
          <w:szCs w:val="20"/>
        </w:rPr>
        <w:t xml:space="preserve"> was </w:t>
      </w:r>
      <w:r w:rsidR="00B86472" w:rsidRPr="004C22EA">
        <w:rPr>
          <w:rFonts w:ascii="Times New Roman" w:hAnsi="Times New Roman" w:cs="Times New Roman"/>
          <w:b w:val="0"/>
          <w:kern w:val="0"/>
          <w:sz w:val="20"/>
          <w:szCs w:val="20"/>
        </w:rPr>
        <w:t xml:space="preserve">conducted </w:t>
      </w:r>
      <w:r w:rsidR="007226BF" w:rsidRPr="004C22EA">
        <w:rPr>
          <w:rFonts w:ascii="Times New Roman" w:hAnsi="Times New Roman" w:cs="Times New Roman"/>
          <w:b w:val="0"/>
          <w:kern w:val="0"/>
          <w:sz w:val="20"/>
          <w:szCs w:val="20"/>
        </w:rPr>
        <w:t xml:space="preserve">from </w:t>
      </w:r>
      <w:r w:rsidR="00094A95" w:rsidRPr="004C22EA">
        <w:rPr>
          <w:rFonts w:ascii="Times New Roman" w:hAnsi="Times New Roman" w:cs="Times New Roman"/>
          <w:b w:val="0"/>
          <w:kern w:val="0"/>
          <w:sz w:val="20"/>
          <w:szCs w:val="20"/>
        </w:rPr>
        <w:t>November, 2008 to April, 2009 to</w:t>
      </w:r>
      <w:r w:rsidR="00E0216B" w:rsidRPr="004C22EA">
        <w:rPr>
          <w:rFonts w:ascii="Times New Roman" w:hAnsi="Times New Roman" w:cs="Times New Roman"/>
          <w:b w:val="0"/>
          <w:kern w:val="0"/>
          <w:sz w:val="20"/>
          <w:szCs w:val="20"/>
        </w:rPr>
        <w:t xml:space="preserve"> determine the prevalence of </w:t>
      </w:r>
      <w:r w:rsidR="00BC1CEB" w:rsidRPr="004C22EA">
        <w:rPr>
          <w:rFonts w:ascii="Times New Roman" w:hAnsi="Times New Roman" w:cs="Times New Roman"/>
          <w:b w:val="0"/>
          <w:kern w:val="0"/>
          <w:sz w:val="20"/>
          <w:szCs w:val="20"/>
        </w:rPr>
        <w:t xml:space="preserve">cattle </w:t>
      </w:r>
      <w:r w:rsidR="00E0216B" w:rsidRPr="004C22EA">
        <w:rPr>
          <w:rFonts w:ascii="Times New Roman" w:hAnsi="Times New Roman" w:cs="Times New Roman"/>
          <w:b w:val="0"/>
          <w:kern w:val="0"/>
          <w:sz w:val="20"/>
          <w:szCs w:val="20"/>
        </w:rPr>
        <w:t>mange mite infestation</w:t>
      </w:r>
      <w:r w:rsidR="00BC1CEB" w:rsidRPr="004C22EA">
        <w:rPr>
          <w:rFonts w:ascii="Times New Roman" w:hAnsi="Times New Roman" w:cs="Times New Roman"/>
          <w:b w:val="0"/>
          <w:kern w:val="0"/>
          <w:sz w:val="20"/>
          <w:szCs w:val="20"/>
        </w:rPr>
        <w:t>,</w:t>
      </w:r>
      <w:r w:rsidR="00E0216B" w:rsidRPr="004C22EA">
        <w:rPr>
          <w:rFonts w:ascii="Times New Roman" w:hAnsi="Times New Roman" w:cs="Times New Roman"/>
          <w:b w:val="0"/>
          <w:kern w:val="0"/>
          <w:sz w:val="20"/>
          <w:szCs w:val="20"/>
        </w:rPr>
        <w:t xml:space="preserve"> </w:t>
      </w:r>
      <w:r w:rsidR="00BC1CEB" w:rsidRPr="004C22EA">
        <w:rPr>
          <w:rFonts w:ascii="Times New Roman" w:hAnsi="Times New Roman" w:cs="Times New Roman"/>
          <w:b w:val="0"/>
          <w:kern w:val="0"/>
          <w:sz w:val="20"/>
          <w:szCs w:val="20"/>
        </w:rPr>
        <w:t xml:space="preserve">mange </w:t>
      </w:r>
      <w:r w:rsidR="008D2B5A" w:rsidRPr="004C22EA">
        <w:rPr>
          <w:rFonts w:ascii="Times New Roman" w:hAnsi="Times New Roman" w:cs="Times New Roman"/>
          <w:b w:val="0"/>
          <w:kern w:val="0"/>
          <w:sz w:val="20"/>
          <w:szCs w:val="20"/>
        </w:rPr>
        <w:t>mite’s</w:t>
      </w:r>
      <w:r w:rsidR="00BC1CEB" w:rsidRPr="004C22EA">
        <w:rPr>
          <w:rFonts w:ascii="Times New Roman" w:hAnsi="Times New Roman" w:cs="Times New Roman"/>
          <w:b w:val="0"/>
          <w:kern w:val="0"/>
          <w:sz w:val="20"/>
          <w:szCs w:val="20"/>
        </w:rPr>
        <w:t xml:space="preserve"> species </w:t>
      </w:r>
      <w:r w:rsidR="00E0216B" w:rsidRPr="004C22EA">
        <w:rPr>
          <w:rFonts w:ascii="Times New Roman" w:hAnsi="Times New Roman" w:cs="Times New Roman"/>
          <w:b w:val="0"/>
          <w:kern w:val="0"/>
          <w:sz w:val="20"/>
          <w:szCs w:val="20"/>
        </w:rPr>
        <w:t xml:space="preserve">and </w:t>
      </w:r>
      <w:r w:rsidR="00BC1CEB" w:rsidRPr="004C22EA">
        <w:rPr>
          <w:rFonts w:ascii="Times New Roman" w:hAnsi="Times New Roman" w:cs="Times New Roman"/>
          <w:b w:val="0"/>
          <w:kern w:val="0"/>
          <w:sz w:val="20"/>
          <w:szCs w:val="20"/>
        </w:rPr>
        <w:t>associated risk factors for its prevalence</w:t>
      </w:r>
      <w:r w:rsidR="00E0216B" w:rsidRPr="004C22EA">
        <w:rPr>
          <w:rFonts w:ascii="Times New Roman" w:hAnsi="Times New Roman" w:cs="Times New Roman"/>
          <w:b w:val="0"/>
          <w:kern w:val="0"/>
          <w:sz w:val="20"/>
          <w:szCs w:val="20"/>
        </w:rPr>
        <w:t xml:space="preserve"> </w:t>
      </w:r>
      <w:r w:rsidR="008F7C03" w:rsidRPr="004C22EA">
        <w:rPr>
          <w:rFonts w:ascii="Times New Roman" w:hAnsi="Times New Roman" w:cs="Times New Roman"/>
          <w:b w:val="0"/>
          <w:kern w:val="0"/>
          <w:sz w:val="20"/>
          <w:szCs w:val="20"/>
        </w:rPr>
        <w:t>in Mekelle</w:t>
      </w:r>
      <w:r w:rsidR="00B86472" w:rsidRPr="004C22EA">
        <w:rPr>
          <w:rFonts w:ascii="Times New Roman" w:hAnsi="Times New Roman" w:cs="Times New Roman"/>
          <w:b w:val="0"/>
          <w:kern w:val="0"/>
          <w:sz w:val="20"/>
          <w:szCs w:val="20"/>
        </w:rPr>
        <w:t xml:space="preserve"> and Adgirat</w:t>
      </w:r>
      <w:r w:rsidR="00BC1CEB" w:rsidRPr="004C22EA">
        <w:rPr>
          <w:rFonts w:ascii="Times New Roman" w:hAnsi="Times New Roman" w:cs="Times New Roman"/>
          <w:b w:val="0"/>
          <w:kern w:val="0"/>
          <w:sz w:val="20"/>
          <w:szCs w:val="20"/>
        </w:rPr>
        <w:t xml:space="preserve"> districts of </w:t>
      </w:r>
      <w:r w:rsidR="00094A95" w:rsidRPr="004C22EA">
        <w:rPr>
          <w:rFonts w:ascii="Times New Roman" w:hAnsi="Times New Roman" w:cs="Times New Roman"/>
          <w:b w:val="0"/>
          <w:kern w:val="0"/>
          <w:sz w:val="20"/>
          <w:szCs w:val="20"/>
        </w:rPr>
        <w:t>Tigray</w:t>
      </w:r>
      <w:r w:rsidR="00BC1CEB" w:rsidRPr="004C22EA">
        <w:rPr>
          <w:rFonts w:ascii="Times New Roman" w:hAnsi="Times New Roman" w:cs="Times New Roman"/>
          <w:b w:val="0"/>
          <w:kern w:val="0"/>
          <w:sz w:val="20"/>
          <w:szCs w:val="20"/>
        </w:rPr>
        <w:t xml:space="preserve"> Regional State, Northern Ethiopia</w:t>
      </w:r>
      <w:r w:rsidR="00B86472" w:rsidRPr="004C22EA">
        <w:rPr>
          <w:rFonts w:ascii="Times New Roman" w:hAnsi="Times New Roman" w:cs="Times New Roman"/>
          <w:b w:val="0"/>
          <w:kern w:val="0"/>
          <w:sz w:val="20"/>
          <w:szCs w:val="20"/>
        </w:rPr>
        <w:t>.</w:t>
      </w:r>
      <w:r w:rsidR="004C22EA">
        <w:rPr>
          <w:rFonts w:ascii="Times New Roman" w:hAnsi="Times New Roman" w:cs="Times New Roman"/>
          <w:b w:val="0"/>
          <w:kern w:val="0"/>
          <w:sz w:val="20"/>
          <w:szCs w:val="20"/>
        </w:rPr>
        <w:t xml:space="preserve"> </w:t>
      </w:r>
      <w:r w:rsidR="00E0216B" w:rsidRPr="004C22EA">
        <w:rPr>
          <w:rFonts w:ascii="Times New Roman" w:hAnsi="Times New Roman" w:cs="Times New Roman"/>
          <w:b w:val="0"/>
          <w:kern w:val="0"/>
          <w:sz w:val="20"/>
          <w:szCs w:val="20"/>
        </w:rPr>
        <w:t>A total of 384 animals</w:t>
      </w:r>
      <w:r w:rsidR="00BC1CEB" w:rsidRPr="004C22EA">
        <w:rPr>
          <w:rFonts w:ascii="Times New Roman" w:hAnsi="Times New Roman" w:cs="Times New Roman"/>
          <w:b w:val="0"/>
          <w:kern w:val="0"/>
          <w:sz w:val="20"/>
          <w:szCs w:val="20"/>
        </w:rPr>
        <w:t xml:space="preserve"> comprising of </w:t>
      </w:r>
      <w:r w:rsidR="00E0216B" w:rsidRPr="004C22EA">
        <w:rPr>
          <w:rFonts w:ascii="Times New Roman" w:hAnsi="Times New Roman" w:cs="Times New Roman"/>
          <w:b w:val="0"/>
          <w:kern w:val="0"/>
          <w:sz w:val="20"/>
          <w:szCs w:val="20"/>
        </w:rPr>
        <w:t xml:space="preserve">280 </w:t>
      </w:r>
      <w:r w:rsidR="00BC1CEB" w:rsidRPr="004C22EA">
        <w:rPr>
          <w:rFonts w:ascii="Times New Roman" w:hAnsi="Times New Roman" w:cs="Times New Roman"/>
          <w:b w:val="0"/>
          <w:kern w:val="0"/>
          <w:sz w:val="20"/>
          <w:szCs w:val="20"/>
        </w:rPr>
        <w:t xml:space="preserve">and 104 cattle </w:t>
      </w:r>
      <w:r w:rsidR="00E0216B" w:rsidRPr="004C22EA">
        <w:rPr>
          <w:rFonts w:ascii="Times New Roman" w:hAnsi="Times New Roman" w:cs="Times New Roman"/>
          <w:b w:val="0"/>
          <w:kern w:val="0"/>
          <w:sz w:val="20"/>
          <w:szCs w:val="20"/>
        </w:rPr>
        <w:t>from Mekelle</w:t>
      </w:r>
      <w:r w:rsidR="00BC1CEB" w:rsidRPr="004C22EA">
        <w:rPr>
          <w:rFonts w:ascii="Times New Roman" w:hAnsi="Times New Roman" w:cs="Times New Roman"/>
          <w:b w:val="0"/>
          <w:kern w:val="0"/>
          <w:sz w:val="20"/>
          <w:szCs w:val="20"/>
        </w:rPr>
        <w:t xml:space="preserve"> and </w:t>
      </w:r>
      <w:r w:rsidR="008D2B5A" w:rsidRPr="004C22EA">
        <w:rPr>
          <w:rFonts w:ascii="Times New Roman" w:hAnsi="Times New Roman" w:cs="Times New Roman"/>
          <w:b w:val="0"/>
          <w:kern w:val="0"/>
          <w:sz w:val="20"/>
          <w:szCs w:val="20"/>
        </w:rPr>
        <w:t>Adigrat</w:t>
      </w:r>
      <w:r w:rsidR="008D2B5A" w:rsidRPr="004C22EA" w:rsidDel="00BC1CEB">
        <w:rPr>
          <w:rFonts w:ascii="Times New Roman" w:hAnsi="Times New Roman" w:cs="Times New Roman"/>
          <w:b w:val="0"/>
          <w:kern w:val="0"/>
          <w:sz w:val="20"/>
          <w:szCs w:val="20"/>
        </w:rPr>
        <w:t xml:space="preserve"> </w:t>
      </w:r>
      <w:r w:rsidR="008D2B5A" w:rsidRPr="004C22EA">
        <w:rPr>
          <w:rFonts w:ascii="Times New Roman" w:hAnsi="Times New Roman" w:cs="Times New Roman"/>
          <w:b w:val="0"/>
          <w:kern w:val="0"/>
          <w:sz w:val="20"/>
          <w:szCs w:val="20"/>
        </w:rPr>
        <w:t>were</w:t>
      </w:r>
      <w:r w:rsidR="00E0216B" w:rsidRPr="004C22EA">
        <w:rPr>
          <w:rFonts w:ascii="Times New Roman" w:hAnsi="Times New Roman" w:cs="Times New Roman"/>
          <w:b w:val="0"/>
          <w:kern w:val="0"/>
          <w:sz w:val="20"/>
          <w:szCs w:val="20"/>
        </w:rPr>
        <w:t xml:space="preserve"> sampled</w:t>
      </w:r>
      <w:r w:rsidR="00BC1CEB" w:rsidRPr="004C22EA">
        <w:rPr>
          <w:rFonts w:ascii="Times New Roman" w:hAnsi="Times New Roman" w:cs="Times New Roman"/>
          <w:b w:val="0"/>
          <w:kern w:val="0"/>
          <w:sz w:val="20"/>
          <w:szCs w:val="20"/>
        </w:rPr>
        <w:t xml:space="preserve"> respectively</w:t>
      </w:r>
      <w:r w:rsidR="00FB0316" w:rsidRPr="004C22EA">
        <w:rPr>
          <w:rFonts w:ascii="Times New Roman" w:hAnsi="Times New Roman" w:cs="Times New Roman"/>
          <w:b w:val="0"/>
          <w:kern w:val="0"/>
          <w:sz w:val="20"/>
          <w:szCs w:val="20"/>
        </w:rPr>
        <w:t>.</w:t>
      </w:r>
      <w:r w:rsidR="00E0216B" w:rsidRPr="004C22EA">
        <w:rPr>
          <w:rFonts w:ascii="Times New Roman" w:hAnsi="Times New Roman" w:cs="Times New Roman"/>
          <w:b w:val="0"/>
          <w:kern w:val="0"/>
          <w:sz w:val="20"/>
          <w:szCs w:val="20"/>
        </w:rPr>
        <w:t xml:space="preserve"> </w:t>
      </w:r>
      <w:r w:rsidR="00FB0316" w:rsidRPr="004C22EA">
        <w:rPr>
          <w:rFonts w:ascii="Times New Roman" w:hAnsi="Times New Roman" w:cs="Times New Roman"/>
          <w:b w:val="0"/>
          <w:kern w:val="0"/>
          <w:sz w:val="20"/>
          <w:szCs w:val="20"/>
        </w:rPr>
        <w:t>The samples collected, skins scrapings, were subjected to laboratory</w:t>
      </w:r>
      <w:r w:rsidR="00FB0316" w:rsidRPr="004C22EA" w:rsidDel="00FB0316">
        <w:rPr>
          <w:rFonts w:ascii="Times New Roman" w:hAnsi="Times New Roman" w:cs="Times New Roman"/>
          <w:b w:val="0"/>
          <w:kern w:val="0"/>
          <w:sz w:val="20"/>
          <w:szCs w:val="20"/>
        </w:rPr>
        <w:t xml:space="preserve"> </w:t>
      </w:r>
      <w:r w:rsidR="008F7C03" w:rsidRPr="004C22EA">
        <w:rPr>
          <w:rFonts w:ascii="Times New Roman" w:hAnsi="Times New Roman" w:cs="Times New Roman"/>
          <w:b w:val="0"/>
          <w:kern w:val="0"/>
          <w:sz w:val="20"/>
          <w:szCs w:val="20"/>
        </w:rPr>
        <w:t>examination</w:t>
      </w:r>
      <w:r w:rsidR="00B72115" w:rsidRPr="004C22EA">
        <w:rPr>
          <w:rFonts w:ascii="Times New Roman" w:hAnsi="Times New Roman" w:cs="Times New Roman"/>
          <w:b w:val="0"/>
          <w:kern w:val="0"/>
          <w:sz w:val="20"/>
          <w:szCs w:val="20"/>
        </w:rPr>
        <w:t xml:space="preserve"> </w:t>
      </w:r>
      <w:r w:rsidR="00E0216B" w:rsidRPr="004C22EA">
        <w:rPr>
          <w:rFonts w:ascii="Times New Roman" w:hAnsi="Times New Roman" w:cs="Times New Roman"/>
          <w:b w:val="0"/>
          <w:kern w:val="0"/>
          <w:sz w:val="20"/>
          <w:szCs w:val="20"/>
        </w:rPr>
        <w:t>to determine the presence of mange mite infestation. The apparent prevalence of mange mite infestation was found to be 19.6% in Mekelle and 20.2% in Adigrat</w:t>
      </w:r>
      <w:r w:rsidR="008D2B5A" w:rsidRPr="004C22EA">
        <w:rPr>
          <w:rFonts w:ascii="Times New Roman" w:hAnsi="Times New Roman" w:cs="Times New Roman"/>
          <w:b w:val="0"/>
          <w:kern w:val="0"/>
          <w:sz w:val="20"/>
          <w:szCs w:val="20"/>
        </w:rPr>
        <w:t xml:space="preserve"> wher</w:t>
      </w:r>
      <w:r w:rsidR="00D11CED" w:rsidRPr="004C22EA">
        <w:rPr>
          <w:rFonts w:ascii="Times New Roman" w:hAnsi="Times New Roman" w:cs="Times New Roman"/>
          <w:b w:val="0"/>
          <w:kern w:val="0"/>
          <w:sz w:val="20"/>
          <w:szCs w:val="20"/>
        </w:rPr>
        <w:t>e</w:t>
      </w:r>
      <w:r w:rsidR="008D2B5A" w:rsidRPr="004C22EA">
        <w:rPr>
          <w:rFonts w:ascii="Times New Roman" w:hAnsi="Times New Roman" w:cs="Times New Roman"/>
          <w:b w:val="0"/>
          <w:kern w:val="0"/>
          <w:sz w:val="20"/>
          <w:szCs w:val="20"/>
        </w:rPr>
        <w:t>as its overall prevalence</w:t>
      </w:r>
      <w:r w:rsidR="00D11CED" w:rsidRPr="004C22EA">
        <w:rPr>
          <w:rFonts w:ascii="Times New Roman" w:hAnsi="Times New Roman" w:cs="Times New Roman"/>
          <w:b w:val="0"/>
          <w:kern w:val="0"/>
          <w:sz w:val="20"/>
          <w:szCs w:val="20"/>
        </w:rPr>
        <w:t xml:space="preserve"> in the study area</w:t>
      </w:r>
      <w:r w:rsidR="008906F8" w:rsidRPr="004C22EA">
        <w:rPr>
          <w:rFonts w:ascii="Times New Roman" w:hAnsi="Times New Roman" w:cs="Times New Roman"/>
          <w:b w:val="0"/>
          <w:kern w:val="0"/>
          <w:sz w:val="20"/>
          <w:szCs w:val="20"/>
        </w:rPr>
        <w:t>s</w:t>
      </w:r>
      <w:r w:rsidR="008D2B5A" w:rsidRPr="004C22EA">
        <w:rPr>
          <w:rFonts w:ascii="Times New Roman" w:hAnsi="Times New Roman" w:cs="Times New Roman"/>
          <w:b w:val="0"/>
          <w:kern w:val="0"/>
          <w:sz w:val="20"/>
          <w:szCs w:val="20"/>
        </w:rPr>
        <w:t xml:space="preserve"> was 19.8%</w:t>
      </w:r>
      <w:r w:rsidR="00D11CED" w:rsidRPr="004C22EA">
        <w:rPr>
          <w:rFonts w:ascii="Times New Roman" w:hAnsi="Times New Roman" w:cs="Times New Roman"/>
          <w:b w:val="0"/>
          <w:kern w:val="0"/>
          <w:sz w:val="20"/>
          <w:szCs w:val="20"/>
        </w:rPr>
        <w:t>.</w:t>
      </w:r>
      <w:r w:rsidR="004C22EA">
        <w:rPr>
          <w:rFonts w:ascii="Times New Roman" w:hAnsi="Times New Roman" w:cs="Times New Roman"/>
          <w:b w:val="0"/>
          <w:kern w:val="0"/>
          <w:sz w:val="20"/>
          <w:szCs w:val="20"/>
        </w:rPr>
        <w:t xml:space="preserve"> </w:t>
      </w:r>
      <w:r w:rsidR="00CD5CEB" w:rsidRPr="004C22EA">
        <w:rPr>
          <w:rFonts w:ascii="Times New Roman" w:hAnsi="Times New Roman" w:cs="Times New Roman"/>
          <w:b w:val="0"/>
          <w:i/>
          <w:kern w:val="0"/>
          <w:sz w:val="20"/>
          <w:szCs w:val="20"/>
        </w:rPr>
        <w:t>Demodex bovis (</w:t>
      </w:r>
      <w:r w:rsidR="00487941" w:rsidRPr="004C22EA">
        <w:rPr>
          <w:rFonts w:ascii="Times New Roman" w:hAnsi="Times New Roman" w:cs="Times New Roman"/>
          <w:b w:val="0"/>
          <w:kern w:val="0"/>
          <w:sz w:val="20"/>
          <w:szCs w:val="20"/>
        </w:rPr>
        <w:t>80.3</w:t>
      </w:r>
      <w:r w:rsidR="00CD5CEB" w:rsidRPr="004C22EA">
        <w:rPr>
          <w:rFonts w:ascii="Times New Roman" w:hAnsi="Times New Roman" w:cs="Times New Roman"/>
          <w:b w:val="0"/>
          <w:kern w:val="0"/>
          <w:sz w:val="20"/>
          <w:szCs w:val="20"/>
        </w:rPr>
        <w:t>%</w:t>
      </w:r>
      <w:r w:rsidR="00CD5CEB" w:rsidRPr="004C22EA">
        <w:rPr>
          <w:rFonts w:ascii="Times New Roman" w:hAnsi="Times New Roman" w:cs="Times New Roman"/>
          <w:b w:val="0"/>
          <w:i/>
          <w:kern w:val="0"/>
          <w:sz w:val="20"/>
          <w:szCs w:val="20"/>
        </w:rPr>
        <w:t>)</w:t>
      </w:r>
      <w:r w:rsidR="00CD5CEB" w:rsidRPr="004C22EA">
        <w:rPr>
          <w:rFonts w:ascii="Times New Roman" w:hAnsi="Times New Roman" w:cs="Times New Roman"/>
          <w:b w:val="0"/>
          <w:kern w:val="0"/>
          <w:sz w:val="20"/>
          <w:szCs w:val="20"/>
        </w:rPr>
        <w:t xml:space="preserve"> and </w:t>
      </w:r>
      <w:r w:rsidR="00CD5CEB" w:rsidRPr="004C22EA">
        <w:rPr>
          <w:rFonts w:ascii="Times New Roman" w:hAnsi="Times New Roman" w:cs="Times New Roman"/>
          <w:b w:val="0"/>
          <w:i/>
          <w:kern w:val="0"/>
          <w:sz w:val="20"/>
          <w:szCs w:val="20"/>
        </w:rPr>
        <w:t>Sarcoptes scabies var bovis (</w:t>
      </w:r>
      <w:r w:rsidR="00487941" w:rsidRPr="004C22EA">
        <w:rPr>
          <w:rFonts w:ascii="Times New Roman" w:hAnsi="Times New Roman" w:cs="Times New Roman"/>
          <w:b w:val="0"/>
          <w:kern w:val="0"/>
          <w:sz w:val="20"/>
          <w:szCs w:val="20"/>
        </w:rPr>
        <w:t>19.7</w:t>
      </w:r>
      <w:r w:rsidR="00CD5CEB" w:rsidRPr="004C22EA">
        <w:rPr>
          <w:rFonts w:ascii="Times New Roman" w:hAnsi="Times New Roman" w:cs="Times New Roman"/>
          <w:b w:val="0"/>
          <w:kern w:val="0"/>
          <w:sz w:val="20"/>
          <w:szCs w:val="20"/>
        </w:rPr>
        <w:t>%</w:t>
      </w:r>
      <w:r w:rsidR="00CD5CEB" w:rsidRPr="004C22EA">
        <w:rPr>
          <w:rFonts w:ascii="Times New Roman" w:hAnsi="Times New Roman" w:cs="Times New Roman"/>
          <w:b w:val="0"/>
          <w:i/>
          <w:kern w:val="0"/>
          <w:sz w:val="20"/>
          <w:szCs w:val="20"/>
        </w:rPr>
        <w:t>)</w:t>
      </w:r>
      <w:r w:rsidR="00CD5CEB" w:rsidRPr="004C22EA">
        <w:rPr>
          <w:rFonts w:ascii="Times New Roman" w:hAnsi="Times New Roman" w:cs="Times New Roman"/>
          <w:b w:val="0"/>
          <w:kern w:val="0"/>
          <w:sz w:val="20"/>
          <w:szCs w:val="20"/>
        </w:rPr>
        <w:t xml:space="preserve"> were the mite species detected in the study areas. The</w:t>
      </w:r>
      <w:r w:rsidR="005033EE" w:rsidRPr="004C22EA">
        <w:rPr>
          <w:rFonts w:ascii="Times New Roman" w:hAnsi="Times New Roman" w:cs="Times New Roman"/>
          <w:b w:val="0"/>
          <w:kern w:val="0"/>
          <w:sz w:val="20"/>
          <w:szCs w:val="20"/>
        </w:rPr>
        <w:t xml:space="preserve"> distribution of mange mite </w:t>
      </w:r>
      <w:r w:rsidR="00B57D4C" w:rsidRPr="004C22EA">
        <w:rPr>
          <w:rFonts w:ascii="Times New Roman" w:hAnsi="Times New Roman" w:cs="Times New Roman"/>
          <w:b w:val="0"/>
          <w:kern w:val="0"/>
          <w:sz w:val="20"/>
          <w:szCs w:val="20"/>
        </w:rPr>
        <w:t>was observed statistically different between Mekelle and Adigrat districts</w:t>
      </w:r>
      <w:r w:rsidR="005033EE" w:rsidRPr="004C22EA">
        <w:rPr>
          <w:rFonts w:ascii="Times New Roman" w:hAnsi="Times New Roman" w:cs="Times New Roman"/>
          <w:b w:val="0"/>
          <w:kern w:val="0"/>
          <w:sz w:val="20"/>
          <w:szCs w:val="20"/>
        </w:rPr>
        <w:t>.</w:t>
      </w:r>
      <w:r w:rsidR="005033EE" w:rsidRPr="004C22EA">
        <w:rPr>
          <w:rFonts w:ascii="Times New Roman" w:hAnsi="Times New Roman" w:cs="Times New Roman"/>
          <w:b w:val="0"/>
          <w:i/>
          <w:kern w:val="0"/>
          <w:sz w:val="20"/>
          <w:szCs w:val="20"/>
        </w:rPr>
        <w:t xml:space="preserve"> </w:t>
      </w:r>
      <w:r w:rsidR="00AB0BAE" w:rsidRPr="004C22EA">
        <w:rPr>
          <w:rFonts w:ascii="Times New Roman" w:hAnsi="Times New Roman" w:cs="Times New Roman"/>
          <w:b w:val="0"/>
          <w:kern w:val="0"/>
          <w:sz w:val="20"/>
          <w:szCs w:val="20"/>
        </w:rPr>
        <w:t xml:space="preserve">Similarly, statistically significant mange mite prevalence discrepancy was found </w:t>
      </w:r>
      <w:r w:rsidR="008B4FE2" w:rsidRPr="004C22EA">
        <w:rPr>
          <w:rFonts w:ascii="Times New Roman" w:hAnsi="Times New Roman" w:cs="Times New Roman"/>
          <w:b w:val="0"/>
          <w:kern w:val="0"/>
          <w:sz w:val="20"/>
          <w:szCs w:val="20"/>
        </w:rPr>
        <w:t xml:space="preserve">in association </w:t>
      </w:r>
      <w:r w:rsidR="00AB0BAE" w:rsidRPr="004C22EA">
        <w:rPr>
          <w:rFonts w:ascii="Times New Roman" w:hAnsi="Times New Roman" w:cs="Times New Roman"/>
          <w:b w:val="0"/>
          <w:kern w:val="0"/>
          <w:sz w:val="20"/>
          <w:szCs w:val="20"/>
        </w:rPr>
        <w:t>with body conditions and predilection sites.</w:t>
      </w:r>
      <w:r w:rsidR="00E0216B" w:rsidRPr="004C22EA">
        <w:rPr>
          <w:rFonts w:ascii="Times New Roman" w:hAnsi="Times New Roman" w:cs="Times New Roman"/>
          <w:b w:val="0"/>
          <w:kern w:val="0"/>
          <w:sz w:val="20"/>
          <w:szCs w:val="20"/>
        </w:rPr>
        <w:t xml:space="preserve"> The highest prevalence was recorded in animals </w:t>
      </w:r>
      <w:r w:rsidR="00AB0BAE" w:rsidRPr="004C22EA">
        <w:rPr>
          <w:rFonts w:ascii="Times New Roman" w:hAnsi="Times New Roman" w:cs="Times New Roman"/>
          <w:b w:val="0"/>
          <w:kern w:val="0"/>
          <w:sz w:val="20"/>
          <w:szCs w:val="20"/>
        </w:rPr>
        <w:t xml:space="preserve">having </w:t>
      </w:r>
      <w:r w:rsidR="00E0216B" w:rsidRPr="004C22EA">
        <w:rPr>
          <w:rFonts w:ascii="Times New Roman" w:hAnsi="Times New Roman" w:cs="Times New Roman"/>
          <w:b w:val="0"/>
          <w:kern w:val="0"/>
          <w:sz w:val="20"/>
          <w:szCs w:val="20"/>
        </w:rPr>
        <w:t xml:space="preserve">poor body condition (40%) </w:t>
      </w:r>
      <w:r w:rsidR="008B4FE2" w:rsidRPr="004C22EA">
        <w:rPr>
          <w:rFonts w:ascii="Times New Roman" w:hAnsi="Times New Roman" w:cs="Times New Roman"/>
          <w:b w:val="0"/>
          <w:kern w:val="0"/>
          <w:sz w:val="20"/>
          <w:szCs w:val="20"/>
        </w:rPr>
        <w:t>whilst the</w:t>
      </w:r>
      <w:r w:rsidR="00694DBE" w:rsidRPr="004C22EA">
        <w:rPr>
          <w:rFonts w:ascii="Times New Roman" w:hAnsi="Times New Roman" w:cs="Times New Roman"/>
          <w:b w:val="0"/>
          <w:kern w:val="0"/>
          <w:sz w:val="20"/>
          <w:szCs w:val="20"/>
        </w:rPr>
        <w:t xml:space="preserve"> least in </w:t>
      </w:r>
      <w:r w:rsidR="00E0216B" w:rsidRPr="004C22EA">
        <w:rPr>
          <w:rFonts w:ascii="Times New Roman" w:hAnsi="Times New Roman" w:cs="Times New Roman"/>
          <w:b w:val="0"/>
          <w:kern w:val="0"/>
          <w:sz w:val="20"/>
          <w:szCs w:val="20"/>
        </w:rPr>
        <w:t>medium (10%) body conditions</w:t>
      </w:r>
      <w:r w:rsidR="00E0216B" w:rsidRPr="004C22EA">
        <w:rPr>
          <w:rFonts w:ascii="Times New Roman" w:hAnsi="Times New Roman" w:cs="Times New Roman"/>
          <w:b w:val="0"/>
          <w:color w:val="FF0000"/>
          <w:kern w:val="0"/>
          <w:sz w:val="20"/>
          <w:szCs w:val="20"/>
        </w:rPr>
        <w:t xml:space="preserve">. </w:t>
      </w:r>
      <w:r w:rsidR="00AB0BAE" w:rsidRPr="004C22EA">
        <w:rPr>
          <w:rFonts w:ascii="Times New Roman" w:hAnsi="Times New Roman" w:cs="Times New Roman"/>
          <w:b w:val="0"/>
          <w:kern w:val="0"/>
          <w:sz w:val="20"/>
          <w:szCs w:val="20"/>
        </w:rPr>
        <w:t xml:space="preserve">Likewise, the </w:t>
      </w:r>
      <w:r w:rsidR="00E0216B" w:rsidRPr="004C22EA">
        <w:rPr>
          <w:rFonts w:ascii="Times New Roman" w:hAnsi="Times New Roman" w:cs="Times New Roman"/>
          <w:b w:val="0"/>
          <w:kern w:val="0"/>
          <w:sz w:val="20"/>
          <w:szCs w:val="20"/>
        </w:rPr>
        <w:t xml:space="preserve">highest prevalence was obtained on the </w:t>
      </w:r>
      <w:r w:rsidR="00765D09" w:rsidRPr="004C22EA">
        <w:rPr>
          <w:rFonts w:ascii="Times New Roman" w:hAnsi="Times New Roman" w:cs="Times New Roman"/>
          <w:b w:val="0"/>
          <w:color w:val="000000" w:themeColor="text1"/>
          <w:kern w:val="0"/>
          <w:sz w:val="20"/>
          <w:szCs w:val="20"/>
        </w:rPr>
        <w:t>neck (43.42 %), followed by body (38.16%) and head (18.42%), however, the shoulder was found non- infested</w:t>
      </w:r>
      <w:r w:rsidR="008B4FE2" w:rsidRPr="004C22EA">
        <w:rPr>
          <w:rFonts w:ascii="Times New Roman" w:hAnsi="Times New Roman" w:cs="Times New Roman"/>
          <w:b w:val="0"/>
          <w:kern w:val="0"/>
          <w:sz w:val="20"/>
          <w:szCs w:val="20"/>
        </w:rPr>
        <w:t>. Further</w:t>
      </w:r>
      <w:r w:rsidR="00533C7E" w:rsidRPr="004C22EA">
        <w:rPr>
          <w:rFonts w:ascii="Times New Roman" w:hAnsi="Times New Roman" w:cs="Times New Roman"/>
          <w:b w:val="0"/>
          <w:kern w:val="0"/>
          <w:sz w:val="20"/>
          <w:szCs w:val="20"/>
        </w:rPr>
        <w:t>;</w:t>
      </w:r>
      <w:r w:rsidR="00E0216B" w:rsidRPr="004C22EA">
        <w:rPr>
          <w:rFonts w:ascii="Times New Roman" w:hAnsi="Times New Roman" w:cs="Times New Roman"/>
          <w:b w:val="0"/>
          <w:kern w:val="0"/>
          <w:sz w:val="20"/>
          <w:szCs w:val="20"/>
        </w:rPr>
        <w:t xml:space="preserve"> age groups, sex</w:t>
      </w:r>
      <w:r w:rsidR="00694DBE" w:rsidRPr="004C22EA">
        <w:rPr>
          <w:rFonts w:ascii="Times New Roman" w:hAnsi="Times New Roman" w:cs="Times New Roman"/>
          <w:b w:val="0"/>
          <w:kern w:val="0"/>
          <w:sz w:val="20"/>
          <w:szCs w:val="20"/>
        </w:rPr>
        <w:t xml:space="preserve"> categories</w:t>
      </w:r>
      <w:r w:rsidR="00E0216B" w:rsidRPr="004C22EA">
        <w:rPr>
          <w:rFonts w:ascii="Times New Roman" w:hAnsi="Times New Roman" w:cs="Times New Roman"/>
          <w:b w:val="0"/>
          <w:kern w:val="0"/>
          <w:sz w:val="20"/>
          <w:szCs w:val="20"/>
        </w:rPr>
        <w:t>, breeds and management systems</w:t>
      </w:r>
      <w:r w:rsidR="00AB0BAE" w:rsidRPr="004C22EA">
        <w:rPr>
          <w:rFonts w:ascii="Times New Roman" w:hAnsi="Times New Roman" w:cs="Times New Roman"/>
          <w:b w:val="0"/>
          <w:kern w:val="0"/>
          <w:sz w:val="20"/>
          <w:szCs w:val="20"/>
        </w:rPr>
        <w:t xml:space="preserve"> were not found statistically significant risk factors</w:t>
      </w:r>
      <w:r w:rsidR="00E0216B" w:rsidRPr="004C22EA">
        <w:rPr>
          <w:rFonts w:ascii="Times New Roman" w:hAnsi="Times New Roman" w:cs="Times New Roman"/>
          <w:b w:val="0"/>
          <w:kern w:val="0"/>
          <w:sz w:val="20"/>
          <w:szCs w:val="20"/>
        </w:rPr>
        <w:t xml:space="preserve">. </w:t>
      </w:r>
      <w:r w:rsidR="00033B89" w:rsidRPr="004C22EA">
        <w:rPr>
          <w:rFonts w:ascii="Times New Roman" w:hAnsi="Times New Roman" w:cs="Times New Roman"/>
          <w:b w:val="0"/>
          <w:kern w:val="0"/>
          <w:sz w:val="20"/>
          <w:szCs w:val="20"/>
        </w:rPr>
        <w:t>In conclusion, cattle mange mites are highly prevalent in the study areas warranting integrated control measures to alleviate its impact on the productivity and health of animals.</w:t>
      </w:r>
    </w:p>
    <w:p w:rsidR="00727DFF" w:rsidRPr="004C22EA" w:rsidRDefault="00727DFF" w:rsidP="0026550A">
      <w:pPr>
        <w:adjustRightInd w:val="0"/>
        <w:snapToGrid w:val="0"/>
        <w:jc w:val="both"/>
        <w:rPr>
          <w:color w:val="000000"/>
          <w:sz w:val="20"/>
          <w:szCs w:val="20"/>
          <w:shd w:val="clear" w:color="auto" w:fill="FFFFFF"/>
        </w:rPr>
      </w:pPr>
      <w:r w:rsidRPr="004C22EA">
        <w:rPr>
          <w:rFonts w:hint="eastAsia"/>
          <w:sz w:val="20"/>
          <w:szCs w:val="20"/>
        </w:rPr>
        <w:t>[</w:t>
      </w:r>
      <w:r w:rsidR="008858A9" w:rsidRPr="004C22EA">
        <w:rPr>
          <w:sz w:val="20"/>
          <w:szCs w:val="20"/>
        </w:rPr>
        <w:t>Gezahegn Ashagre,</w:t>
      </w:r>
      <w:r w:rsidR="004C22EA">
        <w:rPr>
          <w:sz w:val="20"/>
          <w:szCs w:val="20"/>
        </w:rPr>
        <w:t xml:space="preserve"> </w:t>
      </w:r>
      <w:r w:rsidR="008858A9" w:rsidRPr="004C22EA">
        <w:rPr>
          <w:sz w:val="20"/>
          <w:szCs w:val="20"/>
        </w:rPr>
        <w:t>Kefyalew Chirkena,</w:t>
      </w:r>
      <w:r w:rsidR="004C22EA">
        <w:rPr>
          <w:sz w:val="20"/>
          <w:szCs w:val="20"/>
        </w:rPr>
        <w:t xml:space="preserve"> </w:t>
      </w:r>
      <w:r w:rsidR="008858A9" w:rsidRPr="004C22EA">
        <w:rPr>
          <w:sz w:val="20"/>
          <w:szCs w:val="20"/>
        </w:rPr>
        <w:t>Sisay Getachew,</w:t>
      </w:r>
      <w:r w:rsidR="004C22EA">
        <w:rPr>
          <w:sz w:val="20"/>
          <w:szCs w:val="20"/>
        </w:rPr>
        <w:t xml:space="preserve"> </w:t>
      </w:r>
      <w:r w:rsidR="008858A9" w:rsidRPr="004C22EA">
        <w:rPr>
          <w:sz w:val="20"/>
          <w:szCs w:val="20"/>
        </w:rPr>
        <w:t>Yonas Alemayehu,</w:t>
      </w:r>
      <w:r w:rsidR="004C22EA">
        <w:rPr>
          <w:sz w:val="20"/>
          <w:szCs w:val="20"/>
        </w:rPr>
        <w:t xml:space="preserve"> </w:t>
      </w:r>
      <w:r w:rsidR="008858A9" w:rsidRPr="004C22EA">
        <w:rPr>
          <w:sz w:val="20"/>
          <w:szCs w:val="20"/>
        </w:rPr>
        <w:t>Lemma Minda and</w:t>
      </w:r>
      <w:r w:rsidR="004C22EA">
        <w:rPr>
          <w:sz w:val="20"/>
          <w:szCs w:val="20"/>
        </w:rPr>
        <w:t xml:space="preserve"> </w:t>
      </w:r>
      <w:r w:rsidR="008858A9" w:rsidRPr="004C22EA">
        <w:rPr>
          <w:sz w:val="20"/>
          <w:szCs w:val="20"/>
        </w:rPr>
        <w:t>Getachew Dinede</w:t>
      </w:r>
      <w:r w:rsidRPr="004C22EA">
        <w:rPr>
          <w:sz w:val="20"/>
          <w:szCs w:val="20"/>
        </w:rPr>
        <w:t>.</w:t>
      </w:r>
      <w:r w:rsidRPr="004C22EA">
        <w:rPr>
          <w:rFonts w:eastAsiaTheme="minorEastAsia" w:hint="eastAsia"/>
          <w:b/>
          <w:bCs/>
          <w:sz w:val="20"/>
          <w:szCs w:val="20"/>
          <w:lang w:bidi="fa-IR"/>
        </w:rPr>
        <w:t xml:space="preserve"> </w:t>
      </w:r>
      <w:r w:rsidR="008858A9" w:rsidRPr="004C22EA">
        <w:rPr>
          <w:b/>
          <w:sz w:val="20"/>
          <w:szCs w:val="20"/>
        </w:rPr>
        <w:t>Epidemiology of Cattle Mange Mite in Mekelle and Adigrat Districts:</w:t>
      </w:r>
      <w:r w:rsidR="004C22EA">
        <w:rPr>
          <w:b/>
          <w:sz w:val="20"/>
          <w:szCs w:val="20"/>
        </w:rPr>
        <w:t xml:space="preserve"> </w:t>
      </w:r>
      <w:r w:rsidR="008858A9" w:rsidRPr="004C22EA">
        <w:rPr>
          <w:b/>
          <w:sz w:val="20"/>
          <w:szCs w:val="20"/>
        </w:rPr>
        <w:t>Prevalence and Associated Risk Factors</w:t>
      </w:r>
      <w:r w:rsidRPr="004C22EA">
        <w:rPr>
          <w:b/>
          <w:bCs/>
          <w:sz w:val="20"/>
          <w:szCs w:val="20"/>
          <w:lang w:bidi="fa-IR"/>
        </w:rPr>
        <w:t>.</w:t>
      </w:r>
      <w:r w:rsidRPr="004C22EA">
        <w:rPr>
          <w:bCs/>
          <w:i/>
          <w:sz w:val="20"/>
          <w:szCs w:val="20"/>
        </w:rPr>
        <w:t xml:space="preserve"> Researcher</w:t>
      </w:r>
      <w:r w:rsidRPr="004C22EA">
        <w:rPr>
          <w:bCs/>
          <w:sz w:val="20"/>
          <w:szCs w:val="20"/>
        </w:rPr>
        <w:t xml:space="preserve"> 201</w:t>
      </w:r>
      <w:r w:rsidRPr="004C22EA">
        <w:rPr>
          <w:rFonts w:hint="eastAsia"/>
          <w:bCs/>
          <w:sz w:val="20"/>
          <w:szCs w:val="20"/>
        </w:rPr>
        <w:t>6</w:t>
      </w:r>
      <w:r w:rsidRPr="004C22EA">
        <w:rPr>
          <w:bCs/>
          <w:sz w:val="20"/>
          <w:szCs w:val="20"/>
        </w:rPr>
        <w:t>;</w:t>
      </w:r>
      <w:r w:rsidRPr="004C22EA">
        <w:rPr>
          <w:rFonts w:hint="eastAsia"/>
          <w:bCs/>
          <w:sz w:val="20"/>
          <w:szCs w:val="20"/>
        </w:rPr>
        <w:t>8</w:t>
      </w:r>
      <w:r w:rsidRPr="004C22EA">
        <w:rPr>
          <w:bCs/>
          <w:sz w:val="20"/>
          <w:szCs w:val="20"/>
        </w:rPr>
        <w:t>(</w:t>
      </w:r>
      <w:r w:rsidRPr="004C22EA">
        <w:rPr>
          <w:rFonts w:hint="eastAsia"/>
          <w:bCs/>
          <w:sz w:val="20"/>
          <w:szCs w:val="20"/>
        </w:rPr>
        <w:t>5</w:t>
      </w:r>
      <w:r w:rsidRPr="004C22EA">
        <w:rPr>
          <w:bCs/>
          <w:sz w:val="20"/>
          <w:szCs w:val="20"/>
        </w:rPr>
        <w:t>):</w:t>
      </w:r>
      <w:r w:rsidR="007F425E" w:rsidRPr="004C22EA">
        <w:rPr>
          <w:noProof/>
          <w:color w:val="000000"/>
          <w:sz w:val="20"/>
          <w:szCs w:val="20"/>
        </w:rPr>
        <w:t>62</w:t>
      </w:r>
      <w:r w:rsidRPr="004C22EA">
        <w:rPr>
          <w:color w:val="000000"/>
          <w:sz w:val="20"/>
          <w:szCs w:val="20"/>
        </w:rPr>
        <w:t>-</w:t>
      </w:r>
      <w:r w:rsidR="007F425E" w:rsidRPr="004C22EA">
        <w:rPr>
          <w:noProof/>
          <w:color w:val="000000"/>
          <w:sz w:val="20"/>
          <w:szCs w:val="20"/>
        </w:rPr>
        <w:t>66</w:t>
      </w:r>
      <w:r w:rsidRPr="004C22EA">
        <w:rPr>
          <w:bCs/>
          <w:sz w:val="20"/>
          <w:szCs w:val="20"/>
        </w:rPr>
        <w:t xml:space="preserve">]. </w:t>
      </w:r>
      <w:r w:rsidRPr="004C22EA">
        <w:rPr>
          <w:sz w:val="20"/>
          <w:szCs w:val="20"/>
        </w:rPr>
        <w:t>ISSN 1553-9865 (print); ISSN 2163-8950 (online)</w:t>
      </w:r>
      <w:r w:rsidRPr="004C22EA">
        <w:rPr>
          <w:bCs/>
          <w:sz w:val="20"/>
          <w:szCs w:val="20"/>
        </w:rPr>
        <w:t xml:space="preserve">. </w:t>
      </w:r>
      <w:hyperlink r:id="rId7" w:history="1">
        <w:r w:rsidRPr="004C22EA">
          <w:rPr>
            <w:rStyle w:val="Hyperlink"/>
            <w:sz w:val="20"/>
            <w:szCs w:val="20"/>
          </w:rPr>
          <w:t>http://www.sciencepub.net/researcher</w:t>
        </w:r>
      </w:hyperlink>
      <w:r w:rsidRPr="004C22EA">
        <w:rPr>
          <w:bCs/>
          <w:sz w:val="20"/>
          <w:szCs w:val="20"/>
        </w:rPr>
        <w:t>.</w:t>
      </w:r>
      <w:r w:rsidRPr="004C22EA">
        <w:rPr>
          <w:rFonts w:hint="eastAsia"/>
          <w:bCs/>
          <w:sz w:val="20"/>
          <w:szCs w:val="20"/>
        </w:rPr>
        <w:t xml:space="preserve"> </w:t>
      </w:r>
      <w:r w:rsidR="008858A9" w:rsidRPr="004C22EA">
        <w:rPr>
          <w:rFonts w:eastAsiaTheme="minorEastAsia" w:hint="eastAsia"/>
          <w:bCs/>
          <w:sz w:val="20"/>
          <w:szCs w:val="20"/>
          <w:lang w:eastAsia="zh-CN"/>
        </w:rPr>
        <w:t>10</w:t>
      </w:r>
      <w:r w:rsidRPr="004C22EA">
        <w:rPr>
          <w:rFonts w:hint="eastAsia"/>
          <w:bCs/>
          <w:sz w:val="20"/>
          <w:szCs w:val="20"/>
        </w:rPr>
        <w:t xml:space="preserve">. </w:t>
      </w:r>
      <w:r w:rsidRPr="004C22EA">
        <w:rPr>
          <w:color w:val="000000"/>
          <w:sz w:val="20"/>
          <w:szCs w:val="20"/>
          <w:shd w:val="clear" w:color="auto" w:fill="FFFFFF"/>
        </w:rPr>
        <w:t>doi:</w:t>
      </w:r>
      <w:hyperlink r:id="rId8" w:history="1">
        <w:r w:rsidRPr="004C22EA">
          <w:rPr>
            <w:rStyle w:val="Hyperlink"/>
            <w:sz w:val="20"/>
            <w:szCs w:val="20"/>
            <w:shd w:val="clear" w:color="auto" w:fill="FFFFFF"/>
          </w:rPr>
          <w:t>10.7537/mars</w:t>
        </w:r>
        <w:r w:rsidRPr="004C22EA">
          <w:rPr>
            <w:rStyle w:val="Hyperlink"/>
            <w:rFonts w:hint="eastAsia"/>
            <w:sz w:val="20"/>
            <w:szCs w:val="20"/>
            <w:shd w:val="clear" w:color="auto" w:fill="FFFFFF"/>
          </w:rPr>
          <w:t>r</w:t>
        </w:r>
        <w:r w:rsidRPr="004C22EA">
          <w:rPr>
            <w:rStyle w:val="Hyperlink"/>
            <w:sz w:val="20"/>
            <w:szCs w:val="20"/>
            <w:shd w:val="clear" w:color="auto" w:fill="FFFFFF"/>
          </w:rPr>
          <w:t>sj</w:t>
        </w:r>
        <w:r w:rsidRPr="004C22EA">
          <w:rPr>
            <w:rStyle w:val="Hyperlink"/>
            <w:rFonts w:hint="eastAsia"/>
            <w:sz w:val="20"/>
            <w:szCs w:val="20"/>
            <w:shd w:val="clear" w:color="auto" w:fill="FFFFFF"/>
          </w:rPr>
          <w:t>0805</w:t>
        </w:r>
        <w:r w:rsidRPr="004C22EA">
          <w:rPr>
            <w:rStyle w:val="Hyperlink"/>
            <w:sz w:val="20"/>
            <w:szCs w:val="20"/>
            <w:shd w:val="clear" w:color="auto" w:fill="FFFFFF"/>
          </w:rPr>
          <w:t>1</w:t>
        </w:r>
        <w:r w:rsidRPr="004C22EA">
          <w:rPr>
            <w:rStyle w:val="Hyperlink"/>
            <w:rFonts w:hint="eastAsia"/>
            <w:sz w:val="20"/>
            <w:szCs w:val="20"/>
            <w:shd w:val="clear" w:color="auto" w:fill="FFFFFF"/>
          </w:rPr>
          <w:t>6</w:t>
        </w:r>
        <w:r w:rsidR="008858A9" w:rsidRPr="004C22EA">
          <w:rPr>
            <w:rStyle w:val="Hyperlink"/>
            <w:rFonts w:eastAsiaTheme="minorEastAsia" w:hint="eastAsia"/>
            <w:sz w:val="20"/>
            <w:szCs w:val="20"/>
            <w:shd w:val="clear" w:color="auto" w:fill="FFFFFF"/>
            <w:lang w:eastAsia="zh-CN"/>
          </w:rPr>
          <w:t>1</w:t>
        </w:r>
        <w:r w:rsidRPr="004C22EA">
          <w:rPr>
            <w:rStyle w:val="Hyperlink"/>
            <w:sz w:val="20"/>
            <w:szCs w:val="20"/>
            <w:shd w:val="clear" w:color="auto" w:fill="FFFFFF"/>
          </w:rPr>
          <w:t>0</w:t>
        </w:r>
      </w:hyperlink>
      <w:r w:rsidRPr="004C22EA">
        <w:rPr>
          <w:color w:val="000000"/>
          <w:sz w:val="20"/>
          <w:szCs w:val="20"/>
          <w:shd w:val="clear" w:color="auto" w:fill="FFFFFF"/>
        </w:rPr>
        <w:t>.</w:t>
      </w:r>
    </w:p>
    <w:p w:rsidR="00700DC5" w:rsidRPr="004C22EA" w:rsidRDefault="00700DC5" w:rsidP="0026550A">
      <w:pPr>
        <w:snapToGrid w:val="0"/>
        <w:jc w:val="both"/>
        <w:rPr>
          <w:sz w:val="20"/>
          <w:szCs w:val="20"/>
        </w:rPr>
      </w:pPr>
    </w:p>
    <w:p w:rsidR="00533C7E" w:rsidRPr="004C22EA" w:rsidRDefault="00533C7E" w:rsidP="0026550A">
      <w:pPr>
        <w:snapToGrid w:val="0"/>
        <w:jc w:val="both"/>
        <w:rPr>
          <w:sz w:val="20"/>
          <w:szCs w:val="20"/>
        </w:rPr>
      </w:pPr>
      <w:r w:rsidRPr="004C22EA">
        <w:rPr>
          <w:b/>
          <w:sz w:val="20"/>
          <w:szCs w:val="20"/>
        </w:rPr>
        <w:t>Key words</w:t>
      </w:r>
      <w:r w:rsidRPr="004C22EA">
        <w:rPr>
          <w:sz w:val="20"/>
          <w:szCs w:val="20"/>
        </w:rPr>
        <w:t xml:space="preserve">: Adigrat </w:t>
      </w:r>
      <w:r w:rsidR="008B4FE2" w:rsidRPr="004C22EA">
        <w:rPr>
          <w:sz w:val="20"/>
          <w:szCs w:val="20"/>
        </w:rPr>
        <w:t>district, Cattle</w:t>
      </w:r>
      <w:r w:rsidRPr="004C22EA">
        <w:rPr>
          <w:sz w:val="20"/>
          <w:szCs w:val="20"/>
        </w:rPr>
        <w:t>, Mange mite species, Mekelle district, prevalence, Risk factors</w:t>
      </w:r>
    </w:p>
    <w:p w:rsidR="00700DC5" w:rsidRPr="004C22EA" w:rsidRDefault="00700DC5" w:rsidP="0026550A">
      <w:pPr>
        <w:snapToGrid w:val="0"/>
        <w:jc w:val="both"/>
        <w:rPr>
          <w:sz w:val="20"/>
          <w:szCs w:val="20"/>
        </w:rPr>
      </w:pPr>
    </w:p>
    <w:p w:rsidR="008858A9" w:rsidRPr="004C22EA" w:rsidRDefault="008858A9" w:rsidP="0026550A">
      <w:pPr>
        <w:pStyle w:val="Heading1"/>
        <w:keepNext w:val="0"/>
        <w:snapToGrid w:val="0"/>
        <w:spacing w:before="0" w:after="0"/>
        <w:jc w:val="both"/>
        <w:rPr>
          <w:rFonts w:ascii="Times New Roman" w:hAnsi="Times New Roman" w:cs="Times New Roman"/>
          <w:kern w:val="0"/>
          <w:sz w:val="20"/>
          <w:szCs w:val="20"/>
        </w:rPr>
        <w:sectPr w:rsidR="008858A9" w:rsidRPr="004C22EA" w:rsidSect="007F425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62"/>
          <w:cols w:space="720"/>
          <w:docGrid w:linePitch="360"/>
        </w:sectPr>
      </w:pPr>
      <w:bookmarkStart w:id="0" w:name="_Toc232500037"/>
    </w:p>
    <w:p w:rsidR="00E0216B" w:rsidRPr="004C22EA" w:rsidRDefault="00E0216B" w:rsidP="0026550A">
      <w:pPr>
        <w:pStyle w:val="Heading1"/>
        <w:keepNext w:val="0"/>
        <w:snapToGrid w:val="0"/>
        <w:spacing w:before="0" w:after="0"/>
        <w:jc w:val="both"/>
        <w:rPr>
          <w:rFonts w:ascii="Times New Roman" w:hAnsi="Times New Roman" w:cs="Times New Roman"/>
          <w:kern w:val="0"/>
          <w:sz w:val="20"/>
          <w:szCs w:val="20"/>
        </w:rPr>
      </w:pPr>
      <w:r w:rsidRPr="004C22EA">
        <w:rPr>
          <w:rFonts w:ascii="Times New Roman" w:hAnsi="Times New Roman" w:cs="Times New Roman"/>
          <w:kern w:val="0"/>
          <w:sz w:val="20"/>
          <w:szCs w:val="20"/>
        </w:rPr>
        <w:lastRenderedPageBreak/>
        <w:t>1</w:t>
      </w:r>
      <w:r w:rsidR="0001264B" w:rsidRPr="004C22EA">
        <w:rPr>
          <w:rFonts w:ascii="Times New Roman" w:hAnsi="Times New Roman" w:cs="Times New Roman"/>
          <w:kern w:val="0"/>
          <w:sz w:val="20"/>
          <w:szCs w:val="20"/>
        </w:rPr>
        <w:t>. Introduction</w:t>
      </w:r>
      <w:bookmarkEnd w:id="0"/>
    </w:p>
    <w:p w:rsidR="0025435D" w:rsidRPr="004C22EA" w:rsidRDefault="002F4AD9" w:rsidP="0026550A">
      <w:pPr>
        <w:autoSpaceDE w:val="0"/>
        <w:autoSpaceDN w:val="0"/>
        <w:adjustRightInd w:val="0"/>
        <w:snapToGrid w:val="0"/>
        <w:ind w:firstLine="425"/>
        <w:jc w:val="both"/>
        <w:rPr>
          <w:rFonts w:eastAsia="TimesNewRoman"/>
          <w:sz w:val="20"/>
          <w:szCs w:val="20"/>
        </w:rPr>
      </w:pPr>
      <w:r w:rsidRPr="004C22EA">
        <w:rPr>
          <w:rFonts w:eastAsia="TimesNewRoman"/>
          <w:sz w:val="20"/>
          <w:szCs w:val="20"/>
        </w:rPr>
        <w:t>Livestock serve as an important source of income for the agrarian community and are one of the Ethiopia’s major sources of foreign currency through exportation of skins and hides</w:t>
      </w:r>
      <w:r w:rsidR="00BD0C0F" w:rsidRPr="004C22EA">
        <w:rPr>
          <w:rFonts w:eastAsia="TimesNewRoman"/>
          <w:sz w:val="20"/>
          <w:szCs w:val="20"/>
        </w:rPr>
        <w:t xml:space="preserve"> (</w:t>
      </w:r>
      <w:r w:rsidR="00753151" w:rsidRPr="004C22EA">
        <w:rPr>
          <w:rFonts w:eastAsia="TimesNewRoman"/>
          <w:sz w:val="20"/>
          <w:szCs w:val="20"/>
        </w:rPr>
        <w:t>Ayele,</w:t>
      </w:r>
      <w:r w:rsidR="00BD0C0F" w:rsidRPr="004C22EA">
        <w:rPr>
          <w:rFonts w:eastAsia="TimesNewRoman"/>
          <w:sz w:val="20"/>
          <w:szCs w:val="20"/>
        </w:rPr>
        <w:t xml:space="preserve"> 2003).</w:t>
      </w:r>
      <w:r w:rsidRPr="004C22EA">
        <w:rPr>
          <w:rFonts w:eastAsia="TimesNewRoman"/>
          <w:sz w:val="20"/>
          <w:szCs w:val="20"/>
        </w:rPr>
        <w:t xml:space="preserve"> However, </w:t>
      </w:r>
      <w:r w:rsidR="00753151" w:rsidRPr="004C22EA">
        <w:rPr>
          <w:rFonts w:eastAsia="TimesNewRoman"/>
          <w:sz w:val="20"/>
          <w:szCs w:val="20"/>
        </w:rPr>
        <w:t xml:space="preserve">skin </w:t>
      </w:r>
      <w:r w:rsidRPr="004C22EA">
        <w:rPr>
          <w:rFonts w:eastAsia="TimesNewRoman"/>
          <w:sz w:val="20"/>
          <w:szCs w:val="20"/>
        </w:rPr>
        <w:t>diseases have been the stumbling block against the full utilization of this resource for foreign currency through export of live animals, skin and hides</w:t>
      </w:r>
      <w:r w:rsidR="000F64EA" w:rsidRPr="004C22EA">
        <w:rPr>
          <w:rFonts w:eastAsia="TimesNewRoman"/>
          <w:sz w:val="20"/>
          <w:szCs w:val="20"/>
        </w:rPr>
        <w:t xml:space="preserve"> (</w:t>
      </w:r>
      <w:r w:rsidR="00753151" w:rsidRPr="004C22EA">
        <w:rPr>
          <w:rFonts w:eastAsia="TimesNewRoman"/>
          <w:sz w:val="20"/>
          <w:szCs w:val="20"/>
        </w:rPr>
        <w:t>Ayele</w:t>
      </w:r>
      <w:r w:rsidR="000F64EA" w:rsidRPr="004C22EA">
        <w:rPr>
          <w:rFonts w:eastAsia="TimesNewRoman"/>
          <w:sz w:val="20"/>
          <w:szCs w:val="20"/>
        </w:rPr>
        <w:t>, 2003; Bansal, 2005)</w:t>
      </w:r>
      <w:r w:rsidRPr="004C22EA">
        <w:rPr>
          <w:rFonts w:eastAsia="TimesNewRoman"/>
          <w:sz w:val="20"/>
          <w:szCs w:val="20"/>
        </w:rPr>
        <w:t>.</w:t>
      </w:r>
    </w:p>
    <w:p w:rsidR="00E0216B" w:rsidRPr="004C22EA" w:rsidRDefault="00E0216B" w:rsidP="0026550A">
      <w:pPr>
        <w:autoSpaceDE w:val="0"/>
        <w:autoSpaceDN w:val="0"/>
        <w:adjustRightInd w:val="0"/>
        <w:snapToGrid w:val="0"/>
        <w:ind w:firstLine="425"/>
        <w:jc w:val="both"/>
        <w:rPr>
          <w:sz w:val="20"/>
          <w:szCs w:val="20"/>
        </w:rPr>
      </w:pPr>
      <w:r w:rsidRPr="004C22EA">
        <w:rPr>
          <w:sz w:val="20"/>
          <w:szCs w:val="20"/>
        </w:rPr>
        <w:t xml:space="preserve">Mange is </w:t>
      </w:r>
      <w:r w:rsidR="002F4AD9" w:rsidRPr="004C22EA">
        <w:rPr>
          <w:sz w:val="20"/>
          <w:szCs w:val="20"/>
        </w:rPr>
        <w:t xml:space="preserve">the one among the different </w:t>
      </w:r>
      <w:r w:rsidRPr="004C22EA">
        <w:rPr>
          <w:sz w:val="20"/>
          <w:szCs w:val="20"/>
        </w:rPr>
        <w:t xml:space="preserve">parasitic skin disease that affects all species of animals (Blood </w:t>
      </w:r>
      <w:r w:rsidRPr="004C22EA">
        <w:rPr>
          <w:i/>
          <w:sz w:val="20"/>
          <w:szCs w:val="20"/>
        </w:rPr>
        <w:t>et al</w:t>
      </w:r>
      <w:r w:rsidRPr="004C22EA">
        <w:rPr>
          <w:sz w:val="20"/>
          <w:szCs w:val="20"/>
        </w:rPr>
        <w:t>., 1983). The typical distribution and manner of spread of mange lesions vary with the host and parasite species (Bowmann, 2003).</w:t>
      </w:r>
      <w:r w:rsidR="000E2610" w:rsidRPr="004C22EA">
        <w:rPr>
          <w:sz w:val="20"/>
          <w:szCs w:val="20"/>
        </w:rPr>
        <w:t xml:space="preserve"> </w:t>
      </w:r>
      <w:r w:rsidRPr="004C22EA">
        <w:rPr>
          <w:sz w:val="20"/>
          <w:szCs w:val="20"/>
        </w:rPr>
        <w:t>There are four</w:t>
      </w:r>
      <w:r w:rsidR="000E2610" w:rsidRPr="004C22EA">
        <w:rPr>
          <w:sz w:val="20"/>
          <w:szCs w:val="20"/>
        </w:rPr>
        <w:t xml:space="preserve"> main genera of manges, which are</w:t>
      </w:r>
      <w:r w:rsidRPr="004C22EA">
        <w:rPr>
          <w:sz w:val="20"/>
          <w:szCs w:val="20"/>
        </w:rPr>
        <w:t xml:space="preserve"> responsible to cause </w:t>
      </w:r>
      <w:r w:rsidR="00E32A76" w:rsidRPr="004C22EA">
        <w:rPr>
          <w:sz w:val="20"/>
          <w:szCs w:val="20"/>
        </w:rPr>
        <w:t xml:space="preserve">disease in ruminants; namely, </w:t>
      </w:r>
      <w:r w:rsidRPr="004C22EA">
        <w:rPr>
          <w:i/>
          <w:sz w:val="20"/>
          <w:szCs w:val="20"/>
        </w:rPr>
        <w:t>Sarcoptic</w:t>
      </w:r>
      <w:r w:rsidRPr="004C22EA">
        <w:rPr>
          <w:sz w:val="20"/>
          <w:szCs w:val="20"/>
        </w:rPr>
        <w:t xml:space="preserve"> mange (Burn itch), </w:t>
      </w:r>
      <w:r w:rsidRPr="004C22EA">
        <w:rPr>
          <w:i/>
          <w:sz w:val="20"/>
          <w:szCs w:val="20"/>
        </w:rPr>
        <w:t>Demodectic</w:t>
      </w:r>
      <w:r w:rsidRPr="004C22EA">
        <w:rPr>
          <w:sz w:val="20"/>
          <w:szCs w:val="20"/>
        </w:rPr>
        <w:t xml:space="preserve"> mange (Follicular mange), </w:t>
      </w:r>
      <w:r w:rsidRPr="004C22EA">
        <w:rPr>
          <w:i/>
          <w:sz w:val="20"/>
          <w:szCs w:val="20"/>
        </w:rPr>
        <w:lastRenderedPageBreak/>
        <w:t>Psoroptic</w:t>
      </w:r>
      <w:r w:rsidR="003B103E" w:rsidRPr="004C22EA">
        <w:rPr>
          <w:sz w:val="20"/>
          <w:szCs w:val="20"/>
        </w:rPr>
        <w:t xml:space="preserve"> mange (b</w:t>
      </w:r>
      <w:r w:rsidRPr="004C22EA">
        <w:rPr>
          <w:sz w:val="20"/>
          <w:szCs w:val="20"/>
        </w:rPr>
        <w:t xml:space="preserve">ody mange, Sheep scab, Ear mange) and </w:t>
      </w:r>
      <w:r w:rsidRPr="004C22EA">
        <w:rPr>
          <w:i/>
          <w:sz w:val="20"/>
          <w:szCs w:val="20"/>
        </w:rPr>
        <w:t>Chorioptic</w:t>
      </w:r>
      <w:r w:rsidRPr="004C22EA">
        <w:rPr>
          <w:sz w:val="20"/>
          <w:szCs w:val="20"/>
        </w:rPr>
        <w:t xml:space="preserve"> mange (Tail mange, Leg mange, Scrotal mange) (Urquhart </w:t>
      </w:r>
      <w:r w:rsidRPr="004C22EA">
        <w:rPr>
          <w:i/>
          <w:sz w:val="20"/>
          <w:szCs w:val="20"/>
        </w:rPr>
        <w:t>et al.,</w:t>
      </w:r>
      <w:r w:rsidRPr="004C22EA">
        <w:rPr>
          <w:sz w:val="20"/>
          <w:szCs w:val="20"/>
        </w:rPr>
        <w:t xml:space="preserve"> 1996)</w:t>
      </w:r>
      <w:r w:rsidR="000E2610" w:rsidRPr="004C22EA">
        <w:rPr>
          <w:sz w:val="20"/>
          <w:szCs w:val="20"/>
        </w:rPr>
        <w:t>.</w:t>
      </w:r>
    </w:p>
    <w:p w:rsidR="005D5AE7" w:rsidRPr="004C22EA" w:rsidRDefault="005D5AE7" w:rsidP="0026550A">
      <w:pPr>
        <w:snapToGrid w:val="0"/>
        <w:ind w:firstLine="425"/>
        <w:jc w:val="both"/>
        <w:rPr>
          <w:sz w:val="20"/>
          <w:szCs w:val="20"/>
        </w:rPr>
      </w:pPr>
      <w:r w:rsidRPr="004C22EA">
        <w:rPr>
          <w:sz w:val="20"/>
          <w:szCs w:val="20"/>
        </w:rPr>
        <w:t>The mange</w:t>
      </w:r>
      <w:r w:rsidR="002A356D" w:rsidRPr="004C22EA">
        <w:rPr>
          <w:sz w:val="20"/>
          <w:szCs w:val="20"/>
        </w:rPr>
        <w:t xml:space="preserve"> mites</w:t>
      </w:r>
      <w:r w:rsidRPr="004C22EA">
        <w:rPr>
          <w:sz w:val="20"/>
          <w:szCs w:val="20"/>
        </w:rPr>
        <w:t xml:space="preserve"> have a worldwide geographical distribution and occur very seasonally in temperate zones (late winter). The seasonal occurrence of mange on cattle is thought to be influenced by temperature, relative humidity and wetting of the host by rain rather than physiological changes in the host. High temperature, humidity and sun light favor mange mite infestations (Pangui, 1994). </w:t>
      </w:r>
      <w:r w:rsidR="00EA245D" w:rsidRPr="004C22EA">
        <w:rPr>
          <w:sz w:val="20"/>
          <w:szCs w:val="20"/>
        </w:rPr>
        <w:t xml:space="preserve">Problems with mite infestation are more common in animals with poor body condition. </w:t>
      </w:r>
      <w:r w:rsidRPr="004C22EA">
        <w:rPr>
          <w:sz w:val="20"/>
          <w:szCs w:val="20"/>
        </w:rPr>
        <w:t xml:space="preserve">The disease affects all age groups and runs a more chronic course </w:t>
      </w:r>
      <w:r w:rsidR="00FF6DB7" w:rsidRPr="004C22EA">
        <w:rPr>
          <w:sz w:val="20"/>
          <w:szCs w:val="20"/>
        </w:rPr>
        <w:t xml:space="preserve">in adults than younger animals </w:t>
      </w:r>
      <w:r w:rsidRPr="004C22EA">
        <w:rPr>
          <w:sz w:val="20"/>
          <w:szCs w:val="20"/>
        </w:rPr>
        <w:t xml:space="preserve">(Roberts, 1971; Urquhart </w:t>
      </w:r>
      <w:r w:rsidRPr="004C22EA">
        <w:rPr>
          <w:i/>
          <w:sz w:val="20"/>
          <w:szCs w:val="20"/>
        </w:rPr>
        <w:t>et al</w:t>
      </w:r>
      <w:r w:rsidR="00EA245D" w:rsidRPr="004C22EA">
        <w:rPr>
          <w:sz w:val="20"/>
          <w:szCs w:val="20"/>
        </w:rPr>
        <w:t>., 1996).</w:t>
      </w:r>
    </w:p>
    <w:p w:rsidR="00E0216B" w:rsidRPr="004C22EA" w:rsidRDefault="00E0216B" w:rsidP="0026550A">
      <w:pPr>
        <w:snapToGrid w:val="0"/>
        <w:ind w:firstLine="425"/>
        <w:jc w:val="both"/>
        <w:rPr>
          <w:sz w:val="20"/>
          <w:szCs w:val="20"/>
        </w:rPr>
      </w:pPr>
      <w:r w:rsidRPr="004C22EA">
        <w:rPr>
          <w:sz w:val="20"/>
          <w:szCs w:val="20"/>
        </w:rPr>
        <w:t xml:space="preserve">The most recognition characters of </w:t>
      </w:r>
      <w:r w:rsidRPr="004C22EA">
        <w:rPr>
          <w:i/>
          <w:sz w:val="20"/>
          <w:szCs w:val="20"/>
        </w:rPr>
        <w:t>Sarcoptes</w:t>
      </w:r>
      <w:r w:rsidRPr="004C22EA">
        <w:rPr>
          <w:sz w:val="20"/>
          <w:szCs w:val="20"/>
        </w:rPr>
        <w:t xml:space="preserve"> are the numerous transverse ridges and triangular scales </w:t>
      </w:r>
      <w:r w:rsidRPr="004C22EA">
        <w:rPr>
          <w:sz w:val="20"/>
          <w:szCs w:val="20"/>
        </w:rPr>
        <w:lastRenderedPageBreak/>
        <w:t xml:space="preserve">on the dorsum, features possessed by no other mite of domestic mammals. </w:t>
      </w:r>
      <w:r w:rsidRPr="004C22EA">
        <w:rPr>
          <w:i/>
          <w:sz w:val="20"/>
          <w:szCs w:val="20"/>
        </w:rPr>
        <w:t>Demodex</w:t>
      </w:r>
      <w:r w:rsidRPr="004C22EA">
        <w:rPr>
          <w:sz w:val="20"/>
          <w:szCs w:val="20"/>
        </w:rPr>
        <w:t xml:space="preserve"> is quite different in form and behavior from </w:t>
      </w:r>
      <w:r w:rsidRPr="004C22EA">
        <w:rPr>
          <w:i/>
          <w:sz w:val="20"/>
          <w:szCs w:val="20"/>
        </w:rPr>
        <w:t>Sarcoptes</w:t>
      </w:r>
      <w:r w:rsidRPr="004C22EA">
        <w:rPr>
          <w:sz w:val="20"/>
          <w:szCs w:val="20"/>
        </w:rPr>
        <w:t xml:space="preserve"> and it has an elongated tapering body with four pairs of stumpy legs anteriorly. </w:t>
      </w:r>
      <w:r w:rsidRPr="004C22EA">
        <w:rPr>
          <w:i/>
          <w:sz w:val="20"/>
          <w:szCs w:val="20"/>
        </w:rPr>
        <w:t>Psoroptes</w:t>
      </w:r>
      <w:r w:rsidRPr="004C22EA">
        <w:rPr>
          <w:sz w:val="20"/>
          <w:szCs w:val="20"/>
        </w:rPr>
        <w:t xml:space="preserve"> have pointed mouth parts and long, three-jointed pedicels bearing funnel-shaped suckers on most of the legs while </w:t>
      </w:r>
      <w:r w:rsidRPr="004C22EA">
        <w:rPr>
          <w:i/>
          <w:sz w:val="20"/>
          <w:szCs w:val="20"/>
        </w:rPr>
        <w:t>chorioptes</w:t>
      </w:r>
      <w:r w:rsidRPr="004C22EA">
        <w:rPr>
          <w:sz w:val="20"/>
          <w:szCs w:val="20"/>
        </w:rPr>
        <w:t xml:space="preserve"> have rounded mouth parts and short, un-jointed pedicels bearing cup-shaped suckers (Urquhart </w:t>
      </w:r>
      <w:r w:rsidRPr="004C22EA">
        <w:rPr>
          <w:i/>
          <w:sz w:val="20"/>
          <w:szCs w:val="20"/>
        </w:rPr>
        <w:t>et al</w:t>
      </w:r>
      <w:r w:rsidRPr="004C22EA">
        <w:rPr>
          <w:sz w:val="20"/>
          <w:szCs w:val="20"/>
        </w:rPr>
        <w:t>., 1996).</w:t>
      </w:r>
    </w:p>
    <w:p w:rsidR="00E0216B" w:rsidRPr="004C22EA" w:rsidRDefault="00E0216B" w:rsidP="0026550A">
      <w:pPr>
        <w:snapToGrid w:val="0"/>
        <w:ind w:firstLine="425"/>
        <w:jc w:val="both"/>
        <w:rPr>
          <w:sz w:val="20"/>
          <w:szCs w:val="20"/>
        </w:rPr>
      </w:pPr>
      <w:r w:rsidRPr="004C22EA">
        <w:rPr>
          <w:sz w:val="20"/>
          <w:szCs w:val="20"/>
        </w:rPr>
        <w:t xml:space="preserve">Female mites produce relatively large eggs, from which a small, six-legged larva hatches. A few species are ovoviviparous, producing live offspring. The life cycle is typical for </w:t>
      </w:r>
      <w:r w:rsidR="00F51825" w:rsidRPr="004C22EA">
        <w:rPr>
          <w:sz w:val="20"/>
          <w:szCs w:val="20"/>
        </w:rPr>
        <w:t>mites;</w:t>
      </w:r>
      <w:r w:rsidRPr="004C22EA">
        <w:rPr>
          <w:sz w:val="20"/>
          <w:szCs w:val="20"/>
        </w:rPr>
        <w:t xml:space="preserve"> the entire period of development is spent on the host. </w:t>
      </w:r>
      <w:r w:rsidRPr="004C22EA">
        <w:rPr>
          <w:i/>
          <w:sz w:val="20"/>
          <w:szCs w:val="20"/>
        </w:rPr>
        <w:t>Demodex</w:t>
      </w:r>
      <w:r w:rsidRPr="004C22EA">
        <w:rPr>
          <w:sz w:val="20"/>
          <w:szCs w:val="20"/>
        </w:rPr>
        <w:t xml:space="preserve"> species are being selective for particular skin sites, namely the hair</w:t>
      </w:r>
      <w:r w:rsidR="00F51825" w:rsidRPr="004C22EA">
        <w:rPr>
          <w:sz w:val="20"/>
          <w:szCs w:val="20"/>
        </w:rPr>
        <w:t xml:space="preserve"> follicle and sebaceous glands</w:t>
      </w:r>
      <w:r w:rsidR="009C33B8" w:rsidRPr="004C22EA">
        <w:rPr>
          <w:sz w:val="20"/>
          <w:szCs w:val="20"/>
        </w:rPr>
        <w:t>.</w:t>
      </w:r>
      <w:r w:rsidR="00F51825" w:rsidRPr="004C22EA">
        <w:rPr>
          <w:sz w:val="20"/>
          <w:szCs w:val="20"/>
        </w:rPr>
        <w:t xml:space="preserve"> </w:t>
      </w:r>
      <w:r w:rsidR="009C33B8" w:rsidRPr="004C22EA">
        <w:rPr>
          <w:sz w:val="20"/>
          <w:szCs w:val="20"/>
        </w:rPr>
        <w:t xml:space="preserve">The </w:t>
      </w:r>
      <w:r w:rsidR="009C33B8" w:rsidRPr="004C22EA">
        <w:rPr>
          <w:i/>
          <w:sz w:val="20"/>
          <w:szCs w:val="20"/>
        </w:rPr>
        <w:t>Sarcoptes</w:t>
      </w:r>
      <w:r w:rsidR="009C33B8" w:rsidRPr="004C22EA">
        <w:rPr>
          <w:sz w:val="20"/>
          <w:szCs w:val="20"/>
        </w:rPr>
        <w:t xml:space="preserve"> mite prefers areas of thin hair, but the lesions may spread to other parts while </w:t>
      </w:r>
      <w:r w:rsidR="009C33B8" w:rsidRPr="004C22EA">
        <w:rPr>
          <w:i/>
          <w:sz w:val="20"/>
          <w:szCs w:val="20"/>
        </w:rPr>
        <w:t>Psoroptes</w:t>
      </w:r>
      <w:r w:rsidR="009C33B8" w:rsidRPr="004C22EA">
        <w:rPr>
          <w:sz w:val="20"/>
          <w:szCs w:val="20"/>
        </w:rPr>
        <w:t xml:space="preserve"> and </w:t>
      </w:r>
      <w:r w:rsidR="009C33B8" w:rsidRPr="004C22EA">
        <w:rPr>
          <w:i/>
          <w:sz w:val="20"/>
          <w:szCs w:val="20"/>
        </w:rPr>
        <w:t>Chorioptes</w:t>
      </w:r>
      <w:r w:rsidR="009C33B8" w:rsidRPr="004C22EA">
        <w:rPr>
          <w:sz w:val="20"/>
          <w:szCs w:val="20"/>
        </w:rPr>
        <w:t xml:space="preserve"> prefer regions covered with hair </w:t>
      </w:r>
      <w:r w:rsidRPr="004C22EA">
        <w:rPr>
          <w:sz w:val="20"/>
          <w:szCs w:val="20"/>
        </w:rPr>
        <w:t xml:space="preserve">(Sloss </w:t>
      </w:r>
      <w:r w:rsidRPr="004C22EA">
        <w:rPr>
          <w:i/>
          <w:sz w:val="20"/>
          <w:szCs w:val="20"/>
        </w:rPr>
        <w:t>et al</w:t>
      </w:r>
      <w:r w:rsidRPr="004C22EA">
        <w:rPr>
          <w:sz w:val="20"/>
          <w:szCs w:val="20"/>
        </w:rPr>
        <w:t xml:space="preserve">., 1994; Urquhart </w:t>
      </w:r>
      <w:r w:rsidRPr="004C22EA">
        <w:rPr>
          <w:i/>
          <w:sz w:val="20"/>
          <w:szCs w:val="20"/>
        </w:rPr>
        <w:t>et al</w:t>
      </w:r>
      <w:r w:rsidRPr="004C22EA">
        <w:rPr>
          <w:sz w:val="20"/>
          <w:szCs w:val="20"/>
        </w:rPr>
        <w:t>., 1996).</w:t>
      </w:r>
    </w:p>
    <w:p w:rsidR="00E0216B" w:rsidRPr="004C22EA" w:rsidRDefault="00E0216B" w:rsidP="0026550A">
      <w:pPr>
        <w:snapToGrid w:val="0"/>
        <w:ind w:firstLine="425"/>
        <w:jc w:val="both"/>
        <w:rPr>
          <w:sz w:val="20"/>
          <w:szCs w:val="20"/>
        </w:rPr>
      </w:pPr>
      <w:r w:rsidRPr="004C22EA">
        <w:rPr>
          <w:sz w:val="20"/>
          <w:szCs w:val="20"/>
        </w:rPr>
        <w:t xml:space="preserve">The disease is contagious from exposure to infested animals, humans or contaminated objects and environments. </w:t>
      </w:r>
      <w:r w:rsidR="00011C09" w:rsidRPr="004C22EA">
        <w:rPr>
          <w:sz w:val="20"/>
          <w:szCs w:val="20"/>
        </w:rPr>
        <w:t>As some of the mange species can affect humans, there is public health signi</w:t>
      </w:r>
      <w:r w:rsidR="009C33B8" w:rsidRPr="004C22EA">
        <w:rPr>
          <w:sz w:val="20"/>
          <w:szCs w:val="20"/>
        </w:rPr>
        <w:t xml:space="preserve">ficance </w:t>
      </w:r>
      <w:r w:rsidRPr="004C22EA">
        <w:rPr>
          <w:sz w:val="20"/>
          <w:szCs w:val="20"/>
        </w:rPr>
        <w:t xml:space="preserve">(Urquhart </w:t>
      </w:r>
      <w:r w:rsidRPr="004C22EA">
        <w:rPr>
          <w:i/>
          <w:sz w:val="20"/>
          <w:szCs w:val="20"/>
        </w:rPr>
        <w:t>et al</w:t>
      </w:r>
      <w:r w:rsidRPr="004C22EA">
        <w:rPr>
          <w:sz w:val="20"/>
          <w:szCs w:val="20"/>
        </w:rPr>
        <w:t>., 1996)</w:t>
      </w:r>
      <w:r w:rsidR="00DE6A06" w:rsidRPr="004C22EA">
        <w:rPr>
          <w:sz w:val="20"/>
          <w:szCs w:val="20"/>
        </w:rPr>
        <w:t>.</w:t>
      </w:r>
    </w:p>
    <w:p w:rsidR="00E0216B" w:rsidRPr="004C22EA" w:rsidRDefault="00952D0F" w:rsidP="0026550A">
      <w:pPr>
        <w:snapToGrid w:val="0"/>
        <w:ind w:firstLine="425"/>
        <w:jc w:val="both"/>
        <w:rPr>
          <w:sz w:val="20"/>
          <w:szCs w:val="20"/>
        </w:rPr>
      </w:pPr>
      <w:r w:rsidRPr="004C22EA">
        <w:rPr>
          <w:sz w:val="20"/>
          <w:szCs w:val="20"/>
        </w:rPr>
        <w:t>Therefore</w:t>
      </w:r>
      <w:r w:rsidR="00E0216B" w:rsidRPr="004C22EA">
        <w:rPr>
          <w:sz w:val="20"/>
          <w:szCs w:val="20"/>
        </w:rPr>
        <w:t xml:space="preserve"> the objectives</w:t>
      </w:r>
      <w:r w:rsidRPr="004C22EA">
        <w:rPr>
          <w:sz w:val="20"/>
          <w:szCs w:val="20"/>
        </w:rPr>
        <w:t xml:space="preserve"> of this study were to</w:t>
      </w:r>
      <w:r w:rsidR="00E0216B" w:rsidRPr="004C22EA">
        <w:rPr>
          <w:sz w:val="20"/>
          <w:szCs w:val="20"/>
        </w:rPr>
        <w:t xml:space="preserve"> </w:t>
      </w:r>
      <w:r w:rsidR="00410C9D" w:rsidRPr="004C22EA">
        <w:rPr>
          <w:sz w:val="20"/>
          <w:szCs w:val="20"/>
        </w:rPr>
        <w:t xml:space="preserve">determine the prevalence of cattle mange mite infestation, mange mite’s species and associated risk factors for its prevalence </w:t>
      </w:r>
      <w:r w:rsidR="00E0216B" w:rsidRPr="004C22EA">
        <w:rPr>
          <w:sz w:val="20"/>
          <w:szCs w:val="20"/>
        </w:rPr>
        <w:t>in the study areas.</w:t>
      </w:r>
    </w:p>
    <w:p w:rsidR="00700DC5" w:rsidRPr="004C22EA" w:rsidRDefault="00700DC5" w:rsidP="0026550A">
      <w:pPr>
        <w:snapToGrid w:val="0"/>
        <w:jc w:val="both"/>
        <w:rPr>
          <w:sz w:val="20"/>
          <w:szCs w:val="20"/>
        </w:rPr>
      </w:pPr>
    </w:p>
    <w:p w:rsidR="00D26BC7" w:rsidRPr="004C22EA" w:rsidRDefault="00E0216B" w:rsidP="0026550A">
      <w:pPr>
        <w:pStyle w:val="Heading1"/>
        <w:keepNext w:val="0"/>
        <w:snapToGrid w:val="0"/>
        <w:spacing w:before="0" w:after="0"/>
        <w:jc w:val="both"/>
        <w:rPr>
          <w:rFonts w:ascii="Times New Roman" w:hAnsi="Times New Roman" w:cs="Times New Roman"/>
          <w:kern w:val="0"/>
          <w:sz w:val="20"/>
          <w:szCs w:val="20"/>
        </w:rPr>
      </w:pPr>
      <w:bookmarkStart w:id="1" w:name="_Toc232500038"/>
      <w:r w:rsidRPr="004C22EA">
        <w:rPr>
          <w:rFonts w:ascii="Times New Roman" w:hAnsi="Times New Roman" w:cs="Times New Roman"/>
          <w:kern w:val="0"/>
          <w:sz w:val="20"/>
          <w:szCs w:val="20"/>
        </w:rPr>
        <w:t>2</w:t>
      </w:r>
      <w:r w:rsidR="0001264B" w:rsidRPr="004C22EA">
        <w:rPr>
          <w:rFonts w:ascii="Times New Roman" w:hAnsi="Times New Roman" w:cs="Times New Roman"/>
          <w:kern w:val="0"/>
          <w:sz w:val="20"/>
          <w:szCs w:val="20"/>
        </w:rPr>
        <w:t>. Materials and Methods</w:t>
      </w:r>
      <w:bookmarkStart w:id="2" w:name="_Toc232500039"/>
      <w:bookmarkEnd w:id="1"/>
    </w:p>
    <w:p w:rsidR="00121E60" w:rsidRPr="004C22EA" w:rsidRDefault="00E0216B" w:rsidP="0026550A">
      <w:pPr>
        <w:snapToGrid w:val="0"/>
        <w:jc w:val="both"/>
        <w:rPr>
          <w:sz w:val="20"/>
          <w:szCs w:val="20"/>
        </w:rPr>
      </w:pPr>
      <w:r w:rsidRPr="004C22EA">
        <w:rPr>
          <w:b/>
          <w:sz w:val="20"/>
          <w:szCs w:val="20"/>
        </w:rPr>
        <w:t>Study area</w:t>
      </w:r>
      <w:bookmarkEnd w:id="2"/>
      <w:r w:rsidR="00E431C7" w:rsidRPr="004C22EA">
        <w:rPr>
          <w:b/>
          <w:sz w:val="20"/>
          <w:szCs w:val="20"/>
        </w:rPr>
        <w:t>s</w:t>
      </w:r>
      <w:r w:rsidR="00D26BC7" w:rsidRPr="004C22EA">
        <w:rPr>
          <w:sz w:val="20"/>
          <w:szCs w:val="20"/>
        </w:rPr>
        <w:t>:</w:t>
      </w:r>
    </w:p>
    <w:p w:rsidR="0020701B" w:rsidRPr="004C22EA" w:rsidRDefault="00E0216B" w:rsidP="0026550A">
      <w:pPr>
        <w:snapToGrid w:val="0"/>
        <w:ind w:firstLine="425"/>
        <w:jc w:val="both"/>
        <w:rPr>
          <w:sz w:val="20"/>
          <w:szCs w:val="20"/>
        </w:rPr>
      </w:pPr>
      <w:r w:rsidRPr="004C22EA">
        <w:rPr>
          <w:sz w:val="20"/>
          <w:szCs w:val="20"/>
        </w:rPr>
        <w:t xml:space="preserve">The </w:t>
      </w:r>
      <w:r w:rsidR="007D5150" w:rsidRPr="004C22EA">
        <w:rPr>
          <w:sz w:val="20"/>
          <w:szCs w:val="20"/>
        </w:rPr>
        <w:t xml:space="preserve">study </w:t>
      </w:r>
      <w:r w:rsidRPr="004C22EA">
        <w:rPr>
          <w:sz w:val="20"/>
          <w:szCs w:val="20"/>
        </w:rPr>
        <w:t xml:space="preserve">was </w:t>
      </w:r>
      <w:r w:rsidR="00434B45" w:rsidRPr="004C22EA">
        <w:rPr>
          <w:sz w:val="20"/>
          <w:szCs w:val="20"/>
        </w:rPr>
        <w:t>conducted</w:t>
      </w:r>
      <w:r w:rsidRPr="004C22EA">
        <w:rPr>
          <w:sz w:val="20"/>
          <w:szCs w:val="20"/>
        </w:rPr>
        <w:t xml:space="preserve"> in Mekelle </w:t>
      </w:r>
      <w:r w:rsidR="001C4627" w:rsidRPr="004C22EA">
        <w:rPr>
          <w:sz w:val="20"/>
          <w:szCs w:val="20"/>
        </w:rPr>
        <w:t xml:space="preserve">and Adgirat </w:t>
      </w:r>
      <w:r w:rsidR="007D5150" w:rsidRPr="004C22EA">
        <w:rPr>
          <w:sz w:val="20"/>
          <w:szCs w:val="20"/>
        </w:rPr>
        <w:t>districts</w:t>
      </w:r>
      <w:r w:rsidR="00AF374B" w:rsidRPr="004C22EA">
        <w:rPr>
          <w:sz w:val="20"/>
          <w:szCs w:val="20"/>
        </w:rPr>
        <w:t xml:space="preserve">; the former </w:t>
      </w:r>
      <w:r w:rsidR="00E7336B" w:rsidRPr="004C22EA">
        <w:rPr>
          <w:sz w:val="20"/>
          <w:szCs w:val="20"/>
        </w:rPr>
        <w:t>town</w:t>
      </w:r>
      <w:r w:rsidR="00E7336B" w:rsidRPr="004C22EA">
        <w:rPr>
          <w:b/>
          <w:sz w:val="20"/>
          <w:szCs w:val="20"/>
        </w:rPr>
        <w:t xml:space="preserve"> </w:t>
      </w:r>
      <w:r w:rsidR="00E7336B" w:rsidRPr="004C22EA">
        <w:rPr>
          <w:sz w:val="20"/>
          <w:szCs w:val="20"/>
        </w:rPr>
        <w:t>is</w:t>
      </w:r>
      <w:r w:rsidRPr="004C22EA">
        <w:rPr>
          <w:sz w:val="20"/>
          <w:szCs w:val="20"/>
        </w:rPr>
        <w:t xml:space="preserve"> the capital city of Tigray regional state</w:t>
      </w:r>
      <w:r w:rsidR="002B24B0" w:rsidRPr="004C22EA">
        <w:rPr>
          <w:sz w:val="20"/>
          <w:szCs w:val="20"/>
        </w:rPr>
        <w:t>.</w:t>
      </w:r>
      <w:r w:rsidRPr="004C22EA">
        <w:rPr>
          <w:sz w:val="20"/>
          <w:szCs w:val="20"/>
        </w:rPr>
        <w:t xml:space="preserve"> </w:t>
      </w:r>
      <w:r w:rsidR="00E431C7" w:rsidRPr="004C22EA">
        <w:rPr>
          <w:sz w:val="20"/>
          <w:szCs w:val="20"/>
        </w:rPr>
        <w:t>It</w:t>
      </w:r>
      <w:r w:rsidRPr="004C22EA">
        <w:rPr>
          <w:sz w:val="20"/>
          <w:szCs w:val="20"/>
        </w:rPr>
        <w:t xml:space="preserve"> is located in between 33</w:t>
      </w:r>
      <w:r w:rsidRPr="004C22EA">
        <w:rPr>
          <w:sz w:val="20"/>
          <w:szCs w:val="20"/>
          <w:vertAlign w:val="superscript"/>
        </w:rPr>
        <w:t>0</w:t>
      </w:r>
      <w:r w:rsidRPr="004C22EA">
        <w:rPr>
          <w:sz w:val="20"/>
          <w:szCs w:val="20"/>
        </w:rPr>
        <w:t xml:space="preserve"> 24’ 30” to 13</w:t>
      </w:r>
      <w:r w:rsidRPr="004C22EA">
        <w:rPr>
          <w:sz w:val="20"/>
          <w:szCs w:val="20"/>
          <w:vertAlign w:val="superscript"/>
        </w:rPr>
        <w:t>0</w:t>
      </w:r>
      <w:r w:rsidRPr="004C22EA">
        <w:rPr>
          <w:sz w:val="20"/>
          <w:szCs w:val="20"/>
        </w:rPr>
        <w:t xml:space="preserve"> 36’52” </w:t>
      </w:r>
      <w:r w:rsidR="00E431C7" w:rsidRPr="004C22EA">
        <w:rPr>
          <w:sz w:val="20"/>
          <w:szCs w:val="20"/>
        </w:rPr>
        <w:t xml:space="preserve">N </w:t>
      </w:r>
      <w:r w:rsidRPr="004C22EA">
        <w:rPr>
          <w:sz w:val="20"/>
          <w:szCs w:val="20"/>
        </w:rPr>
        <w:t>latitude and 39</w:t>
      </w:r>
      <w:r w:rsidRPr="004C22EA">
        <w:rPr>
          <w:sz w:val="20"/>
          <w:szCs w:val="20"/>
          <w:vertAlign w:val="superscript"/>
        </w:rPr>
        <w:t>0</w:t>
      </w:r>
      <w:r w:rsidRPr="004C22EA">
        <w:rPr>
          <w:sz w:val="20"/>
          <w:szCs w:val="20"/>
        </w:rPr>
        <w:t xml:space="preserve"> 25’30” to 39</w:t>
      </w:r>
      <w:r w:rsidRPr="004C22EA">
        <w:rPr>
          <w:sz w:val="20"/>
          <w:szCs w:val="20"/>
          <w:vertAlign w:val="superscript"/>
        </w:rPr>
        <w:t>0</w:t>
      </w:r>
      <w:r w:rsidR="002B24B0" w:rsidRPr="004C22EA">
        <w:rPr>
          <w:sz w:val="20"/>
          <w:szCs w:val="20"/>
        </w:rPr>
        <w:t xml:space="preserve"> 38’33” </w:t>
      </w:r>
      <w:r w:rsidR="00E431C7" w:rsidRPr="004C22EA">
        <w:rPr>
          <w:sz w:val="20"/>
          <w:szCs w:val="20"/>
        </w:rPr>
        <w:t xml:space="preserve">E </w:t>
      </w:r>
      <w:r w:rsidR="002B24B0" w:rsidRPr="004C22EA">
        <w:rPr>
          <w:sz w:val="20"/>
          <w:szCs w:val="20"/>
        </w:rPr>
        <w:t xml:space="preserve">longitude and </w:t>
      </w:r>
      <w:r w:rsidRPr="004C22EA">
        <w:rPr>
          <w:sz w:val="20"/>
          <w:szCs w:val="20"/>
        </w:rPr>
        <w:t xml:space="preserve">lies in altitudinal range of 2150-2270 m above sea level. </w:t>
      </w:r>
      <w:r w:rsidR="00E431C7" w:rsidRPr="004C22EA">
        <w:rPr>
          <w:sz w:val="20"/>
          <w:szCs w:val="20"/>
        </w:rPr>
        <w:t xml:space="preserve">Its </w:t>
      </w:r>
      <w:r w:rsidRPr="004C22EA">
        <w:rPr>
          <w:sz w:val="20"/>
          <w:szCs w:val="20"/>
        </w:rPr>
        <w:t xml:space="preserve">mean annual </w:t>
      </w:r>
      <w:r w:rsidR="002B24B0" w:rsidRPr="004C22EA">
        <w:rPr>
          <w:sz w:val="20"/>
          <w:szCs w:val="20"/>
        </w:rPr>
        <w:t>rain fall ranges from 280-910mm with t</w:t>
      </w:r>
      <w:r w:rsidRPr="004C22EA">
        <w:rPr>
          <w:sz w:val="20"/>
          <w:szCs w:val="20"/>
        </w:rPr>
        <w:t>he average</w:t>
      </w:r>
      <w:r w:rsidR="00E431C7" w:rsidRPr="004C22EA">
        <w:rPr>
          <w:sz w:val="20"/>
          <w:szCs w:val="20"/>
        </w:rPr>
        <w:t xml:space="preserve"> annual</w:t>
      </w:r>
      <w:r w:rsidRPr="004C22EA">
        <w:rPr>
          <w:sz w:val="20"/>
          <w:szCs w:val="20"/>
        </w:rPr>
        <w:t xml:space="preserve"> temperature of 11.11</w:t>
      </w:r>
      <w:r w:rsidRPr="004C22EA">
        <w:rPr>
          <w:sz w:val="20"/>
          <w:szCs w:val="20"/>
          <w:vertAlign w:val="superscript"/>
        </w:rPr>
        <w:t>o</w:t>
      </w:r>
      <w:r w:rsidRPr="004C22EA">
        <w:rPr>
          <w:sz w:val="20"/>
          <w:szCs w:val="20"/>
        </w:rPr>
        <w:t>c to 24.1</w:t>
      </w:r>
      <w:r w:rsidRPr="004C22EA">
        <w:rPr>
          <w:sz w:val="20"/>
          <w:szCs w:val="20"/>
          <w:vertAlign w:val="superscript"/>
        </w:rPr>
        <w:t>o</w:t>
      </w:r>
      <w:r w:rsidRPr="004C22EA">
        <w:rPr>
          <w:sz w:val="20"/>
          <w:szCs w:val="20"/>
        </w:rPr>
        <w:t>c, but some studies show there is high temperature fluctuation.</w:t>
      </w:r>
      <w:bookmarkStart w:id="3" w:name="_Toc232500040"/>
      <w:r w:rsidR="00E7336B" w:rsidRPr="004C22EA">
        <w:rPr>
          <w:sz w:val="20"/>
          <w:szCs w:val="20"/>
        </w:rPr>
        <w:t xml:space="preserve"> Adigrat is </w:t>
      </w:r>
      <w:r w:rsidR="0065486A" w:rsidRPr="004C22EA">
        <w:rPr>
          <w:sz w:val="20"/>
          <w:szCs w:val="20"/>
        </w:rPr>
        <w:t xml:space="preserve">another </w:t>
      </w:r>
      <w:r w:rsidR="00E7336B" w:rsidRPr="004C22EA">
        <w:rPr>
          <w:sz w:val="20"/>
          <w:szCs w:val="20"/>
        </w:rPr>
        <w:t xml:space="preserve">town </w:t>
      </w:r>
      <w:r w:rsidR="0065486A" w:rsidRPr="004C22EA">
        <w:rPr>
          <w:sz w:val="20"/>
          <w:szCs w:val="20"/>
        </w:rPr>
        <w:t>located</w:t>
      </w:r>
      <w:r w:rsidR="00E7336B" w:rsidRPr="004C22EA">
        <w:rPr>
          <w:sz w:val="20"/>
          <w:szCs w:val="20"/>
        </w:rPr>
        <w:t xml:space="preserve"> in</w:t>
      </w:r>
      <w:r w:rsidR="0065486A" w:rsidRPr="004C22EA">
        <w:rPr>
          <w:sz w:val="20"/>
          <w:szCs w:val="20"/>
        </w:rPr>
        <w:t xml:space="preserve"> </w:t>
      </w:r>
      <w:r w:rsidR="00D24CBF" w:rsidRPr="004C22EA">
        <w:rPr>
          <w:sz w:val="20"/>
          <w:szCs w:val="20"/>
        </w:rPr>
        <w:t>the Eastern</w:t>
      </w:r>
      <w:r w:rsidR="00E7336B" w:rsidRPr="004C22EA">
        <w:rPr>
          <w:sz w:val="20"/>
          <w:szCs w:val="20"/>
        </w:rPr>
        <w:t xml:space="preserve"> part of Tigray. It </w:t>
      </w:r>
      <w:r w:rsidR="0065486A" w:rsidRPr="004C22EA">
        <w:rPr>
          <w:sz w:val="20"/>
          <w:szCs w:val="20"/>
        </w:rPr>
        <w:t>lies</w:t>
      </w:r>
      <w:r w:rsidR="00E7336B" w:rsidRPr="004C22EA">
        <w:rPr>
          <w:sz w:val="20"/>
          <w:szCs w:val="20"/>
        </w:rPr>
        <w:t xml:space="preserve"> at an altitude of 2497m above sea level. </w:t>
      </w:r>
      <w:r w:rsidR="00E431C7" w:rsidRPr="004C22EA">
        <w:rPr>
          <w:sz w:val="20"/>
          <w:szCs w:val="20"/>
        </w:rPr>
        <w:t xml:space="preserve">Its </w:t>
      </w:r>
      <w:r w:rsidR="00D24CBF" w:rsidRPr="004C22EA">
        <w:rPr>
          <w:sz w:val="20"/>
          <w:szCs w:val="20"/>
        </w:rPr>
        <w:t xml:space="preserve">mean annual rainfall is 600mm and </w:t>
      </w:r>
      <w:r w:rsidR="00E7336B" w:rsidRPr="004C22EA">
        <w:rPr>
          <w:sz w:val="20"/>
          <w:szCs w:val="20"/>
        </w:rPr>
        <w:t>located between 14</w:t>
      </w:r>
      <w:r w:rsidR="00E7336B" w:rsidRPr="004C22EA">
        <w:rPr>
          <w:sz w:val="20"/>
          <w:szCs w:val="20"/>
          <w:vertAlign w:val="superscript"/>
        </w:rPr>
        <w:t>o</w:t>
      </w:r>
      <w:r w:rsidR="00E7336B" w:rsidRPr="004C22EA">
        <w:rPr>
          <w:sz w:val="20"/>
          <w:szCs w:val="20"/>
        </w:rPr>
        <w:t>16’N latitude and 39</w:t>
      </w:r>
      <w:r w:rsidR="00E7336B" w:rsidRPr="004C22EA">
        <w:rPr>
          <w:sz w:val="20"/>
          <w:szCs w:val="20"/>
          <w:vertAlign w:val="superscript"/>
        </w:rPr>
        <w:t>o</w:t>
      </w:r>
      <w:r w:rsidR="00D24CBF" w:rsidRPr="004C22EA">
        <w:rPr>
          <w:sz w:val="20"/>
          <w:szCs w:val="20"/>
        </w:rPr>
        <w:t>26.86’E longitude with t</w:t>
      </w:r>
      <w:r w:rsidR="00E7336B" w:rsidRPr="004C22EA">
        <w:rPr>
          <w:sz w:val="20"/>
          <w:szCs w:val="20"/>
        </w:rPr>
        <w:t>he temperature ranges from 4</w:t>
      </w:r>
      <w:r w:rsidR="00E7336B" w:rsidRPr="004C22EA">
        <w:rPr>
          <w:sz w:val="20"/>
          <w:szCs w:val="20"/>
          <w:vertAlign w:val="superscript"/>
        </w:rPr>
        <w:t xml:space="preserve"> o</w:t>
      </w:r>
      <w:r w:rsidR="00E7336B" w:rsidRPr="004C22EA">
        <w:rPr>
          <w:sz w:val="20"/>
          <w:szCs w:val="20"/>
        </w:rPr>
        <w:t>c to 22</w:t>
      </w:r>
      <w:r w:rsidR="00E7336B" w:rsidRPr="004C22EA">
        <w:rPr>
          <w:sz w:val="20"/>
          <w:szCs w:val="20"/>
          <w:vertAlign w:val="superscript"/>
        </w:rPr>
        <w:t xml:space="preserve"> o</w:t>
      </w:r>
      <w:r w:rsidR="00E7336B" w:rsidRPr="004C22EA">
        <w:rPr>
          <w:sz w:val="20"/>
          <w:szCs w:val="20"/>
        </w:rPr>
        <w:t>c</w:t>
      </w:r>
      <w:r w:rsidR="00E431C7" w:rsidRPr="004C22EA">
        <w:rPr>
          <w:sz w:val="20"/>
          <w:szCs w:val="20"/>
        </w:rPr>
        <w:t>.</w:t>
      </w:r>
    </w:p>
    <w:p w:rsidR="00121E60" w:rsidRPr="004C22EA" w:rsidRDefault="00E0216B" w:rsidP="0026550A">
      <w:pPr>
        <w:snapToGrid w:val="0"/>
        <w:jc w:val="both"/>
        <w:rPr>
          <w:sz w:val="20"/>
          <w:szCs w:val="20"/>
        </w:rPr>
      </w:pPr>
      <w:r w:rsidRPr="004C22EA">
        <w:rPr>
          <w:b/>
          <w:sz w:val="20"/>
          <w:szCs w:val="20"/>
        </w:rPr>
        <w:t>Study animal</w:t>
      </w:r>
      <w:bookmarkEnd w:id="3"/>
      <w:r w:rsidR="00445374" w:rsidRPr="004C22EA">
        <w:rPr>
          <w:b/>
          <w:sz w:val="20"/>
          <w:szCs w:val="20"/>
        </w:rPr>
        <w:t>s</w:t>
      </w:r>
      <w:r w:rsidR="006308F2" w:rsidRPr="004C22EA">
        <w:rPr>
          <w:b/>
          <w:sz w:val="20"/>
          <w:szCs w:val="20"/>
        </w:rPr>
        <w:t>:</w:t>
      </w:r>
    </w:p>
    <w:p w:rsidR="00201D96" w:rsidRPr="004C22EA" w:rsidRDefault="00E0216B" w:rsidP="0026550A">
      <w:pPr>
        <w:snapToGrid w:val="0"/>
        <w:ind w:firstLine="425"/>
        <w:jc w:val="both"/>
        <w:rPr>
          <w:sz w:val="20"/>
          <w:szCs w:val="20"/>
        </w:rPr>
      </w:pPr>
      <w:r w:rsidRPr="004C22EA">
        <w:rPr>
          <w:sz w:val="20"/>
          <w:szCs w:val="20"/>
        </w:rPr>
        <w:t xml:space="preserve">The study animals were </w:t>
      </w:r>
      <w:r w:rsidR="00395E3D" w:rsidRPr="004C22EA">
        <w:rPr>
          <w:sz w:val="20"/>
          <w:szCs w:val="20"/>
        </w:rPr>
        <w:t xml:space="preserve">diseased </w:t>
      </w:r>
      <w:r w:rsidR="00A36D6B" w:rsidRPr="004C22EA">
        <w:rPr>
          <w:sz w:val="20"/>
          <w:szCs w:val="20"/>
        </w:rPr>
        <w:t xml:space="preserve">cattle, </w:t>
      </w:r>
      <w:r w:rsidR="00E05272" w:rsidRPr="004C22EA">
        <w:rPr>
          <w:sz w:val="20"/>
          <w:szCs w:val="20"/>
        </w:rPr>
        <w:t xml:space="preserve">which have clinical conditions of </w:t>
      </w:r>
      <w:r w:rsidR="00A36D6B" w:rsidRPr="004C22EA">
        <w:rPr>
          <w:sz w:val="20"/>
          <w:szCs w:val="20"/>
        </w:rPr>
        <w:t xml:space="preserve">skin disease, </w:t>
      </w:r>
      <w:r w:rsidR="00E05272" w:rsidRPr="004C22EA">
        <w:rPr>
          <w:sz w:val="20"/>
          <w:szCs w:val="20"/>
        </w:rPr>
        <w:t>being presented to the veterinary clinics of Mekelle and Adigrat districts. T</w:t>
      </w:r>
      <w:r w:rsidR="00675C66" w:rsidRPr="004C22EA">
        <w:rPr>
          <w:sz w:val="20"/>
          <w:szCs w:val="20"/>
        </w:rPr>
        <w:t>hey</w:t>
      </w:r>
      <w:r w:rsidR="00E05272" w:rsidRPr="004C22EA">
        <w:rPr>
          <w:sz w:val="20"/>
          <w:szCs w:val="20"/>
        </w:rPr>
        <w:t xml:space="preserve"> include cattle of</w:t>
      </w:r>
      <w:r w:rsidRPr="004C22EA">
        <w:rPr>
          <w:sz w:val="20"/>
          <w:szCs w:val="20"/>
        </w:rPr>
        <w:t xml:space="preserve"> all age groups</w:t>
      </w:r>
      <w:r w:rsidR="00445374" w:rsidRPr="004C22EA">
        <w:rPr>
          <w:sz w:val="20"/>
          <w:szCs w:val="20"/>
        </w:rPr>
        <w:t xml:space="preserve">, both sexes, different breeds </w:t>
      </w:r>
      <w:r w:rsidRPr="004C22EA">
        <w:rPr>
          <w:sz w:val="20"/>
          <w:szCs w:val="20"/>
        </w:rPr>
        <w:t xml:space="preserve">of different body </w:t>
      </w:r>
      <w:r w:rsidR="00E05272" w:rsidRPr="004C22EA">
        <w:rPr>
          <w:sz w:val="20"/>
          <w:szCs w:val="20"/>
        </w:rPr>
        <w:t>conditions. They are kept either under extensive or intensive farming systems.</w:t>
      </w:r>
    </w:p>
    <w:p w:rsidR="00121E60" w:rsidRPr="004C22EA" w:rsidRDefault="00E05272" w:rsidP="0026550A">
      <w:pPr>
        <w:snapToGrid w:val="0"/>
        <w:jc w:val="both"/>
        <w:rPr>
          <w:b/>
          <w:sz w:val="20"/>
          <w:szCs w:val="20"/>
        </w:rPr>
      </w:pPr>
      <w:r w:rsidRPr="004C22EA">
        <w:rPr>
          <w:b/>
          <w:sz w:val="20"/>
          <w:szCs w:val="20"/>
        </w:rPr>
        <w:t>Sampling strategy:</w:t>
      </w:r>
    </w:p>
    <w:p w:rsidR="00820B86" w:rsidRPr="004C22EA" w:rsidRDefault="00E05272" w:rsidP="0026550A">
      <w:pPr>
        <w:snapToGrid w:val="0"/>
        <w:ind w:firstLine="425"/>
        <w:jc w:val="both"/>
        <w:rPr>
          <w:b/>
          <w:sz w:val="20"/>
          <w:szCs w:val="20"/>
        </w:rPr>
      </w:pPr>
      <w:r w:rsidRPr="004C22EA">
        <w:rPr>
          <w:sz w:val="20"/>
          <w:szCs w:val="20"/>
        </w:rPr>
        <w:lastRenderedPageBreak/>
        <w:t>The study cattle were</w:t>
      </w:r>
      <w:r w:rsidR="00E0216B" w:rsidRPr="004C22EA">
        <w:rPr>
          <w:sz w:val="20"/>
          <w:szCs w:val="20"/>
        </w:rPr>
        <w:t xml:space="preserve"> sampled</w:t>
      </w:r>
      <w:r w:rsidR="00BB20B9" w:rsidRPr="004C22EA">
        <w:rPr>
          <w:sz w:val="20"/>
          <w:szCs w:val="20"/>
        </w:rPr>
        <w:t xml:space="preserve"> with purposive</w:t>
      </w:r>
      <w:r w:rsidRPr="004C22EA">
        <w:rPr>
          <w:sz w:val="20"/>
          <w:szCs w:val="20"/>
        </w:rPr>
        <w:t>ly depending on clinical signs on the skins.</w:t>
      </w:r>
      <w:r w:rsidR="004C22EA">
        <w:rPr>
          <w:sz w:val="20"/>
          <w:szCs w:val="20"/>
        </w:rPr>
        <w:t xml:space="preserve"> </w:t>
      </w:r>
      <w:r w:rsidRPr="004C22EA">
        <w:rPr>
          <w:sz w:val="20"/>
          <w:szCs w:val="20"/>
        </w:rPr>
        <w:t>Age estimation was done using the denti</w:t>
      </w:r>
      <w:r w:rsidR="007520AE" w:rsidRPr="004C22EA">
        <w:rPr>
          <w:sz w:val="20"/>
          <w:szCs w:val="20"/>
        </w:rPr>
        <w:t xml:space="preserve">tion </w:t>
      </w:r>
      <w:r w:rsidRPr="004C22EA">
        <w:rPr>
          <w:sz w:val="20"/>
          <w:szCs w:val="20"/>
        </w:rPr>
        <w:t xml:space="preserve">as </w:t>
      </w:r>
      <w:r w:rsidR="007520AE" w:rsidRPr="004C22EA">
        <w:rPr>
          <w:sz w:val="20"/>
          <w:szCs w:val="20"/>
        </w:rPr>
        <w:t>described by Aiello and Mays (1998)</w:t>
      </w:r>
      <w:r w:rsidRPr="004C22EA">
        <w:rPr>
          <w:sz w:val="20"/>
          <w:szCs w:val="20"/>
        </w:rPr>
        <w:t xml:space="preserve"> whereby they were categorized</w:t>
      </w:r>
      <w:r w:rsidR="00F6193E" w:rsidRPr="004C22EA">
        <w:rPr>
          <w:sz w:val="20"/>
          <w:szCs w:val="20"/>
        </w:rPr>
        <w:t xml:space="preserve"> into four groups (</w:t>
      </w:r>
      <w:r w:rsidR="007520AE" w:rsidRPr="004C22EA">
        <w:rPr>
          <w:sz w:val="20"/>
          <w:szCs w:val="20"/>
        </w:rPr>
        <w:t>&lt;2 year old, 2-7 year old, 7-12 year old and &gt;12 year old</w:t>
      </w:r>
      <w:r w:rsidR="00F6193E" w:rsidRPr="004C22EA">
        <w:rPr>
          <w:sz w:val="20"/>
          <w:szCs w:val="20"/>
        </w:rPr>
        <w:t>)</w:t>
      </w:r>
      <w:r w:rsidR="007520AE" w:rsidRPr="004C22EA">
        <w:rPr>
          <w:sz w:val="20"/>
          <w:szCs w:val="20"/>
        </w:rPr>
        <w:t>.</w:t>
      </w:r>
      <w:r w:rsidR="004C22EA">
        <w:rPr>
          <w:sz w:val="20"/>
          <w:szCs w:val="20"/>
        </w:rPr>
        <w:t xml:space="preserve"> </w:t>
      </w:r>
      <w:r w:rsidRPr="004C22EA">
        <w:rPr>
          <w:sz w:val="20"/>
          <w:szCs w:val="20"/>
        </w:rPr>
        <w:t xml:space="preserve">Body condition scoring was performed </w:t>
      </w:r>
      <w:r w:rsidR="00422832" w:rsidRPr="004C22EA">
        <w:rPr>
          <w:sz w:val="20"/>
          <w:szCs w:val="20"/>
        </w:rPr>
        <w:t xml:space="preserve">in line with </w:t>
      </w:r>
      <w:r w:rsidR="00223346" w:rsidRPr="004C22EA">
        <w:rPr>
          <w:sz w:val="20"/>
          <w:szCs w:val="20"/>
        </w:rPr>
        <w:t>Nicholson and Butterworth</w:t>
      </w:r>
      <w:r w:rsidR="0059175B" w:rsidRPr="004C22EA">
        <w:rPr>
          <w:sz w:val="20"/>
          <w:szCs w:val="20"/>
        </w:rPr>
        <w:t xml:space="preserve"> (</w:t>
      </w:r>
      <w:r w:rsidR="00223346" w:rsidRPr="004C22EA">
        <w:rPr>
          <w:sz w:val="20"/>
          <w:szCs w:val="20"/>
        </w:rPr>
        <w:t>1986</w:t>
      </w:r>
      <w:r w:rsidR="0059175B" w:rsidRPr="004C22EA">
        <w:rPr>
          <w:sz w:val="20"/>
          <w:szCs w:val="20"/>
        </w:rPr>
        <w:t>)</w:t>
      </w:r>
      <w:r w:rsidR="00422832" w:rsidRPr="004C22EA">
        <w:rPr>
          <w:sz w:val="20"/>
          <w:szCs w:val="20"/>
        </w:rPr>
        <w:t xml:space="preserve"> standards</w:t>
      </w:r>
      <w:r w:rsidR="003828E9" w:rsidRPr="004C22EA">
        <w:rPr>
          <w:sz w:val="20"/>
          <w:szCs w:val="20"/>
        </w:rPr>
        <w:t>. A total</w:t>
      </w:r>
      <w:r w:rsidR="00675C66" w:rsidRPr="004C22EA">
        <w:rPr>
          <w:sz w:val="20"/>
          <w:szCs w:val="20"/>
        </w:rPr>
        <w:t xml:space="preserve"> of </w:t>
      </w:r>
      <w:r w:rsidR="003828E9" w:rsidRPr="004C22EA">
        <w:rPr>
          <w:sz w:val="20"/>
          <w:szCs w:val="20"/>
        </w:rPr>
        <w:t xml:space="preserve">384 and 280 </w:t>
      </w:r>
      <w:r w:rsidR="00445374" w:rsidRPr="004C22EA">
        <w:rPr>
          <w:sz w:val="20"/>
          <w:szCs w:val="20"/>
        </w:rPr>
        <w:t>cattle were sampled</w:t>
      </w:r>
      <w:r w:rsidR="003828E9" w:rsidRPr="004C22EA">
        <w:rPr>
          <w:sz w:val="20"/>
          <w:szCs w:val="20"/>
        </w:rPr>
        <w:t xml:space="preserve"> from Mekelle and Adigrat respectively</w:t>
      </w:r>
      <w:r w:rsidR="00774A45" w:rsidRPr="004C22EA">
        <w:rPr>
          <w:sz w:val="20"/>
          <w:szCs w:val="20"/>
        </w:rPr>
        <w:t xml:space="preserve"> using Thrusfield (2007) principles</w:t>
      </w:r>
      <w:r w:rsidR="003828E9" w:rsidRPr="004C22EA">
        <w:rPr>
          <w:sz w:val="20"/>
          <w:szCs w:val="20"/>
        </w:rPr>
        <w:t xml:space="preserve">. </w:t>
      </w:r>
      <w:bookmarkStart w:id="4" w:name="_Toc232500042"/>
      <w:r w:rsidR="00774A45" w:rsidRPr="004C22EA">
        <w:rPr>
          <w:rFonts w:eastAsia="MinionPro-Regular"/>
          <w:sz w:val="20"/>
          <w:szCs w:val="20"/>
        </w:rPr>
        <w:t>The sample size was determined based on the expected prevalence of 50%, confidence level of 95% and 5% desired absolute precision.</w:t>
      </w:r>
    </w:p>
    <w:p w:rsidR="00E0216B" w:rsidRPr="004C22EA" w:rsidRDefault="00E0216B" w:rsidP="0026550A">
      <w:pPr>
        <w:pStyle w:val="Heading2"/>
        <w:keepNext w:val="0"/>
        <w:snapToGrid w:val="0"/>
        <w:spacing w:before="0" w:after="0"/>
        <w:jc w:val="both"/>
        <w:rPr>
          <w:rFonts w:ascii="Times New Roman" w:hAnsi="Times New Roman" w:cs="Times New Roman"/>
          <w:i w:val="0"/>
          <w:iCs w:val="0"/>
          <w:sz w:val="20"/>
          <w:szCs w:val="20"/>
        </w:rPr>
      </w:pPr>
      <w:bookmarkStart w:id="5" w:name="_Toc232500044"/>
      <w:bookmarkEnd w:id="4"/>
      <w:r w:rsidRPr="004C22EA">
        <w:rPr>
          <w:rFonts w:ascii="Times New Roman" w:hAnsi="Times New Roman" w:cs="Times New Roman"/>
          <w:i w:val="0"/>
          <w:iCs w:val="0"/>
          <w:sz w:val="20"/>
          <w:szCs w:val="20"/>
        </w:rPr>
        <w:t xml:space="preserve">Study </w:t>
      </w:r>
      <w:bookmarkEnd w:id="5"/>
      <w:r w:rsidR="00BB20B9" w:rsidRPr="004C22EA">
        <w:rPr>
          <w:rFonts w:ascii="Times New Roman" w:hAnsi="Times New Roman" w:cs="Times New Roman"/>
          <w:i w:val="0"/>
          <w:iCs w:val="0"/>
          <w:sz w:val="20"/>
          <w:szCs w:val="20"/>
        </w:rPr>
        <w:t>procedures</w:t>
      </w:r>
    </w:p>
    <w:p w:rsidR="00121E60" w:rsidRPr="004C22EA" w:rsidRDefault="00E0216B" w:rsidP="0026550A">
      <w:pPr>
        <w:pStyle w:val="Heading3"/>
        <w:keepNext w:val="0"/>
        <w:snapToGrid w:val="0"/>
        <w:spacing w:before="0" w:after="0"/>
        <w:jc w:val="both"/>
        <w:rPr>
          <w:rFonts w:ascii="Times New Roman" w:hAnsi="Times New Roman" w:cs="Times New Roman"/>
          <w:i/>
          <w:sz w:val="20"/>
          <w:szCs w:val="20"/>
        </w:rPr>
      </w:pPr>
      <w:bookmarkStart w:id="6" w:name="_Toc232500045"/>
      <w:r w:rsidRPr="004C22EA">
        <w:rPr>
          <w:rFonts w:ascii="Times New Roman" w:hAnsi="Times New Roman" w:cs="Times New Roman"/>
          <w:i/>
          <w:sz w:val="20"/>
          <w:szCs w:val="20"/>
        </w:rPr>
        <w:t>Clinical sign examination and sample collection</w:t>
      </w:r>
      <w:bookmarkEnd w:id="6"/>
      <w:r w:rsidR="00BB20B9" w:rsidRPr="004C22EA">
        <w:rPr>
          <w:rFonts w:ascii="Times New Roman" w:hAnsi="Times New Roman" w:cs="Times New Roman"/>
          <w:i/>
          <w:sz w:val="20"/>
          <w:szCs w:val="20"/>
        </w:rPr>
        <w:t>:</w:t>
      </w:r>
    </w:p>
    <w:p w:rsidR="00BB20B9" w:rsidRPr="004C22EA" w:rsidRDefault="00321D3C" w:rsidP="0026550A">
      <w:pPr>
        <w:pStyle w:val="Heading3"/>
        <w:keepNext w:val="0"/>
        <w:snapToGrid w:val="0"/>
        <w:spacing w:before="0" w:after="0"/>
        <w:ind w:firstLine="425"/>
        <w:jc w:val="both"/>
        <w:rPr>
          <w:rFonts w:ascii="Times New Roman" w:hAnsi="Times New Roman" w:cs="Times New Roman"/>
          <w:b w:val="0"/>
          <w:sz w:val="20"/>
          <w:szCs w:val="20"/>
        </w:rPr>
      </w:pPr>
      <w:r w:rsidRPr="004C22EA">
        <w:rPr>
          <w:rFonts w:ascii="Times New Roman" w:hAnsi="Times New Roman" w:cs="Times New Roman"/>
          <w:b w:val="0"/>
          <w:sz w:val="20"/>
          <w:szCs w:val="20"/>
        </w:rPr>
        <w:t>T</w:t>
      </w:r>
      <w:r w:rsidR="00303C0B" w:rsidRPr="004C22EA">
        <w:rPr>
          <w:rFonts w:ascii="Times New Roman" w:hAnsi="Times New Roman" w:cs="Times New Roman"/>
          <w:b w:val="0"/>
          <w:sz w:val="20"/>
          <w:szCs w:val="20"/>
        </w:rPr>
        <w:t>horough</w:t>
      </w:r>
      <w:r w:rsidR="004C22EA">
        <w:rPr>
          <w:rFonts w:ascii="Times New Roman" w:hAnsi="Times New Roman" w:cs="Times New Roman"/>
          <w:b w:val="0"/>
          <w:sz w:val="20"/>
          <w:szCs w:val="20"/>
        </w:rPr>
        <w:t xml:space="preserve"> </w:t>
      </w:r>
      <w:r w:rsidR="00D31920" w:rsidRPr="004C22EA">
        <w:rPr>
          <w:rFonts w:ascii="Times New Roman" w:hAnsi="Times New Roman" w:cs="Times New Roman"/>
          <w:b w:val="0"/>
          <w:sz w:val="20"/>
          <w:szCs w:val="20"/>
        </w:rPr>
        <w:t>clinical examination</w:t>
      </w:r>
      <w:r w:rsidR="00303C0B" w:rsidRPr="004C22EA">
        <w:rPr>
          <w:rFonts w:ascii="Times New Roman" w:hAnsi="Times New Roman" w:cs="Times New Roman"/>
          <w:b w:val="0"/>
          <w:sz w:val="20"/>
          <w:szCs w:val="20"/>
        </w:rPr>
        <w:t xml:space="preserve"> of cattle with skin disease (crusts and scale, pea-sized nodules, pruritis)</w:t>
      </w:r>
      <w:r w:rsidR="00D31920" w:rsidRPr="004C22EA">
        <w:rPr>
          <w:rFonts w:ascii="Times New Roman" w:hAnsi="Times New Roman" w:cs="Times New Roman"/>
          <w:b w:val="0"/>
          <w:sz w:val="20"/>
          <w:szCs w:val="20"/>
        </w:rPr>
        <w:t xml:space="preserve"> was conducted from head to tail </w:t>
      </w:r>
      <w:r w:rsidR="00303C0B" w:rsidRPr="004C22EA">
        <w:rPr>
          <w:rFonts w:ascii="Times New Roman" w:hAnsi="Times New Roman" w:cs="Times New Roman"/>
          <w:b w:val="0"/>
          <w:sz w:val="20"/>
          <w:szCs w:val="20"/>
        </w:rPr>
        <w:t>covering head</w:t>
      </w:r>
      <w:r w:rsidR="00E0216B" w:rsidRPr="004C22EA">
        <w:rPr>
          <w:rFonts w:ascii="Times New Roman" w:hAnsi="Times New Roman" w:cs="Times New Roman"/>
          <w:b w:val="0"/>
          <w:sz w:val="20"/>
          <w:szCs w:val="20"/>
        </w:rPr>
        <w:t xml:space="preserve"> parts (ear, face), neck, dewlap, shoulder, back, tail, scrotum, thighs and legs</w:t>
      </w:r>
      <w:r w:rsidR="00303C0B" w:rsidRPr="004C22EA">
        <w:rPr>
          <w:rFonts w:ascii="Times New Roman" w:hAnsi="Times New Roman" w:cs="Times New Roman"/>
          <w:b w:val="0"/>
          <w:sz w:val="20"/>
          <w:szCs w:val="20"/>
        </w:rPr>
        <w:t xml:space="preserve">. The hair was clipped around the affected area and then the lesion edge was scrapped using scalpel blade until the capillaries bled (Chauhan </w:t>
      </w:r>
      <w:r w:rsidR="00303C0B" w:rsidRPr="004C22EA">
        <w:rPr>
          <w:rFonts w:ascii="Times New Roman" w:hAnsi="Times New Roman" w:cs="Times New Roman"/>
          <w:b w:val="0"/>
          <w:i/>
          <w:sz w:val="20"/>
          <w:szCs w:val="20"/>
        </w:rPr>
        <w:t>et al</w:t>
      </w:r>
      <w:r w:rsidR="00303C0B" w:rsidRPr="004C22EA">
        <w:rPr>
          <w:rFonts w:ascii="Times New Roman" w:hAnsi="Times New Roman" w:cs="Times New Roman"/>
          <w:b w:val="0"/>
          <w:sz w:val="20"/>
          <w:szCs w:val="20"/>
        </w:rPr>
        <w:t>., 2006)</w:t>
      </w:r>
      <w:r w:rsidR="007C0299" w:rsidRPr="004C22EA">
        <w:rPr>
          <w:rFonts w:ascii="Times New Roman" w:hAnsi="Times New Roman" w:cs="Times New Roman"/>
          <w:b w:val="0"/>
          <w:sz w:val="20"/>
          <w:szCs w:val="20"/>
        </w:rPr>
        <w:t>.</w:t>
      </w:r>
      <w:r w:rsidR="004C22EA">
        <w:rPr>
          <w:rFonts w:ascii="Times New Roman" w:hAnsi="Times New Roman" w:cs="Times New Roman"/>
          <w:b w:val="0"/>
          <w:sz w:val="20"/>
          <w:szCs w:val="20"/>
        </w:rPr>
        <w:t xml:space="preserve"> </w:t>
      </w:r>
      <w:r w:rsidR="0058271F" w:rsidRPr="004C22EA">
        <w:rPr>
          <w:rFonts w:ascii="Times New Roman" w:hAnsi="Times New Roman" w:cs="Times New Roman"/>
          <w:b w:val="0"/>
          <w:sz w:val="20"/>
          <w:szCs w:val="20"/>
        </w:rPr>
        <w:t xml:space="preserve">The </w:t>
      </w:r>
      <w:r w:rsidR="00BF5A77" w:rsidRPr="004C22EA">
        <w:rPr>
          <w:rFonts w:ascii="Times New Roman" w:hAnsi="Times New Roman" w:cs="Times New Roman"/>
          <w:b w:val="0"/>
          <w:sz w:val="20"/>
          <w:szCs w:val="20"/>
        </w:rPr>
        <w:t>scrapings were preserved</w:t>
      </w:r>
      <w:r w:rsidR="0058271F" w:rsidRPr="004C22EA">
        <w:rPr>
          <w:rFonts w:ascii="Times New Roman" w:hAnsi="Times New Roman" w:cs="Times New Roman"/>
          <w:b w:val="0"/>
          <w:sz w:val="20"/>
          <w:szCs w:val="20"/>
        </w:rPr>
        <w:t xml:space="preserve"> in 10% formalin.</w:t>
      </w:r>
      <w:bookmarkStart w:id="7" w:name="_Toc232500046"/>
    </w:p>
    <w:p w:rsidR="00121E60" w:rsidRPr="004C22EA" w:rsidRDefault="00E0216B" w:rsidP="0026550A">
      <w:pPr>
        <w:pStyle w:val="Heading3"/>
        <w:keepNext w:val="0"/>
        <w:snapToGrid w:val="0"/>
        <w:spacing w:before="0" w:after="0"/>
        <w:jc w:val="both"/>
        <w:rPr>
          <w:rFonts w:ascii="Times New Roman" w:hAnsi="Times New Roman" w:cs="Times New Roman"/>
          <w:bCs w:val="0"/>
          <w:i/>
          <w:sz w:val="20"/>
          <w:szCs w:val="20"/>
        </w:rPr>
      </w:pPr>
      <w:r w:rsidRPr="004C22EA">
        <w:rPr>
          <w:rFonts w:ascii="Times New Roman" w:hAnsi="Times New Roman" w:cs="Times New Roman"/>
          <w:bCs w:val="0"/>
          <w:i/>
          <w:sz w:val="20"/>
          <w:szCs w:val="20"/>
        </w:rPr>
        <w:t>Laboratory examination</w:t>
      </w:r>
      <w:bookmarkEnd w:id="7"/>
      <w:r w:rsidR="00BB20B9" w:rsidRPr="004C22EA">
        <w:rPr>
          <w:rFonts w:ascii="Times New Roman" w:hAnsi="Times New Roman" w:cs="Times New Roman"/>
          <w:bCs w:val="0"/>
          <w:i/>
          <w:sz w:val="20"/>
          <w:szCs w:val="20"/>
        </w:rPr>
        <w:t>:</w:t>
      </w:r>
    </w:p>
    <w:p w:rsidR="00B21C57" w:rsidRPr="004C22EA" w:rsidRDefault="00B21C57" w:rsidP="0026550A">
      <w:pPr>
        <w:pStyle w:val="Heading3"/>
        <w:keepNext w:val="0"/>
        <w:snapToGrid w:val="0"/>
        <w:spacing w:before="0" w:after="0"/>
        <w:ind w:firstLine="425"/>
        <w:jc w:val="both"/>
        <w:rPr>
          <w:rFonts w:ascii="Times New Roman" w:hAnsi="Times New Roman" w:cs="Times New Roman"/>
          <w:b w:val="0"/>
          <w:sz w:val="20"/>
          <w:szCs w:val="20"/>
        </w:rPr>
      </w:pPr>
      <w:r w:rsidRPr="004C22EA">
        <w:rPr>
          <w:rFonts w:ascii="Times New Roman" w:hAnsi="Times New Roman" w:cs="Times New Roman"/>
          <w:b w:val="0"/>
          <w:sz w:val="20"/>
          <w:szCs w:val="20"/>
        </w:rPr>
        <w:t>T</w:t>
      </w:r>
      <w:r w:rsidR="00E0216B" w:rsidRPr="004C22EA">
        <w:rPr>
          <w:rFonts w:ascii="Times New Roman" w:hAnsi="Times New Roman" w:cs="Times New Roman"/>
          <w:b w:val="0"/>
          <w:sz w:val="20"/>
          <w:szCs w:val="20"/>
        </w:rPr>
        <w:t xml:space="preserve">he scraped material </w:t>
      </w:r>
      <w:r w:rsidRPr="004C22EA">
        <w:rPr>
          <w:rFonts w:ascii="Times New Roman" w:hAnsi="Times New Roman" w:cs="Times New Roman"/>
          <w:b w:val="0"/>
          <w:sz w:val="20"/>
          <w:szCs w:val="20"/>
        </w:rPr>
        <w:t xml:space="preserve">was </w:t>
      </w:r>
      <w:r w:rsidR="00E0216B" w:rsidRPr="004C22EA">
        <w:rPr>
          <w:rFonts w:ascii="Times New Roman" w:hAnsi="Times New Roman" w:cs="Times New Roman"/>
          <w:b w:val="0"/>
          <w:sz w:val="20"/>
          <w:szCs w:val="20"/>
        </w:rPr>
        <w:t xml:space="preserve">transferred to a clean universal bottle and </w:t>
      </w:r>
      <w:r w:rsidR="00BF5A77" w:rsidRPr="004C22EA">
        <w:rPr>
          <w:rFonts w:ascii="Times New Roman" w:hAnsi="Times New Roman" w:cs="Times New Roman"/>
          <w:b w:val="0"/>
          <w:sz w:val="20"/>
          <w:szCs w:val="20"/>
        </w:rPr>
        <w:t>a</w:t>
      </w:r>
      <w:r w:rsidR="00E0216B" w:rsidRPr="004C22EA">
        <w:rPr>
          <w:rFonts w:ascii="Times New Roman" w:hAnsi="Times New Roman" w:cs="Times New Roman"/>
          <w:b w:val="0"/>
          <w:sz w:val="20"/>
          <w:szCs w:val="20"/>
        </w:rPr>
        <w:t xml:space="preserve"> few drop of 10% potassium hydroxide solution was </w:t>
      </w:r>
      <w:r w:rsidR="00BF5A77" w:rsidRPr="004C22EA">
        <w:rPr>
          <w:rFonts w:ascii="Times New Roman" w:hAnsi="Times New Roman" w:cs="Times New Roman"/>
          <w:b w:val="0"/>
          <w:sz w:val="20"/>
          <w:szCs w:val="20"/>
        </w:rPr>
        <w:t>added</w:t>
      </w:r>
      <w:r w:rsidR="00124078" w:rsidRPr="004C22EA">
        <w:rPr>
          <w:rFonts w:ascii="Times New Roman" w:hAnsi="Times New Roman" w:cs="Times New Roman"/>
          <w:b w:val="0"/>
          <w:sz w:val="20"/>
          <w:szCs w:val="20"/>
        </w:rPr>
        <w:t xml:space="preserve"> and allowed to</w:t>
      </w:r>
      <w:r w:rsidR="00E0216B" w:rsidRPr="004C22EA">
        <w:rPr>
          <w:rFonts w:ascii="Times New Roman" w:hAnsi="Times New Roman" w:cs="Times New Roman"/>
          <w:b w:val="0"/>
          <w:sz w:val="20"/>
          <w:szCs w:val="20"/>
        </w:rPr>
        <w:t xml:space="preserve"> stand for 30 minutes</w:t>
      </w:r>
      <w:r w:rsidR="00BF5A77" w:rsidRPr="004C22EA">
        <w:rPr>
          <w:rFonts w:ascii="Times New Roman" w:hAnsi="Times New Roman" w:cs="Times New Roman"/>
          <w:b w:val="0"/>
          <w:sz w:val="20"/>
          <w:szCs w:val="20"/>
        </w:rPr>
        <w:t>. Next,</w:t>
      </w:r>
      <w:r w:rsidR="00E0216B" w:rsidRPr="004C22EA">
        <w:rPr>
          <w:rFonts w:ascii="Times New Roman" w:hAnsi="Times New Roman" w:cs="Times New Roman"/>
          <w:b w:val="0"/>
          <w:sz w:val="20"/>
          <w:szCs w:val="20"/>
        </w:rPr>
        <w:t xml:space="preserve"> the sediment was</w:t>
      </w:r>
      <w:r w:rsidR="00AA26D8" w:rsidRPr="004C22EA">
        <w:rPr>
          <w:rFonts w:ascii="Times New Roman" w:hAnsi="Times New Roman" w:cs="Times New Roman"/>
          <w:b w:val="0"/>
          <w:sz w:val="20"/>
          <w:szCs w:val="20"/>
        </w:rPr>
        <w:t xml:space="preserve"> dropped on a clean slide and examined</w:t>
      </w:r>
      <w:r w:rsidR="00E0216B" w:rsidRPr="004C22EA">
        <w:rPr>
          <w:rFonts w:ascii="Times New Roman" w:hAnsi="Times New Roman" w:cs="Times New Roman"/>
          <w:b w:val="0"/>
          <w:sz w:val="20"/>
          <w:szCs w:val="20"/>
        </w:rPr>
        <w:t xml:space="preserve"> under </w:t>
      </w:r>
      <w:r w:rsidRPr="004C22EA">
        <w:rPr>
          <w:rFonts w:ascii="Times New Roman" w:hAnsi="Times New Roman" w:cs="Times New Roman"/>
          <w:b w:val="0"/>
          <w:sz w:val="20"/>
          <w:szCs w:val="20"/>
        </w:rPr>
        <w:t xml:space="preserve">a microscope of </w:t>
      </w:r>
      <w:r w:rsidR="00E0216B" w:rsidRPr="004C22EA">
        <w:rPr>
          <w:rFonts w:ascii="Times New Roman" w:hAnsi="Times New Roman" w:cs="Times New Roman"/>
          <w:b w:val="0"/>
          <w:sz w:val="20"/>
          <w:szCs w:val="20"/>
        </w:rPr>
        <w:t xml:space="preserve">low </w:t>
      </w:r>
      <w:r w:rsidRPr="004C22EA">
        <w:rPr>
          <w:rFonts w:ascii="Times New Roman" w:hAnsi="Times New Roman" w:cs="Times New Roman"/>
          <w:b w:val="0"/>
          <w:sz w:val="20"/>
          <w:szCs w:val="20"/>
        </w:rPr>
        <w:t xml:space="preserve">power magnification </w:t>
      </w:r>
      <w:r w:rsidR="00124078" w:rsidRPr="004C22EA">
        <w:rPr>
          <w:rFonts w:ascii="Times New Roman" w:hAnsi="Times New Roman" w:cs="Times New Roman"/>
          <w:b w:val="0"/>
          <w:sz w:val="20"/>
          <w:szCs w:val="20"/>
        </w:rPr>
        <w:t xml:space="preserve">to detect </w:t>
      </w:r>
      <w:r w:rsidR="00E0216B" w:rsidRPr="004C22EA">
        <w:rPr>
          <w:rFonts w:ascii="Times New Roman" w:hAnsi="Times New Roman" w:cs="Times New Roman"/>
          <w:b w:val="0"/>
          <w:sz w:val="20"/>
          <w:szCs w:val="20"/>
        </w:rPr>
        <w:t xml:space="preserve">mites and their eggs. The collected samples were examined under stereomicroscope and identification was performed </w:t>
      </w:r>
      <w:r w:rsidR="009656DE" w:rsidRPr="004C22EA">
        <w:rPr>
          <w:rFonts w:ascii="Times New Roman" w:hAnsi="Times New Roman" w:cs="Times New Roman"/>
          <w:b w:val="0"/>
          <w:sz w:val="20"/>
          <w:szCs w:val="20"/>
        </w:rPr>
        <w:t xml:space="preserve">as </w:t>
      </w:r>
      <w:r w:rsidR="00E0216B" w:rsidRPr="004C22EA">
        <w:rPr>
          <w:rFonts w:ascii="Times New Roman" w:hAnsi="Times New Roman" w:cs="Times New Roman"/>
          <w:b w:val="0"/>
          <w:sz w:val="20"/>
          <w:szCs w:val="20"/>
        </w:rPr>
        <w:t>Wall and Shearer (1997)</w:t>
      </w:r>
      <w:r w:rsidR="003E36D9" w:rsidRPr="004C22EA">
        <w:rPr>
          <w:rFonts w:ascii="Times New Roman" w:hAnsi="Times New Roman" w:cs="Times New Roman"/>
          <w:b w:val="0"/>
          <w:sz w:val="20"/>
          <w:szCs w:val="20"/>
        </w:rPr>
        <w:t>,</w:t>
      </w:r>
      <w:r w:rsidR="00E0216B" w:rsidRPr="004C22EA">
        <w:rPr>
          <w:rFonts w:ascii="Times New Roman" w:hAnsi="Times New Roman" w:cs="Times New Roman"/>
          <w:b w:val="0"/>
          <w:sz w:val="20"/>
          <w:szCs w:val="20"/>
        </w:rPr>
        <w:t xml:space="preserve"> and OIE (2004).</w:t>
      </w:r>
      <w:bookmarkStart w:id="8" w:name="_Toc232500047"/>
    </w:p>
    <w:p w:rsidR="00171206" w:rsidRPr="004C22EA" w:rsidRDefault="00E0216B" w:rsidP="0026550A">
      <w:pPr>
        <w:pStyle w:val="Heading3"/>
        <w:keepNext w:val="0"/>
        <w:snapToGrid w:val="0"/>
        <w:spacing w:before="0" w:after="0"/>
        <w:jc w:val="both"/>
        <w:rPr>
          <w:rFonts w:ascii="Times New Roman" w:hAnsi="Times New Roman" w:cs="Times New Roman"/>
          <w:sz w:val="20"/>
          <w:szCs w:val="20"/>
        </w:rPr>
      </w:pPr>
      <w:r w:rsidRPr="004C22EA">
        <w:rPr>
          <w:rFonts w:ascii="Times New Roman" w:hAnsi="Times New Roman" w:cs="Times New Roman"/>
          <w:sz w:val="20"/>
          <w:szCs w:val="20"/>
        </w:rPr>
        <w:t xml:space="preserve">Data </w:t>
      </w:r>
      <w:r w:rsidR="00BF7DF9" w:rsidRPr="004C22EA">
        <w:rPr>
          <w:rFonts w:ascii="Times New Roman" w:hAnsi="Times New Roman" w:cs="Times New Roman"/>
          <w:sz w:val="20"/>
          <w:szCs w:val="20"/>
        </w:rPr>
        <w:t>a</w:t>
      </w:r>
      <w:r w:rsidRPr="004C22EA">
        <w:rPr>
          <w:rFonts w:ascii="Times New Roman" w:hAnsi="Times New Roman" w:cs="Times New Roman"/>
          <w:sz w:val="20"/>
          <w:szCs w:val="20"/>
        </w:rPr>
        <w:t>nalysis</w:t>
      </w:r>
      <w:bookmarkEnd w:id="8"/>
      <w:r w:rsidR="00B21C57" w:rsidRPr="004C22EA">
        <w:rPr>
          <w:rFonts w:ascii="Times New Roman" w:hAnsi="Times New Roman" w:cs="Times New Roman"/>
          <w:sz w:val="20"/>
          <w:szCs w:val="20"/>
        </w:rPr>
        <w:t>:</w:t>
      </w:r>
    </w:p>
    <w:p w:rsidR="00171206" w:rsidRPr="004C22EA" w:rsidRDefault="00171206" w:rsidP="0026550A">
      <w:pPr>
        <w:tabs>
          <w:tab w:val="left" w:pos="555"/>
        </w:tabs>
        <w:snapToGrid w:val="0"/>
        <w:ind w:firstLine="425"/>
        <w:jc w:val="both"/>
        <w:outlineLvl w:val="0"/>
        <w:rPr>
          <w:rFonts w:eastAsia="Calibri"/>
          <w:sz w:val="20"/>
          <w:szCs w:val="20"/>
        </w:rPr>
      </w:pPr>
      <w:r w:rsidRPr="004C22EA">
        <w:rPr>
          <w:rFonts w:eastAsia="Calibri"/>
          <w:sz w:val="20"/>
          <w:szCs w:val="20"/>
        </w:rPr>
        <w:t>All data were fed into Microsoft excel spread sheets with subsequent transfer to SPSS</w:t>
      </w:r>
      <w:r w:rsidRPr="004C22EA">
        <w:rPr>
          <w:bCs/>
          <w:sz w:val="20"/>
          <w:szCs w:val="20"/>
        </w:rPr>
        <w:t xml:space="preserve"> version </w:t>
      </w:r>
      <w:r w:rsidR="00261639" w:rsidRPr="004C22EA">
        <w:rPr>
          <w:bCs/>
          <w:sz w:val="20"/>
          <w:szCs w:val="20"/>
        </w:rPr>
        <w:t>20</w:t>
      </w:r>
      <w:r w:rsidRPr="004C22EA">
        <w:rPr>
          <w:rFonts w:eastAsia="Calibri"/>
          <w:sz w:val="20"/>
          <w:szCs w:val="20"/>
        </w:rPr>
        <w:t xml:space="preserve">. </w:t>
      </w:r>
      <w:r w:rsidR="00EF415E" w:rsidRPr="004C22EA">
        <w:rPr>
          <w:rFonts w:eastAsia="Calibri"/>
          <w:sz w:val="20"/>
          <w:szCs w:val="20"/>
        </w:rPr>
        <w:t>Mange mite</w:t>
      </w:r>
      <w:r w:rsidRPr="004C22EA">
        <w:rPr>
          <w:rFonts w:eastAsia="Calibri"/>
          <w:sz w:val="20"/>
          <w:szCs w:val="20"/>
        </w:rPr>
        <w:t xml:space="preserve"> prevalence was worked out as</w:t>
      </w:r>
      <w:r w:rsidR="004C22EA">
        <w:rPr>
          <w:rFonts w:eastAsia="Calibri"/>
          <w:sz w:val="20"/>
          <w:szCs w:val="20"/>
        </w:rPr>
        <w:t xml:space="preserve"> </w:t>
      </w:r>
      <w:r w:rsidRPr="004C22EA">
        <w:rPr>
          <w:rFonts w:eastAsia="Calibri"/>
          <w:sz w:val="20"/>
          <w:szCs w:val="20"/>
        </w:rPr>
        <w:t xml:space="preserve">the proportion of positive animals to the total number of animals </w:t>
      </w:r>
      <w:r w:rsidR="00EF415E" w:rsidRPr="004C22EA">
        <w:rPr>
          <w:rFonts w:eastAsia="Calibri"/>
          <w:sz w:val="20"/>
          <w:szCs w:val="20"/>
        </w:rPr>
        <w:t>examined</w:t>
      </w:r>
      <w:r w:rsidRPr="004C22EA">
        <w:rPr>
          <w:rFonts w:eastAsia="Calibri"/>
          <w:sz w:val="20"/>
          <w:szCs w:val="20"/>
        </w:rPr>
        <w:t xml:space="preserve">. Association </w:t>
      </w:r>
      <w:r w:rsidR="00BA2F73" w:rsidRPr="004C22EA">
        <w:rPr>
          <w:rFonts w:eastAsia="Calibri"/>
          <w:sz w:val="20"/>
          <w:szCs w:val="20"/>
        </w:rPr>
        <w:t xml:space="preserve">of the study </w:t>
      </w:r>
      <w:r w:rsidRPr="004C22EA">
        <w:rPr>
          <w:rFonts w:eastAsia="Calibri"/>
          <w:sz w:val="20"/>
          <w:szCs w:val="20"/>
        </w:rPr>
        <w:t>variables</w:t>
      </w:r>
      <w:r w:rsidR="00BA2F73" w:rsidRPr="004C22EA">
        <w:rPr>
          <w:rFonts w:eastAsia="Calibri"/>
          <w:sz w:val="20"/>
          <w:szCs w:val="20"/>
        </w:rPr>
        <w:t xml:space="preserve"> with mange mite prevalence</w:t>
      </w:r>
      <w:r w:rsidRPr="004C22EA">
        <w:rPr>
          <w:rFonts w:eastAsia="Calibri"/>
          <w:sz w:val="20"/>
          <w:szCs w:val="20"/>
        </w:rPr>
        <w:t xml:space="preserve"> were analyzed using Pearson’s chi-square (χ</w:t>
      </w:r>
      <w:r w:rsidRPr="004C22EA">
        <w:rPr>
          <w:rFonts w:eastAsia="Calibri"/>
          <w:sz w:val="20"/>
          <w:szCs w:val="20"/>
          <w:vertAlign w:val="superscript"/>
        </w:rPr>
        <w:t>2</w:t>
      </w:r>
      <w:r w:rsidRPr="004C22EA">
        <w:rPr>
          <w:rFonts w:eastAsia="Calibri"/>
          <w:sz w:val="20"/>
          <w:szCs w:val="20"/>
        </w:rPr>
        <w:t>). During statistical analysis, a confidence level of 95% was used and P-value of less than 0.05 (at 5% level of significance) was considered statistically significant.</w:t>
      </w:r>
    </w:p>
    <w:p w:rsidR="00171206" w:rsidRPr="004C22EA" w:rsidRDefault="00171206" w:rsidP="0026550A">
      <w:pPr>
        <w:snapToGrid w:val="0"/>
        <w:jc w:val="both"/>
        <w:rPr>
          <w:sz w:val="20"/>
          <w:szCs w:val="20"/>
        </w:rPr>
      </w:pPr>
    </w:p>
    <w:p w:rsidR="00E0216B" w:rsidRPr="004C22EA" w:rsidRDefault="00E0216B" w:rsidP="0026550A">
      <w:pPr>
        <w:pStyle w:val="Heading1"/>
        <w:keepNext w:val="0"/>
        <w:snapToGrid w:val="0"/>
        <w:spacing w:before="0" w:after="0"/>
        <w:jc w:val="both"/>
        <w:rPr>
          <w:rFonts w:ascii="Times New Roman" w:hAnsi="Times New Roman" w:cs="Times New Roman"/>
          <w:kern w:val="0"/>
          <w:sz w:val="20"/>
          <w:szCs w:val="20"/>
        </w:rPr>
      </w:pPr>
      <w:bookmarkStart w:id="9" w:name="_Toc232500048"/>
      <w:r w:rsidRPr="004C22EA">
        <w:rPr>
          <w:rFonts w:ascii="Times New Roman" w:hAnsi="Times New Roman" w:cs="Times New Roman"/>
          <w:kern w:val="0"/>
          <w:sz w:val="20"/>
          <w:szCs w:val="20"/>
        </w:rPr>
        <w:t xml:space="preserve">3. </w:t>
      </w:r>
      <w:r w:rsidR="008858A9" w:rsidRPr="004C22EA">
        <w:rPr>
          <w:rFonts w:ascii="Times New Roman" w:hAnsi="Times New Roman" w:cs="Times New Roman"/>
          <w:kern w:val="0"/>
          <w:sz w:val="20"/>
          <w:szCs w:val="20"/>
        </w:rPr>
        <w:t>Results</w:t>
      </w:r>
      <w:bookmarkEnd w:id="9"/>
    </w:p>
    <w:p w:rsidR="00121E60" w:rsidRPr="004C22EA" w:rsidRDefault="00482548" w:rsidP="0026550A">
      <w:pPr>
        <w:snapToGrid w:val="0"/>
        <w:jc w:val="both"/>
        <w:rPr>
          <w:b/>
          <w:sz w:val="20"/>
          <w:szCs w:val="20"/>
        </w:rPr>
      </w:pPr>
      <w:r w:rsidRPr="004C22EA">
        <w:rPr>
          <w:b/>
          <w:sz w:val="20"/>
          <w:szCs w:val="20"/>
        </w:rPr>
        <w:t>Mange mite infestation:</w:t>
      </w:r>
    </w:p>
    <w:p w:rsidR="00A66E94" w:rsidRPr="004C22EA" w:rsidRDefault="00482548" w:rsidP="0026550A">
      <w:pPr>
        <w:snapToGrid w:val="0"/>
        <w:ind w:firstLine="425"/>
        <w:jc w:val="both"/>
        <w:rPr>
          <w:i/>
          <w:sz w:val="20"/>
          <w:szCs w:val="20"/>
        </w:rPr>
      </w:pPr>
      <w:r w:rsidRPr="004C22EA">
        <w:rPr>
          <w:sz w:val="20"/>
          <w:szCs w:val="20"/>
        </w:rPr>
        <w:t xml:space="preserve">Out of </w:t>
      </w:r>
      <w:r w:rsidR="0037686E" w:rsidRPr="004C22EA">
        <w:rPr>
          <w:sz w:val="20"/>
          <w:szCs w:val="20"/>
        </w:rPr>
        <w:t xml:space="preserve">384 </w:t>
      </w:r>
      <w:r w:rsidR="00A66E94" w:rsidRPr="004C22EA">
        <w:rPr>
          <w:sz w:val="20"/>
          <w:szCs w:val="20"/>
        </w:rPr>
        <w:t>cattle</w:t>
      </w:r>
      <w:r w:rsidRPr="004C22EA">
        <w:rPr>
          <w:sz w:val="20"/>
          <w:szCs w:val="20"/>
        </w:rPr>
        <w:t xml:space="preserve"> </w:t>
      </w:r>
      <w:r w:rsidR="00A66E94" w:rsidRPr="004C22EA">
        <w:rPr>
          <w:sz w:val="20"/>
          <w:szCs w:val="20"/>
        </w:rPr>
        <w:t>examined</w:t>
      </w:r>
      <w:r w:rsidRPr="004C22EA">
        <w:rPr>
          <w:sz w:val="20"/>
          <w:szCs w:val="20"/>
        </w:rPr>
        <w:t xml:space="preserve"> </w:t>
      </w:r>
      <w:r w:rsidR="00A66E94" w:rsidRPr="004C22EA">
        <w:rPr>
          <w:sz w:val="20"/>
          <w:szCs w:val="20"/>
        </w:rPr>
        <w:t xml:space="preserve">in the study areas </w:t>
      </w:r>
      <w:r w:rsidRPr="004C22EA">
        <w:rPr>
          <w:sz w:val="20"/>
          <w:szCs w:val="20"/>
        </w:rPr>
        <w:t>76</w:t>
      </w:r>
      <w:r w:rsidR="00A66E94" w:rsidRPr="004C22EA">
        <w:rPr>
          <w:sz w:val="20"/>
          <w:szCs w:val="20"/>
        </w:rPr>
        <w:t>/384(19.8%)</w:t>
      </w:r>
      <w:r w:rsidRPr="004C22EA">
        <w:rPr>
          <w:sz w:val="20"/>
          <w:szCs w:val="20"/>
        </w:rPr>
        <w:t xml:space="preserve"> were found </w:t>
      </w:r>
      <w:r w:rsidR="00A66E94" w:rsidRPr="004C22EA">
        <w:rPr>
          <w:sz w:val="20"/>
          <w:szCs w:val="20"/>
        </w:rPr>
        <w:t xml:space="preserve">mange mite infested. Of 280 cattle examined in Mekelle, 55/280(19.6%) were positive while 21/104(20.2%) cattle were infested in Adigrat. Its prevalence </w:t>
      </w:r>
      <w:r w:rsidR="00656988" w:rsidRPr="004C22EA">
        <w:rPr>
          <w:sz w:val="20"/>
          <w:szCs w:val="20"/>
        </w:rPr>
        <w:t>was statistically</w:t>
      </w:r>
      <w:r w:rsidRPr="004C22EA">
        <w:rPr>
          <w:sz w:val="20"/>
          <w:szCs w:val="20"/>
        </w:rPr>
        <w:t xml:space="preserve"> significant (p&lt;0.05)</w:t>
      </w:r>
      <w:r w:rsidR="00A66E94" w:rsidRPr="004C22EA">
        <w:rPr>
          <w:sz w:val="20"/>
          <w:szCs w:val="20"/>
        </w:rPr>
        <w:t xml:space="preserve"> between the study </w:t>
      </w:r>
      <w:r w:rsidR="00656988" w:rsidRPr="004C22EA">
        <w:rPr>
          <w:sz w:val="20"/>
          <w:szCs w:val="20"/>
        </w:rPr>
        <w:t>areas (</w:t>
      </w:r>
      <w:r w:rsidR="00A66E94" w:rsidRPr="004C22EA">
        <w:rPr>
          <w:sz w:val="20"/>
          <w:szCs w:val="20"/>
        </w:rPr>
        <w:t>Table 1)</w:t>
      </w:r>
      <w:r w:rsidRPr="004C22EA">
        <w:rPr>
          <w:sz w:val="20"/>
          <w:szCs w:val="20"/>
        </w:rPr>
        <w:t>.</w:t>
      </w:r>
      <w:r w:rsidR="004C22EA">
        <w:rPr>
          <w:sz w:val="20"/>
          <w:szCs w:val="20"/>
        </w:rPr>
        <w:t xml:space="preserve"> </w:t>
      </w:r>
      <w:r w:rsidR="008371A8" w:rsidRPr="004C22EA">
        <w:rPr>
          <w:i/>
          <w:sz w:val="20"/>
          <w:szCs w:val="20"/>
        </w:rPr>
        <w:t xml:space="preserve">Demodex bovis </w:t>
      </w:r>
      <w:r w:rsidR="00A9404E" w:rsidRPr="004C22EA">
        <w:rPr>
          <w:i/>
          <w:sz w:val="20"/>
          <w:szCs w:val="20"/>
        </w:rPr>
        <w:t>61/76</w:t>
      </w:r>
      <w:r w:rsidR="008371A8" w:rsidRPr="004C22EA">
        <w:rPr>
          <w:i/>
          <w:sz w:val="20"/>
          <w:szCs w:val="20"/>
        </w:rPr>
        <w:t>(</w:t>
      </w:r>
      <w:r w:rsidR="00A9404E" w:rsidRPr="004C22EA">
        <w:rPr>
          <w:i/>
          <w:sz w:val="20"/>
          <w:szCs w:val="20"/>
        </w:rPr>
        <w:t>80.3</w:t>
      </w:r>
      <w:r w:rsidR="008371A8" w:rsidRPr="004C22EA">
        <w:rPr>
          <w:color w:val="000000" w:themeColor="text1"/>
          <w:sz w:val="20"/>
          <w:szCs w:val="20"/>
        </w:rPr>
        <w:t>%</w:t>
      </w:r>
      <w:r w:rsidR="008371A8" w:rsidRPr="004C22EA">
        <w:rPr>
          <w:i/>
          <w:sz w:val="20"/>
          <w:szCs w:val="20"/>
        </w:rPr>
        <w:t xml:space="preserve">) </w:t>
      </w:r>
      <w:r w:rsidR="008371A8" w:rsidRPr="004C22EA">
        <w:rPr>
          <w:sz w:val="20"/>
          <w:szCs w:val="20"/>
        </w:rPr>
        <w:t xml:space="preserve">and </w:t>
      </w:r>
      <w:r w:rsidR="008371A8" w:rsidRPr="004C22EA">
        <w:rPr>
          <w:i/>
          <w:sz w:val="20"/>
          <w:szCs w:val="20"/>
        </w:rPr>
        <w:t xml:space="preserve">Sarcoptes scabies var bovis </w:t>
      </w:r>
      <w:r w:rsidR="00A154E3" w:rsidRPr="004C22EA">
        <w:rPr>
          <w:i/>
          <w:sz w:val="20"/>
          <w:szCs w:val="20"/>
        </w:rPr>
        <w:lastRenderedPageBreak/>
        <w:t>15/76</w:t>
      </w:r>
      <w:r w:rsidR="008371A8" w:rsidRPr="004C22EA">
        <w:rPr>
          <w:i/>
          <w:sz w:val="20"/>
          <w:szCs w:val="20"/>
        </w:rPr>
        <w:t>(</w:t>
      </w:r>
      <w:r w:rsidR="00A154E3" w:rsidRPr="004C22EA">
        <w:rPr>
          <w:color w:val="000000" w:themeColor="text1"/>
          <w:sz w:val="20"/>
          <w:szCs w:val="20"/>
        </w:rPr>
        <w:t>19.7</w:t>
      </w:r>
      <w:r w:rsidR="008371A8" w:rsidRPr="004C22EA">
        <w:rPr>
          <w:color w:val="000000" w:themeColor="text1"/>
          <w:sz w:val="20"/>
          <w:szCs w:val="20"/>
        </w:rPr>
        <w:t>%</w:t>
      </w:r>
      <w:r w:rsidR="008371A8" w:rsidRPr="004C22EA">
        <w:rPr>
          <w:i/>
          <w:sz w:val="20"/>
          <w:szCs w:val="20"/>
        </w:rPr>
        <w:t xml:space="preserve">) </w:t>
      </w:r>
      <w:r w:rsidR="008371A8" w:rsidRPr="004C22EA">
        <w:rPr>
          <w:sz w:val="20"/>
          <w:szCs w:val="20"/>
        </w:rPr>
        <w:t>were the mange mite species identified in the study areas (Table 2).</w:t>
      </w:r>
    </w:p>
    <w:p w:rsidR="00121E60" w:rsidRPr="004C22EA" w:rsidRDefault="00CD25E8" w:rsidP="0026550A">
      <w:pPr>
        <w:snapToGrid w:val="0"/>
        <w:jc w:val="both"/>
        <w:rPr>
          <w:sz w:val="20"/>
          <w:szCs w:val="20"/>
        </w:rPr>
      </w:pPr>
      <w:r w:rsidRPr="004C22EA">
        <w:rPr>
          <w:b/>
          <w:sz w:val="20"/>
          <w:szCs w:val="20"/>
        </w:rPr>
        <w:t>Mange mite distribution association with sex, age, body condition</w:t>
      </w:r>
      <w:r w:rsidR="002F6781" w:rsidRPr="004C22EA">
        <w:rPr>
          <w:b/>
          <w:sz w:val="20"/>
          <w:szCs w:val="20"/>
        </w:rPr>
        <w:t>s</w:t>
      </w:r>
      <w:r w:rsidR="00C22261" w:rsidRPr="004C22EA">
        <w:rPr>
          <w:b/>
          <w:sz w:val="20"/>
          <w:szCs w:val="20"/>
        </w:rPr>
        <w:t>, breeds</w:t>
      </w:r>
      <w:r w:rsidR="00554D76" w:rsidRPr="004C22EA">
        <w:rPr>
          <w:b/>
          <w:sz w:val="20"/>
          <w:szCs w:val="20"/>
        </w:rPr>
        <w:t xml:space="preserve">, </w:t>
      </w:r>
      <w:r w:rsidR="00FE2E30" w:rsidRPr="004C22EA">
        <w:rPr>
          <w:b/>
          <w:sz w:val="20"/>
          <w:szCs w:val="20"/>
        </w:rPr>
        <w:t>management systems</w:t>
      </w:r>
      <w:r w:rsidRPr="004C22EA">
        <w:rPr>
          <w:b/>
          <w:sz w:val="20"/>
          <w:szCs w:val="20"/>
        </w:rPr>
        <w:t xml:space="preserve"> and predilection sites</w:t>
      </w:r>
      <w:r w:rsidR="007E7C8B" w:rsidRPr="004C22EA">
        <w:rPr>
          <w:b/>
          <w:sz w:val="20"/>
          <w:szCs w:val="20"/>
        </w:rPr>
        <w:t>:</w:t>
      </w:r>
    </w:p>
    <w:p w:rsidR="00482548" w:rsidRPr="004C22EA" w:rsidRDefault="00554D76" w:rsidP="0026550A">
      <w:pPr>
        <w:snapToGrid w:val="0"/>
        <w:ind w:firstLine="425"/>
        <w:jc w:val="both"/>
        <w:rPr>
          <w:sz w:val="20"/>
          <w:szCs w:val="20"/>
        </w:rPr>
      </w:pPr>
      <w:r w:rsidRPr="004C22EA">
        <w:rPr>
          <w:sz w:val="20"/>
          <w:szCs w:val="20"/>
        </w:rPr>
        <w:t>Higher (20.4%) infestation was observed in females than males (19.2%). However, there was no significant statistical association between sex groups in mange mite’s infestation. In addition, no statistical significance was found in mite’s infestation amongst age categories. Nevertheless, the highest (20.2%) was registered in ages between 7 and 12 years whereas the lowest (14.3%) in cattle of ages less than 2 years.</w:t>
      </w:r>
      <w:r w:rsidR="004C22EA">
        <w:rPr>
          <w:sz w:val="20"/>
          <w:szCs w:val="20"/>
        </w:rPr>
        <w:t xml:space="preserve"> </w:t>
      </w:r>
      <w:r w:rsidR="00E606B6" w:rsidRPr="004C22EA">
        <w:rPr>
          <w:sz w:val="20"/>
          <w:szCs w:val="20"/>
        </w:rPr>
        <w:t xml:space="preserve">Highest (40%) prevalence was recorded in poor body conditions while the least in medium body </w:t>
      </w:r>
      <w:r w:rsidR="002F6781" w:rsidRPr="004C22EA">
        <w:rPr>
          <w:sz w:val="20"/>
          <w:szCs w:val="20"/>
        </w:rPr>
        <w:t>conditions (</w:t>
      </w:r>
      <w:r w:rsidR="00E606B6" w:rsidRPr="004C22EA">
        <w:rPr>
          <w:sz w:val="20"/>
          <w:szCs w:val="20"/>
        </w:rPr>
        <w:t>10%).</w:t>
      </w:r>
      <w:r w:rsidR="002F6781" w:rsidRPr="004C22EA">
        <w:rPr>
          <w:sz w:val="20"/>
          <w:szCs w:val="20"/>
        </w:rPr>
        <w:t xml:space="preserve"> Body conditions were found statistically </w:t>
      </w:r>
      <w:r w:rsidR="002F6781" w:rsidRPr="004C22EA">
        <w:rPr>
          <w:sz w:val="20"/>
          <w:szCs w:val="20"/>
        </w:rPr>
        <w:lastRenderedPageBreak/>
        <w:t>significant risk factor for mange mite distribution.</w:t>
      </w:r>
      <w:r w:rsidR="004C22EA">
        <w:rPr>
          <w:sz w:val="20"/>
          <w:szCs w:val="20"/>
        </w:rPr>
        <w:t xml:space="preserve"> </w:t>
      </w:r>
      <w:r w:rsidRPr="004C22EA">
        <w:rPr>
          <w:sz w:val="20"/>
          <w:szCs w:val="20"/>
        </w:rPr>
        <w:t>Higher (</w:t>
      </w:r>
      <w:r w:rsidR="00C22261" w:rsidRPr="004C22EA">
        <w:rPr>
          <w:sz w:val="20"/>
          <w:szCs w:val="20"/>
        </w:rPr>
        <w:t xml:space="preserve">19.9%) infestation rate was detected in local breeds than cross-breeds (18.9%), though, statistical association was not observed between breeds in infestation. </w:t>
      </w:r>
      <w:r w:rsidR="0009408B" w:rsidRPr="004C22EA">
        <w:rPr>
          <w:sz w:val="20"/>
          <w:szCs w:val="20"/>
        </w:rPr>
        <w:t>Moreover, management types were observed non-significant for mite’s distribution. Nonetheless, higher (22.8%) distribution was detected in intensive farming system than extensive farming system (19.3%).</w:t>
      </w:r>
      <w:r w:rsidR="004C22EA">
        <w:rPr>
          <w:sz w:val="20"/>
          <w:szCs w:val="20"/>
        </w:rPr>
        <w:t xml:space="preserve"> </w:t>
      </w:r>
      <w:r w:rsidR="00DD4033" w:rsidRPr="004C22EA">
        <w:rPr>
          <w:sz w:val="20"/>
          <w:szCs w:val="20"/>
        </w:rPr>
        <w:t>The effects of sex, age, body conditions, breeds and</w:t>
      </w:r>
      <w:r w:rsidR="004C22EA">
        <w:rPr>
          <w:sz w:val="20"/>
          <w:szCs w:val="20"/>
        </w:rPr>
        <w:t xml:space="preserve"> </w:t>
      </w:r>
      <w:r w:rsidR="00DD4033" w:rsidRPr="004C22EA">
        <w:rPr>
          <w:sz w:val="20"/>
          <w:szCs w:val="20"/>
        </w:rPr>
        <w:t>management systems is summarized in Table 3.</w:t>
      </w:r>
      <w:r w:rsidR="000357EA" w:rsidRPr="004C22EA">
        <w:rPr>
          <w:sz w:val="20"/>
          <w:szCs w:val="20"/>
        </w:rPr>
        <w:t>Furthermore, the highest (43.42</w:t>
      </w:r>
      <w:r w:rsidR="0009408B" w:rsidRPr="004C22EA">
        <w:rPr>
          <w:sz w:val="20"/>
          <w:szCs w:val="20"/>
        </w:rPr>
        <w:t xml:space="preserve">%) infestation was observed on </w:t>
      </w:r>
      <w:r w:rsidR="000357EA" w:rsidRPr="004C22EA">
        <w:rPr>
          <w:sz w:val="20"/>
          <w:szCs w:val="20"/>
        </w:rPr>
        <w:t>neck</w:t>
      </w:r>
      <w:r w:rsidR="0009408B" w:rsidRPr="004C22EA">
        <w:rPr>
          <w:sz w:val="20"/>
          <w:szCs w:val="20"/>
        </w:rPr>
        <w:t xml:space="preserve"> parts and </w:t>
      </w:r>
      <w:r w:rsidR="000357EA" w:rsidRPr="004C22EA">
        <w:rPr>
          <w:sz w:val="20"/>
          <w:szCs w:val="20"/>
        </w:rPr>
        <w:t>nothing was observed (0.0</w:t>
      </w:r>
      <w:r w:rsidR="0009408B" w:rsidRPr="004C22EA">
        <w:rPr>
          <w:sz w:val="20"/>
          <w:szCs w:val="20"/>
        </w:rPr>
        <w:t xml:space="preserve">%) on the </w:t>
      </w:r>
      <w:r w:rsidR="000357EA" w:rsidRPr="004C22EA">
        <w:rPr>
          <w:sz w:val="20"/>
          <w:szCs w:val="20"/>
        </w:rPr>
        <w:t xml:space="preserve">shoulder; </w:t>
      </w:r>
      <w:r w:rsidR="0009408B" w:rsidRPr="004C22EA">
        <w:rPr>
          <w:sz w:val="20"/>
          <w:szCs w:val="20"/>
        </w:rPr>
        <w:t xml:space="preserve">whereas </w:t>
      </w:r>
      <w:r w:rsidR="000357EA" w:rsidRPr="004C22EA">
        <w:rPr>
          <w:sz w:val="20"/>
          <w:szCs w:val="20"/>
        </w:rPr>
        <w:t>3</w:t>
      </w:r>
      <w:r w:rsidR="001C5257" w:rsidRPr="004C22EA">
        <w:rPr>
          <w:sz w:val="20"/>
          <w:szCs w:val="20"/>
        </w:rPr>
        <w:t>8</w:t>
      </w:r>
      <w:r w:rsidR="000357EA" w:rsidRPr="004C22EA">
        <w:rPr>
          <w:sz w:val="20"/>
          <w:szCs w:val="20"/>
        </w:rPr>
        <w:t>.16 % and 18.42</w:t>
      </w:r>
      <w:r w:rsidR="0009408B" w:rsidRPr="004C22EA">
        <w:rPr>
          <w:sz w:val="20"/>
          <w:szCs w:val="20"/>
        </w:rPr>
        <w:t xml:space="preserve">% </w:t>
      </w:r>
      <w:r w:rsidR="000357EA" w:rsidRPr="004C22EA">
        <w:rPr>
          <w:sz w:val="20"/>
          <w:szCs w:val="20"/>
        </w:rPr>
        <w:t xml:space="preserve">was </w:t>
      </w:r>
      <w:r w:rsidR="00273098" w:rsidRPr="004C22EA">
        <w:rPr>
          <w:sz w:val="20"/>
          <w:szCs w:val="20"/>
        </w:rPr>
        <w:t>detected</w:t>
      </w:r>
      <w:r w:rsidR="0009408B" w:rsidRPr="004C22EA">
        <w:rPr>
          <w:sz w:val="20"/>
          <w:szCs w:val="20"/>
        </w:rPr>
        <w:t xml:space="preserve"> on </w:t>
      </w:r>
      <w:r w:rsidR="000357EA" w:rsidRPr="004C22EA">
        <w:rPr>
          <w:sz w:val="20"/>
          <w:szCs w:val="20"/>
        </w:rPr>
        <w:t>body and</w:t>
      </w:r>
      <w:r w:rsidR="0009408B" w:rsidRPr="004C22EA">
        <w:rPr>
          <w:sz w:val="20"/>
          <w:szCs w:val="20"/>
        </w:rPr>
        <w:t xml:space="preserve"> head </w:t>
      </w:r>
      <w:r w:rsidR="00273098" w:rsidRPr="004C22EA">
        <w:rPr>
          <w:sz w:val="20"/>
          <w:szCs w:val="20"/>
        </w:rPr>
        <w:t>respectively.</w:t>
      </w:r>
      <w:r w:rsidR="00484F68" w:rsidRPr="004C22EA">
        <w:rPr>
          <w:sz w:val="20"/>
          <w:szCs w:val="20"/>
        </w:rPr>
        <w:t xml:space="preserve"> Predilection sites were found statistically </w:t>
      </w:r>
      <w:r w:rsidR="00BF09C1" w:rsidRPr="004C22EA">
        <w:rPr>
          <w:sz w:val="20"/>
          <w:szCs w:val="20"/>
        </w:rPr>
        <w:t>significant (</w:t>
      </w:r>
      <w:r w:rsidR="00DD4033" w:rsidRPr="004C22EA">
        <w:rPr>
          <w:sz w:val="20"/>
          <w:szCs w:val="20"/>
        </w:rPr>
        <w:t>Table 4)</w:t>
      </w:r>
      <w:r w:rsidR="00484F68" w:rsidRPr="004C22EA">
        <w:rPr>
          <w:sz w:val="20"/>
          <w:szCs w:val="20"/>
        </w:rPr>
        <w:t>.</w:t>
      </w:r>
    </w:p>
    <w:p w:rsidR="008858A9" w:rsidRPr="004C22EA" w:rsidRDefault="008858A9" w:rsidP="0026550A">
      <w:pPr>
        <w:snapToGrid w:val="0"/>
        <w:jc w:val="center"/>
        <w:rPr>
          <w:sz w:val="20"/>
          <w:szCs w:val="20"/>
        </w:rPr>
        <w:sectPr w:rsidR="008858A9" w:rsidRPr="004C22EA" w:rsidSect="004C22EA">
          <w:type w:val="continuous"/>
          <w:pgSz w:w="12240" w:h="15840" w:code="1"/>
          <w:pgMar w:top="1440" w:right="1440" w:bottom="1440" w:left="1440" w:header="720" w:footer="720" w:gutter="0"/>
          <w:cols w:num="2" w:space="576"/>
          <w:docGrid w:linePitch="360"/>
        </w:sectPr>
      </w:pPr>
    </w:p>
    <w:p w:rsidR="00700DC5" w:rsidRPr="004C22EA" w:rsidRDefault="00700DC5" w:rsidP="0026550A">
      <w:pPr>
        <w:snapToGrid w:val="0"/>
        <w:jc w:val="center"/>
        <w:rPr>
          <w:sz w:val="20"/>
          <w:szCs w:val="20"/>
        </w:rPr>
      </w:pPr>
    </w:p>
    <w:p w:rsidR="00E0216B" w:rsidRPr="004C22EA" w:rsidRDefault="00E0216B" w:rsidP="0026550A">
      <w:pPr>
        <w:snapToGrid w:val="0"/>
        <w:jc w:val="center"/>
        <w:rPr>
          <w:sz w:val="20"/>
          <w:szCs w:val="20"/>
        </w:rPr>
      </w:pPr>
      <w:r w:rsidRPr="004C22EA">
        <w:rPr>
          <w:sz w:val="20"/>
          <w:szCs w:val="20"/>
        </w:rPr>
        <w:t xml:space="preserve">Table </w:t>
      </w:r>
      <w:r w:rsidR="00D03172" w:rsidRPr="004C22EA">
        <w:rPr>
          <w:sz w:val="20"/>
          <w:szCs w:val="20"/>
        </w:rPr>
        <w:t>1</w:t>
      </w:r>
      <w:r w:rsidRPr="004C22EA">
        <w:rPr>
          <w:sz w:val="20"/>
          <w:szCs w:val="20"/>
        </w:rPr>
        <w:t xml:space="preserve">: </w:t>
      </w:r>
      <w:r w:rsidR="005170CD" w:rsidRPr="004C22EA">
        <w:rPr>
          <w:sz w:val="20"/>
          <w:szCs w:val="20"/>
        </w:rPr>
        <w:t xml:space="preserve">Mange </w:t>
      </w:r>
      <w:r w:rsidR="003F3B42" w:rsidRPr="004C22EA">
        <w:rPr>
          <w:sz w:val="20"/>
          <w:szCs w:val="20"/>
        </w:rPr>
        <w:t>mite’s</w:t>
      </w:r>
      <w:r w:rsidR="005170CD" w:rsidRPr="004C22EA">
        <w:rPr>
          <w:sz w:val="20"/>
          <w:szCs w:val="20"/>
        </w:rPr>
        <w:t xml:space="preserve"> distribution </w:t>
      </w:r>
      <w:r w:rsidRPr="004C22EA">
        <w:rPr>
          <w:sz w:val="20"/>
          <w:szCs w:val="20"/>
        </w:rPr>
        <w:t xml:space="preserve">in </w:t>
      </w:r>
      <w:r w:rsidR="003278F6" w:rsidRPr="004C22EA">
        <w:rPr>
          <w:sz w:val="20"/>
          <w:szCs w:val="20"/>
        </w:rPr>
        <w:t>the study areas</w:t>
      </w:r>
    </w:p>
    <w:tbl>
      <w:tblPr>
        <w:tblStyle w:val="TableSimp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1502"/>
        <w:gridCol w:w="1589"/>
        <w:gridCol w:w="1581"/>
        <w:gridCol w:w="928"/>
        <w:gridCol w:w="1440"/>
      </w:tblGrid>
      <w:tr w:rsidR="002E6939" w:rsidRPr="004C22EA" w:rsidTr="004C22EA">
        <w:trPr>
          <w:cnfStyle w:val="100000000000"/>
          <w:cantSplit/>
          <w:jc w:val="center"/>
        </w:trPr>
        <w:tc>
          <w:tcPr>
            <w:tcW w:w="2050" w:type="dxa"/>
            <w:tcBorders>
              <w:bottom w:val="none" w:sz="0" w:space="0" w:color="auto"/>
            </w:tcBorders>
          </w:tcPr>
          <w:p w:rsidR="002E6939" w:rsidRPr="004C22EA" w:rsidRDefault="002E6939" w:rsidP="0026550A">
            <w:pPr>
              <w:snapToGrid w:val="0"/>
              <w:jc w:val="both"/>
              <w:rPr>
                <w:b/>
                <w:color w:val="000000"/>
                <w:sz w:val="20"/>
                <w:szCs w:val="20"/>
              </w:rPr>
            </w:pPr>
            <w:r w:rsidRPr="004C22EA">
              <w:rPr>
                <w:b/>
                <w:color w:val="000000"/>
                <w:sz w:val="20"/>
                <w:szCs w:val="20"/>
              </w:rPr>
              <w:t>Study area</w:t>
            </w:r>
          </w:p>
        </w:tc>
        <w:tc>
          <w:tcPr>
            <w:tcW w:w="1502" w:type="dxa"/>
            <w:tcBorders>
              <w:bottom w:val="none" w:sz="0" w:space="0" w:color="auto"/>
            </w:tcBorders>
          </w:tcPr>
          <w:p w:rsidR="002E6939" w:rsidRPr="004C22EA" w:rsidRDefault="002E6939" w:rsidP="0026550A">
            <w:pPr>
              <w:snapToGrid w:val="0"/>
              <w:jc w:val="both"/>
              <w:rPr>
                <w:b/>
                <w:color w:val="000000"/>
                <w:sz w:val="20"/>
                <w:szCs w:val="20"/>
              </w:rPr>
            </w:pPr>
            <w:r w:rsidRPr="004C22EA">
              <w:rPr>
                <w:b/>
                <w:color w:val="000000"/>
                <w:sz w:val="20"/>
                <w:szCs w:val="20"/>
              </w:rPr>
              <w:t>Total</w:t>
            </w:r>
          </w:p>
        </w:tc>
        <w:tc>
          <w:tcPr>
            <w:tcW w:w="1589" w:type="dxa"/>
            <w:tcBorders>
              <w:bottom w:val="none" w:sz="0" w:space="0" w:color="auto"/>
            </w:tcBorders>
          </w:tcPr>
          <w:p w:rsidR="002E6939" w:rsidRPr="004C22EA" w:rsidRDefault="002E6939" w:rsidP="0026550A">
            <w:pPr>
              <w:snapToGrid w:val="0"/>
              <w:jc w:val="both"/>
              <w:rPr>
                <w:b/>
                <w:color w:val="000000"/>
                <w:sz w:val="20"/>
                <w:szCs w:val="20"/>
              </w:rPr>
            </w:pPr>
            <w:r w:rsidRPr="004C22EA">
              <w:rPr>
                <w:b/>
                <w:color w:val="000000"/>
                <w:sz w:val="20"/>
                <w:szCs w:val="20"/>
              </w:rPr>
              <w:t>Positive</w:t>
            </w:r>
          </w:p>
        </w:tc>
        <w:tc>
          <w:tcPr>
            <w:tcW w:w="1581" w:type="dxa"/>
            <w:tcBorders>
              <w:bottom w:val="none" w:sz="0" w:space="0" w:color="auto"/>
            </w:tcBorders>
          </w:tcPr>
          <w:p w:rsidR="002E6939" w:rsidRPr="004C22EA" w:rsidRDefault="002E6939" w:rsidP="0026550A">
            <w:pPr>
              <w:snapToGrid w:val="0"/>
              <w:jc w:val="both"/>
              <w:rPr>
                <w:b/>
                <w:color w:val="000000"/>
                <w:sz w:val="20"/>
                <w:szCs w:val="20"/>
              </w:rPr>
            </w:pPr>
            <w:r w:rsidRPr="004C22EA">
              <w:rPr>
                <w:b/>
                <w:color w:val="000000"/>
                <w:sz w:val="20"/>
                <w:szCs w:val="20"/>
              </w:rPr>
              <w:t>Prevalence (%)</w:t>
            </w:r>
          </w:p>
        </w:tc>
        <w:tc>
          <w:tcPr>
            <w:tcW w:w="928" w:type="dxa"/>
            <w:tcBorders>
              <w:bottom w:val="none" w:sz="0" w:space="0" w:color="auto"/>
            </w:tcBorders>
          </w:tcPr>
          <w:p w:rsidR="002E6939" w:rsidRPr="004C22EA" w:rsidRDefault="002E6939" w:rsidP="0026550A">
            <w:pPr>
              <w:tabs>
                <w:tab w:val="left" w:pos="1245"/>
              </w:tabs>
              <w:snapToGrid w:val="0"/>
              <w:jc w:val="both"/>
              <w:rPr>
                <w:b/>
                <w:color w:val="000000"/>
                <w:sz w:val="20"/>
                <w:szCs w:val="20"/>
              </w:rPr>
            </w:pPr>
            <w:r w:rsidRPr="004C22EA">
              <w:rPr>
                <w:b/>
                <w:color w:val="000000"/>
                <w:sz w:val="20"/>
                <w:szCs w:val="20"/>
              </w:rPr>
              <w:t>p-value</w:t>
            </w:r>
          </w:p>
        </w:tc>
        <w:tc>
          <w:tcPr>
            <w:tcW w:w="1440" w:type="dxa"/>
            <w:tcBorders>
              <w:bottom w:val="none" w:sz="0" w:space="0" w:color="auto"/>
            </w:tcBorders>
          </w:tcPr>
          <w:p w:rsidR="002E6939" w:rsidRPr="004C22EA" w:rsidRDefault="002E6939" w:rsidP="0026550A">
            <w:pPr>
              <w:tabs>
                <w:tab w:val="left" w:pos="1245"/>
              </w:tabs>
              <w:snapToGrid w:val="0"/>
              <w:jc w:val="both"/>
              <w:rPr>
                <w:b/>
                <w:color w:val="000000"/>
                <w:sz w:val="20"/>
                <w:szCs w:val="20"/>
              </w:rPr>
            </w:pPr>
            <w:r w:rsidRPr="004C22EA">
              <w:rPr>
                <w:b/>
                <w:color w:val="000000"/>
                <w:sz w:val="20"/>
                <w:szCs w:val="20"/>
              </w:rPr>
              <w:sym w:font="Symbol" w:char="F063"/>
            </w:r>
            <w:r w:rsidRPr="004C22EA">
              <w:rPr>
                <w:b/>
                <w:color w:val="000000"/>
                <w:sz w:val="20"/>
                <w:szCs w:val="20"/>
              </w:rPr>
              <w:t>2</w:t>
            </w:r>
          </w:p>
        </w:tc>
      </w:tr>
      <w:tr w:rsidR="00527820" w:rsidRPr="004C22EA" w:rsidTr="004C22EA">
        <w:trPr>
          <w:cantSplit/>
          <w:jc w:val="center"/>
        </w:trPr>
        <w:tc>
          <w:tcPr>
            <w:tcW w:w="2050" w:type="dxa"/>
          </w:tcPr>
          <w:p w:rsidR="00527820" w:rsidRPr="004C22EA" w:rsidRDefault="00527820" w:rsidP="0026550A">
            <w:pPr>
              <w:snapToGrid w:val="0"/>
              <w:jc w:val="both"/>
              <w:rPr>
                <w:color w:val="000000"/>
                <w:sz w:val="20"/>
                <w:szCs w:val="20"/>
              </w:rPr>
            </w:pPr>
            <w:r w:rsidRPr="004C22EA">
              <w:rPr>
                <w:color w:val="000000"/>
                <w:sz w:val="20"/>
                <w:szCs w:val="20"/>
              </w:rPr>
              <w:t>Mekelle</w:t>
            </w:r>
          </w:p>
        </w:tc>
        <w:tc>
          <w:tcPr>
            <w:tcW w:w="1502" w:type="dxa"/>
          </w:tcPr>
          <w:p w:rsidR="00527820" w:rsidRPr="004C22EA" w:rsidRDefault="00527820" w:rsidP="0026550A">
            <w:pPr>
              <w:snapToGrid w:val="0"/>
              <w:jc w:val="both"/>
              <w:rPr>
                <w:color w:val="000000"/>
                <w:sz w:val="20"/>
                <w:szCs w:val="20"/>
              </w:rPr>
            </w:pPr>
            <w:r w:rsidRPr="004C22EA">
              <w:rPr>
                <w:color w:val="000000"/>
                <w:sz w:val="20"/>
                <w:szCs w:val="20"/>
              </w:rPr>
              <w:t>280</w:t>
            </w:r>
          </w:p>
        </w:tc>
        <w:tc>
          <w:tcPr>
            <w:tcW w:w="1589" w:type="dxa"/>
          </w:tcPr>
          <w:p w:rsidR="00527820" w:rsidRPr="004C22EA" w:rsidRDefault="00527820" w:rsidP="0026550A">
            <w:pPr>
              <w:snapToGrid w:val="0"/>
              <w:jc w:val="both"/>
              <w:rPr>
                <w:color w:val="000000"/>
                <w:sz w:val="20"/>
                <w:szCs w:val="20"/>
              </w:rPr>
            </w:pPr>
            <w:r w:rsidRPr="004C22EA">
              <w:rPr>
                <w:color w:val="000000"/>
                <w:sz w:val="20"/>
                <w:szCs w:val="20"/>
              </w:rPr>
              <w:t>55</w:t>
            </w:r>
          </w:p>
        </w:tc>
        <w:tc>
          <w:tcPr>
            <w:tcW w:w="1581" w:type="dxa"/>
          </w:tcPr>
          <w:p w:rsidR="00527820" w:rsidRPr="004C22EA" w:rsidRDefault="00527820" w:rsidP="0026550A">
            <w:pPr>
              <w:snapToGrid w:val="0"/>
              <w:jc w:val="both"/>
              <w:rPr>
                <w:color w:val="000000"/>
                <w:sz w:val="20"/>
                <w:szCs w:val="20"/>
              </w:rPr>
            </w:pPr>
            <w:r w:rsidRPr="004C22EA">
              <w:rPr>
                <w:color w:val="000000"/>
                <w:sz w:val="20"/>
                <w:szCs w:val="20"/>
              </w:rPr>
              <w:t>19.6</w:t>
            </w:r>
          </w:p>
        </w:tc>
        <w:tc>
          <w:tcPr>
            <w:tcW w:w="928" w:type="dxa"/>
            <w:vMerge w:val="restart"/>
          </w:tcPr>
          <w:p w:rsidR="00527820" w:rsidRPr="004C22EA" w:rsidRDefault="00527820" w:rsidP="0026550A">
            <w:pPr>
              <w:snapToGrid w:val="0"/>
              <w:jc w:val="both"/>
              <w:rPr>
                <w:color w:val="000000"/>
                <w:sz w:val="20"/>
                <w:szCs w:val="20"/>
              </w:rPr>
            </w:pPr>
          </w:p>
        </w:tc>
        <w:tc>
          <w:tcPr>
            <w:tcW w:w="1440" w:type="dxa"/>
            <w:vMerge w:val="restart"/>
          </w:tcPr>
          <w:p w:rsidR="00527820" w:rsidRPr="004C22EA" w:rsidRDefault="00527820" w:rsidP="0026550A">
            <w:pPr>
              <w:snapToGrid w:val="0"/>
              <w:jc w:val="both"/>
              <w:rPr>
                <w:color w:val="000000"/>
                <w:sz w:val="20"/>
                <w:szCs w:val="20"/>
              </w:rPr>
            </w:pPr>
            <w:r w:rsidRPr="004C22EA">
              <w:rPr>
                <w:b/>
                <w:color w:val="000000"/>
                <w:sz w:val="20"/>
                <w:szCs w:val="20"/>
              </w:rPr>
              <w:t>14.434</w:t>
            </w:r>
          </w:p>
        </w:tc>
      </w:tr>
      <w:tr w:rsidR="00527820" w:rsidRPr="004C22EA" w:rsidTr="004C22EA">
        <w:trPr>
          <w:cantSplit/>
          <w:jc w:val="center"/>
        </w:trPr>
        <w:tc>
          <w:tcPr>
            <w:tcW w:w="2050" w:type="dxa"/>
          </w:tcPr>
          <w:p w:rsidR="00527820" w:rsidRPr="004C22EA" w:rsidRDefault="00527820" w:rsidP="0026550A">
            <w:pPr>
              <w:snapToGrid w:val="0"/>
              <w:jc w:val="both"/>
              <w:rPr>
                <w:color w:val="000000"/>
                <w:sz w:val="20"/>
                <w:szCs w:val="20"/>
              </w:rPr>
            </w:pPr>
            <w:r w:rsidRPr="004C22EA">
              <w:rPr>
                <w:color w:val="000000"/>
                <w:sz w:val="20"/>
                <w:szCs w:val="20"/>
              </w:rPr>
              <w:t>Adigrat</w:t>
            </w:r>
          </w:p>
        </w:tc>
        <w:tc>
          <w:tcPr>
            <w:tcW w:w="1502" w:type="dxa"/>
          </w:tcPr>
          <w:p w:rsidR="00527820" w:rsidRPr="004C22EA" w:rsidRDefault="00527820" w:rsidP="0026550A">
            <w:pPr>
              <w:snapToGrid w:val="0"/>
              <w:jc w:val="both"/>
              <w:rPr>
                <w:color w:val="000000"/>
                <w:sz w:val="20"/>
                <w:szCs w:val="20"/>
              </w:rPr>
            </w:pPr>
            <w:r w:rsidRPr="004C22EA">
              <w:rPr>
                <w:color w:val="000000"/>
                <w:sz w:val="20"/>
                <w:szCs w:val="20"/>
              </w:rPr>
              <w:t>104</w:t>
            </w:r>
          </w:p>
        </w:tc>
        <w:tc>
          <w:tcPr>
            <w:tcW w:w="1589" w:type="dxa"/>
          </w:tcPr>
          <w:p w:rsidR="00527820" w:rsidRPr="004C22EA" w:rsidRDefault="00527820" w:rsidP="0026550A">
            <w:pPr>
              <w:snapToGrid w:val="0"/>
              <w:jc w:val="both"/>
              <w:rPr>
                <w:color w:val="000000"/>
                <w:sz w:val="20"/>
                <w:szCs w:val="20"/>
              </w:rPr>
            </w:pPr>
            <w:r w:rsidRPr="004C22EA">
              <w:rPr>
                <w:color w:val="000000"/>
                <w:sz w:val="20"/>
                <w:szCs w:val="20"/>
              </w:rPr>
              <w:t>21</w:t>
            </w:r>
          </w:p>
        </w:tc>
        <w:tc>
          <w:tcPr>
            <w:tcW w:w="1581" w:type="dxa"/>
          </w:tcPr>
          <w:p w:rsidR="00527820" w:rsidRPr="004C22EA" w:rsidRDefault="00527820" w:rsidP="0026550A">
            <w:pPr>
              <w:snapToGrid w:val="0"/>
              <w:jc w:val="both"/>
              <w:rPr>
                <w:color w:val="000000"/>
                <w:sz w:val="20"/>
                <w:szCs w:val="20"/>
              </w:rPr>
            </w:pPr>
            <w:r w:rsidRPr="004C22EA">
              <w:rPr>
                <w:color w:val="000000"/>
                <w:sz w:val="20"/>
                <w:szCs w:val="20"/>
              </w:rPr>
              <w:t>20.2</w:t>
            </w:r>
          </w:p>
        </w:tc>
        <w:tc>
          <w:tcPr>
            <w:tcW w:w="928" w:type="dxa"/>
            <w:vMerge/>
          </w:tcPr>
          <w:p w:rsidR="00527820" w:rsidRPr="004C22EA" w:rsidRDefault="00527820" w:rsidP="0026550A">
            <w:pPr>
              <w:snapToGrid w:val="0"/>
              <w:jc w:val="both"/>
              <w:rPr>
                <w:color w:val="000000"/>
                <w:sz w:val="20"/>
                <w:szCs w:val="20"/>
              </w:rPr>
            </w:pPr>
          </w:p>
        </w:tc>
        <w:tc>
          <w:tcPr>
            <w:tcW w:w="1440" w:type="dxa"/>
            <w:vMerge/>
          </w:tcPr>
          <w:p w:rsidR="00527820" w:rsidRPr="004C22EA" w:rsidRDefault="00527820" w:rsidP="0026550A">
            <w:pPr>
              <w:snapToGrid w:val="0"/>
              <w:jc w:val="both"/>
              <w:rPr>
                <w:color w:val="000000"/>
                <w:sz w:val="20"/>
                <w:szCs w:val="20"/>
              </w:rPr>
            </w:pPr>
          </w:p>
        </w:tc>
      </w:tr>
      <w:tr w:rsidR="00527820" w:rsidRPr="004C22EA" w:rsidTr="004C22EA">
        <w:trPr>
          <w:cnfStyle w:val="010000000000"/>
          <w:cantSplit/>
          <w:jc w:val="center"/>
        </w:trPr>
        <w:tc>
          <w:tcPr>
            <w:tcW w:w="2050" w:type="dxa"/>
            <w:tcBorders>
              <w:top w:val="none" w:sz="0" w:space="0" w:color="auto"/>
            </w:tcBorders>
          </w:tcPr>
          <w:p w:rsidR="00527820" w:rsidRPr="004C22EA" w:rsidRDefault="00527820" w:rsidP="0026550A">
            <w:pPr>
              <w:snapToGrid w:val="0"/>
              <w:jc w:val="both"/>
              <w:rPr>
                <w:b/>
                <w:color w:val="000000"/>
                <w:sz w:val="20"/>
                <w:szCs w:val="20"/>
              </w:rPr>
            </w:pPr>
            <w:r w:rsidRPr="004C22EA">
              <w:rPr>
                <w:b/>
                <w:color w:val="000000"/>
                <w:sz w:val="20"/>
                <w:szCs w:val="20"/>
              </w:rPr>
              <w:t>Total</w:t>
            </w:r>
          </w:p>
        </w:tc>
        <w:tc>
          <w:tcPr>
            <w:tcW w:w="1502" w:type="dxa"/>
            <w:tcBorders>
              <w:top w:val="none" w:sz="0" w:space="0" w:color="auto"/>
            </w:tcBorders>
          </w:tcPr>
          <w:p w:rsidR="00527820" w:rsidRPr="004C22EA" w:rsidRDefault="00527820" w:rsidP="0026550A">
            <w:pPr>
              <w:snapToGrid w:val="0"/>
              <w:jc w:val="both"/>
              <w:rPr>
                <w:b/>
                <w:color w:val="000000"/>
                <w:sz w:val="20"/>
                <w:szCs w:val="20"/>
              </w:rPr>
            </w:pPr>
            <w:r w:rsidRPr="004C22EA">
              <w:rPr>
                <w:b/>
                <w:color w:val="000000"/>
                <w:sz w:val="20"/>
                <w:szCs w:val="20"/>
              </w:rPr>
              <w:t>384</w:t>
            </w:r>
          </w:p>
        </w:tc>
        <w:tc>
          <w:tcPr>
            <w:tcW w:w="1589" w:type="dxa"/>
            <w:tcBorders>
              <w:top w:val="none" w:sz="0" w:space="0" w:color="auto"/>
            </w:tcBorders>
          </w:tcPr>
          <w:p w:rsidR="00527820" w:rsidRPr="004C22EA" w:rsidRDefault="00527820" w:rsidP="0026550A">
            <w:pPr>
              <w:snapToGrid w:val="0"/>
              <w:jc w:val="both"/>
              <w:rPr>
                <w:b/>
                <w:color w:val="000000"/>
                <w:sz w:val="20"/>
                <w:szCs w:val="20"/>
              </w:rPr>
            </w:pPr>
            <w:r w:rsidRPr="004C22EA">
              <w:rPr>
                <w:b/>
                <w:color w:val="000000"/>
                <w:sz w:val="20"/>
                <w:szCs w:val="20"/>
              </w:rPr>
              <w:t>76</w:t>
            </w:r>
          </w:p>
        </w:tc>
        <w:tc>
          <w:tcPr>
            <w:tcW w:w="1581" w:type="dxa"/>
            <w:tcBorders>
              <w:top w:val="none" w:sz="0" w:space="0" w:color="auto"/>
            </w:tcBorders>
          </w:tcPr>
          <w:p w:rsidR="00527820" w:rsidRPr="004C22EA" w:rsidRDefault="00527820" w:rsidP="0026550A">
            <w:pPr>
              <w:snapToGrid w:val="0"/>
              <w:jc w:val="both"/>
              <w:rPr>
                <w:b/>
                <w:color w:val="000000"/>
                <w:sz w:val="20"/>
                <w:szCs w:val="20"/>
              </w:rPr>
            </w:pPr>
            <w:r w:rsidRPr="004C22EA">
              <w:rPr>
                <w:b/>
                <w:color w:val="000000"/>
                <w:sz w:val="20"/>
                <w:szCs w:val="20"/>
              </w:rPr>
              <w:t>19.8</w:t>
            </w:r>
          </w:p>
        </w:tc>
        <w:tc>
          <w:tcPr>
            <w:tcW w:w="928" w:type="dxa"/>
            <w:vMerge/>
            <w:tcBorders>
              <w:top w:val="none" w:sz="0" w:space="0" w:color="auto"/>
            </w:tcBorders>
          </w:tcPr>
          <w:p w:rsidR="00527820" w:rsidRPr="004C22EA" w:rsidRDefault="00527820" w:rsidP="0026550A">
            <w:pPr>
              <w:snapToGrid w:val="0"/>
              <w:jc w:val="both"/>
              <w:rPr>
                <w:b/>
                <w:color w:val="000000"/>
                <w:sz w:val="20"/>
                <w:szCs w:val="20"/>
              </w:rPr>
            </w:pPr>
          </w:p>
        </w:tc>
        <w:tc>
          <w:tcPr>
            <w:tcW w:w="1440" w:type="dxa"/>
            <w:vMerge/>
            <w:tcBorders>
              <w:top w:val="none" w:sz="0" w:space="0" w:color="auto"/>
            </w:tcBorders>
          </w:tcPr>
          <w:p w:rsidR="00527820" w:rsidRPr="004C22EA" w:rsidRDefault="00527820" w:rsidP="0026550A">
            <w:pPr>
              <w:snapToGrid w:val="0"/>
              <w:jc w:val="both"/>
              <w:rPr>
                <w:b/>
                <w:color w:val="000000"/>
                <w:sz w:val="20"/>
                <w:szCs w:val="20"/>
              </w:rPr>
            </w:pPr>
          </w:p>
        </w:tc>
      </w:tr>
    </w:tbl>
    <w:p w:rsidR="00700DC5" w:rsidRPr="004C22EA" w:rsidRDefault="00700DC5" w:rsidP="0026550A">
      <w:pPr>
        <w:snapToGrid w:val="0"/>
        <w:jc w:val="center"/>
        <w:rPr>
          <w:sz w:val="20"/>
          <w:szCs w:val="20"/>
        </w:rPr>
      </w:pPr>
    </w:p>
    <w:p w:rsidR="00305187" w:rsidRPr="004C22EA" w:rsidRDefault="00305187" w:rsidP="0026550A">
      <w:pPr>
        <w:snapToGrid w:val="0"/>
        <w:jc w:val="center"/>
        <w:rPr>
          <w:sz w:val="20"/>
          <w:szCs w:val="20"/>
        </w:rPr>
      </w:pPr>
      <w:r w:rsidRPr="004C22EA">
        <w:rPr>
          <w:sz w:val="20"/>
          <w:szCs w:val="20"/>
        </w:rPr>
        <w:t>Table 2: The prevalence of mange mite species identified in the study areas</w:t>
      </w:r>
    </w:p>
    <w:tbl>
      <w:tblPr>
        <w:tblStyle w:val="TableSimple1"/>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530"/>
        <w:gridCol w:w="1620"/>
        <w:gridCol w:w="2340"/>
      </w:tblGrid>
      <w:tr w:rsidR="00305187" w:rsidRPr="004C22EA" w:rsidTr="004C22EA">
        <w:trPr>
          <w:cnfStyle w:val="100000000000"/>
          <w:jc w:val="center"/>
        </w:trPr>
        <w:tc>
          <w:tcPr>
            <w:tcW w:w="3600" w:type="dxa"/>
            <w:tcBorders>
              <w:bottom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Species</w:t>
            </w:r>
          </w:p>
        </w:tc>
        <w:tc>
          <w:tcPr>
            <w:tcW w:w="1530" w:type="dxa"/>
            <w:tcBorders>
              <w:bottom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Total</w:t>
            </w:r>
          </w:p>
        </w:tc>
        <w:tc>
          <w:tcPr>
            <w:tcW w:w="1620" w:type="dxa"/>
            <w:tcBorders>
              <w:bottom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Positive</w:t>
            </w:r>
          </w:p>
        </w:tc>
        <w:tc>
          <w:tcPr>
            <w:tcW w:w="2340" w:type="dxa"/>
            <w:tcBorders>
              <w:bottom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Prevalence (%)</w:t>
            </w:r>
          </w:p>
        </w:tc>
      </w:tr>
      <w:tr w:rsidR="00305187" w:rsidRPr="004C22EA" w:rsidTr="004C22EA">
        <w:trPr>
          <w:jc w:val="center"/>
        </w:trPr>
        <w:tc>
          <w:tcPr>
            <w:tcW w:w="3600" w:type="dxa"/>
          </w:tcPr>
          <w:p w:rsidR="00305187" w:rsidRPr="004C22EA" w:rsidRDefault="00305187" w:rsidP="0026550A">
            <w:pPr>
              <w:snapToGrid w:val="0"/>
              <w:jc w:val="both"/>
              <w:rPr>
                <w:i/>
                <w:color w:val="000000"/>
                <w:sz w:val="20"/>
                <w:szCs w:val="20"/>
              </w:rPr>
            </w:pPr>
            <w:r w:rsidRPr="004C22EA">
              <w:rPr>
                <w:i/>
                <w:color w:val="000000"/>
                <w:sz w:val="20"/>
                <w:szCs w:val="20"/>
              </w:rPr>
              <w:t>Demodex bovis</w:t>
            </w:r>
          </w:p>
        </w:tc>
        <w:tc>
          <w:tcPr>
            <w:tcW w:w="1530" w:type="dxa"/>
          </w:tcPr>
          <w:p w:rsidR="00305187" w:rsidRPr="004C22EA" w:rsidRDefault="00305187" w:rsidP="0026550A">
            <w:pPr>
              <w:snapToGrid w:val="0"/>
              <w:jc w:val="both"/>
              <w:rPr>
                <w:color w:val="000000"/>
                <w:sz w:val="20"/>
                <w:szCs w:val="20"/>
              </w:rPr>
            </w:pPr>
            <w:r w:rsidRPr="004C22EA">
              <w:rPr>
                <w:color w:val="000000"/>
                <w:sz w:val="20"/>
                <w:szCs w:val="20"/>
              </w:rPr>
              <w:t>384</w:t>
            </w:r>
          </w:p>
        </w:tc>
        <w:tc>
          <w:tcPr>
            <w:tcW w:w="1620" w:type="dxa"/>
          </w:tcPr>
          <w:p w:rsidR="00305187" w:rsidRPr="004C22EA" w:rsidRDefault="00305187" w:rsidP="0026550A">
            <w:pPr>
              <w:snapToGrid w:val="0"/>
              <w:jc w:val="both"/>
              <w:rPr>
                <w:color w:val="000000"/>
                <w:sz w:val="20"/>
                <w:szCs w:val="20"/>
              </w:rPr>
            </w:pPr>
            <w:r w:rsidRPr="004C22EA">
              <w:rPr>
                <w:color w:val="000000"/>
                <w:sz w:val="20"/>
                <w:szCs w:val="20"/>
              </w:rPr>
              <w:t>61</w:t>
            </w:r>
          </w:p>
        </w:tc>
        <w:tc>
          <w:tcPr>
            <w:tcW w:w="2340" w:type="dxa"/>
          </w:tcPr>
          <w:p w:rsidR="00305187" w:rsidRPr="004C22EA" w:rsidRDefault="00305187" w:rsidP="0026550A">
            <w:pPr>
              <w:snapToGrid w:val="0"/>
              <w:jc w:val="both"/>
              <w:rPr>
                <w:color w:val="000000"/>
                <w:sz w:val="20"/>
                <w:szCs w:val="20"/>
              </w:rPr>
            </w:pPr>
            <w:r w:rsidRPr="004C22EA">
              <w:rPr>
                <w:color w:val="000000"/>
                <w:sz w:val="20"/>
                <w:szCs w:val="20"/>
              </w:rPr>
              <w:t>15.9</w:t>
            </w:r>
          </w:p>
        </w:tc>
      </w:tr>
      <w:tr w:rsidR="00305187" w:rsidRPr="004C22EA" w:rsidTr="004C22EA">
        <w:trPr>
          <w:jc w:val="center"/>
        </w:trPr>
        <w:tc>
          <w:tcPr>
            <w:tcW w:w="3600" w:type="dxa"/>
          </w:tcPr>
          <w:p w:rsidR="00305187" w:rsidRPr="004C22EA" w:rsidRDefault="00305187" w:rsidP="0026550A">
            <w:pPr>
              <w:snapToGrid w:val="0"/>
              <w:jc w:val="both"/>
              <w:rPr>
                <w:i/>
                <w:color w:val="000000"/>
                <w:sz w:val="20"/>
                <w:szCs w:val="20"/>
              </w:rPr>
            </w:pPr>
            <w:r w:rsidRPr="004C22EA">
              <w:rPr>
                <w:i/>
                <w:color w:val="000000"/>
                <w:sz w:val="20"/>
                <w:szCs w:val="20"/>
              </w:rPr>
              <w:t>Sarcoptes scabies var bovis</w:t>
            </w:r>
          </w:p>
        </w:tc>
        <w:tc>
          <w:tcPr>
            <w:tcW w:w="1530" w:type="dxa"/>
          </w:tcPr>
          <w:p w:rsidR="00305187" w:rsidRPr="004C22EA" w:rsidRDefault="00305187" w:rsidP="0026550A">
            <w:pPr>
              <w:snapToGrid w:val="0"/>
              <w:jc w:val="both"/>
              <w:rPr>
                <w:color w:val="000000"/>
                <w:sz w:val="20"/>
                <w:szCs w:val="20"/>
              </w:rPr>
            </w:pPr>
            <w:r w:rsidRPr="004C22EA">
              <w:rPr>
                <w:color w:val="000000"/>
                <w:sz w:val="20"/>
                <w:szCs w:val="20"/>
              </w:rPr>
              <w:t>384</w:t>
            </w:r>
          </w:p>
        </w:tc>
        <w:tc>
          <w:tcPr>
            <w:tcW w:w="1620" w:type="dxa"/>
          </w:tcPr>
          <w:p w:rsidR="00305187" w:rsidRPr="004C22EA" w:rsidRDefault="00305187" w:rsidP="0026550A">
            <w:pPr>
              <w:snapToGrid w:val="0"/>
              <w:jc w:val="both"/>
              <w:rPr>
                <w:color w:val="000000"/>
                <w:sz w:val="20"/>
                <w:szCs w:val="20"/>
              </w:rPr>
            </w:pPr>
            <w:r w:rsidRPr="004C22EA">
              <w:rPr>
                <w:color w:val="000000"/>
                <w:sz w:val="20"/>
                <w:szCs w:val="20"/>
              </w:rPr>
              <w:t>15</w:t>
            </w:r>
          </w:p>
        </w:tc>
        <w:tc>
          <w:tcPr>
            <w:tcW w:w="2340" w:type="dxa"/>
          </w:tcPr>
          <w:p w:rsidR="00305187" w:rsidRPr="004C22EA" w:rsidRDefault="00305187" w:rsidP="0026550A">
            <w:pPr>
              <w:snapToGrid w:val="0"/>
              <w:jc w:val="both"/>
              <w:rPr>
                <w:color w:val="000000"/>
                <w:sz w:val="20"/>
                <w:szCs w:val="20"/>
              </w:rPr>
            </w:pPr>
            <w:r w:rsidRPr="004C22EA">
              <w:rPr>
                <w:color w:val="000000"/>
                <w:sz w:val="20"/>
                <w:szCs w:val="20"/>
              </w:rPr>
              <w:t>3.9</w:t>
            </w:r>
          </w:p>
        </w:tc>
      </w:tr>
      <w:tr w:rsidR="00305187" w:rsidRPr="004C22EA" w:rsidTr="004C22EA">
        <w:trPr>
          <w:cnfStyle w:val="010000000000"/>
          <w:jc w:val="center"/>
        </w:trPr>
        <w:tc>
          <w:tcPr>
            <w:tcW w:w="3600" w:type="dxa"/>
            <w:tcBorders>
              <w:top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Total</w:t>
            </w:r>
          </w:p>
        </w:tc>
        <w:tc>
          <w:tcPr>
            <w:tcW w:w="1530" w:type="dxa"/>
            <w:tcBorders>
              <w:top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384</w:t>
            </w:r>
          </w:p>
        </w:tc>
        <w:tc>
          <w:tcPr>
            <w:tcW w:w="1620" w:type="dxa"/>
            <w:tcBorders>
              <w:top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76</w:t>
            </w:r>
          </w:p>
        </w:tc>
        <w:tc>
          <w:tcPr>
            <w:tcW w:w="2340" w:type="dxa"/>
            <w:tcBorders>
              <w:top w:val="none" w:sz="0" w:space="0" w:color="auto"/>
            </w:tcBorders>
          </w:tcPr>
          <w:p w:rsidR="00305187" w:rsidRPr="004C22EA" w:rsidRDefault="00305187" w:rsidP="0026550A">
            <w:pPr>
              <w:snapToGrid w:val="0"/>
              <w:jc w:val="both"/>
              <w:rPr>
                <w:b/>
                <w:color w:val="000000"/>
                <w:sz w:val="20"/>
                <w:szCs w:val="20"/>
              </w:rPr>
            </w:pPr>
            <w:r w:rsidRPr="004C22EA">
              <w:rPr>
                <w:b/>
                <w:color w:val="000000"/>
                <w:sz w:val="20"/>
                <w:szCs w:val="20"/>
              </w:rPr>
              <w:t>19.8</w:t>
            </w:r>
          </w:p>
        </w:tc>
      </w:tr>
    </w:tbl>
    <w:p w:rsidR="001966C4" w:rsidRPr="004C22EA" w:rsidRDefault="001966C4" w:rsidP="0026550A">
      <w:pPr>
        <w:snapToGrid w:val="0"/>
        <w:jc w:val="center"/>
        <w:rPr>
          <w:sz w:val="20"/>
          <w:szCs w:val="20"/>
        </w:rPr>
      </w:pPr>
    </w:p>
    <w:p w:rsidR="00A8547B" w:rsidRPr="004C22EA" w:rsidRDefault="00C34D67" w:rsidP="008858A9">
      <w:pPr>
        <w:snapToGrid w:val="0"/>
        <w:jc w:val="center"/>
        <w:rPr>
          <w:i/>
          <w:sz w:val="20"/>
          <w:szCs w:val="20"/>
        </w:rPr>
      </w:pPr>
      <w:r w:rsidRPr="004C22EA">
        <w:rPr>
          <w:sz w:val="20"/>
          <w:szCs w:val="20"/>
        </w:rPr>
        <w:t>Table 3:</w:t>
      </w:r>
      <w:r w:rsidR="004C22EA">
        <w:rPr>
          <w:sz w:val="20"/>
          <w:szCs w:val="20"/>
        </w:rPr>
        <w:t xml:space="preserve"> </w:t>
      </w:r>
      <w:r w:rsidR="00A8547B" w:rsidRPr="004C22EA">
        <w:rPr>
          <w:sz w:val="20"/>
          <w:szCs w:val="20"/>
        </w:rPr>
        <w:t>Mange mite distribution association with sex, age, body conditions, breeds</w:t>
      </w:r>
      <w:r w:rsidR="00001966" w:rsidRPr="004C22EA">
        <w:rPr>
          <w:sz w:val="20"/>
          <w:szCs w:val="20"/>
        </w:rPr>
        <w:t xml:space="preserve"> and </w:t>
      </w:r>
      <w:r w:rsidR="00BF5C76" w:rsidRPr="004C22EA">
        <w:rPr>
          <w:sz w:val="20"/>
          <w:szCs w:val="20"/>
        </w:rPr>
        <w:t>management systems</w:t>
      </w:r>
    </w:p>
    <w:tbl>
      <w:tblPr>
        <w:tblStyle w:val="TableSimp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603"/>
        <w:gridCol w:w="1650"/>
        <w:gridCol w:w="1498"/>
        <w:gridCol w:w="1606"/>
        <w:gridCol w:w="1351"/>
      </w:tblGrid>
      <w:tr w:rsidR="002043BB" w:rsidRPr="004C22EA" w:rsidTr="004C22EA">
        <w:trPr>
          <w:cnfStyle w:val="100000000000"/>
          <w:cantSplit/>
          <w:jc w:val="center"/>
        </w:trPr>
        <w:tc>
          <w:tcPr>
            <w:tcW w:w="1670" w:type="dxa"/>
            <w:tcBorders>
              <w:bottom w:val="none" w:sz="0" w:space="0" w:color="auto"/>
            </w:tcBorders>
          </w:tcPr>
          <w:p w:rsidR="002043BB" w:rsidRPr="004C22EA" w:rsidRDefault="002043BB" w:rsidP="0026550A">
            <w:pPr>
              <w:tabs>
                <w:tab w:val="left" w:pos="1245"/>
              </w:tabs>
              <w:snapToGrid w:val="0"/>
              <w:jc w:val="both"/>
              <w:rPr>
                <w:b/>
                <w:color w:val="000000"/>
                <w:sz w:val="20"/>
                <w:szCs w:val="20"/>
              </w:rPr>
            </w:pPr>
            <w:r w:rsidRPr="004C22EA">
              <w:rPr>
                <w:b/>
                <w:color w:val="000000"/>
                <w:sz w:val="20"/>
                <w:szCs w:val="20"/>
              </w:rPr>
              <w:t>Risk factors</w:t>
            </w:r>
          </w:p>
        </w:tc>
        <w:tc>
          <w:tcPr>
            <w:tcW w:w="1603" w:type="dxa"/>
            <w:tcBorders>
              <w:bottom w:val="none" w:sz="0" w:space="0" w:color="auto"/>
            </w:tcBorders>
          </w:tcPr>
          <w:p w:rsidR="002043BB" w:rsidRPr="004C22EA" w:rsidRDefault="002043BB" w:rsidP="0026550A">
            <w:pPr>
              <w:tabs>
                <w:tab w:val="left" w:pos="1245"/>
              </w:tabs>
              <w:snapToGrid w:val="0"/>
              <w:jc w:val="both"/>
              <w:rPr>
                <w:b/>
                <w:color w:val="000000"/>
                <w:sz w:val="20"/>
                <w:szCs w:val="20"/>
              </w:rPr>
            </w:pPr>
            <w:r w:rsidRPr="004C22EA">
              <w:rPr>
                <w:b/>
                <w:color w:val="000000"/>
                <w:sz w:val="20"/>
                <w:szCs w:val="20"/>
              </w:rPr>
              <w:t>Total</w:t>
            </w:r>
          </w:p>
        </w:tc>
        <w:tc>
          <w:tcPr>
            <w:tcW w:w="1650" w:type="dxa"/>
            <w:tcBorders>
              <w:bottom w:val="none" w:sz="0" w:space="0" w:color="auto"/>
            </w:tcBorders>
          </w:tcPr>
          <w:p w:rsidR="002043BB" w:rsidRPr="004C22EA" w:rsidRDefault="002043BB" w:rsidP="0026550A">
            <w:pPr>
              <w:tabs>
                <w:tab w:val="left" w:pos="1245"/>
              </w:tabs>
              <w:snapToGrid w:val="0"/>
              <w:jc w:val="both"/>
              <w:rPr>
                <w:b/>
                <w:color w:val="000000"/>
                <w:sz w:val="20"/>
                <w:szCs w:val="20"/>
              </w:rPr>
            </w:pPr>
            <w:r w:rsidRPr="004C22EA">
              <w:rPr>
                <w:b/>
                <w:color w:val="000000"/>
                <w:sz w:val="20"/>
                <w:szCs w:val="20"/>
              </w:rPr>
              <w:t>positive</w:t>
            </w:r>
          </w:p>
        </w:tc>
        <w:tc>
          <w:tcPr>
            <w:tcW w:w="1498" w:type="dxa"/>
            <w:tcBorders>
              <w:bottom w:val="none" w:sz="0" w:space="0" w:color="auto"/>
            </w:tcBorders>
          </w:tcPr>
          <w:p w:rsidR="002043BB" w:rsidRPr="004C22EA" w:rsidRDefault="00F226D9" w:rsidP="0026550A">
            <w:pPr>
              <w:tabs>
                <w:tab w:val="left" w:pos="1245"/>
              </w:tabs>
              <w:snapToGrid w:val="0"/>
              <w:jc w:val="both"/>
              <w:rPr>
                <w:b/>
                <w:color w:val="000000"/>
                <w:sz w:val="20"/>
                <w:szCs w:val="20"/>
              </w:rPr>
            </w:pPr>
            <w:r w:rsidRPr="004C22EA">
              <w:rPr>
                <w:b/>
                <w:color w:val="000000"/>
                <w:sz w:val="20"/>
                <w:szCs w:val="20"/>
              </w:rPr>
              <w:t>P</w:t>
            </w:r>
            <w:r w:rsidR="002043BB" w:rsidRPr="004C22EA">
              <w:rPr>
                <w:b/>
                <w:color w:val="000000"/>
                <w:sz w:val="20"/>
                <w:szCs w:val="20"/>
              </w:rPr>
              <w:t>revalence</w:t>
            </w:r>
            <w:r w:rsidRPr="004C22EA">
              <w:rPr>
                <w:b/>
                <w:color w:val="000000"/>
                <w:sz w:val="20"/>
                <w:szCs w:val="20"/>
              </w:rPr>
              <w:t>(%)</w:t>
            </w:r>
          </w:p>
        </w:tc>
        <w:tc>
          <w:tcPr>
            <w:tcW w:w="1606" w:type="dxa"/>
            <w:tcBorders>
              <w:bottom w:val="none" w:sz="0" w:space="0" w:color="auto"/>
            </w:tcBorders>
          </w:tcPr>
          <w:p w:rsidR="002043BB" w:rsidRPr="004C22EA" w:rsidRDefault="002043BB" w:rsidP="0026550A">
            <w:pPr>
              <w:tabs>
                <w:tab w:val="left" w:pos="1245"/>
              </w:tabs>
              <w:snapToGrid w:val="0"/>
              <w:jc w:val="both"/>
              <w:rPr>
                <w:b/>
                <w:color w:val="000000"/>
                <w:sz w:val="20"/>
                <w:szCs w:val="20"/>
              </w:rPr>
            </w:pPr>
            <w:r w:rsidRPr="004C22EA">
              <w:rPr>
                <w:b/>
                <w:color w:val="000000"/>
                <w:sz w:val="20"/>
                <w:szCs w:val="20"/>
              </w:rPr>
              <w:t>p-value</w:t>
            </w:r>
          </w:p>
        </w:tc>
        <w:tc>
          <w:tcPr>
            <w:tcW w:w="1351" w:type="dxa"/>
            <w:tcBorders>
              <w:bottom w:val="none" w:sz="0" w:space="0" w:color="auto"/>
            </w:tcBorders>
          </w:tcPr>
          <w:p w:rsidR="002043BB" w:rsidRPr="004C22EA" w:rsidRDefault="002043BB" w:rsidP="0026550A">
            <w:pPr>
              <w:tabs>
                <w:tab w:val="left" w:pos="1245"/>
              </w:tabs>
              <w:snapToGrid w:val="0"/>
              <w:jc w:val="both"/>
              <w:rPr>
                <w:b/>
                <w:color w:val="000000"/>
                <w:sz w:val="20"/>
                <w:szCs w:val="20"/>
              </w:rPr>
            </w:pPr>
            <w:r w:rsidRPr="004C22EA">
              <w:rPr>
                <w:b/>
                <w:color w:val="000000"/>
                <w:sz w:val="20"/>
                <w:szCs w:val="20"/>
              </w:rPr>
              <w:sym w:font="Symbol" w:char="F063"/>
            </w:r>
            <w:r w:rsidRPr="004C22EA">
              <w:rPr>
                <w:b/>
                <w:color w:val="000000"/>
                <w:sz w:val="20"/>
                <w:szCs w:val="20"/>
              </w:rPr>
              <w:t>2</w:t>
            </w:r>
          </w:p>
        </w:tc>
      </w:tr>
      <w:tr w:rsidR="004C04C3" w:rsidRPr="004C22EA" w:rsidTr="004C22EA">
        <w:trPr>
          <w:cantSplit/>
          <w:jc w:val="center"/>
        </w:trPr>
        <w:tc>
          <w:tcPr>
            <w:tcW w:w="9378" w:type="dxa"/>
            <w:gridSpan w:val="6"/>
          </w:tcPr>
          <w:p w:rsidR="004C04C3" w:rsidRPr="004C22EA" w:rsidRDefault="000357EA" w:rsidP="0026550A">
            <w:pPr>
              <w:tabs>
                <w:tab w:val="left" w:pos="1245"/>
              </w:tabs>
              <w:snapToGrid w:val="0"/>
              <w:jc w:val="both"/>
              <w:rPr>
                <w:b/>
                <w:i/>
                <w:color w:val="000000"/>
                <w:sz w:val="20"/>
                <w:szCs w:val="20"/>
              </w:rPr>
            </w:pPr>
            <w:r w:rsidRPr="004C22EA">
              <w:rPr>
                <w:b/>
                <w:i/>
                <w:color w:val="000000"/>
                <w:sz w:val="20"/>
                <w:szCs w:val="20"/>
              </w:rPr>
              <w:t>S</w:t>
            </w:r>
            <w:r w:rsidR="004C04C3" w:rsidRPr="004C22EA">
              <w:rPr>
                <w:b/>
                <w:i/>
                <w:color w:val="000000"/>
                <w:sz w:val="20"/>
                <w:szCs w:val="20"/>
              </w:rPr>
              <w:t>ex</w:t>
            </w:r>
          </w:p>
        </w:tc>
      </w:tr>
      <w:tr w:rsidR="00E467D9" w:rsidRPr="004C22EA" w:rsidTr="004C22EA">
        <w:trPr>
          <w:cantSplit/>
          <w:jc w:val="center"/>
        </w:trPr>
        <w:tc>
          <w:tcPr>
            <w:tcW w:w="1670" w:type="dxa"/>
          </w:tcPr>
          <w:p w:rsidR="00E467D9" w:rsidRPr="004C22EA" w:rsidRDefault="00E467D9" w:rsidP="0026550A">
            <w:pPr>
              <w:tabs>
                <w:tab w:val="left" w:pos="1245"/>
              </w:tabs>
              <w:snapToGrid w:val="0"/>
              <w:jc w:val="both"/>
              <w:rPr>
                <w:color w:val="000000"/>
                <w:sz w:val="20"/>
                <w:szCs w:val="20"/>
              </w:rPr>
            </w:pPr>
            <w:r w:rsidRPr="004C22EA">
              <w:rPr>
                <w:color w:val="000000"/>
                <w:sz w:val="20"/>
                <w:szCs w:val="20"/>
              </w:rPr>
              <w:t>Male</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193</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37</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19.2</w:t>
            </w:r>
          </w:p>
        </w:tc>
        <w:tc>
          <w:tcPr>
            <w:tcW w:w="1606" w:type="dxa"/>
            <w:vMerge w:val="restart"/>
            <w:vAlign w:val="center"/>
          </w:tcPr>
          <w:p w:rsidR="00E467D9" w:rsidRPr="004C22EA" w:rsidRDefault="00E618ED" w:rsidP="0026550A">
            <w:pPr>
              <w:snapToGrid w:val="0"/>
              <w:jc w:val="both"/>
              <w:rPr>
                <w:color w:val="000000"/>
                <w:sz w:val="20"/>
                <w:szCs w:val="20"/>
              </w:rPr>
            </w:pPr>
            <w:r w:rsidRPr="004C22EA">
              <w:rPr>
                <w:color w:val="000000"/>
                <w:sz w:val="20"/>
                <w:szCs w:val="20"/>
              </w:rPr>
              <w:t>0.305</w:t>
            </w:r>
          </w:p>
        </w:tc>
        <w:tc>
          <w:tcPr>
            <w:tcW w:w="1351" w:type="dxa"/>
            <w:vMerge w:val="restart"/>
            <w:vAlign w:val="center"/>
          </w:tcPr>
          <w:p w:rsidR="00E467D9" w:rsidRPr="004C22EA" w:rsidRDefault="00B2299F" w:rsidP="0026550A">
            <w:pPr>
              <w:tabs>
                <w:tab w:val="left" w:pos="1245"/>
              </w:tabs>
              <w:snapToGrid w:val="0"/>
              <w:jc w:val="both"/>
              <w:rPr>
                <w:i/>
                <w:color w:val="000000"/>
                <w:sz w:val="20"/>
                <w:szCs w:val="20"/>
              </w:rPr>
            </w:pPr>
            <w:r w:rsidRPr="004C22EA">
              <w:rPr>
                <w:color w:val="000000"/>
                <w:sz w:val="20"/>
                <w:szCs w:val="20"/>
              </w:rPr>
              <w:t>1.051</w:t>
            </w:r>
          </w:p>
        </w:tc>
      </w:tr>
      <w:tr w:rsidR="00E467D9" w:rsidRPr="004C22EA" w:rsidTr="004C22EA">
        <w:trPr>
          <w:cantSplit/>
          <w:jc w:val="center"/>
        </w:trPr>
        <w:tc>
          <w:tcPr>
            <w:tcW w:w="1670" w:type="dxa"/>
          </w:tcPr>
          <w:p w:rsidR="00E467D9" w:rsidRPr="004C22EA" w:rsidRDefault="00E467D9" w:rsidP="0026550A">
            <w:pPr>
              <w:tabs>
                <w:tab w:val="left" w:pos="1245"/>
              </w:tabs>
              <w:snapToGrid w:val="0"/>
              <w:jc w:val="both"/>
              <w:rPr>
                <w:color w:val="000000"/>
                <w:sz w:val="20"/>
                <w:szCs w:val="20"/>
              </w:rPr>
            </w:pPr>
            <w:r w:rsidRPr="004C22EA">
              <w:rPr>
                <w:color w:val="000000"/>
                <w:sz w:val="20"/>
                <w:szCs w:val="20"/>
              </w:rPr>
              <w:t>Female</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191</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39</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20.4</w:t>
            </w:r>
          </w:p>
        </w:tc>
        <w:tc>
          <w:tcPr>
            <w:tcW w:w="1606" w:type="dxa"/>
            <w:vMerge/>
          </w:tcPr>
          <w:p w:rsidR="00E467D9" w:rsidRPr="004C22EA" w:rsidRDefault="00E467D9" w:rsidP="0026550A">
            <w:pPr>
              <w:snapToGrid w:val="0"/>
              <w:jc w:val="both"/>
              <w:rPr>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b/>
                <w:color w:val="000000"/>
                <w:sz w:val="20"/>
                <w:szCs w:val="20"/>
              </w:rPr>
            </w:pPr>
            <w:r w:rsidRPr="004C22EA">
              <w:rPr>
                <w:b/>
                <w:color w:val="000000"/>
                <w:sz w:val="20"/>
                <w:szCs w:val="20"/>
              </w:rPr>
              <w:t>Total</w:t>
            </w:r>
          </w:p>
        </w:tc>
        <w:tc>
          <w:tcPr>
            <w:tcW w:w="1603" w:type="dxa"/>
          </w:tcPr>
          <w:p w:rsidR="00E467D9" w:rsidRPr="004C22EA" w:rsidRDefault="00E467D9" w:rsidP="0026550A">
            <w:pPr>
              <w:snapToGrid w:val="0"/>
              <w:jc w:val="both"/>
              <w:rPr>
                <w:b/>
                <w:color w:val="000000"/>
                <w:sz w:val="20"/>
                <w:szCs w:val="20"/>
              </w:rPr>
            </w:pPr>
            <w:r w:rsidRPr="004C22EA">
              <w:rPr>
                <w:b/>
                <w:color w:val="000000"/>
                <w:sz w:val="20"/>
                <w:szCs w:val="20"/>
              </w:rPr>
              <w:t>384</w:t>
            </w:r>
          </w:p>
        </w:tc>
        <w:tc>
          <w:tcPr>
            <w:tcW w:w="1650" w:type="dxa"/>
          </w:tcPr>
          <w:p w:rsidR="00E467D9" w:rsidRPr="004C22EA" w:rsidRDefault="00E467D9" w:rsidP="0026550A">
            <w:pPr>
              <w:snapToGrid w:val="0"/>
              <w:jc w:val="both"/>
              <w:rPr>
                <w:b/>
                <w:color w:val="000000"/>
                <w:sz w:val="20"/>
                <w:szCs w:val="20"/>
              </w:rPr>
            </w:pPr>
            <w:r w:rsidRPr="004C22EA">
              <w:rPr>
                <w:b/>
                <w:color w:val="000000"/>
                <w:sz w:val="20"/>
                <w:szCs w:val="20"/>
              </w:rPr>
              <w:t>76</w:t>
            </w:r>
          </w:p>
        </w:tc>
        <w:tc>
          <w:tcPr>
            <w:tcW w:w="1498" w:type="dxa"/>
          </w:tcPr>
          <w:p w:rsidR="00E467D9" w:rsidRPr="004C22EA" w:rsidRDefault="00E467D9" w:rsidP="0026550A">
            <w:pPr>
              <w:snapToGrid w:val="0"/>
              <w:jc w:val="both"/>
              <w:rPr>
                <w:b/>
                <w:color w:val="000000"/>
                <w:sz w:val="20"/>
                <w:szCs w:val="20"/>
              </w:rPr>
            </w:pPr>
            <w:r w:rsidRPr="004C22EA">
              <w:rPr>
                <w:b/>
                <w:color w:val="000000"/>
                <w:sz w:val="20"/>
                <w:szCs w:val="20"/>
              </w:rPr>
              <w:t>19.8</w:t>
            </w:r>
          </w:p>
        </w:tc>
        <w:tc>
          <w:tcPr>
            <w:tcW w:w="1606" w:type="dxa"/>
            <w:vMerge/>
          </w:tcPr>
          <w:p w:rsidR="00E467D9" w:rsidRPr="004C22EA" w:rsidRDefault="00E467D9" w:rsidP="0026550A">
            <w:pPr>
              <w:snapToGrid w:val="0"/>
              <w:jc w:val="both"/>
              <w:rPr>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4C04C3" w:rsidRPr="004C22EA" w:rsidTr="004C22EA">
        <w:trPr>
          <w:cantSplit/>
          <w:jc w:val="center"/>
        </w:trPr>
        <w:tc>
          <w:tcPr>
            <w:tcW w:w="9378" w:type="dxa"/>
            <w:gridSpan w:val="6"/>
          </w:tcPr>
          <w:p w:rsidR="004C04C3" w:rsidRPr="004C22EA" w:rsidRDefault="004C04C3" w:rsidP="0026550A">
            <w:pPr>
              <w:tabs>
                <w:tab w:val="left" w:pos="1245"/>
              </w:tabs>
              <w:snapToGrid w:val="0"/>
              <w:jc w:val="both"/>
              <w:rPr>
                <w:b/>
                <w:i/>
                <w:color w:val="000000"/>
                <w:sz w:val="20"/>
                <w:szCs w:val="20"/>
              </w:rPr>
            </w:pPr>
            <w:r w:rsidRPr="004C22EA">
              <w:rPr>
                <w:b/>
                <w:i/>
                <w:color w:val="000000"/>
                <w:sz w:val="20"/>
                <w:szCs w:val="20"/>
              </w:rPr>
              <w:t>Age(years)</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&lt;2</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77</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11</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14.3</w:t>
            </w:r>
          </w:p>
        </w:tc>
        <w:tc>
          <w:tcPr>
            <w:tcW w:w="1606" w:type="dxa"/>
            <w:vMerge w:val="restart"/>
            <w:vAlign w:val="center"/>
          </w:tcPr>
          <w:p w:rsidR="00E467D9" w:rsidRPr="004C22EA" w:rsidRDefault="00E618ED" w:rsidP="0026550A">
            <w:pPr>
              <w:snapToGrid w:val="0"/>
              <w:jc w:val="both"/>
              <w:rPr>
                <w:color w:val="000000"/>
                <w:sz w:val="20"/>
                <w:szCs w:val="20"/>
              </w:rPr>
            </w:pPr>
            <w:r w:rsidRPr="004C22EA">
              <w:rPr>
                <w:color w:val="000000"/>
                <w:sz w:val="20"/>
                <w:szCs w:val="20"/>
              </w:rPr>
              <w:t>0.384</w:t>
            </w:r>
          </w:p>
        </w:tc>
        <w:tc>
          <w:tcPr>
            <w:tcW w:w="1351" w:type="dxa"/>
            <w:vMerge w:val="restart"/>
            <w:vAlign w:val="center"/>
          </w:tcPr>
          <w:p w:rsidR="00E467D9" w:rsidRPr="004C22EA" w:rsidRDefault="00B2299F" w:rsidP="0026550A">
            <w:pPr>
              <w:tabs>
                <w:tab w:val="left" w:pos="1245"/>
              </w:tabs>
              <w:snapToGrid w:val="0"/>
              <w:jc w:val="both"/>
              <w:rPr>
                <w:i/>
                <w:color w:val="000000"/>
                <w:sz w:val="20"/>
                <w:szCs w:val="20"/>
              </w:rPr>
            </w:pPr>
            <w:r w:rsidRPr="004C22EA">
              <w:rPr>
                <w:color w:val="000000"/>
                <w:sz w:val="20"/>
                <w:szCs w:val="20"/>
              </w:rPr>
              <w:t>3.05</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2-7</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198</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43</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21.7</w:t>
            </w:r>
          </w:p>
        </w:tc>
        <w:tc>
          <w:tcPr>
            <w:tcW w:w="1606" w:type="dxa"/>
            <w:vMerge/>
          </w:tcPr>
          <w:p w:rsidR="00E467D9" w:rsidRPr="004C22EA" w:rsidRDefault="00E467D9" w:rsidP="0026550A">
            <w:pPr>
              <w:snapToGrid w:val="0"/>
              <w:jc w:val="both"/>
              <w:rPr>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7-12</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104</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21</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20.2</w:t>
            </w:r>
          </w:p>
        </w:tc>
        <w:tc>
          <w:tcPr>
            <w:tcW w:w="1606" w:type="dxa"/>
            <w:vMerge/>
          </w:tcPr>
          <w:p w:rsidR="00E467D9" w:rsidRPr="004C22EA" w:rsidRDefault="00E467D9" w:rsidP="0026550A">
            <w:pPr>
              <w:snapToGrid w:val="0"/>
              <w:jc w:val="both"/>
              <w:rPr>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&gt;12</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5</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20</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b/>
                <w:color w:val="000000"/>
                <w:sz w:val="20"/>
                <w:szCs w:val="20"/>
              </w:rPr>
            </w:pPr>
            <w:r w:rsidRPr="004C22EA">
              <w:rPr>
                <w:b/>
                <w:color w:val="000000"/>
                <w:sz w:val="20"/>
                <w:szCs w:val="20"/>
              </w:rPr>
              <w:t>Total</w:t>
            </w:r>
          </w:p>
        </w:tc>
        <w:tc>
          <w:tcPr>
            <w:tcW w:w="1603" w:type="dxa"/>
          </w:tcPr>
          <w:p w:rsidR="00E467D9" w:rsidRPr="004C22EA" w:rsidRDefault="00E467D9" w:rsidP="0026550A">
            <w:pPr>
              <w:snapToGrid w:val="0"/>
              <w:jc w:val="both"/>
              <w:rPr>
                <w:b/>
                <w:color w:val="000000"/>
                <w:sz w:val="20"/>
                <w:szCs w:val="20"/>
              </w:rPr>
            </w:pPr>
            <w:r w:rsidRPr="004C22EA">
              <w:rPr>
                <w:b/>
                <w:color w:val="000000"/>
                <w:sz w:val="20"/>
                <w:szCs w:val="20"/>
              </w:rPr>
              <w:t>384</w:t>
            </w:r>
          </w:p>
        </w:tc>
        <w:tc>
          <w:tcPr>
            <w:tcW w:w="1650" w:type="dxa"/>
          </w:tcPr>
          <w:p w:rsidR="00E467D9" w:rsidRPr="004C22EA" w:rsidRDefault="00E467D9" w:rsidP="0026550A">
            <w:pPr>
              <w:snapToGrid w:val="0"/>
              <w:jc w:val="both"/>
              <w:rPr>
                <w:b/>
                <w:color w:val="000000"/>
                <w:sz w:val="20"/>
                <w:szCs w:val="20"/>
              </w:rPr>
            </w:pPr>
            <w:r w:rsidRPr="004C22EA">
              <w:rPr>
                <w:b/>
                <w:color w:val="000000"/>
                <w:sz w:val="20"/>
                <w:szCs w:val="20"/>
              </w:rPr>
              <w:t>76</w:t>
            </w:r>
          </w:p>
        </w:tc>
        <w:tc>
          <w:tcPr>
            <w:tcW w:w="1498" w:type="dxa"/>
          </w:tcPr>
          <w:p w:rsidR="00E467D9" w:rsidRPr="004C22EA" w:rsidRDefault="00E467D9" w:rsidP="0026550A">
            <w:pPr>
              <w:snapToGrid w:val="0"/>
              <w:jc w:val="both"/>
              <w:rPr>
                <w:b/>
                <w:color w:val="000000"/>
                <w:sz w:val="20"/>
                <w:szCs w:val="20"/>
              </w:rPr>
            </w:pPr>
            <w:r w:rsidRPr="004C22EA">
              <w:rPr>
                <w:b/>
                <w:color w:val="000000"/>
                <w:sz w:val="20"/>
                <w:szCs w:val="20"/>
              </w:rPr>
              <w:t>19.8</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4C04C3" w:rsidRPr="004C22EA" w:rsidTr="004C22EA">
        <w:trPr>
          <w:cantSplit/>
          <w:jc w:val="center"/>
        </w:trPr>
        <w:tc>
          <w:tcPr>
            <w:tcW w:w="9378" w:type="dxa"/>
            <w:gridSpan w:val="6"/>
          </w:tcPr>
          <w:p w:rsidR="004C04C3" w:rsidRPr="004C22EA" w:rsidRDefault="004C04C3" w:rsidP="0026550A">
            <w:pPr>
              <w:tabs>
                <w:tab w:val="left" w:pos="1245"/>
              </w:tabs>
              <w:snapToGrid w:val="0"/>
              <w:jc w:val="both"/>
              <w:rPr>
                <w:b/>
                <w:i/>
                <w:color w:val="000000"/>
                <w:sz w:val="20"/>
                <w:szCs w:val="20"/>
              </w:rPr>
            </w:pPr>
            <w:r w:rsidRPr="004C22EA">
              <w:rPr>
                <w:b/>
                <w:i/>
                <w:color w:val="000000"/>
                <w:sz w:val="20"/>
                <w:szCs w:val="20"/>
              </w:rPr>
              <w:t>Body conditions</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Poor</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115</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46</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40</w:t>
            </w:r>
          </w:p>
        </w:tc>
        <w:tc>
          <w:tcPr>
            <w:tcW w:w="1606" w:type="dxa"/>
            <w:vMerge w:val="restart"/>
            <w:vAlign w:val="center"/>
          </w:tcPr>
          <w:p w:rsidR="00E467D9" w:rsidRPr="004C22EA" w:rsidRDefault="00E618ED" w:rsidP="0026550A">
            <w:pPr>
              <w:tabs>
                <w:tab w:val="left" w:pos="1245"/>
              </w:tabs>
              <w:snapToGrid w:val="0"/>
              <w:jc w:val="both"/>
              <w:rPr>
                <w:color w:val="000000"/>
                <w:sz w:val="20"/>
                <w:szCs w:val="20"/>
              </w:rPr>
            </w:pPr>
            <w:r w:rsidRPr="004C22EA">
              <w:rPr>
                <w:color w:val="000000"/>
                <w:sz w:val="20"/>
                <w:szCs w:val="20"/>
              </w:rPr>
              <w:t>0.000</w:t>
            </w:r>
          </w:p>
        </w:tc>
        <w:tc>
          <w:tcPr>
            <w:tcW w:w="1351" w:type="dxa"/>
            <w:vMerge w:val="restart"/>
            <w:vAlign w:val="center"/>
          </w:tcPr>
          <w:p w:rsidR="00E467D9" w:rsidRPr="004C22EA" w:rsidRDefault="000055FB" w:rsidP="0026550A">
            <w:pPr>
              <w:tabs>
                <w:tab w:val="left" w:pos="1245"/>
              </w:tabs>
              <w:snapToGrid w:val="0"/>
              <w:jc w:val="both"/>
              <w:rPr>
                <w:i/>
                <w:color w:val="000000"/>
                <w:sz w:val="20"/>
                <w:szCs w:val="20"/>
              </w:rPr>
            </w:pPr>
            <w:r w:rsidRPr="004C22EA">
              <w:rPr>
                <w:color w:val="000000"/>
                <w:sz w:val="20"/>
                <w:szCs w:val="20"/>
              </w:rPr>
              <w:t>52.451</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Medium</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151</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15</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10</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Good</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118</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15</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12.7</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b/>
                <w:color w:val="000000"/>
                <w:sz w:val="20"/>
                <w:szCs w:val="20"/>
              </w:rPr>
            </w:pPr>
            <w:r w:rsidRPr="004C22EA">
              <w:rPr>
                <w:b/>
                <w:color w:val="000000"/>
                <w:sz w:val="20"/>
                <w:szCs w:val="20"/>
              </w:rPr>
              <w:t>Total</w:t>
            </w:r>
          </w:p>
        </w:tc>
        <w:tc>
          <w:tcPr>
            <w:tcW w:w="1603" w:type="dxa"/>
          </w:tcPr>
          <w:p w:rsidR="00E467D9" w:rsidRPr="004C22EA" w:rsidRDefault="00E467D9" w:rsidP="0026550A">
            <w:pPr>
              <w:snapToGrid w:val="0"/>
              <w:jc w:val="both"/>
              <w:rPr>
                <w:b/>
                <w:color w:val="000000"/>
                <w:sz w:val="20"/>
                <w:szCs w:val="20"/>
              </w:rPr>
            </w:pPr>
            <w:r w:rsidRPr="004C22EA">
              <w:rPr>
                <w:b/>
                <w:color w:val="000000"/>
                <w:sz w:val="20"/>
                <w:szCs w:val="20"/>
              </w:rPr>
              <w:t>384</w:t>
            </w:r>
          </w:p>
        </w:tc>
        <w:tc>
          <w:tcPr>
            <w:tcW w:w="1650" w:type="dxa"/>
          </w:tcPr>
          <w:p w:rsidR="00E467D9" w:rsidRPr="004C22EA" w:rsidRDefault="00E467D9" w:rsidP="0026550A">
            <w:pPr>
              <w:snapToGrid w:val="0"/>
              <w:jc w:val="both"/>
              <w:rPr>
                <w:b/>
                <w:color w:val="000000"/>
                <w:sz w:val="20"/>
                <w:szCs w:val="20"/>
              </w:rPr>
            </w:pPr>
            <w:r w:rsidRPr="004C22EA">
              <w:rPr>
                <w:b/>
                <w:color w:val="000000"/>
                <w:sz w:val="20"/>
                <w:szCs w:val="20"/>
              </w:rPr>
              <w:t>76</w:t>
            </w:r>
          </w:p>
        </w:tc>
        <w:tc>
          <w:tcPr>
            <w:tcW w:w="1498" w:type="dxa"/>
          </w:tcPr>
          <w:p w:rsidR="00E467D9" w:rsidRPr="004C22EA" w:rsidRDefault="00E467D9" w:rsidP="0026550A">
            <w:pPr>
              <w:snapToGrid w:val="0"/>
              <w:jc w:val="both"/>
              <w:rPr>
                <w:b/>
                <w:color w:val="000000"/>
                <w:sz w:val="20"/>
                <w:szCs w:val="20"/>
              </w:rPr>
            </w:pPr>
            <w:r w:rsidRPr="004C22EA">
              <w:rPr>
                <w:b/>
                <w:color w:val="000000"/>
                <w:sz w:val="20"/>
                <w:szCs w:val="20"/>
              </w:rPr>
              <w:t>19.8</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4C04C3" w:rsidRPr="004C22EA" w:rsidTr="004C22EA">
        <w:trPr>
          <w:cantSplit/>
          <w:jc w:val="center"/>
        </w:trPr>
        <w:tc>
          <w:tcPr>
            <w:tcW w:w="9378" w:type="dxa"/>
            <w:gridSpan w:val="6"/>
          </w:tcPr>
          <w:p w:rsidR="004C04C3" w:rsidRPr="004C22EA" w:rsidRDefault="004C04C3" w:rsidP="0026550A">
            <w:pPr>
              <w:tabs>
                <w:tab w:val="left" w:pos="1245"/>
              </w:tabs>
              <w:snapToGrid w:val="0"/>
              <w:jc w:val="both"/>
              <w:rPr>
                <w:b/>
                <w:i/>
                <w:color w:val="000000"/>
                <w:sz w:val="20"/>
                <w:szCs w:val="20"/>
              </w:rPr>
            </w:pPr>
            <w:r w:rsidRPr="004C22EA">
              <w:rPr>
                <w:b/>
                <w:i/>
                <w:color w:val="000000"/>
                <w:sz w:val="20"/>
                <w:szCs w:val="20"/>
              </w:rPr>
              <w:t>Breeds</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Local</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331</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66</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19.9</w:t>
            </w:r>
          </w:p>
        </w:tc>
        <w:tc>
          <w:tcPr>
            <w:tcW w:w="1606" w:type="dxa"/>
            <w:vMerge w:val="restart"/>
            <w:vAlign w:val="center"/>
          </w:tcPr>
          <w:p w:rsidR="00E467D9" w:rsidRPr="004C22EA" w:rsidRDefault="00E618ED" w:rsidP="0026550A">
            <w:pPr>
              <w:tabs>
                <w:tab w:val="left" w:pos="1245"/>
              </w:tabs>
              <w:snapToGrid w:val="0"/>
              <w:jc w:val="both"/>
              <w:rPr>
                <w:color w:val="000000"/>
                <w:sz w:val="20"/>
                <w:szCs w:val="20"/>
              </w:rPr>
            </w:pPr>
            <w:r w:rsidRPr="004C22EA">
              <w:rPr>
                <w:color w:val="000000"/>
                <w:sz w:val="20"/>
                <w:szCs w:val="20"/>
              </w:rPr>
              <w:t>0.404</w:t>
            </w:r>
          </w:p>
        </w:tc>
        <w:tc>
          <w:tcPr>
            <w:tcW w:w="1351" w:type="dxa"/>
            <w:vMerge w:val="restart"/>
            <w:vAlign w:val="center"/>
          </w:tcPr>
          <w:p w:rsidR="00E467D9" w:rsidRPr="004C22EA" w:rsidRDefault="00B2299F" w:rsidP="0026550A">
            <w:pPr>
              <w:tabs>
                <w:tab w:val="left" w:pos="1245"/>
              </w:tabs>
              <w:snapToGrid w:val="0"/>
              <w:jc w:val="both"/>
              <w:rPr>
                <w:color w:val="000000"/>
                <w:sz w:val="20"/>
                <w:szCs w:val="20"/>
              </w:rPr>
            </w:pPr>
            <w:r w:rsidRPr="004C22EA">
              <w:rPr>
                <w:color w:val="000000"/>
                <w:sz w:val="20"/>
                <w:szCs w:val="20"/>
              </w:rPr>
              <w:t>0.695</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Cross</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53</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10</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18.9</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b/>
                <w:color w:val="000000"/>
                <w:sz w:val="20"/>
                <w:szCs w:val="20"/>
              </w:rPr>
            </w:pPr>
            <w:r w:rsidRPr="004C22EA">
              <w:rPr>
                <w:b/>
                <w:color w:val="000000"/>
                <w:sz w:val="20"/>
                <w:szCs w:val="20"/>
              </w:rPr>
              <w:t>Total</w:t>
            </w:r>
          </w:p>
        </w:tc>
        <w:tc>
          <w:tcPr>
            <w:tcW w:w="1603" w:type="dxa"/>
          </w:tcPr>
          <w:p w:rsidR="00E467D9" w:rsidRPr="004C22EA" w:rsidRDefault="00E467D9" w:rsidP="0026550A">
            <w:pPr>
              <w:snapToGrid w:val="0"/>
              <w:jc w:val="both"/>
              <w:rPr>
                <w:b/>
                <w:color w:val="000000"/>
                <w:sz w:val="20"/>
                <w:szCs w:val="20"/>
              </w:rPr>
            </w:pPr>
            <w:r w:rsidRPr="004C22EA">
              <w:rPr>
                <w:b/>
                <w:color w:val="000000"/>
                <w:sz w:val="20"/>
                <w:szCs w:val="20"/>
              </w:rPr>
              <w:t>384</w:t>
            </w:r>
          </w:p>
        </w:tc>
        <w:tc>
          <w:tcPr>
            <w:tcW w:w="1650" w:type="dxa"/>
          </w:tcPr>
          <w:p w:rsidR="00E467D9" w:rsidRPr="004C22EA" w:rsidRDefault="00E467D9" w:rsidP="0026550A">
            <w:pPr>
              <w:snapToGrid w:val="0"/>
              <w:jc w:val="both"/>
              <w:rPr>
                <w:b/>
                <w:color w:val="000000"/>
                <w:sz w:val="20"/>
                <w:szCs w:val="20"/>
              </w:rPr>
            </w:pPr>
            <w:r w:rsidRPr="004C22EA">
              <w:rPr>
                <w:b/>
                <w:color w:val="000000"/>
                <w:sz w:val="20"/>
                <w:szCs w:val="20"/>
              </w:rPr>
              <w:t>76</w:t>
            </w:r>
          </w:p>
        </w:tc>
        <w:tc>
          <w:tcPr>
            <w:tcW w:w="1498" w:type="dxa"/>
          </w:tcPr>
          <w:p w:rsidR="00E467D9" w:rsidRPr="004C22EA" w:rsidRDefault="00E467D9" w:rsidP="0026550A">
            <w:pPr>
              <w:snapToGrid w:val="0"/>
              <w:jc w:val="both"/>
              <w:rPr>
                <w:b/>
                <w:color w:val="000000"/>
                <w:sz w:val="20"/>
                <w:szCs w:val="20"/>
              </w:rPr>
            </w:pPr>
            <w:r w:rsidRPr="004C22EA">
              <w:rPr>
                <w:b/>
                <w:color w:val="000000"/>
                <w:sz w:val="20"/>
                <w:szCs w:val="20"/>
              </w:rPr>
              <w:t>19.8</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4C04C3" w:rsidRPr="004C22EA" w:rsidTr="004C22EA">
        <w:trPr>
          <w:cantSplit/>
          <w:jc w:val="center"/>
        </w:trPr>
        <w:tc>
          <w:tcPr>
            <w:tcW w:w="9378" w:type="dxa"/>
            <w:gridSpan w:val="6"/>
          </w:tcPr>
          <w:p w:rsidR="004C04C3" w:rsidRPr="004C22EA" w:rsidRDefault="004C04C3" w:rsidP="0026550A">
            <w:pPr>
              <w:tabs>
                <w:tab w:val="left" w:pos="1245"/>
              </w:tabs>
              <w:snapToGrid w:val="0"/>
              <w:jc w:val="both"/>
              <w:rPr>
                <w:b/>
                <w:i/>
                <w:color w:val="000000"/>
                <w:sz w:val="20"/>
                <w:szCs w:val="20"/>
              </w:rPr>
            </w:pPr>
            <w:r w:rsidRPr="004C22EA">
              <w:rPr>
                <w:b/>
                <w:color w:val="000000"/>
                <w:sz w:val="20"/>
                <w:szCs w:val="20"/>
              </w:rPr>
              <w:t>Management system</w:t>
            </w:r>
            <w:r w:rsidR="008357CE" w:rsidRPr="004C22EA">
              <w:rPr>
                <w:b/>
                <w:color w:val="000000"/>
                <w:sz w:val="20"/>
                <w:szCs w:val="20"/>
              </w:rPr>
              <w:t>s</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Intensive</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57</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13</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22.8</w:t>
            </w:r>
          </w:p>
        </w:tc>
        <w:tc>
          <w:tcPr>
            <w:tcW w:w="1606" w:type="dxa"/>
            <w:vMerge w:val="restart"/>
            <w:vAlign w:val="center"/>
          </w:tcPr>
          <w:p w:rsidR="00E467D9" w:rsidRPr="004C22EA" w:rsidRDefault="00E618ED" w:rsidP="0026550A">
            <w:pPr>
              <w:tabs>
                <w:tab w:val="left" w:pos="1245"/>
              </w:tabs>
              <w:snapToGrid w:val="0"/>
              <w:jc w:val="both"/>
              <w:rPr>
                <w:color w:val="000000"/>
                <w:sz w:val="20"/>
                <w:szCs w:val="20"/>
              </w:rPr>
            </w:pPr>
            <w:r w:rsidRPr="004C22EA">
              <w:rPr>
                <w:color w:val="000000"/>
                <w:sz w:val="20"/>
                <w:szCs w:val="20"/>
              </w:rPr>
              <w:t>0.440</w:t>
            </w:r>
          </w:p>
        </w:tc>
        <w:tc>
          <w:tcPr>
            <w:tcW w:w="1351" w:type="dxa"/>
            <w:vMerge w:val="restart"/>
            <w:vAlign w:val="center"/>
          </w:tcPr>
          <w:p w:rsidR="00E467D9" w:rsidRPr="004C22EA" w:rsidRDefault="00B2299F" w:rsidP="0026550A">
            <w:pPr>
              <w:tabs>
                <w:tab w:val="left" w:pos="1245"/>
              </w:tabs>
              <w:snapToGrid w:val="0"/>
              <w:jc w:val="both"/>
              <w:rPr>
                <w:color w:val="000000"/>
                <w:sz w:val="20"/>
                <w:szCs w:val="20"/>
              </w:rPr>
            </w:pPr>
            <w:r w:rsidRPr="004C22EA">
              <w:rPr>
                <w:color w:val="000000"/>
                <w:sz w:val="20"/>
                <w:szCs w:val="20"/>
              </w:rPr>
              <w:t>0.594</w:t>
            </w:r>
          </w:p>
        </w:tc>
      </w:tr>
      <w:tr w:rsidR="00E467D9" w:rsidRPr="004C22EA" w:rsidTr="004C22EA">
        <w:trPr>
          <w:cantSplit/>
          <w:jc w:val="center"/>
        </w:trPr>
        <w:tc>
          <w:tcPr>
            <w:tcW w:w="1670" w:type="dxa"/>
          </w:tcPr>
          <w:p w:rsidR="00E467D9" w:rsidRPr="004C22EA" w:rsidRDefault="00E467D9" w:rsidP="0026550A">
            <w:pPr>
              <w:snapToGrid w:val="0"/>
              <w:jc w:val="both"/>
              <w:rPr>
                <w:color w:val="000000"/>
                <w:sz w:val="20"/>
                <w:szCs w:val="20"/>
              </w:rPr>
            </w:pPr>
            <w:r w:rsidRPr="004C22EA">
              <w:rPr>
                <w:color w:val="000000"/>
                <w:sz w:val="20"/>
                <w:szCs w:val="20"/>
              </w:rPr>
              <w:t>Extensive</w:t>
            </w:r>
          </w:p>
        </w:tc>
        <w:tc>
          <w:tcPr>
            <w:tcW w:w="1603" w:type="dxa"/>
          </w:tcPr>
          <w:p w:rsidR="00E467D9" w:rsidRPr="004C22EA" w:rsidRDefault="00E467D9" w:rsidP="0026550A">
            <w:pPr>
              <w:snapToGrid w:val="0"/>
              <w:jc w:val="both"/>
              <w:rPr>
                <w:color w:val="000000"/>
                <w:sz w:val="20"/>
                <w:szCs w:val="20"/>
              </w:rPr>
            </w:pPr>
            <w:r w:rsidRPr="004C22EA">
              <w:rPr>
                <w:color w:val="000000"/>
                <w:sz w:val="20"/>
                <w:szCs w:val="20"/>
              </w:rPr>
              <w:t>327</w:t>
            </w:r>
          </w:p>
        </w:tc>
        <w:tc>
          <w:tcPr>
            <w:tcW w:w="1650" w:type="dxa"/>
          </w:tcPr>
          <w:p w:rsidR="00E467D9" w:rsidRPr="004C22EA" w:rsidRDefault="00E467D9" w:rsidP="0026550A">
            <w:pPr>
              <w:snapToGrid w:val="0"/>
              <w:jc w:val="both"/>
              <w:rPr>
                <w:color w:val="000000"/>
                <w:sz w:val="20"/>
                <w:szCs w:val="20"/>
              </w:rPr>
            </w:pPr>
            <w:r w:rsidRPr="004C22EA">
              <w:rPr>
                <w:color w:val="000000"/>
                <w:sz w:val="20"/>
                <w:szCs w:val="20"/>
              </w:rPr>
              <w:t>63</w:t>
            </w:r>
          </w:p>
        </w:tc>
        <w:tc>
          <w:tcPr>
            <w:tcW w:w="1498" w:type="dxa"/>
          </w:tcPr>
          <w:p w:rsidR="00E467D9" w:rsidRPr="004C22EA" w:rsidRDefault="00E467D9" w:rsidP="0026550A">
            <w:pPr>
              <w:snapToGrid w:val="0"/>
              <w:jc w:val="both"/>
              <w:rPr>
                <w:color w:val="000000"/>
                <w:sz w:val="20"/>
                <w:szCs w:val="20"/>
              </w:rPr>
            </w:pPr>
            <w:r w:rsidRPr="004C22EA">
              <w:rPr>
                <w:color w:val="000000"/>
                <w:sz w:val="20"/>
                <w:szCs w:val="20"/>
              </w:rPr>
              <w:t>19.3</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r w:rsidR="00E467D9" w:rsidRPr="004C22EA" w:rsidTr="004C22EA">
        <w:trPr>
          <w:cantSplit/>
          <w:jc w:val="center"/>
        </w:trPr>
        <w:tc>
          <w:tcPr>
            <w:tcW w:w="1670" w:type="dxa"/>
          </w:tcPr>
          <w:p w:rsidR="00E467D9" w:rsidRPr="004C22EA" w:rsidRDefault="00E467D9" w:rsidP="0026550A">
            <w:pPr>
              <w:snapToGrid w:val="0"/>
              <w:jc w:val="both"/>
              <w:rPr>
                <w:b/>
                <w:color w:val="000000"/>
                <w:sz w:val="20"/>
                <w:szCs w:val="20"/>
              </w:rPr>
            </w:pPr>
            <w:r w:rsidRPr="004C22EA">
              <w:rPr>
                <w:b/>
                <w:color w:val="000000"/>
                <w:sz w:val="20"/>
                <w:szCs w:val="20"/>
              </w:rPr>
              <w:t>Total</w:t>
            </w:r>
          </w:p>
        </w:tc>
        <w:tc>
          <w:tcPr>
            <w:tcW w:w="1603" w:type="dxa"/>
          </w:tcPr>
          <w:p w:rsidR="00E467D9" w:rsidRPr="004C22EA" w:rsidRDefault="00E467D9" w:rsidP="0026550A">
            <w:pPr>
              <w:snapToGrid w:val="0"/>
              <w:jc w:val="both"/>
              <w:rPr>
                <w:b/>
                <w:color w:val="000000"/>
                <w:sz w:val="20"/>
                <w:szCs w:val="20"/>
              </w:rPr>
            </w:pPr>
            <w:r w:rsidRPr="004C22EA">
              <w:rPr>
                <w:b/>
                <w:color w:val="000000"/>
                <w:sz w:val="20"/>
                <w:szCs w:val="20"/>
              </w:rPr>
              <w:t>384</w:t>
            </w:r>
          </w:p>
        </w:tc>
        <w:tc>
          <w:tcPr>
            <w:tcW w:w="1650" w:type="dxa"/>
          </w:tcPr>
          <w:p w:rsidR="00E467D9" w:rsidRPr="004C22EA" w:rsidRDefault="00E467D9" w:rsidP="0026550A">
            <w:pPr>
              <w:snapToGrid w:val="0"/>
              <w:jc w:val="both"/>
              <w:rPr>
                <w:b/>
                <w:color w:val="000000"/>
                <w:sz w:val="20"/>
                <w:szCs w:val="20"/>
              </w:rPr>
            </w:pPr>
            <w:r w:rsidRPr="004C22EA">
              <w:rPr>
                <w:b/>
                <w:color w:val="000000"/>
                <w:sz w:val="20"/>
                <w:szCs w:val="20"/>
              </w:rPr>
              <w:t>76</w:t>
            </w:r>
          </w:p>
        </w:tc>
        <w:tc>
          <w:tcPr>
            <w:tcW w:w="1498" w:type="dxa"/>
          </w:tcPr>
          <w:p w:rsidR="00E467D9" w:rsidRPr="004C22EA" w:rsidRDefault="00E467D9" w:rsidP="0026550A">
            <w:pPr>
              <w:snapToGrid w:val="0"/>
              <w:jc w:val="both"/>
              <w:rPr>
                <w:b/>
                <w:color w:val="000000"/>
                <w:sz w:val="20"/>
                <w:szCs w:val="20"/>
              </w:rPr>
            </w:pPr>
            <w:r w:rsidRPr="004C22EA">
              <w:rPr>
                <w:b/>
                <w:color w:val="000000"/>
                <w:sz w:val="20"/>
                <w:szCs w:val="20"/>
              </w:rPr>
              <w:t>19.8</w:t>
            </w:r>
          </w:p>
        </w:tc>
        <w:tc>
          <w:tcPr>
            <w:tcW w:w="1606" w:type="dxa"/>
            <w:vMerge/>
          </w:tcPr>
          <w:p w:rsidR="00E467D9" w:rsidRPr="004C22EA" w:rsidRDefault="00E467D9" w:rsidP="0026550A">
            <w:pPr>
              <w:tabs>
                <w:tab w:val="left" w:pos="1245"/>
              </w:tabs>
              <w:snapToGrid w:val="0"/>
              <w:jc w:val="both"/>
              <w:rPr>
                <w:i/>
                <w:color w:val="000000"/>
                <w:sz w:val="20"/>
                <w:szCs w:val="20"/>
              </w:rPr>
            </w:pPr>
          </w:p>
        </w:tc>
        <w:tc>
          <w:tcPr>
            <w:tcW w:w="1351" w:type="dxa"/>
            <w:vMerge/>
          </w:tcPr>
          <w:p w:rsidR="00E467D9" w:rsidRPr="004C22EA" w:rsidRDefault="00E467D9" w:rsidP="0026550A">
            <w:pPr>
              <w:tabs>
                <w:tab w:val="left" w:pos="1245"/>
              </w:tabs>
              <w:snapToGrid w:val="0"/>
              <w:jc w:val="both"/>
              <w:rPr>
                <w:i/>
                <w:color w:val="000000"/>
                <w:sz w:val="20"/>
                <w:szCs w:val="20"/>
              </w:rPr>
            </w:pPr>
          </w:p>
        </w:tc>
      </w:tr>
    </w:tbl>
    <w:p w:rsidR="00BC4954" w:rsidRPr="004C22EA" w:rsidRDefault="00BC4954" w:rsidP="0026550A">
      <w:pPr>
        <w:snapToGrid w:val="0"/>
        <w:jc w:val="center"/>
        <w:rPr>
          <w:sz w:val="20"/>
          <w:szCs w:val="20"/>
        </w:rPr>
      </w:pPr>
    </w:p>
    <w:p w:rsidR="00A61E8E" w:rsidRPr="004C22EA" w:rsidRDefault="003F472C" w:rsidP="0026550A">
      <w:pPr>
        <w:snapToGrid w:val="0"/>
        <w:jc w:val="center"/>
        <w:rPr>
          <w:b/>
          <w:i/>
          <w:sz w:val="20"/>
          <w:szCs w:val="20"/>
        </w:rPr>
      </w:pPr>
      <w:r w:rsidRPr="004C22EA">
        <w:rPr>
          <w:sz w:val="20"/>
          <w:szCs w:val="20"/>
        </w:rPr>
        <w:t>Table</w:t>
      </w:r>
      <w:r w:rsidR="008C398D" w:rsidRPr="004C22EA">
        <w:rPr>
          <w:sz w:val="20"/>
          <w:szCs w:val="20"/>
        </w:rPr>
        <w:t xml:space="preserve"> 4</w:t>
      </w:r>
      <w:r w:rsidR="009D111A" w:rsidRPr="004C22EA">
        <w:rPr>
          <w:sz w:val="20"/>
          <w:szCs w:val="20"/>
        </w:rPr>
        <w:t xml:space="preserve">: </w:t>
      </w:r>
      <w:r w:rsidR="00DA4AB5" w:rsidRPr="004C22EA">
        <w:rPr>
          <w:sz w:val="20"/>
          <w:szCs w:val="20"/>
        </w:rPr>
        <w:t>Spatial d</w:t>
      </w:r>
      <w:r w:rsidR="009D111A" w:rsidRPr="004C22EA">
        <w:rPr>
          <w:sz w:val="20"/>
          <w:szCs w:val="20"/>
        </w:rPr>
        <w:t>istribution of mites on host</w:t>
      </w:r>
      <w:r w:rsidR="00DA4AB5" w:rsidRPr="004C22EA">
        <w:rPr>
          <w:sz w:val="20"/>
          <w:szCs w:val="20"/>
        </w:rPr>
        <w:t>’</w:t>
      </w:r>
      <w:r w:rsidR="009D111A" w:rsidRPr="004C22EA">
        <w:rPr>
          <w:sz w:val="20"/>
          <w:szCs w:val="20"/>
        </w:rPr>
        <w:t>s parts</w:t>
      </w:r>
    </w:p>
    <w:tbl>
      <w:tblPr>
        <w:tblStyle w:val="LightShading-Accent3"/>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810"/>
        <w:gridCol w:w="1633"/>
        <w:gridCol w:w="1866"/>
        <w:gridCol w:w="1473"/>
        <w:gridCol w:w="1514"/>
      </w:tblGrid>
      <w:tr w:rsidR="00C16898" w:rsidRPr="004C22EA" w:rsidTr="004C22EA">
        <w:trPr>
          <w:cnfStyle w:val="100000000000"/>
          <w:jc w:val="center"/>
        </w:trPr>
        <w:tc>
          <w:tcPr>
            <w:cnfStyle w:val="001000000000"/>
            <w:tcW w:w="1998" w:type="dxa"/>
            <w:tcBorders>
              <w:top w:val="none" w:sz="0" w:space="0" w:color="auto"/>
              <w:left w:val="none" w:sz="0" w:space="0" w:color="auto"/>
              <w:bottom w:val="none" w:sz="0" w:space="0" w:color="auto"/>
              <w:right w:val="none" w:sz="0" w:space="0" w:color="auto"/>
            </w:tcBorders>
          </w:tcPr>
          <w:p w:rsidR="00C16898" w:rsidRPr="004C22EA" w:rsidRDefault="00C16898" w:rsidP="0026550A">
            <w:pPr>
              <w:snapToGrid w:val="0"/>
              <w:jc w:val="both"/>
              <w:rPr>
                <w:color w:val="000000"/>
                <w:sz w:val="20"/>
                <w:szCs w:val="20"/>
              </w:rPr>
            </w:pPr>
            <w:r w:rsidRPr="004C22EA">
              <w:rPr>
                <w:color w:val="000000"/>
                <w:sz w:val="20"/>
                <w:szCs w:val="20"/>
              </w:rPr>
              <w:t>Predilection Site</w:t>
            </w:r>
          </w:p>
        </w:tc>
        <w:tc>
          <w:tcPr>
            <w:tcW w:w="810" w:type="dxa"/>
            <w:tcBorders>
              <w:top w:val="none" w:sz="0" w:space="0" w:color="auto"/>
              <w:left w:val="none" w:sz="0" w:space="0" w:color="auto"/>
              <w:bottom w:val="none" w:sz="0" w:space="0" w:color="auto"/>
              <w:right w:val="none" w:sz="0" w:space="0" w:color="auto"/>
            </w:tcBorders>
          </w:tcPr>
          <w:p w:rsidR="00C16898" w:rsidRPr="004C22EA" w:rsidRDefault="005D5AF9" w:rsidP="0026550A">
            <w:pPr>
              <w:snapToGrid w:val="0"/>
              <w:jc w:val="both"/>
              <w:cnfStyle w:val="100000000000"/>
              <w:rPr>
                <w:color w:val="000000"/>
                <w:sz w:val="20"/>
                <w:szCs w:val="20"/>
              </w:rPr>
            </w:pPr>
            <w:r w:rsidRPr="004C22EA">
              <w:rPr>
                <w:color w:val="000000"/>
                <w:sz w:val="20"/>
                <w:szCs w:val="20"/>
              </w:rPr>
              <w:t>Total</w:t>
            </w:r>
          </w:p>
        </w:tc>
        <w:tc>
          <w:tcPr>
            <w:tcW w:w="1633" w:type="dxa"/>
            <w:tcBorders>
              <w:top w:val="none" w:sz="0" w:space="0" w:color="auto"/>
              <w:left w:val="none" w:sz="0" w:space="0" w:color="auto"/>
              <w:bottom w:val="none" w:sz="0" w:space="0" w:color="auto"/>
              <w:right w:val="none" w:sz="0" w:space="0" w:color="auto"/>
            </w:tcBorders>
          </w:tcPr>
          <w:p w:rsidR="00C16898" w:rsidRPr="004C22EA" w:rsidRDefault="00C16898" w:rsidP="0026550A">
            <w:pPr>
              <w:snapToGrid w:val="0"/>
              <w:jc w:val="both"/>
              <w:cnfStyle w:val="100000000000"/>
              <w:rPr>
                <w:color w:val="000000"/>
                <w:sz w:val="20"/>
                <w:szCs w:val="20"/>
              </w:rPr>
            </w:pPr>
            <w:r w:rsidRPr="004C22EA">
              <w:rPr>
                <w:color w:val="000000"/>
                <w:sz w:val="20"/>
                <w:szCs w:val="20"/>
              </w:rPr>
              <w:t>N</w:t>
            </w:r>
            <w:r w:rsidRPr="004C22EA">
              <w:rPr>
                <w:color w:val="000000"/>
                <w:sz w:val="20"/>
                <w:szCs w:val="20"/>
                <w:u w:val="single"/>
              </w:rPr>
              <w:t>o</w:t>
            </w:r>
            <w:r w:rsidRPr="004C22EA">
              <w:rPr>
                <w:color w:val="000000"/>
                <w:sz w:val="20"/>
                <w:szCs w:val="20"/>
              </w:rPr>
              <w:t xml:space="preserve"> Positive</w:t>
            </w:r>
          </w:p>
        </w:tc>
        <w:tc>
          <w:tcPr>
            <w:tcW w:w="1866" w:type="dxa"/>
            <w:tcBorders>
              <w:top w:val="none" w:sz="0" w:space="0" w:color="auto"/>
              <w:left w:val="none" w:sz="0" w:space="0" w:color="auto"/>
              <w:bottom w:val="none" w:sz="0" w:space="0" w:color="auto"/>
              <w:right w:val="none" w:sz="0" w:space="0" w:color="auto"/>
            </w:tcBorders>
          </w:tcPr>
          <w:p w:rsidR="00C16898" w:rsidRPr="004C22EA" w:rsidRDefault="00C16898" w:rsidP="0026550A">
            <w:pPr>
              <w:snapToGrid w:val="0"/>
              <w:jc w:val="both"/>
              <w:cnfStyle w:val="100000000000"/>
              <w:rPr>
                <w:color w:val="000000"/>
                <w:sz w:val="20"/>
                <w:szCs w:val="20"/>
              </w:rPr>
            </w:pPr>
            <w:r w:rsidRPr="004C22EA">
              <w:rPr>
                <w:color w:val="000000"/>
                <w:sz w:val="20"/>
                <w:szCs w:val="20"/>
              </w:rPr>
              <w:t>Prevalence (%)</w:t>
            </w:r>
          </w:p>
        </w:tc>
        <w:tc>
          <w:tcPr>
            <w:tcW w:w="1473" w:type="dxa"/>
            <w:tcBorders>
              <w:top w:val="none" w:sz="0" w:space="0" w:color="auto"/>
              <w:left w:val="none" w:sz="0" w:space="0" w:color="auto"/>
              <w:bottom w:val="none" w:sz="0" w:space="0" w:color="auto"/>
              <w:right w:val="none" w:sz="0" w:space="0" w:color="auto"/>
            </w:tcBorders>
          </w:tcPr>
          <w:p w:rsidR="00C16898" w:rsidRPr="004C22EA" w:rsidRDefault="00C16898" w:rsidP="0026550A">
            <w:pPr>
              <w:snapToGrid w:val="0"/>
              <w:jc w:val="both"/>
              <w:cnfStyle w:val="100000000000"/>
              <w:rPr>
                <w:color w:val="000000"/>
                <w:sz w:val="20"/>
                <w:szCs w:val="20"/>
              </w:rPr>
            </w:pPr>
            <w:r w:rsidRPr="004C22EA">
              <w:rPr>
                <w:color w:val="000000"/>
                <w:sz w:val="20"/>
                <w:szCs w:val="20"/>
              </w:rPr>
              <w:t>p</w:t>
            </w:r>
            <w:r w:rsidRPr="004C22EA">
              <w:rPr>
                <w:b w:val="0"/>
                <w:color w:val="000000"/>
                <w:sz w:val="20"/>
                <w:szCs w:val="20"/>
              </w:rPr>
              <w:t>-</w:t>
            </w:r>
            <w:r w:rsidRPr="004C22EA">
              <w:rPr>
                <w:color w:val="000000"/>
                <w:sz w:val="20"/>
                <w:szCs w:val="20"/>
              </w:rPr>
              <w:t xml:space="preserve"> </w:t>
            </w:r>
            <w:r w:rsidRPr="004C22EA">
              <w:rPr>
                <w:b w:val="0"/>
                <w:color w:val="000000"/>
                <w:sz w:val="20"/>
                <w:szCs w:val="20"/>
              </w:rPr>
              <w:t>v</w:t>
            </w:r>
            <w:r w:rsidRPr="004C22EA">
              <w:rPr>
                <w:color w:val="000000"/>
                <w:sz w:val="20"/>
                <w:szCs w:val="20"/>
              </w:rPr>
              <w:t>alue</w:t>
            </w:r>
          </w:p>
        </w:tc>
        <w:tc>
          <w:tcPr>
            <w:tcW w:w="1514" w:type="dxa"/>
            <w:tcBorders>
              <w:top w:val="none" w:sz="0" w:space="0" w:color="auto"/>
              <w:left w:val="none" w:sz="0" w:space="0" w:color="auto"/>
              <w:bottom w:val="none" w:sz="0" w:space="0" w:color="auto"/>
              <w:right w:val="none" w:sz="0" w:space="0" w:color="auto"/>
            </w:tcBorders>
          </w:tcPr>
          <w:p w:rsidR="00C16898" w:rsidRPr="004C22EA" w:rsidRDefault="00C16898" w:rsidP="0026550A">
            <w:pPr>
              <w:snapToGrid w:val="0"/>
              <w:jc w:val="both"/>
              <w:cnfStyle w:val="100000000000"/>
              <w:rPr>
                <w:b w:val="0"/>
                <w:color w:val="000000"/>
                <w:sz w:val="20"/>
                <w:szCs w:val="20"/>
              </w:rPr>
            </w:pPr>
            <w:r w:rsidRPr="004C22EA">
              <w:rPr>
                <w:b w:val="0"/>
                <w:color w:val="000000"/>
                <w:sz w:val="20"/>
                <w:szCs w:val="20"/>
              </w:rPr>
              <w:sym w:font="Symbol" w:char="F063"/>
            </w:r>
            <w:r w:rsidRPr="004C22EA">
              <w:rPr>
                <w:b w:val="0"/>
                <w:color w:val="000000"/>
                <w:sz w:val="20"/>
                <w:szCs w:val="20"/>
              </w:rPr>
              <w:t>2</w:t>
            </w:r>
          </w:p>
        </w:tc>
      </w:tr>
      <w:tr w:rsidR="00C16898" w:rsidRPr="004C22EA" w:rsidTr="004C22EA">
        <w:trPr>
          <w:cnfStyle w:val="000000100000"/>
          <w:jc w:val="center"/>
        </w:trPr>
        <w:tc>
          <w:tcPr>
            <w:cnfStyle w:val="001000000000"/>
            <w:tcW w:w="1998" w:type="dxa"/>
            <w:tcBorders>
              <w:left w:val="none" w:sz="0" w:space="0" w:color="auto"/>
              <w:right w:val="none" w:sz="0" w:space="0" w:color="auto"/>
            </w:tcBorders>
          </w:tcPr>
          <w:p w:rsidR="00C16898" w:rsidRPr="004C22EA" w:rsidRDefault="00C16898" w:rsidP="0026550A">
            <w:pPr>
              <w:snapToGrid w:val="0"/>
              <w:jc w:val="both"/>
              <w:rPr>
                <w:color w:val="000000"/>
                <w:sz w:val="20"/>
                <w:szCs w:val="20"/>
              </w:rPr>
            </w:pPr>
            <w:r w:rsidRPr="004C22EA">
              <w:rPr>
                <w:color w:val="000000"/>
                <w:sz w:val="20"/>
                <w:szCs w:val="20"/>
              </w:rPr>
              <w:t>Head</w:t>
            </w:r>
          </w:p>
        </w:tc>
        <w:tc>
          <w:tcPr>
            <w:tcW w:w="810"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p>
        </w:tc>
        <w:tc>
          <w:tcPr>
            <w:tcW w:w="1633"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r w:rsidRPr="004C22EA">
              <w:rPr>
                <w:color w:val="000000"/>
                <w:sz w:val="20"/>
                <w:szCs w:val="20"/>
              </w:rPr>
              <w:t>14</w:t>
            </w:r>
          </w:p>
        </w:tc>
        <w:tc>
          <w:tcPr>
            <w:tcW w:w="1866"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r w:rsidRPr="004C22EA">
              <w:rPr>
                <w:color w:val="000000"/>
                <w:sz w:val="20"/>
                <w:szCs w:val="20"/>
              </w:rPr>
              <w:t>18.42</w:t>
            </w:r>
          </w:p>
        </w:tc>
        <w:tc>
          <w:tcPr>
            <w:tcW w:w="1473" w:type="dxa"/>
            <w:vMerge w:val="restart"/>
            <w:tcBorders>
              <w:left w:val="none" w:sz="0" w:space="0" w:color="auto"/>
              <w:right w:val="none" w:sz="0" w:space="0" w:color="auto"/>
            </w:tcBorders>
            <w:vAlign w:val="center"/>
          </w:tcPr>
          <w:p w:rsidR="00C16898" w:rsidRPr="004C22EA" w:rsidRDefault="00C16898" w:rsidP="0026550A">
            <w:pPr>
              <w:snapToGrid w:val="0"/>
              <w:jc w:val="both"/>
              <w:cnfStyle w:val="000000100000"/>
              <w:rPr>
                <w:color w:val="000000"/>
                <w:sz w:val="20"/>
                <w:szCs w:val="20"/>
              </w:rPr>
            </w:pPr>
            <w:r w:rsidRPr="004C22EA">
              <w:rPr>
                <w:color w:val="000000"/>
                <w:sz w:val="20"/>
                <w:szCs w:val="20"/>
              </w:rPr>
              <w:t>0.00001</w:t>
            </w:r>
          </w:p>
        </w:tc>
        <w:tc>
          <w:tcPr>
            <w:tcW w:w="1514" w:type="dxa"/>
            <w:vMerge w:val="restart"/>
            <w:tcBorders>
              <w:left w:val="none" w:sz="0" w:space="0" w:color="auto"/>
              <w:right w:val="none" w:sz="0" w:space="0" w:color="auto"/>
            </w:tcBorders>
            <w:vAlign w:val="center"/>
          </w:tcPr>
          <w:p w:rsidR="00C16898" w:rsidRPr="004C22EA" w:rsidRDefault="00C16898" w:rsidP="0026550A">
            <w:pPr>
              <w:snapToGrid w:val="0"/>
              <w:jc w:val="both"/>
              <w:cnfStyle w:val="000000100000"/>
              <w:rPr>
                <w:color w:val="000000"/>
                <w:sz w:val="20"/>
                <w:szCs w:val="20"/>
              </w:rPr>
            </w:pPr>
            <w:r w:rsidRPr="004C22EA">
              <w:rPr>
                <w:color w:val="000000"/>
                <w:sz w:val="20"/>
                <w:szCs w:val="20"/>
              </w:rPr>
              <w:t>41.690</w:t>
            </w:r>
          </w:p>
        </w:tc>
      </w:tr>
      <w:tr w:rsidR="00C16898" w:rsidRPr="004C22EA" w:rsidTr="004C22EA">
        <w:trPr>
          <w:jc w:val="center"/>
        </w:trPr>
        <w:tc>
          <w:tcPr>
            <w:cnfStyle w:val="001000000000"/>
            <w:tcW w:w="1998" w:type="dxa"/>
          </w:tcPr>
          <w:p w:rsidR="00C16898" w:rsidRPr="004C22EA" w:rsidRDefault="00C16898" w:rsidP="0026550A">
            <w:pPr>
              <w:snapToGrid w:val="0"/>
              <w:jc w:val="both"/>
              <w:rPr>
                <w:color w:val="000000"/>
                <w:sz w:val="20"/>
                <w:szCs w:val="20"/>
              </w:rPr>
            </w:pPr>
            <w:r w:rsidRPr="004C22EA">
              <w:rPr>
                <w:color w:val="000000"/>
                <w:sz w:val="20"/>
                <w:szCs w:val="20"/>
              </w:rPr>
              <w:t>Neck</w:t>
            </w:r>
          </w:p>
        </w:tc>
        <w:tc>
          <w:tcPr>
            <w:tcW w:w="810" w:type="dxa"/>
          </w:tcPr>
          <w:p w:rsidR="00C16898" w:rsidRPr="004C22EA" w:rsidRDefault="00C16898" w:rsidP="0026550A">
            <w:pPr>
              <w:snapToGrid w:val="0"/>
              <w:jc w:val="both"/>
              <w:cnfStyle w:val="000000000000"/>
              <w:rPr>
                <w:color w:val="000000"/>
                <w:sz w:val="20"/>
                <w:szCs w:val="20"/>
              </w:rPr>
            </w:pPr>
          </w:p>
        </w:tc>
        <w:tc>
          <w:tcPr>
            <w:tcW w:w="1633" w:type="dxa"/>
          </w:tcPr>
          <w:p w:rsidR="00C16898" w:rsidRPr="004C22EA" w:rsidRDefault="00C16898" w:rsidP="0026550A">
            <w:pPr>
              <w:snapToGrid w:val="0"/>
              <w:jc w:val="both"/>
              <w:cnfStyle w:val="000000000000"/>
              <w:rPr>
                <w:color w:val="000000"/>
                <w:sz w:val="20"/>
                <w:szCs w:val="20"/>
              </w:rPr>
            </w:pPr>
            <w:r w:rsidRPr="004C22EA">
              <w:rPr>
                <w:color w:val="000000"/>
                <w:sz w:val="20"/>
                <w:szCs w:val="20"/>
              </w:rPr>
              <w:t>33</w:t>
            </w:r>
          </w:p>
        </w:tc>
        <w:tc>
          <w:tcPr>
            <w:tcW w:w="1866" w:type="dxa"/>
          </w:tcPr>
          <w:p w:rsidR="00C16898" w:rsidRPr="004C22EA" w:rsidRDefault="00C16898" w:rsidP="0026550A">
            <w:pPr>
              <w:snapToGrid w:val="0"/>
              <w:jc w:val="both"/>
              <w:cnfStyle w:val="000000000000"/>
              <w:rPr>
                <w:color w:val="000000"/>
                <w:sz w:val="20"/>
                <w:szCs w:val="20"/>
              </w:rPr>
            </w:pPr>
            <w:r w:rsidRPr="004C22EA">
              <w:rPr>
                <w:color w:val="000000"/>
                <w:sz w:val="20"/>
                <w:szCs w:val="20"/>
              </w:rPr>
              <w:t>43.42</w:t>
            </w:r>
          </w:p>
        </w:tc>
        <w:tc>
          <w:tcPr>
            <w:tcW w:w="1473" w:type="dxa"/>
            <w:vMerge/>
          </w:tcPr>
          <w:p w:rsidR="00C16898" w:rsidRPr="004C22EA" w:rsidRDefault="00C16898" w:rsidP="0026550A">
            <w:pPr>
              <w:snapToGrid w:val="0"/>
              <w:jc w:val="both"/>
              <w:cnfStyle w:val="000000000000"/>
              <w:rPr>
                <w:b/>
                <w:i/>
                <w:color w:val="000000"/>
                <w:sz w:val="20"/>
                <w:szCs w:val="20"/>
              </w:rPr>
            </w:pPr>
          </w:p>
        </w:tc>
        <w:tc>
          <w:tcPr>
            <w:tcW w:w="1514" w:type="dxa"/>
            <w:vMerge/>
          </w:tcPr>
          <w:p w:rsidR="00C16898" w:rsidRPr="004C22EA" w:rsidRDefault="00C16898" w:rsidP="0026550A">
            <w:pPr>
              <w:snapToGrid w:val="0"/>
              <w:jc w:val="both"/>
              <w:cnfStyle w:val="000000000000"/>
              <w:rPr>
                <w:b/>
                <w:i/>
                <w:color w:val="000000"/>
                <w:sz w:val="20"/>
                <w:szCs w:val="20"/>
              </w:rPr>
            </w:pPr>
          </w:p>
        </w:tc>
      </w:tr>
      <w:tr w:rsidR="00C16898" w:rsidRPr="004C22EA" w:rsidTr="004C22EA">
        <w:trPr>
          <w:cnfStyle w:val="000000100000"/>
          <w:jc w:val="center"/>
        </w:trPr>
        <w:tc>
          <w:tcPr>
            <w:cnfStyle w:val="001000000000"/>
            <w:tcW w:w="1998" w:type="dxa"/>
            <w:tcBorders>
              <w:left w:val="none" w:sz="0" w:space="0" w:color="auto"/>
              <w:right w:val="none" w:sz="0" w:space="0" w:color="auto"/>
            </w:tcBorders>
          </w:tcPr>
          <w:p w:rsidR="00C16898" w:rsidRPr="004C22EA" w:rsidRDefault="00C16898" w:rsidP="0026550A">
            <w:pPr>
              <w:snapToGrid w:val="0"/>
              <w:jc w:val="both"/>
              <w:rPr>
                <w:color w:val="000000"/>
                <w:sz w:val="20"/>
                <w:szCs w:val="20"/>
              </w:rPr>
            </w:pPr>
            <w:r w:rsidRPr="004C22EA">
              <w:rPr>
                <w:color w:val="000000"/>
                <w:sz w:val="20"/>
                <w:szCs w:val="20"/>
              </w:rPr>
              <w:t>Shoulder</w:t>
            </w:r>
          </w:p>
        </w:tc>
        <w:tc>
          <w:tcPr>
            <w:tcW w:w="810"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p>
        </w:tc>
        <w:tc>
          <w:tcPr>
            <w:tcW w:w="1633"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r w:rsidRPr="004C22EA">
              <w:rPr>
                <w:color w:val="000000"/>
                <w:sz w:val="20"/>
                <w:szCs w:val="20"/>
              </w:rPr>
              <w:t>0</w:t>
            </w:r>
          </w:p>
        </w:tc>
        <w:tc>
          <w:tcPr>
            <w:tcW w:w="1866" w:type="dxa"/>
            <w:tcBorders>
              <w:left w:val="none" w:sz="0" w:space="0" w:color="auto"/>
              <w:right w:val="none" w:sz="0" w:space="0" w:color="auto"/>
            </w:tcBorders>
          </w:tcPr>
          <w:p w:rsidR="00C16898" w:rsidRPr="004C22EA" w:rsidRDefault="00C16898" w:rsidP="0026550A">
            <w:pPr>
              <w:snapToGrid w:val="0"/>
              <w:jc w:val="both"/>
              <w:cnfStyle w:val="000000100000"/>
              <w:rPr>
                <w:color w:val="000000"/>
                <w:sz w:val="20"/>
                <w:szCs w:val="20"/>
              </w:rPr>
            </w:pPr>
            <w:r w:rsidRPr="004C22EA">
              <w:rPr>
                <w:color w:val="000000"/>
                <w:sz w:val="20"/>
                <w:szCs w:val="20"/>
              </w:rPr>
              <w:t>0</w:t>
            </w:r>
          </w:p>
        </w:tc>
        <w:tc>
          <w:tcPr>
            <w:tcW w:w="1473" w:type="dxa"/>
            <w:vMerge/>
            <w:tcBorders>
              <w:left w:val="none" w:sz="0" w:space="0" w:color="auto"/>
              <w:right w:val="none" w:sz="0" w:space="0" w:color="auto"/>
            </w:tcBorders>
          </w:tcPr>
          <w:p w:rsidR="00C16898" w:rsidRPr="004C22EA" w:rsidRDefault="00C16898" w:rsidP="0026550A">
            <w:pPr>
              <w:snapToGrid w:val="0"/>
              <w:jc w:val="both"/>
              <w:cnfStyle w:val="000000100000"/>
              <w:rPr>
                <w:b/>
                <w:i/>
                <w:color w:val="000000"/>
                <w:sz w:val="20"/>
                <w:szCs w:val="20"/>
              </w:rPr>
            </w:pPr>
          </w:p>
        </w:tc>
        <w:tc>
          <w:tcPr>
            <w:tcW w:w="1514" w:type="dxa"/>
            <w:vMerge/>
            <w:tcBorders>
              <w:left w:val="none" w:sz="0" w:space="0" w:color="auto"/>
              <w:right w:val="none" w:sz="0" w:space="0" w:color="auto"/>
            </w:tcBorders>
          </w:tcPr>
          <w:p w:rsidR="00C16898" w:rsidRPr="004C22EA" w:rsidRDefault="00C16898" w:rsidP="0026550A">
            <w:pPr>
              <w:snapToGrid w:val="0"/>
              <w:jc w:val="both"/>
              <w:cnfStyle w:val="000000100000"/>
              <w:rPr>
                <w:b/>
                <w:i/>
                <w:color w:val="000000"/>
                <w:sz w:val="20"/>
                <w:szCs w:val="20"/>
              </w:rPr>
            </w:pPr>
          </w:p>
        </w:tc>
      </w:tr>
      <w:tr w:rsidR="00C16898" w:rsidRPr="004C22EA" w:rsidTr="004C22EA">
        <w:trPr>
          <w:jc w:val="center"/>
        </w:trPr>
        <w:tc>
          <w:tcPr>
            <w:cnfStyle w:val="001000000000"/>
            <w:tcW w:w="1998" w:type="dxa"/>
          </w:tcPr>
          <w:p w:rsidR="00C16898" w:rsidRPr="004C22EA" w:rsidRDefault="00C16898" w:rsidP="0026550A">
            <w:pPr>
              <w:snapToGrid w:val="0"/>
              <w:jc w:val="both"/>
              <w:rPr>
                <w:color w:val="000000"/>
                <w:sz w:val="20"/>
                <w:szCs w:val="20"/>
              </w:rPr>
            </w:pPr>
            <w:r w:rsidRPr="004C22EA">
              <w:rPr>
                <w:color w:val="000000"/>
                <w:sz w:val="20"/>
                <w:szCs w:val="20"/>
              </w:rPr>
              <w:t>Body</w:t>
            </w:r>
          </w:p>
        </w:tc>
        <w:tc>
          <w:tcPr>
            <w:tcW w:w="810" w:type="dxa"/>
          </w:tcPr>
          <w:p w:rsidR="00C16898" w:rsidRPr="004C22EA" w:rsidRDefault="00C16898" w:rsidP="0026550A">
            <w:pPr>
              <w:snapToGrid w:val="0"/>
              <w:jc w:val="both"/>
              <w:cnfStyle w:val="000000000000"/>
              <w:rPr>
                <w:color w:val="000000"/>
                <w:sz w:val="20"/>
                <w:szCs w:val="20"/>
              </w:rPr>
            </w:pPr>
          </w:p>
        </w:tc>
        <w:tc>
          <w:tcPr>
            <w:tcW w:w="1633" w:type="dxa"/>
          </w:tcPr>
          <w:p w:rsidR="00C16898" w:rsidRPr="004C22EA" w:rsidRDefault="00C16898" w:rsidP="0026550A">
            <w:pPr>
              <w:snapToGrid w:val="0"/>
              <w:jc w:val="both"/>
              <w:cnfStyle w:val="000000000000"/>
              <w:rPr>
                <w:color w:val="000000"/>
                <w:sz w:val="20"/>
                <w:szCs w:val="20"/>
              </w:rPr>
            </w:pPr>
            <w:r w:rsidRPr="004C22EA">
              <w:rPr>
                <w:color w:val="000000"/>
                <w:sz w:val="20"/>
                <w:szCs w:val="20"/>
              </w:rPr>
              <w:t>29</w:t>
            </w:r>
          </w:p>
        </w:tc>
        <w:tc>
          <w:tcPr>
            <w:tcW w:w="1866" w:type="dxa"/>
          </w:tcPr>
          <w:p w:rsidR="00C16898" w:rsidRPr="004C22EA" w:rsidRDefault="00C16898" w:rsidP="0026550A">
            <w:pPr>
              <w:snapToGrid w:val="0"/>
              <w:jc w:val="both"/>
              <w:cnfStyle w:val="000000000000"/>
              <w:rPr>
                <w:color w:val="000000"/>
                <w:sz w:val="20"/>
                <w:szCs w:val="20"/>
              </w:rPr>
            </w:pPr>
            <w:r w:rsidRPr="004C22EA">
              <w:rPr>
                <w:color w:val="000000"/>
                <w:sz w:val="20"/>
                <w:szCs w:val="20"/>
              </w:rPr>
              <w:t>38.16</w:t>
            </w:r>
          </w:p>
        </w:tc>
        <w:tc>
          <w:tcPr>
            <w:tcW w:w="1473" w:type="dxa"/>
            <w:vMerge/>
          </w:tcPr>
          <w:p w:rsidR="00C16898" w:rsidRPr="004C22EA" w:rsidRDefault="00C16898" w:rsidP="0026550A">
            <w:pPr>
              <w:snapToGrid w:val="0"/>
              <w:jc w:val="both"/>
              <w:cnfStyle w:val="000000000000"/>
              <w:rPr>
                <w:b/>
                <w:i/>
                <w:color w:val="000000"/>
                <w:sz w:val="20"/>
                <w:szCs w:val="20"/>
              </w:rPr>
            </w:pPr>
          </w:p>
        </w:tc>
        <w:tc>
          <w:tcPr>
            <w:tcW w:w="1514" w:type="dxa"/>
            <w:vMerge/>
          </w:tcPr>
          <w:p w:rsidR="00C16898" w:rsidRPr="004C22EA" w:rsidRDefault="00C16898" w:rsidP="0026550A">
            <w:pPr>
              <w:snapToGrid w:val="0"/>
              <w:jc w:val="both"/>
              <w:cnfStyle w:val="000000000000"/>
              <w:rPr>
                <w:b/>
                <w:i/>
                <w:color w:val="000000"/>
                <w:sz w:val="20"/>
                <w:szCs w:val="20"/>
              </w:rPr>
            </w:pPr>
          </w:p>
        </w:tc>
      </w:tr>
      <w:tr w:rsidR="00C16898" w:rsidRPr="004C22EA" w:rsidTr="004C22EA">
        <w:trPr>
          <w:cnfStyle w:val="000000100000"/>
          <w:jc w:val="center"/>
        </w:trPr>
        <w:tc>
          <w:tcPr>
            <w:cnfStyle w:val="001000000000"/>
            <w:tcW w:w="1998" w:type="dxa"/>
            <w:tcBorders>
              <w:left w:val="none" w:sz="0" w:space="0" w:color="auto"/>
              <w:right w:val="none" w:sz="0" w:space="0" w:color="auto"/>
            </w:tcBorders>
          </w:tcPr>
          <w:p w:rsidR="00C16898" w:rsidRPr="004C22EA" w:rsidRDefault="00C16898" w:rsidP="0026550A">
            <w:pPr>
              <w:snapToGrid w:val="0"/>
              <w:jc w:val="both"/>
              <w:rPr>
                <w:b w:val="0"/>
                <w:color w:val="000000"/>
                <w:sz w:val="20"/>
                <w:szCs w:val="20"/>
              </w:rPr>
            </w:pPr>
            <w:r w:rsidRPr="004C22EA">
              <w:rPr>
                <w:b w:val="0"/>
                <w:color w:val="000000"/>
                <w:sz w:val="20"/>
                <w:szCs w:val="20"/>
              </w:rPr>
              <w:t>total</w:t>
            </w:r>
          </w:p>
        </w:tc>
        <w:tc>
          <w:tcPr>
            <w:tcW w:w="810" w:type="dxa"/>
            <w:tcBorders>
              <w:left w:val="none" w:sz="0" w:space="0" w:color="auto"/>
              <w:right w:val="none" w:sz="0" w:space="0" w:color="auto"/>
            </w:tcBorders>
          </w:tcPr>
          <w:p w:rsidR="00C16898" w:rsidRPr="004C22EA" w:rsidRDefault="00C16898" w:rsidP="0026550A">
            <w:pPr>
              <w:snapToGrid w:val="0"/>
              <w:jc w:val="both"/>
              <w:cnfStyle w:val="000000100000"/>
              <w:rPr>
                <w:b/>
                <w:color w:val="000000"/>
                <w:sz w:val="20"/>
                <w:szCs w:val="20"/>
              </w:rPr>
            </w:pPr>
          </w:p>
        </w:tc>
        <w:tc>
          <w:tcPr>
            <w:tcW w:w="1633" w:type="dxa"/>
            <w:tcBorders>
              <w:left w:val="none" w:sz="0" w:space="0" w:color="auto"/>
              <w:right w:val="none" w:sz="0" w:space="0" w:color="auto"/>
            </w:tcBorders>
          </w:tcPr>
          <w:p w:rsidR="00C16898" w:rsidRPr="004C22EA" w:rsidRDefault="00C16898" w:rsidP="0026550A">
            <w:pPr>
              <w:snapToGrid w:val="0"/>
              <w:jc w:val="both"/>
              <w:cnfStyle w:val="000000100000"/>
              <w:rPr>
                <w:b/>
                <w:color w:val="000000"/>
                <w:sz w:val="20"/>
                <w:szCs w:val="20"/>
              </w:rPr>
            </w:pPr>
            <w:r w:rsidRPr="004C22EA">
              <w:rPr>
                <w:b/>
                <w:color w:val="000000"/>
                <w:sz w:val="20"/>
                <w:szCs w:val="20"/>
              </w:rPr>
              <w:t>76</w:t>
            </w:r>
          </w:p>
        </w:tc>
        <w:tc>
          <w:tcPr>
            <w:tcW w:w="1866" w:type="dxa"/>
            <w:tcBorders>
              <w:left w:val="none" w:sz="0" w:space="0" w:color="auto"/>
              <w:right w:val="none" w:sz="0" w:space="0" w:color="auto"/>
            </w:tcBorders>
          </w:tcPr>
          <w:p w:rsidR="00C16898" w:rsidRPr="004C22EA" w:rsidRDefault="00C16898" w:rsidP="0026550A">
            <w:pPr>
              <w:snapToGrid w:val="0"/>
              <w:jc w:val="both"/>
              <w:cnfStyle w:val="000000100000"/>
              <w:rPr>
                <w:b/>
                <w:color w:val="000000"/>
                <w:sz w:val="20"/>
                <w:szCs w:val="20"/>
              </w:rPr>
            </w:pPr>
          </w:p>
        </w:tc>
        <w:tc>
          <w:tcPr>
            <w:tcW w:w="1473" w:type="dxa"/>
            <w:vMerge/>
            <w:tcBorders>
              <w:left w:val="none" w:sz="0" w:space="0" w:color="auto"/>
              <w:right w:val="none" w:sz="0" w:space="0" w:color="auto"/>
            </w:tcBorders>
          </w:tcPr>
          <w:p w:rsidR="00C16898" w:rsidRPr="004C22EA" w:rsidRDefault="00C16898" w:rsidP="0026550A">
            <w:pPr>
              <w:snapToGrid w:val="0"/>
              <w:jc w:val="both"/>
              <w:cnfStyle w:val="000000100000"/>
              <w:rPr>
                <w:b/>
                <w:i/>
                <w:color w:val="000000"/>
                <w:sz w:val="20"/>
                <w:szCs w:val="20"/>
              </w:rPr>
            </w:pPr>
          </w:p>
        </w:tc>
        <w:tc>
          <w:tcPr>
            <w:tcW w:w="1514" w:type="dxa"/>
            <w:vMerge/>
            <w:tcBorders>
              <w:left w:val="none" w:sz="0" w:space="0" w:color="auto"/>
              <w:right w:val="none" w:sz="0" w:space="0" w:color="auto"/>
            </w:tcBorders>
          </w:tcPr>
          <w:p w:rsidR="00C16898" w:rsidRPr="004C22EA" w:rsidRDefault="00C16898" w:rsidP="0026550A">
            <w:pPr>
              <w:snapToGrid w:val="0"/>
              <w:jc w:val="both"/>
              <w:cnfStyle w:val="000000100000"/>
              <w:rPr>
                <w:b/>
                <w:i/>
                <w:color w:val="000000"/>
                <w:sz w:val="20"/>
                <w:szCs w:val="20"/>
              </w:rPr>
            </w:pPr>
          </w:p>
        </w:tc>
      </w:tr>
    </w:tbl>
    <w:p w:rsidR="00A61E8E" w:rsidRPr="004C22EA" w:rsidRDefault="00A61E8E" w:rsidP="0026550A">
      <w:pPr>
        <w:snapToGrid w:val="0"/>
        <w:ind w:firstLine="425"/>
        <w:jc w:val="both"/>
        <w:rPr>
          <w:b/>
          <w:i/>
          <w:sz w:val="20"/>
          <w:szCs w:val="20"/>
        </w:rPr>
      </w:pPr>
    </w:p>
    <w:p w:rsidR="008858A9" w:rsidRPr="004C22EA" w:rsidRDefault="008858A9" w:rsidP="0026550A">
      <w:pPr>
        <w:pStyle w:val="Heading1"/>
        <w:keepNext w:val="0"/>
        <w:snapToGrid w:val="0"/>
        <w:spacing w:before="0" w:after="0"/>
        <w:jc w:val="both"/>
        <w:rPr>
          <w:rFonts w:ascii="Times New Roman" w:hAnsi="Times New Roman" w:cs="Times New Roman"/>
          <w:kern w:val="0"/>
          <w:sz w:val="20"/>
          <w:szCs w:val="20"/>
        </w:rPr>
        <w:sectPr w:rsidR="008858A9" w:rsidRPr="004C22EA" w:rsidSect="007F425E">
          <w:type w:val="continuous"/>
          <w:pgSz w:w="12240" w:h="15840" w:code="1"/>
          <w:pgMar w:top="1440" w:right="1440" w:bottom="1440" w:left="1440" w:header="720" w:footer="720" w:gutter="0"/>
          <w:cols w:space="720"/>
          <w:docGrid w:linePitch="360"/>
        </w:sectPr>
      </w:pPr>
      <w:bookmarkStart w:id="10" w:name="_Toc232500049"/>
    </w:p>
    <w:p w:rsidR="00E0216B" w:rsidRPr="004C22EA" w:rsidRDefault="00E0216B" w:rsidP="0026550A">
      <w:pPr>
        <w:pStyle w:val="Heading1"/>
        <w:keepNext w:val="0"/>
        <w:snapToGrid w:val="0"/>
        <w:spacing w:before="0" w:after="0"/>
        <w:jc w:val="both"/>
        <w:rPr>
          <w:rFonts w:ascii="Times New Roman" w:hAnsi="Times New Roman" w:cs="Times New Roman"/>
          <w:kern w:val="0"/>
          <w:sz w:val="20"/>
          <w:szCs w:val="20"/>
        </w:rPr>
      </w:pPr>
      <w:r w:rsidRPr="004C22EA">
        <w:rPr>
          <w:rFonts w:ascii="Times New Roman" w:hAnsi="Times New Roman" w:cs="Times New Roman"/>
          <w:kern w:val="0"/>
          <w:sz w:val="20"/>
          <w:szCs w:val="20"/>
        </w:rPr>
        <w:lastRenderedPageBreak/>
        <w:t xml:space="preserve">4. </w:t>
      </w:r>
      <w:r w:rsidR="008858A9" w:rsidRPr="004C22EA">
        <w:rPr>
          <w:rFonts w:ascii="Times New Roman" w:hAnsi="Times New Roman" w:cs="Times New Roman"/>
          <w:kern w:val="0"/>
          <w:sz w:val="20"/>
          <w:szCs w:val="20"/>
        </w:rPr>
        <w:t>Discussions</w:t>
      </w:r>
      <w:bookmarkEnd w:id="10"/>
    </w:p>
    <w:p w:rsidR="00F25C64" w:rsidRPr="004C22EA" w:rsidRDefault="0001334C" w:rsidP="0026550A">
      <w:pPr>
        <w:snapToGrid w:val="0"/>
        <w:ind w:firstLine="425"/>
        <w:jc w:val="both"/>
        <w:rPr>
          <w:sz w:val="20"/>
          <w:szCs w:val="20"/>
        </w:rPr>
      </w:pPr>
      <w:r w:rsidRPr="004C22EA">
        <w:rPr>
          <w:sz w:val="20"/>
          <w:szCs w:val="20"/>
        </w:rPr>
        <w:t>The apparent prevalence of mange mite infestation was found to be 19.6% in Mekelle and 20.2% in Adigrat</w:t>
      </w:r>
      <w:r w:rsidR="00050E3A" w:rsidRPr="004C22EA">
        <w:rPr>
          <w:sz w:val="20"/>
          <w:szCs w:val="20"/>
        </w:rPr>
        <w:t>;</w:t>
      </w:r>
      <w:r w:rsidRPr="004C22EA">
        <w:rPr>
          <w:sz w:val="20"/>
          <w:szCs w:val="20"/>
        </w:rPr>
        <w:t xml:space="preserve"> whereas its overall prevalence in the study areas was 19.8%.</w:t>
      </w:r>
      <w:r w:rsidR="004C22EA">
        <w:rPr>
          <w:sz w:val="20"/>
          <w:szCs w:val="20"/>
        </w:rPr>
        <w:t xml:space="preserve"> </w:t>
      </w:r>
      <w:r w:rsidR="003776F7" w:rsidRPr="004C22EA">
        <w:rPr>
          <w:sz w:val="20"/>
          <w:szCs w:val="20"/>
        </w:rPr>
        <w:t xml:space="preserve">Relatively compared, </w:t>
      </w:r>
      <w:r w:rsidR="00FC11C4" w:rsidRPr="004C22EA">
        <w:rPr>
          <w:i/>
          <w:sz w:val="20"/>
          <w:szCs w:val="20"/>
        </w:rPr>
        <w:t>Demodex bovis (</w:t>
      </w:r>
      <w:r w:rsidR="007509B3" w:rsidRPr="004C22EA">
        <w:rPr>
          <w:sz w:val="20"/>
          <w:szCs w:val="20"/>
        </w:rPr>
        <w:t>80.3</w:t>
      </w:r>
      <w:r w:rsidR="00FC11C4" w:rsidRPr="004C22EA">
        <w:rPr>
          <w:sz w:val="20"/>
          <w:szCs w:val="20"/>
        </w:rPr>
        <w:t>%</w:t>
      </w:r>
      <w:r w:rsidR="00FC11C4" w:rsidRPr="004C22EA">
        <w:rPr>
          <w:i/>
          <w:sz w:val="20"/>
          <w:szCs w:val="20"/>
        </w:rPr>
        <w:t>)</w:t>
      </w:r>
      <w:r w:rsidR="00FC11C4" w:rsidRPr="004C22EA">
        <w:rPr>
          <w:sz w:val="20"/>
          <w:szCs w:val="20"/>
        </w:rPr>
        <w:t xml:space="preserve"> and </w:t>
      </w:r>
      <w:r w:rsidR="00FC11C4" w:rsidRPr="004C22EA">
        <w:rPr>
          <w:i/>
          <w:sz w:val="20"/>
          <w:szCs w:val="20"/>
        </w:rPr>
        <w:t>Sarcoptes scabies var bovis (</w:t>
      </w:r>
      <w:r w:rsidR="007509B3" w:rsidRPr="004C22EA">
        <w:rPr>
          <w:sz w:val="20"/>
          <w:szCs w:val="20"/>
        </w:rPr>
        <w:t>19.7</w:t>
      </w:r>
      <w:r w:rsidR="00FC11C4" w:rsidRPr="004C22EA">
        <w:rPr>
          <w:sz w:val="20"/>
          <w:szCs w:val="20"/>
        </w:rPr>
        <w:t>%</w:t>
      </w:r>
      <w:r w:rsidR="00FC11C4" w:rsidRPr="004C22EA">
        <w:rPr>
          <w:i/>
          <w:sz w:val="20"/>
          <w:szCs w:val="20"/>
        </w:rPr>
        <w:t>)</w:t>
      </w:r>
      <w:r w:rsidR="00FC11C4" w:rsidRPr="004C22EA">
        <w:rPr>
          <w:sz w:val="20"/>
          <w:szCs w:val="20"/>
        </w:rPr>
        <w:t xml:space="preserve"> were the mite species detected in the study areas. The distribution of mange mite was observed statistically different between Mekelle and Adigrat districts. </w:t>
      </w:r>
      <w:r w:rsidR="000D2ACA" w:rsidRPr="004C22EA">
        <w:rPr>
          <w:sz w:val="20"/>
          <w:szCs w:val="20"/>
        </w:rPr>
        <w:t>Similar reports were generated in different parts of the country, Ethiopia.</w:t>
      </w:r>
      <w:r w:rsidR="004C22EA">
        <w:rPr>
          <w:sz w:val="20"/>
          <w:szCs w:val="20"/>
        </w:rPr>
        <w:t xml:space="preserve"> </w:t>
      </w:r>
      <w:r w:rsidR="000D2ACA" w:rsidRPr="004C22EA">
        <w:rPr>
          <w:sz w:val="20"/>
          <w:szCs w:val="20"/>
        </w:rPr>
        <w:t xml:space="preserve">Fentahun, </w:t>
      </w:r>
      <w:r w:rsidR="000D2ACA" w:rsidRPr="004C22EA">
        <w:rPr>
          <w:i/>
          <w:sz w:val="20"/>
          <w:szCs w:val="20"/>
        </w:rPr>
        <w:t>et al.</w:t>
      </w:r>
      <w:r w:rsidR="000D2ACA" w:rsidRPr="004C22EA">
        <w:rPr>
          <w:sz w:val="20"/>
          <w:szCs w:val="20"/>
        </w:rPr>
        <w:t xml:space="preserve"> (2012) reported </w:t>
      </w:r>
      <w:r w:rsidR="0087738B" w:rsidRPr="004C22EA">
        <w:rPr>
          <w:sz w:val="20"/>
          <w:szCs w:val="20"/>
        </w:rPr>
        <w:t xml:space="preserve">an overall </w:t>
      </w:r>
      <w:r w:rsidR="000D2ACA" w:rsidRPr="004C22EA">
        <w:rPr>
          <w:sz w:val="20"/>
          <w:szCs w:val="20"/>
        </w:rPr>
        <w:t>mange mite’s prevalence of 13.79</w:t>
      </w:r>
      <w:r w:rsidR="00953ACC" w:rsidRPr="004C22EA">
        <w:rPr>
          <w:sz w:val="20"/>
          <w:szCs w:val="20"/>
        </w:rPr>
        <w:t>% which</w:t>
      </w:r>
      <w:r w:rsidR="00872FD3" w:rsidRPr="004C22EA">
        <w:rPr>
          <w:sz w:val="20"/>
          <w:szCs w:val="20"/>
        </w:rPr>
        <w:t xml:space="preserve"> is slightly similar to the present </w:t>
      </w:r>
      <w:r w:rsidR="00953ACC" w:rsidRPr="004C22EA">
        <w:rPr>
          <w:sz w:val="20"/>
          <w:szCs w:val="20"/>
        </w:rPr>
        <w:t>result while</w:t>
      </w:r>
      <w:r w:rsidR="000D2ACA" w:rsidRPr="004C22EA">
        <w:rPr>
          <w:sz w:val="20"/>
          <w:szCs w:val="20"/>
        </w:rPr>
        <w:t xml:space="preserve"> studying cattle mange mites at Gondor town.</w:t>
      </w:r>
      <w:r w:rsidR="004C22EA">
        <w:rPr>
          <w:sz w:val="20"/>
          <w:szCs w:val="20"/>
        </w:rPr>
        <w:t xml:space="preserve"> </w:t>
      </w:r>
      <w:r w:rsidR="009048D1" w:rsidRPr="004C22EA">
        <w:rPr>
          <w:sz w:val="20"/>
          <w:szCs w:val="20"/>
        </w:rPr>
        <w:t>He</w:t>
      </w:r>
      <w:r w:rsidR="0087738B" w:rsidRPr="004C22EA">
        <w:rPr>
          <w:sz w:val="20"/>
          <w:szCs w:val="20"/>
        </w:rPr>
        <w:t xml:space="preserve"> </w:t>
      </w:r>
      <w:r w:rsidR="009048D1" w:rsidRPr="004C22EA">
        <w:rPr>
          <w:sz w:val="20"/>
          <w:szCs w:val="20"/>
        </w:rPr>
        <w:t xml:space="preserve">also </w:t>
      </w:r>
      <w:r w:rsidR="00BC4BC4" w:rsidRPr="004C22EA">
        <w:rPr>
          <w:sz w:val="20"/>
          <w:szCs w:val="20"/>
        </w:rPr>
        <w:t xml:space="preserve">indicated </w:t>
      </w:r>
      <w:r w:rsidR="00872FD3" w:rsidRPr="004C22EA">
        <w:rPr>
          <w:sz w:val="20"/>
          <w:szCs w:val="20"/>
        </w:rPr>
        <w:t xml:space="preserve">higher </w:t>
      </w:r>
      <w:r w:rsidR="0087738B" w:rsidRPr="004C22EA">
        <w:rPr>
          <w:i/>
          <w:sz w:val="20"/>
          <w:szCs w:val="20"/>
        </w:rPr>
        <w:t>Demodex</w:t>
      </w:r>
      <w:r w:rsidR="0087738B" w:rsidRPr="004C22EA">
        <w:rPr>
          <w:sz w:val="20"/>
          <w:szCs w:val="20"/>
        </w:rPr>
        <w:t xml:space="preserve"> </w:t>
      </w:r>
      <w:r w:rsidR="00872FD3" w:rsidRPr="004C22EA">
        <w:rPr>
          <w:sz w:val="20"/>
          <w:szCs w:val="20"/>
        </w:rPr>
        <w:t>(68.3%</w:t>
      </w:r>
      <w:r w:rsidR="00953ACC" w:rsidRPr="004C22EA">
        <w:rPr>
          <w:sz w:val="20"/>
          <w:szCs w:val="20"/>
        </w:rPr>
        <w:t xml:space="preserve">) </w:t>
      </w:r>
      <w:r w:rsidR="009048D1" w:rsidRPr="004C22EA">
        <w:rPr>
          <w:sz w:val="20"/>
          <w:szCs w:val="20"/>
        </w:rPr>
        <w:t xml:space="preserve">prevalence than </w:t>
      </w:r>
      <w:r w:rsidR="0087738B" w:rsidRPr="004C22EA">
        <w:rPr>
          <w:sz w:val="20"/>
          <w:szCs w:val="20"/>
        </w:rPr>
        <w:t xml:space="preserve">sarcoptic </w:t>
      </w:r>
      <w:r w:rsidR="00872FD3" w:rsidRPr="004C22EA">
        <w:rPr>
          <w:sz w:val="20"/>
          <w:szCs w:val="20"/>
        </w:rPr>
        <w:t xml:space="preserve">(31.7%) </w:t>
      </w:r>
      <w:r w:rsidR="0087738B" w:rsidRPr="004C22EA">
        <w:rPr>
          <w:sz w:val="20"/>
          <w:szCs w:val="20"/>
        </w:rPr>
        <w:t xml:space="preserve">types of mange </w:t>
      </w:r>
      <w:r w:rsidR="00953ACC" w:rsidRPr="004C22EA">
        <w:rPr>
          <w:sz w:val="20"/>
          <w:szCs w:val="20"/>
        </w:rPr>
        <w:t>mite’s</w:t>
      </w:r>
      <w:r w:rsidR="00872FD3" w:rsidRPr="004C22EA">
        <w:rPr>
          <w:sz w:val="20"/>
          <w:szCs w:val="20"/>
        </w:rPr>
        <w:t xml:space="preserve"> distribution</w:t>
      </w:r>
      <w:r w:rsidR="009048D1" w:rsidRPr="004C22EA">
        <w:rPr>
          <w:sz w:val="20"/>
          <w:szCs w:val="20"/>
        </w:rPr>
        <w:t xml:space="preserve"> as seen in </w:t>
      </w:r>
      <w:r w:rsidR="00872FD3" w:rsidRPr="004C22EA">
        <w:rPr>
          <w:sz w:val="20"/>
          <w:szCs w:val="20"/>
        </w:rPr>
        <w:t>the current finding</w:t>
      </w:r>
      <w:r w:rsidR="0087738B" w:rsidRPr="004C22EA">
        <w:rPr>
          <w:sz w:val="20"/>
          <w:szCs w:val="20"/>
        </w:rPr>
        <w:t>.</w:t>
      </w:r>
    </w:p>
    <w:p w:rsidR="00E6037A" w:rsidRPr="004C22EA" w:rsidRDefault="00D3525C" w:rsidP="0026550A">
      <w:pPr>
        <w:autoSpaceDE w:val="0"/>
        <w:autoSpaceDN w:val="0"/>
        <w:adjustRightInd w:val="0"/>
        <w:snapToGrid w:val="0"/>
        <w:ind w:firstLine="425"/>
        <w:jc w:val="both"/>
        <w:rPr>
          <w:rFonts w:eastAsiaTheme="minorHAnsi"/>
          <w:bCs/>
          <w:sz w:val="20"/>
          <w:szCs w:val="20"/>
        </w:rPr>
      </w:pPr>
      <w:r w:rsidRPr="004C22EA">
        <w:rPr>
          <w:sz w:val="20"/>
          <w:szCs w:val="20"/>
        </w:rPr>
        <w:t xml:space="preserve">During this study, the association of cattle mange mite distribution with body conditions, age groups, sex categories, breeds and management systems were tried to be assessed. </w:t>
      </w:r>
      <w:r w:rsidR="004D4C4F" w:rsidRPr="004C22EA">
        <w:rPr>
          <w:sz w:val="20"/>
          <w:szCs w:val="20"/>
        </w:rPr>
        <w:t xml:space="preserve">The finding of the study revealed that age groups, sex categories, breeds and management systems were not found statistically significant risk </w:t>
      </w:r>
      <w:r w:rsidR="00106D71" w:rsidRPr="004C22EA">
        <w:rPr>
          <w:sz w:val="20"/>
          <w:szCs w:val="20"/>
        </w:rPr>
        <w:t xml:space="preserve">factors. </w:t>
      </w:r>
      <w:r w:rsidR="004D4C4F" w:rsidRPr="004C22EA">
        <w:rPr>
          <w:sz w:val="20"/>
          <w:szCs w:val="20"/>
        </w:rPr>
        <w:t xml:space="preserve">These findings </w:t>
      </w:r>
      <w:r w:rsidR="00854BDC" w:rsidRPr="004C22EA">
        <w:rPr>
          <w:sz w:val="20"/>
          <w:szCs w:val="20"/>
        </w:rPr>
        <w:t>were</w:t>
      </w:r>
      <w:r w:rsidR="004D4C4F" w:rsidRPr="004C22EA">
        <w:rPr>
          <w:sz w:val="20"/>
          <w:szCs w:val="20"/>
        </w:rPr>
        <w:t xml:space="preserve"> similar with works of Fentahun, </w:t>
      </w:r>
      <w:r w:rsidR="004D4C4F" w:rsidRPr="004C22EA">
        <w:rPr>
          <w:i/>
          <w:sz w:val="20"/>
          <w:szCs w:val="20"/>
        </w:rPr>
        <w:t>et al.</w:t>
      </w:r>
      <w:r w:rsidR="004D4C4F" w:rsidRPr="004C22EA">
        <w:rPr>
          <w:sz w:val="20"/>
          <w:szCs w:val="20"/>
        </w:rPr>
        <w:t xml:space="preserve"> (2012) who identified these parameters to </w:t>
      </w:r>
      <w:r w:rsidR="00854BDC" w:rsidRPr="004C22EA">
        <w:rPr>
          <w:sz w:val="20"/>
          <w:szCs w:val="20"/>
        </w:rPr>
        <w:t xml:space="preserve">be </w:t>
      </w:r>
      <w:r w:rsidR="004D4C4F" w:rsidRPr="004C22EA">
        <w:rPr>
          <w:sz w:val="20"/>
          <w:szCs w:val="20"/>
        </w:rPr>
        <w:t>non-significant during his study.</w:t>
      </w:r>
      <w:r w:rsidR="00854BDC" w:rsidRPr="004C22EA">
        <w:rPr>
          <w:sz w:val="20"/>
          <w:szCs w:val="20"/>
        </w:rPr>
        <w:t xml:space="preserve"> On the other hand, the present work demonstrated body condition to be significant risk factor.</w:t>
      </w:r>
      <w:r w:rsidR="004C22EA">
        <w:rPr>
          <w:sz w:val="20"/>
          <w:szCs w:val="20"/>
        </w:rPr>
        <w:t xml:space="preserve"> </w:t>
      </w:r>
      <w:r w:rsidR="00854BDC" w:rsidRPr="004C22EA">
        <w:rPr>
          <w:sz w:val="20"/>
          <w:szCs w:val="20"/>
        </w:rPr>
        <w:t xml:space="preserve">Similarly, </w:t>
      </w:r>
      <w:r w:rsidR="003776F7" w:rsidRPr="004C22EA">
        <w:rPr>
          <w:sz w:val="20"/>
          <w:szCs w:val="20"/>
        </w:rPr>
        <w:t xml:space="preserve">Meseret </w:t>
      </w:r>
      <w:r w:rsidR="003776F7" w:rsidRPr="004C22EA">
        <w:rPr>
          <w:i/>
          <w:sz w:val="20"/>
          <w:szCs w:val="20"/>
        </w:rPr>
        <w:t>et</w:t>
      </w:r>
      <w:r w:rsidR="003776F7" w:rsidRPr="004C22EA">
        <w:rPr>
          <w:sz w:val="20"/>
          <w:szCs w:val="20"/>
        </w:rPr>
        <w:t xml:space="preserve"> </w:t>
      </w:r>
      <w:r w:rsidR="003776F7" w:rsidRPr="004C22EA">
        <w:rPr>
          <w:i/>
          <w:sz w:val="20"/>
          <w:szCs w:val="20"/>
        </w:rPr>
        <w:t>al</w:t>
      </w:r>
      <w:r w:rsidR="00854BDC" w:rsidRPr="004C22EA">
        <w:rPr>
          <w:sz w:val="20"/>
          <w:szCs w:val="20"/>
        </w:rPr>
        <w:t>.</w:t>
      </w:r>
      <w:r w:rsidR="003776F7" w:rsidRPr="004C22EA">
        <w:rPr>
          <w:sz w:val="20"/>
          <w:szCs w:val="20"/>
        </w:rPr>
        <w:t xml:space="preserve"> (2014) </w:t>
      </w:r>
      <w:r w:rsidR="00854BDC" w:rsidRPr="004C22EA">
        <w:rPr>
          <w:sz w:val="20"/>
          <w:szCs w:val="20"/>
        </w:rPr>
        <w:t>showed that body condition was significant risk factor (</w:t>
      </w:r>
      <w:r w:rsidR="00854BDC" w:rsidRPr="004C22EA">
        <w:rPr>
          <w:rFonts w:eastAsia="TimesNewRoman"/>
          <w:sz w:val="20"/>
          <w:szCs w:val="20"/>
        </w:rPr>
        <w:t>χ2=7.7; P=0.021</w:t>
      </w:r>
      <w:r w:rsidR="00854BDC" w:rsidRPr="004C22EA">
        <w:rPr>
          <w:sz w:val="20"/>
          <w:szCs w:val="20"/>
        </w:rPr>
        <w:t xml:space="preserve">), though, his report was in disagreement with the current finding in that age was </w:t>
      </w:r>
      <w:r w:rsidR="00E24B49" w:rsidRPr="004C22EA">
        <w:rPr>
          <w:sz w:val="20"/>
          <w:szCs w:val="20"/>
        </w:rPr>
        <w:t>found significant</w:t>
      </w:r>
      <w:r w:rsidR="00854BDC" w:rsidRPr="004C22EA">
        <w:rPr>
          <w:sz w:val="20"/>
          <w:szCs w:val="20"/>
        </w:rPr>
        <w:t xml:space="preserve"> risk.</w:t>
      </w:r>
      <w:r w:rsidR="004C22EA">
        <w:rPr>
          <w:sz w:val="20"/>
          <w:szCs w:val="20"/>
        </w:rPr>
        <w:t xml:space="preserve"> </w:t>
      </w:r>
      <w:r w:rsidR="00E6037A" w:rsidRPr="004C22EA">
        <w:rPr>
          <w:sz w:val="20"/>
          <w:szCs w:val="20"/>
        </w:rPr>
        <w:t xml:space="preserve">Also, Semie </w:t>
      </w:r>
      <w:r w:rsidR="00E6037A" w:rsidRPr="004C22EA">
        <w:rPr>
          <w:i/>
          <w:sz w:val="20"/>
          <w:szCs w:val="20"/>
        </w:rPr>
        <w:t>et al.</w:t>
      </w:r>
      <w:r w:rsidR="00E6037A" w:rsidRPr="004C22EA">
        <w:rPr>
          <w:sz w:val="20"/>
          <w:szCs w:val="20"/>
        </w:rPr>
        <w:t xml:space="preserve"> (2015) </w:t>
      </w:r>
      <w:r w:rsidR="00E355A9" w:rsidRPr="004C22EA">
        <w:rPr>
          <w:sz w:val="20"/>
          <w:szCs w:val="20"/>
        </w:rPr>
        <w:t xml:space="preserve">discovered slightly lower overall prevalence of mange mites which was 10.7% while surveying the </w:t>
      </w:r>
      <w:r w:rsidR="00E355A9" w:rsidRPr="004C22EA">
        <w:rPr>
          <w:rFonts w:eastAsiaTheme="minorHAnsi"/>
          <w:bCs/>
          <w:sz w:val="20"/>
          <w:szCs w:val="20"/>
        </w:rPr>
        <w:t xml:space="preserve">prevalence of mange mite infestation on cattle in </w:t>
      </w:r>
      <w:r w:rsidR="00E6037A" w:rsidRPr="004C22EA">
        <w:rPr>
          <w:rFonts w:eastAsiaTheme="minorHAnsi"/>
          <w:bCs/>
          <w:sz w:val="20"/>
          <w:szCs w:val="20"/>
        </w:rPr>
        <w:t>Achefer District, Northwest Ethiopia</w:t>
      </w:r>
      <w:r w:rsidR="00E355A9" w:rsidRPr="004C22EA">
        <w:rPr>
          <w:rFonts w:eastAsiaTheme="minorHAnsi"/>
          <w:bCs/>
          <w:sz w:val="20"/>
          <w:szCs w:val="20"/>
        </w:rPr>
        <w:t>. He further pointed out Demodex to be the most dominant (61.0%) mite species followed by psoroptes</w:t>
      </w:r>
      <w:r w:rsidR="004C22EA">
        <w:rPr>
          <w:rFonts w:eastAsiaTheme="minorEastAsia" w:hint="eastAsia"/>
          <w:bCs/>
          <w:sz w:val="20"/>
          <w:szCs w:val="20"/>
          <w:lang w:eastAsia="zh-CN"/>
        </w:rPr>
        <w:t xml:space="preserve"> </w:t>
      </w:r>
      <w:r w:rsidR="00E355A9" w:rsidRPr="004C22EA">
        <w:rPr>
          <w:rFonts w:eastAsiaTheme="minorHAnsi"/>
          <w:bCs/>
          <w:sz w:val="20"/>
          <w:szCs w:val="20"/>
        </w:rPr>
        <w:t>(24.6%) and Sarcoptes (14.4%) as revealed in the present result.</w:t>
      </w:r>
    </w:p>
    <w:p w:rsidR="00B34801" w:rsidRPr="004C22EA" w:rsidRDefault="003E2A25" w:rsidP="0026550A">
      <w:pPr>
        <w:snapToGrid w:val="0"/>
        <w:ind w:firstLine="425"/>
        <w:jc w:val="both"/>
        <w:rPr>
          <w:rFonts w:eastAsiaTheme="minorHAnsi"/>
          <w:sz w:val="20"/>
          <w:szCs w:val="20"/>
        </w:rPr>
      </w:pPr>
      <w:r w:rsidRPr="004C22EA">
        <w:rPr>
          <w:color w:val="000000" w:themeColor="text1"/>
          <w:sz w:val="20"/>
          <w:szCs w:val="20"/>
        </w:rPr>
        <w:t xml:space="preserve">Regarding mite’s predilection </w:t>
      </w:r>
      <w:r w:rsidR="00206022" w:rsidRPr="004C22EA">
        <w:rPr>
          <w:color w:val="000000" w:themeColor="text1"/>
          <w:sz w:val="20"/>
          <w:szCs w:val="20"/>
        </w:rPr>
        <w:t>sites, the highest prevalence of mange mite infestation were</w:t>
      </w:r>
      <w:r w:rsidR="00F42E11" w:rsidRPr="004C22EA">
        <w:rPr>
          <w:color w:val="000000" w:themeColor="text1"/>
          <w:sz w:val="20"/>
          <w:szCs w:val="20"/>
        </w:rPr>
        <w:t xml:space="preserve"> obtained on the </w:t>
      </w:r>
      <w:r w:rsidR="001B6048" w:rsidRPr="004C22EA">
        <w:rPr>
          <w:color w:val="000000" w:themeColor="text1"/>
          <w:sz w:val="20"/>
          <w:szCs w:val="20"/>
        </w:rPr>
        <w:t>neck (43.42</w:t>
      </w:r>
      <w:r w:rsidR="00F42E11" w:rsidRPr="004C22EA">
        <w:rPr>
          <w:color w:val="000000" w:themeColor="text1"/>
          <w:sz w:val="20"/>
          <w:szCs w:val="20"/>
        </w:rPr>
        <w:t xml:space="preserve"> %), </w:t>
      </w:r>
      <w:r w:rsidR="001B6048" w:rsidRPr="004C22EA">
        <w:rPr>
          <w:color w:val="000000" w:themeColor="text1"/>
          <w:sz w:val="20"/>
          <w:szCs w:val="20"/>
        </w:rPr>
        <w:t xml:space="preserve">followed by </w:t>
      </w:r>
      <w:r w:rsidR="00503A60" w:rsidRPr="004C22EA">
        <w:rPr>
          <w:color w:val="000000" w:themeColor="text1"/>
          <w:sz w:val="20"/>
          <w:szCs w:val="20"/>
        </w:rPr>
        <w:t>body (38.16%)</w:t>
      </w:r>
      <w:r w:rsidR="001B6048" w:rsidRPr="004C22EA">
        <w:rPr>
          <w:color w:val="000000" w:themeColor="text1"/>
          <w:sz w:val="20"/>
          <w:szCs w:val="20"/>
        </w:rPr>
        <w:t xml:space="preserve"> </w:t>
      </w:r>
      <w:r w:rsidR="00503A60" w:rsidRPr="004C22EA">
        <w:rPr>
          <w:color w:val="000000" w:themeColor="text1"/>
          <w:sz w:val="20"/>
          <w:szCs w:val="20"/>
        </w:rPr>
        <w:t xml:space="preserve">and </w:t>
      </w:r>
      <w:r w:rsidR="001B6048" w:rsidRPr="004C22EA">
        <w:rPr>
          <w:color w:val="000000" w:themeColor="text1"/>
          <w:sz w:val="20"/>
          <w:szCs w:val="20"/>
        </w:rPr>
        <w:t>head (18.42%)</w:t>
      </w:r>
      <w:r w:rsidR="00503A60" w:rsidRPr="004C22EA">
        <w:rPr>
          <w:color w:val="000000" w:themeColor="text1"/>
          <w:sz w:val="20"/>
          <w:szCs w:val="20"/>
        </w:rPr>
        <w:t>, however, the shoulder was found non- infested</w:t>
      </w:r>
      <w:r w:rsidR="001B6048" w:rsidRPr="004C22EA">
        <w:rPr>
          <w:color w:val="000000" w:themeColor="text1"/>
          <w:sz w:val="20"/>
          <w:szCs w:val="20"/>
        </w:rPr>
        <w:t>.</w:t>
      </w:r>
      <w:r w:rsidR="004C22EA">
        <w:rPr>
          <w:color w:val="000000" w:themeColor="text1"/>
          <w:sz w:val="20"/>
          <w:szCs w:val="20"/>
        </w:rPr>
        <w:t xml:space="preserve"> </w:t>
      </w:r>
      <w:r w:rsidR="00206022" w:rsidRPr="004C22EA">
        <w:rPr>
          <w:color w:val="000000" w:themeColor="text1"/>
          <w:sz w:val="20"/>
          <w:szCs w:val="20"/>
        </w:rPr>
        <w:t xml:space="preserve">This finding was in consistent with the </w:t>
      </w:r>
      <w:r w:rsidR="00206022" w:rsidRPr="004C22EA">
        <w:rPr>
          <w:color w:val="000000" w:themeColor="text1"/>
          <w:sz w:val="20"/>
          <w:szCs w:val="20"/>
        </w:rPr>
        <w:lastRenderedPageBreak/>
        <w:t xml:space="preserve">report of </w:t>
      </w:r>
      <w:r w:rsidR="003524D8" w:rsidRPr="004C22EA">
        <w:rPr>
          <w:color w:val="000000" w:themeColor="text1"/>
          <w:sz w:val="20"/>
          <w:szCs w:val="20"/>
        </w:rPr>
        <w:t>Urquhart (1996)</w:t>
      </w:r>
      <w:r w:rsidR="00F42E11" w:rsidRPr="004C22EA">
        <w:rPr>
          <w:color w:val="000000" w:themeColor="text1"/>
          <w:sz w:val="20"/>
          <w:szCs w:val="20"/>
        </w:rPr>
        <w:t xml:space="preserve"> </w:t>
      </w:r>
      <w:r w:rsidR="00206022" w:rsidRPr="004C22EA">
        <w:rPr>
          <w:color w:val="000000" w:themeColor="text1"/>
          <w:sz w:val="20"/>
          <w:szCs w:val="20"/>
        </w:rPr>
        <w:t xml:space="preserve">who </w:t>
      </w:r>
      <w:r w:rsidR="003524D8" w:rsidRPr="004C22EA">
        <w:rPr>
          <w:color w:val="000000" w:themeColor="text1"/>
          <w:sz w:val="20"/>
          <w:szCs w:val="20"/>
        </w:rPr>
        <w:t xml:space="preserve">indicated that the sparsely haired parts of the host </w:t>
      </w:r>
      <w:r w:rsidR="00E6454B" w:rsidRPr="004C22EA">
        <w:rPr>
          <w:color w:val="000000" w:themeColor="text1"/>
          <w:sz w:val="20"/>
          <w:szCs w:val="20"/>
        </w:rPr>
        <w:t xml:space="preserve">such as neck and head </w:t>
      </w:r>
      <w:r w:rsidR="003524D8" w:rsidRPr="004C22EA">
        <w:rPr>
          <w:color w:val="000000" w:themeColor="text1"/>
          <w:sz w:val="20"/>
          <w:szCs w:val="20"/>
        </w:rPr>
        <w:t>to be the commonest site of infestation.</w:t>
      </w:r>
    </w:p>
    <w:p w:rsidR="00B34801" w:rsidRPr="004C22EA" w:rsidRDefault="00B34801" w:rsidP="0026550A">
      <w:pPr>
        <w:snapToGrid w:val="0"/>
        <w:jc w:val="both"/>
        <w:rPr>
          <w:rFonts w:eastAsiaTheme="minorHAnsi"/>
          <w:sz w:val="20"/>
          <w:szCs w:val="20"/>
        </w:rPr>
      </w:pPr>
    </w:p>
    <w:p w:rsidR="00E0216B" w:rsidRPr="004C22EA" w:rsidRDefault="00E0216B" w:rsidP="0026550A">
      <w:pPr>
        <w:pStyle w:val="Heading1"/>
        <w:keepNext w:val="0"/>
        <w:snapToGrid w:val="0"/>
        <w:spacing w:before="0" w:after="0"/>
        <w:jc w:val="both"/>
        <w:rPr>
          <w:rFonts w:ascii="Times New Roman" w:hAnsi="Times New Roman" w:cs="Times New Roman"/>
          <w:kern w:val="0"/>
          <w:sz w:val="20"/>
          <w:szCs w:val="20"/>
        </w:rPr>
      </w:pPr>
      <w:bookmarkStart w:id="11" w:name="_Toc232500050"/>
      <w:r w:rsidRPr="004C22EA">
        <w:rPr>
          <w:rFonts w:ascii="Times New Roman" w:hAnsi="Times New Roman" w:cs="Times New Roman"/>
          <w:kern w:val="0"/>
          <w:sz w:val="20"/>
          <w:szCs w:val="20"/>
        </w:rPr>
        <w:t>5.</w:t>
      </w:r>
      <w:r w:rsidR="008858A9" w:rsidRPr="004C22EA">
        <w:rPr>
          <w:rFonts w:ascii="Times New Roman" w:hAnsi="Times New Roman" w:cs="Times New Roman"/>
          <w:kern w:val="0"/>
          <w:sz w:val="20"/>
          <w:szCs w:val="20"/>
        </w:rPr>
        <w:t xml:space="preserve"> Conclusions</w:t>
      </w:r>
      <w:bookmarkEnd w:id="11"/>
    </w:p>
    <w:p w:rsidR="002E2AB7" w:rsidRPr="004C22EA" w:rsidRDefault="002E2AB7" w:rsidP="0026550A">
      <w:pPr>
        <w:autoSpaceDE w:val="0"/>
        <w:autoSpaceDN w:val="0"/>
        <w:adjustRightInd w:val="0"/>
        <w:snapToGrid w:val="0"/>
        <w:ind w:firstLine="425"/>
        <w:jc w:val="both"/>
        <w:rPr>
          <w:sz w:val="20"/>
          <w:szCs w:val="20"/>
        </w:rPr>
      </w:pPr>
      <w:r w:rsidRPr="004C22EA">
        <w:rPr>
          <w:rFonts w:eastAsia="TimesNewRoman"/>
          <w:sz w:val="20"/>
          <w:szCs w:val="20"/>
        </w:rPr>
        <w:t xml:space="preserve">The present study revealed </w:t>
      </w:r>
      <w:r w:rsidR="00BA6B30" w:rsidRPr="004C22EA">
        <w:rPr>
          <w:rFonts w:eastAsia="TimesNewRoman"/>
          <w:sz w:val="20"/>
          <w:szCs w:val="20"/>
        </w:rPr>
        <w:t xml:space="preserve">the </w:t>
      </w:r>
      <w:r w:rsidRPr="004C22EA">
        <w:rPr>
          <w:rFonts w:eastAsia="TimesNewRoman"/>
          <w:sz w:val="20"/>
          <w:szCs w:val="20"/>
        </w:rPr>
        <w:t xml:space="preserve">widespread of </w:t>
      </w:r>
      <w:r w:rsidR="00BA6B30" w:rsidRPr="004C22EA">
        <w:rPr>
          <w:sz w:val="20"/>
          <w:szCs w:val="20"/>
        </w:rPr>
        <w:t>cattle m</w:t>
      </w:r>
      <w:r w:rsidRPr="004C22EA">
        <w:rPr>
          <w:sz w:val="20"/>
          <w:szCs w:val="20"/>
        </w:rPr>
        <w:t>ange mite infestation</w:t>
      </w:r>
      <w:r w:rsidRPr="004C22EA">
        <w:rPr>
          <w:b/>
          <w:sz w:val="20"/>
          <w:szCs w:val="20"/>
        </w:rPr>
        <w:t xml:space="preserve"> </w:t>
      </w:r>
      <w:r w:rsidRPr="004C22EA">
        <w:rPr>
          <w:rFonts w:eastAsia="TimesNewRoman"/>
          <w:sz w:val="20"/>
          <w:szCs w:val="20"/>
        </w:rPr>
        <w:t>in the study areas</w:t>
      </w:r>
      <w:r w:rsidR="00BA6B30" w:rsidRPr="004C22EA">
        <w:rPr>
          <w:rFonts w:eastAsia="TimesNewRoman"/>
          <w:sz w:val="20"/>
          <w:szCs w:val="20"/>
        </w:rPr>
        <w:t xml:space="preserve"> with an overall prevalence of 19.8%</w:t>
      </w:r>
      <w:r w:rsidRPr="004C22EA">
        <w:rPr>
          <w:rFonts w:eastAsia="TimesNewRoman"/>
          <w:sz w:val="20"/>
          <w:szCs w:val="20"/>
        </w:rPr>
        <w:t xml:space="preserve">, showing that </w:t>
      </w:r>
      <w:r w:rsidRPr="004C22EA">
        <w:rPr>
          <w:i/>
          <w:sz w:val="20"/>
          <w:szCs w:val="20"/>
        </w:rPr>
        <w:t xml:space="preserve">Demodex bovis </w:t>
      </w:r>
      <w:r w:rsidRPr="004C22EA">
        <w:rPr>
          <w:sz w:val="20"/>
          <w:szCs w:val="20"/>
        </w:rPr>
        <w:t xml:space="preserve">and </w:t>
      </w:r>
      <w:r w:rsidRPr="004C22EA">
        <w:rPr>
          <w:i/>
          <w:sz w:val="20"/>
          <w:szCs w:val="20"/>
        </w:rPr>
        <w:t>Sarcoptes scabies var bovis</w:t>
      </w:r>
      <w:r w:rsidRPr="004C22EA">
        <w:rPr>
          <w:rFonts w:eastAsia="TimesNewRoman"/>
          <w:sz w:val="20"/>
          <w:szCs w:val="20"/>
        </w:rPr>
        <w:t xml:space="preserve"> were t</w:t>
      </w:r>
      <w:r w:rsidRPr="004C22EA">
        <w:rPr>
          <w:sz w:val="20"/>
          <w:szCs w:val="20"/>
        </w:rPr>
        <w:t xml:space="preserve">he major mites </w:t>
      </w:r>
      <w:r w:rsidR="00BA6B30" w:rsidRPr="004C22EA">
        <w:rPr>
          <w:sz w:val="20"/>
          <w:szCs w:val="20"/>
        </w:rPr>
        <w:t xml:space="preserve">species </w:t>
      </w:r>
      <w:r w:rsidRPr="004C22EA">
        <w:rPr>
          <w:sz w:val="20"/>
          <w:szCs w:val="20"/>
        </w:rPr>
        <w:t xml:space="preserve">identified in the areas. The study also </w:t>
      </w:r>
      <w:r w:rsidR="00BA6B30" w:rsidRPr="004C22EA">
        <w:rPr>
          <w:sz w:val="20"/>
          <w:szCs w:val="20"/>
        </w:rPr>
        <w:t>showed</w:t>
      </w:r>
      <w:r w:rsidRPr="004C22EA">
        <w:rPr>
          <w:sz w:val="20"/>
          <w:szCs w:val="20"/>
        </w:rPr>
        <w:t xml:space="preserve"> </w:t>
      </w:r>
      <w:r w:rsidR="00BA6B30" w:rsidRPr="004C22EA">
        <w:rPr>
          <w:sz w:val="20"/>
          <w:szCs w:val="20"/>
        </w:rPr>
        <w:t xml:space="preserve">the existence of </w:t>
      </w:r>
      <w:r w:rsidRPr="004C22EA">
        <w:rPr>
          <w:sz w:val="20"/>
          <w:szCs w:val="20"/>
        </w:rPr>
        <w:t xml:space="preserve">significant variation in the </w:t>
      </w:r>
      <w:r w:rsidR="000737EC" w:rsidRPr="004C22EA">
        <w:rPr>
          <w:sz w:val="20"/>
          <w:szCs w:val="20"/>
        </w:rPr>
        <w:t xml:space="preserve">mite </w:t>
      </w:r>
      <w:r w:rsidRPr="004C22EA">
        <w:rPr>
          <w:sz w:val="20"/>
          <w:szCs w:val="20"/>
        </w:rPr>
        <w:t xml:space="preserve">prevalence among </w:t>
      </w:r>
      <w:r w:rsidR="000610B8" w:rsidRPr="004C22EA">
        <w:rPr>
          <w:sz w:val="20"/>
          <w:szCs w:val="20"/>
        </w:rPr>
        <w:t xml:space="preserve">cattle of </w:t>
      </w:r>
      <w:r w:rsidRPr="004C22EA">
        <w:rPr>
          <w:sz w:val="20"/>
          <w:szCs w:val="20"/>
        </w:rPr>
        <w:t>different body conditions and predilection sites</w:t>
      </w:r>
      <w:r w:rsidRPr="004C22EA">
        <w:rPr>
          <w:rFonts w:eastAsiaTheme="minorHAnsi"/>
          <w:sz w:val="20"/>
          <w:szCs w:val="20"/>
        </w:rPr>
        <w:t>.</w:t>
      </w:r>
      <w:r w:rsidRPr="004C22EA">
        <w:rPr>
          <w:sz w:val="20"/>
          <w:szCs w:val="20"/>
        </w:rPr>
        <w:t xml:space="preserve"> Moreover, </w:t>
      </w:r>
      <w:r w:rsidR="00585E6E" w:rsidRPr="004C22EA">
        <w:rPr>
          <w:sz w:val="20"/>
          <w:szCs w:val="20"/>
        </w:rPr>
        <w:t xml:space="preserve">it demonstrated that cattle of all age groups, sex categories, breeds and management systems were </w:t>
      </w:r>
      <w:r w:rsidRPr="004C22EA">
        <w:rPr>
          <w:sz w:val="20"/>
          <w:szCs w:val="20"/>
        </w:rPr>
        <w:t>equally likely affect</w:t>
      </w:r>
      <w:r w:rsidR="00585E6E" w:rsidRPr="004C22EA">
        <w:rPr>
          <w:sz w:val="20"/>
          <w:szCs w:val="20"/>
        </w:rPr>
        <w:t>ed by the mites. To sum up, the study finding showed that the cattle mange mites were prevailing in the area pointing the necessities of drawing proper control measures</w:t>
      </w:r>
      <w:r w:rsidR="004F4C76" w:rsidRPr="004C22EA">
        <w:rPr>
          <w:sz w:val="20"/>
          <w:szCs w:val="20"/>
        </w:rPr>
        <w:t>.</w:t>
      </w:r>
    </w:p>
    <w:p w:rsidR="00E0216B" w:rsidRPr="004C22EA" w:rsidRDefault="00E0216B" w:rsidP="0026550A">
      <w:pPr>
        <w:snapToGrid w:val="0"/>
        <w:jc w:val="both"/>
        <w:rPr>
          <w:sz w:val="20"/>
          <w:szCs w:val="20"/>
        </w:rPr>
      </w:pPr>
    </w:p>
    <w:p w:rsidR="00DE1A36" w:rsidRPr="004C22EA" w:rsidRDefault="00DE1A36" w:rsidP="0026550A">
      <w:pPr>
        <w:autoSpaceDE w:val="0"/>
        <w:autoSpaceDN w:val="0"/>
        <w:adjustRightInd w:val="0"/>
        <w:snapToGrid w:val="0"/>
        <w:jc w:val="both"/>
        <w:rPr>
          <w:rFonts w:eastAsiaTheme="minorHAnsi"/>
          <w:b/>
          <w:bCs/>
          <w:color w:val="000000"/>
          <w:sz w:val="20"/>
          <w:szCs w:val="20"/>
        </w:rPr>
      </w:pPr>
      <w:bookmarkStart w:id="12" w:name="_Toc232500051"/>
      <w:r w:rsidRPr="004C22EA">
        <w:rPr>
          <w:rFonts w:eastAsiaTheme="minorHAnsi"/>
          <w:b/>
          <w:bCs/>
          <w:color w:val="000000"/>
          <w:sz w:val="20"/>
          <w:szCs w:val="20"/>
        </w:rPr>
        <w:t>Acknowledgement</w:t>
      </w:r>
      <w:r w:rsidR="001004B8" w:rsidRPr="004C22EA">
        <w:rPr>
          <w:rFonts w:eastAsiaTheme="minorHAnsi"/>
          <w:b/>
          <w:bCs/>
          <w:color w:val="000000"/>
          <w:sz w:val="20"/>
          <w:szCs w:val="20"/>
        </w:rPr>
        <w:t>s</w:t>
      </w:r>
    </w:p>
    <w:p w:rsidR="00DE1A36" w:rsidRPr="004C22EA" w:rsidRDefault="00F5793D" w:rsidP="0026550A">
      <w:pPr>
        <w:autoSpaceDE w:val="0"/>
        <w:autoSpaceDN w:val="0"/>
        <w:adjustRightInd w:val="0"/>
        <w:snapToGrid w:val="0"/>
        <w:ind w:firstLine="425"/>
        <w:jc w:val="both"/>
        <w:rPr>
          <w:rFonts w:eastAsiaTheme="minorHAnsi"/>
          <w:bCs/>
          <w:color w:val="000000"/>
          <w:sz w:val="20"/>
          <w:szCs w:val="20"/>
        </w:rPr>
      </w:pPr>
      <w:r w:rsidRPr="004C22EA">
        <w:rPr>
          <w:rFonts w:eastAsiaTheme="minorHAnsi"/>
          <w:bCs/>
          <w:color w:val="000000"/>
          <w:sz w:val="20"/>
          <w:szCs w:val="20"/>
        </w:rPr>
        <w:t>The authors would like to thank the Mekelle and Adigrat Veterinary clinics for their cooperation during the survey.</w:t>
      </w:r>
    </w:p>
    <w:p w:rsidR="00DE1A36" w:rsidRPr="004C22EA" w:rsidRDefault="00DE1A36" w:rsidP="0026550A">
      <w:pPr>
        <w:autoSpaceDE w:val="0"/>
        <w:autoSpaceDN w:val="0"/>
        <w:adjustRightInd w:val="0"/>
        <w:snapToGrid w:val="0"/>
        <w:jc w:val="both"/>
        <w:rPr>
          <w:rFonts w:eastAsiaTheme="minorHAnsi"/>
          <w:bCs/>
          <w:color w:val="000000"/>
          <w:sz w:val="20"/>
          <w:szCs w:val="20"/>
        </w:rPr>
      </w:pPr>
    </w:p>
    <w:p w:rsidR="00DE1A36" w:rsidRPr="004C22EA" w:rsidRDefault="00DE1A36" w:rsidP="008858A9">
      <w:pPr>
        <w:autoSpaceDE w:val="0"/>
        <w:autoSpaceDN w:val="0"/>
        <w:adjustRightInd w:val="0"/>
        <w:snapToGrid w:val="0"/>
        <w:jc w:val="both"/>
        <w:rPr>
          <w:rFonts w:eastAsiaTheme="minorHAnsi"/>
          <w:b/>
          <w:bCs/>
          <w:color w:val="000000"/>
          <w:sz w:val="20"/>
          <w:szCs w:val="20"/>
        </w:rPr>
      </w:pPr>
      <w:r w:rsidRPr="004C22EA">
        <w:rPr>
          <w:rFonts w:eastAsiaTheme="minorHAnsi"/>
          <w:b/>
          <w:bCs/>
          <w:color w:val="000000"/>
          <w:sz w:val="20"/>
          <w:szCs w:val="20"/>
        </w:rPr>
        <w:t>Corresponding Author:</w:t>
      </w:r>
    </w:p>
    <w:p w:rsidR="00DE1A36" w:rsidRPr="004C22EA" w:rsidRDefault="00DE1A36" w:rsidP="008858A9">
      <w:pPr>
        <w:autoSpaceDE w:val="0"/>
        <w:autoSpaceDN w:val="0"/>
        <w:adjustRightInd w:val="0"/>
        <w:snapToGrid w:val="0"/>
        <w:jc w:val="both"/>
        <w:rPr>
          <w:rFonts w:eastAsia="Times New Roman+FPEF"/>
          <w:color w:val="000000"/>
          <w:sz w:val="20"/>
          <w:szCs w:val="20"/>
        </w:rPr>
      </w:pPr>
      <w:r w:rsidRPr="004C22EA">
        <w:rPr>
          <w:rFonts w:eastAsia="Times New Roman+FPEF"/>
          <w:color w:val="000000"/>
          <w:sz w:val="20"/>
          <w:szCs w:val="20"/>
        </w:rPr>
        <w:t>Dr. Getachew Dinede</w:t>
      </w:r>
    </w:p>
    <w:p w:rsidR="00DE1A36" w:rsidRPr="004C22EA" w:rsidRDefault="00DE1A36" w:rsidP="008858A9">
      <w:pPr>
        <w:autoSpaceDE w:val="0"/>
        <w:autoSpaceDN w:val="0"/>
        <w:adjustRightInd w:val="0"/>
        <w:snapToGrid w:val="0"/>
        <w:jc w:val="both"/>
        <w:rPr>
          <w:rFonts w:eastAsia="Times New Roman+FPEF"/>
          <w:color w:val="000000"/>
          <w:sz w:val="20"/>
          <w:szCs w:val="20"/>
        </w:rPr>
      </w:pPr>
      <w:r w:rsidRPr="004C22EA">
        <w:rPr>
          <w:rFonts w:eastAsia="Times New Roman+FPEF"/>
          <w:color w:val="000000"/>
          <w:sz w:val="20"/>
          <w:szCs w:val="20"/>
        </w:rPr>
        <w:t>Epidemiology Directorate</w:t>
      </w:r>
    </w:p>
    <w:p w:rsidR="00DE1A36" w:rsidRPr="004C22EA" w:rsidRDefault="00DE1A36" w:rsidP="008858A9">
      <w:pPr>
        <w:autoSpaceDE w:val="0"/>
        <w:autoSpaceDN w:val="0"/>
        <w:adjustRightInd w:val="0"/>
        <w:snapToGrid w:val="0"/>
        <w:jc w:val="both"/>
        <w:rPr>
          <w:rFonts w:eastAsia="Times New Roman+FPEF"/>
          <w:color w:val="000000"/>
          <w:sz w:val="20"/>
          <w:szCs w:val="20"/>
        </w:rPr>
      </w:pPr>
      <w:r w:rsidRPr="004C22EA">
        <w:rPr>
          <w:rFonts w:eastAsia="Times New Roman+FPEF"/>
          <w:color w:val="000000"/>
          <w:sz w:val="20"/>
          <w:szCs w:val="20"/>
        </w:rPr>
        <w:t>Ministry of Livestock and Fisheries</w:t>
      </w:r>
    </w:p>
    <w:p w:rsidR="00DE1A36" w:rsidRPr="004C22EA" w:rsidRDefault="00DE1A36" w:rsidP="008858A9">
      <w:pPr>
        <w:autoSpaceDE w:val="0"/>
        <w:autoSpaceDN w:val="0"/>
        <w:adjustRightInd w:val="0"/>
        <w:snapToGrid w:val="0"/>
        <w:jc w:val="both"/>
        <w:rPr>
          <w:rFonts w:eastAsia="Times New Roman+FPEF"/>
          <w:color w:val="000000"/>
          <w:sz w:val="20"/>
          <w:szCs w:val="20"/>
        </w:rPr>
      </w:pPr>
      <w:r w:rsidRPr="004C22EA">
        <w:rPr>
          <w:rFonts w:eastAsia="Times New Roman+FPEF"/>
          <w:color w:val="000000"/>
          <w:sz w:val="20"/>
          <w:szCs w:val="20"/>
        </w:rPr>
        <w:t>Addis Ababa, Ethiopia</w:t>
      </w:r>
    </w:p>
    <w:p w:rsidR="00DE1A36" w:rsidRPr="004C22EA" w:rsidRDefault="00DE1A36" w:rsidP="008858A9">
      <w:pPr>
        <w:autoSpaceDE w:val="0"/>
        <w:autoSpaceDN w:val="0"/>
        <w:adjustRightInd w:val="0"/>
        <w:snapToGrid w:val="0"/>
        <w:jc w:val="both"/>
        <w:rPr>
          <w:rFonts w:eastAsia="Times New Roman+FPEF"/>
          <w:color w:val="000000"/>
          <w:sz w:val="20"/>
          <w:szCs w:val="20"/>
        </w:rPr>
      </w:pPr>
      <w:r w:rsidRPr="004C22EA">
        <w:rPr>
          <w:rFonts w:eastAsia="Times New Roman+FPEF"/>
          <w:color w:val="000000"/>
          <w:sz w:val="20"/>
          <w:szCs w:val="20"/>
        </w:rPr>
        <w:t>Telephone: +251116676953</w:t>
      </w:r>
    </w:p>
    <w:p w:rsidR="004C38A3" w:rsidRPr="004C22EA" w:rsidRDefault="00DE1A36" w:rsidP="008858A9">
      <w:pPr>
        <w:pStyle w:val="Heading1"/>
        <w:keepNext w:val="0"/>
        <w:snapToGrid w:val="0"/>
        <w:spacing w:before="0" w:after="0"/>
        <w:jc w:val="both"/>
        <w:rPr>
          <w:rFonts w:ascii="Times New Roman" w:hAnsi="Times New Roman" w:cs="Times New Roman"/>
          <w:b w:val="0"/>
          <w:kern w:val="0"/>
          <w:sz w:val="20"/>
          <w:szCs w:val="20"/>
        </w:rPr>
      </w:pPr>
      <w:r w:rsidRPr="004C22EA">
        <w:rPr>
          <w:rFonts w:ascii="Times New Roman" w:eastAsia="Times New Roman+FPEF" w:hAnsi="Times New Roman" w:cs="Times New Roman"/>
          <w:b w:val="0"/>
          <w:color w:val="000000"/>
          <w:kern w:val="0"/>
          <w:sz w:val="20"/>
          <w:szCs w:val="20"/>
        </w:rPr>
        <w:t xml:space="preserve">Email: </w:t>
      </w:r>
      <w:r w:rsidRPr="004C22EA">
        <w:rPr>
          <w:rFonts w:ascii="Times New Roman" w:eastAsia="Times New Roman+FPEF" w:hAnsi="Times New Roman" w:cs="Times New Roman"/>
          <w:b w:val="0"/>
          <w:color w:val="0000FF"/>
          <w:kern w:val="0"/>
          <w:sz w:val="20"/>
          <w:szCs w:val="20"/>
        </w:rPr>
        <w:t>dinedegech@gmail.com</w:t>
      </w:r>
    </w:p>
    <w:p w:rsidR="00AB620B" w:rsidRPr="004C22EA" w:rsidRDefault="00AB620B" w:rsidP="0026550A">
      <w:pPr>
        <w:snapToGrid w:val="0"/>
        <w:jc w:val="both"/>
        <w:rPr>
          <w:sz w:val="20"/>
          <w:szCs w:val="20"/>
        </w:rPr>
      </w:pPr>
    </w:p>
    <w:p w:rsidR="00E0216B" w:rsidRPr="004C22EA" w:rsidRDefault="001004B8" w:rsidP="0026550A">
      <w:pPr>
        <w:pStyle w:val="Heading1"/>
        <w:keepNext w:val="0"/>
        <w:snapToGrid w:val="0"/>
        <w:spacing w:before="0" w:after="0"/>
        <w:jc w:val="both"/>
        <w:rPr>
          <w:rFonts w:ascii="Times New Roman" w:hAnsi="Times New Roman" w:cs="Times New Roman"/>
          <w:kern w:val="0"/>
          <w:sz w:val="20"/>
          <w:szCs w:val="20"/>
        </w:rPr>
      </w:pPr>
      <w:r w:rsidRPr="004C22EA">
        <w:rPr>
          <w:rFonts w:ascii="Times New Roman" w:hAnsi="Times New Roman" w:cs="Times New Roman"/>
          <w:kern w:val="0"/>
          <w:sz w:val="20"/>
          <w:szCs w:val="20"/>
        </w:rPr>
        <w:t>References</w:t>
      </w:r>
      <w:bookmarkEnd w:id="12"/>
    </w:p>
    <w:p w:rsidR="003460A5" w:rsidRPr="004C22EA" w:rsidRDefault="003460A5" w:rsidP="0026550A">
      <w:pPr>
        <w:pStyle w:val="ListParagraph"/>
        <w:numPr>
          <w:ilvl w:val="0"/>
          <w:numId w:val="5"/>
        </w:numPr>
        <w:autoSpaceDE w:val="0"/>
        <w:autoSpaceDN w:val="0"/>
        <w:adjustRightInd w:val="0"/>
        <w:snapToGrid w:val="0"/>
        <w:ind w:left="425" w:hanging="425"/>
        <w:jc w:val="both"/>
        <w:rPr>
          <w:rFonts w:eastAsia="TimesNewRoman"/>
          <w:sz w:val="20"/>
          <w:szCs w:val="20"/>
        </w:rPr>
      </w:pPr>
      <w:r w:rsidRPr="004C22EA">
        <w:rPr>
          <w:rFonts w:eastAsia="TimesNewRoman"/>
          <w:sz w:val="20"/>
          <w:szCs w:val="20"/>
        </w:rPr>
        <w:t>Ayele, S., Assegid, W., Jabbar, M., Ahmed, M. and Belachew, H., 2003: Livestock marketing in</w:t>
      </w:r>
      <w:r w:rsidR="004C22EA">
        <w:rPr>
          <w:rFonts w:eastAsia="TimesNewRoman"/>
          <w:sz w:val="20"/>
          <w:szCs w:val="20"/>
        </w:rPr>
        <w:t xml:space="preserve"> </w:t>
      </w:r>
      <w:r w:rsidRPr="004C22EA">
        <w:rPr>
          <w:rFonts w:eastAsia="TimesNewRoman"/>
          <w:sz w:val="20"/>
          <w:szCs w:val="20"/>
        </w:rPr>
        <w:t>Ethiopia. Areview of structure performance and development initiatives socio-economic and policy research working papers. ILRI,Nairobi, Kenya, Pp: 35.</w:t>
      </w:r>
    </w:p>
    <w:p w:rsidR="003460A5" w:rsidRPr="004C22EA" w:rsidRDefault="003460A5" w:rsidP="0026550A">
      <w:pPr>
        <w:pStyle w:val="ListParagraph"/>
        <w:numPr>
          <w:ilvl w:val="0"/>
          <w:numId w:val="5"/>
        </w:numPr>
        <w:autoSpaceDE w:val="0"/>
        <w:autoSpaceDN w:val="0"/>
        <w:adjustRightInd w:val="0"/>
        <w:snapToGrid w:val="0"/>
        <w:ind w:left="425" w:hanging="425"/>
        <w:jc w:val="both"/>
        <w:rPr>
          <w:rFonts w:eastAsia="TimesNewRoman"/>
          <w:sz w:val="20"/>
          <w:szCs w:val="20"/>
        </w:rPr>
      </w:pPr>
      <w:r w:rsidRPr="004C22EA">
        <w:rPr>
          <w:rFonts w:eastAsia="TimesNewRoman"/>
          <w:sz w:val="20"/>
          <w:szCs w:val="20"/>
        </w:rPr>
        <w:t>Bansal, G. C., 2005: Bovine theileriosis in India: anoverview. Proceedings of National Academy of Science,India, 75: 134–43.</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Blood, D. C and Handerson, J. A., 1983: Text Book of Veterinary Medicine 6</w:t>
      </w:r>
      <w:r w:rsidRPr="004C22EA">
        <w:rPr>
          <w:sz w:val="20"/>
          <w:szCs w:val="20"/>
          <w:vertAlign w:val="superscript"/>
        </w:rPr>
        <w:t>th</w:t>
      </w:r>
      <w:r w:rsidRPr="004C22EA">
        <w:rPr>
          <w:sz w:val="20"/>
          <w:szCs w:val="20"/>
        </w:rPr>
        <w:t xml:space="preserve"> ed. Diseases of </w:t>
      </w:r>
      <w:r w:rsidRPr="004C22EA">
        <w:rPr>
          <w:sz w:val="20"/>
          <w:szCs w:val="20"/>
        </w:rPr>
        <w:lastRenderedPageBreak/>
        <w:t>cattle, sheep, goats and pigs. Baillier Tindall. London. Pp 963-969.</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Bowman, D. D., 2003: Georgis’ Parasitology for Veterinarians. 8</w:t>
      </w:r>
      <w:r w:rsidRPr="004C22EA">
        <w:rPr>
          <w:sz w:val="20"/>
          <w:szCs w:val="20"/>
          <w:vertAlign w:val="superscript"/>
        </w:rPr>
        <w:t>th</w:t>
      </w:r>
      <w:r w:rsidRPr="004C22EA">
        <w:rPr>
          <w:sz w:val="20"/>
          <w:szCs w:val="20"/>
        </w:rPr>
        <w:t xml:space="preserve"> ed. Ithca, New York. Pp 63-76.</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Urquhart, G. M. Armonour, J., Duncan. J. L., Dunn, A. M. and Jennings, F. W., 1996: Veterinary Parasitology. 2</w:t>
      </w:r>
      <w:r w:rsidRPr="004C22EA">
        <w:rPr>
          <w:sz w:val="20"/>
          <w:szCs w:val="20"/>
          <w:vertAlign w:val="superscript"/>
        </w:rPr>
        <w:t>nd</w:t>
      </w:r>
      <w:r w:rsidRPr="004C22EA">
        <w:rPr>
          <w:sz w:val="20"/>
          <w:szCs w:val="20"/>
        </w:rPr>
        <w:t xml:space="preserve"> ed. Scotland. Blackwell science. Ltd. Pp 190-201.</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 xml:space="preserve">Pangui, L. J., 1994: Mange in domestic animals and methods of control, </w:t>
      </w:r>
      <w:r w:rsidRPr="004C22EA">
        <w:rPr>
          <w:i/>
          <w:sz w:val="20"/>
          <w:szCs w:val="20"/>
        </w:rPr>
        <w:t>Rev. Sci. Tech. Off. Int. Epiz,</w:t>
      </w:r>
      <w:r w:rsidRPr="004C22EA">
        <w:rPr>
          <w:sz w:val="20"/>
          <w:szCs w:val="20"/>
        </w:rPr>
        <w:t xml:space="preserve"> 13:1227-1243.</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 xml:space="preserve">Roberts, I. H.; Blachut, K. and Meleney, W. P, 1971: Over summering location of scab mite, </w:t>
      </w:r>
      <w:r w:rsidRPr="004C22EA">
        <w:rPr>
          <w:i/>
          <w:sz w:val="20"/>
          <w:szCs w:val="20"/>
        </w:rPr>
        <w:t>Psoroptes ovis</w:t>
      </w:r>
      <w:r w:rsidRPr="004C22EA">
        <w:rPr>
          <w:sz w:val="20"/>
          <w:szCs w:val="20"/>
        </w:rPr>
        <w:t>, on sheep in New Mexico, Annals of Entomological Society of America, 6: 105-108.</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Sloss, M.W., Kemp, R. L. and Zajac, A. M., 1994: Veterinary Clinical Parasitology, 6</w:t>
      </w:r>
      <w:r w:rsidRPr="004C22EA">
        <w:rPr>
          <w:sz w:val="20"/>
          <w:szCs w:val="20"/>
          <w:vertAlign w:val="superscript"/>
        </w:rPr>
        <w:t>th</w:t>
      </w:r>
      <w:r w:rsidRPr="004C22EA">
        <w:rPr>
          <w:sz w:val="20"/>
          <w:szCs w:val="20"/>
        </w:rPr>
        <w:t xml:space="preserve"> ed. Iowa State University press, Ames Iowa pp121-125.</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Aiello, Susan, 1998: The Merck Veterinary Manual. 8</w:t>
      </w:r>
      <w:r w:rsidRPr="004C22EA">
        <w:rPr>
          <w:sz w:val="20"/>
          <w:szCs w:val="20"/>
          <w:vertAlign w:val="superscript"/>
        </w:rPr>
        <w:t>th</w:t>
      </w:r>
      <w:r w:rsidRPr="004C22EA">
        <w:rPr>
          <w:sz w:val="20"/>
          <w:szCs w:val="20"/>
        </w:rPr>
        <w:t xml:space="preserve"> edn. Merck and Co., Inc. White house station, N.J., USA. P 132.</w:t>
      </w:r>
    </w:p>
    <w:p w:rsidR="003460A5" w:rsidRPr="004C22EA" w:rsidRDefault="003460A5" w:rsidP="0026550A">
      <w:pPr>
        <w:pStyle w:val="ListParagraph"/>
        <w:numPr>
          <w:ilvl w:val="0"/>
          <w:numId w:val="5"/>
        </w:numPr>
        <w:autoSpaceDE w:val="0"/>
        <w:autoSpaceDN w:val="0"/>
        <w:adjustRightInd w:val="0"/>
        <w:snapToGrid w:val="0"/>
        <w:ind w:left="425" w:hanging="425"/>
        <w:jc w:val="both"/>
        <w:rPr>
          <w:sz w:val="20"/>
          <w:szCs w:val="20"/>
        </w:rPr>
      </w:pPr>
      <w:r w:rsidRPr="004C22EA">
        <w:rPr>
          <w:rFonts w:eastAsia="TimesNewRoman"/>
          <w:sz w:val="20"/>
          <w:szCs w:val="20"/>
        </w:rPr>
        <w:t>Nicholson, M.J. and Butterworth, M.A., 1986: A guide to condition scoring zebu cattle. International livestock center for Africa (ILCA). Addis Ababa, Ethiopia, Pp: 72-74.</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Thrusfield, M., 1995: Veterinary Epidemiology, 2</w:t>
      </w:r>
      <w:r w:rsidRPr="004C22EA">
        <w:rPr>
          <w:sz w:val="20"/>
          <w:szCs w:val="20"/>
          <w:vertAlign w:val="superscript"/>
        </w:rPr>
        <w:t>nd</w:t>
      </w:r>
      <w:r w:rsidRPr="004C22EA">
        <w:rPr>
          <w:sz w:val="20"/>
          <w:szCs w:val="20"/>
        </w:rPr>
        <w:t xml:space="preserve"> ed. Black Well science Ltd., pp 182-183.</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lastRenderedPageBreak/>
        <w:t>Chauhan, R. S. and Agarwal, D. K., 2006: Text Book of Veterinary Clinical and Laboratory Diagnosis, 2</w:t>
      </w:r>
      <w:r w:rsidRPr="004C22EA">
        <w:rPr>
          <w:sz w:val="20"/>
          <w:szCs w:val="20"/>
          <w:vertAlign w:val="superscript"/>
        </w:rPr>
        <w:t>nd</w:t>
      </w:r>
      <w:r w:rsidRPr="004C22EA">
        <w:rPr>
          <w:sz w:val="20"/>
          <w:szCs w:val="20"/>
        </w:rPr>
        <w:t xml:space="preserve"> edn, Jaypee Brothers Medical Publishers Ltd., New Delhi, India, Pp. 189-192.</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Wall, R. and shearer, D., 1997: Veterinary Ectoparasites: Biology, pathology and control. 2</w:t>
      </w:r>
      <w:r w:rsidRPr="004C22EA">
        <w:rPr>
          <w:sz w:val="20"/>
          <w:szCs w:val="20"/>
          <w:vertAlign w:val="superscript"/>
        </w:rPr>
        <w:t>nd</w:t>
      </w:r>
      <w:r w:rsidRPr="004C22EA">
        <w:rPr>
          <w:sz w:val="20"/>
          <w:szCs w:val="20"/>
        </w:rPr>
        <w:t xml:space="preserve"> edn .Black well science Ltd., Pp23-45.</w:t>
      </w:r>
    </w:p>
    <w:p w:rsidR="003460A5" w:rsidRPr="004C22EA" w:rsidRDefault="003460A5" w:rsidP="0026550A">
      <w:pPr>
        <w:pStyle w:val="ListParagraph"/>
        <w:numPr>
          <w:ilvl w:val="0"/>
          <w:numId w:val="5"/>
        </w:numPr>
        <w:snapToGrid w:val="0"/>
        <w:ind w:left="425" w:hanging="425"/>
        <w:jc w:val="both"/>
        <w:rPr>
          <w:sz w:val="20"/>
          <w:szCs w:val="20"/>
        </w:rPr>
      </w:pPr>
      <w:r w:rsidRPr="004C22EA">
        <w:rPr>
          <w:sz w:val="20"/>
          <w:szCs w:val="20"/>
        </w:rPr>
        <w:t>OIE (2004): Mange, In: Manual of Diagnostic Tests and Vaccines for Terrestrial Animals. 5</w:t>
      </w:r>
      <w:r w:rsidRPr="004C22EA">
        <w:rPr>
          <w:sz w:val="20"/>
          <w:szCs w:val="20"/>
          <w:vertAlign w:val="superscript"/>
        </w:rPr>
        <w:t>th</w:t>
      </w:r>
      <w:r w:rsidRPr="004C22EA">
        <w:rPr>
          <w:sz w:val="20"/>
          <w:szCs w:val="20"/>
        </w:rPr>
        <w:t xml:space="preserve"> edn.</w:t>
      </w:r>
    </w:p>
    <w:p w:rsidR="003460A5" w:rsidRPr="004C22EA" w:rsidRDefault="003460A5" w:rsidP="0026550A">
      <w:pPr>
        <w:pStyle w:val="ListParagraph"/>
        <w:numPr>
          <w:ilvl w:val="0"/>
          <w:numId w:val="5"/>
        </w:numPr>
        <w:autoSpaceDE w:val="0"/>
        <w:autoSpaceDN w:val="0"/>
        <w:adjustRightInd w:val="0"/>
        <w:snapToGrid w:val="0"/>
        <w:ind w:left="425" w:hanging="425"/>
        <w:jc w:val="both"/>
        <w:rPr>
          <w:rFonts w:eastAsiaTheme="minorHAnsi"/>
          <w:sz w:val="20"/>
          <w:szCs w:val="20"/>
        </w:rPr>
      </w:pPr>
      <w:r w:rsidRPr="004C22EA">
        <w:rPr>
          <w:rFonts w:eastAsiaTheme="minorHAnsi"/>
          <w:bCs/>
          <w:sz w:val="20"/>
          <w:szCs w:val="20"/>
        </w:rPr>
        <w:t>Fentahun, T., Alemayehu, M., and Chanie, M.</w:t>
      </w:r>
      <w:r w:rsidR="004C22EA">
        <w:rPr>
          <w:rFonts w:eastAsiaTheme="minorEastAsia" w:hint="eastAsia"/>
          <w:bCs/>
          <w:sz w:val="20"/>
          <w:szCs w:val="20"/>
          <w:lang w:eastAsia="zh-CN"/>
        </w:rPr>
        <w:t xml:space="preserve"> </w:t>
      </w:r>
      <w:r w:rsidRPr="004C22EA">
        <w:rPr>
          <w:rFonts w:eastAsiaTheme="minorHAnsi"/>
          <w:bCs/>
          <w:sz w:val="20"/>
          <w:szCs w:val="20"/>
        </w:rPr>
        <w:t>(2012):</w:t>
      </w:r>
      <w:r w:rsidR="004C22EA">
        <w:rPr>
          <w:rFonts w:eastAsiaTheme="minorEastAsia" w:hint="eastAsia"/>
          <w:bCs/>
          <w:sz w:val="20"/>
          <w:szCs w:val="20"/>
          <w:lang w:eastAsia="zh-CN"/>
        </w:rPr>
        <w:t xml:space="preserve"> </w:t>
      </w:r>
      <w:r w:rsidRPr="004C22EA">
        <w:rPr>
          <w:rFonts w:eastAsiaTheme="minorHAnsi"/>
          <w:bCs/>
          <w:sz w:val="20"/>
          <w:szCs w:val="20"/>
        </w:rPr>
        <w:t xml:space="preserve">Demodex and </w:t>
      </w:r>
      <w:r w:rsidRPr="004C22EA">
        <w:rPr>
          <w:rFonts w:eastAsiaTheme="minorHAnsi"/>
          <w:bCs/>
          <w:i/>
          <w:iCs/>
          <w:sz w:val="20"/>
          <w:szCs w:val="20"/>
        </w:rPr>
        <w:t xml:space="preserve">Sarcoptes </w:t>
      </w:r>
      <w:r w:rsidRPr="004C22EA">
        <w:rPr>
          <w:rFonts w:eastAsiaTheme="minorHAnsi"/>
          <w:bCs/>
          <w:sz w:val="20"/>
          <w:szCs w:val="20"/>
        </w:rPr>
        <w:t>Mites of Cattle: An Extravagance for Leather Industry,</w:t>
      </w:r>
      <w:r w:rsidRPr="004C22EA">
        <w:rPr>
          <w:rFonts w:eastAsiaTheme="minorHAnsi"/>
          <w:sz w:val="20"/>
          <w:szCs w:val="20"/>
        </w:rPr>
        <w:t xml:space="preserve"> American-Eurasian Journal of Scientific Research 7 (3): 131-135, DOI: 10.5829/idosi.aejsr.2012.7.3.65129</w:t>
      </w:r>
    </w:p>
    <w:p w:rsidR="003460A5" w:rsidRPr="004C22EA" w:rsidRDefault="003460A5" w:rsidP="0026550A">
      <w:pPr>
        <w:pStyle w:val="ListParagraph"/>
        <w:numPr>
          <w:ilvl w:val="0"/>
          <w:numId w:val="5"/>
        </w:numPr>
        <w:autoSpaceDE w:val="0"/>
        <w:autoSpaceDN w:val="0"/>
        <w:adjustRightInd w:val="0"/>
        <w:snapToGrid w:val="0"/>
        <w:ind w:left="425" w:hanging="425"/>
        <w:jc w:val="both"/>
        <w:rPr>
          <w:rFonts w:eastAsia="TimesNewRoman"/>
          <w:sz w:val="20"/>
          <w:szCs w:val="20"/>
        </w:rPr>
      </w:pPr>
      <w:r w:rsidRPr="004C22EA">
        <w:rPr>
          <w:rFonts w:eastAsiaTheme="minorHAnsi"/>
          <w:bCs/>
          <w:sz w:val="20"/>
          <w:szCs w:val="20"/>
        </w:rPr>
        <w:t>Meseret G., Fikre Z., and Gebremedhin R. 2014: Identification and prevalence of ectoparasites in cattle and sheep in and around Bishoftu town, central Ethiopia.</w:t>
      </w:r>
      <w:r w:rsidR="004C22EA">
        <w:rPr>
          <w:rFonts w:eastAsiaTheme="minorHAnsi"/>
          <w:bCs/>
          <w:sz w:val="20"/>
          <w:szCs w:val="20"/>
        </w:rPr>
        <w:t xml:space="preserve"> </w:t>
      </w:r>
      <w:r w:rsidRPr="004C22EA">
        <w:rPr>
          <w:rFonts w:eastAsiaTheme="minorHAnsi"/>
          <w:bCs/>
          <w:i/>
          <w:sz w:val="20"/>
          <w:szCs w:val="20"/>
        </w:rPr>
        <w:t>Animal and Veterinary Sciences</w:t>
      </w:r>
      <w:r w:rsidRPr="004C22EA">
        <w:rPr>
          <w:rFonts w:eastAsia="TimesNewRoman"/>
          <w:sz w:val="20"/>
          <w:szCs w:val="20"/>
        </w:rPr>
        <w:t>; 2(4): Pp 124-129.</w:t>
      </w:r>
    </w:p>
    <w:p w:rsidR="0026550A" w:rsidRPr="004C22EA" w:rsidRDefault="003460A5" w:rsidP="008858A9">
      <w:pPr>
        <w:pStyle w:val="ListParagraph"/>
        <w:numPr>
          <w:ilvl w:val="0"/>
          <w:numId w:val="5"/>
        </w:numPr>
        <w:autoSpaceDE w:val="0"/>
        <w:autoSpaceDN w:val="0"/>
        <w:adjustRightInd w:val="0"/>
        <w:snapToGrid w:val="0"/>
        <w:ind w:left="425" w:hanging="425"/>
        <w:jc w:val="both"/>
        <w:rPr>
          <w:rFonts w:eastAsiaTheme="minorEastAsia"/>
          <w:sz w:val="20"/>
          <w:szCs w:val="20"/>
          <w:lang w:eastAsia="zh-CN"/>
        </w:rPr>
      </w:pPr>
      <w:r w:rsidRPr="004C22EA">
        <w:rPr>
          <w:rFonts w:eastAsiaTheme="minorHAnsi"/>
          <w:iCs/>
          <w:sz w:val="20"/>
          <w:szCs w:val="20"/>
        </w:rPr>
        <w:t>Semie, K., Haile, B.,</w:t>
      </w:r>
      <w:r w:rsidR="004C22EA">
        <w:rPr>
          <w:rFonts w:eastAsiaTheme="minorHAnsi"/>
          <w:iCs/>
          <w:sz w:val="20"/>
          <w:szCs w:val="20"/>
        </w:rPr>
        <w:t xml:space="preserve"> </w:t>
      </w:r>
      <w:r w:rsidRPr="004C22EA">
        <w:rPr>
          <w:rFonts w:eastAsiaTheme="minorHAnsi"/>
          <w:iCs/>
          <w:sz w:val="20"/>
          <w:szCs w:val="20"/>
        </w:rPr>
        <w:t>and Admassu, B.</w:t>
      </w:r>
      <w:r w:rsidR="004C22EA">
        <w:rPr>
          <w:rFonts w:eastAsiaTheme="minorEastAsia" w:hint="eastAsia"/>
          <w:iCs/>
          <w:sz w:val="20"/>
          <w:szCs w:val="20"/>
          <w:lang w:eastAsia="zh-CN"/>
        </w:rPr>
        <w:t xml:space="preserve"> </w:t>
      </w:r>
      <w:r w:rsidRPr="004C22EA">
        <w:rPr>
          <w:rFonts w:eastAsiaTheme="minorHAnsi"/>
          <w:iCs/>
          <w:sz w:val="20"/>
          <w:szCs w:val="20"/>
        </w:rPr>
        <w:t xml:space="preserve">(2015): </w:t>
      </w:r>
      <w:r w:rsidRPr="004C22EA">
        <w:rPr>
          <w:rFonts w:eastAsiaTheme="minorHAnsi"/>
          <w:bCs/>
          <w:sz w:val="20"/>
          <w:szCs w:val="20"/>
        </w:rPr>
        <w:t xml:space="preserve">Prevalence of Mange Mite Infestation on Cattle in South Achefer District, Northwest Ethiopia, </w:t>
      </w:r>
      <w:r w:rsidRPr="004C22EA">
        <w:rPr>
          <w:rFonts w:eastAsiaTheme="minorHAnsi"/>
          <w:sz w:val="20"/>
          <w:szCs w:val="20"/>
        </w:rPr>
        <w:t>American-Eurasian Journal of Scientific Research 10 (4): 186-192, DOI: 10.5829/idosi.aejsr.2015.10.4.95119.</w:t>
      </w:r>
      <w:r w:rsidR="004C22EA" w:rsidRPr="004C22EA">
        <w:rPr>
          <w:rFonts w:eastAsiaTheme="minorEastAsia" w:hint="eastAsia"/>
          <w:sz w:val="20"/>
          <w:szCs w:val="20"/>
          <w:lang w:eastAsia="zh-CN"/>
        </w:rPr>
        <w:t xml:space="preserve"> </w:t>
      </w:r>
    </w:p>
    <w:p w:rsidR="008858A9" w:rsidRPr="004C22EA" w:rsidRDefault="008858A9" w:rsidP="008858A9">
      <w:pPr>
        <w:autoSpaceDE w:val="0"/>
        <w:autoSpaceDN w:val="0"/>
        <w:adjustRightInd w:val="0"/>
        <w:snapToGrid w:val="0"/>
        <w:jc w:val="both"/>
        <w:rPr>
          <w:rFonts w:eastAsiaTheme="minorEastAsia"/>
          <w:sz w:val="20"/>
          <w:szCs w:val="20"/>
          <w:lang w:eastAsia="zh-CN"/>
        </w:rPr>
        <w:sectPr w:rsidR="008858A9" w:rsidRPr="004C22EA" w:rsidSect="004C22EA">
          <w:type w:val="continuous"/>
          <w:pgSz w:w="12240" w:h="15840" w:code="1"/>
          <w:pgMar w:top="1440" w:right="1440" w:bottom="1440" w:left="1440" w:header="720" w:footer="720" w:gutter="0"/>
          <w:cols w:num="2" w:space="576"/>
          <w:docGrid w:linePitch="360"/>
        </w:sectPr>
      </w:pPr>
    </w:p>
    <w:p w:rsidR="00727DFF" w:rsidRPr="004C22EA" w:rsidRDefault="00727DFF" w:rsidP="008858A9">
      <w:pPr>
        <w:autoSpaceDE w:val="0"/>
        <w:autoSpaceDN w:val="0"/>
        <w:adjustRightInd w:val="0"/>
        <w:snapToGrid w:val="0"/>
        <w:jc w:val="both"/>
        <w:rPr>
          <w:rFonts w:eastAsiaTheme="minorEastAsia"/>
          <w:sz w:val="20"/>
          <w:szCs w:val="20"/>
          <w:lang w:eastAsia="zh-CN"/>
        </w:rPr>
      </w:pPr>
    </w:p>
    <w:p w:rsidR="008858A9" w:rsidRPr="004C22EA" w:rsidRDefault="008858A9" w:rsidP="008858A9">
      <w:pPr>
        <w:autoSpaceDE w:val="0"/>
        <w:autoSpaceDN w:val="0"/>
        <w:adjustRightInd w:val="0"/>
        <w:snapToGrid w:val="0"/>
        <w:jc w:val="both"/>
        <w:rPr>
          <w:rFonts w:eastAsiaTheme="minorEastAsia"/>
          <w:sz w:val="20"/>
          <w:szCs w:val="20"/>
          <w:lang w:eastAsia="zh-CN"/>
        </w:rPr>
      </w:pPr>
    </w:p>
    <w:p w:rsidR="008858A9" w:rsidRPr="004C22EA" w:rsidRDefault="008858A9" w:rsidP="008858A9">
      <w:pPr>
        <w:autoSpaceDE w:val="0"/>
        <w:autoSpaceDN w:val="0"/>
        <w:adjustRightInd w:val="0"/>
        <w:snapToGrid w:val="0"/>
        <w:jc w:val="both"/>
        <w:rPr>
          <w:rFonts w:eastAsiaTheme="minorEastAsia"/>
          <w:sz w:val="20"/>
          <w:szCs w:val="20"/>
          <w:lang w:eastAsia="zh-CN"/>
        </w:rPr>
      </w:pPr>
    </w:p>
    <w:p w:rsidR="003460A5" w:rsidRPr="004C22EA" w:rsidRDefault="00727DFF" w:rsidP="008858A9">
      <w:pPr>
        <w:autoSpaceDE w:val="0"/>
        <w:autoSpaceDN w:val="0"/>
        <w:adjustRightInd w:val="0"/>
        <w:snapToGrid w:val="0"/>
        <w:jc w:val="both"/>
        <w:rPr>
          <w:rFonts w:eastAsiaTheme="minorHAnsi"/>
          <w:sz w:val="20"/>
          <w:szCs w:val="20"/>
        </w:rPr>
      </w:pPr>
      <w:r w:rsidRPr="004C22EA">
        <w:rPr>
          <w:rFonts w:eastAsiaTheme="minorHAnsi"/>
          <w:sz w:val="20"/>
          <w:szCs w:val="20"/>
        </w:rPr>
        <w:t>5/25/2016</w:t>
      </w:r>
    </w:p>
    <w:sectPr w:rsidR="003460A5" w:rsidRPr="004C22EA" w:rsidSect="00B5770E">
      <w:headerReference w:type="default" r:id="rId15"/>
      <w:footerReference w:type="even" r:id="rId16"/>
      <w:foot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6FF" w:rsidRDefault="00DA76FF" w:rsidP="002C3D53">
      <w:r>
        <w:separator/>
      </w:r>
    </w:p>
  </w:endnote>
  <w:endnote w:type="continuationSeparator" w:id="1">
    <w:p w:rsidR="00DA76FF" w:rsidRDefault="00DA76FF" w:rsidP="002C3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0A" w:rsidRDefault="00426B14" w:rsidP="0078428E">
    <w:pPr>
      <w:pStyle w:val="Footer"/>
      <w:framePr w:wrap="around" w:vAnchor="text" w:hAnchor="margin" w:xAlign="right" w:y="1"/>
      <w:rPr>
        <w:rStyle w:val="PageNumber"/>
      </w:rPr>
    </w:pPr>
    <w:r>
      <w:rPr>
        <w:rStyle w:val="PageNumber"/>
      </w:rPr>
      <w:fldChar w:fldCharType="begin"/>
    </w:r>
    <w:r w:rsidR="0026550A">
      <w:rPr>
        <w:rStyle w:val="PageNumber"/>
      </w:rPr>
      <w:instrText xml:space="preserve">PAGE  </w:instrText>
    </w:r>
    <w:r>
      <w:rPr>
        <w:rStyle w:val="PageNumber"/>
      </w:rPr>
      <w:fldChar w:fldCharType="end"/>
    </w:r>
  </w:p>
  <w:p w:rsidR="0026550A" w:rsidRDefault="0026550A" w:rsidP="007842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0A" w:rsidRPr="00727DFF" w:rsidRDefault="00426B14" w:rsidP="00727DFF">
    <w:pPr>
      <w:jc w:val="center"/>
      <w:rPr>
        <w:sz w:val="20"/>
      </w:rPr>
    </w:pPr>
    <w:r w:rsidRPr="00727DFF">
      <w:rPr>
        <w:sz w:val="20"/>
      </w:rPr>
      <w:fldChar w:fldCharType="begin"/>
    </w:r>
    <w:r w:rsidR="0026550A" w:rsidRPr="00727DFF">
      <w:rPr>
        <w:sz w:val="20"/>
      </w:rPr>
      <w:instrText xml:space="preserve"> page </w:instrText>
    </w:r>
    <w:r w:rsidRPr="00727DFF">
      <w:rPr>
        <w:sz w:val="20"/>
      </w:rPr>
      <w:fldChar w:fldCharType="separate"/>
    </w:r>
    <w:r w:rsidR="002160AB">
      <w:rPr>
        <w:noProof/>
        <w:sz w:val="20"/>
      </w:rPr>
      <w:t>62</w:t>
    </w:r>
    <w:r w:rsidRPr="00727DF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5E" w:rsidRDefault="007F42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BB" w:rsidRDefault="00426B14" w:rsidP="0078428E">
    <w:pPr>
      <w:pStyle w:val="Footer"/>
      <w:framePr w:wrap="around" w:vAnchor="text" w:hAnchor="margin" w:xAlign="right" w:y="1"/>
      <w:rPr>
        <w:rStyle w:val="PageNumber"/>
      </w:rPr>
    </w:pPr>
    <w:r>
      <w:rPr>
        <w:rStyle w:val="PageNumber"/>
      </w:rPr>
      <w:fldChar w:fldCharType="begin"/>
    </w:r>
    <w:r w:rsidR="002043BB">
      <w:rPr>
        <w:rStyle w:val="PageNumber"/>
      </w:rPr>
      <w:instrText xml:space="preserve">PAGE  </w:instrText>
    </w:r>
    <w:r>
      <w:rPr>
        <w:rStyle w:val="PageNumber"/>
      </w:rPr>
      <w:fldChar w:fldCharType="end"/>
    </w:r>
  </w:p>
  <w:p w:rsidR="002043BB" w:rsidRDefault="002043BB" w:rsidP="0078428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BB" w:rsidRPr="00727DFF" w:rsidRDefault="00426B14" w:rsidP="00727DFF">
    <w:pPr>
      <w:jc w:val="center"/>
      <w:rPr>
        <w:sz w:val="20"/>
      </w:rPr>
    </w:pPr>
    <w:r w:rsidRPr="00727DFF">
      <w:rPr>
        <w:sz w:val="20"/>
      </w:rPr>
      <w:fldChar w:fldCharType="begin"/>
    </w:r>
    <w:r w:rsidR="00727DFF" w:rsidRPr="00727DFF">
      <w:rPr>
        <w:sz w:val="20"/>
      </w:rPr>
      <w:instrText xml:space="preserve"> page </w:instrText>
    </w:r>
    <w:r w:rsidRPr="00727DFF">
      <w:rPr>
        <w:sz w:val="20"/>
      </w:rPr>
      <w:fldChar w:fldCharType="separate"/>
    </w:r>
    <w:r w:rsidR="008858A9">
      <w:rPr>
        <w:noProof/>
        <w:sz w:val="20"/>
      </w:rPr>
      <w:t>1</w:t>
    </w:r>
    <w:r w:rsidRPr="00727DF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6FF" w:rsidRDefault="00DA76FF" w:rsidP="002C3D53">
      <w:r>
        <w:separator/>
      </w:r>
    </w:p>
  </w:footnote>
  <w:footnote w:type="continuationSeparator" w:id="1">
    <w:p w:rsidR="00DA76FF" w:rsidRDefault="00DA76FF" w:rsidP="002C3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5E" w:rsidRDefault="007F4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0A" w:rsidRPr="00727DFF" w:rsidRDefault="0026550A" w:rsidP="00727DFF">
    <w:pPr>
      <w:pBdr>
        <w:bottom w:val="thinThickMediumGap" w:sz="12" w:space="1" w:color="auto"/>
      </w:pBdr>
      <w:tabs>
        <w:tab w:val="left" w:pos="851"/>
        <w:tab w:val="right" w:pos="8364"/>
      </w:tabs>
      <w:adjustRightInd w:val="0"/>
      <w:snapToGrid w:val="0"/>
      <w:jc w:val="both"/>
      <w:rPr>
        <w:iCs/>
        <w:sz w:val="20"/>
        <w:szCs w:val="20"/>
      </w:rPr>
    </w:pPr>
    <w:r w:rsidRPr="00727DFF">
      <w:rPr>
        <w:rFonts w:hint="eastAsia"/>
        <w:iCs/>
        <w:color w:val="000000"/>
        <w:sz w:val="20"/>
        <w:szCs w:val="20"/>
      </w:rPr>
      <w:tab/>
    </w:r>
    <w:r w:rsidRPr="00727DFF">
      <w:rPr>
        <w:iCs/>
        <w:color w:val="000000"/>
        <w:sz w:val="20"/>
        <w:szCs w:val="20"/>
      </w:rPr>
      <w:t xml:space="preserve">Researcher </w:t>
    </w:r>
    <w:r w:rsidRPr="00727DFF">
      <w:rPr>
        <w:iCs/>
        <w:sz w:val="20"/>
        <w:szCs w:val="20"/>
      </w:rPr>
      <w:t>201</w:t>
    </w:r>
    <w:r w:rsidRPr="00727DFF">
      <w:rPr>
        <w:rFonts w:hint="eastAsia"/>
        <w:iCs/>
        <w:sz w:val="20"/>
        <w:szCs w:val="20"/>
      </w:rPr>
      <w:t>6</w:t>
    </w:r>
    <w:r w:rsidRPr="00727DFF">
      <w:rPr>
        <w:iCs/>
        <w:sz w:val="20"/>
        <w:szCs w:val="20"/>
      </w:rPr>
      <w:t>;</w:t>
    </w:r>
    <w:r w:rsidRPr="00727DFF">
      <w:rPr>
        <w:rFonts w:hint="eastAsia"/>
        <w:iCs/>
        <w:sz w:val="20"/>
        <w:szCs w:val="20"/>
      </w:rPr>
      <w:t>8</w:t>
    </w:r>
    <w:r w:rsidRPr="00727DFF">
      <w:rPr>
        <w:iCs/>
        <w:sz w:val="20"/>
        <w:szCs w:val="20"/>
      </w:rPr>
      <w:t>(</w:t>
    </w:r>
    <w:r w:rsidRPr="00727DFF">
      <w:rPr>
        <w:rFonts w:hint="eastAsia"/>
        <w:iCs/>
        <w:sz w:val="20"/>
        <w:szCs w:val="20"/>
      </w:rPr>
      <w:t>5</w:t>
    </w:r>
    <w:r w:rsidRPr="00727DFF">
      <w:rPr>
        <w:iCs/>
        <w:sz w:val="20"/>
        <w:szCs w:val="20"/>
      </w:rPr>
      <w:t xml:space="preserve">)  </w:t>
    </w:r>
    <w:r w:rsidRPr="00727DFF">
      <w:rPr>
        <w:rFonts w:hint="eastAsia"/>
        <w:iCs/>
        <w:sz w:val="20"/>
        <w:szCs w:val="20"/>
      </w:rPr>
      <w:t xml:space="preserve"> </w:t>
    </w:r>
    <w:r w:rsidRPr="00727DFF">
      <w:rPr>
        <w:iCs/>
        <w:sz w:val="20"/>
        <w:szCs w:val="20"/>
      </w:rPr>
      <w:t xml:space="preserve"> </w:t>
    </w:r>
    <w:r w:rsidRPr="00727DFF">
      <w:rPr>
        <w:rFonts w:hint="eastAsia"/>
        <w:iCs/>
        <w:sz w:val="20"/>
        <w:szCs w:val="20"/>
      </w:rPr>
      <w:tab/>
    </w:r>
    <w:r w:rsidRPr="00727DFF">
      <w:rPr>
        <w:iCs/>
        <w:sz w:val="20"/>
        <w:szCs w:val="20"/>
      </w:rPr>
      <w:t xml:space="preserve">    </w:t>
    </w:r>
    <w:r w:rsidRPr="00727DFF">
      <w:rPr>
        <w:sz w:val="20"/>
        <w:szCs w:val="20"/>
      </w:rPr>
      <w:t xml:space="preserve"> </w:t>
    </w:r>
    <w:hyperlink r:id="rId1" w:history="1">
      <w:r w:rsidRPr="00727DFF">
        <w:rPr>
          <w:rStyle w:val="Hyperlink"/>
          <w:sz w:val="20"/>
          <w:szCs w:val="20"/>
        </w:rPr>
        <w:t>http://www.sciencepub.net/researcher</w:t>
      </w:r>
    </w:hyperlink>
  </w:p>
  <w:p w:rsidR="0026550A" w:rsidRPr="00727DFF" w:rsidRDefault="0026550A" w:rsidP="00727DF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5E" w:rsidRDefault="007F42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FF" w:rsidRPr="00727DFF" w:rsidRDefault="00727DFF" w:rsidP="00727DFF">
    <w:pPr>
      <w:pBdr>
        <w:bottom w:val="thinThickMediumGap" w:sz="12" w:space="1" w:color="auto"/>
      </w:pBdr>
      <w:tabs>
        <w:tab w:val="left" w:pos="851"/>
        <w:tab w:val="right" w:pos="8364"/>
      </w:tabs>
      <w:adjustRightInd w:val="0"/>
      <w:snapToGrid w:val="0"/>
      <w:jc w:val="both"/>
      <w:rPr>
        <w:iCs/>
        <w:sz w:val="20"/>
        <w:szCs w:val="20"/>
      </w:rPr>
    </w:pPr>
    <w:r w:rsidRPr="00727DFF">
      <w:rPr>
        <w:rFonts w:hint="eastAsia"/>
        <w:iCs/>
        <w:color w:val="000000"/>
        <w:sz w:val="20"/>
        <w:szCs w:val="20"/>
      </w:rPr>
      <w:tab/>
    </w:r>
    <w:r w:rsidRPr="00727DFF">
      <w:rPr>
        <w:iCs/>
        <w:color w:val="000000"/>
        <w:sz w:val="20"/>
        <w:szCs w:val="20"/>
      </w:rPr>
      <w:t xml:space="preserve">Researcher </w:t>
    </w:r>
    <w:r w:rsidRPr="00727DFF">
      <w:rPr>
        <w:iCs/>
        <w:sz w:val="20"/>
        <w:szCs w:val="20"/>
      </w:rPr>
      <w:t>201</w:t>
    </w:r>
    <w:r w:rsidRPr="00727DFF">
      <w:rPr>
        <w:rFonts w:hint="eastAsia"/>
        <w:iCs/>
        <w:sz w:val="20"/>
        <w:szCs w:val="20"/>
      </w:rPr>
      <w:t>6</w:t>
    </w:r>
    <w:r w:rsidRPr="00727DFF">
      <w:rPr>
        <w:iCs/>
        <w:sz w:val="20"/>
        <w:szCs w:val="20"/>
      </w:rPr>
      <w:t>;</w:t>
    </w:r>
    <w:r w:rsidRPr="00727DFF">
      <w:rPr>
        <w:rFonts w:hint="eastAsia"/>
        <w:iCs/>
        <w:sz w:val="20"/>
        <w:szCs w:val="20"/>
      </w:rPr>
      <w:t>8</w:t>
    </w:r>
    <w:r w:rsidRPr="00727DFF">
      <w:rPr>
        <w:iCs/>
        <w:sz w:val="20"/>
        <w:szCs w:val="20"/>
      </w:rPr>
      <w:t>(</w:t>
    </w:r>
    <w:r w:rsidRPr="00727DFF">
      <w:rPr>
        <w:rFonts w:hint="eastAsia"/>
        <w:iCs/>
        <w:sz w:val="20"/>
        <w:szCs w:val="20"/>
      </w:rPr>
      <w:t>5</w:t>
    </w:r>
    <w:r w:rsidRPr="00727DFF">
      <w:rPr>
        <w:iCs/>
        <w:sz w:val="20"/>
        <w:szCs w:val="20"/>
      </w:rPr>
      <w:t xml:space="preserve">)  </w:t>
    </w:r>
    <w:r w:rsidRPr="00727DFF">
      <w:rPr>
        <w:rFonts w:hint="eastAsia"/>
        <w:iCs/>
        <w:sz w:val="20"/>
        <w:szCs w:val="20"/>
      </w:rPr>
      <w:t xml:space="preserve"> </w:t>
    </w:r>
    <w:r w:rsidRPr="00727DFF">
      <w:rPr>
        <w:iCs/>
        <w:sz w:val="20"/>
        <w:szCs w:val="20"/>
      </w:rPr>
      <w:t xml:space="preserve"> </w:t>
    </w:r>
    <w:r w:rsidRPr="00727DFF">
      <w:rPr>
        <w:rFonts w:hint="eastAsia"/>
        <w:iCs/>
        <w:sz w:val="20"/>
        <w:szCs w:val="20"/>
      </w:rPr>
      <w:tab/>
    </w:r>
    <w:r w:rsidRPr="00727DFF">
      <w:rPr>
        <w:iCs/>
        <w:sz w:val="20"/>
        <w:szCs w:val="20"/>
      </w:rPr>
      <w:t xml:space="preserve">    </w:t>
    </w:r>
    <w:r w:rsidRPr="00727DFF">
      <w:rPr>
        <w:sz w:val="20"/>
        <w:szCs w:val="20"/>
      </w:rPr>
      <w:t xml:space="preserve"> </w:t>
    </w:r>
    <w:hyperlink r:id="rId1" w:history="1">
      <w:r w:rsidRPr="00727DFF">
        <w:rPr>
          <w:rStyle w:val="Hyperlink"/>
          <w:sz w:val="20"/>
          <w:szCs w:val="20"/>
        </w:rPr>
        <w:t>http://www.sciencepub.net/researcher</w:t>
      </w:r>
    </w:hyperlink>
  </w:p>
  <w:p w:rsidR="00727DFF" w:rsidRPr="00727DFF" w:rsidRDefault="00727DFF" w:rsidP="00727DF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0F47"/>
    <w:multiLevelType w:val="hybridMultilevel"/>
    <w:tmpl w:val="1E7AA1F8"/>
    <w:lvl w:ilvl="0" w:tplc="1674E7B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415B8E"/>
    <w:multiLevelType w:val="hybridMultilevel"/>
    <w:tmpl w:val="3F2E5986"/>
    <w:lvl w:ilvl="0" w:tplc="1CAE7F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714575"/>
    <w:multiLevelType w:val="multilevel"/>
    <w:tmpl w:val="1E7AA1F8"/>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E7C50C9"/>
    <w:multiLevelType w:val="hybridMultilevel"/>
    <w:tmpl w:val="097A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862C6"/>
    <w:multiLevelType w:val="multilevel"/>
    <w:tmpl w:val="1A78BDD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E0216B"/>
    <w:rsid w:val="00000454"/>
    <w:rsid w:val="00001966"/>
    <w:rsid w:val="000055FB"/>
    <w:rsid w:val="00006DFB"/>
    <w:rsid w:val="00011C09"/>
    <w:rsid w:val="0001264B"/>
    <w:rsid w:val="0001334C"/>
    <w:rsid w:val="000242E7"/>
    <w:rsid w:val="00033B89"/>
    <w:rsid w:val="00033C4E"/>
    <w:rsid w:val="000349DD"/>
    <w:rsid w:val="000357EA"/>
    <w:rsid w:val="00040396"/>
    <w:rsid w:val="000442E1"/>
    <w:rsid w:val="00050E3A"/>
    <w:rsid w:val="00051104"/>
    <w:rsid w:val="00057EC8"/>
    <w:rsid w:val="000610B8"/>
    <w:rsid w:val="00061A38"/>
    <w:rsid w:val="00065238"/>
    <w:rsid w:val="000704C0"/>
    <w:rsid w:val="000737EC"/>
    <w:rsid w:val="00075070"/>
    <w:rsid w:val="000822EF"/>
    <w:rsid w:val="00085EC4"/>
    <w:rsid w:val="0009408B"/>
    <w:rsid w:val="00094A95"/>
    <w:rsid w:val="000B33C1"/>
    <w:rsid w:val="000D2ACA"/>
    <w:rsid w:val="000D5B7C"/>
    <w:rsid w:val="000D6EB3"/>
    <w:rsid w:val="000E2111"/>
    <w:rsid w:val="000E2316"/>
    <w:rsid w:val="000E2610"/>
    <w:rsid w:val="000E46D4"/>
    <w:rsid w:val="000F26EA"/>
    <w:rsid w:val="000F28E6"/>
    <w:rsid w:val="000F64EA"/>
    <w:rsid w:val="000F6F53"/>
    <w:rsid w:val="001004B8"/>
    <w:rsid w:val="00103C45"/>
    <w:rsid w:val="00103C93"/>
    <w:rsid w:val="00104A30"/>
    <w:rsid w:val="00106D71"/>
    <w:rsid w:val="00121E60"/>
    <w:rsid w:val="00124078"/>
    <w:rsid w:val="00124787"/>
    <w:rsid w:val="001261A0"/>
    <w:rsid w:val="00133787"/>
    <w:rsid w:val="00136E86"/>
    <w:rsid w:val="00141AC7"/>
    <w:rsid w:val="00171206"/>
    <w:rsid w:val="00173A65"/>
    <w:rsid w:val="00173EE9"/>
    <w:rsid w:val="00174AE5"/>
    <w:rsid w:val="00185ED0"/>
    <w:rsid w:val="0019591D"/>
    <w:rsid w:val="001966C4"/>
    <w:rsid w:val="001B6048"/>
    <w:rsid w:val="001C1DD5"/>
    <w:rsid w:val="001C4627"/>
    <w:rsid w:val="001C5257"/>
    <w:rsid w:val="001E05C0"/>
    <w:rsid w:val="001E69F3"/>
    <w:rsid w:val="001E7057"/>
    <w:rsid w:val="001F1D86"/>
    <w:rsid w:val="0020131E"/>
    <w:rsid w:val="00201D96"/>
    <w:rsid w:val="002043BB"/>
    <w:rsid w:val="002056C9"/>
    <w:rsid w:val="00206022"/>
    <w:rsid w:val="0020701B"/>
    <w:rsid w:val="002138D2"/>
    <w:rsid w:val="002160AB"/>
    <w:rsid w:val="002201F1"/>
    <w:rsid w:val="00222AF9"/>
    <w:rsid w:val="00223346"/>
    <w:rsid w:val="002236A7"/>
    <w:rsid w:val="00224DC6"/>
    <w:rsid w:val="00225971"/>
    <w:rsid w:val="00237219"/>
    <w:rsid w:val="00240974"/>
    <w:rsid w:val="00244991"/>
    <w:rsid w:val="00245B73"/>
    <w:rsid w:val="0025435D"/>
    <w:rsid w:val="0025622C"/>
    <w:rsid w:val="00256DAF"/>
    <w:rsid w:val="00261639"/>
    <w:rsid w:val="00263D25"/>
    <w:rsid w:val="0026550A"/>
    <w:rsid w:val="002716BB"/>
    <w:rsid w:val="00273098"/>
    <w:rsid w:val="0027495A"/>
    <w:rsid w:val="002807CC"/>
    <w:rsid w:val="002844EB"/>
    <w:rsid w:val="002844FF"/>
    <w:rsid w:val="00292E96"/>
    <w:rsid w:val="002A356D"/>
    <w:rsid w:val="002B1927"/>
    <w:rsid w:val="002B1EFD"/>
    <w:rsid w:val="002B24B0"/>
    <w:rsid w:val="002B2C40"/>
    <w:rsid w:val="002B31F3"/>
    <w:rsid w:val="002C23CB"/>
    <w:rsid w:val="002C3D53"/>
    <w:rsid w:val="002D0EE4"/>
    <w:rsid w:val="002E14B8"/>
    <w:rsid w:val="002E2AB7"/>
    <w:rsid w:val="002E4FF9"/>
    <w:rsid w:val="002E6939"/>
    <w:rsid w:val="002F4AD9"/>
    <w:rsid w:val="002F6781"/>
    <w:rsid w:val="00303BDE"/>
    <w:rsid w:val="00303C0B"/>
    <w:rsid w:val="00305187"/>
    <w:rsid w:val="00310E88"/>
    <w:rsid w:val="003156FF"/>
    <w:rsid w:val="00321D3C"/>
    <w:rsid w:val="003278F6"/>
    <w:rsid w:val="003310A8"/>
    <w:rsid w:val="00331739"/>
    <w:rsid w:val="00333883"/>
    <w:rsid w:val="00334E3F"/>
    <w:rsid w:val="00337AD9"/>
    <w:rsid w:val="00337DF9"/>
    <w:rsid w:val="00340A5E"/>
    <w:rsid w:val="003422B9"/>
    <w:rsid w:val="003460A5"/>
    <w:rsid w:val="00347F66"/>
    <w:rsid w:val="003524D8"/>
    <w:rsid w:val="00375F66"/>
    <w:rsid w:val="00376004"/>
    <w:rsid w:val="0037686E"/>
    <w:rsid w:val="003776F7"/>
    <w:rsid w:val="00380DE7"/>
    <w:rsid w:val="003814F3"/>
    <w:rsid w:val="00381C88"/>
    <w:rsid w:val="003828E9"/>
    <w:rsid w:val="00387AEB"/>
    <w:rsid w:val="00395E3D"/>
    <w:rsid w:val="00395F10"/>
    <w:rsid w:val="003B103E"/>
    <w:rsid w:val="003B18B1"/>
    <w:rsid w:val="003C3F05"/>
    <w:rsid w:val="003E21D7"/>
    <w:rsid w:val="003E2A25"/>
    <w:rsid w:val="003E36D9"/>
    <w:rsid w:val="003F3B42"/>
    <w:rsid w:val="003F472C"/>
    <w:rsid w:val="00410C9D"/>
    <w:rsid w:val="00412396"/>
    <w:rsid w:val="00412E86"/>
    <w:rsid w:val="00416853"/>
    <w:rsid w:val="004200EE"/>
    <w:rsid w:val="00422832"/>
    <w:rsid w:val="00423485"/>
    <w:rsid w:val="00426B14"/>
    <w:rsid w:val="00434B45"/>
    <w:rsid w:val="00445374"/>
    <w:rsid w:val="00447D1A"/>
    <w:rsid w:val="00463235"/>
    <w:rsid w:val="004741A6"/>
    <w:rsid w:val="00482548"/>
    <w:rsid w:val="0048415A"/>
    <w:rsid w:val="00484F68"/>
    <w:rsid w:val="00487941"/>
    <w:rsid w:val="00493E90"/>
    <w:rsid w:val="00495AFF"/>
    <w:rsid w:val="004A3558"/>
    <w:rsid w:val="004C04C3"/>
    <w:rsid w:val="004C22EA"/>
    <w:rsid w:val="004C38A3"/>
    <w:rsid w:val="004C538D"/>
    <w:rsid w:val="004D4C4F"/>
    <w:rsid w:val="004E6E2B"/>
    <w:rsid w:val="004F0B08"/>
    <w:rsid w:val="004F4C76"/>
    <w:rsid w:val="004F78E2"/>
    <w:rsid w:val="005033EE"/>
    <w:rsid w:val="00503A60"/>
    <w:rsid w:val="00510A80"/>
    <w:rsid w:val="00514107"/>
    <w:rsid w:val="005170CD"/>
    <w:rsid w:val="00527820"/>
    <w:rsid w:val="0052787D"/>
    <w:rsid w:val="00531D75"/>
    <w:rsid w:val="00533C7E"/>
    <w:rsid w:val="00537536"/>
    <w:rsid w:val="00544743"/>
    <w:rsid w:val="00554D76"/>
    <w:rsid w:val="00564B59"/>
    <w:rsid w:val="0057253C"/>
    <w:rsid w:val="00572962"/>
    <w:rsid w:val="00581F6D"/>
    <w:rsid w:val="0058271F"/>
    <w:rsid w:val="0058285D"/>
    <w:rsid w:val="00585E6E"/>
    <w:rsid w:val="0059175B"/>
    <w:rsid w:val="00594E83"/>
    <w:rsid w:val="00597051"/>
    <w:rsid w:val="005A0129"/>
    <w:rsid w:val="005A189D"/>
    <w:rsid w:val="005A655C"/>
    <w:rsid w:val="005B14E6"/>
    <w:rsid w:val="005B36C1"/>
    <w:rsid w:val="005B5123"/>
    <w:rsid w:val="005B7D10"/>
    <w:rsid w:val="005C1C7E"/>
    <w:rsid w:val="005C3A29"/>
    <w:rsid w:val="005C48BE"/>
    <w:rsid w:val="005C4AA9"/>
    <w:rsid w:val="005D04E5"/>
    <w:rsid w:val="005D5AE7"/>
    <w:rsid w:val="005D5AF9"/>
    <w:rsid w:val="005E0042"/>
    <w:rsid w:val="005E6D8E"/>
    <w:rsid w:val="005F417D"/>
    <w:rsid w:val="00610ED0"/>
    <w:rsid w:val="0061489B"/>
    <w:rsid w:val="006178BD"/>
    <w:rsid w:val="00623FA6"/>
    <w:rsid w:val="006308F2"/>
    <w:rsid w:val="00652B1A"/>
    <w:rsid w:val="0065486A"/>
    <w:rsid w:val="00654B7A"/>
    <w:rsid w:val="00656988"/>
    <w:rsid w:val="006578B4"/>
    <w:rsid w:val="006676B6"/>
    <w:rsid w:val="00675C66"/>
    <w:rsid w:val="006774BD"/>
    <w:rsid w:val="006857A2"/>
    <w:rsid w:val="00686ABF"/>
    <w:rsid w:val="00694DBE"/>
    <w:rsid w:val="006B04DE"/>
    <w:rsid w:val="006B0CC3"/>
    <w:rsid w:val="006B3553"/>
    <w:rsid w:val="006D7D2E"/>
    <w:rsid w:val="006F4E64"/>
    <w:rsid w:val="00700DC5"/>
    <w:rsid w:val="00716212"/>
    <w:rsid w:val="007226BF"/>
    <w:rsid w:val="0072366F"/>
    <w:rsid w:val="00723DB4"/>
    <w:rsid w:val="007276BA"/>
    <w:rsid w:val="00727DFF"/>
    <w:rsid w:val="00732FDA"/>
    <w:rsid w:val="00740EE8"/>
    <w:rsid w:val="007509B3"/>
    <w:rsid w:val="007520AE"/>
    <w:rsid w:val="00753151"/>
    <w:rsid w:val="00757287"/>
    <w:rsid w:val="00761702"/>
    <w:rsid w:val="00765D09"/>
    <w:rsid w:val="00774A45"/>
    <w:rsid w:val="007760F9"/>
    <w:rsid w:val="00776457"/>
    <w:rsid w:val="0078173D"/>
    <w:rsid w:val="0078428E"/>
    <w:rsid w:val="00797023"/>
    <w:rsid w:val="007A1647"/>
    <w:rsid w:val="007C0299"/>
    <w:rsid w:val="007C084B"/>
    <w:rsid w:val="007C2EF7"/>
    <w:rsid w:val="007C4F62"/>
    <w:rsid w:val="007D197D"/>
    <w:rsid w:val="007D5150"/>
    <w:rsid w:val="007D54D8"/>
    <w:rsid w:val="007D55BC"/>
    <w:rsid w:val="007D55BE"/>
    <w:rsid w:val="007D7A50"/>
    <w:rsid w:val="007E659F"/>
    <w:rsid w:val="007E7C8B"/>
    <w:rsid w:val="007F1C16"/>
    <w:rsid w:val="007F425E"/>
    <w:rsid w:val="00813E3E"/>
    <w:rsid w:val="00820863"/>
    <w:rsid w:val="00820B86"/>
    <w:rsid w:val="0082166B"/>
    <w:rsid w:val="00826EAC"/>
    <w:rsid w:val="008357CE"/>
    <w:rsid w:val="008371A8"/>
    <w:rsid w:val="0085060C"/>
    <w:rsid w:val="00852088"/>
    <w:rsid w:val="00854BDC"/>
    <w:rsid w:val="008629EB"/>
    <w:rsid w:val="00872FD3"/>
    <w:rsid w:val="0087738B"/>
    <w:rsid w:val="0088087B"/>
    <w:rsid w:val="008858A9"/>
    <w:rsid w:val="008906F8"/>
    <w:rsid w:val="008B30F4"/>
    <w:rsid w:val="008B4FE2"/>
    <w:rsid w:val="008C398D"/>
    <w:rsid w:val="008C498D"/>
    <w:rsid w:val="008D1808"/>
    <w:rsid w:val="008D2B5A"/>
    <w:rsid w:val="008D3E97"/>
    <w:rsid w:val="008E05AF"/>
    <w:rsid w:val="008E2442"/>
    <w:rsid w:val="008E2C6A"/>
    <w:rsid w:val="008E761C"/>
    <w:rsid w:val="008F32F6"/>
    <w:rsid w:val="008F7C03"/>
    <w:rsid w:val="00902B32"/>
    <w:rsid w:val="0090377B"/>
    <w:rsid w:val="009048D1"/>
    <w:rsid w:val="009145CF"/>
    <w:rsid w:val="00920049"/>
    <w:rsid w:val="00930001"/>
    <w:rsid w:val="009331E1"/>
    <w:rsid w:val="00941B41"/>
    <w:rsid w:val="00943524"/>
    <w:rsid w:val="00952D0F"/>
    <w:rsid w:val="00953ACC"/>
    <w:rsid w:val="0095790E"/>
    <w:rsid w:val="009656DE"/>
    <w:rsid w:val="009662B5"/>
    <w:rsid w:val="00966CDE"/>
    <w:rsid w:val="009673B9"/>
    <w:rsid w:val="00970B83"/>
    <w:rsid w:val="00977BA9"/>
    <w:rsid w:val="00986596"/>
    <w:rsid w:val="00990BFB"/>
    <w:rsid w:val="0099270D"/>
    <w:rsid w:val="009A42F8"/>
    <w:rsid w:val="009B22E9"/>
    <w:rsid w:val="009B431D"/>
    <w:rsid w:val="009C33B8"/>
    <w:rsid w:val="009D111A"/>
    <w:rsid w:val="009D2D91"/>
    <w:rsid w:val="009E5F6C"/>
    <w:rsid w:val="00A154E3"/>
    <w:rsid w:val="00A26058"/>
    <w:rsid w:val="00A36D6B"/>
    <w:rsid w:val="00A45D3E"/>
    <w:rsid w:val="00A46FF0"/>
    <w:rsid w:val="00A5191B"/>
    <w:rsid w:val="00A61E8E"/>
    <w:rsid w:val="00A66E94"/>
    <w:rsid w:val="00A70CBC"/>
    <w:rsid w:val="00A75BD8"/>
    <w:rsid w:val="00A8547B"/>
    <w:rsid w:val="00A87F0B"/>
    <w:rsid w:val="00A9404E"/>
    <w:rsid w:val="00AA26D8"/>
    <w:rsid w:val="00AA7BBE"/>
    <w:rsid w:val="00AB0BAE"/>
    <w:rsid w:val="00AB4477"/>
    <w:rsid w:val="00AB620B"/>
    <w:rsid w:val="00AC653E"/>
    <w:rsid w:val="00AC7CB7"/>
    <w:rsid w:val="00AD76D6"/>
    <w:rsid w:val="00AD782E"/>
    <w:rsid w:val="00AE2353"/>
    <w:rsid w:val="00AE6FD0"/>
    <w:rsid w:val="00AF374B"/>
    <w:rsid w:val="00B04F86"/>
    <w:rsid w:val="00B21C57"/>
    <w:rsid w:val="00B2299F"/>
    <w:rsid w:val="00B25014"/>
    <w:rsid w:val="00B34270"/>
    <w:rsid w:val="00B34801"/>
    <w:rsid w:val="00B50CE7"/>
    <w:rsid w:val="00B5770E"/>
    <w:rsid w:val="00B57D4C"/>
    <w:rsid w:val="00B72115"/>
    <w:rsid w:val="00B84DF9"/>
    <w:rsid w:val="00B86472"/>
    <w:rsid w:val="00B87D6B"/>
    <w:rsid w:val="00B920C9"/>
    <w:rsid w:val="00BA2F73"/>
    <w:rsid w:val="00BA5023"/>
    <w:rsid w:val="00BA6B30"/>
    <w:rsid w:val="00BA6B42"/>
    <w:rsid w:val="00BB0467"/>
    <w:rsid w:val="00BB20B9"/>
    <w:rsid w:val="00BC1CEB"/>
    <w:rsid w:val="00BC4954"/>
    <w:rsid w:val="00BC4BC4"/>
    <w:rsid w:val="00BD0C0F"/>
    <w:rsid w:val="00BD4EAE"/>
    <w:rsid w:val="00BD5FD3"/>
    <w:rsid w:val="00BF0541"/>
    <w:rsid w:val="00BF09C1"/>
    <w:rsid w:val="00BF5A77"/>
    <w:rsid w:val="00BF5C76"/>
    <w:rsid w:val="00BF7DF9"/>
    <w:rsid w:val="00C16898"/>
    <w:rsid w:val="00C22261"/>
    <w:rsid w:val="00C34744"/>
    <w:rsid w:val="00C34CBA"/>
    <w:rsid w:val="00C34D67"/>
    <w:rsid w:val="00C44D51"/>
    <w:rsid w:val="00C46125"/>
    <w:rsid w:val="00C4781E"/>
    <w:rsid w:val="00C47A07"/>
    <w:rsid w:val="00C5077E"/>
    <w:rsid w:val="00C518CA"/>
    <w:rsid w:val="00C60936"/>
    <w:rsid w:val="00C70CDC"/>
    <w:rsid w:val="00C84E1E"/>
    <w:rsid w:val="00C90519"/>
    <w:rsid w:val="00C927C8"/>
    <w:rsid w:val="00C93312"/>
    <w:rsid w:val="00C967B2"/>
    <w:rsid w:val="00CA217D"/>
    <w:rsid w:val="00CA380D"/>
    <w:rsid w:val="00CA3902"/>
    <w:rsid w:val="00CA4AA9"/>
    <w:rsid w:val="00CA5698"/>
    <w:rsid w:val="00CC2490"/>
    <w:rsid w:val="00CC36E8"/>
    <w:rsid w:val="00CC5CC0"/>
    <w:rsid w:val="00CC65AB"/>
    <w:rsid w:val="00CD25E8"/>
    <w:rsid w:val="00CD5CEB"/>
    <w:rsid w:val="00CD5E60"/>
    <w:rsid w:val="00CE0113"/>
    <w:rsid w:val="00CE1727"/>
    <w:rsid w:val="00CF3604"/>
    <w:rsid w:val="00CF4946"/>
    <w:rsid w:val="00D01566"/>
    <w:rsid w:val="00D03172"/>
    <w:rsid w:val="00D11CED"/>
    <w:rsid w:val="00D15412"/>
    <w:rsid w:val="00D17095"/>
    <w:rsid w:val="00D24CBF"/>
    <w:rsid w:val="00D24EBC"/>
    <w:rsid w:val="00D26BC7"/>
    <w:rsid w:val="00D27CE2"/>
    <w:rsid w:val="00D31920"/>
    <w:rsid w:val="00D3525C"/>
    <w:rsid w:val="00D40B51"/>
    <w:rsid w:val="00D42F66"/>
    <w:rsid w:val="00D44E94"/>
    <w:rsid w:val="00D5646F"/>
    <w:rsid w:val="00D63671"/>
    <w:rsid w:val="00D70AF9"/>
    <w:rsid w:val="00D77556"/>
    <w:rsid w:val="00D84D8D"/>
    <w:rsid w:val="00D85D47"/>
    <w:rsid w:val="00D86445"/>
    <w:rsid w:val="00D90289"/>
    <w:rsid w:val="00D90877"/>
    <w:rsid w:val="00D922A9"/>
    <w:rsid w:val="00DA1A46"/>
    <w:rsid w:val="00DA3CE4"/>
    <w:rsid w:val="00DA4AB5"/>
    <w:rsid w:val="00DA76FF"/>
    <w:rsid w:val="00DB17DA"/>
    <w:rsid w:val="00DB7FD9"/>
    <w:rsid w:val="00DD07EB"/>
    <w:rsid w:val="00DD4033"/>
    <w:rsid w:val="00DD6AB4"/>
    <w:rsid w:val="00DD7D3C"/>
    <w:rsid w:val="00DE17B1"/>
    <w:rsid w:val="00DE1A36"/>
    <w:rsid w:val="00DE1E35"/>
    <w:rsid w:val="00DE6A06"/>
    <w:rsid w:val="00E015C4"/>
    <w:rsid w:val="00E0216B"/>
    <w:rsid w:val="00E02AAC"/>
    <w:rsid w:val="00E03A3C"/>
    <w:rsid w:val="00E05272"/>
    <w:rsid w:val="00E24B49"/>
    <w:rsid w:val="00E32A76"/>
    <w:rsid w:val="00E355A9"/>
    <w:rsid w:val="00E40BCC"/>
    <w:rsid w:val="00E431C7"/>
    <w:rsid w:val="00E467D9"/>
    <w:rsid w:val="00E561A6"/>
    <w:rsid w:val="00E6037A"/>
    <w:rsid w:val="00E606B6"/>
    <w:rsid w:val="00E618ED"/>
    <w:rsid w:val="00E6454B"/>
    <w:rsid w:val="00E7336B"/>
    <w:rsid w:val="00E7385E"/>
    <w:rsid w:val="00E81B4D"/>
    <w:rsid w:val="00E86DFF"/>
    <w:rsid w:val="00E979AD"/>
    <w:rsid w:val="00EA245D"/>
    <w:rsid w:val="00EA4C36"/>
    <w:rsid w:val="00EB7045"/>
    <w:rsid w:val="00EB70C2"/>
    <w:rsid w:val="00EB7A41"/>
    <w:rsid w:val="00EC0952"/>
    <w:rsid w:val="00EC5C6C"/>
    <w:rsid w:val="00EC7C20"/>
    <w:rsid w:val="00ED6214"/>
    <w:rsid w:val="00EF415E"/>
    <w:rsid w:val="00EF58FF"/>
    <w:rsid w:val="00F03EDB"/>
    <w:rsid w:val="00F1203B"/>
    <w:rsid w:val="00F15361"/>
    <w:rsid w:val="00F226D9"/>
    <w:rsid w:val="00F25C64"/>
    <w:rsid w:val="00F27202"/>
    <w:rsid w:val="00F32184"/>
    <w:rsid w:val="00F36585"/>
    <w:rsid w:val="00F42E11"/>
    <w:rsid w:val="00F51825"/>
    <w:rsid w:val="00F5793D"/>
    <w:rsid w:val="00F6193E"/>
    <w:rsid w:val="00F66A1B"/>
    <w:rsid w:val="00F75CB5"/>
    <w:rsid w:val="00F83674"/>
    <w:rsid w:val="00F9364C"/>
    <w:rsid w:val="00F94608"/>
    <w:rsid w:val="00F974B9"/>
    <w:rsid w:val="00FB0316"/>
    <w:rsid w:val="00FB46A0"/>
    <w:rsid w:val="00FB7377"/>
    <w:rsid w:val="00FC11C4"/>
    <w:rsid w:val="00FC4BB1"/>
    <w:rsid w:val="00FD01F0"/>
    <w:rsid w:val="00FE2E30"/>
    <w:rsid w:val="00FE66D8"/>
    <w:rsid w:val="00FF6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21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021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21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16B"/>
    <w:rPr>
      <w:rFonts w:ascii="Arial" w:eastAsia="Times New Roman" w:hAnsi="Arial" w:cs="Arial"/>
      <w:b/>
      <w:bCs/>
      <w:kern w:val="32"/>
      <w:sz w:val="32"/>
      <w:szCs w:val="32"/>
    </w:rPr>
  </w:style>
  <w:style w:type="character" w:customStyle="1" w:styleId="Heading2Char">
    <w:name w:val="Heading 2 Char"/>
    <w:basedOn w:val="DefaultParagraphFont"/>
    <w:link w:val="Heading2"/>
    <w:rsid w:val="00E0216B"/>
    <w:rPr>
      <w:rFonts w:ascii="Arial" w:eastAsia="Times New Roman" w:hAnsi="Arial" w:cs="Arial"/>
      <w:b/>
      <w:bCs/>
      <w:i/>
      <w:iCs/>
      <w:sz w:val="28"/>
      <w:szCs w:val="28"/>
    </w:rPr>
  </w:style>
  <w:style w:type="character" w:customStyle="1" w:styleId="Heading3Char">
    <w:name w:val="Heading 3 Char"/>
    <w:basedOn w:val="DefaultParagraphFont"/>
    <w:link w:val="Heading3"/>
    <w:rsid w:val="00E0216B"/>
    <w:rPr>
      <w:rFonts w:ascii="Arial" w:eastAsia="Times New Roman" w:hAnsi="Arial" w:cs="Arial"/>
      <w:b/>
      <w:bCs/>
      <w:sz w:val="26"/>
      <w:szCs w:val="26"/>
    </w:rPr>
  </w:style>
  <w:style w:type="table" w:styleId="TableGrid">
    <w:name w:val="Table Grid"/>
    <w:basedOn w:val="TableNormal"/>
    <w:rsid w:val="00E021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E0216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rsid w:val="00E0216B"/>
    <w:pPr>
      <w:tabs>
        <w:tab w:val="left" w:leader="dot" w:pos="7938"/>
      </w:tabs>
      <w:spacing w:line="360" w:lineRule="auto"/>
      <w:jc w:val="both"/>
    </w:pPr>
  </w:style>
  <w:style w:type="character" w:customStyle="1" w:styleId="BodyText2Char">
    <w:name w:val="Body Text 2 Char"/>
    <w:basedOn w:val="DefaultParagraphFont"/>
    <w:link w:val="BodyText2"/>
    <w:rsid w:val="00E0216B"/>
    <w:rPr>
      <w:rFonts w:ascii="Times New Roman" w:eastAsia="Times New Roman" w:hAnsi="Times New Roman" w:cs="Times New Roman"/>
      <w:sz w:val="24"/>
      <w:szCs w:val="24"/>
    </w:rPr>
  </w:style>
  <w:style w:type="paragraph" w:styleId="BodyTextIndent">
    <w:name w:val="Body Text Indent"/>
    <w:basedOn w:val="Normal"/>
    <w:link w:val="BodyTextIndentChar"/>
    <w:rsid w:val="00E0216B"/>
    <w:pPr>
      <w:spacing w:after="120"/>
      <w:ind w:left="360"/>
    </w:pPr>
  </w:style>
  <w:style w:type="character" w:customStyle="1" w:styleId="BodyTextIndentChar">
    <w:name w:val="Body Text Indent Char"/>
    <w:basedOn w:val="DefaultParagraphFont"/>
    <w:link w:val="BodyTextIndent"/>
    <w:rsid w:val="00E0216B"/>
    <w:rPr>
      <w:rFonts w:ascii="Times New Roman" w:eastAsia="Times New Roman" w:hAnsi="Times New Roman" w:cs="Times New Roman"/>
      <w:sz w:val="24"/>
      <w:szCs w:val="24"/>
    </w:rPr>
  </w:style>
  <w:style w:type="paragraph" w:styleId="BodyText">
    <w:name w:val="Body Text"/>
    <w:basedOn w:val="Normal"/>
    <w:link w:val="BodyTextChar"/>
    <w:rsid w:val="00E0216B"/>
    <w:pPr>
      <w:spacing w:after="120"/>
    </w:pPr>
  </w:style>
  <w:style w:type="character" w:customStyle="1" w:styleId="BodyTextChar">
    <w:name w:val="Body Text Char"/>
    <w:basedOn w:val="DefaultParagraphFont"/>
    <w:link w:val="BodyText"/>
    <w:rsid w:val="00E0216B"/>
    <w:rPr>
      <w:rFonts w:ascii="Times New Roman" w:eastAsia="Times New Roman" w:hAnsi="Times New Roman" w:cs="Times New Roman"/>
      <w:sz w:val="24"/>
      <w:szCs w:val="24"/>
    </w:rPr>
  </w:style>
  <w:style w:type="paragraph" w:styleId="Footer">
    <w:name w:val="footer"/>
    <w:basedOn w:val="Normal"/>
    <w:link w:val="FooterChar"/>
    <w:rsid w:val="00E0216B"/>
    <w:pPr>
      <w:tabs>
        <w:tab w:val="center" w:pos="4320"/>
        <w:tab w:val="right" w:pos="8640"/>
      </w:tabs>
    </w:pPr>
  </w:style>
  <w:style w:type="character" w:customStyle="1" w:styleId="FooterChar">
    <w:name w:val="Footer Char"/>
    <w:basedOn w:val="DefaultParagraphFont"/>
    <w:link w:val="Footer"/>
    <w:rsid w:val="00E0216B"/>
    <w:rPr>
      <w:rFonts w:ascii="Times New Roman" w:eastAsia="Times New Roman" w:hAnsi="Times New Roman" w:cs="Times New Roman"/>
      <w:sz w:val="24"/>
      <w:szCs w:val="24"/>
    </w:rPr>
  </w:style>
  <w:style w:type="character" w:styleId="PageNumber">
    <w:name w:val="page number"/>
    <w:basedOn w:val="DefaultParagraphFont"/>
    <w:rsid w:val="00E0216B"/>
  </w:style>
  <w:style w:type="paragraph" w:styleId="TOC1">
    <w:name w:val="toc 1"/>
    <w:basedOn w:val="Normal"/>
    <w:next w:val="Normal"/>
    <w:autoRedefine/>
    <w:semiHidden/>
    <w:rsid w:val="00E0216B"/>
  </w:style>
  <w:style w:type="paragraph" w:styleId="TOC2">
    <w:name w:val="toc 2"/>
    <w:basedOn w:val="Normal"/>
    <w:next w:val="Normal"/>
    <w:autoRedefine/>
    <w:semiHidden/>
    <w:rsid w:val="00E0216B"/>
    <w:pPr>
      <w:ind w:left="240"/>
    </w:pPr>
  </w:style>
  <w:style w:type="paragraph" w:styleId="TOC3">
    <w:name w:val="toc 3"/>
    <w:basedOn w:val="Normal"/>
    <w:next w:val="Normal"/>
    <w:autoRedefine/>
    <w:semiHidden/>
    <w:rsid w:val="00E0216B"/>
    <w:pPr>
      <w:ind w:left="480"/>
    </w:pPr>
  </w:style>
  <w:style w:type="character" w:styleId="Hyperlink">
    <w:name w:val="Hyperlink"/>
    <w:basedOn w:val="DefaultParagraphFont"/>
    <w:rsid w:val="00E0216B"/>
    <w:rPr>
      <w:color w:val="0000FF"/>
      <w:u w:val="single"/>
    </w:rPr>
  </w:style>
  <w:style w:type="paragraph" w:styleId="Header">
    <w:name w:val="header"/>
    <w:basedOn w:val="Normal"/>
    <w:link w:val="HeaderChar"/>
    <w:uiPriority w:val="99"/>
    <w:semiHidden/>
    <w:unhideWhenUsed/>
    <w:rsid w:val="002C3D53"/>
    <w:pPr>
      <w:tabs>
        <w:tab w:val="center" w:pos="4680"/>
        <w:tab w:val="right" w:pos="9360"/>
      </w:tabs>
    </w:pPr>
  </w:style>
  <w:style w:type="character" w:customStyle="1" w:styleId="HeaderChar">
    <w:name w:val="Header Char"/>
    <w:basedOn w:val="DefaultParagraphFont"/>
    <w:link w:val="Header"/>
    <w:uiPriority w:val="99"/>
    <w:semiHidden/>
    <w:rsid w:val="002C3D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0B9"/>
    <w:rPr>
      <w:rFonts w:ascii="Tahoma" w:hAnsi="Tahoma" w:cs="Tahoma"/>
      <w:sz w:val="16"/>
      <w:szCs w:val="16"/>
    </w:rPr>
  </w:style>
  <w:style w:type="character" w:customStyle="1" w:styleId="BalloonTextChar">
    <w:name w:val="Balloon Text Char"/>
    <w:basedOn w:val="DefaultParagraphFont"/>
    <w:link w:val="BalloonText"/>
    <w:uiPriority w:val="99"/>
    <w:semiHidden/>
    <w:rsid w:val="00BB20B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20B9"/>
    <w:rPr>
      <w:sz w:val="16"/>
      <w:szCs w:val="16"/>
    </w:rPr>
  </w:style>
  <w:style w:type="paragraph" w:styleId="CommentText">
    <w:name w:val="annotation text"/>
    <w:basedOn w:val="Normal"/>
    <w:link w:val="CommentTextChar"/>
    <w:uiPriority w:val="99"/>
    <w:semiHidden/>
    <w:unhideWhenUsed/>
    <w:rsid w:val="00BB20B9"/>
    <w:rPr>
      <w:sz w:val="20"/>
      <w:szCs w:val="20"/>
    </w:rPr>
  </w:style>
  <w:style w:type="character" w:customStyle="1" w:styleId="CommentTextChar">
    <w:name w:val="Comment Text Char"/>
    <w:basedOn w:val="DefaultParagraphFont"/>
    <w:link w:val="CommentText"/>
    <w:uiPriority w:val="99"/>
    <w:semiHidden/>
    <w:rsid w:val="00BB20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0B9"/>
    <w:rPr>
      <w:b/>
      <w:bCs/>
    </w:rPr>
  </w:style>
  <w:style w:type="character" w:customStyle="1" w:styleId="CommentSubjectChar">
    <w:name w:val="Comment Subject Char"/>
    <w:basedOn w:val="CommentTextChar"/>
    <w:link w:val="CommentSubject"/>
    <w:uiPriority w:val="99"/>
    <w:semiHidden/>
    <w:rsid w:val="00BB20B9"/>
    <w:rPr>
      <w:b/>
      <w:bCs/>
    </w:rPr>
  </w:style>
  <w:style w:type="table" w:styleId="LightShading-Accent3">
    <w:name w:val="Light Shading Accent 3"/>
    <w:basedOn w:val="TableNormal"/>
    <w:uiPriority w:val="60"/>
    <w:rsid w:val="0000196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001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C398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346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5161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2016-05-27T01:29:00Z</cp:lastPrinted>
  <dcterms:created xsi:type="dcterms:W3CDTF">2016-05-31T07:31:00Z</dcterms:created>
  <dcterms:modified xsi:type="dcterms:W3CDTF">2016-05-31T07:31:00Z</dcterms:modified>
</cp:coreProperties>
</file>