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E1E" w:rsidRPr="002763D5" w:rsidRDefault="005A0E1E" w:rsidP="002A2E35">
      <w:pPr>
        <w:snapToGrid w:val="0"/>
        <w:jc w:val="center"/>
        <w:rPr>
          <w:b/>
          <w:bCs/>
          <w:sz w:val="20"/>
          <w:szCs w:val="20"/>
        </w:rPr>
      </w:pPr>
      <w:r w:rsidRPr="002763D5">
        <w:rPr>
          <w:b/>
          <w:bCs/>
          <w:sz w:val="20"/>
          <w:szCs w:val="20"/>
        </w:rPr>
        <w:t xml:space="preserve">Examine the relationship between organizational commitment and job burnout of personnel in Health centers of </w:t>
      </w:r>
      <w:proofErr w:type="spellStart"/>
      <w:r w:rsidRPr="002763D5">
        <w:rPr>
          <w:b/>
          <w:bCs/>
          <w:sz w:val="20"/>
          <w:szCs w:val="20"/>
        </w:rPr>
        <w:t>Amol</w:t>
      </w:r>
      <w:proofErr w:type="spellEnd"/>
      <w:r w:rsidRPr="002763D5">
        <w:rPr>
          <w:b/>
          <w:bCs/>
          <w:sz w:val="20"/>
          <w:szCs w:val="20"/>
        </w:rPr>
        <w:t xml:space="preserve"> city</w:t>
      </w:r>
    </w:p>
    <w:p w:rsidR="00480715" w:rsidRPr="002763D5" w:rsidRDefault="00480715" w:rsidP="002A2E35">
      <w:pPr>
        <w:snapToGrid w:val="0"/>
        <w:jc w:val="center"/>
        <w:rPr>
          <w:sz w:val="20"/>
          <w:szCs w:val="20"/>
          <w:lang w:eastAsia="zh-CN"/>
        </w:rPr>
      </w:pPr>
    </w:p>
    <w:p w:rsidR="005A0E1E" w:rsidRPr="002763D5" w:rsidRDefault="005A0E1E" w:rsidP="002A2E35">
      <w:pPr>
        <w:snapToGrid w:val="0"/>
        <w:jc w:val="center"/>
        <w:rPr>
          <w:sz w:val="20"/>
          <w:szCs w:val="20"/>
          <w:vertAlign w:val="superscript"/>
        </w:rPr>
      </w:pPr>
      <w:proofErr w:type="spellStart"/>
      <w:r w:rsidRPr="002763D5">
        <w:rPr>
          <w:sz w:val="20"/>
          <w:szCs w:val="20"/>
          <w:u w:val="single"/>
        </w:rPr>
        <w:t>Asgari</w:t>
      </w:r>
      <w:proofErr w:type="spellEnd"/>
      <w:r w:rsidRPr="002763D5">
        <w:rPr>
          <w:sz w:val="20"/>
          <w:szCs w:val="20"/>
          <w:u w:val="single"/>
        </w:rPr>
        <w:t xml:space="preserve"> Heidari</w:t>
      </w:r>
      <w:r w:rsidRPr="002763D5">
        <w:rPr>
          <w:sz w:val="20"/>
          <w:szCs w:val="20"/>
          <w:vertAlign w:val="superscript"/>
        </w:rPr>
        <w:t>1</w:t>
      </w:r>
      <w:r w:rsidRPr="002763D5">
        <w:rPr>
          <w:sz w:val="20"/>
          <w:szCs w:val="20"/>
        </w:rPr>
        <w:t>, Mohammad Shirzad</w:t>
      </w:r>
      <w:r w:rsidRPr="002763D5">
        <w:rPr>
          <w:sz w:val="20"/>
          <w:szCs w:val="20"/>
          <w:vertAlign w:val="superscript"/>
        </w:rPr>
        <w:t>2</w:t>
      </w:r>
    </w:p>
    <w:p w:rsidR="005A0E1E" w:rsidRPr="002763D5" w:rsidRDefault="005A0E1E" w:rsidP="002A2E35">
      <w:pPr>
        <w:snapToGrid w:val="0"/>
        <w:jc w:val="center"/>
        <w:rPr>
          <w:sz w:val="20"/>
          <w:szCs w:val="20"/>
          <w:vertAlign w:val="superscript"/>
        </w:rPr>
      </w:pPr>
    </w:p>
    <w:p w:rsidR="005A0E1E" w:rsidRPr="002763D5" w:rsidRDefault="005A0E1E" w:rsidP="002A2E35">
      <w:pPr>
        <w:snapToGrid w:val="0"/>
        <w:jc w:val="center"/>
        <w:rPr>
          <w:sz w:val="20"/>
          <w:szCs w:val="20"/>
          <w:lang w:bidi="fa-IR"/>
        </w:rPr>
      </w:pPr>
      <w:r w:rsidRPr="002763D5">
        <w:rPr>
          <w:sz w:val="20"/>
          <w:szCs w:val="20"/>
          <w:vertAlign w:val="superscript"/>
        </w:rPr>
        <w:t xml:space="preserve">1. </w:t>
      </w:r>
      <w:proofErr w:type="spellStart"/>
      <w:r w:rsidRPr="002763D5">
        <w:rPr>
          <w:sz w:val="20"/>
          <w:szCs w:val="20"/>
        </w:rPr>
        <w:t>MSc</w:t>
      </w:r>
      <w:proofErr w:type="spellEnd"/>
      <w:r w:rsidRPr="002763D5">
        <w:rPr>
          <w:sz w:val="20"/>
          <w:szCs w:val="20"/>
        </w:rPr>
        <w:t xml:space="preserve"> of Health Care Management, Islamic Azad University, Science and Research Branch, Tehran, Iran</w:t>
      </w:r>
    </w:p>
    <w:p w:rsidR="005A0E1E" w:rsidRPr="002763D5" w:rsidRDefault="005A0E1E" w:rsidP="002A2E35">
      <w:pPr>
        <w:snapToGrid w:val="0"/>
        <w:jc w:val="center"/>
        <w:rPr>
          <w:sz w:val="20"/>
          <w:szCs w:val="20"/>
        </w:rPr>
      </w:pPr>
      <w:r w:rsidRPr="002763D5">
        <w:rPr>
          <w:sz w:val="20"/>
          <w:szCs w:val="20"/>
          <w:vertAlign w:val="superscript"/>
        </w:rPr>
        <w:t xml:space="preserve">2. </w:t>
      </w:r>
      <w:r w:rsidRPr="002763D5">
        <w:rPr>
          <w:sz w:val="20"/>
          <w:szCs w:val="20"/>
        </w:rPr>
        <w:t xml:space="preserve">BA of Public Health, </w:t>
      </w:r>
      <w:proofErr w:type="spellStart"/>
      <w:r w:rsidRPr="002763D5">
        <w:rPr>
          <w:sz w:val="20"/>
          <w:szCs w:val="20"/>
        </w:rPr>
        <w:t>Mazandaran</w:t>
      </w:r>
      <w:proofErr w:type="spellEnd"/>
      <w:r w:rsidRPr="002763D5">
        <w:rPr>
          <w:sz w:val="20"/>
          <w:szCs w:val="20"/>
        </w:rPr>
        <w:t xml:space="preserve"> University of Medical Sciences, </w:t>
      </w:r>
      <w:proofErr w:type="spellStart"/>
      <w:r w:rsidRPr="002763D5">
        <w:rPr>
          <w:sz w:val="20"/>
          <w:szCs w:val="20"/>
        </w:rPr>
        <w:t>Mazandaran</w:t>
      </w:r>
      <w:proofErr w:type="spellEnd"/>
      <w:r w:rsidRPr="002763D5">
        <w:rPr>
          <w:sz w:val="20"/>
          <w:szCs w:val="20"/>
        </w:rPr>
        <w:t>, Iran</w:t>
      </w:r>
    </w:p>
    <w:p w:rsidR="001817C7" w:rsidRPr="002763D5" w:rsidRDefault="007552CE" w:rsidP="002A2E35">
      <w:pPr>
        <w:snapToGrid w:val="0"/>
        <w:jc w:val="center"/>
        <w:rPr>
          <w:sz w:val="20"/>
          <w:szCs w:val="20"/>
        </w:rPr>
      </w:pPr>
      <w:hyperlink r:id="rId7" w:history="1">
        <w:r w:rsidR="005A0E1E" w:rsidRPr="002763D5">
          <w:rPr>
            <w:rStyle w:val="Hyperlink"/>
            <w:sz w:val="20"/>
            <w:szCs w:val="20"/>
          </w:rPr>
          <w:t>asgariheidari@ymail.com</w:t>
        </w:r>
      </w:hyperlink>
    </w:p>
    <w:p w:rsidR="005A0E1E" w:rsidRPr="002763D5" w:rsidRDefault="005A0E1E" w:rsidP="002A2E35">
      <w:pPr>
        <w:snapToGrid w:val="0"/>
        <w:jc w:val="center"/>
        <w:rPr>
          <w:sz w:val="20"/>
          <w:szCs w:val="20"/>
        </w:rPr>
      </w:pPr>
    </w:p>
    <w:p w:rsidR="005A0E1E" w:rsidRPr="002763D5" w:rsidRDefault="00471E57" w:rsidP="002A2E35">
      <w:pPr>
        <w:snapToGrid w:val="0"/>
        <w:jc w:val="both"/>
        <w:rPr>
          <w:sz w:val="20"/>
          <w:szCs w:val="20"/>
        </w:rPr>
      </w:pPr>
      <w:r w:rsidRPr="002763D5">
        <w:rPr>
          <w:b/>
          <w:sz w:val="20"/>
          <w:szCs w:val="20"/>
        </w:rPr>
        <w:t xml:space="preserve">Abstract: </w:t>
      </w:r>
      <w:r w:rsidR="005A0E1E" w:rsidRPr="002763D5">
        <w:rPr>
          <w:sz w:val="20"/>
          <w:szCs w:val="20"/>
        </w:rPr>
        <w:t xml:space="preserve">The vital goal of this study is examine the relationship between organizational commitment and job burnout of personnel in health centers of </w:t>
      </w:r>
      <w:proofErr w:type="spellStart"/>
      <w:r w:rsidR="005A0E1E" w:rsidRPr="002763D5">
        <w:rPr>
          <w:sz w:val="20"/>
          <w:szCs w:val="20"/>
        </w:rPr>
        <w:t>Amol</w:t>
      </w:r>
      <w:proofErr w:type="spellEnd"/>
      <w:r w:rsidR="005A0E1E" w:rsidRPr="002763D5">
        <w:rPr>
          <w:sz w:val="20"/>
          <w:szCs w:val="20"/>
        </w:rPr>
        <w:t xml:space="preserve"> city. Organizational commitment can be a simple belief in the values and goals of the organization for which the three components are considered. Home health care networks in the most peripheral service-delivery units in the country. Health centers depending on the geographic region, especially roads and population may have one or more villages covered by its services. Health home health workers serve only one job category, which according to gender is called (male health workers) and (female health workers). Many health workers in routine services cannot be included employee service and often live streaming and daily contact with the public health workers and rural families was carried out.</w:t>
      </w:r>
    </w:p>
    <w:p w:rsidR="002A2E35" w:rsidRPr="002763D5" w:rsidRDefault="00D778C9" w:rsidP="002A2E35">
      <w:pPr>
        <w:adjustRightInd w:val="0"/>
        <w:snapToGrid w:val="0"/>
        <w:jc w:val="both"/>
        <w:rPr>
          <w:color w:val="000000"/>
          <w:sz w:val="20"/>
          <w:szCs w:val="20"/>
          <w:shd w:val="clear" w:color="auto" w:fill="FFFFFF"/>
        </w:rPr>
      </w:pPr>
      <w:r w:rsidRPr="002763D5">
        <w:rPr>
          <w:color w:val="000000"/>
          <w:sz w:val="20"/>
          <w:szCs w:val="20"/>
        </w:rPr>
        <w:t>[</w:t>
      </w:r>
      <w:proofErr w:type="spellStart"/>
      <w:r w:rsidR="005A0E1E" w:rsidRPr="002763D5">
        <w:rPr>
          <w:sz w:val="20"/>
          <w:szCs w:val="20"/>
        </w:rPr>
        <w:t>Asgari</w:t>
      </w:r>
      <w:proofErr w:type="spellEnd"/>
      <w:r w:rsidR="005A0E1E" w:rsidRPr="002763D5">
        <w:rPr>
          <w:sz w:val="20"/>
          <w:szCs w:val="20"/>
        </w:rPr>
        <w:t xml:space="preserve"> </w:t>
      </w:r>
      <w:proofErr w:type="spellStart"/>
      <w:r w:rsidR="005A0E1E" w:rsidRPr="002763D5">
        <w:rPr>
          <w:sz w:val="20"/>
          <w:szCs w:val="20"/>
        </w:rPr>
        <w:t>Heidari</w:t>
      </w:r>
      <w:proofErr w:type="spellEnd"/>
      <w:r w:rsidR="005A0E1E" w:rsidRPr="002763D5">
        <w:rPr>
          <w:sz w:val="20"/>
          <w:szCs w:val="20"/>
        </w:rPr>
        <w:t xml:space="preserve">, Mohammad </w:t>
      </w:r>
      <w:proofErr w:type="spellStart"/>
      <w:r w:rsidR="005A0E1E" w:rsidRPr="002763D5">
        <w:rPr>
          <w:sz w:val="20"/>
          <w:szCs w:val="20"/>
        </w:rPr>
        <w:t>Shirzad</w:t>
      </w:r>
      <w:proofErr w:type="spellEnd"/>
      <w:r w:rsidRPr="002763D5">
        <w:rPr>
          <w:sz w:val="20"/>
          <w:szCs w:val="20"/>
        </w:rPr>
        <w:t xml:space="preserve">. </w:t>
      </w:r>
      <w:r w:rsidR="005A0E1E" w:rsidRPr="002763D5">
        <w:rPr>
          <w:b/>
          <w:sz w:val="20"/>
          <w:szCs w:val="20"/>
        </w:rPr>
        <w:t xml:space="preserve">Examine the relationship between organizational commitment and job burnout of personnel in Health centers of </w:t>
      </w:r>
      <w:proofErr w:type="spellStart"/>
      <w:r w:rsidR="005A0E1E" w:rsidRPr="002763D5">
        <w:rPr>
          <w:b/>
          <w:sz w:val="20"/>
          <w:szCs w:val="20"/>
        </w:rPr>
        <w:t>Amol</w:t>
      </w:r>
      <w:proofErr w:type="spellEnd"/>
      <w:r w:rsidR="005A0E1E" w:rsidRPr="002763D5">
        <w:rPr>
          <w:b/>
          <w:sz w:val="20"/>
          <w:szCs w:val="20"/>
        </w:rPr>
        <w:t xml:space="preserve"> city</w:t>
      </w:r>
      <w:r w:rsidR="002A2E35" w:rsidRPr="002763D5">
        <w:rPr>
          <w:rFonts w:eastAsia="Times New Roman"/>
          <w:b/>
          <w:bCs/>
          <w:sz w:val="20"/>
          <w:szCs w:val="20"/>
          <w:lang w:bidi="fa-IR"/>
        </w:rPr>
        <w:t>.</w:t>
      </w:r>
      <w:r w:rsidR="002A2E35" w:rsidRPr="002763D5">
        <w:rPr>
          <w:bCs/>
          <w:i/>
          <w:sz w:val="20"/>
          <w:szCs w:val="20"/>
        </w:rPr>
        <w:t xml:space="preserve"> Researcher</w:t>
      </w:r>
      <w:r w:rsidR="002A2E35" w:rsidRPr="002763D5">
        <w:rPr>
          <w:bCs/>
          <w:sz w:val="20"/>
          <w:szCs w:val="20"/>
        </w:rPr>
        <w:t xml:space="preserve"> 201</w:t>
      </w:r>
      <w:r w:rsidR="002A2E35" w:rsidRPr="002763D5">
        <w:rPr>
          <w:rFonts w:hint="eastAsia"/>
          <w:bCs/>
          <w:sz w:val="20"/>
          <w:szCs w:val="20"/>
        </w:rPr>
        <w:t>6</w:t>
      </w:r>
      <w:proofErr w:type="gramStart"/>
      <w:r w:rsidR="002A2E35" w:rsidRPr="002763D5">
        <w:rPr>
          <w:bCs/>
          <w:sz w:val="20"/>
          <w:szCs w:val="20"/>
        </w:rPr>
        <w:t>;</w:t>
      </w:r>
      <w:r w:rsidR="002A2E35" w:rsidRPr="002763D5">
        <w:rPr>
          <w:rFonts w:hint="eastAsia"/>
          <w:bCs/>
          <w:sz w:val="20"/>
          <w:szCs w:val="20"/>
        </w:rPr>
        <w:t>8</w:t>
      </w:r>
      <w:proofErr w:type="gramEnd"/>
      <w:r w:rsidR="002A2E35" w:rsidRPr="002763D5">
        <w:rPr>
          <w:bCs/>
          <w:sz w:val="20"/>
          <w:szCs w:val="20"/>
        </w:rPr>
        <w:t>(</w:t>
      </w:r>
      <w:r w:rsidR="002A2E35" w:rsidRPr="002763D5">
        <w:rPr>
          <w:rFonts w:hint="eastAsia"/>
          <w:bCs/>
          <w:sz w:val="20"/>
          <w:szCs w:val="20"/>
        </w:rPr>
        <w:t>6</w:t>
      </w:r>
      <w:r w:rsidR="002A2E35" w:rsidRPr="002763D5">
        <w:rPr>
          <w:bCs/>
          <w:sz w:val="20"/>
          <w:szCs w:val="20"/>
        </w:rPr>
        <w:t>):</w:t>
      </w:r>
      <w:r w:rsidR="00092EA0" w:rsidRPr="002763D5">
        <w:rPr>
          <w:noProof/>
          <w:color w:val="000000"/>
          <w:sz w:val="20"/>
          <w:szCs w:val="20"/>
        </w:rPr>
        <w:t>18</w:t>
      </w:r>
      <w:r w:rsidR="002A2E35" w:rsidRPr="002763D5">
        <w:rPr>
          <w:color w:val="000000"/>
          <w:sz w:val="20"/>
          <w:szCs w:val="20"/>
        </w:rPr>
        <w:t>-</w:t>
      </w:r>
      <w:r w:rsidR="00092EA0" w:rsidRPr="002763D5">
        <w:rPr>
          <w:noProof/>
          <w:color w:val="000000"/>
          <w:sz w:val="20"/>
          <w:szCs w:val="20"/>
        </w:rPr>
        <w:t>22</w:t>
      </w:r>
      <w:r w:rsidR="002A2E35" w:rsidRPr="002763D5">
        <w:rPr>
          <w:bCs/>
          <w:sz w:val="20"/>
          <w:szCs w:val="20"/>
        </w:rPr>
        <w:t xml:space="preserve">]. </w:t>
      </w:r>
      <w:proofErr w:type="gramStart"/>
      <w:r w:rsidR="002A2E35" w:rsidRPr="002763D5">
        <w:rPr>
          <w:sz w:val="20"/>
          <w:szCs w:val="20"/>
        </w:rPr>
        <w:t>ISSN 1553-9865 (print); ISSN 2163-8950 (online)</w:t>
      </w:r>
      <w:r w:rsidR="002A2E35" w:rsidRPr="002763D5">
        <w:rPr>
          <w:bCs/>
          <w:sz w:val="20"/>
          <w:szCs w:val="20"/>
        </w:rPr>
        <w:t>.</w:t>
      </w:r>
      <w:proofErr w:type="gramEnd"/>
      <w:r w:rsidR="002A2E35" w:rsidRPr="002763D5">
        <w:rPr>
          <w:bCs/>
          <w:sz w:val="20"/>
          <w:szCs w:val="20"/>
        </w:rPr>
        <w:t xml:space="preserve"> </w:t>
      </w:r>
      <w:hyperlink r:id="rId8" w:history="1">
        <w:r w:rsidR="002A2E35" w:rsidRPr="002763D5">
          <w:rPr>
            <w:rStyle w:val="Hyperlink"/>
            <w:sz w:val="20"/>
            <w:szCs w:val="20"/>
          </w:rPr>
          <w:t>http://www.sciencepub.net/researcher</w:t>
        </w:r>
      </w:hyperlink>
      <w:r w:rsidR="002A2E35" w:rsidRPr="002763D5">
        <w:rPr>
          <w:bCs/>
          <w:sz w:val="20"/>
          <w:szCs w:val="20"/>
        </w:rPr>
        <w:t>.</w:t>
      </w:r>
      <w:r w:rsidR="002A2E35" w:rsidRPr="002763D5">
        <w:rPr>
          <w:rFonts w:hint="eastAsia"/>
          <w:bCs/>
          <w:sz w:val="20"/>
          <w:szCs w:val="20"/>
        </w:rPr>
        <w:t xml:space="preserve"> </w:t>
      </w:r>
      <w:r w:rsidR="002A2E35" w:rsidRPr="002763D5">
        <w:rPr>
          <w:rFonts w:hint="eastAsia"/>
          <w:bCs/>
          <w:sz w:val="20"/>
          <w:szCs w:val="20"/>
          <w:lang w:eastAsia="zh-CN"/>
        </w:rPr>
        <w:t>4</w:t>
      </w:r>
      <w:r w:rsidR="002A2E35" w:rsidRPr="002763D5">
        <w:rPr>
          <w:rFonts w:hint="eastAsia"/>
          <w:bCs/>
          <w:sz w:val="20"/>
          <w:szCs w:val="20"/>
        </w:rPr>
        <w:t xml:space="preserve">. </w:t>
      </w:r>
      <w:proofErr w:type="gramStart"/>
      <w:r w:rsidR="002A2E35" w:rsidRPr="002763D5">
        <w:rPr>
          <w:color w:val="000000"/>
          <w:sz w:val="20"/>
          <w:szCs w:val="20"/>
          <w:shd w:val="clear" w:color="auto" w:fill="FFFFFF"/>
        </w:rPr>
        <w:t>doi</w:t>
      </w:r>
      <w:proofErr w:type="gramEnd"/>
      <w:r w:rsidR="002A2E35" w:rsidRPr="002763D5">
        <w:rPr>
          <w:color w:val="000000"/>
          <w:sz w:val="20"/>
          <w:szCs w:val="20"/>
          <w:shd w:val="clear" w:color="auto" w:fill="FFFFFF"/>
        </w:rPr>
        <w:t>:</w:t>
      </w:r>
      <w:hyperlink r:id="rId9" w:history="1">
        <w:r w:rsidR="002A2E35" w:rsidRPr="002763D5">
          <w:rPr>
            <w:rStyle w:val="Hyperlink"/>
            <w:sz w:val="20"/>
            <w:szCs w:val="20"/>
            <w:shd w:val="clear" w:color="auto" w:fill="FFFFFF"/>
          </w:rPr>
          <w:t>10.7537/mars</w:t>
        </w:r>
        <w:r w:rsidR="002A2E35" w:rsidRPr="002763D5">
          <w:rPr>
            <w:rStyle w:val="Hyperlink"/>
            <w:rFonts w:hint="eastAsia"/>
            <w:sz w:val="20"/>
            <w:szCs w:val="20"/>
            <w:shd w:val="clear" w:color="auto" w:fill="FFFFFF"/>
          </w:rPr>
          <w:t>r</w:t>
        </w:r>
        <w:r w:rsidR="002A2E35" w:rsidRPr="002763D5">
          <w:rPr>
            <w:rStyle w:val="Hyperlink"/>
            <w:sz w:val="20"/>
            <w:szCs w:val="20"/>
            <w:shd w:val="clear" w:color="auto" w:fill="FFFFFF"/>
          </w:rPr>
          <w:t>sj</w:t>
        </w:r>
        <w:r w:rsidR="002A2E35" w:rsidRPr="002763D5">
          <w:rPr>
            <w:rStyle w:val="Hyperlink"/>
            <w:rFonts w:hint="eastAsia"/>
            <w:sz w:val="20"/>
            <w:szCs w:val="20"/>
            <w:shd w:val="clear" w:color="auto" w:fill="FFFFFF"/>
          </w:rPr>
          <w:t>0806</w:t>
        </w:r>
        <w:r w:rsidR="002A2E35" w:rsidRPr="002763D5">
          <w:rPr>
            <w:rStyle w:val="Hyperlink"/>
            <w:sz w:val="20"/>
            <w:szCs w:val="20"/>
            <w:shd w:val="clear" w:color="auto" w:fill="FFFFFF"/>
          </w:rPr>
          <w:t>1</w:t>
        </w:r>
        <w:r w:rsidR="002A2E35" w:rsidRPr="002763D5">
          <w:rPr>
            <w:rStyle w:val="Hyperlink"/>
            <w:rFonts w:hint="eastAsia"/>
            <w:sz w:val="20"/>
            <w:szCs w:val="20"/>
            <w:shd w:val="clear" w:color="auto" w:fill="FFFFFF"/>
          </w:rPr>
          <w:t>6</w:t>
        </w:r>
        <w:r w:rsidR="002A2E35" w:rsidRPr="002763D5">
          <w:rPr>
            <w:rStyle w:val="Hyperlink"/>
            <w:sz w:val="20"/>
            <w:szCs w:val="20"/>
            <w:shd w:val="clear" w:color="auto" w:fill="FFFFFF"/>
          </w:rPr>
          <w:t>0</w:t>
        </w:r>
        <w:r w:rsidR="002A2E35" w:rsidRPr="002763D5">
          <w:rPr>
            <w:rStyle w:val="Hyperlink"/>
            <w:rFonts w:hint="eastAsia"/>
            <w:sz w:val="20"/>
            <w:szCs w:val="20"/>
            <w:shd w:val="clear" w:color="auto" w:fill="FFFFFF"/>
            <w:lang w:eastAsia="zh-CN"/>
          </w:rPr>
          <w:t>4</w:t>
        </w:r>
      </w:hyperlink>
      <w:r w:rsidR="002A2E35" w:rsidRPr="002763D5">
        <w:rPr>
          <w:color w:val="000000"/>
          <w:sz w:val="20"/>
          <w:szCs w:val="20"/>
          <w:shd w:val="clear" w:color="auto" w:fill="FFFFFF"/>
        </w:rPr>
        <w:t>.</w:t>
      </w:r>
    </w:p>
    <w:p w:rsidR="001817C7" w:rsidRPr="002763D5" w:rsidRDefault="001817C7" w:rsidP="002A2E35">
      <w:pPr>
        <w:snapToGrid w:val="0"/>
        <w:jc w:val="both"/>
        <w:rPr>
          <w:sz w:val="20"/>
          <w:szCs w:val="20"/>
        </w:rPr>
      </w:pPr>
    </w:p>
    <w:p w:rsidR="001817C7" w:rsidRPr="002763D5" w:rsidRDefault="001817C7" w:rsidP="002A2E35">
      <w:pPr>
        <w:snapToGrid w:val="0"/>
        <w:jc w:val="both"/>
        <w:rPr>
          <w:sz w:val="20"/>
          <w:szCs w:val="20"/>
        </w:rPr>
      </w:pPr>
      <w:r w:rsidRPr="002763D5">
        <w:rPr>
          <w:b/>
          <w:sz w:val="20"/>
          <w:szCs w:val="20"/>
        </w:rPr>
        <w:t xml:space="preserve">Keywords: </w:t>
      </w:r>
      <w:r w:rsidR="005A0E1E" w:rsidRPr="002763D5">
        <w:rPr>
          <w:sz w:val="20"/>
          <w:szCs w:val="20"/>
        </w:rPr>
        <w:t xml:space="preserve">Organizational commitment, Job burnout, Health centers, </w:t>
      </w:r>
      <w:proofErr w:type="spellStart"/>
      <w:r w:rsidR="005A0E1E" w:rsidRPr="002763D5">
        <w:rPr>
          <w:sz w:val="20"/>
          <w:szCs w:val="20"/>
        </w:rPr>
        <w:t>Amol</w:t>
      </w:r>
      <w:proofErr w:type="spellEnd"/>
      <w:r w:rsidR="005A0E1E" w:rsidRPr="002763D5">
        <w:rPr>
          <w:sz w:val="20"/>
          <w:szCs w:val="20"/>
        </w:rPr>
        <w:t xml:space="preserve"> city</w:t>
      </w:r>
    </w:p>
    <w:p w:rsidR="002A2E35" w:rsidRPr="002763D5" w:rsidRDefault="002A2E35" w:rsidP="002A2E35">
      <w:pPr>
        <w:snapToGrid w:val="0"/>
        <w:jc w:val="both"/>
        <w:rPr>
          <w:b/>
          <w:sz w:val="20"/>
          <w:szCs w:val="20"/>
        </w:rPr>
      </w:pPr>
    </w:p>
    <w:p w:rsidR="002A2E35" w:rsidRPr="002763D5" w:rsidRDefault="002A2E35" w:rsidP="002A2E35">
      <w:pPr>
        <w:snapToGrid w:val="0"/>
        <w:jc w:val="both"/>
        <w:rPr>
          <w:b/>
          <w:sz w:val="20"/>
          <w:szCs w:val="20"/>
        </w:rPr>
        <w:sectPr w:rsidR="002A2E35" w:rsidRPr="002763D5" w:rsidSect="00092EA0">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8"/>
          <w:cols w:space="720"/>
          <w:docGrid w:linePitch="360"/>
        </w:sectPr>
      </w:pPr>
    </w:p>
    <w:p w:rsidR="00471E57" w:rsidRPr="002763D5" w:rsidRDefault="00471E57" w:rsidP="002A2E35">
      <w:pPr>
        <w:snapToGrid w:val="0"/>
        <w:jc w:val="both"/>
        <w:rPr>
          <w:b/>
          <w:sz w:val="20"/>
          <w:szCs w:val="20"/>
        </w:rPr>
      </w:pPr>
      <w:r w:rsidRPr="002763D5">
        <w:rPr>
          <w:b/>
          <w:sz w:val="20"/>
          <w:szCs w:val="20"/>
        </w:rPr>
        <w:lastRenderedPageBreak/>
        <w:t>1. Introduction</w:t>
      </w:r>
    </w:p>
    <w:p w:rsidR="00F553D6" w:rsidRPr="002763D5" w:rsidRDefault="00F553D6" w:rsidP="002A2E35">
      <w:pPr>
        <w:snapToGrid w:val="0"/>
        <w:ind w:firstLine="425"/>
        <w:jc w:val="both"/>
        <w:rPr>
          <w:sz w:val="20"/>
          <w:szCs w:val="20"/>
        </w:rPr>
      </w:pPr>
      <w:r w:rsidRPr="002763D5">
        <w:rPr>
          <w:sz w:val="20"/>
          <w:szCs w:val="20"/>
        </w:rPr>
        <w:t>An insight into employee loyalty and commitment to the organization is an ongoing process due to participation in organizational decisions, according to the people and prosperity of the show (</w:t>
      </w:r>
      <w:proofErr w:type="spellStart"/>
      <w:r w:rsidRPr="002763D5">
        <w:rPr>
          <w:sz w:val="20"/>
          <w:szCs w:val="20"/>
        </w:rPr>
        <w:t>Moghimi</w:t>
      </w:r>
      <w:proofErr w:type="spellEnd"/>
      <w:r w:rsidRPr="002763D5">
        <w:rPr>
          <w:sz w:val="20"/>
          <w:szCs w:val="20"/>
        </w:rPr>
        <w:t>, 2001).</w:t>
      </w:r>
    </w:p>
    <w:p w:rsidR="00F553D6" w:rsidRPr="002763D5" w:rsidRDefault="00F553D6" w:rsidP="002A2E35">
      <w:pPr>
        <w:snapToGrid w:val="0"/>
        <w:ind w:firstLine="425"/>
        <w:jc w:val="both"/>
        <w:rPr>
          <w:sz w:val="20"/>
          <w:szCs w:val="20"/>
        </w:rPr>
      </w:pPr>
      <w:proofErr w:type="spellStart"/>
      <w:r w:rsidRPr="002763D5">
        <w:rPr>
          <w:sz w:val="20"/>
          <w:szCs w:val="20"/>
        </w:rPr>
        <w:t>Liman</w:t>
      </w:r>
      <w:proofErr w:type="spellEnd"/>
      <w:r w:rsidRPr="002763D5">
        <w:rPr>
          <w:sz w:val="20"/>
          <w:szCs w:val="20"/>
        </w:rPr>
        <w:t xml:space="preserve"> W. Porter and his colleagues identified the relative degrees of commitment to the organization and his participation in it </w:t>
      </w:r>
      <w:proofErr w:type="gramStart"/>
      <w:r w:rsidRPr="002763D5">
        <w:rPr>
          <w:sz w:val="20"/>
          <w:szCs w:val="20"/>
        </w:rPr>
        <w:t>have</w:t>
      </w:r>
      <w:proofErr w:type="gramEnd"/>
      <w:r w:rsidRPr="002763D5">
        <w:rPr>
          <w:sz w:val="20"/>
          <w:szCs w:val="20"/>
        </w:rPr>
        <w:t xml:space="preserve"> defined.</w:t>
      </w:r>
    </w:p>
    <w:p w:rsidR="00F553D6" w:rsidRPr="002763D5" w:rsidRDefault="00F553D6" w:rsidP="002A2E35">
      <w:pPr>
        <w:snapToGrid w:val="0"/>
        <w:ind w:firstLine="425"/>
        <w:jc w:val="both"/>
        <w:rPr>
          <w:sz w:val="20"/>
          <w:szCs w:val="20"/>
        </w:rPr>
      </w:pPr>
      <w:r w:rsidRPr="002763D5">
        <w:rPr>
          <w:sz w:val="20"/>
          <w:szCs w:val="20"/>
        </w:rPr>
        <w:t>The definition of organizational commitment consists of three factors:</w:t>
      </w:r>
    </w:p>
    <w:p w:rsidR="00F553D6" w:rsidRPr="002763D5" w:rsidRDefault="00F553D6" w:rsidP="002A2E35">
      <w:pPr>
        <w:snapToGrid w:val="0"/>
        <w:ind w:firstLine="425"/>
        <w:jc w:val="both"/>
        <w:rPr>
          <w:sz w:val="20"/>
          <w:szCs w:val="20"/>
        </w:rPr>
      </w:pPr>
      <w:r w:rsidRPr="002763D5">
        <w:rPr>
          <w:sz w:val="20"/>
          <w:szCs w:val="20"/>
        </w:rPr>
        <w:t>• Belief in the goals and values of the organization</w:t>
      </w:r>
    </w:p>
    <w:p w:rsidR="00F553D6" w:rsidRPr="002763D5" w:rsidRDefault="00F553D6" w:rsidP="002A2E35">
      <w:pPr>
        <w:snapToGrid w:val="0"/>
        <w:ind w:firstLine="425"/>
        <w:jc w:val="both"/>
        <w:rPr>
          <w:sz w:val="20"/>
          <w:szCs w:val="20"/>
        </w:rPr>
      </w:pPr>
      <w:r w:rsidRPr="002763D5">
        <w:rPr>
          <w:sz w:val="20"/>
          <w:szCs w:val="20"/>
        </w:rPr>
        <w:t>• Willingness to intense effort in the organization</w:t>
      </w:r>
    </w:p>
    <w:p w:rsidR="00F553D6" w:rsidRPr="002763D5" w:rsidRDefault="00F553D6" w:rsidP="002A2E35">
      <w:pPr>
        <w:snapToGrid w:val="0"/>
        <w:ind w:firstLine="425"/>
        <w:jc w:val="both"/>
        <w:rPr>
          <w:sz w:val="20"/>
          <w:szCs w:val="20"/>
        </w:rPr>
      </w:pPr>
      <w:r w:rsidRPr="002763D5">
        <w:rPr>
          <w:sz w:val="20"/>
          <w:szCs w:val="20"/>
        </w:rPr>
        <w:t>• A strong desire to continue as members of the organization (Potter, 2001).</w:t>
      </w:r>
    </w:p>
    <w:p w:rsidR="00F553D6" w:rsidRPr="002763D5" w:rsidRDefault="00F553D6" w:rsidP="002A2E35">
      <w:pPr>
        <w:snapToGrid w:val="0"/>
        <w:ind w:firstLine="425"/>
        <w:jc w:val="both"/>
        <w:rPr>
          <w:sz w:val="20"/>
          <w:szCs w:val="20"/>
        </w:rPr>
      </w:pPr>
      <w:r w:rsidRPr="002763D5">
        <w:rPr>
          <w:sz w:val="20"/>
          <w:szCs w:val="20"/>
        </w:rPr>
        <w:t>Manpower committed to the organization can also reduce absenteeism, delays and displacements caused a dramatic increase in performance of the organization, mental freshness of the staffs and manifesting both organizational admirable targets and personal goals (1).</w:t>
      </w:r>
    </w:p>
    <w:p w:rsidR="00F553D6" w:rsidRPr="002763D5" w:rsidRDefault="00F553D6" w:rsidP="002A2E35">
      <w:pPr>
        <w:snapToGrid w:val="0"/>
        <w:ind w:firstLine="425"/>
        <w:jc w:val="both"/>
        <w:rPr>
          <w:sz w:val="20"/>
          <w:szCs w:val="20"/>
        </w:rPr>
      </w:pPr>
      <w:r w:rsidRPr="002763D5">
        <w:rPr>
          <w:sz w:val="20"/>
          <w:szCs w:val="20"/>
        </w:rPr>
        <w:t>Organizational commitment can be a simple belief in the values and goals of the organization for which the three components are considered:</w:t>
      </w:r>
    </w:p>
    <w:p w:rsidR="00F553D6" w:rsidRPr="002763D5" w:rsidRDefault="00F553D6" w:rsidP="002A2E35">
      <w:pPr>
        <w:snapToGrid w:val="0"/>
        <w:ind w:firstLine="425"/>
        <w:jc w:val="both"/>
        <w:rPr>
          <w:sz w:val="20"/>
          <w:szCs w:val="20"/>
        </w:rPr>
      </w:pPr>
      <w:r w:rsidRPr="002763D5">
        <w:rPr>
          <w:sz w:val="20"/>
          <w:szCs w:val="20"/>
        </w:rPr>
        <w:t>1) Emotional commitment: intention to put their energy and loyalty to continue their work in the organization.</w:t>
      </w:r>
    </w:p>
    <w:p w:rsidR="00F553D6" w:rsidRPr="002763D5" w:rsidRDefault="00F553D6" w:rsidP="002A2E35">
      <w:pPr>
        <w:snapToGrid w:val="0"/>
        <w:ind w:firstLine="425"/>
        <w:jc w:val="both"/>
        <w:rPr>
          <w:sz w:val="20"/>
          <w:szCs w:val="20"/>
        </w:rPr>
      </w:pPr>
      <w:r w:rsidRPr="002763D5">
        <w:rPr>
          <w:sz w:val="20"/>
          <w:szCs w:val="20"/>
        </w:rPr>
        <w:t xml:space="preserve">2) </w:t>
      </w:r>
      <w:r w:rsidRPr="002763D5">
        <w:rPr>
          <w:rStyle w:val="alt-edited"/>
          <w:sz w:val="20"/>
          <w:szCs w:val="20"/>
        </w:rPr>
        <w:t>Continuous commitment</w:t>
      </w:r>
      <w:r w:rsidRPr="002763D5">
        <w:rPr>
          <w:sz w:val="20"/>
          <w:szCs w:val="20"/>
        </w:rPr>
        <w:t>: the desire to do regular activities based on individual recognition of the costs associated with leaving the organization.</w:t>
      </w:r>
    </w:p>
    <w:p w:rsidR="00F553D6" w:rsidRPr="002763D5" w:rsidRDefault="00F553D6" w:rsidP="002A2E35">
      <w:pPr>
        <w:snapToGrid w:val="0"/>
        <w:ind w:firstLine="425"/>
        <w:jc w:val="both"/>
        <w:rPr>
          <w:sz w:val="20"/>
          <w:szCs w:val="20"/>
        </w:rPr>
      </w:pPr>
      <w:r w:rsidRPr="002763D5">
        <w:rPr>
          <w:sz w:val="20"/>
          <w:szCs w:val="20"/>
        </w:rPr>
        <w:t xml:space="preserve">3) </w:t>
      </w:r>
      <w:r w:rsidRPr="002763D5">
        <w:rPr>
          <w:rStyle w:val="alt-edited"/>
          <w:sz w:val="20"/>
          <w:szCs w:val="20"/>
        </w:rPr>
        <w:t>Normative commitment</w:t>
      </w:r>
      <w:r w:rsidRPr="002763D5">
        <w:rPr>
          <w:sz w:val="20"/>
          <w:szCs w:val="20"/>
        </w:rPr>
        <w:t>: a sense of duty to remain as a member of the organization. (2)</w:t>
      </w:r>
    </w:p>
    <w:p w:rsidR="00F553D6" w:rsidRPr="002763D5" w:rsidRDefault="00F553D6" w:rsidP="002A2E35">
      <w:pPr>
        <w:snapToGrid w:val="0"/>
        <w:ind w:firstLine="425"/>
        <w:jc w:val="both"/>
        <w:rPr>
          <w:sz w:val="20"/>
          <w:szCs w:val="20"/>
        </w:rPr>
      </w:pPr>
      <w:r w:rsidRPr="002763D5">
        <w:rPr>
          <w:sz w:val="20"/>
          <w:szCs w:val="20"/>
        </w:rPr>
        <w:lastRenderedPageBreak/>
        <w:t xml:space="preserve">Burnout is </w:t>
      </w:r>
      <w:proofErr w:type="gramStart"/>
      <w:r w:rsidRPr="002763D5">
        <w:rPr>
          <w:sz w:val="20"/>
          <w:szCs w:val="20"/>
        </w:rPr>
        <w:t>a dissatisfaction</w:t>
      </w:r>
      <w:proofErr w:type="gramEnd"/>
      <w:r w:rsidRPr="002763D5">
        <w:rPr>
          <w:sz w:val="20"/>
          <w:szCs w:val="20"/>
        </w:rPr>
        <w:t xml:space="preserve"> with the process, which may be mild boredom and apathy to severe cases of depression or physical illness manifested job. Burnout often cannot be said when one comes to know; in many cases people are unhappy, but cannot be accurately determined because of it. (</w:t>
      </w:r>
      <w:proofErr w:type="spellStart"/>
      <w:r w:rsidRPr="002763D5">
        <w:rPr>
          <w:sz w:val="20"/>
          <w:szCs w:val="20"/>
        </w:rPr>
        <w:t>Alvani</w:t>
      </w:r>
      <w:proofErr w:type="spellEnd"/>
      <w:r w:rsidRPr="002763D5">
        <w:rPr>
          <w:sz w:val="20"/>
          <w:szCs w:val="20"/>
        </w:rPr>
        <w:t>, 2001)</w:t>
      </w:r>
    </w:p>
    <w:p w:rsidR="00F553D6" w:rsidRPr="002763D5" w:rsidRDefault="00F553D6" w:rsidP="002A2E35">
      <w:pPr>
        <w:snapToGrid w:val="0"/>
        <w:ind w:firstLine="425"/>
        <w:jc w:val="both"/>
        <w:rPr>
          <w:sz w:val="20"/>
          <w:szCs w:val="20"/>
        </w:rPr>
      </w:pPr>
      <w:r w:rsidRPr="002763D5">
        <w:rPr>
          <w:sz w:val="20"/>
          <w:szCs w:val="20"/>
        </w:rPr>
        <w:t>Home health care networks in the most peripheral service-delivery units in the country. Health centers depending on the geographic region, especially roads and population may have one or more villages covered by its services. Health home health workers serve only one job category, which according to gender is called ((male health workers)) ((female health workers)). Many health workers in routine services cannot be included employee service and often live streaming and daily contact with the public health workers and rural families is carried out. Achieve the objectives of this service is subject to continuity, time and patience (5).</w:t>
      </w:r>
    </w:p>
    <w:p w:rsidR="00F553D6" w:rsidRPr="002763D5" w:rsidRDefault="00F553D6" w:rsidP="002A2E35">
      <w:pPr>
        <w:snapToGrid w:val="0"/>
        <w:ind w:firstLine="425"/>
        <w:jc w:val="both"/>
        <w:rPr>
          <w:sz w:val="20"/>
          <w:szCs w:val="20"/>
        </w:rPr>
      </w:pPr>
      <w:r w:rsidRPr="002763D5">
        <w:rPr>
          <w:sz w:val="20"/>
          <w:szCs w:val="20"/>
        </w:rPr>
        <w:t>Retention of health workers serving in the ranks of health workers in full-length and lack of scientific promotion, career and the need to stay in the village during the whole service are two major problems with health providers training courses for jobs. (5).</w:t>
      </w:r>
    </w:p>
    <w:p w:rsidR="00F553D6" w:rsidRPr="002763D5" w:rsidRDefault="00F553D6" w:rsidP="002A2E35">
      <w:pPr>
        <w:snapToGrid w:val="0"/>
        <w:ind w:firstLine="425"/>
        <w:jc w:val="both"/>
        <w:rPr>
          <w:sz w:val="20"/>
          <w:szCs w:val="20"/>
        </w:rPr>
      </w:pPr>
      <w:r w:rsidRPr="002763D5">
        <w:rPr>
          <w:sz w:val="20"/>
          <w:szCs w:val="20"/>
        </w:rPr>
        <w:t>Because people are interconnected health workers in health centers and rural access to health care is the first level and played a major role in advancing the country's integrity system.</w:t>
      </w:r>
    </w:p>
    <w:p w:rsidR="00F553D6" w:rsidRPr="002763D5" w:rsidRDefault="00F553D6" w:rsidP="002A2E35">
      <w:pPr>
        <w:snapToGrid w:val="0"/>
        <w:ind w:firstLine="425"/>
        <w:jc w:val="both"/>
        <w:rPr>
          <w:sz w:val="20"/>
          <w:szCs w:val="20"/>
        </w:rPr>
      </w:pPr>
      <w:r w:rsidRPr="002763D5">
        <w:rPr>
          <w:sz w:val="20"/>
          <w:szCs w:val="20"/>
        </w:rPr>
        <w:t>This study seeks to answer the fundamental question: Is there any relationship between organizational commitment and burnout in health care home staff?</w:t>
      </w:r>
    </w:p>
    <w:p w:rsidR="00F553D6" w:rsidRPr="002763D5" w:rsidRDefault="00F553D6" w:rsidP="002A2E35">
      <w:pPr>
        <w:snapToGrid w:val="0"/>
        <w:jc w:val="both"/>
        <w:rPr>
          <w:b/>
          <w:bCs/>
          <w:sz w:val="20"/>
          <w:szCs w:val="20"/>
        </w:rPr>
      </w:pPr>
      <w:r w:rsidRPr="002763D5">
        <w:rPr>
          <w:b/>
          <w:bCs/>
          <w:sz w:val="20"/>
          <w:szCs w:val="20"/>
        </w:rPr>
        <w:lastRenderedPageBreak/>
        <w:t>Definition of terms (theoretical and practical definition):</w:t>
      </w:r>
    </w:p>
    <w:p w:rsidR="00F553D6" w:rsidRPr="002763D5" w:rsidRDefault="00F553D6" w:rsidP="002A2E35">
      <w:pPr>
        <w:snapToGrid w:val="0"/>
        <w:jc w:val="both"/>
        <w:rPr>
          <w:b/>
          <w:bCs/>
          <w:sz w:val="20"/>
          <w:szCs w:val="20"/>
        </w:rPr>
      </w:pPr>
      <w:r w:rsidRPr="002763D5">
        <w:rPr>
          <w:b/>
          <w:bCs/>
          <w:sz w:val="20"/>
          <w:szCs w:val="20"/>
        </w:rPr>
        <w:t>Theoretical Definition</w:t>
      </w:r>
    </w:p>
    <w:p w:rsidR="00F553D6" w:rsidRPr="002763D5" w:rsidRDefault="00F553D6" w:rsidP="002A2E35">
      <w:pPr>
        <w:snapToGrid w:val="0"/>
        <w:ind w:firstLine="425"/>
        <w:jc w:val="both"/>
        <w:rPr>
          <w:sz w:val="20"/>
          <w:szCs w:val="20"/>
        </w:rPr>
      </w:pPr>
      <w:r w:rsidRPr="002763D5">
        <w:rPr>
          <w:sz w:val="20"/>
          <w:szCs w:val="20"/>
        </w:rPr>
        <w:t>Organizational Commitment: Organizational commitment is a mental state which expresses a desire, needs and requirements for continued employment in an organization's early in providing (</w:t>
      </w:r>
      <w:proofErr w:type="spellStart"/>
      <w:r w:rsidRPr="002763D5">
        <w:rPr>
          <w:sz w:val="20"/>
          <w:szCs w:val="20"/>
        </w:rPr>
        <w:t>YroAlen</w:t>
      </w:r>
      <w:proofErr w:type="spellEnd"/>
      <w:r w:rsidRPr="002763D5">
        <w:rPr>
          <w:sz w:val="20"/>
          <w:szCs w:val="20"/>
        </w:rPr>
        <w:t>, 2007) as well as a condition for continuing to serve in an organization that includes emotional is normative and continuous (</w:t>
      </w:r>
      <w:proofErr w:type="spellStart"/>
      <w:r w:rsidRPr="002763D5">
        <w:rPr>
          <w:sz w:val="20"/>
          <w:szCs w:val="20"/>
        </w:rPr>
        <w:t>Majidi</w:t>
      </w:r>
      <w:proofErr w:type="spellEnd"/>
      <w:r w:rsidRPr="002763D5">
        <w:rPr>
          <w:sz w:val="20"/>
          <w:szCs w:val="20"/>
        </w:rPr>
        <w:t>, 1997).</w:t>
      </w:r>
    </w:p>
    <w:p w:rsidR="00DB22BC" w:rsidRPr="002763D5" w:rsidRDefault="00F553D6" w:rsidP="002A2E35">
      <w:pPr>
        <w:snapToGrid w:val="0"/>
        <w:ind w:firstLine="425"/>
        <w:jc w:val="both"/>
        <w:rPr>
          <w:sz w:val="20"/>
          <w:szCs w:val="20"/>
        </w:rPr>
      </w:pPr>
      <w:r w:rsidRPr="002763D5">
        <w:rPr>
          <w:sz w:val="20"/>
          <w:szCs w:val="20"/>
        </w:rPr>
        <w:t>A: affective commitment: this part of the commitment, positive emotions and attachment to its organization (</w:t>
      </w:r>
      <w:proofErr w:type="spellStart"/>
      <w:r w:rsidRPr="002763D5">
        <w:rPr>
          <w:sz w:val="20"/>
          <w:szCs w:val="20"/>
        </w:rPr>
        <w:t>Herskoeich</w:t>
      </w:r>
      <w:proofErr w:type="spellEnd"/>
      <w:r w:rsidRPr="002763D5">
        <w:rPr>
          <w:sz w:val="20"/>
          <w:szCs w:val="20"/>
        </w:rPr>
        <w:t xml:space="preserve"> and Meyer, 1563).</w:t>
      </w:r>
    </w:p>
    <w:p w:rsidR="00DB22BC" w:rsidRPr="002763D5" w:rsidRDefault="00F553D6" w:rsidP="002A2E35">
      <w:pPr>
        <w:snapToGrid w:val="0"/>
        <w:ind w:firstLine="425"/>
        <w:jc w:val="both"/>
        <w:rPr>
          <w:sz w:val="20"/>
          <w:szCs w:val="20"/>
        </w:rPr>
      </w:pPr>
      <w:r w:rsidRPr="002763D5">
        <w:rPr>
          <w:sz w:val="20"/>
          <w:szCs w:val="20"/>
        </w:rPr>
        <w:t>B: Normative commitment: commitment to duty, as a perceived duty to support the organization and its activities defined (</w:t>
      </w:r>
      <w:proofErr w:type="spellStart"/>
      <w:r w:rsidRPr="002763D5">
        <w:rPr>
          <w:sz w:val="20"/>
          <w:szCs w:val="20"/>
        </w:rPr>
        <w:t>Sadeghifar</w:t>
      </w:r>
      <w:proofErr w:type="spellEnd"/>
      <w:r w:rsidRPr="002763D5">
        <w:rPr>
          <w:sz w:val="20"/>
          <w:szCs w:val="20"/>
        </w:rPr>
        <w:t>, 2007).</w:t>
      </w:r>
    </w:p>
    <w:p w:rsidR="00DB22BC" w:rsidRPr="002763D5" w:rsidRDefault="00F553D6" w:rsidP="002A2E35">
      <w:pPr>
        <w:snapToGrid w:val="0"/>
        <w:ind w:firstLine="425"/>
        <w:jc w:val="both"/>
        <w:rPr>
          <w:sz w:val="20"/>
          <w:szCs w:val="20"/>
        </w:rPr>
      </w:pPr>
      <w:r w:rsidRPr="002763D5">
        <w:rPr>
          <w:sz w:val="20"/>
          <w:szCs w:val="20"/>
        </w:rPr>
        <w:t xml:space="preserve">C: </w:t>
      </w:r>
      <w:r w:rsidRPr="002763D5">
        <w:rPr>
          <w:rStyle w:val="alt-edited"/>
          <w:sz w:val="20"/>
          <w:szCs w:val="20"/>
        </w:rPr>
        <w:t>Continuous commitment</w:t>
      </w:r>
      <w:r w:rsidRPr="002763D5">
        <w:rPr>
          <w:sz w:val="20"/>
          <w:szCs w:val="20"/>
        </w:rPr>
        <w:t>: understanding the increase in costs resulting from lost in an organization (</w:t>
      </w:r>
      <w:proofErr w:type="spellStart"/>
      <w:r w:rsidRPr="002763D5">
        <w:rPr>
          <w:sz w:val="20"/>
          <w:szCs w:val="20"/>
        </w:rPr>
        <w:t>Sadeghifar</w:t>
      </w:r>
      <w:proofErr w:type="spellEnd"/>
      <w:r w:rsidRPr="002763D5">
        <w:rPr>
          <w:sz w:val="20"/>
          <w:szCs w:val="20"/>
        </w:rPr>
        <w:t>, 2007).</w:t>
      </w:r>
    </w:p>
    <w:p w:rsidR="00F553D6" w:rsidRPr="002763D5" w:rsidRDefault="00F553D6" w:rsidP="002A2E35">
      <w:pPr>
        <w:snapToGrid w:val="0"/>
        <w:ind w:firstLine="425"/>
        <w:jc w:val="both"/>
        <w:rPr>
          <w:sz w:val="20"/>
          <w:szCs w:val="20"/>
        </w:rPr>
      </w:pPr>
      <w:r w:rsidRPr="002763D5">
        <w:rPr>
          <w:sz w:val="20"/>
          <w:szCs w:val="20"/>
        </w:rPr>
        <w:t xml:space="preserve">Burnout: emotional exhaustion, burnout syndrome for years of involvement and commitment to the work and the people. </w:t>
      </w:r>
      <w:proofErr w:type="gramStart"/>
      <w:r w:rsidRPr="002763D5">
        <w:rPr>
          <w:sz w:val="20"/>
          <w:szCs w:val="20"/>
        </w:rPr>
        <w:t>In other words, physical fatigue, burnout, emotional and psychological long-term exposure to looking at hard labor.</w:t>
      </w:r>
      <w:proofErr w:type="gramEnd"/>
      <w:r w:rsidRPr="002763D5">
        <w:rPr>
          <w:sz w:val="20"/>
          <w:szCs w:val="20"/>
        </w:rPr>
        <w:t xml:space="preserve"> This syndrome is a condition in which low power and the ability and willingness of individuals and their willingness to do the work and activity is reduced (</w:t>
      </w:r>
      <w:proofErr w:type="spellStart"/>
      <w:r w:rsidRPr="002763D5">
        <w:rPr>
          <w:sz w:val="20"/>
          <w:szCs w:val="20"/>
        </w:rPr>
        <w:t>Maslach</w:t>
      </w:r>
      <w:proofErr w:type="spellEnd"/>
      <w:r w:rsidRPr="002763D5">
        <w:rPr>
          <w:sz w:val="20"/>
          <w:szCs w:val="20"/>
        </w:rPr>
        <w:t xml:space="preserve"> et al., 1561).</w:t>
      </w:r>
    </w:p>
    <w:p w:rsidR="00F553D6" w:rsidRPr="002763D5" w:rsidRDefault="00F553D6" w:rsidP="002A2E35">
      <w:pPr>
        <w:snapToGrid w:val="0"/>
        <w:jc w:val="both"/>
        <w:rPr>
          <w:b/>
          <w:bCs/>
          <w:sz w:val="20"/>
          <w:szCs w:val="20"/>
        </w:rPr>
      </w:pPr>
      <w:r w:rsidRPr="002763D5">
        <w:rPr>
          <w:b/>
          <w:bCs/>
          <w:sz w:val="20"/>
          <w:szCs w:val="20"/>
        </w:rPr>
        <w:t>Practical definition:</w:t>
      </w:r>
    </w:p>
    <w:p w:rsidR="00DB22BC" w:rsidRPr="002763D5" w:rsidRDefault="00F553D6" w:rsidP="002A2E35">
      <w:pPr>
        <w:snapToGrid w:val="0"/>
        <w:ind w:firstLine="425"/>
        <w:jc w:val="both"/>
        <w:rPr>
          <w:sz w:val="20"/>
          <w:szCs w:val="20"/>
        </w:rPr>
      </w:pPr>
      <w:r w:rsidRPr="002763D5">
        <w:rPr>
          <w:sz w:val="20"/>
          <w:szCs w:val="20"/>
        </w:rPr>
        <w:t>Organizational Commitment: In this study, organizational commitment is the point that subjects person answering acquires from the 24 question questionnaire of organizational commitment (</w:t>
      </w:r>
      <w:proofErr w:type="spellStart"/>
      <w:r w:rsidRPr="002763D5">
        <w:rPr>
          <w:sz w:val="20"/>
          <w:szCs w:val="20"/>
        </w:rPr>
        <w:t>YroAlen</w:t>
      </w:r>
      <w:proofErr w:type="spellEnd"/>
      <w:r w:rsidRPr="002763D5">
        <w:rPr>
          <w:sz w:val="20"/>
          <w:szCs w:val="20"/>
        </w:rPr>
        <w:t>, 1557).</w:t>
      </w:r>
    </w:p>
    <w:p w:rsidR="00DB22BC" w:rsidRPr="002763D5" w:rsidRDefault="00F553D6" w:rsidP="002A2E35">
      <w:pPr>
        <w:snapToGrid w:val="0"/>
        <w:ind w:firstLine="425"/>
        <w:jc w:val="both"/>
        <w:rPr>
          <w:sz w:val="20"/>
          <w:szCs w:val="20"/>
        </w:rPr>
      </w:pPr>
      <w:r w:rsidRPr="002763D5">
        <w:rPr>
          <w:sz w:val="20"/>
          <w:szCs w:val="20"/>
        </w:rPr>
        <w:t xml:space="preserve">In this study is to score </w:t>
      </w:r>
      <w:proofErr w:type="gramStart"/>
      <w:r w:rsidRPr="002763D5">
        <w:rPr>
          <w:sz w:val="20"/>
          <w:szCs w:val="20"/>
        </w:rPr>
        <w:t>that subjects</w:t>
      </w:r>
      <w:proofErr w:type="gramEnd"/>
      <w:r w:rsidRPr="002763D5">
        <w:rPr>
          <w:sz w:val="20"/>
          <w:szCs w:val="20"/>
        </w:rPr>
        <w:t xml:space="preserve"> a person's emotional commitment to answering the questions of organizational commitment acquires (</w:t>
      </w:r>
      <w:proofErr w:type="spellStart"/>
      <w:r w:rsidRPr="002763D5">
        <w:rPr>
          <w:sz w:val="20"/>
          <w:szCs w:val="20"/>
        </w:rPr>
        <w:t>YroAlen</w:t>
      </w:r>
      <w:proofErr w:type="spellEnd"/>
      <w:r w:rsidRPr="002763D5">
        <w:rPr>
          <w:sz w:val="20"/>
          <w:szCs w:val="20"/>
        </w:rPr>
        <w:t>, 1557).</w:t>
      </w:r>
    </w:p>
    <w:p w:rsidR="00DB22BC" w:rsidRPr="002763D5" w:rsidRDefault="00F553D6" w:rsidP="002A2E35">
      <w:pPr>
        <w:snapToGrid w:val="0"/>
        <w:ind w:firstLine="425"/>
        <w:jc w:val="both"/>
        <w:rPr>
          <w:sz w:val="20"/>
          <w:szCs w:val="20"/>
        </w:rPr>
      </w:pPr>
      <w:r w:rsidRPr="002763D5">
        <w:rPr>
          <w:sz w:val="20"/>
          <w:szCs w:val="20"/>
        </w:rPr>
        <w:t xml:space="preserve">In this research, normative commitment the point that subjects answering the questions </w:t>
      </w:r>
      <w:proofErr w:type="gramStart"/>
      <w:r w:rsidRPr="002763D5">
        <w:rPr>
          <w:sz w:val="20"/>
          <w:szCs w:val="20"/>
        </w:rPr>
        <w:t>9-16 Organizational Commitment Questionnaire</w:t>
      </w:r>
      <w:proofErr w:type="gramEnd"/>
      <w:r w:rsidRPr="002763D5">
        <w:rPr>
          <w:sz w:val="20"/>
          <w:szCs w:val="20"/>
        </w:rPr>
        <w:t xml:space="preserve"> acquires (</w:t>
      </w:r>
      <w:proofErr w:type="spellStart"/>
      <w:r w:rsidRPr="002763D5">
        <w:rPr>
          <w:sz w:val="20"/>
          <w:szCs w:val="20"/>
        </w:rPr>
        <w:t>YroAlen</w:t>
      </w:r>
      <w:proofErr w:type="spellEnd"/>
      <w:r w:rsidRPr="002763D5">
        <w:rPr>
          <w:sz w:val="20"/>
          <w:szCs w:val="20"/>
        </w:rPr>
        <w:t>, 1557).</w:t>
      </w:r>
    </w:p>
    <w:p w:rsidR="00F553D6" w:rsidRPr="002763D5" w:rsidRDefault="00F553D6" w:rsidP="002A2E35">
      <w:pPr>
        <w:snapToGrid w:val="0"/>
        <w:ind w:firstLine="425"/>
        <w:jc w:val="both"/>
        <w:rPr>
          <w:sz w:val="20"/>
          <w:szCs w:val="20"/>
        </w:rPr>
      </w:pPr>
      <w:r w:rsidRPr="002763D5">
        <w:rPr>
          <w:sz w:val="20"/>
          <w:szCs w:val="20"/>
        </w:rPr>
        <w:t>In this study, the continuous commitment of the individual is the subject of answering questions 17-24 Organizational Commitment Questionnaire acquires (</w:t>
      </w:r>
      <w:proofErr w:type="spellStart"/>
      <w:r w:rsidRPr="002763D5">
        <w:rPr>
          <w:sz w:val="20"/>
          <w:szCs w:val="20"/>
        </w:rPr>
        <w:t>YroAlen</w:t>
      </w:r>
      <w:proofErr w:type="spellEnd"/>
      <w:r w:rsidRPr="002763D5">
        <w:rPr>
          <w:sz w:val="20"/>
          <w:szCs w:val="20"/>
        </w:rPr>
        <w:t>, 1557).</w:t>
      </w:r>
    </w:p>
    <w:p w:rsidR="00F553D6" w:rsidRPr="002763D5" w:rsidRDefault="00F553D6" w:rsidP="002A2E35">
      <w:pPr>
        <w:snapToGrid w:val="0"/>
        <w:jc w:val="both"/>
        <w:rPr>
          <w:rStyle w:val="shorttext"/>
          <w:b/>
          <w:bCs/>
          <w:sz w:val="20"/>
          <w:szCs w:val="20"/>
        </w:rPr>
      </w:pPr>
      <w:r w:rsidRPr="002763D5">
        <w:rPr>
          <w:rStyle w:val="alt-edited"/>
          <w:b/>
          <w:bCs/>
          <w:sz w:val="20"/>
          <w:szCs w:val="20"/>
        </w:rPr>
        <w:t>Job Burnout</w:t>
      </w:r>
      <w:r w:rsidRPr="002763D5">
        <w:rPr>
          <w:rStyle w:val="shorttext"/>
          <w:b/>
          <w:bCs/>
          <w:sz w:val="20"/>
          <w:szCs w:val="20"/>
        </w:rPr>
        <w:t>:</w:t>
      </w:r>
    </w:p>
    <w:p w:rsidR="00F553D6" w:rsidRPr="002763D5" w:rsidRDefault="00F553D6" w:rsidP="002A2E35">
      <w:pPr>
        <w:snapToGrid w:val="0"/>
        <w:ind w:firstLine="425"/>
        <w:jc w:val="both"/>
        <w:rPr>
          <w:b/>
          <w:bCs/>
          <w:sz w:val="20"/>
          <w:szCs w:val="20"/>
          <w:lang w:bidi="fa-IR"/>
        </w:rPr>
      </w:pPr>
      <w:r w:rsidRPr="002763D5">
        <w:rPr>
          <w:sz w:val="20"/>
          <w:szCs w:val="20"/>
        </w:rPr>
        <w:t xml:space="preserve">A score of </w:t>
      </w:r>
      <w:r w:rsidRPr="002763D5">
        <w:rPr>
          <w:rStyle w:val="alt-edited"/>
          <w:sz w:val="20"/>
          <w:szCs w:val="20"/>
        </w:rPr>
        <w:t>Job Burnout</w:t>
      </w:r>
      <w:r w:rsidRPr="002763D5">
        <w:rPr>
          <w:sz w:val="20"/>
          <w:szCs w:val="20"/>
        </w:rPr>
        <w:t xml:space="preserve"> in this study is that the subjects answered the questions on burnout gain.</w:t>
      </w:r>
    </w:p>
    <w:p w:rsidR="00F553D6" w:rsidRPr="002763D5" w:rsidRDefault="00F553D6" w:rsidP="002A2E35">
      <w:pPr>
        <w:snapToGrid w:val="0"/>
        <w:jc w:val="both"/>
        <w:rPr>
          <w:rStyle w:val="shorttext"/>
          <w:b/>
          <w:bCs/>
          <w:sz w:val="20"/>
          <w:szCs w:val="20"/>
        </w:rPr>
      </w:pPr>
      <w:r w:rsidRPr="002763D5">
        <w:rPr>
          <w:rStyle w:val="shorttext"/>
          <w:b/>
          <w:bCs/>
          <w:sz w:val="20"/>
          <w:szCs w:val="20"/>
        </w:rPr>
        <w:t>Health center:</w:t>
      </w:r>
    </w:p>
    <w:p w:rsidR="00F553D6" w:rsidRPr="002763D5" w:rsidRDefault="00F553D6" w:rsidP="002A2E35">
      <w:pPr>
        <w:snapToGrid w:val="0"/>
        <w:ind w:firstLine="425"/>
        <w:jc w:val="both"/>
        <w:rPr>
          <w:sz w:val="20"/>
          <w:szCs w:val="20"/>
        </w:rPr>
      </w:pPr>
      <w:r w:rsidRPr="002763D5">
        <w:rPr>
          <w:sz w:val="20"/>
          <w:szCs w:val="20"/>
        </w:rPr>
        <w:t xml:space="preserve">Units stationed in villages that offer health services, the present study was conducted in the city of </w:t>
      </w:r>
      <w:proofErr w:type="spellStart"/>
      <w:r w:rsidRPr="002763D5">
        <w:rPr>
          <w:sz w:val="20"/>
          <w:szCs w:val="20"/>
        </w:rPr>
        <w:t>Amol</w:t>
      </w:r>
      <w:proofErr w:type="spellEnd"/>
      <w:r w:rsidRPr="002763D5">
        <w:rPr>
          <w:sz w:val="20"/>
          <w:szCs w:val="20"/>
        </w:rPr>
        <w:t xml:space="preserve">, and there are 153 active health </w:t>
      </w:r>
      <w:proofErr w:type="gramStart"/>
      <w:r w:rsidRPr="002763D5">
        <w:rPr>
          <w:sz w:val="20"/>
          <w:szCs w:val="20"/>
        </w:rPr>
        <w:t>center</w:t>
      </w:r>
      <w:proofErr w:type="gramEnd"/>
      <w:r w:rsidRPr="002763D5">
        <w:rPr>
          <w:sz w:val="20"/>
          <w:szCs w:val="20"/>
        </w:rPr>
        <w:t xml:space="preserve"> where the samples are working.</w:t>
      </w:r>
    </w:p>
    <w:p w:rsidR="00F553D6" w:rsidRPr="002763D5" w:rsidRDefault="00F553D6" w:rsidP="002A2E35">
      <w:pPr>
        <w:snapToGrid w:val="0"/>
        <w:jc w:val="both"/>
        <w:rPr>
          <w:sz w:val="20"/>
          <w:szCs w:val="20"/>
        </w:rPr>
      </w:pPr>
      <w:r w:rsidRPr="002763D5">
        <w:rPr>
          <w:b/>
          <w:bCs/>
          <w:sz w:val="20"/>
          <w:szCs w:val="20"/>
        </w:rPr>
        <w:t>Health workers:</w:t>
      </w:r>
      <w:r w:rsidRPr="002763D5">
        <w:rPr>
          <w:sz w:val="20"/>
          <w:szCs w:val="20"/>
        </w:rPr>
        <w:t xml:space="preserve"> the staff working in health centers in the study of male health workers and female health workers, for example-governmental organizations.</w:t>
      </w:r>
    </w:p>
    <w:p w:rsidR="00F553D6" w:rsidRPr="002763D5" w:rsidRDefault="00F553D6" w:rsidP="002A2E35">
      <w:pPr>
        <w:snapToGrid w:val="0"/>
        <w:jc w:val="both"/>
        <w:rPr>
          <w:b/>
          <w:bCs/>
          <w:sz w:val="20"/>
          <w:szCs w:val="20"/>
          <w:lang w:bidi="fa-IR"/>
        </w:rPr>
      </w:pPr>
      <w:r w:rsidRPr="002763D5">
        <w:rPr>
          <w:b/>
          <w:bCs/>
          <w:sz w:val="20"/>
          <w:szCs w:val="20"/>
          <w:lang w:bidi="fa-IR"/>
        </w:rPr>
        <w:lastRenderedPageBreak/>
        <w:t>Literature Review:</w:t>
      </w:r>
    </w:p>
    <w:p w:rsidR="00DB22BC" w:rsidRPr="002763D5" w:rsidRDefault="00F553D6" w:rsidP="002A2E35">
      <w:pPr>
        <w:snapToGrid w:val="0"/>
        <w:ind w:firstLine="425"/>
        <w:jc w:val="both"/>
        <w:rPr>
          <w:sz w:val="20"/>
          <w:szCs w:val="20"/>
        </w:rPr>
      </w:pPr>
      <w:proofErr w:type="spellStart"/>
      <w:r w:rsidRPr="002763D5">
        <w:rPr>
          <w:sz w:val="20"/>
          <w:szCs w:val="20"/>
        </w:rPr>
        <w:t>Ashrafi</w:t>
      </w:r>
      <w:proofErr w:type="spellEnd"/>
      <w:r w:rsidRPr="002763D5">
        <w:rPr>
          <w:sz w:val="20"/>
          <w:szCs w:val="20"/>
        </w:rPr>
        <w:t xml:space="preserve"> Sultan </w:t>
      </w:r>
      <w:proofErr w:type="spellStart"/>
      <w:r w:rsidRPr="002763D5">
        <w:rPr>
          <w:sz w:val="20"/>
          <w:szCs w:val="20"/>
        </w:rPr>
        <w:t>Ahmadi</w:t>
      </w:r>
      <w:proofErr w:type="spellEnd"/>
      <w:r w:rsidRPr="002763D5">
        <w:rPr>
          <w:sz w:val="20"/>
          <w:szCs w:val="20"/>
        </w:rPr>
        <w:t xml:space="preserve">, H. (2010) to examine the relationship between organizational commitment and job burnout among schoolteachers city of </w:t>
      </w:r>
      <w:proofErr w:type="spellStart"/>
      <w:r w:rsidRPr="002763D5">
        <w:rPr>
          <w:sz w:val="20"/>
          <w:szCs w:val="20"/>
        </w:rPr>
        <w:t>Mahabad</w:t>
      </w:r>
      <w:proofErr w:type="spellEnd"/>
      <w:r w:rsidRPr="002763D5">
        <w:rPr>
          <w:sz w:val="20"/>
          <w:szCs w:val="20"/>
        </w:rPr>
        <w:t>. Descriptive - survey were used. The population included 300 secondary school teachers. Among them 168 patients stratified random sampling method were selected as sample and 161 questionnaires were analyzed. Data analysis using Pearson correlation test showed that there is a significant relationship between organizational commitment and job burnout. And also between burnout and affective commitment, continuous commitment and normative commitment has a significant negative correlation.</w:t>
      </w:r>
    </w:p>
    <w:p w:rsidR="00DB22BC" w:rsidRPr="002763D5" w:rsidRDefault="00F553D6" w:rsidP="002A2E35">
      <w:pPr>
        <w:snapToGrid w:val="0"/>
        <w:ind w:firstLine="425"/>
        <w:jc w:val="both"/>
        <w:rPr>
          <w:sz w:val="20"/>
          <w:szCs w:val="20"/>
        </w:rPr>
      </w:pPr>
      <w:proofErr w:type="spellStart"/>
      <w:proofErr w:type="gramStart"/>
      <w:r w:rsidRPr="002763D5">
        <w:rPr>
          <w:sz w:val="20"/>
          <w:szCs w:val="20"/>
        </w:rPr>
        <w:t>Kord</w:t>
      </w:r>
      <w:proofErr w:type="spellEnd"/>
      <w:r w:rsidRPr="002763D5">
        <w:rPr>
          <w:sz w:val="20"/>
          <w:szCs w:val="20"/>
        </w:rPr>
        <w:t xml:space="preserve"> </w:t>
      </w:r>
      <w:proofErr w:type="spellStart"/>
      <w:r w:rsidRPr="002763D5">
        <w:rPr>
          <w:sz w:val="20"/>
          <w:szCs w:val="20"/>
        </w:rPr>
        <w:t>Temini</w:t>
      </w:r>
      <w:proofErr w:type="spellEnd"/>
      <w:r w:rsidRPr="002763D5">
        <w:rPr>
          <w:sz w:val="20"/>
          <w:szCs w:val="20"/>
        </w:rPr>
        <w:t xml:space="preserve"> and </w:t>
      </w:r>
      <w:proofErr w:type="spellStart"/>
      <w:r w:rsidRPr="002763D5">
        <w:rPr>
          <w:sz w:val="20"/>
          <w:szCs w:val="20"/>
        </w:rPr>
        <w:t>Kouhi</w:t>
      </w:r>
      <w:proofErr w:type="spellEnd"/>
      <w:r w:rsidRPr="002763D5">
        <w:rPr>
          <w:sz w:val="20"/>
          <w:szCs w:val="20"/>
        </w:rPr>
        <w:t xml:space="preserve"> (2011) to examine the relationship between organizational commitment and organizational spirituality and burnout among staff and post office in </w:t>
      </w:r>
      <w:proofErr w:type="spellStart"/>
      <w:r w:rsidRPr="002763D5">
        <w:rPr>
          <w:sz w:val="20"/>
          <w:szCs w:val="20"/>
        </w:rPr>
        <w:t>Zahedan</w:t>
      </w:r>
      <w:proofErr w:type="spellEnd"/>
      <w:r w:rsidRPr="002763D5">
        <w:rPr>
          <w:sz w:val="20"/>
          <w:szCs w:val="20"/>
        </w:rPr>
        <w:t xml:space="preserve"> city and </w:t>
      </w:r>
      <w:proofErr w:type="spellStart"/>
      <w:r w:rsidRPr="002763D5">
        <w:rPr>
          <w:sz w:val="20"/>
          <w:szCs w:val="20"/>
        </w:rPr>
        <w:t>Gorgan</w:t>
      </w:r>
      <w:proofErr w:type="spellEnd"/>
      <w:r w:rsidRPr="002763D5">
        <w:rPr>
          <w:sz w:val="20"/>
          <w:szCs w:val="20"/>
        </w:rPr>
        <w:t>.</w:t>
      </w:r>
      <w:proofErr w:type="gramEnd"/>
      <w:r w:rsidRPr="002763D5">
        <w:rPr>
          <w:sz w:val="20"/>
          <w:szCs w:val="20"/>
        </w:rPr>
        <w:t xml:space="preserve"> The results showed that normative commitment and total scores of organizational commitment and significant negative correlation with the depersonalization. Personal performance continued commitment, normative commitment and total scores of organizational commitment had a significant positive correlation. Results also indicated that organizational spirituality and total scores of all dimensions of organizational commitment had a significant positive correlation. Stepwise regression results showed that 6.1% of the variance in the amount of personal work ongoing commitment articulated and positive predictor for it. Depersonalization 20.4% of the variance in normative commitment was articulated and negative predictor for it. Results revealed that depersonalization and personal working together could explain 12.9% of the variance in total scores of organizational commitment the negative predictive and personalized performance was positive predictor for total scores of organizational commitment. </w:t>
      </w:r>
      <w:proofErr w:type="spellStart"/>
      <w:r w:rsidRPr="002763D5">
        <w:rPr>
          <w:sz w:val="20"/>
          <w:szCs w:val="20"/>
        </w:rPr>
        <w:t>Univariate</w:t>
      </w:r>
      <w:proofErr w:type="spellEnd"/>
      <w:r w:rsidRPr="002763D5">
        <w:rPr>
          <w:sz w:val="20"/>
          <w:szCs w:val="20"/>
        </w:rPr>
        <w:t xml:space="preserve"> regression analysis showed that organizational spirituality could all dimensions of organizational commitment positively and significantly predict. T test results showed a significant difference between </w:t>
      </w:r>
      <w:proofErr w:type="spellStart"/>
      <w:r w:rsidRPr="002763D5">
        <w:rPr>
          <w:sz w:val="20"/>
          <w:szCs w:val="20"/>
        </w:rPr>
        <w:t>Zahedan</w:t>
      </w:r>
      <w:proofErr w:type="spellEnd"/>
      <w:r w:rsidRPr="002763D5">
        <w:rPr>
          <w:sz w:val="20"/>
          <w:szCs w:val="20"/>
        </w:rPr>
        <w:t xml:space="preserve"> city of </w:t>
      </w:r>
      <w:proofErr w:type="spellStart"/>
      <w:r w:rsidRPr="002763D5">
        <w:rPr>
          <w:sz w:val="20"/>
          <w:szCs w:val="20"/>
        </w:rPr>
        <w:t>Gorgan</w:t>
      </w:r>
      <w:proofErr w:type="spellEnd"/>
      <w:r w:rsidRPr="002763D5">
        <w:rPr>
          <w:sz w:val="20"/>
          <w:szCs w:val="20"/>
        </w:rPr>
        <w:t xml:space="preserve"> postal clerk in the average scores of organizational commitment, organizational spirituality there is no burnout dimensions and grades.</w:t>
      </w:r>
    </w:p>
    <w:p w:rsidR="00DB22BC" w:rsidRPr="002763D5" w:rsidRDefault="00F553D6" w:rsidP="002A2E35">
      <w:pPr>
        <w:snapToGrid w:val="0"/>
        <w:ind w:firstLine="425"/>
        <w:jc w:val="both"/>
        <w:rPr>
          <w:sz w:val="20"/>
          <w:szCs w:val="20"/>
        </w:rPr>
      </w:pPr>
      <w:proofErr w:type="spellStart"/>
      <w:r w:rsidRPr="002763D5">
        <w:rPr>
          <w:sz w:val="20"/>
          <w:szCs w:val="20"/>
        </w:rPr>
        <w:t>Talaee</w:t>
      </w:r>
      <w:proofErr w:type="spellEnd"/>
      <w:r w:rsidRPr="002763D5">
        <w:rPr>
          <w:sz w:val="20"/>
          <w:szCs w:val="20"/>
        </w:rPr>
        <w:t xml:space="preserve"> and colleagues in a study on employee health care centers of Mashhad showed that emotional exhaustion and depersonalization, reduction in personal success with emotional exhaustion and depersonalization, emotional exhaustion significant relationship and the significant negative relation with age employees and in depersonalization significant difference was observed between men and women (6).</w:t>
      </w:r>
    </w:p>
    <w:p w:rsidR="00DB22BC" w:rsidRPr="002763D5" w:rsidRDefault="00F553D6" w:rsidP="002A2E35">
      <w:pPr>
        <w:snapToGrid w:val="0"/>
        <w:ind w:firstLine="425"/>
        <w:jc w:val="both"/>
        <w:rPr>
          <w:sz w:val="20"/>
          <w:szCs w:val="20"/>
        </w:rPr>
      </w:pPr>
      <w:r w:rsidRPr="002763D5">
        <w:rPr>
          <w:sz w:val="20"/>
          <w:szCs w:val="20"/>
        </w:rPr>
        <w:t xml:space="preserve">Low and high workload of nursing staff, the main causes of burnout in nurses expressed. Trying to </w:t>
      </w:r>
      <w:r w:rsidRPr="002763D5">
        <w:rPr>
          <w:sz w:val="20"/>
          <w:szCs w:val="20"/>
        </w:rPr>
        <w:lastRenderedPageBreak/>
        <w:t>upgrade and maintain communication between nurses and nurse managers and physicians' job satisfaction and staff retention may enhance and improve the quality of patient care (7).</w:t>
      </w:r>
    </w:p>
    <w:p w:rsidR="00DB22BC" w:rsidRPr="002763D5" w:rsidRDefault="00F553D6" w:rsidP="002A2E35">
      <w:pPr>
        <w:snapToGrid w:val="0"/>
        <w:ind w:firstLine="425"/>
        <w:jc w:val="both"/>
        <w:rPr>
          <w:sz w:val="20"/>
          <w:szCs w:val="20"/>
        </w:rPr>
      </w:pPr>
      <w:r w:rsidRPr="002763D5">
        <w:rPr>
          <w:sz w:val="20"/>
          <w:szCs w:val="20"/>
        </w:rPr>
        <w:t xml:space="preserve">Prevalence of </w:t>
      </w:r>
      <w:r w:rsidRPr="002763D5">
        <w:rPr>
          <w:rStyle w:val="alt-edited"/>
          <w:sz w:val="20"/>
          <w:szCs w:val="20"/>
        </w:rPr>
        <w:t>Job Burnout</w:t>
      </w:r>
      <w:r w:rsidRPr="002763D5">
        <w:rPr>
          <w:sz w:val="20"/>
          <w:szCs w:val="20"/>
        </w:rPr>
        <w:t xml:space="preserve"> in healthcare employees in one of the teaching hospitals in Italy</w:t>
      </w:r>
      <w:r w:rsidRPr="002763D5">
        <w:rPr>
          <w:rStyle w:val="trans-target-highlight"/>
          <w:sz w:val="20"/>
          <w:szCs w:val="20"/>
        </w:rPr>
        <w:t>, emotional exhaustion</w:t>
      </w:r>
      <w:r w:rsidRPr="002763D5">
        <w:rPr>
          <w:sz w:val="20"/>
          <w:szCs w:val="20"/>
        </w:rPr>
        <w:t xml:space="preserve"> and depersonalization were observed in the average level of work in the emergency department with lower levels of success (8).</w:t>
      </w:r>
    </w:p>
    <w:p w:rsidR="00DB22BC" w:rsidRPr="002763D5" w:rsidRDefault="00F553D6" w:rsidP="002A2E35">
      <w:pPr>
        <w:snapToGrid w:val="0"/>
        <w:ind w:firstLine="425"/>
        <w:jc w:val="both"/>
        <w:rPr>
          <w:sz w:val="20"/>
          <w:szCs w:val="20"/>
        </w:rPr>
      </w:pPr>
      <w:r w:rsidRPr="002763D5">
        <w:rPr>
          <w:sz w:val="20"/>
          <w:szCs w:val="20"/>
        </w:rPr>
        <w:t xml:space="preserve">The results of </w:t>
      </w:r>
      <w:proofErr w:type="spellStart"/>
      <w:r w:rsidRPr="002763D5">
        <w:rPr>
          <w:sz w:val="20"/>
          <w:szCs w:val="20"/>
        </w:rPr>
        <w:t>Abdi</w:t>
      </w:r>
      <w:proofErr w:type="spellEnd"/>
      <w:r w:rsidRPr="002763D5">
        <w:rPr>
          <w:sz w:val="20"/>
          <w:szCs w:val="20"/>
        </w:rPr>
        <w:t xml:space="preserve"> </w:t>
      </w:r>
      <w:proofErr w:type="spellStart"/>
      <w:r w:rsidRPr="002763D5">
        <w:rPr>
          <w:sz w:val="20"/>
          <w:szCs w:val="20"/>
        </w:rPr>
        <w:t>Masouleh</w:t>
      </w:r>
      <w:proofErr w:type="spellEnd"/>
      <w:r w:rsidRPr="002763D5">
        <w:rPr>
          <w:sz w:val="20"/>
          <w:szCs w:val="20"/>
        </w:rPr>
        <w:t xml:space="preserve"> et al. showed that there is relationship between burnout and mental health colleagues in 156 nurses, implying that the majority of subjects in the dimensions of emotional exhaustion character at a low level and high level were later reduced personal accomplishment (9).</w:t>
      </w:r>
    </w:p>
    <w:p w:rsidR="00F553D6" w:rsidRPr="002763D5" w:rsidRDefault="00F553D6" w:rsidP="002A2E35">
      <w:pPr>
        <w:snapToGrid w:val="0"/>
        <w:ind w:firstLine="425"/>
        <w:jc w:val="both"/>
        <w:rPr>
          <w:sz w:val="20"/>
          <w:szCs w:val="20"/>
        </w:rPr>
      </w:pPr>
      <w:r w:rsidRPr="002763D5">
        <w:rPr>
          <w:sz w:val="20"/>
          <w:szCs w:val="20"/>
        </w:rPr>
        <w:t xml:space="preserve">The findings </w:t>
      </w:r>
      <w:proofErr w:type="spellStart"/>
      <w:r w:rsidRPr="002763D5">
        <w:rPr>
          <w:sz w:val="20"/>
          <w:szCs w:val="20"/>
        </w:rPr>
        <w:t>Najafi</w:t>
      </w:r>
      <w:proofErr w:type="spellEnd"/>
      <w:r w:rsidRPr="002763D5">
        <w:rPr>
          <w:sz w:val="20"/>
          <w:szCs w:val="20"/>
        </w:rPr>
        <w:t xml:space="preserve"> et al. showed significant relationship between </w:t>
      </w:r>
      <w:r w:rsidRPr="002763D5">
        <w:rPr>
          <w:rStyle w:val="alt-edited"/>
          <w:sz w:val="20"/>
          <w:szCs w:val="20"/>
        </w:rPr>
        <w:t>Job Burnout</w:t>
      </w:r>
      <w:r w:rsidRPr="002763D5">
        <w:rPr>
          <w:sz w:val="20"/>
          <w:szCs w:val="20"/>
        </w:rPr>
        <w:t xml:space="preserve"> and mental health staff Esfahan Nuclear Fuel Research and Production Center, but less burnout level of health and medical personnel (10).</w:t>
      </w:r>
    </w:p>
    <w:p w:rsidR="00F553D6" w:rsidRPr="002763D5" w:rsidRDefault="00F553D6" w:rsidP="002A2E35">
      <w:pPr>
        <w:snapToGrid w:val="0"/>
        <w:jc w:val="both"/>
        <w:rPr>
          <w:rStyle w:val="shorttext"/>
          <w:b/>
          <w:bCs/>
          <w:sz w:val="20"/>
          <w:szCs w:val="20"/>
        </w:rPr>
      </w:pPr>
      <w:r w:rsidRPr="002763D5">
        <w:rPr>
          <w:rStyle w:val="shorttext"/>
          <w:b/>
          <w:bCs/>
          <w:sz w:val="20"/>
          <w:szCs w:val="20"/>
        </w:rPr>
        <w:t>Goals and assumptions</w:t>
      </w:r>
    </w:p>
    <w:p w:rsidR="00F553D6" w:rsidRPr="002763D5" w:rsidRDefault="00F553D6" w:rsidP="002A2E35">
      <w:pPr>
        <w:snapToGrid w:val="0"/>
        <w:jc w:val="both"/>
        <w:rPr>
          <w:b/>
          <w:bCs/>
          <w:sz w:val="20"/>
          <w:szCs w:val="20"/>
          <w:lang w:bidi="fa-IR"/>
        </w:rPr>
      </w:pPr>
      <w:r w:rsidRPr="002763D5">
        <w:rPr>
          <w:b/>
          <w:bCs/>
          <w:sz w:val="20"/>
          <w:szCs w:val="20"/>
          <w:lang w:bidi="fa-IR"/>
        </w:rPr>
        <w:t xml:space="preserve">General Goal of </w:t>
      </w:r>
      <w:r w:rsidRPr="002763D5">
        <w:rPr>
          <w:rStyle w:val="shorttext"/>
          <w:b/>
          <w:bCs/>
          <w:sz w:val="20"/>
          <w:szCs w:val="20"/>
        </w:rPr>
        <w:t>project</w:t>
      </w:r>
    </w:p>
    <w:p w:rsidR="00F553D6" w:rsidRPr="002763D5" w:rsidRDefault="00F553D6" w:rsidP="002A2E35">
      <w:pPr>
        <w:snapToGrid w:val="0"/>
        <w:ind w:firstLine="425"/>
        <w:jc w:val="both"/>
        <w:rPr>
          <w:sz w:val="20"/>
          <w:szCs w:val="20"/>
        </w:rPr>
      </w:pPr>
      <w:r w:rsidRPr="002763D5">
        <w:rPr>
          <w:sz w:val="20"/>
          <w:szCs w:val="20"/>
        </w:rPr>
        <w:t xml:space="preserve">Determine the relationship between organizational commitment and job burnout among health workers </w:t>
      </w:r>
      <w:proofErr w:type="spellStart"/>
      <w:r w:rsidRPr="002763D5">
        <w:rPr>
          <w:sz w:val="20"/>
          <w:szCs w:val="20"/>
        </w:rPr>
        <w:t>Amol</w:t>
      </w:r>
      <w:proofErr w:type="spellEnd"/>
      <w:r w:rsidRPr="002763D5">
        <w:rPr>
          <w:sz w:val="20"/>
          <w:szCs w:val="20"/>
        </w:rPr>
        <w:t xml:space="preserve"> city in 2014.</w:t>
      </w:r>
    </w:p>
    <w:p w:rsidR="00F553D6" w:rsidRPr="002763D5" w:rsidRDefault="00F553D6" w:rsidP="002A2E35">
      <w:pPr>
        <w:snapToGrid w:val="0"/>
        <w:jc w:val="both"/>
        <w:rPr>
          <w:rStyle w:val="shorttext"/>
          <w:b/>
          <w:bCs/>
          <w:sz w:val="20"/>
          <w:szCs w:val="20"/>
        </w:rPr>
      </w:pPr>
      <w:r w:rsidRPr="002763D5">
        <w:rPr>
          <w:rStyle w:val="shorttext"/>
          <w:b/>
          <w:bCs/>
          <w:sz w:val="20"/>
          <w:szCs w:val="20"/>
        </w:rPr>
        <w:t>Specific objectives of the project</w:t>
      </w:r>
    </w:p>
    <w:p w:rsidR="00F553D6" w:rsidRPr="002763D5" w:rsidRDefault="00F553D6" w:rsidP="002A2E35">
      <w:pPr>
        <w:snapToGrid w:val="0"/>
        <w:ind w:firstLine="425"/>
        <w:jc w:val="both"/>
        <w:rPr>
          <w:sz w:val="20"/>
          <w:szCs w:val="20"/>
          <w:lang w:bidi="fa-IR"/>
        </w:rPr>
      </w:pPr>
      <w:r w:rsidRPr="002763D5">
        <w:rPr>
          <w:sz w:val="20"/>
          <w:szCs w:val="20"/>
          <w:lang w:bidi="fa-IR"/>
        </w:rPr>
        <w:t>1) Determination the organizational commitment of health workers;</w:t>
      </w:r>
    </w:p>
    <w:p w:rsidR="00F553D6" w:rsidRPr="002763D5" w:rsidRDefault="00F553D6" w:rsidP="002A2E35">
      <w:pPr>
        <w:snapToGrid w:val="0"/>
        <w:ind w:firstLine="425"/>
        <w:jc w:val="both"/>
        <w:rPr>
          <w:sz w:val="20"/>
          <w:szCs w:val="20"/>
          <w:lang w:bidi="fa-IR"/>
        </w:rPr>
      </w:pPr>
      <w:r w:rsidRPr="002763D5">
        <w:rPr>
          <w:sz w:val="20"/>
          <w:szCs w:val="20"/>
          <w:lang w:bidi="fa-IR"/>
        </w:rPr>
        <w:t>2) Determination the status of Job Burnout of health workers;</w:t>
      </w:r>
    </w:p>
    <w:p w:rsidR="00F553D6" w:rsidRPr="002763D5" w:rsidRDefault="00F553D6" w:rsidP="002A2E35">
      <w:pPr>
        <w:snapToGrid w:val="0"/>
        <w:ind w:firstLine="425"/>
        <w:jc w:val="both"/>
        <w:rPr>
          <w:sz w:val="20"/>
          <w:szCs w:val="20"/>
          <w:lang w:bidi="fa-IR"/>
        </w:rPr>
      </w:pPr>
      <w:r w:rsidRPr="002763D5">
        <w:rPr>
          <w:sz w:val="20"/>
          <w:szCs w:val="20"/>
          <w:lang w:bidi="fa-IR"/>
        </w:rPr>
        <w:t>3) Determination the organizational commitment in terms of demographic characteristics;</w:t>
      </w:r>
    </w:p>
    <w:p w:rsidR="00F553D6" w:rsidRPr="002763D5" w:rsidRDefault="00F553D6" w:rsidP="002A2E35">
      <w:pPr>
        <w:snapToGrid w:val="0"/>
        <w:ind w:firstLine="425"/>
        <w:jc w:val="both"/>
        <w:rPr>
          <w:sz w:val="20"/>
          <w:szCs w:val="20"/>
          <w:lang w:bidi="fa-IR"/>
        </w:rPr>
      </w:pPr>
      <w:r w:rsidRPr="002763D5">
        <w:rPr>
          <w:sz w:val="20"/>
          <w:szCs w:val="20"/>
          <w:lang w:bidi="fa-IR"/>
        </w:rPr>
        <w:t>4) Determination of burnout in terms of demographic characteristics;</w:t>
      </w:r>
    </w:p>
    <w:p w:rsidR="00F553D6" w:rsidRPr="002763D5" w:rsidRDefault="00F553D6" w:rsidP="002A2E35">
      <w:pPr>
        <w:snapToGrid w:val="0"/>
        <w:ind w:firstLine="425"/>
        <w:jc w:val="both"/>
        <w:rPr>
          <w:sz w:val="20"/>
          <w:szCs w:val="20"/>
          <w:lang w:bidi="fa-IR"/>
        </w:rPr>
      </w:pPr>
      <w:r w:rsidRPr="002763D5">
        <w:rPr>
          <w:sz w:val="20"/>
          <w:szCs w:val="20"/>
          <w:lang w:bidi="fa-IR"/>
        </w:rPr>
        <w:t>5) Determination the relationship between organizational commitment and job burnout.</w:t>
      </w:r>
    </w:p>
    <w:p w:rsidR="00F553D6" w:rsidRPr="002763D5" w:rsidRDefault="00F553D6" w:rsidP="002A2E35">
      <w:pPr>
        <w:snapToGrid w:val="0"/>
        <w:jc w:val="both"/>
        <w:rPr>
          <w:b/>
          <w:bCs/>
          <w:sz w:val="20"/>
          <w:szCs w:val="20"/>
          <w:lang w:bidi="fa-IR"/>
        </w:rPr>
      </w:pPr>
      <w:r w:rsidRPr="002763D5">
        <w:rPr>
          <w:rStyle w:val="shorttext"/>
          <w:b/>
          <w:bCs/>
          <w:sz w:val="20"/>
          <w:szCs w:val="20"/>
        </w:rPr>
        <w:t>Hypotheses (or research questions):</w:t>
      </w:r>
    </w:p>
    <w:p w:rsidR="00F553D6" w:rsidRPr="002763D5" w:rsidRDefault="00F553D6" w:rsidP="002A2E35">
      <w:pPr>
        <w:snapToGrid w:val="0"/>
        <w:ind w:firstLine="425"/>
        <w:jc w:val="both"/>
        <w:rPr>
          <w:sz w:val="20"/>
          <w:szCs w:val="20"/>
          <w:lang w:bidi="fa-IR"/>
        </w:rPr>
      </w:pPr>
      <w:r w:rsidRPr="002763D5">
        <w:rPr>
          <w:sz w:val="20"/>
          <w:szCs w:val="20"/>
          <w:lang w:bidi="fa-IR"/>
        </w:rPr>
        <w:t>1) Does the organizational commitment of health workers is desirable?</w:t>
      </w:r>
    </w:p>
    <w:p w:rsidR="00F553D6" w:rsidRPr="002763D5" w:rsidRDefault="00F553D6" w:rsidP="002A2E35">
      <w:pPr>
        <w:snapToGrid w:val="0"/>
        <w:ind w:firstLine="425"/>
        <w:jc w:val="both"/>
        <w:rPr>
          <w:sz w:val="20"/>
          <w:szCs w:val="20"/>
          <w:lang w:bidi="fa-IR"/>
        </w:rPr>
      </w:pPr>
      <w:r w:rsidRPr="002763D5">
        <w:rPr>
          <w:sz w:val="20"/>
          <w:szCs w:val="20"/>
          <w:lang w:bidi="fa-IR"/>
        </w:rPr>
        <w:t>2) Does the Job Burnout of health workers is desirable?</w:t>
      </w:r>
    </w:p>
    <w:p w:rsidR="00F553D6" w:rsidRPr="002763D5" w:rsidRDefault="00F553D6" w:rsidP="002A2E35">
      <w:pPr>
        <w:snapToGrid w:val="0"/>
        <w:ind w:firstLine="425"/>
        <w:jc w:val="both"/>
        <w:rPr>
          <w:sz w:val="20"/>
          <w:szCs w:val="20"/>
          <w:lang w:bidi="fa-IR"/>
        </w:rPr>
      </w:pPr>
      <w:r w:rsidRPr="002763D5">
        <w:rPr>
          <w:sz w:val="20"/>
          <w:szCs w:val="20"/>
          <w:lang w:bidi="fa-IR"/>
        </w:rPr>
        <w:t>3) Is there a significant relationship between organizational commitment and demographic characteristics there?</w:t>
      </w:r>
    </w:p>
    <w:p w:rsidR="00F553D6" w:rsidRPr="002763D5" w:rsidRDefault="00F553D6" w:rsidP="002A2E35">
      <w:pPr>
        <w:snapToGrid w:val="0"/>
        <w:ind w:firstLine="425"/>
        <w:jc w:val="both"/>
        <w:rPr>
          <w:sz w:val="20"/>
          <w:szCs w:val="20"/>
          <w:lang w:bidi="fa-IR"/>
        </w:rPr>
      </w:pPr>
      <w:r w:rsidRPr="002763D5">
        <w:rPr>
          <w:sz w:val="20"/>
          <w:szCs w:val="20"/>
          <w:lang w:bidi="fa-IR"/>
        </w:rPr>
        <w:t>4) Is there a significant relationship between burnout and demographic characteristics there?</w:t>
      </w:r>
    </w:p>
    <w:p w:rsidR="00F553D6" w:rsidRPr="002763D5" w:rsidRDefault="00F553D6" w:rsidP="002A2E35">
      <w:pPr>
        <w:snapToGrid w:val="0"/>
        <w:ind w:firstLine="425"/>
        <w:jc w:val="both"/>
        <w:rPr>
          <w:sz w:val="20"/>
          <w:szCs w:val="20"/>
          <w:lang w:bidi="fa-IR"/>
        </w:rPr>
      </w:pPr>
      <w:r w:rsidRPr="002763D5">
        <w:rPr>
          <w:sz w:val="20"/>
          <w:szCs w:val="20"/>
          <w:lang w:bidi="fa-IR"/>
        </w:rPr>
        <w:t>5) Is there a significant relationship between organizational commitment and job burnout?</w:t>
      </w:r>
    </w:p>
    <w:p w:rsidR="00F553D6" w:rsidRPr="002763D5" w:rsidRDefault="00F553D6" w:rsidP="002A2E35">
      <w:pPr>
        <w:snapToGrid w:val="0"/>
        <w:jc w:val="both"/>
        <w:rPr>
          <w:rStyle w:val="shorttext"/>
          <w:b/>
          <w:bCs/>
          <w:sz w:val="20"/>
          <w:szCs w:val="20"/>
        </w:rPr>
      </w:pPr>
      <w:r w:rsidRPr="002763D5">
        <w:rPr>
          <w:rStyle w:val="shorttext"/>
          <w:b/>
          <w:bCs/>
          <w:sz w:val="20"/>
          <w:szCs w:val="20"/>
        </w:rPr>
        <w:t>Research method:</w:t>
      </w:r>
    </w:p>
    <w:p w:rsidR="00DB22BC" w:rsidRPr="002763D5" w:rsidRDefault="00F553D6" w:rsidP="002A2E35">
      <w:pPr>
        <w:snapToGrid w:val="0"/>
        <w:ind w:firstLine="425"/>
        <w:jc w:val="both"/>
        <w:rPr>
          <w:rFonts w:eastAsia="Times New Roman"/>
          <w:sz w:val="20"/>
          <w:szCs w:val="20"/>
        </w:rPr>
      </w:pPr>
      <w:r w:rsidRPr="002763D5">
        <w:rPr>
          <w:rFonts w:eastAsia="Times New Roman"/>
          <w:sz w:val="20"/>
          <w:szCs w:val="20"/>
        </w:rPr>
        <w:t xml:space="preserve">The research is descriptive and </w:t>
      </w:r>
      <w:proofErr w:type="spellStart"/>
      <w:r w:rsidRPr="002763D5">
        <w:rPr>
          <w:rFonts w:eastAsia="Times New Roman"/>
          <w:sz w:val="20"/>
          <w:szCs w:val="20"/>
        </w:rPr>
        <w:t>correlational</w:t>
      </w:r>
      <w:proofErr w:type="spellEnd"/>
      <w:r w:rsidRPr="002763D5">
        <w:rPr>
          <w:rFonts w:eastAsia="Times New Roman"/>
          <w:sz w:val="20"/>
          <w:szCs w:val="20"/>
        </w:rPr>
        <w:t xml:space="preserve">. The study population included 153 health workers </w:t>
      </w:r>
      <w:r w:rsidRPr="002763D5">
        <w:rPr>
          <w:rFonts w:eastAsia="Times New Roman"/>
          <w:sz w:val="20"/>
          <w:szCs w:val="20"/>
        </w:rPr>
        <w:lastRenderedPageBreak/>
        <w:t xml:space="preserve">employed in active health center city of </w:t>
      </w:r>
      <w:proofErr w:type="spellStart"/>
      <w:r w:rsidRPr="002763D5">
        <w:rPr>
          <w:rFonts w:eastAsia="Times New Roman"/>
          <w:sz w:val="20"/>
          <w:szCs w:val="20"/>
        </w:rPr>
        <w:t>Amol</w:t>
      </w:r>
      <w:proofErr w:type="spellEnd"/>
      <w:r w:rsidRPr="002763D5">
        <w:rPr>
          <w:rFonts w:eastAsia="Times New Roman"/>
          <w:sz w:val="20"/>
          <w:szCs w:val="20"/>
        </w:rPr>
        <w:t>, a total of 264 people are employed in these centers.</w:t>
      </w:r>
    </w:p>
    <w:p w:rsidR="00DB22BC" w:rsidRPr="002763D5" w:rsidRDefault="00F553D6" w:rsidP="002A2E35">
      <w:pPr>
        <w:snapToGrid w:val="0"/>
        <w:ind w:firstLine="425"/>
        <w:jc w:val="both"/>
        <w:rPr>
          <w:sz w:val="20"/>
          <w:szCs w:val="20"/>
        </w:rPr>
      </w:pPr>
      <w:r w:rsidRPr="002763D5">
        <w:rPr>
          <w:sz w:val="20"/>
          <w:szCs w:val="20"/>
        </w:rPr>
        <w:t>According to Morgan table 156 health workers (78 females and 78 males) were selected as the sample. Multi-stage stratified random sampling method is used.</w:t>
      </w:r>
    </w:p>
    <w:p w:rsidR="00F553D6" w:rsidRPr="002763D5" w:rsidRDefault="00F553D6" w:rsidP="002A2E35">
      <w:pPr>
        <w:snapToGrid w:val="0"/>
        <w:ind w:firstLine="425"/>
        <w:jc w:val="both"/>
        <w:rPr>
          <w:sz w:val="20"/>
          <w:szCs w:val="20"/>
        </w:rPr>
      </w:pPr>
      <w:r w:rsidRPr="002763D5">
        <w:rPr>
          <w:sz w:val="20"/>
          <w:szCs w:val="20"/>
        </w:rPr>
        <w:t>Health workers will be entering the study must meet the following requirements:</w:t>
      </w:r>
    </w:p>
    <w:p w:rsidR="00F553D6" w:rsidRPr="002763D5" w:rsidRDefault="00F553D6" w:rsidP="002A2E35">
      <w:pPr>
        <w:snapToGrid w:val="0"/>
        <w:ind w:firstLine="425"/>
        <w:jc w:val="both"/>
        <w:rPr>
          <w:rFonts w:eastAsia="Times New Roman"/>
          <w:sz w:val="20"/>
          <w:szCs w:val="20"/>
          <w:lang w:bidi="fa-IR"/>
        </w:rPr>
      </w:pPr>
      <w:r w:rsidRPr="002763D5">
        <w:rPr>
          <w:rFonts w:eastAsia="Times New Roman"/>
          <w:sz w:val="20"/>
          <w:szCs w:val="20"/>
          <w:lang w:bidi="fa-IR"/>
        </w:rPr>
        <w:t xml:space="preserve">- At the </w:t>
      </w:r>
      <w:proofErr w:type="gramStart"/>
      <w:r w:rsidRPr="002763D5">
        <w:rPr>
          <w:rFonts w:eastAsia="Times New Roman"/>
          <w:sz w:val="20"/>
          <w:szCs w:val="20"/>
          <w:lang w:bidi="fa-IR"/>
        </w:rPr>
        <w:t xml:space="preserve">time of the study in the city of </w:t>
      </w:r>
      <w:proofErr w:type="spellStart"/>
      <w:r w:rsidRPr="002763D5">
        <w:rPr>
          <w:rFonts w:eastAsia="Times New Roman"/>
          <w:sz w:val="20"/>
          <w:szCs w:val="20"/>
          <w:lang w:bidi="fa-IR"/>
        </w:rPr>
        <w:t>Amol</w:t>
      </w:r>
      <w:proofErr w:type="spellEnd"/>
      <w:r w:rsidRPr="002763D5">
        <w:rPr>
          <w:rFonts w:eastAsia="Times New Roman"/>
          <w:sz w:val="20"/>
          <w:szCs w:val="20"/>
          <w:lang w:bidi="fa-IR"/>
        </w:rPr>
        <w:t xml:space="preserve"> Health Network are</w:t>
      </w:r>
      <w:proofErr w:type="gramEnd"/>
      <w:r w:rsidRPr="002763D5">
        <w:rPr>
          <w:rFonts w:eastAsia="Times New Roman"/>
          <w:sz w:val="20"/>
          <w:szCs w:val="20"/>
          <w:lang w:bidi="fa-IR"/>
        </w:rPr>
        <w:t xml:space="preserve"> working.</w:t>
      </w:r>
    </w:p>
    <w:p w:rsidR="00F553D6" w:rsidRPr="002763D5" w:rsidRDefault="00F553D6" w:rsidP="002A2E35">
      <w:pPr>
        <w:snapToGrid w:val="0"/>
        <w:ind w:firstLine="425"/>
        <w:jc w:val="both"/>
        <w:rPr>
          <w:rFonts w:eastAsia="Times New Roman"/>
          <w:sz w:val="20"/>
          <w:szCs w:val="20"/>
          <w:lang w:bidi="fa-IR"/>
        </w:rPr>
      </w:pPr>
      <w:r w:rsidRPr="002763D5">
        <w:rPr>
          <w:rFonts w:eastAsia="Times New Roman"/>
          <w:sz w:val="20"/>
          <w:szCs w:val="20"/>
          <w:lang w:bidi="fa-IR"/>
        </w:rPr>
        <w:t>- Have not previously completed the questionnaire.</w:t>
      </w:r>
    </w:p>
    <w:p w:rsidR="00F553D6" w:rsidRPr="002763D5" w:rsidRDefault="00F553D6" w:rsidP="002A2E35">
      <w:pPr>
        <w:snapToGrid w:val="0"/>
        <w:ind w:firstLine="425"/>
        <w:jc w:val="both"/>
        <w:rPr>
          <w:rFonts w:eastAsia="Times New Roman"/>
          <w:sz w:val="20"/>
          <w:szCs w:val="20"/>
          <w:lang w:bidi="fa-IR"/>
        </w:rPr>
      </w:pPr>
      <w:r w:rsidRPr="002763D5">
        <w:rPr>
          <w:rFonts w:eastAsia="Times New Roman"/>
          <w:sz w:val="20"/>
          <w:szCs w:val="20"/>
          <w:lang w:bidi="fa-IR"/>
        </w:rPr>
        <w:t xml:space="preserve">- History of effective drugs on the psyche (in the past six months) </w:t>
      </w:r>
      <w:proofErr w:type="gramStart"/>
      <w:r w:rsidRPr="002763D5">
        <w:rPr>
          <w:rFonts w:eastAsia="Times New Roman"/>
          <w:sz w:val="20"/>
          <w:szCs w:val="20"/>
          <w:lang w:bidi="fa-IR"/>
        </w:rPr>
        <w:t>have</w:t>
      </w:r>
      <w:proofErr w:type="gramEnd"/>
      <w:r w:rsidRPr="002763D5">
        <w:rPr>
          <w:rFonts w:eastAsia="Times New Roman"/>
          <w:sz w:val="20"/>
          <w:szCs w:val="20"/>
          <w:lang w:bidi="fa-IR"/>
        </w:rPr>
        <w:t xml:space="preserve"> not.</w:t>
      </w:r>
    </w:p>
    <w:p w:rsidR="00F553D6" w:rsidRPr="002763D5" w:rsidRDefault="00F553D6" w:rsidP="002A2E35">
      <w:pPr>
        <w:snapToGrid w:val="0"/>
        <w:ind w:firstLine="425"/>
        <w:jc w:val="both"/>
        <w:rPr>
          <w:rFonts w:eastAsia="Times New Roman"/>
          <w:sz w:val="20"/>
          <w:szCs w:val="20"/>
          <w:lang w:bidi="fa-IR"/>
        </w:rPr>
      </w:pPr>
      <w:r w:rsidRPr="002763D5">
        <w:rPr>
          <w:rFonts w:eastAsia="Times New Roman"/>
          <w:sz w:val="20"/>
          <w:szCs w:val="20"/>
          <w:lang w:bidi="fa-IR"/>
        </w:rPr>
        <w:t>- Disability is not a member of imperfection.</w:t>
      </w:r>
    </w:p>
    <w:p w:rsidR="00F553D6" w:rsidRPr="002763D5" w:rsidRDefault="00F553D6" w:rsidP="002A2E35">
      <w:pPr>
        <w:snapToGrid w:val="0"/>
        <w:ind w:firstLine="425"/>
        <w:jc w:val="both"/>
        <w:rPr>
          <w:rFonts w:eastAsia="Times New Roman"/>
          <w:sz w:val="20"/>
          <w:szCs w:val="20"/>
          <w:lang w:bidi="fa-IR"/>
        </w:rPr>
      </w:pPr>
      <w:r w:rsidRPr="002763D5">
        <w:rPr>
          <w:rFonts w:eastAsia="Times New Roman"/>
          <w:sz w:val="20"/>
          <w:szCs w:val="20"/>
          <w:lang w:bidi="fa-IR"/>
        </w:rPr>
        <w:t>- Their immediate family member’s incurable illness or disability is physical and mental.</w:t>
      </w:r>
    </w:p>
    <w:p w:rsidR="00F553D6" w:rsidRPr="002763D5" w:rsidRDefault="00F553D6" w:rsidP="002A2E35">
      <w:pPr>
        <w:snapToGrid w:val="0"/>
        <w:ind w:firstLine="425"/>
        <w:jc w:val="both"/>
        <w:rPr>
          <w:rFonts w:eastAsia="Times New Roman"/>
          <w:sz w:val="20"/>
          <w:szCs w:val="20"/>
          <w:lang w:bidi="fa-IR"/>
        </w:rPr>
      </w:pPr>
      <w:r w:rsidRPr="002763D5">
        <w:rPr>
          <w:rFonts w:eastAsia="Times New Roman"/>
          <w:sz w:val="20"/>
          <w:szCs w:val="20"/>
          <w:lang w:bidi="fa-IR"/>
        </w:rPr>
        <w:t>- In the past six months, such as death of a family member with mental illness, divorce, serious accidents, there has not been an addict in the family.</w:t>
      </w:r>
    </w:p>
    <w:p w:rsidR="00F553D6" w:rsidRPr="002763D5" w:rsidRDefault="00F553D6" w:rsidP="002A2E35">
      <w:pPr>
        <w:snapToGrid w:val="0"/>
        <w:jc w:val="both"/>
        <w:rPr>
          <w:rStyle w:val="shorttext"/>
          <w:b/>
          <w:bCs/>
          <w:sz w:val="20"/>
          <w:szCs w:val="20"/>
        </w:rPr>
      </w:pPr>
      <w:r w:rsidRPr="002763D5">
        <w:rPr>
          <w:rStyle w:val="shorttext"/>
          <w:b/>
          <w:bCs/>
          <w:sz w:val="20"/>
          <w:szCs w:val="20"/>
        </w:rPr>
        <w:t>Research Tools:</w:t>
      </w:r>
    </w:p>
    <w:p w:rsidR="00F553D6" w:rsidRPr="002763D5" w:rsidRDefault="00F553D6" w:rsidP="002A2E35">
      <w:pPr>
        <w:snapToGrid w:val="0"/>
        <w:ind w:firstLine="425"/>
        <w:jc w:val="both"/>
        <w:rPr>
          <w:sz w:val="20"/>
          <w:szCs w:val="20"/>
        </w:rPr>
      </w:pPr>
      <w:r w:rsidRPr="002763D5">
        <w:rPr>
          <w:sz w:val="20"/>
          <w:szCs w:val="20"/>
        </w:rPr>
        <w:t>A) Scale (questionnaire): organizational commitment by Allen and Meyer was designed to evaluate the organizational commitment.</w:t>
      </w:r>
      <w:r w:rsidR="002763D5">
        <w:rPr>
          <w:sz w:val="20"/>
          <w:szCs w:val="20"/>
        </w:rPr>
        <w:t xml:space="preserve"> </w:t>
      </w:r>
      <w:r w:rsidRPr="002763D5">
        <w:rPr>
          <w:sz w:val="20"/>
          <w:szCs w:val="20"/>
        </w:rPr>
        <w:t xml:space="preserve">The scale has 24 </w:t>
      </w:r>
      <w:proofErr w:type="gramStart"/>
      <w:r w:rsidRPr="002763D5">
        <w:rPr>
          <w:sz w:val="20"/>
          <w:szCs w:val="20"/>
        </w:rPr>
        <w:t>questions,</w:t>
      </w:r>
      <w:proofErr w:type="gramEnd"/>
      <w:r w:rsidRPr="002763D5">
        <w:rPr>
          <w:sz w:val="20"/>
          <w:szCs w:val="20"/>
        </w:rPr>
        <w:t xml:space="preserve"> each question based on the </w:t>
      </w:r>
      <w:proofErr w:type="spellStart"/>
      <w:r w:rsidRPr="002763D5">
        <w:rPr>
          <w:sz w:val="20"/>
          <w:szCs w:val="20"/>
        </w:rPr>
        <w:t>Likert</w:t>
      </w:r>
      <w:proofErr w:type="spellEnd"/>
      <w:r w:rsidRPr="002763D5">
        <w:rPr>
          <w:sz w:val="20"/>
          <w:szCs w:val="20"/>
        </w:rPr>
        <w:t xml:space="preserve"> scale (Strongly Disagree (5), to highly agree (1)) was scored. And has three sub-scales are ongoing commitment and normative commitment.</w:t>
      </w:r>
    </w:p>
    <w:p w:rsidR="00F553D6" w:rsidRPr="002763D5" w:rsidRDefault="00F553D6" w:rsidP="002A2E35">
      <w:pPr>
        <w:snapToGrid w:val="0"/>
        <w:ind w:firstLine="425"/>
        <w:jc w:val="both"/>
        <w:rPr>
          <w:sz w:val="20"/>
          <w:szCs w:val="20"/>
        </w:rPr>
      </w:pPr>
      <w:r w:rsidRPr="002763D5">
        <w:rPr>
          <w:sz w:val="20"/>
          <w:szCs w:val="20"/>
        </w:rPr>
        <w:t xml:space="preserve">B) </w:t>
      </w:r>
      <w:proofErr w:type="spellStart"/>
      <w:r w:rsidRPr="002763D5">
        <w:rPr>
          <w:sz w:val="20"/>
          <w:szCs w:val="20"/>
        </w:rPr>
        <w:t>Maslach</w:t>
      </w:r>
      <w:proofErr w:type="spellEnd"/>
      <w:r w:rsidRPr="002763D5">
        <w:rPr>
          <w:sz w:val="20"/>
          <w:szCs w:val="20"/>
        </w:rPr>
        <w:t xml:space="preserve"> Burnout Inventory, which contains 25 questions.</w:t>
      </w:r>
      <w:r w:rsidR="002763D5">
        <w:rPr>
          <w:sz w:val="20"/>
          <w:szCs w:val="20"/>
        </w:rPr>
        <w:t xml:space="preserve"> </w:t>
      </w:r>
      <w:r w:rsidRPr="002763D5">
        <w:rPr>
          <w:sz w:val="20"/>
          <w:szCs w:val="20"/>
        </w:rPr>
        <w:t xml:space="preserve">9 questions related to emotional exhaustion (emotional exhaustion), 5 questions about depersonalization and eight questions relating to personal accomplishment (lack of career advancement), which is based on the frequency of "every day" to "never" and the intensity of "very low" to "too much" was scored. In this study, analysis of data from statistical tests such as Pearson correlation, regression t test for independent samples will be used. And all this analysis will be conducted using the software </w:t>
      </w:r>
      <w:proofErr w:type="spellStart"/>
      <w:r w:rsidRPr="002763D5">
        <w:rPr>
          <w:sz w:val="20"/>
          <w:szCs w:val="20"/>
        </w:rPr>
        <w:t>spss</w:t>
      </w:r>
      <w:proofErr w:type="spellEnd"/>
      <w:r w:rsidRPr="002763D5">
        <w:rPr>
          <w:sz w:val="20"/>
          <w:szCs w:val="20"/>
        </w:rPr>
        <w:t xml:space="preserve"> version 20.</w:t>
      </w:r>
    </w:p>
    <w:p w:rsidR="00F553D6" w:rsidRPr="002763D5" w:rsidRDefault="00F553D6" w:rsidP="002A2E35">
      <w:pPr>
        <w:snapToGrid w:val="0"/>
        <w:jc w:val="both"/>
        <w:rPr>
          <w:b/>
          <w:bCs/>
          <w:sz w:val="20"/>
          <w:szCs w:val="20"/>
        </w:rPr>
      </w:pPr>
      <w:r w:rsidRPr="002763D5">
        <w:rPr>
          <w:b/>
          <w:bCs/>
          <w:sz w:val="20"/>
          <w:szCs w:val="20"/>
        </w:rPr>
        <w:t>Findings:</w:t>
      </w:r>
    </w:p>
    <w:p w:rsidR="002A2E35" w:rsidRPr="002763D5" w:rsidRDefault="00F553D6" w:rsidP="002A2E35">
      <w:pPr>
        <w:snapToGrid w:val="0"/>
        <w:ind w:firstLine="425"/>
        <w:jc w:val="both"/>
        <w:rPr>
          <w:rStyle w:val="shorttext"/>
          <w:sz w:val="20"/>
          <w:szCs w:val="20"/>
        </w:rPr>
      </w:pPr>
      <w:r w:rsidRPr="002763D5">
        <w:rPr>
          <w:rStyle w:val="alt-edited"/>
          <w:sz w:val="20"/>
          <w:szCs w:val="20"/>
        </w:rPr>
        <w:t>How is</w:t>
      </w:r>
      <w:r w:rsidRPr="002763D5">
        <w:rPr>
          <w:rStyle w:val="shorttext"/>
          <w:sz w:val="20"/>
          <w:szCs w:val="20"/>
        </w:rPr>
        <w:t xml:space="preserve"> the </w:t>
      </w:r>
      <w:r w:rsidRPr="002763D5">
        <w:rPr>
          <w:rStyle w:val="alt-edited"/>
          <w:sz w:val="20"/>
          <w:szCs w:val="20"/>
        </w:rPr>
        <w:t>organizational commitment</w:t>
      </w:r>
      <w:r w:rsidRPr="002763D5">
        <w:rPr>
          <w:rStyle w:val="shorttext"/>
          <w:sz w:val="20"/>
          <w:szCs w:val="20"/>
        </w:rPr>
        <w:t>?</w:t>
      </w:r>
    </w:p>
    <w:p w:rsidR="002A2E35" w:rsidRPr="002763D5" w:rsidRDefault="002A2E35" w:rsidP="002A2E35">
      <w:pPr>
        <w:snapToGrid w:val="0"/>
        <w:ind w:firstLine="425"/>
        <w:jc w:val="both"/>
        <w:rPr>
          <w:sz w:val="20"/>
          <w:szCs w:val="20"/>
        </w:rPr>
      </w:pPr>
      <w:r w:rsidRPr="002763D5">
        <w:rPr>
          <w:sz w:val="20"/>
          <w:szCs w:val="20"/>
        </w:rPr>
        <w:t>According to the mean of organizational commitment and its components are significantly higher than the average concept (3); Results showed that the average score over the rest of the components is an ongoing commitment. According to the significance level (0.000) was observed organizational commitment is desirable.</w:t>
      </w:r>
    </w:p>
    <w:p w:rsidR="002A2E35" w:rsidRPr="002763D5" w:rsidRDefault="002A2E35" w:rsidP="002A2E35">
      <w:pPr>
        <w:snapToGrid w:val="0"/>
        <w:ind w:firstLine="425"/>
        <w:jc w:val="both"/>
        <w:rPr>
          <w:rStyle w:val="shorttext"/>
          <w:sz w:val="20"/>
          <w:szCs w:val="20"/>
        </w:rPr>
      </w:pPr>
      <w:r w:rsidRPr="002763D5">
        <w:rPr>
          <w:rStyle w:val="alt-edited"/>
          <w:sz w:val="20"/>
          <w:szCs w:val="20"/>
        </w:rPr>
        <w:t xml:space="preserve">How </w:t>
      </w:r>
      <w:r w:rsidRPr="002763D5">
        <w:rPr>
          <w:rStyle w:val="shorttext"/>
          <w:sz w:val="20"/>
          <w:szCs w:val="20"/>
        </w:rPr>
        <w:t>Burnout</w:t>
      </w:r>
      <w:r w:rsidRPr="002763D5">
        <w:rPr>
          <w:rStyle w:val="alt-edited"/>
          <w:sz w:val="20"/>
          <w:szCs w:val="20"/>
        </w:rPr>
        <w:t xml:space="preserve"> </w:t>
      </w:r>
      <w:r w:rsidRPr="002763D5">
        <w:rPr>
          <w:rStyle w:val="shorttext"/>
          <w:sz w:val="20"/>
          <w:szCs w:val="20"/>
        </w:rPr>
        <w:t>situation</w:t>
      </w:r>
      <w:r w:rsidRPr="002763D5">
        <w:rPr>
          <w:rStyle w:val="alt-edited"/>
          <w:sz w:val="20"/>
          <w:szCs w:val="20"/>
        </w:rPr>
        <w:t xml:space="preserve"> is</w:t>
      </w:r>
      <w:r w:rsidRPr="002763D5">
        <w:rPr>
          <w:rStyle w:val="shorttext"/>
          <w:sz w:val="20"/>
          <w:szCs w:val="20"/>
        </w:rPr>
        <w:t>?</w:t>
      </w:r>
    </w:p>
    <w:p w:rsidR="002A2E35" w:rsidRPr="002763D5" w:rsidRDefault="002A2E35" w:rsidP="002A2E35">
      <w:pPr>
        <w:snapToGrid w:val="0"/>
        <w:ind w:firstLine="425"/>
        <w:jc w:val="both"/>
        <w:rPr>
          <w:rStyle w:val="shorttext"/>
          <w:sz w:val="20"/>
          <w:szCs w:val="20"/>
          <w:lang w:eastAsia="zh-CN"/>
        </w:rPr>
        <w:sectPr w:rsidR="002A2E35" w:rsidRPr="002763D5" w:rsidSect="002763D5">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576"/>
          <w:docGrid w:linePitch="360"/>
        </w:sectPr>
      </w:pPr>
    </w:p>
    <w:p w:rsidR="002763D5" w:rsidRPr="002763D5" w:rsidRDefault="002763D5" w:rsidP="002A2E35">
      <w:pPr>
        <w:snapToGrid w:val="0"/>
        <w:jc w:val="center"/>
        <w:rPr>
          <w:rFonts w:hint="eastAsia"/>
          <w:sz w:val="20"/>
          <w:szCs w:val="20"/>
          <w:lang w:eastAsia="zh-CN"/>
        </w:rPr>
      </w:pPr>
    </w:p>
    <w:p w:rsidR="002763D5" w:rsidRPr="002763D5" w:rsidRDefault="002763D5" w:rsidP="002A2E35">
      <w:pPr>
        <w:snapToGrid w:val="0"/>
        <w:jc w:val="center"/>
        <w:rPr>
          <w:rFonts w:hint="eastAsia"/>
          <w:sz w:val="20"/>
          <w:szCs w:val="20"/>
          <w:lang w:eastAsia="zh-CN"/>
        </w:rPr>
      </w:pPr>
    </w:p>
    <w:p w:rsidR="002763D5" w:rsidRPr="002763D5" w:rsidRDefault="002763D5" w:rsidP="002A2E35">
      <w:pPr>
        <w:snapToGrid w:val="0"/>
        <w:jc w:val="center"/>
        <w:rPr>
          <w:rFonts w:hint="eastAsia"/>
          <w:sz w:val="20"/>
          <w:szCs w:val="20"/>
          <w:lang w:eastAsia="zh-CN"/>
        </w:rPr>
      </w:pPr>
    </w:p>
    <w:p w:rsidR="002763D5" w:rsidRDefault="002763D5" w:rsidP="002A2E35">
      <w:pPr>
        <w:snapToGrid w:val="0"/>
        <w:jc w:val="center"/>
        <w:rPr>
          <w:rFonts w:hint="eastAsia"/>
          <w:sz w:val="20"/>
          <w:szCs w:val="20"/>
          <w:lang w:eastAsia="zh-CN"/>
        </w:rPr>
      </w:pPr>
    </w:p>
    <w:p w:rsidR="00F553D6" w:rsidRPr="002763D5" w:rsidRDefault="00F553D6" w:rsidP="002A2E35">
      <w:pPr>
        <w:snapToGrid w:val="0"/>
        <w:jc w:val="center"/>
        <w:rPr>
          <w:sz w:val="20"/>
          <w:szCs w:val="20"/>
        </w:rPr>
      </w:pPr>
      <w:r w:rsidRPr="002763D5">
        <w:rPr>
          <w:sz w:val="20"/>
          <w:szCs w:val="20"/>
        </w:rPr>
        <w:lastRenderedPageBreak/>
        <w:t>Table 1: Descriptive statistics related to organizational commitment</w:t>
      </w:r>
    </w:p>
    <w:tbl>
      <w:tblPr>
        <w:tblW w:w="4803" w:type="pct"/>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8"/>
        <w:gridCol w:w="918"/>
        <w:gridCol w:w="1067"/>
        <w:gridCol w:w="1185"/>
        <w:gridCol w:w="916"/>
        <w:gridCol w:w="1185"/>
      </w:tblGrid>
      <w:tr w:rsidR="00E15099" w:rsidRPr="002763D5" w:rsidTr="002763D5">
        <w:trPr>
          <w:jc w:val="center"/>
        </w:trPr>
        <w:tc>
          <w:tcPr>
            <w:tcW w:w="2135" w:type="pct"/>
            <w:shd w:val="clear" w:color="auto" w:fill="auto"/>
            <w:vAlign w:val="center"/>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rPr>
              <w:t>Variable</w:t>
            </w:r>
          </w:p>
        </w:tc>
        <w:tc>
          <w:tcPr>
            <w:tcW w:w="499" w:type="pct"/>
            <w:shd w:val="clear" w:color="auto" w:fill="auto"/>
            <w:vAlign w:val="center"/>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No.</w:t>
            </w:r>
          </w:p>
        </w:tc>
        <w:tc>
          <w:tcPr>
            <w:tcW w:w="580" w:type="pct"/>
            <w:shd w:val="clear" w:color="auto" w:fill="auto"/>
            <w:vAlign w:val="center"/>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Ave.</w:t>
            </w:r>
          </w:p>
        </w:tc>
        <w:tc>
          <w:tcPr>
            <w:tcW w:w="644" w:type="pct"/>
            <w:shd w:val="clear" w:color="auto" w:fill="auto"/>
            <w:vAlign w:val="center"/>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t</w:t>
            </w:r>
          </w:p>
        </w:tc>
        <w:tc>
          <w:tcPr>
            <w:tcW w:w="498" w:type="pct"/>
            <w:shd w:val="clear" w:color="auto" w:fill="auto"/>
            <w:vAlign w:val="center"/>
          </w:tcPr>
          <w:p w:rsidR="00F553D6" w:rsidRPr="002763D5" w:rsidRDefault="00F553D6" w:rsidP="002A2E35">
            <w:pPr>
              <w:snapToGrid w:val="0"/>
              <w:jc w:val="both"/>
              <w:rPr>
                <w:rFonts w:eastAsia="Calibri"/>
                <w:color w:val="000000"/>
                <w:sz w:val="20"/>
                <w:szCs w:val="20"/>
                <w:lang w:bidi="fa-IR"/>
              </w:rPr>
            </w:pPr>
            <w:proofErr w:type="spellStart"/>
            <w:r w:rsidRPr="002763D5">
              <w:rPr>
                <w:rFonts w:eastAsia="Calibri"/>
                <w:color w:val="000000"/>
                <w:sz w:val="20"/>
                <w:szCs w:val="20"/>
                <w:lang w:bidi="fa-IR"/>
              </w:rPr>
              <w:t>Df</w:t>
            </w:r>
            <w:proofErr w:type="spellEnd"/>
          </w:p>
        </w:tc>
        <w:tc>
          <w:tcPr>
            <w:tcW w:w="644" w:type="pct"/>
            <w:shd w:val="clear" w:color="auto" w:fill="auto"/>
            <w:vAlign w:val="center"/>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Sig.</w:t>
            </w:r>
          </w:p>
        </w:tc>
      </w:tr>
      <w:tr w:rsidR="00E15099" w:rsidRPr="002763D5" w:rsidTr="002763D5">
        <w:trPr>
          <w:jc w:val="center"/>
        </w:trPr>
        <w:tc>
          <w:tcPr>
            <w:tcW w:w="2135" w:type="pct"/>
            <w:shd w:val="clear" w:color="auto" w:fill="auto"/>
            <w:vAlign w:val="center"/>
          </w:tcPr>
          <w:p w:rsidR="00F553D6" w:rsidRPr="002763D5" w:rsidRDefault="00F553D6" w:rsidP="002A2E35">
            <w:pPr>
              <w:snapToGrid w:val="0"/>
              <w:jc w:val="both"/>
              <w:rPr>
                <w:rFonts w:eastAsia="Calibri"/>
                <w:color w:val="000000"/>
                <w:sz w:val="20"/>
                <w:szCs w:val="20"/>
                <w:lang w:bidi="fa-IR"/>
              </w:rPr>
            </w:pPr>
            <w:r w:rsidRPr="002763D5">
              <w:rPr>
                <w:rStyle w:val="alt-edited"/>
                <w:rFonts w:eastAsia="Calibri"/>
                <w:color w:val="000000"/>
                <w:sz w:val="20"/>
                <w:szCs w:val="20"/>
              </w:rPr>
              <w:t>organizational commitment</w:t>
            </w:r>
          </w:p>
        </w:tc>
        <w:tc>
          <w:tcPr>
            <w:tcW w:w="499" w:type="pct"/>
            <w:shd w:val="clear" w:color="auto" w:fill="auto"/>
            <w:vAlign w:val="center"/>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156</w:t>
            </w:r>
          </w:p>
        </w:tc>
        <w:tc>
          <w:tcPr>
            <w:tcW w:w="580" w:type="pct"/>
            <w:shd w:val="clear" w:color="auto" w:fill="auto"/>
            <w:vAlign w:val="center"/>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4.58</w:t>
            </w:r>
          </w:p>
        </w:tc>
        <w:tc>
          <w:tcPr>
            <w:tcW w:w="644" w:type="pct"/>
            <w:shd w:val="clear" w:color="auto" w:fill="auto"/>
            <w:vAlign w:val="center"/>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50.36</w:t>
            </w:r>
          </w:p>
        </w:tc>
        <w:tc>
          <w:tcPr>
            <w:tcW w:w="498" w:type="pct"/>
            <w:shd w:val="clear" w:color="auto" w:fill="auto"/>
            <w:vAlign w:val="center"/>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155</w:t>
            </w:r>
          </w:p>
        </w:tc>
        <w:tc>
          <w:tcPr>
            <w:tcW w:w="644" w:type="pct"/>
            <w:shd w:val="clear" w:color="auto" w:fill="auto"/>
            <w:vAlign w:val="center"/>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0.000</w:t>
            </w:r>
          </w:p>
        </w:tc>
      </w:tr>
      <w:tr w:rsidR="00E15099" w:rsidRPr="002763D5" w:rsidTr="002763D5">
        <w:trPr>
          <w:jc w:val="center"/>
        </w:trPr>
        <w:tc>
          <w:tcPr>
            <w:tcW w:w="2135" w:type="pct"/>
            <w:shd w:val="clear" w:color="auto" w:fill="auto"/>
            <w:vAlign w:val="center"/>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rPr>
              <w:t>Emotional commitment</w:t>
            </w:r>
          </w:p>
        </w:tc>
        <w:tc>
          <w:tcPr>
            <w:tcW w:w="499" w:type="pct"/>
            <w:shd w:val="clear" w:color="auto" w:fill="auto"/>
            <w:vAlign w:val="center"/>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156</w:t>
            </w:r>
          </w:p>
        </w:tc>
        <w:tc>
          <w:tcPr>
            <w:tcW w:w="580" w:type="pct"/>
            <w:shd w:val="clear" w:color="auto" w:fill="auto"/>
            <w:vAlign w:val="center"/>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3.96</w:t>
            </w:r>
          </w:p>
        </w:tc>
        <w:tc>
          <w:tcPr>
            <w:tcW w:w="644" w:type="pct"/>
            <w:shd w:val="clear" w:color="auto" w:fill="auto"/>
            <w:vAlign w:val="center"/>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80.40</w:t>
            </w:r>
          </w:p>
        </w:tc>
        <w:tc>
          <w:tcPr>
            <w:tcW w:w="498" w:type="pct"/>
            <w:shd w:val="clear" w:color="auto" w:fill="auto"/>
            <w:vAlign w:val="center"/>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155</w:t>
            </w:r>
          </w:p>
        </w:tc>
        <w:tc>
          <w:tcPr>
            <w:tcW w:w="644" w:type="pct"/>
            <w:shd w:val="clear" w:color="auto" w:fill="auto"/>
            <w:vAlign w:val="center"/>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0.000</w:t>
            </w:r>
          </w:p>
        </w:tc>
      </w:tr>
      <w:tr w:rsidR="00E15099" w:rsidRPr="002763D5" w:rsidTr="002763D5">
        <w:trPr>
          <w:jc w:val="center"/>
        </w:trPr>
        <w:tc>
          <w:tcPr>
            <w:tcW w:w="2135" w:type="pct"/>
            <w:shd w:val="clear" w:color="auto" w:fill="auto"/>
            <w:vAlign w:val="center"/>
          </w:tcPr>
          <w:p w:rsidR="00F553D6" w:rsidRPr="002763D5" w:rsidRDefault="00F553D6" w:rsidP="002A2E35">
            <w:pPr>
              <w:snapToGrid w:val="0"/>
              <w:jc w:val="both"/>
              <w:rPr>
                <w:rFonts w:eastAsia="Calibri"/>
                <w:color w:val="000000"/>
                <w:sz w:val="20"/>
                <w:szCs w:val="20"/>
                <w:lang w:bidi="fa-IR"/>
              </w:rPr>
            </w:pPr>
            <w:r w:rsidRPr="002763D5">
              <w:rPr>
                <w:rStyle w:val="alt-edited"/>
                <w:rFonts w:eastAsia="Calibri"/>
                <w:color w:val="000000"/>
                <w:sz w:val="20"/>
                <w:szCs w:val="20"/>
              </w:rPr>
              <w:t>Normative commitment</w:t>
            </w:r>
          </w:p>
        </w:tc>
        <w:tc>
          <w:tcPr>
            <w:tcW w:w="499" w:type="pct"/>
            <w:shd w:val="clear" w:color="auto" w:fill="auto"/>
            <w:vAlign w:val="center"/>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156</w:t>
            </w:r>
          </w:p>
        </w:tc>
        <w:tc>
          <w:tcPr>
            <w:tcW w:w="580" w:type="pct"/>
            <w:shd w:val="clear" w:color="auto" w:fill="auto"/>
            <w:vAlign w:val="center"/>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4.87</w:t>
            </w:r>
          </w:p>
        </w:tc>
        <w:tc>
          <w:tcPr>
            <w:tcW w:w="644" w:type="pct"/>
            <w:shd w:val="clear" w:color="auto" w:fill="auto"/>
            <w:vAlign w:val="center"/>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51.72</w:t>
            </w:r>
          </w:p>
        </w:tc>
        <w:tc>
          <w:tcPr>
            <w:tcW w:w="498" w:type="pct"/>
            <w:shd w:val="clear" w:color="auto" w:fill="auto"/>
            <w:vAlign w:val="center"/>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155</w:t>
            </w:r>
          </w:p>
        </w:tc>
        <w:tc>
          <w:tcPr>
            <w:tcW w:w="644" w:type="pct"/>
            <w:shd w:val="clear" w:color="auto" w:fill="auto"/>
            <w:vAlign w:val="center"/>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0.000</w:t>
            </w:r>
          </w:p>
        </w:tc>
      </w:tr>
      <w:tr w:rsidR="00E15099" w:rsidRPr="002763D5" w:rsidTr="002763D5">
        <w:trPr>
          <w:jc w:val="center"/>
        </w:trPr>
        <w:tc>
          <w:tcPr>
            <w:tcW w:w="2135" w:type="pct"/>
            <w:shd w:val="clear" w:color="auto" w:fill="auto"/>
            <w:vAlign w:val="center"/>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rPr>
              <w:t>Continued commitment</w:t>
            </w:r>
          </w:p>
        </w:tc>
        <w:tc>
          <w:tcPr>
            <w:tcW w:w="499" w:type="pct"/>
            <w:shd w:val="clear" w:color="auto" w:fill="auto"/>
            <w:vAlign w:val="center"/>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156</w:t>
            </w:r>
          </w:p>
        </w:tc>
        <w:tc>
          <w:tcPr>
            <w:tcW w:w="580" w:type="pct"/>
            <w:shd w:val="clear" w:color="auto" w:fill="auto"/>
            <w:vAlign w:val="center"/>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4.91</w:t>
            </w:r>
          </w:p>
        </w:tc>
        <w:tc>
          <w:tcPr>
            <w:tcW w:w="644" w:type="pct"/>
            <w:shd w:val="clear" w:color="auto" w:fill="auto"/>
            <w:vAlign w:val="center"/>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51.23</w:t>
            </w:r>
          </w:p>
        </w:tc>
        <w:tc>
          <w:tcPr>
            <w:tcW w:w="498" w:type="pct"/>
            <w:shd w:val="clear" w:color="auto" w:fill="auto"/>
            <w:vAlign w:val="center"/>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155</w:t>
            </w:r>
          </w:p>
        </w:tc>
        <w:tc>
          <w:tcPr>
            <w:tcW w:w="644" w:type="pct"/>
            <w:shd w:val="clear" w:color="auto" w:fill="auto"/>
            <w:vAlign w:val="center"/>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0.000</w:t>
            </w:r>
          </w:p>
        </w:tc>
      </w:tr>
    </w:tbl>
    <w:p w:rsidR="00F553D6" w:rsidRPr="002763D5" w:rsidRDefault="00F553D6" w:rsidP="002A2E35">
      <w:pPr>
        <w:snapToGrid w:val="0"/>
        <w:ind w:firstLine="425"/>
        <w:jc w:val="both"/>
        <w:rPr>
          <w:sz w:val="20"/>
          <w:szCs w:val="20"/>
          <w:lang w:bidi="fa-IR"/>
        </w:rPr>
      </w:pPr>
    </w:p>
    <w:p w:rsidR="00F553D6" w:rsidRPr="002763D5" w:rsidRDefault="00F553D6" w:rsidP="002A2E35">
      <w:pPr>
        <w:snapToGrid w:val="0"/>
        <w:jc w:val="center"/>
        <w:rPr>
          <w:rStyle w:val="shorttext"/>
          <w:sz w:val="20"/>
          <w:szCs w:val="20"/>
        </w:rPr>
      </w:pPr>
      <w:r w:rsidRPr="002763D5">
        <w:rPr>
          <w:rStyle w:val="shorttext"/>
          <w:sz w:val="20"/>
          <w:szCs w:val="20"/>
        </w:rPr>
        <w:t>Table 2: Descriptive statistics related to burnout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1870"/>
        <w:gridCol w:w="1870"/>
        <w:gridCol w:w="1870"/>
        <w:gridCol w:w="945"/>
        <w:gridCol w:w="925"/>
      </w:tblGrid>
      <w:tr w:rsidR="00E15099" w:rsidRPr="002763D5" w:rsidTr="00E15099">
        <w:trPr>
          <w:jc w:val="center"/>
        </w:trPr>
        <w:tc>
          <w:tcPr>
            <w:tcW w:w="1870" w:type="dxa"/>
            <w:shd w:val="clear" w:color="auto" w:fill="auto"/>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rPr>
              <w:t>Variable</w:t>
            </w:r>
          </w:p>
        </w:tc>
        <w:tc>
          <w:tcPr>
            <w:tcW w:w="1870" w:type="dxa"/>
            <w:shd w:val="clear" w:color="auto" w:fill="auto"/>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No.</w:t>
            </w:r>
          </w:p>
        </w:tc>
        <w:tc>
          <w:tcPr>
            <w:tcW w:w="1870" w:type="dxa"/>
            <w:shd w:val="clear" w:color="auto" w:fill="auto"/>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Ave.</w:t>
            </w:r>
          </w:p>
        </w:tc>
        <w:tc>
          <w:tcPr>
            <w:tcW w:w="1870" w:type="dxa"/>
            <w:shd w:val="clear" w:color="auto" w:fill="auto"/>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t</w:t>
            </w:r>
          </w:p>
        </w:tc>
        <w:tc>
          <w:tcPr>
            <w:tcW w:w="945" w:type="dxa"/>
            <w:shd w:val="clear" w:color="auto" w:fill="auto"/>
          </w:tcPr>
          <w:p w:rsidR="00F553D6" w:rsidRPr="002763D5" w:rsidRDefault="00F553D6" w:rsidP="002A2E35">
            <w:pPr>
              <w:snapToGrid w:val="0"/>
              <w:jc w:val="both"/>
              <w:rPr>
                <w:rFonts w:eastAsia="Calibri"/>
                <w:color w:val="000000"/>
                <w:sz w:val="20"/>
                <w:szCs w:val="20"/>
                <w:lang w:bidi="fa-IR"/>
              </w:rPr>
            </w:pPr>
            <w:proofErr w:type="spellStart"/>
            <w:r w:rsidRPr="002763D5">
              <w:rPr>
                <w:rFonts w:eastAsia="Calibri"/>
                <w:color w:val="000000"/>
                <w:sz w:val="20"/>
                <w:szCs w:val="20"/>
                <w:lang w:bidi="fa-IR"/>
              </w:rPr>
              <w:t>df</w:t>
            </w:r>
            <w:proofErr w:type="spellEnd"/>
          </w:p>
        </w:tc>
        <w:tc>
          <w:tcPr>
            <w:tcW w:w="925" w:type="dxa"/>
            <w:shd w:val="clear" w:color="auto" w:fill="auto"/>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Sig.</w:t>
            </w:r>
          </w:p>
        </w:tc>
      </w:tr>
      <w:tr w:rsidR="00E15099" w:rsidRPr="002763D5" w:rsidTr="00E15099">
        <w:trPr>
          <w:jc w:val="center"/>
        </w:trPr>
        <w:tc>
          <w:tcPr>
            <w:tcW w:w="1870" w:type="dxa"/>
            <w:shd w:val="clear" w:color="auto" w:fill="auto"/>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 xml:space="preserve">Job </w:t>
            </w:r>
            <w:r w:rsidRPr="002763D5">
              <w:rPr>
                <w:rStyle w:val="shorttext"/>
                <w:rFonts w:eastAsia="Calibri"/>
                <w:color w:val="000000"/>
                <w:sz w:val="20"/>
                <w:szCs w:val="20"/>
              </w:rPr>
              <w:t>burnout</w:t>
            </w:r>
          </w:p>
        </w:tc>
        <w:tc>
          <w:tcPr>
            <w:tcW w:w="1870" w:type="dxa"/>
            <w:shd w:val="clear" w:color="auto" w:fill="auto"/>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156</w:t>
            </w:r>
          </w:p>
        </w:tc>
        <w:tc>
          <w:tcPr>
            <w:tcW w:w="1870" w:type="dxa"/>
            <w:shd w:val="clear" w:color="auto" w:fill="auto"/>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3.163</w:t>
            </w:r>
          </w:p>
        </w:tc>
        <w:tc>
          <w:tcPr>
            <w:tcW w:w="1870" w:type="dxa"/>
            <w:shd w:val="clear" w:color="auto" w:fill="auto"/>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23.69</w:t>
            </w:r>
          </w:p>
        </w:tc>
        <w:tc>
          <w:tcPr>
            <w:tcW w:w="945" w:type="dxa"/>
            <w:shd w:val="clear" w:color="auto" w:fill="auto"/>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155</w:t>
            </w:r>
          </w:p>
        </w:tc>
        <w:tc>
          <w:tcPr>
            <w:tcW w:w="925" w:type="dxa"/>
            <w:shd w:val="clear" w:color="auto" w:fill="auto"/>
          </w:tcPr>
          <w:p w:rsidR="00F553D6" w:rsidRPr="002763D5" w:rsidRDefault="00F553D6" w:rsidP="002A2E35">
            <w:pPr>
              <w:snapToGrid w:val="0"/>
              <w:jc w:val="both"/>
              <w:rPr>
                <w:rFonts w:eastAsia="Calibri"/>
                <w:color w:val="000000"/>
                <w:sz w:val="20"/>
                <w:szCs w:val="20"/>
                <w:lang w:bidi="fa-IR"/>
              </w:rPr>
            </w:pPr>
            <w:r w:rsidRPr="002763D5">
              <w:rPr>
                <w:rFonts w:eastAsia="Calibri"/>
                <w:color w:val="000000"/>
                <w:sz w:val="20"/>
                <w:szCs w:val="20"/>
                <w:lang w:bidi="fa-IR"/>
              </w:rPr>
              <w:t>0.000</w:t>
            </w:r>
          </w:p>
        </w:tc>
      </w:tr>
    </w:tbl>
    <w:p w:rsidR="002A2E35" w:rsidRPr="002763D5" w:rsidRDefault="002A2E35" w:rsidP="002A2E35">
      <w:pPr>
        <w:snapToGrid w:val="0"/>
        <w:ind w:firstLine="425"/>
        <w:jc w:val="both"/>
        <w:rPr>
          <w:sz w:val="20"/>
          <w:szCs w:val="20"/>
        </w:rPr>
      </w:pPr>
    </w:p>
    <w:p w:rsidR="002A2E35" w:rsidRPr="002763D5" w:rsidRDefault="002A2E35" w:rsidP="002A2E35">
      <w:pPr>
        <w:snapToGrid w:val="0"/>
        <w:ind w:firstLine="425"/>
        <w:jc w:val="both"/>
        <w:rPr>
          <w:sz w:val="20"/>
          <w:szCs w:val="20"/>
        </w:rPr>
        <w:sectPr w:rsidR="002A2E35" w:rsidRPr="002763D5" w:rsidSect="00E43474">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pPr>
    </w:p>
    <w:p w:rsidR="00F553D6" w:rsidRPr="002763D5" w:rsidRDefault="00F553D6" w:rsidP="002A2E35">
      <w:pPr>
        <w:snapToGrid w:val="0"/>
        <w:ind w:firstLine="425"/>
        <w:jc w:val="both"/>
        <w:rPr>
          <w:sz w:val="20"/>
          <w:szCs w:val="20"/>
        </w:rPr>
      </w:pPr>
      <w:r w:rsidRPr="002763D5">
        <w:rPr>
          <w:sz w:val="20"/>
          <w:szCs w:val="20"/>
        </w:rPr>
        <w:lastRenderedPageBreak/>
        <w:t xml:space="preserve">According to the table of occupational burnout significantly higher than the average concept (3); the </w:t>
      </w:r>
      <w:r w:rsidRPr="002763D5">
        <w:rPr>
          <w:sz w:val="20"/>
          <w:szCs w:val="20"/>
        </w:rPr>
        <w:lastRenderedPageBreak/>
        <w:t>findings suggest considering the significance level (0.000) observed burnout is desirable.</w:t>
      </w:r>
    </w:p>
    <w:p w:rsidR="002A2E35" w:rsidRPr="002763D5" w:rsidRDefault="002A2E35" w:rsidP="002A2E35">
      <w:pPr>
        <w:snapToGrid w:val="0"/>
        <w:ind w:firstLine="425"/>
        <w:jc w:val="both"/>
        <w:rPr>
          <w:sz w:val="20"/>
          <w:szCs w:val="20"/>
        </w:rPr>
        <w:sectPr w:rsidR="002A2E35" w:rsidRPr="002763D5" w:rsidSect="00E43474">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num="2" w:space="720"/>
          <w:docGrid w:linePitch="360"/>
        </w:sectPr>
      </w:pPr>
    </w:p>
    <w:p w:rsidR="00F553D6" w:rsidRPr="002763D5" w:rsidRDefault="00F553D6" w:rsidP="002A2E35">
      <w:pPr>
        <w:snapToGrid w:val="0"/>
        <w:jc w:val="center"/>
        <w:rPr>
          <w:sz w:val="20"/>
          <w:szCs w:val="20"/>
        </w:rPr>
      </w:pPr>
    </w:p>
    <w:p w:rsidR="00F553D6" w:rsidRPr="002763D5" w:rsidRDefault="00F553D6" w:rsidP="002A2E35">
      <w:pPr>
        <w:snapToGrid w:val="0"/>
        <w:jc w:val="center"/>
        <w:rPr>
          <w:sz w:val="20"/>
          <w:szCs w:val="20"/>
        </w:rPr>
      </w:pPr>
      <w:r w:rsidRPr="002763D5">
        <w:rPr>
          <w:sz w:val="20"/>
          <w:szCs w:val="20"/>
        </w:rPr>
        <w:t>Table 3: Results of ANOVA comparing organizational commitment based on age, sex</w:t>
      </w:r>
    </w:p>
    <w:tbl>
      <w:tblPr>
        <w:tblW w:w="4897" w:type="pct"/>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7"/>
        <w:gridCol w:w="1278"/>
        <w:gridCol w:w="1417"/>
        <w:gridCol w:w="2729"/>
        <w:gridCol w:w="1054"/>
        <w:gridCol w:w="1054"/>
      </w:tblGrid>
      <w:tr w:rsidR="00E15099" w:rsidRPr="002763D5" w:rsidTr="002763D5">
        <w:trPr>
          <w:jc w:val="center"/>
        </w:trPr>
        <w:tc>
          <w:tcPr>
            <w:tcW w:w="984"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Style w:val="shorttext"/>
                <w:rFonts w:eastAsia="Calibri"/>
                <w:color w:val="000000"/>
                <w:sz w:val="20"/>
                <w:szCs w:val="20"/>
              </w:rPr>
              <w:t>Variable</w:t>
            </w:r>
          </w:p>
        </w:tc>
        <w:tc>
          <w:tcPr>
            <w:tcW w:w="681"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Style w:val="alt-edited"/>
                <w:rFonts w:eastAsia="Calibri"/>
                <w:color w:val="000000"/>
                <w:sz w:val="20"/>
                <w:szCs w:val="20"/>
              </w:rPr>
              <w:t>Class</w:t>
            </w:r>
          </w:p>
        </w:tc>
        <w:tc>
          <w:tcPr>
            <w:tcW w:w="755"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Style w:val="shorttext"/>
                <w:rFonts w:eastAsia="Calibri"/>
                <w:color w:val="000000"/>
                <w:sz w:val="20"/>
                <w:szCs w:val="20"/>
              </w:rPr>
              <w:t>Average</w:t>
            </w:r>
          </w:p>
        </w:tc>
        <w:tc>
          <w:tcPr>
            <w:tcW w:w="1455"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Style w:val="shorttext"/>
                <w:rFonts w:eastAsia="Calibri"/>
                <w:color w:val="000000"/>
                <w:sz w:val="20"/>
                <w:szCs w:val="20"/>
              </w:rPr>
              <w:t>Standard deviation</w:t>
            </w:r>
          </w:p>
        </w:tc>
        <w:tc>
          <w:tcPr>
            <w:tcW w:w="562"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F</w:t>
            </w:r>
          </w:p>
        </w:tc>
        <w:tc>
          <w:tcPr>
            <w:tcW w:w="562"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Sig.</w:t>
            </w:r>
          </w:p>
        </w:tc>
      </w:tr>
      <w:tr w:rsidR="00E15099" w:rsidRPr="002763D5" w:rsidTr="002763D5">
        <w:trPr>
          <w:jc w:val="center"/>
        </w:trPr>
        <w:tc>
          <w:tcPr>
            <w:tcW w:w="984" w:type="pct"/>
            <w:vMerge w:val="restar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Style w:val="alt-edited"/>
                <w:rFonts w:eastAsia="Calibri"/>
                <w:color w:val="000000"/>
                <w:sz w:val="20"/>
                <w:szCs w:val="20"/>
              </w:rPr>
              <w:t>Age category</w:t>
            </w:r>
          </w:p>
        </w:tc>
        <w:tc>
          <w:tcPr>
            <w:tcW w:w="681"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&lt;</w:t>
            </w:r>
            <w:r w:rsidRPr="002763D5">
              <w:rPr>
                <w:rStyle w:val="shorttext"/>
                <w:rFonts w:eastAsia="Calibri"/>
                <w:color w:val="000000"/>
                <w:sz w:val="20"/>
                <w:szCs w:val="20"/>
              </w:rPr>
              <w:t>26</w:t>
            </w:r>
          </w:p>
        </w:tc>
        <w:tc>
          <w:tcPr>
            <w:tcW w:w="755"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3.09</w:t>
            </w:r>
          </w:p>
        </w:tc>
        <w:tc>
          <w:tcPr>
            <w:tcW w:w="1455"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0.226</w:t>
            </w:r>
          </w:p>
        </w:tc>
        <w:tc>
          <w:tcPr>
            <w:tcW w:w="562" w:type="pct"/>
            <w:vMerge w:val="restar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4.256</w:t>
            </w:r>
          </w:p>
        </w:tc>
        <w:tc>
          <w:tcPr>
            <w:tcW w:w="562" w:type="pct"/>
            <w:vMerge w:val="restar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0.014</w:t>
            </w:r>
          </w:p>
        </w:tc>
      </w:tr>
      <w:tr w:rsidR="00E15099" w:rsidRPr="002763D5" w:rsidTr="002763D5">
        <w:trPr>
          <w:jc w:val="center"/>
        </w:trPr>
        <w:tc>
          <w:tcPr>
            <w:tcW w:w="984" w:type="pct"/>
            <w:vMerge/>
            <w:shd w:val="clear" w:color="auto" w:fill="auto"/>
            <w:vAlign w:val="center"/>
          </w:tcPr>
          <w:p w:rsidR="00F553D6" w:rsidRPr="002763D5" w:rsidRDefault="00F553D6" w:rsidP="002A2E35">
            <w:pPr>
              <w:snapToGrid w:val="0"/>
              <w:jc w:val="both"/>
              <w:rPr>
                <w:rStyle w:val="alt-edited"/>
                <w:rFonts w:eastAsia="Calibri"/>
                <w:color w:val="000000"/>
                <w:sz w:val="20"/>
                <w:szCs w:val="20"/>
              </w:rPr>
            </w:pPr>
          </w:p>
        </w:tc>
        <w:tc>
          <w:tcPr>
            <w:tcW w:w="681"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26-30</w:t>
            </w:r>
          </w:p>
        </w:tc>
        <w:tc>
          <w:tcPr>
            <w:tcW w:w="755"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3.35</w:t>
            </w:r>
          </w:p>
        </w:tc>
        <w:tc>
          <w:tcPr>
            <w:tcW w:w="1455"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0.165</w:t>
            </w:r>
          </w:p>
        </w:tc>
        <w:tc>
          <w:tcPr>
            <w:tcW w:w="562" w:type="pct"/>
            <w:vMerge/>
            <w:shd w:val="clear" w:color="auto" w:fill="auto"/>
            <w:vAlign w:val="center"/>
          </w:tcPr>
          <w:p w:rsidR="00F553D6" w:rsidRPr="002763D5" w:rsidRDefault="00F553D6" w:rsidP="002A2E35">
            <w:pPr>
              <w:snapToGrid w:val="0"/>
              <w:jc w:val="both"/>
              <w:rPr>
                <w:rFonts w:eastAsia="Calibri"/>
                <w:color w:val="000000"/>
                <w:sz w:val="20"/>
                <w:szCs w:val="20"/>
              </w:rPr>
            </w:pPr>
          </w:p>
        </w:tc>
        <w:tc>
          <w:tcPr>
            <w:tcW w:w="562" w:type="pct"/>
            <w:vMerge/>
            <w:shd w:val="clear" w:color="auto" w:fill="auto"/>
            <w:vAlign w:val="center"/>
          </w:tcPr>
          <w:p w:rsidR="00F553D6" w:rsidRPr="002763D5" w:rsidRDefault="00F553D6" w:rsidP="002A2E35">
            <w:pPr>
              <w:snapToGrid w:val="0"/>
              <w:jc w:val="both"/>
              <w:rPr>
                <w:rFonts w:eastAsia="Calibri"/>
                <w:color w:val="000000"/>
                <w:sz w:val="20"/>
                <w:szCs w:val="20"/>
              </w:rPr>
            </w:pPr>
          </w:p>
        </w:tc>
      </w:tr>
      <w:tr w:rsidR="00E15099" w:rsidRPr="002763D5" w:rsidTr="002763D5">
        <w:trPr>
          <w:jc w:val="center"/>
        </w:trPr>
        <w:tc>
          <w:tcPr>
            <w:tcW w:w="984" w:type="pct"/>
            <w:vMerge/>
            <w:shd w:val="clear" w:color="auto" w:fill="auto"/>
            <w:vAlign w:val="center"/>
          </w:tcPr>
          <w:p w:rsidR="00F553D6" w:rsidRPr="002763D5" w:rsidRDefault="00F553D6" w:rsidP="002A2E35">
            <w:pPr>
              <w:snapToGrid w:val="0"/>
              <w:jc w:val="both"/>
              <w:rPr>
                <w:rStyle w:val="alt-edited"/>
                <w:rFonts w:eastAsia="Calibri"/>
                <w:color w:val="000000"/>
                <w:sz w:val="20"/>
                <w:szCs w:val="20"/>
              </w:rPr>
            </w:pPr>
          </w:p>
        </w:tc>
        <w:tc>
          <w:tcPr>
            <w:tcW w:w="681"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31-35</w:t>
            </w:r>
          </w:p>
        </w:tc>
        <w:tc>
          <w:tcPr>
            <w:tcW w:w="755"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3.23</w:t>
            </w:r>
          </w:p>
        </w:tc>
        <w:tc>
          <w:tcPr>
            <w:tcW w:w="1455"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0.253</w:t>
            </w:r>
          </w:p>
        </w:tc>
        <w:tc>
          <w:tcPr>
            <w:tcW w:w="562" w:type="pct"/>
            <w:vMerge/>
            <w:shd w:val="clear" w:color="auto" w:fill="auto"/>
            <w:vAlign w:val="center"/>
          </w:tcPr>
          <w:p w:rsidR="00F553D6" w:rsidRPr="002763D5" w:rsidRDefault="00F553D6" w:rsidP="002A2E35">
            <w:pPr>
              <w:snapToGrid w:val="0"/>
              <w:jc w:val="both"/>
              <w:rPr>
                <w:rFonts w:eastAsia="Calibri"/>
                <w:color w:val="000000"/>
                <w:sz w:val="20"/>
                <w:szCs w:val="20"/>
              </w:rPr>
            </w:pPr>
          </w:p>
        </w:tc>
        <w:tc>
          <w:tcPr>
            <w:tcW w:w="562" w:type="pct"/>
            <w:vMerge/>
            <w:shd w:val="clear" w:color="auto" w:fill="auto"/>
            <w:vAlign w:val="center"/>
          </w:tcPr>
          <w:p w:rsidR="00F553D6" w:rsidRPr="002763D5" w:rsidRDefault="00F553D6" w:rsidP="002A2E35">
            <w:pPr>
              <w:snapToGrid w:val="0"/>
              <w:jc w:val="both"/>
              <w:rPr>
                <w:rFonts w:eastAsia="Calibri"/>
                <w:color w:val="000000"/>
                <w:sz w:val="20"/>
                <w:szCs w:val="20"/>
              </w:rPr>
            </w:pPr>
          </w:p>
        </w:tc>
      </w:tr>
      <w:tr w:rsidR="00E15099" w:rsidRPr="002763D5" w:rsidTr="002763D5">
        <w:trPr>
          <w:jc w:val="center"/>
        </w:trPr>
        <w:tc>
          <w:tcPr>
            <w:tcW w:w="984" w:type="pct"/>
            <w:vMerge/>
            <w:shd w:val="clear" w:color="auto" w:fill="auto"/>
            <w:vAlign w:val="center"/>
          </w:tcPr>
          <w:p w:rsidR="00F553D6" w:rsidRPr="002763D5" w:rsidRDefault="00F553D6" w:rsidP="002A2E35">
            <w:pPr>
              <w:snapToGrid w:val="0"/>
              <w:jc w:val="both"/>
              <w:rPr>
                <w:rStyle w:val="alt-edited"/>
                <w:rFonts w:eastAsia="Calibri"/>
                <w:color w:val="000000"/>
                <w:sz w:val="20"/>
                <w:szCs w:val="20"/>
              </w:rPr>
            </w:pPr>
          </w:p>
        </w:tc>
        <w:tc>
          <w:tcPr>
            <w:tcW w:w="681"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36-40</w:t>
            </w:r>
          </w:p>
        </w:tc>
        <w:tc>
          <w:tcPr>
            <w:tcW w:w="755"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3.56</w:t>
            </w:r>
          </w:p>
        </w:tc>
        <w:tc>
          <w:tcPr>
            <w:tcW w:w="1455"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0.276</w:t>
            </w:r>
          </w:p>
        </w:tc>
        <w:tc>
          <w:tcPr>
            <w:tcW w:w="562" w:type="pct"/>
            <w:vMerge/>
            <w:shd w:val="clear" w:color="auto" w:fill="auto"/>
            <w:vAlign w:val="center"/>
          </w:tcPr>
          <w:p w:rsidR="00F553D6" w:rsidRPr="002763D5" w:rsidRDefault="00F553D6" w:rsidP="002A2E35">
            <w:pPr>
              <w:snapToGrid w:val="0"/>
              <w:jc w:val="both"/>
              <w:rPr>
                <w:rFonts w:eastAsia="Calibri"/>
                <w:color w:val="000000"/>
                <w:sz w:val="20"/>
                <w:szCs w:val="20"/>
              </w:rPr>
            </w:pPr>
          </w:p>
        </w:tc>
        <w:tc>
          <w:tcPr>
            <w:tcW w:w="562" w:type="pct"/>
            <w:vMerge/>
            <w:shd w:val="clear" w:color="auto" w:fill="auto"/>
            <w:vAlign w:val="center"/>
          </w:tcPr>
          <w:p w:rsidR="00F553D6" w:rsidRPr="002763D5" w:rsidRDefault="00F553D6" w:rsidP="002A2E35">
            <w:pPr>
              <w:snapToGrid w:val="0"/>
              <w:jc w:val="both"/>
              <w:rPr>
                <w:rFonts w:eastAsia="Calibri"/>
                <w:color w:val="000000"/>
                <w:sz w:val="20"/>
                <w:szCs w:val="20"/>
              </w:rPr>
            </w:pPr>
          </w:p>
        </w:tc>
      </w:tr>
      <w:tr w:rsidR="00E15099" w:rsidRPr="002763D5" w:rsidTr="002763D5">
        <w:trPr>
          <w:jc w:val="center"/>
        </w:trPr>
        <w:tc>
          <w:tcPr>
            <w:tcW w:w="984" w:type="pct"/>
            <w:vMerge/>
            <w:shd w:val="clear" w:color="auto" w:fill="auto"/>
            <w:vAlign w:val="center"/>
          </w:tcPr>
          <w:p w:rsidR="00F553D6" w:rsidRPr="002763D5" w:rsidRDefault="00F553D6" w:rsidP="002A2E35">
            <w:pPr>
              <w:snapToGrid w:val="0"/>
              <w:jc w:val="both"/>
              <w:rPr>
                <w:rStyle w:val="alt-edited"/>
                <w:rFonts w:eastAsia="Calibri"/>
                <w:color w:val="000000"/>
                <w:sz w:val="20"/>
                <w:szCs w:val="20"/>
              </w:rPr>
            </w:pPr>
          </w:p>
        </w:tc>
        <w:tc>
          <w:tcPr>
            <w:tcW w:w="681"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Style w:val="shorttext"/>
                <w:rFonts w:eastAsia="Calibri"/>
                <w:color w:val="000000"/>
                <w:sz w:val="20"/>
                <w:szCs w:val="20"/>
              </w:rPr>
              <w:t xml:space="preserve">&gt; </w:t>
            </w:r>
            <w:r w:rsidRPr="002763D5">
              <w:rPr>
                <w:rFonts w:eastAsia="Calibri"/>
                <w:color w:val="000000"/>
                <w:sz w:val="20"/>
                <w:szCs w:val="20"/>
              </w:rPr>
              <w:t>40</w:t>
            </w:r>
          </w:p>
        </w:tc>
        <w:tc>
          <w:tcPr>
            <w:tcW w:w="755"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3.86</w:t>
            </w:r>
          </w:p>
        </w:tc>
        <w:tc>
          <w:tcPr>
            <w:tcW w:w="1455"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0.159</w:t>
            </w:r>
          </w:p>
        </w:tc>
        <w:tc>
          <w:tcPr>
            <w:tcW w:w="562" w:type="pct"/>
            <w:vMerge/>
            <w:shd w:val="clear" w:color="auto" w:fill="auto"/>
            <w:vAlign w:val="center"/>
          </w:tcPr>
          <w:p w:rsidR="00F553D6" w:rsidRPr="002763D5" w:rsidRDefault="00F553D6" w:rsidP="002A2E35">
            <w:pPr>
              <w:snapToGrid w:val="0"/>
              <w:jc w:val="both"/>
              <w:rPr>
                <w:rFonts w:eastAsia="Calibri"/>
                <w:color w:val="000000"/>
                <w:sz w:val="20"/>
                <w:szCs w:val="20"/>
              </w:rPr>
            </w:pPr>
          </w:p>
        </w:tc>
        <w:tc>
          <w:tcPr>
            <w:tcW w:w="562" w:type="pct"/>
            <w:vMerge/>
            <w:shd w:val="clear" w:color="auto" w:fill="auto"/>
            <w:vAlign w:val="center"/>
          </w:tcPr>
          <w:p w:rsidR="00F553D6" w:rsidRPr="002763D5" w:rsidRDefault="00F553D6" w:rsidP="002A2E35">
            <w:pPr>
              <w:snapToGrid w:val="0"/>
              <w:jc w:val="both"/>
              <w:rPr>
                <w:rFonts w:eastAsia="Calibri"/>
                <w:color w:val="000000"/>
                <w:sz w:val="20"/>
                <w:szCs w:val="20"/>
              </w:rPr>
            </w:pPr>
          </w:p>
        </w:tc>
      </w:tr>
      <w:tr w:rsidR="00E15099" w:rsidRPr="002763D5" w:rsidTr="002763D5">
        <w:trPr>
          <w:jc w:val="center"/>
        </w:trPr>
        <w:tc>
          <w:tcPr>
            <w:tcW w:w="984" w:type="pct"/>
            <w:vMerge w:val="restar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Style w:val="shorttext"/>
                <w:rFonts w:eastAsia="Calibri"/>
                <w:color w:val="000000"/>
                <w:sz w:val="20"/>
                <w:szCs w:val="20"/>
              </w:rPr>
              <w:t>Gender</w:t>
            </w:r>
          </w:p>
        </w:tc>
        <w:tc>
          <w:tcPr>
            <w:tcW w:w="681"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Man</w:t>
            </w:r>
          </w:p>
        </w:tc>
        <w:tc>
          <w:tcPr>
            <w:tcW w:w="755"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3.5512</w:t>
            </w:r>
          </w:p>
        </w:tc>
        <w:tc>
          <w:tcPr>
            <w:tcW w:w="1455"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46.588</w:t>
            </w:r>
          </w:p>
        </w:tc>
        <w:tc>
          <w:tcPr>
            <w:tcW w:w="562" w:type="pct"/>
            <w:vMerge w:val="restar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3.671</w:t>
            </w:r>
          </w:p>
        </w:tc>
        <w:tc>
          <w:tcPr>
            <w:tcW w:w="562" w:type="pct"/>
            <w:vMerge w:val="restar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0.056</w:t>
            </w:r>
          </w:p>
        </w:tc>
      </w:tr>
      <w:tr w:rsidR="00E15099" w:rsidRPr="002763D5" w:rsidTr="002763D5">
        <w:trPr>
          <w:jc w:val="center"/>
        </w:trPr>
        <w:tc>
          <w:tcPr>
            <w:tcW w:w="984" w:type="pct"/>
            <w:vMerge/>
            <w:shd w:val="clear" w:color="auto" w:fill="auto"/>
            <w:vAlign w:val="center"/>
          </w:tcPr>
          <w:p w:rsidR="00F553D6" w:rsidRPr="002763D5" w:rsidRDefault="00F553D6" w:rsidP="002A2E35">
            <w:pPr>
              <w:snapToGrid w:val="0"/>
              <w:jc w:val="both"/>
              <w:rPr>
                <w:rStyle w:val="shorttext"/>
                <w:rFonts w:eastAsia="Calibri"/>
                <w:color w:val="000000"/>
                <w:sz w:val="20"/>
                <w:szCs w:val="20"/>
              </w:rPr>
            </w:pPr>
          </w:p>
        </w:tc>
        <w:tc>
          <w:tcPr>
            <w:tcW w:w="681"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woman</w:t>
            </w:r>
          </w:p>
        </w:tc>
        <w:tc>
          <w:tcPr>
            <w:tcW w:w="755"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3.5380</w:t>
            </w:r>
          </w:p>
        </w:tc>
        <w:tc>
          <w:tcPr>
            <w:tcW w:w="1455"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0.66509</w:t>
            </w:r>
          </w:p>
        </w:tc>
        <w:tc>
          <w:tcPr>
            <w:tcW w:w="562" w:type="pct"/>
            <w:vMerge/>
            <w:shd w:val="clear" w:color="auto" w:fill="auto"/>
            <w:vAlign w:val="center"/>
          </w:tcPr>
          <w:p w:rsidR="00F553D6" w:rsidRPr="002763D5" w:rsidRDefault="00F553D6" w:rsidP="002A2E35">
            <w:pPr>
              <w:snapToGrid w:val="0"/>
              <w:jc w:val="both"/>
              <w:rPr>
                <w:rFonts w:eastAsia="Calibri"/>
                <w:color w:val="000000"/>
                <w:sz w:val="20"/>
                <w:szCs w:val="20"/>
              </w:rPr>
            </w:pPr>
          </w:p>
        </w:tc>
        <w:tc>
          <w:tcPr>
            <w:tcW w:w="562" w:type="pct"/>
            <w:vMerge/>
            <w:shd w:val="clear" w:color="auto" w:fill="auto"/>
            <w:vAlign w:val="center"/>
          </w:tcPr>
          <w:p w:rsidR="00F553D6" w:rsidRPr="002763D5" w:rsidRDefault="00F553D6" w:rsidP="002A2E35">
            <w:pPr>
              <w:snapToGrid w:val="0"/>
              <w:jc w:val="both"/>
              <w:rPr>
                <w:rFonts w:eastAsia="Calibri"/>
                <w:color w:val="000000"/>
                <w:sz w:val="20"/>
                <w:szCs w:val="20"/>
              </w:rPr>
            </w:pPr>
          </w:p>
        </w:tc>
      </w:tr>
    </w:tbl>
    <w:p w:rsidR="002A2E35" w:rsidRPr="002763D5" w:rsidRDefault="002A2E35" w:rsidP="002A2E35">
      <w:pPr>
        <w:snapToGrid w:val="0"/>
        <w:ind w:firstLine="425"/>
        <w:jc w:val="both"/>
        <w:rPr>
          <w:sz w:val="20"/>
          <w:szCs w:val="20"/>
        </w:rPr>
      </w:pPr>
    </w:p>
    <w:p w:rsidR="002A2E35" w:rsidRPr="002763D5" w:rsidRDefault="002A2E35" w:rsidP="002A2E35">
      <w:pPr>
        <w:snapToGrid w:val="0"/>
        <w:ind w:firstLine="425"/>
        <w:jc w:val="both"/>
        <w:rPr>
          <w:sz w:val="20"/>
          <w:szCs w:val="20"/>
        </w:rPr>
        <w:sectPr w:rsidR="002A2E35" w:rsidRPr="002763D5" w:rsidSect="00E43474">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space="720"/>
          <w:docGrid w:linePitch="360"/>
        </w:sectPr>
      </w:pPr>
    </w:p>
    <w:p w:rsidR="00F553D6" w:rsidRPr="002763D5" w:rsidRDefault="00F553D6" w:rsidP="002A2E35">
      <w:pPr>
        <w:snapToGrid w:val="0"/>
        <w:ind w:firstLine="425"/>
        <w:jc w:val="both"/>
        <w:rPr>
          <w:sz w:val="20"/>
          <w:szCs w:val="20"/>
        </w:rPr>
      </w:pPr>
      <w:r w:rsidRPr="002763D5">
        <w:rPr>
          <w:sz w:val="20"/>
          <w:szCs w:val="20"/>
        </w:rPr>
        <w:lastRenderedPageBreak/>
        <w:t xml:space="preserve">The </w:t>
      </w:r>
      <w:proofErr w:type="gramStart"/>
      <w:r w:rsidRPr="002763D5">
        <w:rPr>
          <w:sz w:val="20"/>
          <w:szCs w:val="20"/>
        </w:rPr>
        <w:t>results of analysis of variance organizational commitment shows</w:t>
      </w:r>
      <w:proofErr w:type="gramEnd"/>
      <w:r w:rsidRPr="002763D5">
        <w:rPr>
          <w:sz w:val="20"/>
          <w:szCs w:val="20"/>
        </w:rPr>
        <w:t xml:space="preserve"> that there are significant differences in organizational commitment in terms of </w:t>
      </w:r>
      <w:r w:rsidRPr="002763D5">
        <w:rPr>
          <w:rStyle w:val="alt-edited"/>
          <w:sz w:val="20"/>
          <w:szCs w:val="20"/>
        </w:rPr>
        <w:t>Age category</w:t>
      </w:r>
      <w:r w:rsidRPr="002763D5">
        <w:rPr>
          <w:sz w:val="20"/>
          <w:szCs w:val="20"/>
        </w:rPr>
        <w:t xml:space="preserve"> (p≤0.05). In such a way that aged 26 to 30 years with a mean of organizational commitment under the </w:t>
      </w:r>
      <w:r w:rsidRPr="002763D5">
        <w:rPr>
          <w:rStyle w:val="alt-edited"/>
          <w:sz w:val="20"/>
          <w:szCs w:val="20"/>
        </w:rPr>
        <w:t>Age category</w:t>
      </w:r>
      <w:r w:rsidRPr="002763D5">
        <w:rPr>
          <w:sz w:val="20"/>
          <w:szCs w:val="20"/>
        </w:rPr>
        <w:t xml:space="preserve"> of 36 to 40 </w:t>
      </w:r>
      <w:r w:rsidRPr="002763D5">
        <w:rPr>
          <w:sz w:val="20"/>
          <w:szCs w:val="20"/>
        </w:rPr>
        <w:lastRenderedPageBreak/>
        <w:t>years had the highest organizational commitment, in other words, the findings suggest that increased with age in organizational commitment. The results of analysis of variance in terms of organizational commitment does not show significant gender differences in organizational commitment (p≥ 0.05)</w:t>
      </w:r>
    </w:p>
    <w:p w:rsidR="002A2E35" w:rsidRPr="002763D5" w:rsidRDefault="002A2E35" w:rsidP="002A2E35">
      <w:pPr>
        <w:snapToGrid w:val="0"/>
        <w:ind w:firstLine="425"/>
        <w:jc w:val="both"/>
        <w:rPr>
          <w:sz w:val="20"/>
          <w:szCs w:val="20"/>
        </w:rPr>
        <w:sectPr w:rsidR="002A2E35" w:rsidRPr="002763D5" w:rsidSect="00E43474">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num="2" w:space="720"/>
          <w:docGrid w:linePitch="360"/>
        </w:sectPr>
      </w:pPr>
    </w:p>
    <w:p w:rsidR="00F553D6" w:rsidRPr="002763D5" w:rsidRDefault="00F553D6" w:rsidP="002A2E35">
      <w:pPr>
        <w:snapToGrid w:val="0"/>
        <w:jc w:val="center"/>
        <w:rPr>
          <w:sz w:val="20"/>
          <w:szCs w:val="20"/>
        </w:rPr>
      </w:pPr>
    </w:p>
    <w:p w:rsidR="00F553D6" w:rsidRPr="002763D5" w:rsidRDefault="00F553D6" w:rsidP="002A2E35">
      <w:pPr>
        <w:snapToGrid w:val="0"/>
        <w:jc w:val="center"/>
        <w:rPr>
          <w:sz w:val="20"/>
          <w:szCs w:val="20"/>
        </w:rPr>
      </w:pPr>
      <w:r w:rsidRPr="002763D5">
        <w:rPr>
          <w:sz w:val="20"/>
          <w:szCs w:val="20"/>
        </w:rPr>
        <w:t>Table 4: Results of one-way ANOVA for comparison of burnout on the basis of age, sex</w:t>
      </w:r>
    </w:p>
    <w:tbl>
      <w:tblPr>
        <w:tblW w:w="4897" w:type="pct"/>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7"/>
        <w:gridCol w:w="1278"/>
        <w:gridCol w:w="1417"/>
        <w:gridCol w:w="2729"/>
        <w:gridCol w:w="1054"/>
        <w:gridCol w:w="1054"/>
      </w:tblGrid>
      <w:tr w:rsidR="00E15099" w:rsidRPr="002763D5" w:rsidTr="002763D5">
        <w:trPr>
          <w:jc w:val="center"/>
        </w:trPr>
        <w:tc>
          <w:tcPr>
            <w:tcW w:w="984"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Style w:val="shorttext"/>
                <w:rFonts w:eastAsia="Calibri"/>
                <w:color w:val="000000"/>
                <w:sz w:val="20"/>
                <w:szCs w:val="20"/>
              </w:rPr>
              <w:t>Variable</w:t>
            </w:r>
          </w:p>
        </w:tc>
        <w:tc>
          <w:tcPr>
            <w:tcW w:w="681"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Style w:val="alt-edited"/>
                <w:rFonts w:eastAsia="Calibri"/>
                <w:color w:val="000000"/>
                <w:sz w:val="20"/>
                <w:szCs w:val="20"/>
              </w:rPr>
              <w:t>Class</w:t>
            </w:r>
          </w:p>
        </w:tc>
        <w:tc>
          <w:tcPr>
            <w:tcW w:w="755"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Style w:val="shorttext"/>
                <w:rFonts w:eastAsia="Calibri"/>
                <w:color w:val="000000"/>
                <w:sz w:val="20"/>
                <w:szCs w:val="20"/>
              </w:rPr>
              <w:t>Average</w:t>
            </w:r>
          </w:p>
        </w:tc>
        <w:tc>
          <w:tcPr>
            <w:tcW w:w="1455"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Style w:val="shorttext"/>
                <w:rFonts w:eastAsia="Calibri"/>
                <w:color w:val="000000"/>
                <w:sz w:val="20"/>
                <w:szCs w:val="20"/>
              </w:rPr>
              <w:t>Standard deviation</w:t>
            </w:r>
          </w:p>
        </w:tc>
        <w:tc>
          <w:tcPr>
            <w:tcW w:w="562"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F</w:t>
            </w:r>
          </w:p>
        </w:tc>
        <w:tc>
          <w:tcPr>
            <w:tcW w:w="562"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Sig.</w:t>
            </w:r>
          </w:p>
        </w:tc>
      </w:tr>
      <w:tr w:rsidR="00E15099" w:rsidRPr="002763D5" w:rsidTr="002763D5">
        <w:trPr>
          <w:jc w:val="center"/>
        </w:trPr>
        <w:tc>
          <w:tcPr>
            <w:tcW w:w="984" w:type="pct"/>
            <w:vMerge w:val="restar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Style w:val="alt-edited"/>
                <w:rFonts w:eastAsia="Calibri"/>
                <w:color w:val="000000"/>
                <w:sz w:val="20"/>
                <w:szCs w:val="20"/>
              </w:rPr>
              <w:t>Age category</w:t>
            </w:r>
          </w:p>
        </w:tc>
        <w:tc>
          <w:tcPr>
            <w:tcW w:w="681"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&lt;</w:t>
            </w:r>
            <w:r w:rsidRPr="002763D5">
              <w:rPr>
                <w:rStyle w:val="shorttext"/>
                <w:rFonts w:eastAsia="Calibri"/>
                <w:color w:val="000000"/>
                <w:sz w:val="20"/>
                <w:szCs w:val="20"/>
              </w:rPr>
              <w:t>26</w:t>
            </w:r>
          </w:p>
        </w:tc>
        <w:tc>
          <w:tcPr>
            <w:tcW w:w="755"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3.21</w:t>
            </w:r>
          </w:p>
        </w:tc>
        <w:tc>
          <w:tcPr>
            <w:tcW w:w="1455"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0.226</w:t>
            </w:r>
          </w:p>
        </w:tc>
        <w:tc>
          <w:tcPr>
            <w:tcW w:w="562" w:type="pct"/>
            <w:vMerge w:val="restar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5.693</w:t>
            </w:r>
          </w:p>
        </w:tc>
        <w:tc>
          <w:tcPr>
            <w:tcW w:w="562" w:type="pct"/>
            <w:vMerge w:val="restar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0.005</w:t>
            </w:r>
          </w:p>
        </w:tc>
      </w:tr>
      <w:tr w:rsidR="00E15099" w:rsidRPr="002763D5" w:rsidTr="002763D5">
        <w:trPr>
          <w:jc w:val="center"/>
        </w:trPr>
        <w:tc>
          <w:tcPr>
            <w:tcW w:w="984" w:type="pct"/>
            <w:vMerge/>
            <w:shd w:val="clear" w:color="auto" w:fill="auto"/>
            <w:vAlign w:val="center"/>
          </w:tcPr>
          <w:p w:rsidR="00F553D6" w:rsidRPr="002763D5" w:rsidRDefault="00F553D6" w:rsidP="002A2E35">
            <w:pPr>
              <w:snapToGrid w:val="0"/>
              <w:jc w:val="both"/>
              <w:rPr>
                <w:rStyle w:val="alt-edited"/>
                <w:rFonts w:eastAsia="Calibri"/>
                <w:color w:val="000000"/>
                <w:sz w:val="20"/>
                <w:szCs w:val="20"/>
              </w:rPr>
            </w:pPr>
          </w:p>
        </w:tc>
        <w:tc>
          <w:tcPr>
            <w:tcW w:w="681"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26-30</w:t>
            </w:r>
          </w:p>
        </w:tc>
        <w:tc>
          <w:tcPr>
            <w:tcW w:w="755"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3.59</w:t>
            </w:r>
          </w:p>
        </w:tc>
        <w:tc>
          <w:tcPr>
            <w:tcW w:w="1455"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0.169</w:t>
            </w:r>
          </w:p>
        </w:tc>
        <w:tc>
          <w:tcPr>
            <w:tcW w:w="562" w:type="pct"/>
            <w:vMerge/>
            <w:shd w:val="clear" w:color="auto" w:fill="auto"/>
            <w:vAlign w:val="center"/>
          </w:tcPr>
          <w:p w:rsidR="00F553D6" w:rsidRPr="002763D5" w:rsidRDefault="00F553D6" w:rsidP="002A2E35">
            <w:pPr>
              <w:snapToGrid w:val="0"/>
              <w:jc w:val="both"/>
              <w:rPr>
                <w:rFonts w:eastAsia="Calibri"/>
                <w:color w:val="000000"/>
                <w:sz w:val="20"/>
                <w:szCs w:val="20"/>
              </w:rPr>
            </w:pPr>
          </w:p>
        </w:tc>
        <w:tc>
          <w:tcPr>
            <w:tcW w:w="562" w:type="pct"/>
            <w:vMerge/>
            <w:shd w:val="clear" w:color="auto" w:fill="auto"/>
            <w:vAlign w:val="center"/>
          </w:tcPr>
          <w:p w:rsidR="00F553D6" w:rsidRPr="002763D5" w:rsidRDefault="00F553D6" w:rsidP="002A2E35">
            <w:pPr>
              <w:snapToGrid w:val="0"/>
              <w:jc w:val="both"/>
              <w:rPr>
                <w:rFonts w:eastAsia="Calibri"/>
                <w:color w:val="000000"/>
                <w:sz w:val="20"/>
                <w:szCs w:val="20"/>
              </w:rPr>
            </w:pPr>
          </w:p>
        </w:tc>
      </w:tr>
      <w:tr w:rsidR="00E15099" w:rsidRPr="002763D5" w:rsidTr="002763D5">
        <w:trPr>
          <w:jc w:val="center"/>
        </w:trPr>
        <w:tc>
          <w:tcPr>
            <w:tcW w:w="984" w:type="pct"/>
            <w:vMerge/>
            <w:shd w:val="clear" w:color="auto" w:fill="auto"/>
            <w:vAlign w:val="center"/>
          </w:tcPr>
          <w:p w:rsidR="00F553D6" w:rsidRPr="002763D5" w:rsidRDefault="00F553D6" w:rsidP="002A2E35">
            <w:pPr>
              <w:snapToGrid w:val="0"/>
              <w:jc w:val="both"/>
              <w:rPr>
                <w:rStyle w:val="alt-edited"/>
                <w:rFonts w:eastAsia="Calibri"/>
                <w:color w:val="000000"/>
                <w:sz w:val="20"/>
                <w:szCs w:val="20"/>
              </w:rPr>
            </w:pPr>
          </w:p>
        </w:tc>
        <w:tc>
          <w:tcPr>
            <w:tcW w:w="681"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31-35</w:t>
            </w:r>
          </w:p>
        </w:tc>
        <w:tc>
          <w:tcPr>
            <w:tcW w:w="755"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3.69</w:t>
            </w:r>
          </w:p>
        </w:tc>
        <w:tc>
          <w:tcPr>
            <w:tcW w:w="1455"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0.189</w:t>
            </w:r>
          </w:p>
        </w:tc>
        <w:tc>
          <w:tcPr>
            <w:tcW w:w="562" w:type="pct"/>
            <w:vMerge/>
            <w:shd w:val="clear" w:color="auto" w:fill="auto"/>
            <w:vAlign w:val="center"/>
          </w:tcPr>
          <w:p w:rsidR="00F553D6" w:rsidRPr="002763D5" w:rsidRDefault="00F553D6" w:rsidP="002A2E35">
            <w:pPr>
              <w:snapToGrid w:val="0"/>
              <w:jc w:val="both"/>
              <w:rPr>
                <w:rFonts w:eastAsia="Calibri"/>
                <w:color w:val="000000"/>
                <w:sz w:val="20"/>
                <w:szCs w:val="20"/>
              </w:rPr>
            </w:pPr>
          </w:p>
        </w:tc>
        <w:tc>
          <w:tcPr>
            <w:tcW w:w="562" w:type="pct"/>
            <w:vMerge/>
            <w:shd w:val="clear" w:color="auto" w:fill="auto"/>
            <w:vAlign w:val="center"/>
          </w:tcPr>
          <w:p w:rsidR="00F553D6" w:rsidRPr="002763D5" w:rsidRDefault="00F553D6" w:rsidP="002A2E35">
            <w:pPr>
              <w:snapToGrid w:val="0"/>
              <w:jc w:val="both"/>
              <w:rPr>
                <w:rFonts w:eastAsia="Calibri"/>
                <w:color w:val="000000"/>
                <w:sz w:val="20"/>
                <w:szCs w:val="20"/>
              </w:rPr>
            </w:pPr>
          </w:p>
        </w:tc>
      </w:tr>
      <w:tr w:rsidR="00E15099" w:rsidRPr="002763D5" w:rsidTr="002763D5">
        <w:trPr>
          <w:jc w:val="center"/>
        </w:trPr>
        <w:tc>
          <w:tcPr>
            <w:tcW w:w="984" w:type="pct"/>
            <w:vMerge/>
            <w:shd w:val="clear" w:color="auto" w:fill="auto"/>
            <w:vAlign w:val="center"/>
          </w:tcPr>
          <w:p w:rsidR="00F553D6" w:rsidRPr="002763D5" w:rsidRDefault="00F553D6" w:rsidP="002A2E35">
            <w:pPr>
              <w:snapToGrid w:val="0"/>
              <w:jc w:val="both"/>
              <w:rPr>
                <w:rStyle w:val="alt-edited"/>
                <w:rFonts w:eastAsia="Calibri"/>
                <w:color w:val="000000"/>
                <w:sz w:val="20"/>
                <w:szCs w:val="20"/>
              </w:rPr>
            </w:pPr>
          </w:p>
        </w:tc>
        <w:tc>
          <w:tcPr>
            <w:tcW w:w="681"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36-40</w:t>
            </w:r>
          </w:p>
        </w:tc>
        <w:tc>
          <w:tcPr>
            <w:tcW w:w="755"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3.89</w:t>
            </w:r>
          </w:p>
        </w:tc>
        <w:tc>
          <w:tcPr>
            <w:tcW w:w="1455"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0.362</w:t>
            </w:r>
          </w:p>
        </w:tc>
        <w:tc>
          <w:tcPr>
            <w:tcW w:w="562" w:type="pct"/>
            <w:vMerge/>
            <w:shd w:val="clear" w:color="auto" w:fill="auto"/>
            <w:vAlign w:val="center"/>
          </w:tcPr>
          <w:p w:rsidR="00F553D6" w:rsidRPr="002763D5" w:rsidRDefault="00F553D6" w:rsidP="002A2E35">
            <w:pPr>
              <w:snapToGrid w:val="0"/>
              <w:jc w:val="both"/>
              <w:rPr>
                <w:rFonts w:eastAsia="Calibri"/>
                <w:color w:val="000000"/>
                <w:sz w:val="20"/>
                <w:szCs w:val="20"/>
              </w:rPr>
            </w:pPr>
          </w:p>
        </w:tc>
        <w:tc>
          <w:tcPr>
            <w:tcW w:w="562" w:type="pct"/>
            <w:vMerge/>
            <w:shd w:val="clear" w:color="auto" w:fill="auto"/>
            <w:vAlign w:val="center"/>
          </w:tcPr>
          <w:p w:rsidR="00F553D6" w:rsidRPr="002763D5" w:rsidRDefault="00F553D6" w:rsidP="002A2E35">
            <w:pPr>
              <w:snapToGrid w:val="0"/>
              <w:jc w:val="both"/>
              <w:rPr>
                <w:rFonts w:eastAsia="Calibri"/>
                <w:color w:val="000000"/>
                <w:sz w:val="20"/>
                <w:szCs w:val="20"/>
              </w:rPr>
            </w:pPr>
          </w:p>
        </w:tc>
      </w:tr>
      <w:tr w:rsidR="00E15099" w:rsidRPr="002763D5" w:rsidTr="002763D5">
        <w:trPr>
          <w:jc w:val="center"/>
        </w:trPr>
        <w:tc>
          <w:tcPr>
            <w:tcW w:w="984" w:type="pct"/>
            <w:vMerge/>
            <w:shd w:val="clear" w:color="auto" w:fill="auto"/>
            <w:vAlign w:val="center"/>
          </w:tcPr>
          <w:p w:rsidR="00F553D6" w:rsidRPr="002763D5" w:rsidRDefault="00F553D6" w:rsidP="002A2E35">
            <w:pPr>
              <w:snapToGrid w:val="0"/>
              <w:jc w:val="both"/>
              <w:rPr>
                <w:rStyle w:val="alt-edited"/>
                <w:rFonts w:eastAsia="Calibri"/>
                <w:color w:val="000000"/>
                <w:sz w:val="20"/>
                <w:szCs w:val="20"/>
              </w:rPr>
            </w:pPr>
          </w:p>
        </w:tc>
        <w:tc>
          <w:tcPr>
            <w:tcW w:w="681"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Style w:val="shorttext"/>
                <w:rFonts w:eastAsia="Calibri"/>
                <w:color w:val="000000"/>
                <w:sz w:val="20"/>
                <w:szCs w:val="20"/>
              </w:rPr>
              <w:t>&gt;</w:t>
            </w:r>
            <w:r w:rsidRPr="002763D5">
              <w:rPr>
                <w:rFonts w:eastAsia="Calibri"/>
                <w:color w:val="000000"/>
                <w:sz w:val="20"/>
                <w:szCs w:val="20"/>
              </w:rPr>
              <w:t>40</w:t>
            </w:r>
          </w:p>
        </w:tc>
        <w:tc>
          <w:tcPr>
            <w:tcW w:w="755"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3.65</w:t>
            </w:r>
          </w:p>
        </w:tc>
        <w:tc>
          <w:tcPr>
            <w:tcW w:w="1455"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0.297</w:t>
            </w:r>
          </w:p>
        </w:tc>
        <w:tc>
          <w:tcPr>
            <w:tcW w:w="562" w:type="pct"/>
            <w:vMerge/>
            <w:shd w:val="clear" w:color="auto" w:fill="auto"/>
            <w:vAlign w:val="center"/>
          </w:tcPr>
          <w:p w:rsidR="00F553D6" w:rsidRPr="002763D5" w:rsidRDefault="00F553D6" w:rsidP="002A2E35">
            <w:pPr>
              <w:snapToGrid w:val="0"/>
              <w:jc w:val="both"/>
              <w:rPr>
                <w:rFonts w:eastAsia="Calibri"/>
                <w:color w:val="000000"/>
                <w:sz w:val="20"/>
                <w:szCs w:val="20"/>
              </w:rPr>
            </w:pPr>
          </w:p>
        </w:tc>
        <w:tc>
          <w:tcPr>
            <w:tcW w:w="562" w:type="pct"/>
            <w:vMerge/>
            <w:shd w:val="clear" w:color="auto" w:fill="auto"/>
            <w:vAlign w:val="center"/>
          </w:tcPr>
          <w:p w:rsidR="00F553D6" w:rsidRPr="002763D5" w:rsidRDefault="00F553D6" w:rsidP="002A2E35">
            <w:pPr>
              <w:snapToGrid w:val="0"/>
              <w:jc w:val="both"/>
              <w:rPr>
                <w:rFonts w:eastAsia="Calibri"/>
                <w:color w:val="000000"/>
                <w:sz w:val="20"/>
                <w:szCs w:val="20"/>
              </w:rPr>
            </w:pPr>
          </w:p>
        </w:tc>
      </w:tr>
      <w:tr w:rsidR="00E15099" w:rsidRPr="002763D5" w:rsidTr="002763D5">
        <w:trPr>
          <w:jc w:val="center"/>
        </w:trPr>
        <w:tc>
          <w:tcPr>
            <w:tcW w:w="984" w:type="pct"/>
            <w:vMerge w:val="restar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Style w:val="shorttext"/>
                <w:rFonts w:eastAsia="Calibri"/>
                <w:color w:val="000000"/>
                <w:sz w:val="20"/>
                <w:szCs w:val="20"/>
              </w:rPr>
              <w:t>Gender</w:t>
            </w:r>
          </w:p>
        </w:tc>
        <w:tc>
          <w:tcPr>
            <w:tcW w:w="681"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Man</w:t>
            </w:r>
          </w:p>
        </w:tc>
        <w:tc>
          <w:tcPr>
            <w:tcW w:w="755"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3.48</w:t>
            </w:r>
          </w:p>
        </w:tc>
        <w:tc>
          <w:tcPr>
            <w:tcW w:w="1455"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0.193</w:t>
            </w:r>
          </w:p>
        </w:tc>
        <w:tc>
          <w:tcPr>
            <w:tcW w:w="562" w:type="pct"/>
            <w:vMerge w:val="restar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4.563</w:t>
            </w:r>
          </w:p>
        </w:tc>
        <w:tc>
          <w:tcPr>
            <w:tcW w:w="562" w:type="pct"/>
            <w:vMerge w:val="restar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0.009</w:t>
            </w:r>
          </w:p>
        </w:tc>
      </w:tr>
      <w:tr w:rsidR="00E15099" w:rsidRPr="002763D5" w:rsidTr="002763D5">
        <w:trPr>
          <w:jc w:val="center"/>
        </w:trPr>
        <w:tc>
          <w:tcPr>
            <w:tcW w:w="984" w:type="pct"/>
            <w:vMerge/>
            <w:shd w:val="clear" w:color="auto" w:fill="auto"/>
            <w:vAlign w:val="center"/>
          </w:tcPr>
          <w:p w:rsidR="00F553D6" w:rsidRPr="002763D5" w:rsidRDefault="00F553D6" w:rsidP="002A2E35">
            <w:pPr>
              <w:snapToGrid w:val="0"/>
              <w:jc w:val="both"/>
              <w:rPr>
                <w:rStyle w:val="shorttext"/>
                <w:rFonts w:eastAsia="Calibri"/>
                <w:color w:val="000000"/>
                <w:sz w:val="20"/>
                <w:szCs w:val="20"/>
              </w:rPr>
            </w:pPr>
          </w:p>
        </w:tc>
        <w:tc>
          <w:tcPr>
            <w:tcW w:w="681"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woman</w:t>
            </w:r>
          </w:p>
        </w:tc>
        <w:tc>
          <w:tcPr>
            <w:tcW w:w="755"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3.29</w:t>
            </w:r>
          </w:p>
        </w:tc>
        <w:tc>
          <w:tcPr>
            <w:tcW w:w="1455" w:type="pct"/>
            <w:shd w:val="clear" w:color="auto" w:fill="auto"/>
            <w:vAlign w:val="center"/>
          </w:tcPr>
          <w:p w:rsidR="00F553D6" w:rsidRPr="002763D5" w:rsidRDefault="00F553D6" w:rsidP="002A2E35">
            <w:pPr>
              <w:snapToGrid w:val="0"/>
              <w:jc w:val="both"/>
              <w:rPr>
                <w:rFonts w:eastAsia="Calibri"/>
                <w:color w:val="000000"/>
                <w:sz w:val="20"/>
                <w:szCs w:val="20"/>
              </w:rPr>
            </w:pPr>
            <w:r w:rsidRPr="002763D5">
              <w:rPr>
                <w:rFonts w:eastAsia="Calibri"/>
                <w:color w:val="000000"/>
                <w:sz w:val="20"/>
                <w:szCs w:val="20"/>
              </w:rPr>
              <w:t>0.397</w:t>
            </w:r>
          </w:p>
        </w:tc>
        <w:tc>
          <w:tcPr>
            <w:tcW w:w="562" w:type="pct"/>
            <w:vMerge/>
            <w:shd w:val="clear" w:color="auto" w:fill="auto"/>
            <w:vAlign w:val="center"/>
          </w:tcPr>
          <w:p w:rsidR="00F553D6" w:rsidRPr="002763D5" w:rsidRDefault="00F553D6" w:rsidP="002A2E35">
            <w:pPr>
              <w:snapToGrid w:val="0"/>
              <w:jc w:val="both"/>
              <w:rPr>
                <w:rFonts w:eastAsia="Calibri"/>
                <w:color w:val="000000"/>
                <w:sz w:val="20"/>
                <w:szCs w:val="20"/>
              </w:rPr>
            </w:pPr>
          </w:p>
        </w:tc>
        <w:tc>
          <w:tcPr>
            <w:tcW w:w="562" w:type="pct"/>
            <w:vMerge/>
            <w:shd w:val="clear" w:color="auto" w:fill="auto"/>
            <w:vAlign w:val="center"/>
          </w:tcPr>
          <w:p w:rsidR="00F553D6" w:rsidRPr="002763D5" w:rsidRDefault="00F553D6" w:rsidP="002A2E35">
            <w:pPr>
              <w:snapToGrid w:val="0"/>
              <w:jc w:val="both"/>
              <w:rPr>
                <w:rFonts w:eastAsia="Calibri"/>
                <w:color w:val="000000"/>
                <w:sz w:val="20"/>
                <w:szCs w:val="20"/>
              </w:rPr>
            </w:pPr>
          </w:p>
        </w:tc>
      </w:tr>
    </w:tbl>
    <w:p w:rsidR="002A2E35" w:rsidRPr="002763D5" w:rsidRDefault="002A2E35" w:rsidP="002A2E35">
      <w:pPr>
        <w:snapToGrid w:val="0"/>
        <w:ind w:firstLine="425"/>
        <w:jc w:val="both"/>
        <w:rPr>
          <w:sz w:val="20"/>
          <w:szCs w:val="20"/>
        </w:rPr>
      </w:pPr>
    </w:p>
    <w:p w:rsidR="002A2E35" w:rsidRPr="002763D5" w:rsidRDefault="002A2E35" w:rsidP="002A2E35">
      <w:pPr>
        <w:snapToGrid w:val="0"/>
        <w:ind w:firstLine="425"/>
        <w:jc w:val="both"/>
        <w:rPr>
          <w:sz w:val="20"/>
          <w:szCs w:val="20"/>
        </w:rPr>
        <w:sectPr w:rsidR="002A2E35" w:rsidRPr="002763D5" w:rsidSect="00E43474">
          <w:headerReference w:type="default" r:id="rId28"/>
          <w:footerReference w:type="even" r:id="rId29"/>
          <w:footerReference w:type="default" r:id="rId30"/>
          <w:footnotePr>
            <w:pos w:val="beneathText"/>
          </w:footnotePr>
          <w:type w:val="continuous"/>
          <w:pgSz w:w="12240" w:h="15840" w:code="1"/>
          <w:pgMar w:top="1440" w:right="1440" w:bottom="1440" w:left="1440" w:header="720" w:footer="720" w:gutter="0"/>
          <w:cols w:space="720"/>
          <w:docGrid w:linePitch="360"/>
        </w:sectPr>
      </w:pPr>
    </w:p>
    <w:p w:rsidR="00F553D6" w:rsidRPr="002763D5" w:rsidRDefault="00F553D6" w:rsidP="002A2E35">
      <w:pPr>
        <w:snapToGrid w:val="0"/>
        <w:ind w:firstLine="425"/>
        <w:jc w:val="both"/>
        <w:rPr>
          <w:sz w:val="20"/>
          <w:szCs w:val="20"/>
        </w:rPr>
      </w:pPr>
      <w:r w:rsidRPr="002763D5">
        <w:rPr>
          <w:sz w:val="20"/>
          <w:szCs w:val="20"/>
        </w:rPr>
        <w:lastRenderedPageBreak/>
        <w:t xml:space="preserve">The </w:t>
      </w:r>
      <w:proofErr w:type="gramStart"/>
      <w:r w:rsidRPr="002763D5">
        <w:rPr>
          <w:sz w:val="20"/>
          <w:szCs w:val="20"/>
        </w:rPr>
        <w:t>results of analysis of variance in burnout shows</w:t>
      </w:r>
      <w:proofErr w:type="gramEnd"/>
      <w:r w:rsidRPr="002763D5">
        <w:rPr>
          <w:sz w:val="20"/>
          <w:szCs w:val="20"/>
        </w:rPr>
        <w:t xml:space="preserve"> that there are significant differences in terms of </w:t>
      </w:r>
      <w:r w:rsidRPr="002763D5">
        <w:rPr>
          <w:rStyle w:val="alt-edited"/>
          <w:sz w:val="20"/>
          <w:szCs w:val="20"/>
        </w:rPr>
        <w:t>Age category</w:t>
      </w:r>
      <w:r w:rsidRPr="002763D5">
        <w:rPr>
          <w:sz w:val="20"/>
          <w:szCs w:val="20"/>
        </w:rPr>
        <w:t xml:space="preserve"> (p≤0.05). So that the </w:t>
      </w:r>
      <w:r w:rsidRPr="002763D5">
        <w:rPr>
          <w:rStyle w:val="alt-edited"/>
          <w:sz w:val="20"/>
          <w:szCs w:val="20"/>
        </w:rPr>
        <w:t xml:space="preserve">Age </w:t>
      </w:r>
      <w:proofErr w:type="gramStart"/>
      <w:r w:rsidRPr="002763D5">
        <w:rPr>
          <w:rStyle w:val="alt-edited"/>
          <w:sz w:val="20"/>
          <w:szCs w:val="20"/>
        </w:rPr>
        <w:t>category</w:t>
      </w:r>
      <w:r w:rsidRPr="002763D5">
        <w:rPr>
          <w:sz w:val="20"/>
          <w:szCs w:val="20"/>
        </w:rPr>
        <w:t xml:space="preserve"> 36 to 40 years have</w:t>
      </w:r>
      <w:proofErr w:type="gramEnd"/>
      <w:r w:rsidRPr="002763D5">
        <w:rPr>
          <w:sz w:val="20"/>
          <w:szCs w:val="20"/>
        </w:rPr>
        <w:t xml:space="preserve"> a higher average burnout and burnout have the lowest </w:t>
      </w:r>
      <w:r w:rsidRPr="002763D5">
        <w:rPr>
          <w:rStyle w:val="alt-edited"/>
          <w:sz w:val="20"/>
          <w:szCs w:val="20"/>
        </w:rPr>
        <w:t>Age category</w:t>
      </w:r>
      <w:r w:rsidRPr="002763D5">
        <w:rPr>
          <w:sz w:val="20"/>
          <w:szCs w:val="20"/>
        </w:rPr>
        <w:t xml:space="preserve"> under 25 years. In other words, the findings suggest that increased with age burnout. The results of analysis of variance were significant </w:t>
      </w:r>
      <w:proofErr w:type="gramStart"/>
      <w:r w:rsidRPr="002763D5">
        <w:rPr>
          <w:sz w:val="20"/>
          <w:szCs w:val="20"/>
        </w:rPr>
        <w:t>gender differences in burnout does</w:t>
      </w:r>
      <w:proofErr w:type="gramEnd"/>
      <w:r w:rsidRPr="002763D5">
        <w:rPr>
          <w:sz w:val="20"/>
          <w:szCs w:val="20"/>
        </w:rPr>
        <w:t xml:space="preserve"> not show (p≥0.05).</w:t>
      </w:r>
    </w:p>
    <w:p w:rsidR="00F553D6" w:rsidRPr="002763D5" w:rsidRDefault="00F553D6" w:rsidP="002A2E35">
      <w:pPr>
        <w:snapToGrid w:val="0"/>
        <w:jc w:val="both"/>
        <w:rPr>
          <w:sz w:val="20"/>
          <w:szCs w:val="20"/>
        </w:rPr>
      </w:pPr>
    </w:p>
    <w:p w:rsidR="00F553D6" w:rsidRPr="002763D5" w:rsidRDefault="00F553D6" w:rsidP="002A2E35">
      <w:pPr>
        <w:snapToGrid w:val="0"/>
        <w:jc w:val="both"/>
        <w:rPr>
          <w:b/>
          <w:bCs/>
          <w:sz w:val="20"/>
          <w:szCs w:val="20"/>
        </w:rPr>
      </w:pPr>
      <w:r w:rsidRPr="002763D5">
        <w:rPr>
          <w:b/>
          <w:bCs/>
          <w:sz w:val="20"/>
          <w:szCs w:val="20"/>
        </w:rPr>
        <w:t>Conclusion:</w:t>
      </w:r>
    </w:p>
    <w:p w:rsidR="00DB22BC" w:rsidRPr="002763D5" w:rsidRDefault="00F553D6" w:rsidP="002A2E35">
      <w:pPr>
        <w:snapToGrid w:val="0"/>
        <w:ind w:firstLine="425"/>
        <w:jc w:val="both"/>
        <w:rPr>
          <w:sz w:val="20"/>
          <w:szCs w:val="20"/>
        </w:rPr>
      </w:pPr>
      <w:r w:rsidRPr="002763D5">
        <w:rPr>
          <w:sz w:val="20"/>
          <w:szCs w:val="20"/>
        </w:rPr>
        <w:t xml:space="preserve">The first question showed that the mean </w:t>
      </w:r>
      <w:r w:rsidRPr="002763D5">
        <w:rPr>
          <w:rStyle w:val="alt-edited"/>
          <w:sz w:val="20"/>
          <w:szCs w:val="20"/>
        </w:rPr>
        <w:t>organizational commitment</w:t>
      </w:r>
      <w:r w:rsidRPr="002763D5">
        <w:rPr>
          <w:sz w:val="20"/>
          <w:szCs w:val="20"/>
        </w:rPr>
        <w:t xml:space="preserve"> and its components are significantly higher than the average concept (3)</w:t>
      </w:r>
      <w:proofErr w:type="gramStart"/>
      <w:r w:rsidRPr="002763D5">
        <w:rPr>
          <w:sz w:val="20"/>
          <w:szCs w:val="20"/>
        </w:rPr>
        <w:t>,</w:t>
      </w:r>
      <w:proofErr w:type="gramEnd"/>
      <w:r w:rsidRPr="002763D5">
        <w:rPr>
          <w:sz w:val="20"/>
          <w:szCs w:val="20"/>
        </w:rPr>
        <w:t xml:space="preserve"> </w:t>
      </w:r>
      <w:r w:rsidRPr="002763D5">
        <w:rPr>
          <w:sz w:val="20"/>
          <w:szCs w:val="20"/>
        </w:rPr>
        <w:lastRenderedPageBreak/>
        <w:t>findings showed that the average score over the rest of the components is an ongoing commitment. With regard to the level of significance (. 000) observed organizational commitment is desirable.</w:t>
      </w:r>
    </w:p>
    <w:p w:rsidR="00DB22BC" w:rsidRPr="002763D5" w:rsidRDefault="00F553D6" w:rsidP="002A2E35">
      <w:pPr>
        <w:snapToGrid w:val="0"/>
        <w:ind w:firstLine="425"/>
        <w:jc w:val="both"/>
        <w:rPr>
          <w:sz w:val="20"/>
          <w:szCs w:val="20"/>
        </w:rPr>
      </w:pPr>
      <w:r w:rsidRPr="002763D5">
        <w:rPr>
          <w:sz w:val="20"/>
          <w:szCs w:val="20"/>
        </w:rPr>
        <w:t>The second question results showed that the mean burnout significantly higher than the average concept (3); findings with respect to the level of significance (.000) observed burnout is desirable.</w:t>
      </w:r>
    </w:p>
    <w:p w:rsidR="00DB22BC" w:rsidRPr="002763D5" w:rsidRDefault="00F553D6" w:rsidP="002A2E35">
      <w:pPr>
        <w:snapToGrid w:val="0"/>
        <w:ind w:firstLine="425"/>
        <w:jc w:val="both"/>
        <w:rPr>
          <w:sz w:val="20"/>
          <w:szCs w:val="20"/>
        </w:rPr>
      </w:pPr>
      <w:r w:rsidRPr="002763D5">
        <w:rPr>
          <w:sz w:val="20"/>
          <w:szCs w:val="20"/>
        </w:rPr>
        <w:t xml:space="preserve">The third question results showed that there are significant differences in organizational commitment in terms of </w:t>
      </w:r>
      <w:r w:rsidRPr="002763D5">
        <w:rPr>
          <w:rStyle w:val="alt-edited"/>
          <w:sz w:val="20"/>
          <w:szCs w:val="20"/>
        </w:rPr>
        <w:t>age category</w:t>
      </w:r>
      <w:r w:rsidRPr="002763D5">
        <w:rPr>
          <w:sz w:val="20"/>
          <w:szCs w:val="20"/>
        </w:rPr>
        <w:t xml:space="preserve"> (p≤0.05).</w:t>
      </w:r>
    </w:p>
    <w:p w:rsidR="00DB22BC" w:rsidRPr="002763D5" w:rsidRDefault="00F553D6" w:rsidP="002A2E35">
      <w:pPr>
        <w:snapToGrid w:val="0"/>
        <w:ind w:firstLine="425"/>
        <w:jc w:val="both"/>
        <w:rPr>
          <w:sz w:val="20"/>
          <w:szCs w:val="20"/>
        </w:rPr>
      </w:pPr>
      <w:r w:rsidRPr="002763D5">
        <w:rPr>
          <w:sz w:val="20"/>
          <w:szCs w:val="20"/>
        </w:rPr>
        <w:t xml:space="preserve">In such a way that aged 26 to 30 years with a mean of organizational commitment under the </w:t>
      </w:r>
      <w:r w:rsidRPr="002763D5">
        <w:rPr>
          <w:rStyle w:val="alt-edited"/>
          <w:sz w:val="20"/>
          <w:szCs w:val="20"/>
        </w:rPr>
        <w:t>Age category</w:t>
      </w:r>
      <w:r w:rsidRPr="002763D5">
        <w:rPr>
          <w:sz w:val="20"/>
          <w:szCs w:val="20"/>
        </w:rPr>
        <w:t xml:space="preserve"> of 36 to 40 years had the highest </w:t>
      </w:r>
      <w:r w:rsidRPr="002763D5">
        <w:rPr>
          <w:sz w:val="20"/>
          <w:szCs w:val="20"/>
        </w:rPr>
        <w:lastRenderedPageBreak/>
        <w:t xml:space="preserve">organizational commitment. In other words, the findings suggest that increased with age in organizational commitment. The </w:t>
      </w:r>
      <w:proofErr w:type="gramStart"/>
      <w:r w:rsidRPr="002763D5">
        <w:rPr>
          <w:sz w:val="20"/>
          <w:szCs w:val="20"/>
        </w:rPr>
        <w:t>results of analysis of variance in terms of organizational commitment does</w:t>
      </w:r>
      <w:proofErr w:type="gramEnd"/>
      <w:r w:rsidRPr="002763D5">
        <w:rPr>
          <w:sz w:val="20"/>
          <w:szCs w:val="20"/>
        </w:rPr>
        <w:t xml:space="preserve"> not show significant gender differences in organizational commitment.</w:t>
      </w:r>
    </w:p>
    <w:p w:rsidR="00DB22BC" w:rsidRPr="002763D5" w:rsidRDefault="00F553D6" w:rsidP="002A2E35">
      <w:pPr>
        <w:snapToGrid w:val="0"/>
        <w:ind w:firstLine="425"/>
        <w:jc w:val="both"/>
        <w:rPr>
          <w:sz w:val="20"/>
          <w:szCs w:val="20"/>
        </w:rPr>
      </w:pPr>
      <w:r w:rsidRPr="002763D5">
        <w:rPr>
          <w:sz w:val="20"/>
          <w:szCs w:val="20"/>
        </w:rPr>
        <w:t xml:space="preserve">The fourth question results showed that the analysis of variance in burnout shows that there are significant differences in terms of </w:t>
      </w:r>
      <w:r w:rsidRPr="002763D5">
        <w:rPr>
          <w:rStyle w:val="alt-edited"/>
          <w:sz w:val="20"/>
          <w:szCs w:val="20"/>
        </w:rPr>
        <w:t>Age category</w:t>
      </w:r>
      <w:r w:rsidRPr="002763D5">
        <w:rPr>
          <w:sz w:val="20"/>
          <w:szCs w:val="20"/>
        </w:rPr>
        <w:t xml:space="preserve"> (p≤0.05). So that the </w:t>
      </w:r>
      <w:r w:rsidRPr="002763D5">
        <w:rPr>
          <w:rStyle w:val="alt-edited"/>
          <w:sz w:val="20"/>
          <w:szCs w:val="20"/>
        </w:rPr>
        <w:t xml:space="preserve">age </w:t>
      </w:r>
      <w:proofErr w:type="gramStart"/>
      <w:r w:rsidRPr="002763D5">
        <w:rPr>
          <w:rStyle w:val="alt-edited"/>
          <w:sz w:val="20"/>
          <w:szCs w:val="20"/>
        </w:rPr>
        <w:t>category</w:t>
      </w:r>
      <w:r w:rsidRPr="002763D5">
        <w:rPr>
          <w:sz w:val="20"/>
          <w:szCs w:val="20"/>
        </w:rPr>
        <w:t xml:space="preserve"> 36 to 40 years have</w:t>
      </w:r>
      <w:proofErr w:type="gramEnd"/>
      <w:r w:rsidRPr="002763D5">
        <w:rPr>
          <w:sz w:val="20"/>
          <w:szCs w:val="20"/>
        </w:rPr>
        <w:t xml:space="preserve"> a higher average burnout and burnout have the lowest </w:t>
      </w:r>
      <w:r w:rsidRPr="002763D5">
        <w:rPr>
          <w:rStyle w:val="alt-edited"/>
          <w:sz w:val="20"/>
          <w:szCs w:val="20"/>
        </w:rPr>
        <w:t>age category</w:t>
      </w:r>
      <w:r w:rsidRPr="002763D5">
        <w:rPr>
          <w:sz w:val="20"/>
          <w:szCs w:val="20"/>
        </w:rPr>
        <w:t xml:space="preserve"> under 25 years. In other words, the findings suggest that increased with age burnout. The results of analysis of variance were significant gender </w:t>
      </w:r>
      <w:proofErr w:type="gramStart"/>
      <w:r w:rsidRPr="002763D5">
        <w:rPr>
          <w:sz w:val="20"/>
          <w:szCs w:val="20"/>
        </w:rPr>
        <w:t>differences in burnout does</w:t>
      </w:r>
      <w:proofErr w:type="gramEnd"/>
      <w:r w:rsidRPr="002763D5">
        <w:rPr>
          <w:sz w:val="20"/>
          <w:szCs w:val="20"/>
        </w:rPr>
        <w:t xml:space="preserve"> not show.</w:t>
      </w:r>
    </w:p>
    <w:p w:rsidR="00F553D6" w:rsidRPr="002763D5" w:rsidRDefault="00F553D6" w:rsidP="002A2E35">
      <w:pPr>
        <w:snapToGrid w:val="0"/>
        <w:ind w:firstLine="425"/>
        <w:jc w:val="both"/>
        <w:rPr>
          <w:sz w:val="20"/>
          <w:szCs w:val="20"/>
        </w:rPr>
      </w:pPr>
      <w:r w:rsidRPr="002763D5">
        <w:rPr>
          <w:sz w:val="20"/>
          <w:szCs w:val="20"/>
        </w:rPr>
        <w:t>The fifth question results showed that the Pearson correlation coefficient was used to answer the research question. As can be seen in the table due to the significant level obtained from the table, between the components of organizational commitment and job burnout there is a significant positive relationship.</w:t>
      </w:r>
    </w:p>
    <w:p w:rsidR="00F553D6" w:rsidRPr="002763D5" w:rsidRDefault="00F553D6" w:rsidP="002A2E35">
      <w:pPr>
        <w:snapToGrid w:val="0"/>
        <w:jc w:val="both"/>
        <w:rPr>
          <w:b/>
          <w:bCs/>
          <w:sz w:val="20"/>
          <w:szCs w:val="20"/>
          <w:lang w:bidi="fa-IR"/>
        </w:rPr>
      </w:pPr>
    </w:p>
    <w:p w:rsidR="002A2E35" w:rsidRPr="002763D5" w:rsidRDefault="00F553D6" w:rsidP="002A2E35">
      <w:pPr>
        <w:snapToGrid w:val="0"/>
        <w:jc w:val="both"/>
        <w:rPr>
          <w:b/>
          <w:bCs/>
          <w:sz w:val="20"/>
          <w:szCs w:val="20"/>
          <w:lang w:bidi="fa-IR"/>
        </w:rPr>
      </w:pPr>
      <w:r w:rsidRPr="002763D5">
        <w:rPr>
          <w:b/>
          <w:bCs/>
          <w:sz w:val="20"/>
          <w:szCs w:val="20"/>
          <w:lang w:bidi="fa-IR"/>
        </w:rPr>
        <w:t>References:</w:t>
      </w:r>
    </w:p>
    <w:p w:rsidR="002A2E35" w:rsidRPr="002763D5" w:rsidRDefault="002A2E35" w:rsidP="002A2E35">
      <w:pPr>
        <w:numPr>
          <w:ilvl w:val="0"/>
          <w:numId w:val="6"/>
        </w:numPr>
        <w:snapToGrid w:val="0"/>
        <w:jc w:val="both"/>
        <w:rPr>
          <w:sz w:val="20"/>
          <w:szCs w:val="20"/>
        </w:rPr>
      </w:pPr>
      <w:proofErr w:type="spellStart"/>
      <w:r w:rsidRPr="002763D5">
        <w:rPr>
          <w:sz w:val="20"/>
          <w:szCs w:val="20"/>
          <w:lang w:bidi="fa-IR"/>
        </w:rPr>
        <w:t>B</w:t>
      </w:r>
      <w:r w:rsidR="00F553D6" w:rsidRPr="002763D5">
        <w:rPr>
          <w:sz w:val="20"/>
          <w:szCs w:val="20"/>
          <w:lang w:bidi="fa-IR"/>
        </w:rPr>
        <w:t>ahrami</w:t>
      </w:r>
      <w:proofErr w:type="spellEnd"/>
      <w:r w:rsidR="00F553D6" w:rsidRPr="002763D5">
        <w:rPr>
          <w:sz w:val="20"/>
          <w:szCs w:val="20"/>
          <w:lang w:bidi="fa-IR"/>
        </w:rPr>
        <w:t xml:space="preserve">, M. H., </w:t>
      </w:r>
      <w:proofErr w:type="spellStart"/>
      <w:r w:rsidR="00F553D6" w:rsidRPr="002763D5">
        <w:rPr>
          <w:sz w:val="20"/>
          <w:szCs w:val="20"/>
          <w:lang w:bidi="fa-IR"/>
        </w:rPr>
        <w:t>Rezaei</w:t>
      </w:r>
      <w:proofErr w:type="spellEnd"/>
      <w:r w:rsidR="00F553D6" w:rsidRPr="002763D5">
        <w:rPr>
          <w:sz w:val="20"/>
          <w:szCs w:val="20"/>
          <w:lang w:bidi="fa-IR"/>
        </w:rPr>
        <w:t xml:space="preserve">, A. et al. (2010). </w:t>
      </w:r>
      <w:r w:rsidR="00F553D6" w:rsidRPr="002763D5">
        <w:rPr>
          <w:sz w:val="20"/>
          <w:szCs w:val="20"/>
        </w:rPr>
        <w:t xml:space="preserve">"A comparative study of organizational commitment based on personality characteristics: A Case Study in the Teaching Hospital </w:t>
      </w:r>
      <w:proofErr w:type="spellStart"/>
      <w:r w:rsidR="00F553D6" w:rsidRPr="002763D5">
        <w:rPr>
          <w:sz w:val="20"/>
          <w:szCs w:val="20"/>
        </w:rPr>
        <w:t>Sadoghi</w:t>
      </w:r>
      <w:proofErr w:type="spellEnd"/>
      <w:r w:rsidR="00F553D6" w:rsidRPr="002763D5">
        <w:rPr>
          <w:sz w:val="20"/>
          <w:szCs w:val="20"/>
        </w:rPr>
        <w:t xml:space="preserve"> and </w:t>
      </w:r>
      <w:proofErr w:type="spellStart"/>
      <w:r w:rsidR="00F553D6" w:rsidRPr="002763D5">
        <w:rPr>
          <w:sz w:val="20"/>
          <w:szCs w:val="20"/>
        </w:rPr>
        <w:t>Shahid</w:t>
      </w:r>
      <w:proofErr w:type="spellEnd"/>
      <w:r w:rsidR="00F553D6" w:rsidRPr="002763D5">
        <w:rPr>
          <w:sz w:val="20"/>
          <w:szCs w:val="20"/>
        </w:rPr>
        <w:t xml:space="preserve"> </w:t>
      </w:r>
      <w:proofErr w:type="spellStart"/>
      <w:r w:rsidR="00F553D6" w:rsidRPr="002763D5">
        <w:rPr>
          <w:sz w:val="20"/>
          <w:szCs w:val="20"/>
        </w:rPr>
        <w:t>Rahnemoon</w:t>
      </w:r>
      <w:proofErr w:type="spellEnd"/>
      <w:r w:rsidR="00F553D6" w:rsidRPr="002763D5">
        <w:rPr>
          <w:sz w:val="20"/>
          <w:szCs w:val="20"/>
        </w:rPr>
        <w:t>", Journal of School of Public Health, Yazd, second and third.</w:t>
      </w:r>
    </w:p>
    <w:p w:rsidR="002A2E35" w:rsidRPr="002763D5" w:rsidRDefault="002A2E35" w:rsidP="002A2E35">
      <w:pPr>
        <w:numPr>
          <w:ilvl w:val="0"/>
          <w:numId w:val="6"/>
        </w:numPr>
        <w:snapToGrid w:val="0"/>
        <w:jc w:val="both"/>
        <w:rPr>
          <w:sz w:val="20"/>
          <w:szCs w:val="20"/>
        </w:rPr>
      </w:pPr>
      <w:proofErr w:type="spellStart"/>
      <w:r w:rsidRPr="002763D5">
        <w:rPr>
          <w:sz w:val="20"/>
          <w:szCs w:val="20"/>
        </w:rPr>
        <w:t>M</w:t>
      </w:r>
      <w:r w:rsidR="00F553D6" w:rsidRPr="002763D5">
        <w:rPr>
          <w:sz w:val="20"/>
          <w:szCs w:val="20"/>
        </w:rPr>
        <w:t>adani</w:t>
      </w:r>
      <w:proofErr w:type="spellEnd"/>
      <w:r w:rsidR="00F553D6" w:rsidRPr="002763D5">
        <w:rPr>
          <w:sz w:val="20"/>
          <w:szCs w:val="20"/>
        </w:rPr>
        <w:t xml:space="preserve">, H. and </w:t>
      </w:r>
      <w:proofErr w:type="spellStart"/>
      <w:r w:rsidR="00F553D6" w:rsidRPr="002763D5">
        <w:rPr>
          <w:sz w:val="20"/>
          <w:szCs w:val="20"/>
        </w:rPr>
        <w:t>Zahedi</w:t>
      </w:r>
      <w:proofErr w:type="spellEnd"/>
      <w:r w:rsidR="00F553D6" w:rsidRPr="002763D5">
        <w:rPr>
          <w:sz w:val="20"/>
          <w:szCs w:val="20"/>
        </w:rPr>
        <w:t>, M.J. (2006). Prioritize the factors affecting organizational commitment (Case Study at</w:t>
      </w:r>
      <w:r w:rsidR="002763D5">
        <w:rPr>
          <w:sz w:val="20"/>
          <w:szCs w:val="20"/>
        </w:rPr>
        <w:t xml:space="preserve"> dawn gas processing </w:t>
      </w:r>
      <w:r w:rsidR="002763D5">
        <w:rPr>
          <w:sz w:val="20"/>
          <w:szCs w:val="20"/>
        </w:rPr>
        <w:lastRenderedPageBreak/>
        <w:t>companies)</w:t>
      </w:r>
      <w:r w:rsidR="00F553D6" w:rsidRPr="002763D5">
        <w:rPr>
          <w:sz w:val="20"/>
          <w:szCs w:val="20"/>
        </w:rPr>
        <w:t>", Journal of Sociology Iran, sixth, 1: pp. 33-3.</w:t>
      </w:r>
    </w:p>
    <w:p w:rsidR="002A2E35" w:rsidRPr="002763D5" w:rsidRDefault="002A2E35" w:rsidP="002A2E35">
      <w:pPr>
        <w:numPr>
          <w:ilvl w:val="0"/>
          <w:numId w:val="6"/>
        </w:numPr>
        <w:snapToGrid w:val="0"/>
        <w:jc w:val="both"/>
        <w:rPr>
          <w:sz w:val="20"/>
          <w:szCs w:val="20"/>
        </w:rPr>
      </w:pPr>
      <w:proofErr w:type="spellStart"/>
      <w:r w:rsidRPr="002763D5">
        <w:rPr>
          <w:sz w:val="20"/>
          <w:szCs w:val="20"/>
        </w:rPr>
        <w:t>D</w:t>
      </w:r>
      <w:r w:rsidR="00F553D6" w:rsidRPr="002763D5">
        <w:rPr>
          <w:sz w:val="20"/>
          <w:szCs w:val="20"/>
        </w:rPr>
        <w:t>arbandi</w:t>
      </w:r>
      <w:proofErr w:type="spellEnd"/>
      <w:r w:rsidR="00F553D6" w:rsidRPr="002763D5">
        <w:rPr>
          <w:sz w:val="20"/>
          <w:szCs w:val="20"/>
        </w:rPr>
        <w:t xml:space="preserve">, M. (2010). The role of job satisfaction and life satisfaction in burnout petrochemical complex phase (1) </w:t>
      </w:r>
      <w:proofErr w:type="spellStart"/>
      <w:r w:rsidR="00F553D6" w:rsidRPr="002763D5">
        <w:rPr>
          <w:sz w:val="20"/>
          <w:szCs w:val="20"/>
        </w:rPr>
        <w:t>Assaluyeh</w:t>
      </w:r>
      <w:proofErr w:type="spellEnd"/>
      <w:r w:rsidR="00F553D6" w:rsidRPr="002763D5">
        <w:rPr>
          <w:sz w:val="20"/>
          <w:szCs w:val="20"/>
        </w:rPr>
        <w:t xml:space="preserve"> ", unpublished MA thesis Psychology, Faculty of Psychology and Education, University of </w:t>
      </w:r>
      <w:proofErr w:type="spellStart"/>
      <w:r w:rsidR="00F553D6" w:rsidRPr="002763D5">
        <w:rPr>
          <w:sz w:val="20"/>
          <w:szCs w:val="20"/>
        </w:rPr>
        <w:t>Sistan</w:t>
      </w:r>
      <w:proofErr w:type="spellEnd"/>
      <w:r w:rsidR="00F553D6" w:rsidRPr="002763D5">
        <w:rPr>
          <w:sz w:val="20"/>
          <w:szCs w:val="20"/>
        </w:rPr>
        <w:t xml:space="preserve"> and </w:t>
      </w:r>
      <w:proofErr w:type="spellStart"/>
      <w:r w:rsidR="00F553D6" w:rsidRPr="002763D5">
        <w:rPr>
          <w:sz w:val="20"/>
          <w:szCs w:val="20"/>
        </w:rPr>
        <w:t>Baluchestan</w:t>
      </w:r>
      <w:proofErr w:type="spellEnd"/>
      <w:r w:rsidR="00F553D6" w:rsidRPr="002763D5">
        <w:rPr>
          <w:sz w:val="20"/>
          <w:szCs w:val="20"/>
        </w:rPr>
        <w:t>, p. 15.</w:t>
      </w:r>
    </w:p>
    <w:p w:rsidR="002A2E35" w:rsidRPr="002763D5" w:rsidRDefault="002A2E35" w:rsidP="002A2E35">
      <w:pPr>
        <w:numPr>
          <w:ilvl w:val="0"/>
          <w:numId w:val="6"/>
        </w:numPr>
        <w:snapToGrid w:val="0"/>
        <w:jc w:val="both"/>
        <w:rPr>
          <w:sz w:val="20"/>
          <w:szCs w:val="20"/>
        </w:rPr>
      </w:pPr>
      <w:proofErr w:type="spellStart"/>
      <w:r w:rsidRPr="002763D5">
        <w:rPr>
          <w:sz w:val="20"/>
          <w:szCs w:val="20"/>
        </w:rPr>
        <w:t>D</w:t>
      </w:r>
      <w:r w:rsidR="00F553D6" w:rsidRPr="002763D5">
        <w:rPr>
          <w:sz w:val="20"/>
          <w:szCs w:val="20"/>
        </w:rPr>
        <w:t>ehbozorgi</w:t>
      </w:r>
      <w:proofErr w:type="spellEnd"/>
      <w:r w:rsidR="00F553D6" w:rsidRPr="002763D5">
        <w:rPr>
          <w:sz w:val="20"/>
          <w:szCs w:val="20"/>
        </w:rPr>
        <w:t xml:space="preserve">, G.H. and </w:t>
      </w:r>
      <w:proofErr w:type="spellStart"/>
      <w:r w:rsidR="00F553D6" w:rsidRPr="002763D5">
        <w:rPr>
          <w:sz w:val="20"/>
          <w:szCs w:val="20"/>
        </w:rPr>
        <w:t>Hadaeghi</w:t>
      </w:r>
      <w:proofErr w:type="spellEnd"/>
      <w:r w:rsidR="00F553D6" w:rsidRPr="002763D5">
        <w:rPr>
          <w:sz w:val="20"/>
          <w:szCs w:val="20"/>
        </w:rPr>
        <w:t xml:space="preserve">, R. (2006). Hidden Vortex burnout ", Shiraz, printing, </w:t>
      </w:r>
      <w:proofErr w:type="spellStart"/>
      <w:r w:rsidR="00F553D6" w:rsidRPr="002763D5">
        <w:rPr>
          <w:sz w:val="20"/>
          <w:szCs w:val="20"/>
        </w:rPr>
        <w:t>Navid</w:t>
      </w:r>
      <w:proofErr w:type="spellEnd"/>
      <w:r w:rsidR="00F553D6" w:rsidRPr="002763D5">
        <w:rPr>
          <w:sz w:val="20"/>
          <w:szCs w:val="20"/>
        </w:rPr>
        <w:t xml:space="preserve"> </w:t>
      </w:r>
      <w:proofErr w:type="gramStart"/>
      <w:r w:rsidR="00F553D6" w:rsidRPr="002763D5">
        <w:rPr>
          <w:sz w:val="20"/>
          <w:szCs w:val="20"/>
        </w:rPr>
        <w:t>publishing.</w:t>
      </w:r>
      <w:proofErr w:type="gramEnd"/>
      <w:r w:rsidR="00F553D6" w:rsidRPr="002763D5">
        <w:rPr>
          <w:sz w:val="20"/>
          <w:szCs w:val="20"/>
        </w:rPr>
        <w:t xml:space="preserve"> Shiraz</w:t>
      </w:r>
    </w:p>
    <w:p w:rsidR="002A2E35" w:rsidRPr="002763D5" w:rsidRDefault="002A2E35" w:rsidP="002A2E35">
      <w:pPr>
        <w:numPr>
          <w:ilvl w:val="0"/>
          <w:numId w:val="6"/>
        </w:numPr>
        <w:snapToGrid w:val="0"/>
        <w:jc w:val="both"/>
        <w:rPr>
          <w:sz w:val="20"/>
          <w:szCs w:val="20"/>
        </w:rPr>
      </w:pPr>
      <w:r w:rsidRPr="002763D5">
        <w:rPr>
          <w:sz w:val="20"/>
          <w:szCs w:val="20"/>
        </w:rPr>
        <w:t>A</w:t>
      </w:r>
      <w:r w:rsidR="00F553D6" w:rsidRPr="002763D5">
        <w:rPr>
          <w:sz w:val="20"/>
          <w:szCs w:val="20"/>
        </w:rPr>
        <w:t xml:space="preserve">rab, M., </w:t>
      </w:r>
      <w:proofErr w:type="spellStart"/>
      <w:r w:rsidR="00F553D6" w:rsidRPr="002763D5">
        <w:rPr>
          <w:sz w:val="20"/>
          <w:szCs w:val="20"/>
        </w:rPr>
        <w:t>Kheiri</w:t>
      </w:r>
      <w:proofErr w:type="spellEnd"/>
      <w:r w:rsidR="00F553D6" w:rsidRPr="002763D5">
        <w:rPr>
          <w:sz w:val="20"/>
          <w:szCs w:val="20"/>
        </w:rPr>
        <w:t xml:space="preserve">, S., Sari, A. and </w:t>
      </w:r>
      <w:proofErr w:type="spellStart"/>
      <w:r w:rsidR="00F553D6" w:rsidRPr="002763D5">
        <w:rPr>
          <w:sz w:val="20"/>
          <w:szCs w:val="20"/>
        </w:rPr>
        <w:t>Asgari</w:t>
      </w:r>
      <w:proofErr w:type="spellEnd"/>
      <w:r w:rsidR="00F553D6" w:rsidRPr="002763D5">
        <w:rPr>
          <w:sz w:val="20"/>
          <w:szCs w:val="20"/>
        </w:rPr>
        <w:t xml:space="preserve">, M. et al. (2013). </w:t>
      </w:r>
      <w:proofErr w:type="spellStart"/>
      <w:r w:rsidR="00F553D6" w:rsidRPr="002763D5">
        <w:rPr>
          <w:sz w:val="20"/>
          <w:szCs w:val="20"/>
        </w:rPr>
        <w:t>Shahre-Kord</w:t>
      </w:r>
      <w:proofErr w:type="spellEnd"/>
      <w:r w:rsidR="00F553D6" w:rsidRPr="002763D5">
        <w:rPr>
          <w:sz w:val="20"/>
          <w:szCs w:val="20"/>
        </w:rPr>
        <w:t xml:space="preserve"> University Journal, Volume 14, Issue 3, August and September</w:t>
      </w:r>
    </w:p>
    <w:p w:rsidR="002A2E35" w:rsidRPr="002763D5" w:rsidRDefault="002A2E35" w:rsidP="002A2E35">
      <w:pPr>
        <w:numPr>
          <w:ilvl w:val="0"/>
          <w:numId w:val="6"/>
        </w:numPr>
        <w:snapToGrid w:val="0"/>
        <w:jc w:val="both"/>
        <w:rPr>
          <w:sz w:val="20"/>
          <w:szCs w:val="20"/>
        </w:rPr>
      </w:pPr>
      <w:proofErr w:type="spellStart"/>
      <w:r w:rsidRPr="002763D5">
        <w:rPr>
          <w:sz w:val="20"/>
          <w:szCs w:val="20"/>
        </w:rPr>
        <w:t>T</w:t>
      </w:r>
      <w:r w:rsidR="00F553D6" w:rsidRPr="002763D5">
        <w:rPr>
          <w:sz w:val="20"/>
          <w:szCs w:val="20"/>
        </w:rPr>
        <w:t>allaei</w:t>
      </w:r>
      <w:proofErr w:type="spellEnd"/>
      <w:r w:rsidR="00F553D6" w:rsidRPr="002763D5">
        <w:rPr>
          <w:sz w:val="20"/>
          <w:szCs w:val="20"/>
        </w:rPr>
        <w:t xml:space="preserve">, A. and </w:t>
      </w:r>
      <w:proofErr w:type="spellStart"/>
      <w:r w:rsidR="00F553D6" w:rsidRPr="002763D5">
        <w:rPr>
          <w:sz w:val="20"/>
          <w:szCs w:val="20"/>
        </w:rPr>
        <w:t>Mohammadnejad</w:t>
      </w:r>
      <w:proofErr w:type="spellEnd"/>
      <w:r w:rsidR="00F553D6" w:rsidRPr="002763D5">
        <w:rPr>
          <w:sz w:val="20"/>
          <w:szCs w:val="20"/>
        </w:rPr>
        <w:t>, A. (2006). "Burnout in health care workers Mashhad"</w:t>
      </w:r>
      <w:r w:rsidR="002763D5">
        <w:rPr>
          <w:sz w:val="20"/>
          <w:szCs w:val="20"/>
        </w:rPr>
        <w:t>.</w:t>
      </w:r>
      <w:r w:rsidR="00F553D6" w:rsidRPr="002763D5">
        <w:rPr>
          <w:sz w:val="20"/>
          <w:szCs w:val="20"/>
        </w:rPr>
        <w:t xml:space="preserve"> Health Foundation, 2006, pp, 35-36</w:t>
      </w:r>
    </w:p>
    <w:p w:rsidR="002A2E35" w:rsidRPr="002763D5" w:rsidRDefault="002A2E35" w:rsidP="002A2E35">
      <w:pPr>
        <w:numPr>
          <w:ilvl w:val="0"/>
          <w:numId w:val="6"/>
        </w:numPr>
        <w:snapToGrid w:val="0"/>
        <w:jc w:val="both"/>
        <w:rPr>
          <w:sz w:val="20"/>
          <w:szCs w:val="20"/>
        </w:rPr>
      </w:pPr>
      <w:proofErr w:type="spellStart"/>
      <w:r w:rsidRPr="002763D5">
        <w:rPr>
          <w:sz w:val="20"/>
          <w:szCs w:val="20"/>
        </w:rPr>
        <w:t>G</w:t>
      </w:r>
      <w:r w:rsidR="00F553D6" w:rsidRPr="002763D5">
        <w:rPr>
          <w:sz w:val="20"/>
          <w:szCs w:val="20"/>
        </w:rPr>
        <w:t>unnarsdorsdottir</w:t>
      </w:r>
      <w:proofErr w:type="spellEnd"/>
      <w:r w:rsidR="00F553D6" w:rsidRPr="002763D5">
        <w:rPr>
          <w:sz w:val="20"/>
          <w:szCs w:val="20"/>
        </w:rPr>
        <w:t xml:space="preserve"> S ، </w:t>
      </w:r>
      <w:proofErr w:type="spellStart"/>
      <w:r w:rsidR="00F553D6" w:rsidRPr="002763D5">
        <w:rPr>
          <w:sz w:val="20"/>
          <w:szCs w:val="20"/>
        </w:rPr>
        <w:t>clerke</w:t>
      </w:r>
      <w:proofErr w:type="spellEnd"/>
      <w:r w:rsidR="00F553D6" w:rsidRPr="002763D5">
        <w:rPr>
          <w:sz w:val="20"/>
          <w:szCs w:val="20"/>
        </w:rPr>
        <w:t xml:space="preserve"> </w:t>
      </w:r>
      <w:proofErr w:type="spellStart"/>
      <w:r w:rsidR="00F553D6" w:rsidRPr="002763D5">
        <w:rPr>
          <w:sz w:val="20"/>
          <w:szCs w:val="20"/>
        </w:rPr>
        <w:t>SP,raffery</w:t>
      </w:r>
      <w:proofErr w:type="spellEnd"/>
      <w:r w:rsidR="00F553D6" w:rsidRPr="002763D5">
        <w:rPr>
          <w:sz w:val="20"/>
          <w:szCs w:val="20"/>
        </w:rPr>
        <w:t xml:space="preserve"> AM,</w:t>
      </w:r>
      <w:r w:rsidR="002763D5">
        <w:rPr>
          <w:rFonts w:hint="eastAsia"/>
          <w:sz w:val="20"/>
          <w:szCs w:val="20"/>
          <w:lang w:eastAsia="zh-CN"/>
        </w:rPr>
        <w:t xml:space="preserve"> </w:t>
      </w:r>
      <w:proofErr w:type="spellStart"/>
      <w:r w:rsidR="00F553D6" w:rsidRPr="002763D5">
        <w:rPr>
          <w:sz w:val="20"/>
          <w:szCs w:val="20"/>
        </w:rPr>
        <w:t>Nutbeam</w:t>
      </w:r>
      <w:proofErr w:type="spellEnd"/>
      <w:r w:rsidR="002763D5">
        <w:rPr>
          <w:sz w:val="20"/>
          <w:szCs w:val="20"/>
        </w:rPr>
        <w:t xml:space="preserve"> </w:t>
      </w:r>
      <w:r w:rsidR="00F553D6" w:rsidRPr="002763D5">
        <w:rPr>
          <w:sz w:val="20"/>
          <w:szCs w:val="20"/>
        </w:rPr>
        <w:t>D. front-Line management,</w:t>
      </w:r>
      <w:r w:rsidR="002763D5">
        <w:rPr>
          <w:rFonts w:hint="eastAsia"/>
          <w:sz w:val="20"/>
          <w:szCs w:val="20"/>
          <w:lang w:eastAsia="zh-CN"/>
        </w:rPr>
        <w:t xml:space="preserve"> </w:t>
      </w:r>
      <w:r w:rsidR="00F553D6" w:rsidRPr="002763D5">
        <w:rPr>
          <w:sz w:val="20"/>
          <w:szCs w:val="20"/>
        </w:rPr>
        <w:t>staffing and nurse-doctor relationships as predictors</w:t>
      </w:r>
      <w:r w:rsidR="002763D5">
        <w:rPr>
          <w:sz w:val="20"/>
          <w:szCs w:val="20"/>
        </w:rPr>
        <w:t xml:space="preserve"> </w:t>
      </w:r>
      <w:r w:rsidR="00F553D6" w:rsidRPr="002763D5">
        <w:rPr>
          <w:sz w:val="20"/>
          <w:szCs w:val="20"/>
        </w:rPr>
        <w:t xml:space="preserve">of nurse and patient </w:t>
      </w:r>
      <w:proofErr w:type="spellStart"/>
      <w:r w:rsidR="00F553D6" w:rsidRPr="002763D5">
        <w:rPr>
          <w:sz w:val="20"/>
          <w:szCs w:val="20"/>
        </w:rPr>
        <w:t>outcomes.A</w:t>
      </w:r>
      <w:proofErr w:type="spellEnd"/>
      <w:r w:rsidR="00F553D6" w:rsidRPr="002763D5">
        <w:rPr>
          <w:sz w:val="20"/>
          <w:szCs w:val="20"/>
        </w:rPr>
        <w:t xml:space="preserve"> survey of Icelandic hospital nurses.</w:t>
      </w:r>
      <w:r w:rsidR="002763D5">
        <w:rPr>
          <w:sz w:val="20"/>
          <w:szCs w:val="20"/>
        </w:rPr>
        <w:t xml:space="preserve"> </w:t>
      </w:r>
      <w:proofErr w:type="spellStart"/>
      <w:r w:rsidR="00F553D6" w:rsidRPr="002763D5">
        <w:rPr>
          <w:sz w:val="20"/>
          <w:szCs w:val="20"/>
        </w:rPr>
        <w:t>Int</w:t>
      </w:r>
      <w:proofErr w:type="spellEnd"/>
      <w:r w:rsidR="00F553D6" w:rsidRPr="002763D5">
        <w:rPr>
          <w:sz w:val="20"/>
          <w:szCs w:val="20"/>
        </w:rPr>
        <w:t xml:space="preserve"> j </w:t>
      </w:r>
      <w:proofErr w:type="spellStart"/>
      <w:r w:rsidR="00F553D6" w:rsidRPr="002763D5">
        <w:rPr>
          <w:sz w:val="20"/>
          <w:szCs w:val="20"/>
        </w:rPr>
        <w:t>Nurs</w:t>
      </w:r>
      <w:proofErr w:type="spellEnd"/>
      <w:r w:rsidR="00F553D6" w:rsidRPr="002763D5">
        <w:rPr>
          <w:sz w:val="20"/>
          <w:szCs w:val="20"/>
        </w:rPr>
        <w:t xml:space="preserve"> stud.</w:t>
      </w:r>
      <w:r w:rsidR="002763D5">
        <w:rPr>
          <w:rFonts w:hint="eastAsia"/>
          <w:sz w:val="20"/>
          <w:szCs w:val="20"/>
          <w:lang w:eastAsia="zh-CN"/>
        </w:rPr>
        <w:t xml:space="preserve"> </w:t>
      </w:r>
      <w:r w:rsidR="00F553D6" w:rsidRPr="002763D5">
        <w:rPr>
          <w:sz w:val="20"/>
          <w:szCs w:val="20"/>
        </w:rPr>
        <w:t>1569 jul</w:t>
      </w:r>
      <w:proofErr w:type="gramStart"/>
      <w:r w:rsidR="00F553D6" w:rsidRPr="002763D5">
        <w:rPr>
          <w:sz w:val="20"/>
          <w:szCs w:val="20"/>
        </w:rPr>
        <w:t>;46</w:t>
      </w:r>
      <w:proofErr w:type="gramEnd"/>
      <w:r w:rsidR="00F553D6" w:rsidRPr="002763D5">
        <w:rPr>
          <w:sz w:val="20"/>
          <w:szCs w:val="20"/>
        </w:rPr>
        <w:t>(7):920-7.</w:t>
      </w:r>
    </w:p>
    <w:p w:rsidR="002A2E35" w:rsidRPr="002763D5" w:rsidRDefault="009E3803" w:rsidP="002A2E35">
      <w:pPr>
        <w:numPr>
          <w:ilvl w:val="0"/>
          <w:numId w:val="6"/>
        </w:numPr>
        <w:snapToGrid w:val="0"/>
        <w:jc w:val="both"/>
        <w:rPr>
          <w:sz w:val="20"/>
          <w:szCs w:val="20"/>
        </w:rPr>
      </w:pPr>
      <w:proofErr w:type="spellStart"/>
      <w:r w:rsidRPr="002763D5">
        <w:rPr>
          <w:rFonts w:hint="eastAsia"/>
          <w:sz w:val="20"/>
          <w:szCs w:val="20"/>
          <w:lang w:eastAsia="zh-CN"/>
        </w:rPr>
        <w:t>A</w:t>
      </w:r>
      <w:r w:rsidR="00F553D6" w:rsidRPr="002763D5">
        <w:rPr>
          <w:sz w:val="20"/>
          <w:szCs w:val="20"/>
        </w:rPr>
        <w:t>gostinelli</w:t>
      </w:r>
      <w:proofErr w:type="spellEnd"/>
      <w:r w:rsidR="00F553D6" w:rsidRPr="002763D5">
        <w:rPr>
          <w:sz w:val="20"/>
          <w:szCs w:val="20"/>
        </w:rPr>
        <w:t xml:space="preserve"> </w:t>
      </w:r>
      <w:proofErr w:type="spellStart"/>
      <w:r w:rsidR="00F553D6" w:rsidRPr="002763D5">
        <w:rPr>
          <w:sz w:val="20"/>
          <w:szCs w:val="20"/>
        </w:rPr>
        <w:t>A,la</w:t>
      </w:r>
      <w:proofErr w:type="spellEnd"/>
      <w:r w:rsidR="00F553D6" w:rsidRPr="002763D5">
        <w:rPr>
          <w:sz w:val="20"/>
          <w:szCs w:val="20"/>
        </w:rPr>
        <w:t xml:space="preserve"> Torre6,</w:t>
      </w:r>
      <w:r w:rsidR="002763D5">
        <w:rPr>
          <w:rFonts w:hint="eastAsia"/>
          <w:sz w:val="20"/>
          <w:szCs w:val="20"/>
          <w:lang w:eastAsia="zh-CN"/>
        </w:rPr>
        <w:t xml:space="preserve"> </w:t>
      </w:r>
      <w:proofErr w:type="spellStart"/>
      <w:r w:rsidR="00F553D6" w:rsidRPr="002763D5">
        <w:rPr>
          <w:sz w:val="20"/>
          <w:szCs w:val="20"/>
        </w:rPr>
        <w:t>Bevilecaqa</w:t>
      </w:r>
      <w:proofErr w:type="spellEnd"/>
      <w:r w:rsidR="00F553D6" w:rsidRPr="002763D5">
        <w:rPr>
          <w:sz w:val="20"/>
          <w:szCs w:val="20"/>
        </w:rPr>
        <w:t xml:space="preserve"> </w:t>
      </w:r>
      <w:proofErr w:type="spellStart"/>
      <w:r w:rsidR="00F553D6" w:rsidRPr="002763D5">
        <w:rPr>
          <w:sz w:val="20"/>
          <w:szCs w:val="20"/>
        </w:rPr>
        <w:t>F,chiaradia</w:t>
      </w:r>
      <w:proofErr w:type="spellEnd"/>
      <w:r w:rsidR="00F553D6" w:rsidRPr="002763D5">
        <w:rPr>
          <w:sz w:val="20"/>
          <w:szCs w:val="20"/>
        </w:rPr>
        <w:t xml:space="preserve"> G,</w:t>
      </w:r>
      <w:r w:rsidR="002763D5">
        <w:rPr>
          <w:rFonts w:hint="eastAsia"/>
          <w:sz w:val="20"/>
          <w:szCs w:val="20"/>
          <w:lang w:eastAsia="zh-CN"/>
        </w:rPr>
        <w:t xml:space="preserve"> </w:t>
      </w:r>
      <w:proofErr w:type="spellStart"/>
      <w:r w:rsidR="00F553D6" w:rsidRPr="002763D5">
        <w:rPr>
          <w:sz w:val="20"/>
          <w:szCs w:val="20"/>
        </w:rPr>
        <w:t>spcchia</w:t>
      </w:r>
      <w:proofErr w:type="spellEnd"/>
      <w:r w:rsidR="00F553D6" w:rsidRPr="002763D5">
        <w:rPr>
          <w:sz w:val="20"/>
          <w:szCs w:val="20"/>
        </w:rPr>
        <w:t xml:space="preserve"> ML,</w:t>
      </w:r>
      <w:r w:rsidR="002763D5">
        <w:rPr>
          <w:rFonts w:hint="eastAsia"/>
          <w:sz w:val="20"/>
          <w:szCs w:val="20"/>
          <w:lang w:eastAsia="zh-CN"/>
        </w:rPr>
        <w:t xml:space="preserve"> </w:t>
      </w:r>
      <w:proofErr w:type="spellStart"/>
      <w:r w:rsidR="00F553D6" w:rsidRPr="002763D5">
        <w:rPr>
          <w:sz w:val="20"/>
          <w:szCs w:val="20"/>
        </w:rPr>
        <w:t>Riccardi</w:t>
      </w:r>
      <w:proofErr w:type="spellEnd"/>
      <w:r w:rsidR="00F553D6" w:rsidRPr="002763D5">
        <w:rPr>
          <w:sz w:val="20"/>
          <w:szCs w:val="20"/>
        </w:rPr>
        <w:t xml:space="preserve"> W, Burnout in heal</w:t>
      </w:r>
      <w:r w:rsidR="002763D5">
        <w:rPr>
          <w:rFonts w:hint="eastAsia"/>
          <w:sz w:val="20"/>
          <w:szCs w:val="20"/>
          <w:lang w:eastAsia="zh-CN"/>
        </w:rPr>
        <w:t xml:space="preserve"> </w:t>
      </w:r>
      <w:proofErr w:type="spellStart"/>
      <w:r w:rsidR="00F553D6" w:rsidRPr="002763D5">
        <w:rPr>
          <w:sz w:val="20"/>
          <w:szCs w:val="20"/>
        </w:rPr>
        <w:t>Thcers.of</w:t>
      </w:r>
      <w:proofErr w:type="spellEnd"/>
      <w:r w:rsidR="00F553D6" w:rsidRPr="002763D5">
        <w:rPr>
          <w:sz w:val="20"/>
          <w:szCs w:val="20"/>
        </w:rPr>
        <w:t xml:space="preserve"> </w:t>
      </w:r>
      <w:proofErr w:type="spellStart"/>
      <w:r w:rsidR="00F553D6" w:rsidRPr="002763D5">
        <w:rPr>
          <w:sz w:val="20"/>
          <w:szCs w:val="20"/>
        </w:rPr>
        <w:t>auniversity</w:t>
      </w:r>
      <w:proofErr w:type="spellEnd"/>
      <w:r w:rsidR="00F553D6" w:rsidRPr="002763D5">
        <w:rPr>
          <w:sz w:val="20"/>
          <w:szCs w:val="20"/>
        </w:rPr>
        <w:t xml:space="preserve"> teaching hospital in Rome,</w:t>
      </w:r>
      <w:r w:rsidR="002763D5">
        <w:rPr>
          <w:rFonts w:hint="eastAsia"/>
          <w:sz w:val="20"/>
          <w:szCs w:val="20"/>
          <w:lang w:eastAsia="zh-CN"/>
        </w:rPr>
        <w:t xml:space="preserve"> </w:t>
      </w:r>
      <w:r w:rsidR="00F553D6" w:rsidRPr="002763D5">
        <w:rPr>
          <w:sz w:val="20"/>
          <w:szCs w:val="20"/>
        </w:rPr>
        <w:t>Italy :a cross-</w:t>
      </w:r>
      <w:proofErr w:type="spellStart"/>
      <w:r w:rsidR="00F553D6" w:rsidRPr="002763D5">
        <w:rPr>
          <w:sz w:val="20"/>
          <w:szCs w:val="20"/>
        </w:rPr>
        <w:t>setional</w:t>
      </w:r>
      <w:proofErr w:type="spellEnd"/>
      <w:r w:rsidR="00F553D6" w:rsidRPr="002763D5">
        <w:rPr>
          <w:sz w:val="20"/>
          <w:szCs w:val="20"/>
        </w:rPr>
        <w:t xml:space="preserve"> </w:t>
      </w:r>
      <w:proofErr w:type="spellStart"/>
      <w:r w:rsidR="00F553D6" w:rsidRPr="002763D5">
        <w:rPr>
          <w:sz w:val="20"/>
          <w:szCs w:val="20"/>
        </w:rPr>
        <w:t>study</w:t>
      </w:r>
      <w:r w:rsidR="002763D5">
        <w:rPr>
          <w:sz w:val="20"/>
          <w:szCs w:val="20"/>
        </w:rPr>
        <w:t>.</w:t>
      </w:r>
      <w:r w:rsidR="00F553D6" w:rsidRPr="002763D5">
        <w:rPr>
          <w:sz w:val="20"/>
          <w:szCs w:val="20"/>
        </w:rPr>
        <w:t>Ig</w:t>
      </w:r>
      <w:proofErr w:type="spellEnd"/>
      <w:r w:rsidR="00F553D6" w:rsidRPr="002763D5">
        <w:rPr>
          <w:sz w:val="20"/>
          <w:szCs w:val="20"/>
        </w:rPr>
        <w:t xml:space="preserve"> </w:t>
      </w:r>
      <w:proofErr w:type="spellStart"/>
      <w:r w:rsidR="00F553D6" w:rsidRPr="002763D5">
        <w:rPr>
          <w:sz w:val="20"/>
          <w:szCs w:val="20"/>
        </w:rPr>
        <w:t>sanita</w:t>
      </w:r>
      <w:proofErr w:type="spellEnd"/>
      <w:r w:rsidR="002763D5">
        <w:rPr>
          <w:sz w:val="20"/>
          <w:szCs w:val="20"/>
        </w:rPr>
        <w:t xml:space="preserve"> </w:t>
      </w:r>
      <w:r w:rsidR="00F553D6" w:rsidRPr="002763D5">
        <w:rPr>
          <w:sz w:val="20"/>
          <w:szCs w:val="20"/>
        </w:rPr>
        <w:t>pub* 1568 jon:64(1):41-52.</w:t>
      </w:r>
    </w:p>
    <w:p w:rsidR="002A2E35" w:rsidRPr="002763D5" w:rsidRDefault="002A2E35" w:rsidP="002A2E35">
      <w:pPr>
        <w:numPr>
          <w:ilvl w:val="0"/>
          <w:numId w:val="6"/>
        </w:numPr>
        <w:snapToGrid w:val="0"/>
        <w:ind w:left="425" w:hanging="425"/>
        <w:jc w:val="both"/>
        <w:rPr>
          <w:sz w:val="20"/>
          <w:szCs w:val="20"/>
        </w:rPr>
      </w:pPr>
      <w:proofErr w:type="spellStart"/>
      <w:r w:rsidRPr="002763D5">
        <w:rPr>
          <w:sz w:val="20"/>
          <w:szCs w:val="20"/>
        </w:rPr>
        <w:t>A</w:t>
      </w:r>
      <w:r w:rsidR="00F553D6" w:rsidRPr="002763D5">
        <w:rPr>
          <w:sz w:val="20"/>
          <w:szCs w:val="20"/>
        </w:rPr>
        <w:t>bdi</w:t>
      </w:r>
      <w:proofErr w:type="spellEnd"/>
      <w:r w:rsidR="00F553D6" w:rsidRPr="002763D5">
        <w:rPr>
          <w:sz w:val="20"/>
          <w:szCs w:val="20"/>
        </w:rPr>
        <w:t xml:space="preserve">, F., </w:t>
      </w:r>
      <w:proofErr w:type="spellStart"/>
      <w:r w:rsidR="00F553D6" w:rsidRPr="002763D5">
        <w:rPr>
          <w:sz w:val="20"/>
          <w:szCs w:val="20"/>
        </w:rPr>
        <w:t>Kaviyani</w:t>
      </w:r>
      <w:proofErr w:type="spellEnd"/>
      <w:r w:rsidR="00F553D6" w:rsidRPr="002763D5">
        <w:rPr>
          <w:sz w:val="20"/>
          <w:szCs w:val="20"/>
        </w:rPr>
        <w:t xml:space="preserve">, H. and </w:t>
      </w:r>
      <w:proofErr w:type="spellStart"/>
      <w:r w:rsidR="00F553D6" w:rsidRPr="002763D5">
        <w:rPr>
          <w:sz w:val="20"/>
          <w:szCs w:val="20"/>
        </w:rPr>
        <w:t>Khaghanizadeh</w:t>
      </w:r>
      <w:proofErr w:type="spellEnd"/>
      <w:r w:rsidR="00F553D6" w:rsidRPr="002763D5">
        <w:rPr>
          <w:sz w:val="20"/>
          <w:szCs w:val="20"/>
        </w:rPr>
        <w:t xml:space="preserve">, M. (2006). "The relationship between burnout and mental health among nurses Tehran University of Medical Sciences". </w:t>
      </w:r>
      <w:proofErr w:type="spellStart"/>
      <w:r w:rsidR="00F553D6" w:rsidRPr="002763D5">
        <w:rPr>
          <w:sz w:val="20"/>
          <w:szCs w:val="20"/>
        </w:rPr>
        <w:t>Bahman</w:t>
      </w:r>
      <w:proofErr w:type="spellEnd"/>
      <w:r w:rsidR="00F553D6" w:rsidRPr="002763D5">
        <w:rPr>
          <w:sz w:val="20"/>
          <w:szCs w:val="20"/>
        </w:rPr>
        <w:t>, 2006. Page 65 -75</w:t>
      </w:r>
      <w:r w:rsidR="002763D5" w:rsidRPr="002763D5">
        <w:rPr>
          <w:rFonts w:hint="eastAsia"/>
          <w:sz w:val="20"/>
          <w:szCs w:val="20"/>
          <w:lang w:eastAsia="zh-CN"/>
        </w:rPr>
        <w:t xml:space="preserve">. </w:t>
      </w:r>
    </w:p>
    <w:p w:rsidR="002A2E35" w:rsidRPr="002763D5" w:rsidRDefault="002A2E35" w:rsidP="002A2E35">
      <w:pPr>
        <w:snapToGrid w:val="0"/>
        <w:ind w:left="425" w:hanging="425"/>
        <w:jc w:val="both"/>
        <w:rPr>
          <w:sz w:val="20"/>
          <w:szCs w:val="20"/>
        </w:rPr>
        <w:sectPr w:rsidR="002A2E35" w:rsidRPr="002763D5" w:rsidSect="002763D5">
          <w:headerReference w:type="default" r:id="rId31"/>
          <w:footerReference w:type="even" r:id="rId32"/>
          <w:footerReference w:type="default" r:id="rId33"/>
          <w:footnotePr>
            <w:pos w:val="beneathText"/>
          </w:footnotePr>
          <w:type w:val="continuous"/>
          <w:pgSz w:w="12240" w:h="15840" w:code="1"/>
          <w:pgMar w:top="1440" w:right="1440" w:bottom="1440" w:left="1440" w:header="720" w:footer="720" w:gutter="0"/>
          <w:cols w:num="2" w:space="576"/>
          <w:docGrid w:linePitch="360"/>
        </w:sectPr>
      </w:pPr>
    </w:p>
    <w:p w:rsidR="002A2E35" w:rsidRPr="002763D5" w:rsidRDefault="002A2E35" w:rsidP="002A2E35">
      <w:pPr>
        <w:snapToGrid w:val="0"/>
        <w:ind w:left="425" w:hanging="425"/>
        <w:jc w:val="both"/>
        <w:rPr>
          <w:sz w:val="20"/>
          <w:szCs w:val="20"/>
        </w:rPr>
      </w:pPr>
    </w:p>
    <w:p w:rsidR="002A2E35" w:rsidRPr="002763D5" w:rsidRDefault="002A2E35" w:rsidP="002A2E35">
      <w:pPr>
        <w:snapToGrid w:val="0"/>
        <w:ind w:left="425" w:hanging="425"/>
        <w:jc w:val="both"/>
        <w:rPr>
          <w:sz w:val="20"/>
          <w:szCs w:val="20"/>
          <w:lang w:eastAsia="zh-CN"/>
        </w:rPr>
      </w:pPr>
    </w:p>
    <w:p w:rsidR="002A2E35" w:rsidRPr="002763D5" w:rsidRDefault="002A2E35" w:rsidP="002A2E35">
      <w:pPr>
        <w:snapToGrid w:val="0"/>
        <w:ind w:left="425" w:hanging="425"/>
        <w:jc w:val="both"/>
        <w:rPr>
          <w:sz w:val="20"/>
          <w:szCs w:val="20"/>
          <w:lang w:eastAsia="zh-CN"/>
        </w:rPr>
      </w:pPr>
    </w:p>
    <w:p w:rsidR="004D0467" w:rsidRPr="002763D5" w:rsidRDefault="002A2E35" w:rsidP="002A2E35">
      <w:pPr>
        <w:snapToGrid w:val="0"/>
        <w:ind w:left="425" w:hanging="425"/>
        <w:jc w:val="both"/>
        <w:rPr>
          <w:sz w:val="20"/>
          <w:szCs w:val="20"/>
        </w:rPr>
      </w:pPr>
      <w:r w:rsidRPr="002763D5">
        <w:rPr>
          <w:sz w:val="20"/>
          <w:szCs w:val="20"/>
        </w:rPr>
        <w:t>5/29/2016</w:t>
      </w:r>
    </w:p>
    <w:sectPr w:rsidR="004D0467" w:rsidRPr="002763D5" w:rsidSect="00E43474">
      <w:headerReference w:type="default" r:id="rId34"/>
      <w:footerReference w:type="even" r:id="rId35"/>
      <w:footerReference w:type="default" r:id="rId36"/>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368" w:rsidRDefault="00B86368">
      <w:r>
        <w:separator/>
      </w:r>
    </w:p>
  </w:endnote>
  <w:endnote w:type="continuationSeparator" w:id="0">
    <w:p w:rsidR="00B86368" w:rsidRDefault="00B86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35" w:rsidRDefault="007552CE" w:rsidP="00B3167C">
    <w:pPr>
      <w:pStyle w:val="Footer"/>
      <w:framePr w:wrap="around" w:vAnchor="text" w:hAnchor="margin" w:xAlign="center" w:y="1"/>
      <w:rPr>
        <w:rStyle w:val="PageNumber"/>
      </w:rPr>
    </w:pPr>
    <w:r>
      <w:rPr>
        <w:rStyle w:val="PageNumber"/>
      </w:rPr>
      <w:fldChar w:fldCharType="begin"/>
    </w:r>
    <w:r w:rsidR="002A2E35">
      <w:rPr>
        <w:rStyle w:val="PageNumber"/>
      </w:rPr>
      <w:instrText xml:space="preserve">PAGE  </w:instrText>
    </w:r>
    <w:r>
      <w:rPr>
        <w:rStyle w:val="PageNumber"/>
      </w:rPr>
      <w:fldChar w:fldCharType="end"/>
    </w:r>
  </w:p>
  <w:p w:rsidR="002A2E35" w:rsidRDefault="002A2E35"/>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35" w:rsidRPr="002A2E35" w:rsidRDefault="007552CE" w:rsidP="002A2E35">
    <w:pPr>
      <w:jc w:val="center"/>
      <w:rPr>
        <w:sz w:val="20"/>
      </w:rPr>
    </w:pPr>
    <w:r w:rsidRPr="002A2E35">
      <w:rPr>
        <w:sz w:val="20"/>
      </w:rPr>
      <w:fldChar w:fldCharType="begin"/>
    </w:r>
    <w:r w:rsidR="002A2E35" w:rsidRPr="002A2E35">
      <w:rPr>
        <w:sz w:val="20"/>
      </w:rPr>
      <w:instrText xml:space="preserve"> page </w:instrText>
    </w:r>
    <w:r w:rsidRPr="002A2E35">
      <w:rPr>
        <w:sz w:val="20"/>
      </w:rPr>
      <w:fldChar w:fldCharType="separate"/>
    </w:r>
    <w:r w:rsidR="002A2E35">
      <w:rPr>
        <w:noProof/>
        <w:sz w:val="20"/>
      </w:rPr>
      <w:t>1</w:t>
    </w:r>
    <w:r w:rsidRPr="002A2E35">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35" w:rsidRDefault="007552CE" w:rsidP="00B3167C">
    <w:pPr>
      <w:pStyle w:val="Footer"/>
      <w:framePr w:wrap="around" w:vAnchor="text" w:hAnchor="margin" w:xAlign="center" w:y="1"/>
      <w:rPr>
        <w:rStyle w:val="PageNumber"/>
      </w:rPr>
    </w:pPr>
    <w:r>
      <w:rPr>
        <w:rStyle w:val="PageNumber"/>
      </w:rPr>
      <w:fldChar w:fldCharType="begin"/>
    </w:r>
    <w:r w:rsidR="002A2E35">
      <w:rPr>
        <w:rStyle w:val="PageNumber"/>
      </w:rPr>
      <w:instrText xml:space="preserve">PAGE  </w:instrText>
    </w:r>
    <w:r>
      <w:rPr>
        <w:rStyle w:val="PageNumber"/>
      </w:rPr>
      <w:fldChar w:fldCharType="end"/>
    </w:r>
  </w:p>
  <w:p w:rsidR="002A2E35" w:rsidRDefault="002A2E35"/>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35" w:rsidRPr="002A2E35" w:rsidRDefault="007552CE" w:rsidP="002A2E35">
    <w:pPr>
      <w:jc w:val="center"/>
      <w:rPr>
        <w:sz w:val="20"/>
      </w:rPr>
    </w:pPr>
    <w:r w:rsidRPr="002A2E35">
      <w:rPr>
        <w:sz w:val="20"/>
      </w:rPr>
      <w:fldChar w:fldCharType="begin"/>
    </w:r>
    <w:r w:rsidR="002A2E35" w:rsidRPr="002A2E35">
      <w:rPr>
        <w:sz w:val="20"/>
      </w:rPr>
      <w:instrText xml:space="preserve"> page </w:instrText>
    </w:r>
    <w:r w:rsidRPr="002A2E35">
      <w:rPr>
        <w:sz w:val="20"/>
      </w:rPr>
      <w:fldChar w:fldCharType="separate"/>
    </w:r>
    <w:r w:rsidR="002A2E35">
      <w:rPr>
        <w:noProof/>
        <w:sz w:val="20"/>
      </w:rPr>
      <w:t>5</w:t>
    </w:r>
    <w:r w:rsidRPr="002A2E35">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35" w:rsidRDefault="007552CE" w:rsidP="00B3167C">
    <w:pPr>
      <w:pStyle w:val="Footer"/>
      <w:framePr w:wrap="around" w:vAnchor="text" w:hAnchor="margin" w:xAlign="center" w:y="1"/>
      <w:rPr>
        <w:rStyle w:val="PageNumber"/>
      </w:rPr>
    </w:pPr>
    <w:r>
      <w:rPr>
        <w:rStyle w:val="PageNumber"/>
      </w:rPr>
      <w:fldChar w:fldCharType="begin"/>
    </w:r>
    <w:r w:rsidR="002A2E35">
      <w:rPr>
        <w:rStyle w:val="PageNumber"/>
      </w:rPr>
      <w:instrText xml:space="preserve">PAGE  </w:instrText>
    </w:r>
    <w:r>
      <w:rPr>
        <w:rStyle w:val="PageNumber"/>
      </w:rPr>
      <w:fldChar w:fldCharType="end"/>
    </w:r>
  </w:p>
  <w:p w:rsidR="002A2E35" w:rsidRDefault="002A2E35"/>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35" w:rsidRPr="002A2E35" w:rsidRDefault="007552CE" w:rsidP="002A2E35">
    <w:pPr>
      <w:jc w:val="center"/>
      <w:rPr>
        <w:sz w:val="20"/>
      </w:rPr>
    </w:pPr>
    <w:r w:rsidRPr="002A2E35">
      <w:rPr>
        <w:sz w:val="20"/>
      </w:rPr>
      <w:fldChar w:fldCharType="begin"/>
    </w:r>
    <w:r w:rsidR="002A2E35" w:rsidRPr="002A2E35">
      <w:rPr>
        <w:sz w:val="20"/>
      </w:rPr>
      <w:instrText xml:space="preserve"> page </w:instrText>
    </w:r>
    <w:r w:rsidRPr="002A2E35">
      <w:rPr>
        <w:sz w:val="20"/>
      </w:rPr>
      <w:fldChar w:fldCharType="separate"/>
    </w:r>
    <w:r w:rsidR="002A2E35">
      <w:rPr>
        <w:noProof/>
        <w:sz w:val="20"/>
      </w:rPr>
      <w:t>5</w:t>
    </w:r>
    <w:r w:rsidRPr="002A2E35">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35" w:rsidRDefault="007552CE" w:rsidP="00B3167C">
    <w:pPr>
      <w:pStyle w:val="Footer"/>
      <w:framePr w:wrap="around" w:vAnchor="text" w:hAnchor="margin" w:xAlign="center" w:y="1"/>
      <w:rPr>
        <w:rStyle w:val="PageNumber"/>
      </w:rPr>
    </w:pPr>
    <w:r>
      <w:rPr>
        <w:rStyle w:val="PageNumber"/>
      </w:rPr>
      <w:fldChar w:fldCharType="begin"/>
    </w:r>
    <w:r w:rsidR="002A2E35">
      <w:rPr>
        <w:rStyle w:val="PageNumber"/>
      </w:rPr>
      <w:instrText xml:space="preserve">PAGE  </w:instrText>
    </w:r>
    <w:r>
      <w:rPr>
        <w:rStyle w:val="PageNumber"/>
      </w:rPr>
      <w:fldChar w:fldCharType="end"/>
    </w:r>
  </w:p>
  <w:p w:rsidR="002A2E35" w:rsidRDefault="002A2E35"/>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35" w:rsidRPr="002A2E35" w:rsidRDefault="007552CE" w:rsidP="002A2E35">
    <w:pPr>
      <w:jc w:val="center"/>
      <w:rPr>
        <w:sz w:val="20"/>
      </w:rPr>
    </w:pPr>
    <w:r w:rsidRPr="002A2E35">
      <w:rPr>
        <w:sz w:val="20"/>
      </w:rPr>
      <w:fldChar w:fldCharType="begin"/>
    </w:r>
    <w:r w:rsidR="002A2E35" w:rsidRPr="002A2E35">
      <w:rPr>
        <w:sz w:val="20"/>
      </w:rPr>
      <w:instrText xml:space="preserve"> page </w:instrText>
    </w:r>
    <w:r w:rsidRPr="002A2E35">
      <w:rPr>
        <w:sz w:val="20"/>
      </w:rPr>
      <w:fldChar w:fldCharType="separate"/>
    </w:r>
    <w:r w:rsidR="002763D5">
      <w:rPr>
        <w:noProof/>
        <w:sz w:val="20"/>
      </w:rPr>
      <w:t>22</w:t>
    </w:r>
    <w:r w:rsidRPr="002A2E35">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7552CE"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2A2E35" w:rsidRDefault="007552CE" w:rsidP="002A2E35">
    <w:pPr>
      <w:jc w:val="center"/>
      <w:rPr>
        <w:sz w:val="20"/>
      </w:rPr>
    </w:pPr>
    <w:r w:rsidRPr="002A2E35">
      <w:rPr>
        <w:sz w:val="20"/>
      </w:rPr>
      <w:fldChar w:fldCharType="begin"/>
    </w:r>
    <w:r w:rsidR="002A2E35" w:rsidRPr="002A2E35">
      <w:rPr>
        <w:sz w:val="20"/>
      </w:rPr>
      <w:instrText xml:space="preserve"> page </w:instrText>
    </w:r>
    <w:r w:rsidRPr="002A2E35">
      <w:rPr>
        <w:sz w:val="20"/>
      </w:rPr>
      <w:fldChar w:fldCharType="separate"/>
    </w:r>
    <w:r w:rsidR="002A2E35">
      <w:rPr>
        <w:noProof/>
        <w:sz w:val="20"/>
      </w:rPr>
      <w:t>6</w:t>
    </w:r>
    <w:r w:rsidRPr="002A2E35">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35" w:rsidRPr="002A2E35" w:rsidRDefault="007552CE" w:rsidP="002A2E35">
    <w:pPr>
      <w:jc w:val="center"/>
      <w:rPr>
        <w:sz w:val="20"/>
      </w:rPr>
    </w:pPr>
    <w:r w:rsidRPr="002A2E35">
      <w:rPr>
        <w:sz w:val="20"/>
      </w:rPr>
      <w:fldChar w:fldCharType="begin"/>
    </w:r>
    <w:r w:rsidR="002A2E35" w:rsidRPr="002A2E35">
      <w:rPr>
        <w:sz w:val="20"/>
      </w:rPr>
      <w:instrText xml:space="preserve"> page </w:instrText>
    </w:r>
    <w:r w:rsidRPr="002A2E35">
      <w:rPr>
        <w:sz w:val="20"/>
      </w:rPr>
      <w:fldChar w:fldCharType="separate"/>
    </w:r>
    <w:r w:rsidR="002763D5">
      <w:rPr>
        <w:noProof/>
        <w:sz w:val="20"/>
      </w:rPr>
      <w:t>18</w:t>
    </w:r>
    <w:r w:rsidRPr="002A2E35">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35" w:rsidRDefault="007552CE" w:rsidP="00B3167C">
    <w:pPr>
      <w:pStyle w:val="Footer"/>
      <w:framePr w:wrap="around" w:vAnchor="text" w:hAnchor="margin" w:xAlign="center" w:y="1"/>
      <w:rPr>
        <w:rStyle w:val="PageNumber"/>
      </w:rPr>
    </w:pPr>
    <w:r>
      <w:rPr>
        <w:rStyle w:val="PageNumber"/>
      </w:rPr>
      <w:fldChar w:fldCharType="begin"/>
    </w:r>
    <w:r w:rsidR="002A2E35">
      <w:rPr>
        <w:rStyle w:val="PageNumber"/>
      </w:rPr>
      <w:instrText xml:space="preserve">PAGE  </w:instrText>
    </w:r>
    <w:r>
      <w:rPr>
        <w:rStyle w:val="PageNumber"/>
      </w:rPr>
      <w:fldChar w:fldCharType="end"/>
    </w:r>
  </w:p>
  <w:p w:rsidR="002A2E35" w:rsidRDefault="002A2E3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35" w:rsidRPr="002A2E35" w:rsidRDefault="007552CE" w:rsidP="002A2E35">
    <w:pPr>
      <w:jc w:val="center"/>
      <w:rPr>
        <w:sz w:val="20"/>
      </w:rPr>
    </w:pPr>
    <w:r w:rsidRPr="002A2E35">
      <w:rPr>
        <w:sz w:val="20"/>
      </w:rPr>
      <w:fldChar w:fldCharType="begin"/>
    </w:r>
    <w:r w:rsidR="002A2E35" w:rsidRPr="002A2E35">
      <w:rPr>
        <w:sz w:val="20"/>
      </w:rPr>
      <w:instrText xml:space="preserve"> page </w:instrText>
    </w:r>
    <w:r w:rsidRPr="002A2E35">
      <w:rPr>
        <w:sz w:val="20"/>
      </w:rPr>
      <w:fldChar w:fldCharType="separate"/>
    </w:r>
    <w:r w:rsidR="002763D5">
      <w:rPr>
        <w:noProof/>
        <w:sz w:val="20"/>
      </w:rPr>
      <w:t>20</w:t>
    </w:r>
    <w:r w:rsidRPr="002A2E35">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35" w:rsidRDefault="007552CE" w:rsidP="00B3167C">
    <w:pPr>
      <w:pStyle w:val="Footer"/>
      <w:framePr w:wrap="around" w:vAnchor="text" w:hAnchor="margin" w:xAlign="center" w:y="1"/>
      <w:rPr>
        <w:rStyle w:val="PageNumber"/>
      </w:rPr>
    </w:pPr>
    <w:r>
      <w:rPr>
        <w:rStyle w:val="PageNumber"/>
      </w:rPr>
      <w:fldChar w:fldCharType="begin"/>
    </w:r>
    <w:r w:rsidR="002A2E35">
      <w:rPr>
        <w:rStyle w:val="PageNumber"/>
      </w:rPr>
      <w:instrText xml:space="preserve">PAGE  </w:instrText>
    </w:r>
    <w:r>
      <w:rPr>
        <w:rStyle w:val="PageNumber"/>
      </w:rPr>
      <w:fldChar w:fldCharType="end"/>
    </w:r>
  </w:p>
  <w:p w:rsidR="002A2E35" w:rsidRDefault="002A2E3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35" w:rsidRPr="002A2E35" w:rsidRDefault="007552CE" w:rsidP="002A2E35">
    <w:pPr>
      <w:jc w:val="center"/>
      <w:rPr>
        <w:sz w:val="20"/>
      </w:rPr>
    </w:pPr>
    <w:r w:rsidRPr="002A2E35">
      <w:rPr>
        <w:sz w:val="20"/>
      </w:rPr>
      <w:fldChar w:fldCharType="begin"/>
    </w:r>
    <w:r w:rsidR="002A2E35" w:rsidRPr="002A2E35">
      <w:rPr>
        <w:sz w:val="20"/>
      </w:rPr>
      <w:instrText xml:space="preserve"> page </w:instrText>
    </w:r>
    <w:r w:rsidRPr="002A2E35">
      <w:rPr>
        <w:sz w:val="20"/>
      </w:rPr>
      <w:fldChar w:fldCharType="separate"/>
    </w:r>
    <w:r w:rsidR="002763D5">
      <w:rPr>
        <w:noProof/>
        <w:sz w:val="20"/>
      </w:rPr>
      <w:t>21</w:t>
    </w:r>
    <w:r w:rsidRPr="002A2E35">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35" w:rsidRDefault="007552CE" w:rsidP="00B3167C">
    <w:pPr>
      <w:pStyle w:val="Footer"/>
      <w:framePr w:wrap="around" w:vAnchor="text" w:hAnchor="margin" w:xAlign="center" w:y="1"/>
      <w:rPr>
        <w:rStyle w:val="PageNumber"/>
      </w:rPr>
    </w:pPr>
    <w:r>
      <w:rPr>
        <w:rStyle w:val="PageNumber"/>
      </w:rPr>
      <w:fldChar w:fldCharType="begin"/>
    </w:r>
    <w:r w:rsidR="002A2E35">
      <w:rPr>
        <w:rStyle w:val="PageNumber"/>
      </w:rPr>
      <w:instrText xml:space="preserve">PAGE  </w:instrText>
    </w:r>
    <w:r>
      <w:rPr>
        <w:rStyle w:val="PageNumber"/>
      </w:rPr>
      <w:fldChar w:fldCharType="end"/>
    </w:r>
  </w:p>
  <w:p w:rsidR="002A2E35" w:rsidRDefault="002A2E3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35" w:rsidRPr="002A2E35" w:rsidRDefault="007552CE" w:rsidP="002A2E35">
    <w:pPr>
      <w:jc w:val="center"/>
      <w:rPr>
        <w:sz w:val="20"/>
      </w:rPr>
    </w:pPr>
    <w:r w:rsidRPr="002A2E35">
      <w:rPr>
        <w:sz w:val="20"/>
      </w:rPr>
      <w:fldChar w:fldCharType="begin"/>
    </w:r>
    <w:r w:rsidR="002A2E35" w:rsidRPr="002A2E35">
      <w:rPr>
        <w:sz w:val="20"/>
      </w:rPr>
      <w:instrText xml:space="preserve"> page </w:instrText>
    </w:r>
    <w:r w:rsidRPr="002A2E35">
      <w:rPr>
        <w:sz w:val="20"/>
      </w:rPr>
      <w:fldChar w:fldCharType="separate"/>
    </w:r>
    <w:r w:rsidR="002A2E35">
      <w:rPr>
        <w:noProof/>
        <w:sz w:val="20"/>
      </w:rPr>
      <w:t>1</w:t>
    </w:r>
    <w:r w:rsidRPr="002A2E35">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35" w:rsidRDefault="007552CE" w:rsidP="00B3167C">
    <w:pPr>
      <w:pStyle w:val="Footer"/>
      <w:framePr w:wrap="around" w:vAnchor="text" w:hAnchor="margin" w:xAlign="center" w:y="1"/>
      <w:rPr>
        <w:rStyle w:val="PageNumber"/>
      </w:rPr>
    </w:pPr>
    <w:r>
      <w:rPr>
        <w:rStyle w:val="PageNumber"/>
      </w:rPr>
      <w:fldChar w:fldCharType="begin"/>
    </w:r>
    <w:r w:rsidR="002A2E35">
      <w:rPr>
        <w:rStyle w:val="PageNumber"/>
      </w:rPr>
      <w:instrText xml:space="preserve">PAGE  </w:instrText>
    </w:r>
    <w:r>
      <w:rPr>
        <w:rStyle w:val="PageNumber"/>
      </w:rPr>
      <w:fldChar w:fldCharType="end"/>
    </w:r>
  </w:p>
  <w:p w:rsidR="002A2E35" w:rsidRDefault="002A2E3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368" w:rsidRDefault="00B86368">
      <w:r>
        <w:separator/>
      </w:r>
    </w:p>
  </w:footnote>
  <w:footnote w:type="continuationSeparator" w:id="0">
    <w:p w:rsidR="00B86368" w:rsidRDefault="00B863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35" w:rsidRPr="002A2E35" w:rsidRDefault="002A2E35" w:rsidP="002A2E35">
    <w:pPr>
      <w:pBdr>
        <w:bottom w:val="thinThickMediumGap" w:sz="12" w:space="1" w:color="auto"/>
      </w:pBdr>
      <w:tabs>
        <w:tab w:val="left" w:pos="851"/>
        <w:tab w:val="right" w:pos="8364"/>
      </w:tabs>
      <w:adjustRightInd w:val="0"/>
      <w:snapToGrid w:val="0"/>
      <w:jc w:val="both"/>
      <w:rPr>
        <w:iCs/>
        <w:sz w:val="20"/>
        <w:szCs w:val="20"/>
      </w:rPr>
    </w:pPr>
    <w:r w:rsidRPr="002A2E35">
      <w:rPr>
        <w:rFonts w:hint="eastAsia"/>
        <w:iCs/>
        <w:color w:val="000000"/>
        <w:sz w:val="20"/>
        <w:szCs w:val="20"/>
      </w:rPr>
      <w:tab/>
    </w:r>
    <w:r w:rsidRPr="002A2E35">
      <w:rPr>
        <w:iCs/>
        <w:color w:val="000000"/>
        <w:sz w:val="20"/>
        <w:szCs w:val="20"/>
      </w:rPr>
      <w:t xml:space="preserve">Researcher </w:t>
    </w:r>
    <w:r w:rsidRPr="002A2E35">
      <w:rPr>
        <w:iCs/>
        <w:sz w:val="20"/>
        <w:szCs w:val="20"/>
      </w:rPr>
      <w:t>201</w:t>
    </w:r>
    <w:r w:rsidRPr="002A2E35">
      <w:rPr>
        <w:rFonts w:hint="eastAsia"/>
        <w:iCs/>
        <w:sz w:val="20"/>
        <w:szCs w:val="20"/>
      </w:rPr>
      <w:t>6</w:t>
    </w:r>
    <w:proofErr w:type="gramStart"/>
    <w:r w:rsidRPr="002A2E35">
      <w:rPr>
        <w:iCs/>
        <w:sz w:val="20"/>
        <w:szCs w:val="20"/>
      </w:rPr>
      <w:t>;</w:t>
    </w:r>
    <w:r w:rsidRPr="002A2E35">
      <w:rPr>
        <w:rFonts w:hint="eastAsia"/>
        <w:iCs/>
        <w:sz w:val="20"/>
        <w:szCs w:val="20"/>
      </w:rPr>
      <w:t>8</w:t>
    </w:r>
    <w:proofErr w:type="gramEnd"/>
    <w:r w:rsidRPr="002A2E35">
      <w:rPr>
        <w:iCs/>
        <w:sz w:val="20"/>
        <w:szCs w:val="20"/>
      </w:rPr>
      <w:t>(</w:t>
    </w:r>
    <w:r w:rsidRPr="002A2E35">
      <w:rPr>
        <w:rFonts w:hint="eastAsia"/>
        <w:iCs/>
        <w:sz w:val="20"/>
        <w:szCs w:val="20"/>
      </w:rPr>
      <w:t>6</w:t>
    </w:r>
    <w:r w:rsidRPr="002A2E35">
      <w:rPr>
        <w:iCs/>
        <w:sz w:val="20"/>
        <w:szCs w:val="20"/>
      </w:rPr>
      <w:t xml:space="preserve">)  </w:t>
    </w:r>
    <w:r w:rsidRPr="002A2E35">
      <w:rPr>
        <w:rFonts w:hint="eastAsia"/>
        <w:iCs/>
        <w:sz w:val="20"/>
        <w:szCs w:val="20"/>
      </w:rPr>
      <w:t xml:space="preserve"> </w:t>
    </w:r>
    <w:r w:rsidRPr="002A2E35">
      <w:rPr>
        <w:iCs/>
        <w:sz w:val="20"/>
        <w:szCs w:val="20"/>
      </w:rPr>
      <w:t xml:space="preserve"> </w:t>
    </w:r>
    <w:r w:rsidRPr="002A2E35">
      <w:rPr>
        <w:rFonts w:hint="eastAsia"/>
        <w:iCs/>
        <w:sz w:val="20"/>
        <w:szCs w:val="20"/>
      </w:rPr>
      <w:tab/>
    </w:r>
    <w:r w:rsidRPr="002A2E35">
      <w:rPr>
        <w:iCs/>
        <w:sz w:val="20"/>
        <w:szCs w:val="20"/>
      </w:rPr>
      <w:t xml:space="preserve">    </w:t>
    </w:r>
    <w:r w:rsidRPr="002A2E35">
      <w:rPr>
        <w:sz w:val="20"/>
        <w:szCs w:val="20"/>
      </w:rPr>
      <w:t xml:space="preserve"> </w:t>
    </w:r>
    <w:hyperlink r:id="rId1" w:history="1">
      <w:r w:rsidRPr="002A2E35">
        <w:rPr>
          <w:rStyle w:val="Hyperlink"/>
          <w:sz w:val="20"/>
          <w:szCs w:val="20"/>
        </w:rPr>
        <w:t>http://www.sciencepub.net/researcher</w:t>
      </w:r>
    </w:hyperlink>
  </w:p>
  <w:p w:rsidR="002A2E35" w:rsidRPr="002A2E35" w:rsidRDefault="002A2E35" w:rsidP="002A2E35">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35" w:rsidRPr="002A2E35" w:rsidRDefault="002A2E35" w:rsidP="002A2E35">
    <w:pPr>
      <w:pBdr>
        <w:bottom w:val="thinThickMediumGap" w:sz="12" w:space="1" w:color="auto"/>
      </w:pBdr>
      <w:tabs>
        <w:tab w:val="left" w:pos="851"/>
        <w:tab w:val="right" w:pos="8364"/>
      </w:tabs>
      <w:adjustRightInd w:val="0"/>
      <w:snapToGrid w:val="0"/>
      <w:jc w:val="both"/>
      <w:rPr>
        <w:iCs/>
        <w:sz w:val="20"/>
        <w:szCs w:val="20"/>
      </w:rPr>
    </w:pPr>
    <w:r w:rsidRPr="002A2E35">
      <w:rPr>
        <w:rFonts w:hint="eastAsia"/>
        <w:iCs/>
        <w:color w:val="000000"/>
        <w:sz w:val="20"/>
        <w:szCs w:val="20"/>
      </w:rPr>
      <w:tab/>
    </w:r>
    <w:r w:rsidRPr="002A2E35">
      <w:rPr>
        <w:iCs/>
        <w:color w:val="000000"/>
        <w:sz w:val="20"/>
        <w:szCs w:val="20"/>
      </w:rPr>
      <w:t xml:space="preserve">Researcher </w:t>
    </w:r>
    <w:r w:rsidRPr="002A2E35">
      <w:rPr>
        <w:iCs/>
        <w:sz w:val="20"/>
        <w:szCs w:val="20"/>
      </w:rPr>
      <w:t>201</w:t>
    </w:r>
    <w:r w:rsidRPr="002A2E35">
      <w:rPr>
        <w:rFonts w:hint="eastAsia"/>
        <w:iCs/>
        <w:sz w:val="20"/>
        <w:szCs w:val="20"/>
      </w:rPr>
      <w:t>6</w:t>
    </w:r>
    <w:proofErr w:type="gramStart"/>
    <w:r w:rsidRPr="002A2E35">
      <w:rPr>
        <w:iCs/>
        <w:sz w:val="20"/>
        <w:szCs w:val="20"/>
      </w:rPr>
      <w:t>;</w:t>
    </w:r>
    <w:r w:rsidRPr="002A2E35">
      <w:rPr>
        <w:rFonts w:hint="eastAsia"/>
        <w:iCs/>
        <w:sz w:val="20"/>
        <w:szCs w:val="20"/>
      </w:rPr>
      <w:t>8</w:t>
    </w:r>
    <w:proofErr w:type="gramEnd"/>
    <w:r w:rsidRPr="002A2E35">
      <w:rPr>
        <w:iCs/>
        <w:sz w:val="20"/>
        <w:szCs w:val="20"/>
      </w:rPr>
      <w:t>(</w:t>
    </w:r>
    <w:r w:rsidRPr="002A2E35">
      <w:rPr>
        <w:rFonts w:hint="eastAsia"/>
        <w:iCs/>
        <w:sz w:val="20"/>
        <w:szCs w:val="20"/>
      </w:rPr>
      <w:t>6</w:t>
    </w:r>
    <w:r w:rsidRPr="002A2E35">
      <w:rPr>
        <w:iCs/>
        <w:sz w:val="20"/>
        <w:szCs w:val="20"/>
      </w:rPr>
      <w:t xml:space="preserve">)  </w:t>
    </w:r>
    <w:r w:rsidRPr="002A2E35">
      <w:rPr>
        <w:rFonts w:hint="eastAsia"/>
        <w:iCs/>
        <w:sz w:val="20"/>
        <w:szCs w:val="20"/>
      </w:rPr>
      <w:t xml:space="preserve"> </w:t>
    </w:r>
    <w:r w:rsidRPr="002A2E35">
      <w:rPr>
        <w:iCs/>
        <w:sz w:val="20"/>
        <w:szCs w:val="20"/>
      </w:rPr>
      <w:t xml:space="preserve"> </w:t>
    </w:r>
    <w:r w:rsidRPr="002A2E35">
      <w:rPr>
        <w:rFonts w:hint="eastAsia"/>
        <w:iCs/>
        <w:sz w:val="20"/>
        <w:szCs w:val="20"/>
      </w:rPr>
      <w:tab/>
    </w:r>
    <w:r w:rsidRPr="002A2E35">
      <w:rPr>
        <w:iCs/>
        <w:sz w:val="20"/>
        <w:szCs w:val="20"/>
      </w:rPr>
      <w:t xml:space="preserve">    </w:t>
    </w:r>
    <w:r w:rsidRPr="002A2E35">
      <w:rPr>
        <w:sz w:val="20"/>
        <w:szCs w:val="20"/>
      </w:rPr>
      <w:t xml:space="preserve"> </w:t>
    </w:r>
    <w:hyperlink r:id="rId1" w:history="1">
      <w:r w:rsidRPr="002A2E35">
        <w:rPr>
          <w:rStyle w:val="Hyperlink"/>
          <w:sz w:val="20"/>
          <w:szCs w:val="20"/>
        </w:rPr>
        <w:t>http://www.sciencepub.net/researcher</w:t>
      </w:r>
    </w:hyperlink>
  </w:p>
  <w:p w:rsidR="002A2E35" w:rsidRPr="002A2E35" w:rsidRDefault="002A2E35" w:rsidP="002A2E35">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35" w:rsidRPr="002A2E35" w:rsidRDefault="002A2E35" w:rsidP="002A2E35">
    <w:pPr>
      <w:pBdr>
        <w:bottom w:val="thinThickMediumGap" w:sz="12" w:space="1" w:color="auto"/>
      </w:pBdr>
      <w:tabs>
        <w:tab w:val="left" w:pos="851"/>
        <w:tab w:val="right" w:pos="8364"/>
      </w:tabs>
      <w:adjustRightInd w:val="0"/>
      <w:snapToGrid w:val="0"/>
      <w:jc w:val="both"/>
      <w:rPr>
        <w:iCs/>
        <w:sz w:val="20"/>
        <w:szCs w:val="20"/>
      </w:rPr>
    </w:pPr>
    <w:r w:rsidRPr="002A2E35">
      <w:rPr>
        <w:rFonts w:hint="eastAsia"/>
        <w:iCs/>
        <w:color w:val="000000"/>
        <w:sz w:val="20"/>
        <w:szCs w:val="20"/>
      </w:rPr>
      <w:tab/>
    </w:r>
    <w:r w:rsidRPr="002A2E35">
      <w:rPr>
        <w:iCs/>
        <w:color w:val="000000"/>
        <w:sz w:val="20"/>
        <w:szCs w:val="20"/>
      </w:rPr>
      <w:t xml:space="preserve">Researcher </w:t>
    </w:r>
    <w:r w:rsidRPr="002A2E35">
      <w:rPr>
        <w:iCs/>
        <w:sz w:val="20"/>
        <w:szCs w:val="20"/>
      </w:rPr>
      <w:t>201</w:t>
    </w:r>
    <w:r w:rsidRPr="002A2E35">
      <w:rPr>
        <w:rFonts w:hint="eastAsia"/>
        <w:iCs/>
        <w:sz w:val="20"/>
        <w:szCs w:val="20"/>
      </w:rPr>
      <w:t>6</w:t>
    </w:r>
    <w:proofErr w:type="gramStart"/>
    <w:r w:rsidRPr="002A2E35">
      <w:rPr>
        <w:iCs/>
        <w:sz w:val="20"/>
        <w:szCs w:val="20"/>
      </w:rPr>
      <w:t>;</w:t>
    </w:r>
    <w:r w:rsidRPr="002A2E35">
      <w:rPr>
        <w:rFonts w:hint="eastAsia"/>
        <w:iCs/>
        <w:sz w:val="20"/>
        <w:szCs w:val="20"/>
      </w:rPr>
      <w:t>8</w:t>
    </w:r>
    <w:proofErr w:type="gramEnd"/>
    <w:r w:rsidRPr="002A2E35">
      <w:rPr>
        <w:iCs/>
        <w:sz w:val="20"/>
        <w:szCs w:val="20"/>
      </w:rPr>
      <w:t>(</w:t>
    </w:r>
    <w:r w:rsidRPr="002A2E35">
      <w:rPr>
        <w:rFonts w:hint="eastAsia"/>
        <w:iCs/>
        <w:sz w:val="20"/>
        <w:szCs w:val="20"/>
      </w:rPr>
      <w:t>6</w:t>
    </w:r>
    <w:r w:rsidRPr="002A2E35">
      <w:rPr>
        <w:iCs/>
        <w:sz w:val="20"/>
        <w:szCs w:val="20"/>
      </w:rPr>
      <w:t xml:space="preserve">)  </w:t>
    </w:r>
    <w:r w:rsidRPr="002A2E35">
      <w:rPr>
        <w:rFonts w:hint="eastAsia"/>
        <w:iCs/>
        <w:sz w:val="20"/>
        <w:szCs w:val="20"/>
      </w:rPr>
      <w:t xml:space="preserve"> </w:t>
    </w:r>
    <w:r w:rsidRPr="002A2E35">
      <w:rPr>
        <w:iCs/>
        <w:sz w:val="20"/>
        <w:szCs w:val="20"/>
      </w:rPr>
      <w:t xml:space="preserve"> </w:t>
    </w:r>
    <w:r w:rsidRPr="002A2E35">
      <w:rPr>
        <w:rFonts w:hint="eastAsia"/>
        <w:iCs/>
        <w:sz w:val="20"/>
        <w:szCs w:val="20"/>
      </w:rPr>
      <w:tab/>
    </w:r>
    <w:r w:rsidRPr="002A2E35">
      <w:rPr>
        <w:iCs/>
        <w:sz w:val="20"/>
        <w:szCs w:val="20"/>
      </w:rPr>
      <w:t xml:space="preserve">    </w:t>
    </w:r>
    <w:r w:rsidRPr="002A2E35">
      <w:rPr>
        <w:sz w:val="20"/>
        <w:szCs w:val="20"/>
      </w:rPr>
      <w:t xml:space="preserve"> </w:t>
    </w:r>
    <w:hyperlink r:id="rId1" w:history="1">
      <w:r w:rsidRPr="002A2E35">
        <w:rPr>
          <w:rStyle w:val="Hyperlink"/>
          <w:sz w:val="20"/>
          <w:szCs w:val="20"/>
        </w:rPr>
        <w:t>http://www.sciencepub.net/researcher</w:t>
      </w:r>
    </w:hyperlink>
  </w:p>
  <w:p w:rsidR="002A2E35" w:rsidRPr="002A2E35" w:rsidRDefault="002A2E35" w:rsidP="002A2E35">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35" w:rsidRPr="002A2E35" w:rsidRDefault="002A2E35" w:rsidP="002A2E35">
    <w:pPr>
      <w:pBdr>
        <w:bottom w:val="thinThickMediumGap" w:sz="12" w:space="1" w:color="auto"/>
      </w:pBdr>
      <w:tabs>
        <w:tab w:val="left" w:pos="851"/>
        <w:tab w:val="right" w:pos="8364"/>
      </w:tabs>
      <w:adjustRightInd w:val="0"/>
      <w:snapToGrid w:val="0"/>
      <w:jc w:val="both"/>
      <w:rPr>
        <w:iCs/>
        <w:sz w:val="20"/>
        <w:szCs w:val="20"/>
      </w:rPr>
    </w:pPr>
    <w:r w:rsidRPr="002A2E35">
      <w:rPr>
        <w:rFonts w:hint="eastAsia"/>
        <w:iCs/>
        <w:color w:val="000000"/>
        <w:sz w:val="20"/>
        <w:szCs w:val="20"/>
      </w:rPr>
      <w:tab/>
    </w:r>
    <w:r w:rsidRPr="002A2E35">
      <w:rPr>
        <w:iCs/>
        <w:color w:val="000000"/>
        <w:sz w:val="20"/>
        <w:szCs w:val="20"/>
      </w:rPr>
      <w:t xml:space="preserve">Researcher </w:t>
    </w:r>
    <w:r w:rsidRPr="002A2E35">
      <w:rPr>
        <w:iCs/>
        <w:sz w:val="20"/>
        <w:szCs w:val="20"/>
      </w:rPr>
      <w:t>201</w:t>
    </w:r>
    <w:r w:rsidRPr="002A2E35">
      <w:rPr>
        <w:rFonts w:hint="eastAsia"/>
        <w:iCs/>
        <w:sz w:val="20"/>
        <w:szCs w:val="20"/>
      </w:rPr>
      <w:t>6</w:t>
    </w:r>
    <w:proofErr w:type="gramStart"/>
    <w:r w:rsidRPr="002A2E35">
      <w:rPr>
        <w:iCs/>
        <w:sz w:val="20"/>
        <w:szCs w:val="20"/>
      </w:rPr>
      <w:t>;</w:t>
    </w:r>
    <w:r w:rsidRPr="002A2E35">
      <w:rPr>
        <w:rFonts w:hint="eastAsia"/>
        <w:iCs/>
        <w:sz w:val="20"/>
        <w:szCs w:val="20"/>
      </w:rPr>
      <w:t>8</w:t>
    </w:r>
    <w:proofErr w:type="gramEnd"/>
    <w:r w:rsidRPr="002A2E35">
      <w:rPr>
        <w:iCs/>
        <w:sz w:val="20"/>
        <w:szCs w:val="20"/>
      </w:rPr>
      <w:t>(</w:t>
    </w:r>
    <w:r w:rsidRPr="002A2E35">
      <w:rPr>
        <w:rFonts w:hint="eastAsia"/>
        <w:iCs/>
        <w:sz w:val="20"/>
        <w:szCs w:val="20"/>
      </w:rPr>
      <w:t>6</w:t>
    </w:r>
    <w:r w:rsidRPr="002A2E35">
      <w:rPr>
        <w:iCs/>
        <w:sz w:val="20"/>
        <w:szCs w:val="20"/>
      </w:rPr>
      <w:t xml:space="preserve">)  </w:t>
    </w:r>
    <w:r w:rsidRPr="002A2E35">
      <w:rPr>
        <w:rFonts w:hint="eastAsia"/>
        <w:iCs/>
        <w:sz w:val="20"/>
        <w:szCs w:val="20"/>
      </w:rPr>
      <w:t xml:space="preserve"> </w:t>
    </w:r>
    <w:r w:rsidRPr="002A2E35">
      <w:rPr>
        <w:iCs/>
        <w:sz w:val="20"/>
        <w:szCs w:val="20"/>
      </w:rPr>
      <w:t xml:space="preserve"> </w:t>
    </w:r>
    <w:r w:rsidRPr="002A2E35">
      <w:rPr>
        <w:rFonts w:hint="eastAsia"/>
        <w:iCs/>
        <w:sz w:val="20"/>
        <w:szCs w:val="20"/>
      </w:rPr>
      <w:tab/>
    </w:r>
    <w:r w:rsidRPr="002A2E35">
      <w:rPr>
        <w:iCs/>
        <w:sz w:val="20"/>
        <w:szCs w:val="20"/>
      </w:rPr>
      <w:t xml:space="preserve">    </w:t>
    </w:r>
    <w:r w:rsidRPr="002A2E35">
      <w:rPr>
        <w:sz w:val="20"/>
        <w:szCs w:val="20"/>
      </w:rPr>
      <w:t xml:space="preserve"> </w:t>
    </w:r>
    <w:hyperlink r:id="rId1" w:history="1">
      <w:r w:rsidRPr="002A2E35">
        <w:rPr>
          <w:rStyle w:val="Hyperlink"/>
          <w:sz w:val="20"/>
          <w:szCs w:val="20"/>
        </w:rPr>
        <w:t>http://www.sciencepub.net/researcher</w:t>
      </w:r>
    </w:hyperlink>
  </w:p>
  <w:p w:rsidR="002A2E35" w:rsidRPr="002A2E35" w:rsidRDefault="002A2E35" w:rsidP="002A2E35">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35" w:rsidRPr="002A2E35" w:rsidRDefault="002A2E35" w:rsidP="002A2E35">
    <w:pPr>
      <w:pBdr>
        <w:bottom w:val="thinThickMediumGap" w:sz="12" w:space="1" w:color="auto"/>
      </w:pBdr>
      <w:tabs>
        <w:tab w:val="left" w:pos="851"/>
        <w:tab w:val="right" w:pos="8364"/>
      </w:tabs>
      <w:adjustRightInd w:val="0"/>
      <w:snapToGrid w:val="0"/>
      <w:jc w:val="both"/>
      <w:rPr>
        <w:iCs/>
        <w:sz w:val="20"/>
        <w:szCs w:val="20"/>
      </w:rPr>
    </w:pPr>
    <w:r w:rsidRPr="002A2E35">
      <w:rPr>
        <w:rFonts w:hint="eastAsia"/>
        <w:iCs/>
        <w:color w:val="000000"/>
        <w:sz w:val="20"/>
        <w:szCs w:val="20"/>
      </w:rPr>
      <w:tab/>
    </w:r>
    <w:r w:rsidRPr="002A2E35">
      <w:rPr>
        <w:iCs/>
        <w:color w:val="000000"/>
        <w:sz w:val="20"/>
        <w:szCs w:val="20"/>
      </w:rPr>
      <w:t xml:space="preserve">Researcher </w:t>
    </w:r>
    <w:r w:rsidRPr="002A2E35">
      <w:rPr>
        <w:iCs/>
        <w:sz w:val="20"/>
        <w:szCs w:val="20"/>
      </w:rPr>
      <w:t>201</w:t>
    </w:r>
    <w:r w:rsidRPr="002A2E35">
      <w:rPr>
        <w:rFonts w:hint="eastAsia"/>
        <w:iCs/>
        <w:sz w:val="20"/>
        <w:szCs w:val="20"/>
      </w:rPr>
      <w:t>6</w:t>
    </w:r>
    <w:proofErr w:type="gramStart"/>
    <w:r w:rsidRPr="002A2E35">
      <w:rPr>
        <w:iCs/>
        <w:sz w:val="20"/>
        <w:szCs w:val="20"/>
      </w:rPr>
      <w:t>;</w:t>
    </w:r>
    <w:r w:rsidRPr="002A2E35">
      <w:rPr>
        <w:rFonts w:hint="eastAsia"/>
        <w:iCs/>
        <w:sz w:val="20"/>
        <w:szCs w:val="20"/>
      </w:rPr>
      <w:t>8</w:t>
    </w:r>
    <w:proofErr w:type="gramEnd"/>
    <w:r w:rsidRPr="002A2E35">
      <w:rPr>
        <w:iCs/>
        <w:sz w:val="20"/>
        <w:szCs w:val="20"/>
      </w:rPr>
      <w:t>(</w:t>
    </w:r>
    <w:r w:rsidRPr="002A2E35">
      <w:rPr>
        <w:rFonts w:hint="eastAsia"/>
        <w:iCs/>
        <w:sz w:val="20"/>
        <w:szCs w:val="20"/>
      </w:rPr>
      <w:t>6</w:t>
    </w:r>
    <w:r w:rsidRPr="002A2E35">
      <w:rPr>
        <w:iCs/>
        <w:sz w:val="20"/>
        <w:szCs w:val="20"/>
      </w:rPr>
      <w:t xml:space="preserve">)  </w:t>
    </w:r>
    <w:r w:rsidRPr="002A2E35">
      <w:rPr>
        <w:rFonts w:hint="eastAsia"/>
        <w:iCs/>
        <w:sz w:val="20"/>
        <w:szCs w:val="20"/>
      </w:rPr>
      <w:t xml:space="preserve"> </w:t>
    </w:r>
    <w:r w:rsidRPr="002A2E35">
      <w:rPr>
        <w:iCs/>
        <w:sz w:val="20"/>
        <w:szCs w:val="20"/>
      </w:rPr>
      <w:t xml:space="preserve"> </w:t>
    </w:r>
    <w:r w:rsidRPr="002A2E35">
      <w:rPr>
        <w:rFonts w:hint="eastAsia"/>
        <w:iCs/>
        <w:sz w:val="20"/>
        <w:szCs w:val="20"/>
      </w:rPr>
      <w:tab/>
    </w:r>
    <w:r w:rsidRPr="002A2E35">
      <w:rPr>
        <w:iCs/>
        <w:sz w:val="20"/>
        <w:szCs w:val="20"/>
      </w:rPr>
      <w:t xml:space="preserve">    </w:t>
    </w:r>
    <w:r w:rsidRPr="002A2E35">
      <w:rPr>
        <w:sz w:val="20"/>
        <w:szCs w:val="20"/>
      </w:rPr>
      <w:t xml:space="preserve"> </w:t>
    </w:r>
    <w:hyperlink r:id="rId1" w:history="1">
      <w:r w:rsidRPr="002A2E35">
        <w:rPr>
          <w:rStyle w:val="Hyperlink"/>
          <w:sz w:val="20"/>
          <w:szCs w:val="20"/>
        </w:rPr>
        <w:t>http://www.sciencepub.net/researcher</w:t>
      </w:r>
    </w:hyperlink>
  </w:p>
  <w:p w:rsidR="002A2E35" w:rsidRPr="002A2E35" w:rsidRDefault="002A2E35" w:rsidP="002A2E35">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35" w:rsidRPr="002A2E35" w:rsidRDefault="002A2E35" w:rsidP="002A2E35">
    <w:pPr>
      <w:pBdr>
        <w:bottom w:val="thinThickMediumGap" w:sz="12" w:space="1" w:color="auto"/>
      </w:pBdr>
      <w:tabs>
        <w:tab w:val="left" w:pos="851"/>
        <w:tab w:val="right" w:pos="8364"/>
      </w:tabs>
      <w:adjustRightInd w:val="0"/>
      <w:snapToGrid w:val="0"/>
      <w:jc w:val="both"/>
      <w:rPr>
        <w:iCs/>
        <w:sz w:val="20"/>
        <w:szCs w:val="20"/>
      </w:rPr>
    </w:pPr>
    <w:r w:rsidRPr="002A2E35">
      <w:rPr>
        <w:rFonts w:hint="eastAsia"/>
        <w:iCs/>
        <w:color w:val="000000"/>
        <w:sz w:val="20"/>
        <w:szCs w:val="20"/>
      </w:rPr>
      <w:tab/>
    </w:r>
    <w:r w:rsidRPr="002A2E35">
      <w:rPr>
        <w:iCs/>
        <w:color w:val="000000"/>
        <w:sz w:val="20"/>
        <w:szCs w:val="20"/>
      </w:rPr>
      <w:t xml:space="preserve">Researcher </w:t>
    </w:r>
    <w:r w:rsidRPr="002A2E35">
      <w:rPr>
        <w:iCs/>
        <w:sz w:val="20"/>
        <w:szCs w:val="20"/>
      </w:rPr>
      <w:t>201</w:t>
    </w:r>
    <w:r w:rsidRPr="002A2E35">
      <w:rPr>
        <w:rFonts w:hint="eastAsia"/>
        <w:iCs/>
        <w:sz w:val="20"/>
        <w:szCs w:val="20"/>
      </w:rPr>
      <w:t>6</w:t>
    </w:r>
    <w:proofErr w:type="gramStart"/>
    <w:r w:rsidRPr="002A2E35">
      <w:rPr>
        <w:iCs/>
        <w:sz w:val="20"/>
        <w:szCs w:val="20"/>
      </w:rPr>
      <w:t>;</w:t>
    </w:r>
    <w:r w:rsidRPr="002A2E35">
      <w:rPr>
        <w:rFonts w:hint="eastAsia"/>
        <w:iCs/>
        <w:sz w:val="20"/>
        <w:szCs w:val="20"/>
      </w:rPr>
      <w:t>8</w:t>
    </w:r>
    <w:proofErr w:type="gramEnd"/>
    <w:r w:rsidRPr="002A2E35">
      <w:rPr>
        <w:iCs/>
        <w:sz w:val="20"/>
        <w:szCs w:val="20"/>
      </w:rPr>
      <w:t>(</w:t>
    </w:r>
    <w:r w:rsidRPr="002A2E35">
      <w:rPr>
        <w:rFonts w:hint="eastAsia"/>
        <w:iCs/>
        <w:sz w:val="20"/>
        <w:szCs w:val="20"/>
      </w:rPr>
      <w:t>6</w:t>
    </w:r>
    <w:r w:rsidRPr="002A2E35">
      <w:rPr>
        <w:iCs/>
        <w:sz w:val="20"/>
        <w:szCs w:val="20"/>
      </w:rPr>
      <w:t xml:space="preserve">)  </w:t>
    </w:r>
    <w:r w:rsidRPr="002A2E35">
      <w:rPr>
        <w:rFonts w:hint="eastAsia"/>
        <w:iCs/>
        <w:sz w:val="20"/>
        <w:szCs w:val="20"/>
      </w:rPr>
      <w:t xml:space="preserve"> </w:t>
    </w:r>
    <w:r w:rsidRPr="002A2E35">
      <w:rPr>
        <w:iCs/>
        <w:sz w:val="20"/>
        <w:szCs w:val="20"/>
      </w:rPr>
      <w:t xml:space="preserve"> </w:t>
    </w:r>
    <w:r w:rsidRPr="002A2E35">
      <w:rPr>
        <w:rFonts w:hint="eastAsia"/>
        <w:iCs/>
        <w:sz w:val="20"/>
        <w:szCs w:val="20"/>
      </w:rPr>
      <w:tab/>
    </w:r>
    <w:r w:rsidRPr="002A2E35">
      <w:rPr>
        <w:iCs/>
        <w:sz w:val="20"/>
        <w:szCs w:val="20"/>
      </w:rPr>
      <w:t xml:space="preserve">    </w:t>
    </w:r>
    <w:r w:rsidRPr="002A2E35">
      <w:rPr>
        <w:sz w:val="20"/>
        <w:szCs w:val="20"/>
      </w:rPr>
      <w:t xml:space="preserve"> </w:t>
    </w:r>
    <w:hyperlink r:id="rId1" w:history="1">
      <w:r w:rsidRPr="002A2E35">
        <w:rPr>
          <w:rStyle w:val="Hyperlink"/>
          <w:sz w:val="20"/>
          <w:szCs w:val="20"/>
        </w:rPr>
        <w:t>http://www.sciencepub.net/researcher</w:t>
      </w:r>
    </w:hyperlink>
  </w:p>
  <w:p w:rsidR="002A2E35" w:rsidRPr="002A2E35" w:rsidRDefault="002A2E35" w:rsidP="002A2E35">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35" w:rsidRPr="002A2E35" w:rsidRDefault="002A2E35" w:rsidP="002A2E35">
    <w:pPr>
      <w:pBdr>
        <w:bottom w:val="thinThickMediumGap" w:sz="12" w:space="1" w:color="auto"/>
      </w:pBdr>
      <w:tabs>
        <w:tab w:val="left" w:pos="851"/>
        <w:tab w:val="right" w:pos="8364"/>
      </w:tabs>
      <w:adjustRightInd w:val="0"/>
      <w:snapToGrid w:val="0"/>
      <w:jc w:val="both"/>
      <w:rPr>
        <w:iCs/>
        <w:sz w:val="20"/>
        <w:szCs w:val="20"/>
      </w:rPr>
    </w:pPr>
    <w:r w:rsidRPr="002A2E35">
      <w:rPr>
        <w:rFonts w:hint="eastAsia"/>
        <w:iCs/>
        <w:color w:val="000000"/>
        <w:sz w:val="20"/>
        <w:szCs w:val="20"/>
      </w:rPr>
      <w:tab/>
    </w:r>
    <w:r w:rsidRPr="002A2E35">
      <w:rPr>
        <w:iCs/>
        <w:color w:val="000000"/>
        <w:sz w:val="20"/>
        <w:szCs w:val="20"/>
      </w:rPr>
      <w:t xml:space="preserve">Researcher </w:t>
    </w:r>
    <w:r w:rsidRPr="002A2E35">
      <w:rPr>
        <w:iCs/>
        <w:sz w:val="20"/>
        <w:szCs w:val="20"/>
      </w:rPr>
      <w:t>201</w:t>
    </w:r>
    <w:r w:rsidRPr="002A2E35">
      <w:rPr>
        <w:rFonts w:hint="eastAsia"/>
        <w:iCs/>
        <w:sz w:val="20"/>
        <w:szCs w:val="20"/>
      </w:rPr>
      <w:t>6</w:t>
    </w:r>
    <w:proofErr w:type="gramStart"/>
    <w:r w:rsidRPr="002A2E35">
      <w:rPr>
        <w:iCs/>
        <w:sz w:val="20"/>
        <w:szCs w:val="20"/>
      </w:rPr>
      <w:t>;</w:t>
    </w:r>
    <w:r w:rsidRPr="002A2E35">
      <w:rPr>
        <w:rFonts w:hint="eastAsia"/>
        <w:iCs/>
        <w:sz w:val="20"/>
        <w:szCs w:val="20"/>
      </w:rPr>
      <w:t>8</w:t>
    </w:r>
    <w:proofErr w:type="gramEnd"/>
    <w:r w:rsidRPr="002A2E35">
      <w:rPr>
        <w:iCs/>
        <w:sz w:val="20"/>
        <w:szCs w:val="20"/>
      </w:rPr>
      <w:t>(</w:t>
    </w:r>
    <w:r w:rsidRPr="002A2E35">
      <w:rPr>
        <w:rFonts w:hint="eastAsia"/>
        <w:iCs/>
        <w:sz w:val="20"/>
        <w:szCs w:val="20"/>
      </w:rPr>
      <w:t>6</w:t>
    </w:r>
    <w:r w:rsidRPr="002A2E35">
      <w:rPr>
        <w:iCs/>
        <w:sz w:val="20"/>
        <w:szCs w:val="20"/>
      </w:rPr>
      <w:t xml:space="preserve">)  </w:t>
    </w:r>
    <w:r w:rsidRPr="002A2E35">
      <w:rPr>
        <w:rFonts w:hint="eastAsia"/>
        <w:iCs/>
        <w:sz w:val="20"/>
        <w:szCs w:val="20"/>
      </w:rPr>
      <w:t xml:space="preserve"> </w:t>
    </w:r>
    <w:r w:rsidRPr="002A2E35">
      <w:rPr>
        <w:iCs/>
        <w:sz w:val="20"/>
        <w:szCs w:val="20"/>
      </w:rPr>
      <w:t xml:space="preserve"> </w:t>
    </w:r>
    <w:r w:rsidRPr="002A2E35">
      <w:rPr>
        <w:rFonts w:hint="eastAsia"/>
        <w:iCs/>
        <w:sz w:val="20"/>
        <w:szCs w:val="20"/>
      </w:rPr>
      <w:tab/>
    </w:r>
    <w:r w:rsidRPr="002A2E35">
      <w:rPr>
        <w:iCs/>
        <w:sz w:val="20"/>
        <w:szCs w:val="20"/>
      </w:rPr>
      <w:t xml:space="preserve">    </w:t>
    </w:r>
    <w:r w:rsidRPr="002A2E35">
      <w:rPr>
        <w:sz w:val="20"/>
        <w:szCs w:val="20"/>
      </w:rPr>
      <w:t xml:space="preserve"> </w:t>
    </w:r>
    <w:hyperlink r:id="rId1" w:history="1">
      <w:r w:rsidRPr="002A2E35">
        <w:rPr>
          <w:rStyle w:val="Hyperlink"/>
          <w:sz w:val="20"/>
          <w:szCs w:val="20"/>
        </w:rPr>
        <w:t>http://www.sciencepub.net/researcher</w:t>
      </w:r>
    </w:hyperlink>
  </w:p>
  <w:p w:rsidR="002A2E35" w:rsidRPr="002A2E35" w:rsidRDefault="002A2E35" w:rsidP="002A2E35">
    <w:pPr>
      <w:tabs>
        <w:tab w:val="left" w:pos="851"/>
        <w:tab w:val="right" w:pos="8364"/>
      </w:tabs>
      <w:adjustRightInd w:val="0"/>
      <w:snapToGrid w:val="0"/>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35" w:rsidRPr="002A2E35" w:rsidRDefault="002A2E35" w:rsidP="002A2E35">
    <w:pPr>
      <w:pBdr>
        <w:bottom w:val="thinThickMediumGap" w:sz="12" w:space="1" w:color="auto"/>
      </w:pBdr>
      <w:tabs>
        <w:tab w:val="left" w:pos="851"/>
        <w:tab w:val="right" w:pos="8364"/>
      </w:tabs>
      <w:adjustRightInd w:val="0"/>
      <w:snapToGrid w:val="0"/>
      <w:jc w:val="both"/>
      <w:rPr>
        <w:iCs/>
        <w:sz w:val="20"/>
        <w:szCs w:val="20"/>
      </w:rPr>
    </w:pPr>
    <w:r w:rsidRPr="002A2E35">
      <w:rPr>
        <w:rFonts w:hint="eastAsia"/>
        <w:iCs/>
        <w:color w:val="000000"/>
        <w:sz w:val="20"/>
        <w:szCs w:val="20"/>
      </w:rPr>
      <w:tab/>
    </w:r>
    <w:r w:rsidRPr="002A2E35">
      <w:rPr>
        <w:iCs/>
        <w:color w:val="000000"/>
        <w:sz w:val="20"/>
        <w:szCs w:val="20"/>
      </w:rPr>
      <w:t xml:space="preserve">Researcher </w:t>
    </w:r>
    <w:r w:rsidRPr="002A2E35">
      <w:rPr>
        <w:iCs/>
        <w:sz w:val="20"/>
        <w:szCs w:val="20"/>
      </w:rPr>
      <w:t>201</w:t>
    </w:r>
    <w:r w:rsidRPr="002A2E35">
      <w:rPr>
        <w:rFonts w:hint="eastAsia"/>
        <w:iCs/>
        <w:sz w:val="20"/>
        <w:szCs w:val="20"/>
      </w:rPr>
      <w:t>6</w:t>
    </w:r>
    <w:proofErr w:type="gramStart"/>
    <w:r w:rsidRPr="002A2E35">
      <w:rPr>
        <w:iCs/>
        <w:sz w:val="20"/>
        <w:szCs w:val="20"/>
      </w:rPr>
      <w:t>;</w:t>
    </w:r>
    <w:r w:rsidRPr="002A2E35">
      <w:rPr>
        <w:rFonts w:hint="eastAsia"/>
        <w:iCs/>
        <w:sz w:val="20"/>
        <w:szCs w:val="20"/>
      </w:rPr>
      <w:t>8</w:t>
    </w:r>
    <w:proofErr w:type="gramEnd"/>
    <w:r w:rsidRPr="002A2E35">
      <w:rPr>
        <w:iCs/>
        <w:sz w:val="20"/>
        <w:szCs w:val="20"/>
      </w:rPr>
      <w:t>(</w:t>
    </w:r>
    <w:r w:rsidRPr="002A2E35">
      <w:rPr>
        <w:rFonts w:hint="eastAsia"/>
        <w:iCs/>
        <w:sz w:val="20"/>
        <w:szCs w:val="20"/>
      </w:rPr>
      <w:t>6</w:t>
    </w:r>
    <w:r w:rsidRPr="002A2E35">
      <w:rPr>
        <w:iCs/>
        <w:sz w:val="20"/>
        <w:szCs w:val="20"/>
      </w:rPr>
      <w:t xml:space="preserve">)  </w:t>
    </w:r>
    <w:r w:rsidRPr="002A2E35">
      <w:rPr>
        <w:rFonts w:hint="eastAsia"/>
        <w:iCs/>
        <w:sz w:val="20"/>
        <w:szCs w:val="20"/>
      </w:rPr>
      <w:t xml:space="preserve"> </w:t>
    </w:r>
    <w:r w:rsidRPr="002A2E35">
      <w:rPr>
        <w:iCs/>
        <w:sz w:val="20"/>
        <w:szCs w:val="20"/>
      </w:rPr>
      <w:t xml:space="preserve"> </w:t>
    </w:r>
    <w:r w:rsidRPr="002A2E35">
      <w:rPr>
        <w:rFonts w:hint="eastAsia"/>
        <w:iCs/>
        <w:sz w:val="20"/>
        <w:szCs w:val="20"/>
      </w:rPr>
      <w:tab/>
    </w:r>
    <w:r w:rsidRPr="002A2E35">
      <w:rPr>
        <w:iCs/>
        <w:sz w:val="20"/>
        <w:szCs w:val="20"/>
      </w:rPr>
      <w:t xml:space="preserve">    </w:t>
    </w:r>
    <w:r w:rsidRPr="002A2E35">
      <w:rPr>
        <w:sz w:val="20"/>
        <w:szCs w:val="20"/>
      </w:rPr>
      <w:t xml:space="preserve"> </w:t>
    </w:r>
    <w:hyperlink r:id="rId1" w:history="1">
      <w:r w:rsidRPr="002A2E35">
        <w:rPr>
          <w:rStyle w:val="Hyperlink"/>
          <w:sz w:val="20"/>
          <w:szCs w:val="20"/>
        </w:rPr>
        <w:t>http://www.sciencepub.net/researcher</w:t>
      </w:r>
    </w:hyperlink>
  </w:p>
  <w:p w:rsidR="002A2E35" w:rsidRPr="002A2E35" w:rsidRDefault="002A2E35" w:rsidP="002A2E35">
    <w:pPr>
      <w:tabs>
        <w:tab w:val="left" w:pos="851"/>
        <w:tab w:val="right" w:pos="8364"/>
      </w:tabs>
      <w:adjustRightInd w:val="0"/>
      <w:snapToGrid w:val="0"/>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35" w:rsidRPr="002A2E35" w:rsidRDefault="002A2E35" w:rsidP="002A2E35">
    <w:pPr>
      <w:pBdr>
        <w:bottom w:val="thinThickMediumGap" w:sz="12" w:space="1" w:color="auto"/>
      </w:pBdr>
      <w:tabs>
        <w:tab w:val="left" w:pos="851"/>
        <w:tab w:val="right" w:pos="8364"/>
      </w:tabs>
      <w:adjustRightInd w:val="0"/>
      <w:snapToGrid w:val="0"/>
      <w:jc w:val="both"/>
      <w:rPr>
        <w:iCs/>
        <w:sz w:val="20"/>
        <w:szCs w:val="20"/>
      </w:rPr>
    </w:pPr>
    <w:r w:rsidRPr="002A2E35">
      <w:rPr>
        <w:rFonts w:hint="eastAsia"/>
        <w:iCs/>
        <w:color w:val="000000"/>
        <w:sz w:val="20"/>
        <w:szCs w:val="20"/>
      </w:rPr>
      <w:tab/>
    </w:r>
    <w:r w:rsidRPr="002A2E35">
      <w:rPr>
        <w:iCs/>
        <w:color w:val="000000"/>
        <w:sz w:val="20"/>
        <w:szCs w:val="20"/>
      </w:rPr>
      <w:t xml:space="preserve">Researcher </w:t>
    </w:r>
    <w:r w:rsidRPr="002A2E35">
      <w:rPr>
        <w:iCs/>
        <w:sz w:val="20"/>
        <w:szCs w:val="20"/>
      </w:rPr>
      <w:t>201</w:t>
    </w:r>
    <w:r w:rsidRPr="002A2E35">
      <w:rPr>
        <w:rFonts w:hint="eastAsia"/>
        <w:iCs/>
        <w:sz w:val="20"/>
        <w:szCs w:val="20"/>
      </w:rPr>
      <w:t>6</w:t>
    </w:r>
    <w:proofErr w:type="gramStart"/>
    <w:r w:rsidRPr="002A2E35">
      <w:rPr>
        <w:iCs/>
        <w:sz w:val="20"/>
        <w:szCs w:val="20"/>
      </w:rPr>
      <w:t>;</w:t>
    </w:r>
    <w:r w:rsidRPr="002A2E35">
      <w:rPr>
        <w:rFonts w:hint="eastAsia"/>
        <w:iCs/>
        <w:sz w:val="20"/>
        <w:szCs w:val="20"/>
      </w:rPr>
      <w:t>8</w:t>
    </w:r>
    <w:proofErr w:type="gramEnd"/>
    <w:r w:rsidRPr="002A2E35">
      <w:rPr>
        <w:iCs/>
        <w:sz w:val="20"/>
        <w:szCs w:val="20"/>
      </w:rPr>
      <w:t>(</w:t>
    </w:r>
    <w:r w:rsidRPr="002A2E35">
      <w:rPr>
        <w:rFonts w:hint="eastAsia"/>
        <w:iCs/>
        <w:sz w:val="20"/>
        <w:szCs w:val="20"/>
      </w:rPr>
      <w:t>6</w:t>
    </w:r>
    <w:r w:rsidRPr="002A2E35">
      <w:rPr>
        <w:iCs/>
        <w:sz w:val="20"/>
        <w:szCs w:val="20"/>
      </w:rPr>
      <w:t xml:space="preserve">)  </w:t>
    </w:r>
    <w:r w:rsidRPr="002A2E35">
      <w:rPr>
        <w:rFonts w:hint="eastAsia"/>
        <w:iCs/>
        <w:sz w:val="20"/>
        <w:szCs w:val="20"/>
      </w:rPr>
      <w:t xml:space="preserve"> </w:t>
    </w:r>
    <w:r w:rsidRPr="002A2E35">
      <w:rPr>
        <w:iCs/>
        <w:sz w:val="20"/>
        <w:szCs w:val="20"/>
      </w:rPr>
      <w:t xml:space="preserve"> </w:t>
    </w:r>
    <w:r w:rsidRPr="002A2E35">
      <w:rPr>
        <w:rFonts w:hint="eastAsia"/>
        <w:iCs/>
        <w:sz w:val="20"/>
        <w:szCs w:val="20"/>
      </w:rPr>
      <w:tab/>
    </w:r>
    <w:r w:rsidRPr="002A2E35">
      <w:rPr>
        <w:iCs/>
        <w:sz w:val="20"/>
        <w:szCs w:val="20"/>
      </w:rPr>
      <w:t xml:space="preserve">    </w:t>
    </w:r>
    <w:r w:rsidRPr="002A2E35">
      <w:rPr>
        <w:sz w:val="20"/>
        <w:szCs w:val="20"/>
      </w:rPr>
      <w:t xml:space="preserve"> </w:t>
    </w:r>
    <w:hyperlink r:id="rId1" w:history="1">
      <w:r w:rsidRPr="002A2E35">
        <w:rPr>
          <w:rStyle w:val="Hyperlink"/>
          <w:sz w:val="20"/>
          <w:szCs w:val="20"/>
        </w:rPr>
        <w:t>http://www.sciencepub.net/researcher</w:t>
      </w:r>
    </w:hyperlink>
  </w:p>
  <w:p w:rsidR="002A2E35" w:rsidRPr="002A2E35" w:rsidRDefault="002A2E35" w:rsidP="002A2E35">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4839672C"/>
    <w:multiLevelType w:val="hybridMultilevel"/>
    <w:tmpl w:val="969455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D851AD9"/>
    <w:multiLevelType w:val="hybridMultilevel"/>
    <w:tmpl w:val="6DCEFB6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6091F"/>
    <w:rsid w:val="00080CE9"/>
    <w:rsid w:val="000827B7"/>
    <w:rsid w:val="000844D7"/>
    <w:rsid w:val="00086790"/>
    <w:rsid w:val="00090A06"/>
    <w:rsid w:val="00092EA0"/>
    <w:rsid w:val="000A0250"/>
    <w:rsid w:val="000B46C6"/>
    <w:rsid w:val="001817C7"/>
    <w:rsid w:val="00183764"/>
    <w:rsid w:val="001964D0"/>
    <w:rsid w:val="001B41B8"/>
    <w:rsid w:val="001B650D"/>
    <w:rsid w:val="001C3D42"/>
    <w:rsid w:val="00205E97"/>
    <w:rsid w:val="00245C21"/>
    <w:rsid w:val="002721F1"/>
    <w:rsid w:val="002763D5"/>
    <w:rsid w:val="00282FA1"/>
    <w:rsid w:val="002A2E35"/>
    <w:rsid w:val="002B5613"/>
    <w:rsid w:val="002D3558"/>
    <w:rsid w:val="002D589A"/>
    <w:rsid w:val="002F20CD"/>
    <w:rsid w:val="002F49EF"/>
    <w:rsid w:val="00314F95"/>
    <w:rsid w:val="003169A5"/>
    <w:rsid w:val="00322FAB"/>
    <w:rsid w:val="00345581"/>
    <w:rsid w:val="0034702D"/>
    <w:rsid w:val="003679A0"/>
    <w:rsid w:val="00394B65"/>
    <w:rsid w:val="003A785E"/>
    <w:rsid w:val="003B55FF"/>
    <w:rsid w:val="003B651F"/>
    <w:rsid w:val="003C0116"/>
    <w:rsid w:val="003C4C28"/>
    <w:rsid w:val="003E7FC6"/>
    <w:rsid w:val="0043645D"/>
    <w:rsid w:val="00454A59"/>
    <w:rsid w:val="00456753"/>
    <w:rsid w:val="00471E57"/>
    <w:rsid w:val="00480715"/>
    <w:rsid w:val="0049143E"/>
    <w:rsid w:val="004C7E2A"/>
    <w:rsid w:val="004D01D3"/>
    <w:rsid w:val="004D0467"/>
    <w:rsid w:val="004F4AFB"/>
    <w:rsid w:val="00520D1A"/>
    <w:rsid w:val="0052512B"/>
    <w:rsid w:val="00553F9B"/>
    <w:rsid w:val="00593132"/>
    <w:rsid w:val="005A0E1E"/>
    <w:rsid w:val="005A13A6"/>
    <w:rsid w:val="005A21B0"/>
    <w:rsid w:val="005A5E42"/>
    <w:rsid w:val="005C2F35"/>
    <w:rsid w:val="005D1DA6"/>
    <w:rsid w:val="005F11C2"/>
    <w:rsid w:val="005F5E04"/>
    <w:rsid w:val="0065209A"/>
    <w:rsid w:val="00657995"/>
    <w:rsid w:val="006B5399"/>
    <w:rsid w:val="006D5C2E"/>
    <w:rsid w:val="006E165E"/>
    <w:rsid w:val="006E6ACB"/>
    <w:rsid w:val="006E7156"/>
    <w:rsid w:val="006F1706"/>
    <w:rsid w:val="00744442"/>
    <w:rsid w:val="007552CE"/>
    <w:rsid w:val="007725E7"/>
    <w:rsid w:val="0078507E"/>
    <w:rsid w:val="007B01CC"/>
    <w:rsid w:val="007B5300"/>
    <w:rsid w:val="007D3D09"/>
    <w:rsid w:val="007D746F"/>
    <w:rsid w:val="007F763B"/>
    <w:rsid w:val="008131CF"/>
    <w:rsid w:val="00814FA7"/>
    <w:rsid w:val="008233D0"/>
    <w:rsid w:val="0085007D"/>
    <w:rsid w:val="00875C08"/>
    <w:rsid w:val="008A20AC"/>
    <w:rsid w:val="008A67B6"/>
    <w:rsid w:val="0091208A"/>
    <w:rsid w:val="00914558"/>
    <w:rsid w:val="00926A10"/>
    <w:rsid w:val="00935CF7"/>
    <w:rsid w:val="0094140D"/>
    <w:rsid w:val="009459B3"/>
    <w:rsid w:val="00952EB8"/>
    <w:rsid w:val="00997A8E"/>
    <w:rsid w:val="009A3681"/>
    <w:rsid w:val="009E3803"/>
    <w:rsid w:val="00A1557F"/>
    <w:rsid w:val="00A3476D"/>
    <w:rsid w:val="00A67749"/>
    <w:rsid w:val="00B3167C"/>
    <w:rsid w:val="00B36B45"/>
    <w:rsid w:val="00B60E8D"/>
    <w:rsid w:val="00B70294"/>
    <w:rsid w:val="00B80C0E"/>
    <w:rsid w:val="00B86368"/>
    <w:rsid w:val="00B918AE"/>
    <w:rsid w:val="00B94E19"/>
    <w:rsid w:val="00BD2A8D"/>
    <w:rsid w:val="00BF6579"/>
    <w:rsid w:val="00C0761F"/>
    <w:rsid w:val="00C101C9"/>
    <w:rsid w:val="00C44596"/>
    <w:rsid w:val="00C60D61"/>
    <w:rsid w:val="00C92003"/>
    <w:rsid w:val="00CA49C4"/>
    <w:rsid w:val="00CC4387"/>
    <w:rsid w:val="00CE7B2F"/>
    <w:rsid w:val="00CF24FB"/>
    <w:rsid w:val="00CF6616"/>
    <w:rsid w:val="00D04C27"/>
    <w:rsid w:val="00D13147"/>
    <w:rsid w:val="00D26F2E"/>
    <w:rsid w:val="00D3777A"/>
    <w:rsid w:val="00D56002"/>
    <w:rsid w:val="00D778C9"/>
    <w:rsid w:val="00DB22BC"/>
    <w:rsid w:val="00DF6507"/>
    <w:rsid w:val="00DF7353"/>
    <w:rsid w:val="00E015B9"/>
    <w:rsid w:val="00E15099"/>
    <w:rsid w:val="00E34501"/>
    <w:rsid w:val="00E3455A"/>
    <w:rsid w:val="00E34DBD"/>
    <w:rsid w:val="00E43474"/>
    <w:rsid w:val="00E52EA0"/>
    <w:rsid w:val="00E57761"/>
    <w:rsid w:val="00E57F82"/>
    <w:rsid w:val="00E617EB"/>
    <w:rsid w:val="00E73E1D"/>
    <w:rsid w:val="00EB51F4"/>
    <w:rsid w:val="00EC565A"/>
    <w:rsid w:val="00EC5C53"/>
    <w:rsid w:val="00ED4441"/>
    <w:rsid w:val="00ED4A29"/>
    <w:rsid w:val="00ED4ED9"/>
    <w:rsid w:val="00EE1CEE"/>
    <w:rsid w:val="00EE1F4B"/>
    <w:rsid w:val="00F03305"/>
    <w:rsid w:val="00F2228B"/>
    <w:rsid w:val="00F553D6"/>
    <w:rsid w:val="00F62573"/>
    <w:rsid w:val="00F83A62"/>
    <w:rsid w:val="00FA6D77"/>
    <w:rsid w:val="00FB5B6A"/>
    <w:rsid w:val="00FC4906"/>
    <w:rsid w:val="00FF5835"/>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7B5300"/>
    <w:pPr>
      <w:keepNext/>
      <w:tabs>
        <w:tab w:val="num" w:pos="0"/>
      </w:tabs>
      <w:outlineLvl w:val="0"/>
    </w:pPr>
    <w:rPr>
      <w:b/>
      <w:bCs/>
      <w:sz w:val="32"/>
    </w:rPr>
  </w:style>
  <w:style w:type="paragraph" w:styleId="Heading2">
    <w:name w:val="heading 2"/>
    <w:basedOn w:val="Normal"/>
    <w:next w:val="Normal"/>
    <w:qFormat/>
    <w:rsid w:val="007B5300"/>
    <w:pPr>
      <w:keepNext/>
      <w:tabs>
        <w:tab w:val="num" w:pos="0"/>
      </w:tabs>
      <w:jc w:val="both"/>
      <w:outlineLvl w:val="1"/>
    </w:pPr>
    <w:rPr>
      <w:b/>
      <w:sz w:val="28"/>
    </w:rPr>
  </w:style>
  <w:style w:type="paragraph" w:styleId="Heading3">
    <w:name w:val="heading 3"/>
    <w:basedOn w:val="Normal"/>
    <w:next w:val="Normal"/>
    <w:qFormat/>
    <w:rsid w:val="007B5300"/>
    <w:pPr>
      <w:keepNext/>
      <w:tabs>
        <w:tab w:val="num" w:pos="0"/>
      </w:tabs>
      <w:spacing w:line="360" w:lineRule="auto"/>
      <w:jc w:val="both"/>
      <w:outlineLvl w:val="2"/>
    </w:pPr>
    <w:rPr>
      <w:b/>
      <w:bCs/>
    </w:rPr>
  </w:style>
  <w:style w:type="paragraph" w:styleId="Heading6">
    <w:name w:val="heading 6"/>
    <w:basedOn w:val="Normal"/>
    <w:next w:val="Normal"/>
    <w:qFormat/>
    <w:rsid w:val="007B5300"/>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B5300"/>
  </w:style>
  <w:style w:type="character" w:customStyle="1" w:styleId="WW-Absatz-Standardschriftart">
    <w:name w:val="WW-Absatz-Standardschriftart"/>
    <w:rsid w:val="007B5300"/>
  </w:style>
  <w:style w:type="character" w:customStyle="1" w:styleId="WW-Absatz-Standardschriftart1">
    <w:name w:val="WW-Absatz-Standardschriftart1"/>
    <w:rsid w:val="007B5300"/>
  </w:style>
  <w:style w:type="character" w:customStyle="1" w:styleId="WW-Absatz-Standardschriftart11">
    <w:name w:val="WW-Absatz-Standardschriftart11"/>
    <w:rsid w:val="007B5300"/>
  </w:style>
  <w:style w:type="character" w:customStyle="1" w:styleId="WW-Absatz-Standardschriftart111">
    <w:name w:val="WW-Absatz-Standardschriftart111"/>
    <w:rsid w:val="007B5300"/>
  </w:style>
  <w:style w:type="character" w:customStyle="1" w:styleId="WW-Absatz-Standardschriftart1111">
    <w:name w:val="WW-Absatz-Standardschriftart1111"/>
    <w:rsid w:val="007B5300"/>
  </w:style>
  <w:style w:type="character" w:customStyle="1" w:styleId="WW-Absatz-Standardschriftart11111">
    <w:name w:val="WW-Absatz-Standardschriftart11111"/>
    <w:rsid w:val="007B5300"/>
  </w:style>
  <w:style w:type="character" w:customStyle="1" w:styleId="WW-Absatz-Standardschriftart111111">
    <w:name w:val="WW-Absatz-Standardschriftart111111"/>
    <w:rsid w:val="007B5300"/>
  </w:style>
  <w:style w:type="character" w:customStyle="1" w:styleId="WW-Absatz-Standardschriftart1111111">
    <w:name w:val="WW-Absatz-Standardschriftart1111111"/>
    <w:rsid w:val="007B5300"/>
  </w:style>
  <w:style w:type="character" w:customStyle="1" w:styleId="WW-Absatz-Standardschriftart11111111">
    <w:name w:val="WW-Absatz-Standardschriftart11111111"/>
    <w:rsid w:val="007B5300"/>
  </w:style>
  <w:style w:type="character" w:customStyle="1" w:styleId="WW-Absatz-Standardschriftart111111111">
    <w:name w:val="WW-Absatz-Standardschriftart111111111"/>
    <w:rsid w:val="007B5300"/>
  </w:style>
  <w:style w:type="character" w:customStyle="1" w:styleId="WW-Absatz-Standardschriftart1111111111">
    <w:name w:val="WW-Absatz-Standardschriftart1111111111"/>
    <w:rsid w:val="007B5300"/>
  </w:style>
  <w:style w:type="character" w:customStyle="1" w:styleId="WW-Absatz-Standardschriftart11111111111">
    <w:name w:val="WW-Absatz-Standardschriftart11111111111"/>
    <w:rsid w:val="007B5300"/>
  </w:style>
  <w:style w:type="character" w:customStyle="1" w:styleId="WW-Absatz-Standardschriftart111111111111">
    <w:name w:val="WW-Absatz-Standardschriftart111111111111"/>
    <w:rsid w:val="007B5300"/>
  </w:style>
  <w:style w:type="character" w:customStyle="1" w:styleId="WW-Absatz-Standardschriftart1111111111111">
    <w:name w:val="WW-Absatz-Standardschriftart1111111111111"/>
    <w:rsid w:val="007B5300"/>
  </w:style>
  <w:style w:type="character" w:customStyle="1" w:styleId="WW-Absatz-Standardschriftart11111111111111">
    <w:name w:val="WW-Absatz-Standardschriftart11111111111111"/>
    <w:rsid w:val="007B5300"/>
  </w:style>
  <w:style w:type="character" w:customStyle="1" w:styleId="WW-Absatz-Standardschriftart111111111111111">
    <w:name w:val="WW-Absatz-Standardschriftart111111111111111"/>
    <w:rsid w:val="007B5300"/>
  </w:style>
  <w:style w:type="character" w:customStyle="1" w:styleId="WW-Absatz-Standardschriftart1111111111111111">
    <w:name w:val="WW-Absatz-Standardschriftart1111111111111111"/>
    <w:rsid w:val="007B5300"/>
  </w:style>
  <w:style w:type="character" w:customStyle="1" w:styleId="WW8Num1z0">
    <w:name w:val="WW8Num1z0"/>
    <w:rsid w:val="007B5300"/>
    <w:rPr>
      <w:rFonts w:ascii="Symbol" w:eastAsia="Times New Roman" w:hAnsi="Symbol" w:cs="Times New Roman"/>
    </w:rPr>
  </w:style>
  <w:style w:type="character" w:customStyle="1" w:styleId="WW8Num1z1">
    <w:name w:val="WW8Num1z1"/>
    <w:rsid w:val="007B5300"/>
    <w:rPr>
      <w:rFonts w:ascii="Courier New" w:hAnsi="Courier New" w:cs="Courier New"/>
    </w:rPr>
  </w:style>
  <w:style w:type="character" w:customStyle="1" w:styleId="WW8Num1z2">
    <w:name w:val="WW8Num1z2"/>
    <w:rsid w:val="007B5300"/>
    <w:rPr>
      <w:rFonts w:ascii="Wingdings" w:hAnsi="Wingdings"/>
    </w:rPr>
  </w:style>
  <w:style w:type="character" w:customStyle="1" w:styleId="WW8Num1z3">
    <w:name w:val="WW8Num1z3"/>
    <w:rsid w:val="007B5300"/>
    <w:rPr>
      <w:rFonts w:ascii="Symbol" w:hAnsi="Symbol"/>
    </w:rPr>
  </w:style>
  <w:style w:type="character" w:styleId="PageNumber">
    <w:name w:val="page number"/>
    <w:basedOn w:val="DefaultParagraphFont"/>
    <w:rsid w:val="007B5300"/>
  </w:style>
  <w:style w:type="character" w:styleId="Hyperlink">
    <w:name w:val="Hyperlink"/>
    <w:rsid w:val="007B5300"/>
    <w:rPr>
      <w:color w:val="0000FF"/>
      <w:u w:val="single"/>
    </w:rPr>
  </w:style>
  <w:style w:type="character" w:styleId="FollowedHyperlink">
    <w:name w:val="FollowedHyperlink"/>
    <w:rsid w:val="007B5300"/>
    <w:rPr>
      <w:color w:val="800080"/>
      <w:u w:val="single"/>
    </w:rPr>
  </w:style>
  <w:style w:type="character" w:customStyle="1" w:styleId="NumberingSymbols">
    <w:name w:val="Numbering Symbols"/>
    <w:rsid w:val="007B5300"/>
  </w:style>
  <w:style w:type="paragraph" w:customStyle="1" w:styleId="Heading">
    <w:name w:val="Heading"/>
    <w:basedOn w:val="Normal"/>
    <w:next w:val="BodyText"/>
    <w:rsid w:val="007B5300"/>
    <w:pPr>
      <w:keepNext/>
      <w:spacing w:before="240" w:after="120"/>
    </w:pPr>
    <w:rPr>
      <w:rFonts w:ascii="Nimbus Sans L" w:eastAsia="DejaVu Sans" w:hAnsi="Nimbus Sans L" w:cs="DejaVu Sans"/>
      <w:sz w:val="28"/>
      <w:szCs w:val="28"/>
    </w:rPr>
  </w:style>
  <w:style w:type="paragraph" w:styleId="BodyText">
    <w:name w:val="Body Text"/>
    <w:basedOn w:val="Normal"/>
    <w:rsid w:val="007B5300"/>
    <w:pPr>
      <w:spacing w:line="360" w:lineRule="auto"/>
    </w:pPr>
  </w:style>
  <w:style w:type="paragraph" w:styleId="List">
    <w:name w:val="List"/>
    <w:basedOn w:val="BodyText"/>
    <w:rsid w:val="007B5300"/>
  </w:style>
  <w:style w:type="paragraph" w:styleId="Caption">
    <w:name w:val="caption"/>
    <w:basedOn w:val="Normal"/>
    <w:qFormat/>
    <w:rsid w:val="007B5300"/>
    <w:pPr>
      <w:suppressLineNumbers/>
      <w:spacing w:before="120" w:after="120"/>
    </w:pPr>
    <w:rPr>
      <w:i/>
      <w:iCs/>
    </w:rPr>
  </w:style>
  <w:style w:type="paragraph" w:customStyle="1" w:styleId="Index">
    <w:name w:val="Index"/>
    <w:basedOn w:val="Normal"/>
    <w:rsid w:val="007B5300"/>
    <w:pPr>
      <w:suppressLineNumbers/>
    </w:pPr>
  </w:style>
  <w:style w:type="paragraph" w:styleId="Header">
    <w:name w:val="header"/>
    <w:basedOn w:val="Normal"/>
    <w:next w:val="Heading1"/>
    <w:link w:val="HeaderChar"/>
    <w:rsid w:val="007B5300"/>
    <w:pPr>
      <w:tabs>
        <w:tab w:val="center" w:pos="4320"/>
        <w:tab w:val="right" w:pos="8640"/>
      </w:tabs>
    </w:pPr>
  </w:style>
  <w:style w:type="paragraph" w:styleId="BodyTextIndent3">
    <w:name w:val="Body Text Indent 3"/>
    <w:basedOn w:val="Normal"/>
    <w:rsid w:val="007B5300"/>
    <w:pPr>
      <w:spacing w:line="360" w:lineRule="auto"/>
      <w:ind w:firstLine="720"/>
      <w:jc w:val="both"/>
    </w:pPr>
    <w:rPr>
      <w:b/>
      <w:bCs/>
    </w:rPr>
  </w:style>
  <w:style w:type="paragraph" w:styleId="BodyTextIndent">
    <w:name w:val="Body Text Indent"/>
    <w:basedOn w:val="Normal"/>
    <w:rsid w:val="007B5300"/>
    <w:pPr>
      <w:ind w:left="540" w:hanging="720"/>
      <w:jc w:val="both"/>
    </w:pPr>
  </w:style>
  <w:style w:type="paragraph" w:styleId="BodyTextIndent2">
    <w:name w:val="Body Text Indent 2"/>
    <w:basedOn w:val="Normal"/>
    <w:rsid w:val="007B5300"/>
    <w:pPr>
      <w:spacing w:line="360" w:lineRule="auto"/>
      <w:ind w:firstLine="720"/>
      <w:jc w:val="both"/>
    </w:pPr>
  </w:style>
  <w:style w:type="paragraph" w:styleId="BodyText2">
    <w:name w:val="Body Text 2"/>
    <w:basedOn w:val="Normal"/>
    <w:rsid w:val="007B5300"/>
    <w:pPr>
      <w:spacing w:line="360" w:lineRule="auto"/>
      <w:jc w:val="both"/>
    </w:pPr>
  </w:style>
  <w:style w:type="paragraph" w:styleId="Footer">
    <w:name w:val="footer"/>
    <w:basedOn w:val="Normal"/>
    <w:rsid w:val="007B5300"/>
    <w:pPr>
      <w:tabs>
        <w:tab w:val="center" w:pos="4320"/>
        <w:tab w:val="right" w:pos="8640"/>
      </w:tabs>
    </w:pPr>
    <w:rPr>
      <w:sz w:val="32"/>
    </w:rPr>
  </w:style>
  <w:style w:type="paragraph" w:customStyle="1" w:styleId="TableContents">
    <w:name w:val="Table Contents"/>
    <w:basedOn w:val="Normal"/>
    <w:rsid w:val="007B5300"/>
    <w:pPr>
      <w:suppressLineNumbers/>
    </w:pPr>
  </w:style>
  <w:style w:type="paragraph" w:customStyle="1" w:styleId="TableHeading">
    <w:name w:val="Table Heading"/>
    <w:basedOn w:val="TableContents"/>
    <w:rsid w:val="007B5300"/>
    <w:pPr>
      <w:jc w:val="center"/>
    </w:pPr>
    <w:rPr>
      <w:b/>
      <w:bCs/>
    </w:rPr>
  </w:style>
  <w:style w:type="paragraph" w:customStyle="1" w:styleId="Framecontents">
    <w:name w:val="Frame contents"/>
    <w:basedOn w:val="BodyText"/>
    <w:rsid w:val="007B5300"/>
  </w:style>
  <w:style w:type="paragraph" w:customStyle="1" w:styleId="Text">
    <w:name w:val="Text"/>
    <w:basedOn w:val="Normal"/>
    <w:rsid w:val="007B5300"/>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character" w:customStyle="1" w:styleId="alt-edited">
    <w:name w:val="alt-edited"/>
    <w:rsid w:val="00F553D6"/>
  </w:style>
  <w:style w:type="character" w:customStyle="1" w:styleId="shorttext">
    <w:name w:val="short_text"/>
    <w:rsid w:val="00F553D6"/>
  </w:style>
  <w:style w:type="character" w:customStyle="1" w:styleId="trans-target-highlight">
    <w:name w:val="trans-target-highlight"/>
    <w:rsid w:val="00F553D6"/>
  </w:style>
  <w:style w:type="table" w:styleId="TableGrid">
    <w:name w:val="Table Grid"/>
    <w:basedOn w:val="TableNormal"/>
    <w:uiPriority w:val="39"/>
    <w:rsid w:val="00F553D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13A6"/>
    <w:rPr>
      <w:rFonts w:ascii="Tahoma" w:hAnsi="Tahoma" w:cs="Tahoma"/>
      <w:sz w:val="16"/>
      <w:szCs w:val="16"/>
    </w:rPr>
  </w:style>
  <w:style w:type="character" w:customStyle="1" w:styleId="BalloonTextChar">
    <w:name w:val="Balloon Text Char"/>
    <w:basedOn w:val="DefaultParagraphFont"/>
    <w:link w:val="BalloonText"/>
    <w:uiPriority w:val="99"/>
    <w:semiHidden/>
    <w:rsid w:val="005A13A6"/>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header" Target="header9.xml"/><Relationship Id="rId7" Type="http://schemas.openxmlformats.org/officeDocument/2006/relationships/hyperlink" Target="mailto:asgariheidari@ymail.com" TargetMode="Externa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33" Type="http://schemas.openxmlformats.org/officeDocument/2006/relationships/footer" Target="footer16.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5.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eader" Target="header7.xml"/><Relationship Id="rId36" Type="http://schemas.openxmlformats.org/officeDocument/2006/relationships/footer" Target="footer18.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www.dx.doi.org/10.7537/marsrsj08061604" TargetMode="Externa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footer" Target="footer17.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2962</Words>
  <Characters>16884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19807</CharactersWithSpaces>
  <SharedDoc>false</SharedDoc>
  <HLinks>
    <vt:vector size="36" baseType="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6619207</vt:i4>
      </vt:variant>
      <vt:variant>
        <vt:i4>0</vt:i4>
      </vt:variant>
      <vt:variant>
        <vt:i4>0</vt:i4>
      </vt:variant>
      <vt:variant>
        <vt:i4>5</vt:i4>
      </vt:variant>
      <vt:variant>
        <vt:lpwstr>mailto:asgariheidari@ymail.com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4</cp:revision>
  <cp:lastPrinted>2016-06-02T00:22:00Z</cp:lastPrinted>
  <dcterms:created xsi:type="dcterms:W3CDTF">2016-06-02T08:27:00Z</dcterms:created>
  <dcterms:modified xsi:type="dcterms:W3CDTF">2016-06-02T00:28:00Z</dcterms:modified>
  <cp:category>science</cp:category>
</cp:coreProperties>
</file>