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753" w:rsidRPr="00F3062A" w:rsidRDefault="00560753" w:rsidP="00F3062A">
      <w:pPr>
        <w:snapToGrid w:val="0"/>
        <w:jc w:val="center"/>
        <w:rPr>
          <w:rFonts w:eastAsia="Calibri"/>
          <w:b/>
          <w:bCs/>
          <w:sz w:val="20"/>
          <w:szCs w:val="20"/>
        </w:rPr>
      </w:pPr>
      <w:r w:rsidRPr="00F3062A">
        <w:rPr>
          <w:rFonts w:eastAsia="Calibri"/>
          <w:b/>
          <w:bCs/>
          <w:sz w:val="20"/>
          <w:szCs w:val="20"/>
        </w:rPr>
        <w:t>Physicochemical properties of fresh and dried of feijoa fruit (</w:t>
      </w:r>
      <w:r w:rsidRPr="00F3062A">
        <w:rPr>
          <w:rFonts w:eastAsia="Calibri"/>
          <w:b/>
          <w:bCs/>
          <w:i/>
          <w:iCs/>
          <w:sz w:val="20"/>
          <w:szCs w:val="20"/>
        </w:rPr>
        <w:t>Acca sellowiana</w:t>
      </w:r>
      <w:r w:rsidRPr="00F3062A">
        <w:rPr>
          <w:rFonts w:eastAsia="Calibri"/>
          <w:b/>
          <w:bCs/>
          <w:sz w:val="20"/>
          <w:szCs w:val="20"/>
        </w:rPr>
        <w:t>)</w:t>
      </w:r>
    </w:p>
    <w:p w:rsidR="00560753" w:rsidRPr="00F3062A" w:rsidRDefault="00560753" w:rsidP="00F3062A">
      <w:pPr>
        <w:snapToGrid w:val="0"/>
        <w:jc w:val="center"/>
        <w:rPr>
          <w:rFonts w:eastAsia="Calibri"/>
          <w:b/>
          <w:bCs/>
          <w:sz w:val="20"/>
          <w:szCs w:val="20"/>
        </w:rPr>
      </w:pPr>
    </w:p>
    <w:p w:rsidR="00233276" w:rsidRDefault="00233276" w:rsidP="00233276">
      <w:pPr>
        <w:snapToGrid w:val="0"/>
        <w:jc w:val="center"/>
        <w:rPr>
          <w:sz w:val="20"/>
          <w:szCs w:val="20"/>
          <w:vertAlign w:val="superscript"/>
          <w:lang w:eastAsia="zh-CN"/>
        </w:rPr>
      </w:pPr>
      <w:r w:rsidRPr="003E5FC6">
        <w:rPr>
          <w:rFonts w:eastAsia="Calibri"/>
          <w:sz w:val="20"/>
          <w:szCs w:val="20"/>
          <w:u w:val="single"/>
        </w:rPr>
        <w:t>Sahar Kabiri</w:t>
      </w:r>
      <w:r w:rsidRPr="00F3062A">
        <w:rPr>
          <w:rFonts w:eastAsia="Calibri"/>
          <w:sz w:val="20"/>
          <w:szCs w:val="20"/>
          <w:vertAlign w:val="superscript"/>
        </w:rPr>
        <w:t>1</w:t>
      </w:r>
      <w:r w:rsidRPr="00F3062A">
        <w:rPr>
          <w:rStyle w:val="FootnoteReference"/>
          <w:sz w:val="20"/>
          <w:szCs w:val="20"/>
          <w:vertAlign w:val="baseline"/>
        </w:rPr>
        <w:t>,</w:t>
      </w:r>
      <w:r w:rsidRPr="00F3062A">
        <w:rPr>
          <w:sz w:val="20"/>
          <w:szCs w:val="20"/>
        </w:rPr>
        <w:t xml:space="preserve"> Farzad Gheybi</w:t>
      </w:r>
      <w:r w:rsidRPr="00F3062A">
        <w:rPr>
          <w:sz w:val="20"/>
          <w:szCs w:val="20"/>
          <w:vertAlign w:val="superscript"/>
        </w:rPr>
        <w:t>2</w:t>
      </w:r>
      <w:r w:rsidRPr="00F3062A">
        <w:rPr>
          <w:sz w:val="20"/>
          <w:szCs w:val="20"/>
        </w:rPr>
        <w:t>, Maryam Jokar</w:t>
      </w:r>
      <w:r w:rsidRPr="00F3062A">
        <w:rPr>
          <w:sz w:val="20"/>
          <w:szCs w:val="20"/>
          <w:vertAlign w:val="superscript"/>
        </w:rPr>
        <w:t>1</w:t>
      </w:r>
      <w:r w:rsidRPr="00F3062A">
        <w:rPr>
          <w:sz w:val="20"/>
          <w:szCs w:val="20"/>
        </w:rPr>
        <w:t>, Shadi Basiri</w:t>
      </w:r>
      <w:r>
        <w:rPr>
          <w:sz w:val="20"/>
          <w:szCs w:val="20"/>
          <w:vertAlign w:val="superscript"/>
        </w:rPr>
        <w:t>2</w:t>
      </w:r>
    </w:p>
    <w:p w:rsidR="00233276" w:rsidRPr="00F3062A" w:rsidRDefault="00233276" w:rsidP="00233276">
      <w:pPr>
        <w:snapToGrid w:val="0"/>
        <w:jc w:val="center"/>
        <w:rPr>
          <w:sz w:val="20"/>
          <w:szCs w:val="20"/>
          <w:lang w:eastAsia="zh-CN"/>
        </w:rPr>
      </w:pPr>
    </w:p>
    <w:p w:rsidR="00233276" w:rsidRPr="00F3062A" w:rsidRDefault="00233276" w:rsidP="00233276">
      <w:pPr>
        <w:snapToGrid w:val="0"/>
        <w:jc w:val="center"/>
        <w:rPr>
          <w:rFonts w:eastAsia="Calibri"/>
          <w:sz w:val="20"/>
          <w:szCs w:val="20"/>
        </w:rPr>
      </w:pPr>
      <w:r w:rsidRPr="00F3062A">
        <w:rPr>
          <w:rFonts w:eastAsia="Calibri"/>
          <w:sz w:val="20"/>
          <w:szCs w:val="20"/>
          <w:vertAlign w:val="superscript"/>
        </w:rPr>
        <w:t>1-</w:t>
      </w:r>
      <w:r w:rsidRPr="00F3062A">
        <w:rPr>
          <w:rFonts w:eastAsia="Calibri"/>
          <w:sz w:val="20"/>
          <w:szCs w:val="20"/>
        </w:rPr>
        <w:t>Department of Food science and technology, Islamic Azad University, Damghan, Iran</w:t>
      </w:r>
    </w:p>
    <w:p w:rsidR="00233276" w:rsidRPr="00F3062A" w:rsidRDefault="00233276" w:rsidP="00233276">
      <w:pPr>
        <w:snapToGrid w:val="0"/>
        <w:jc w:val="center"/>
        <w:rPr>
          <w:rFonts w:eastAsia="Calibri"/>
          <w:sz w:val="20"/>
          <w:szCs w:val="20"/>
        </w:rPr>
      </w:pPr>
      <w:r w:rsidRPr="00F3062A">
        <w:rPr>
          <w:rFonts w:eastAsia="Calibri"/>
          <w:sz w:val="20"/>
          <w:szCs w:val="20"/>
          <w:vertAlign w:val="superscript"/>
        </w:rPr>
        <w:t>2-</w:t>
      </w:r>
      <w:r w:rsidRPr="00F3062A">
        <w:rPr>
          <w:sz w:val="20"/>
          <w:szCs w:val="20"/>
          <w:shd w:val="clear" w:color="auto" w:fill="FFFFFF"/>
        </w:rPr>
        <w:t xml:space="preserve"> </w:t>
      </w:r>
      <w:r w:rsidRPr="00E70E9A">
        <w:rPr>
          <w:rFonts w:eastAsia="Calibri"/>
          <w:sz w:val="20"/>
          <w:szCs w:val="20"/>
        </w:rPr>
        <w:t>Assistant Professor, Food Science and Technology, Khorasan-e-Razavi Agricultural and Natural Resources Research and Education Center</w:t>
      </w:r>
      <w:r>
        <w:rPr>
          <w:rFonts w:eastAsia="Calibri"/>
          <w:sz w:val="20"/>
          <w:szCs w:val="20"/>
        </w:rPr>
        <w:t xml:space="preserve">, </w:t>
      </w:r>
      <w:r w:rsidRPr="00E70E9A">
        <w:rPr>
          <w:rFonts w:eastAsia="Calibri"/>
          <w:sz w:val="20"/>
          <w:szCs w:val="20"/>
        </w:rPr>
        <w:t>Mashad - Iran</w:t>
      </w:r>
    </w:p>
    <w:p w:rsidR="00233276" w:rsidRPr="00F3062A" w:rsidRDefault="00516E11" w:rsidP="00233276">
      <w:pPr>
        <w:snapToGrid w:val="0"/>
        <w:jc w:val="center"/>
        <w:rPr>
          <w:rFonts w:eastAsia="Calibri"/>
          <w:sz w:val="20"/>
          <w:szCs w:val="20"/>
        </w:rPr>
      </w:pPr>
      <w:hyperlink r:id="rId7" w:history="1">
        <w:r w:rsidR="00233276" w:rsidRPr="00F3062A">
          <w:rPr>
            <w:rStyle w:val="Hyperlink"/>
            <w:rFonts w:eastAsia="Calibri"/>
            <w:sz w:val="20"/>
            <w:szCs w:val="20"/>
          </w:rPr>
          <w:t>sahar.kabiri88@gmail.com</w:t>
        </w:r>
      </w:hyperlink>
    </w:p>
    <w:p w:rsidR="00F3062A" w:rsidRPr="00F3062A" w:rsidRDefault="00F3062A" w:rsidP="00F3062A">
      <w:pPr>
        <w:snapToGrid w:val="0"/>
        <w:jc w:val="center"/>
        <w:rPr>
          <w:b/>
          <w:sz w:val="20"/>
          <w:szCs w:val="20"/>
          <w:lang w:eastAsia="zh-CN"/>
        </w:rPr>
      </w:pPr>
      <w:bookmarkStart w:id="0" w:name="_GoBack"/>
      <w:bookmarkEnd w:id="0"/>
      <w:r>
        <w:rPr>
          <w:rFonts w:hint="eastAsia"/>
          <w:b/>
          <w:sz w:val="20"/>
          <w:szCs w:val="20"/>
          <w:lang w:eastAsia="zh-CN"/>
        </w:rPr>
        <w:t xml:space="preserve"> </w:t>
      </w:r>
    </w:p>
    <w:p w:rsidR="005D1DA6" w:rsidRPr="00F3062A" w:rsidRDefault="00471E57" w:rsidP="00F3062A">
      <w:pPr>
        <w:snapToGrid w:val="0"/>
        <w:jc w:val="both"/>
        <w:rPr>
          <w:sz w:val="20"/>
          <w:szCs w:val="20"/>
        </w:rPr>
      </w:pPr>
      <w:r w:rsidRPr="00F3062A">
        <w:rPr>
          <w:b/>
          <w:sz w:val="20"/>
          <w:szCs w:val="20"/>
        </w:rPr>
        <w:t xml:space="preserve">Abstract: </w:t>
      </w:r>
      <w:bookmarkStart w:id="1" w:name="OLE_LINK1"/>
      <w:bookmarkStart w:id="2" w:name="OLE_LINK2"/>
      <w:r w:rsidR="008633A4" w:rsidRPr="00F3062A">
        <w:rPr>
          <w:sz w:val="20"/>
          <w:szCs w:val="20"/>
        </w:rPr>
        <w:t>The present investigation was carried out to analyze different physicochemical characteristics of fresh and dried feijoa fruit. The study reveals that the physical characteristics of fruit, that is, color, texture and density were significantly affected by hot air drying. The chemical parameters of fruit determined, total soluble solid (TSS), acidity, pH, moisture, ash content, carbohydrate, protein, fat, ascorbic acid, total phenol, flavonoids and iodine content also evaluated as chemical characteristics. The results showed that the chemical and physicochemical characteristics are little affected by drying so with the various nutritional benefits, the fresh and dried fruits could be recommended for commercial exploitation and preparation of different value added products.</w:t>
      </w:r>
      <w:bookmarkEnd w:id="1"/>
      <w:bookmarkEnd w:id="2"/>
    </w:p>
    <w:p w:rsidR="00F3062A" w:rsidRPr="00F3062A" w:rsidRDefault="00D778C9" w:rsidP="00F3062A">
      <w:pPr>
        <w:adjustRightInd w:val="0"/>
        <w:snapToGrid w:val="0"/>
        <w:jc w:val="both"/>
        <w:rPr>
          <w:color w:val="000000"/>
          <w:sz w:val="20"/>
          <w:szCs w:val="20"/>
          <w:shd w:val="clear" w:color="auto" w:fill="FFFFFF"/>
        </w:rPr>
      </w:pPr>
      <w:r w:rsidRPr="00F3062A">
        <w:rPr>
          <w:color w:val="000000"/>
          <w:sz w:val="20"/>
          <w:szCs w:val="20"/>
        </w:rPr>
        <w:t>[</w:t>
      </w:r>
      <w:r w:rsidR="008633A4" w:rsidRPr="00F3062A">
        <w:rPr>
          <w:sz w:val="20"/>
          <w:szCs w:val="20"/>
        </w:rPr>
        <w:t xml:space="preserve">Sahar Kabiri, Farzad Gheybi, Maryam </w:t>
      </w:r>
      <w:r w:rsidR="00F504FD" w:rsidRPr="00F3062A">
        <w:rPr>
          <w:sz w:val="20"/>
          <w:szCs w:val="20"/>
        </w:rPr>
        <w:t>J</w:t>
      </w:r>
      <w:r w:rsidR="008633A4" w:rsidRPr="00F3062A">
        <w:rPr>
          <w:sz w:val="20"/>
          <w:szCs w:val="20"/>
        </w:rPr>
        <w:t xml:space="preserve">okar, Shadi </w:t>
      </w:r>
      <w:r w:rsidR="00F504FD" w:rsidRPr="00F3062A">
        <w:rPr>
          <w:sz w:val="20"/>
          <w:szCs w:val="20"/>
        </w:rPr>
        <w:t>B</w:t>
      </w:r>
      <w:r w:rsidR="008633A4" w:rsidRPr="00F3062A">
        <w:rPr>
          <w:sz w:val="20"/>
          <w:szCs w:val="20"/>
        </w:rPr>
        <w:t>asiri</w:t>
      </w:r>
      <w:r w:rsidRPr="00F3062A">
        <w:rPr>
          <w:sz w:val="20"/>
          <w:szCs w:val="20"/>
        </w:rPr>
        <w:t xml:space="preserve">. </w:t>
      </w:r>
      <w:r w:rsidR="008633A4" w:rsidRPr="00F3062A">
        <w:rPr>
          <w:b/>
          <w:sz w:val="20"/>
          <w:szCs w:val="20"/>
        </w:rPr>
        <w:t>Physicochemical properties of fresh and dried of feijoa fruit (Acca sellowiana)</w:t>
      </w:r>
      <w:r w:rsidR="00F3062A" w:rsidRPr="00F3062A">
        <w:rPr>
          <w:rFonts w:eastAsia="Times New Roman"/>
          <w:b/>
          <w:bCs/>
          <w:sz w:val="20"/>
          <w:szCs w:val="20"/>
          <w:lang w:bidi="fa-IR"/>
        </w:rPr>
        <w:t>.</w:t>
      </w:r>
      <w:r w:rsidR="00F3062A" w:rsidRPr="00F3062A">
        <w:rPr>
          <w:bCs/>
          <w:i/>
          <w:sz w:val="20"/>
          <w:szCs w:val="20"/>
        </w:rPr>
        <w:t xml:space="preserve"> Researcher</w:t>
      </w:r>
      <w:r w:rsidR="00F3062A" w:rsidRPr="00F3062A">
        <w:rPr>
          <w:bCs/>
          <w:sz w:val="20"/>
          <w:szCs w:val="20"/>
        </w:rPr>
        <w:t xml:space="preserve"> 201</w:t>
      </w:r>
      <w:r w:rsidR="00F3062A" w:rsidRPr="00F3062A">
        <w:rPr>
          <w:rFonts w:hint="eastAsia"/>
          <w:bCs/>
          <w:sz w:val="20"/>
          <w:szCs w:val="20"/>
        </w:rPr>
        <w:t>6</w:t>
      </w:r>
      <w:r w:rsidR="00F3062A" w:rsidRPr="00F3062A">
        <w:rPr>
          <w:bCs/>
          <w:sz w:val="20"/>
          <w:szCs w:val="20"/>
        </w:rPr>
        <w:t>;</w:t>
      </w:r>
      <w:r w:rsidR="00F3062A" w:rsidRPr="00F3062A">
        <w:rPr>
          <w:rFonts w:hint="eastAsia"/>
          <w:bCs/>
          <w:sz w:val="20"/>
          <w:szCs w:val="20"/>
        </w:rPr>
        <w:t>8</w:t>
      </w:r>
      <w:r w:rsidR="00F3062A" w:rsidRPr="00F3062A">
        <w:rPr>
          <w:bCs/>
          <w:sz w:val="20"/>
          <w:szCs w:val="20"/>
        </w:rPr>
        <w:t>(</w:t>
      </w:r>
      <w:r w:rsidR="00F3062A" w:rsidRPr="00F3062A">
        <w:rPr>
          <w:rFonts w:hint="eastAsia"/>
          <w:bCs/>
          <w:sz w:val="20"/>
          <w:szCs w:val="20"/>
        </w:rPr>
        <w:t>10</w:t>
      </w:r>
      <w:r w:rsidR="00F3062A" w:rsidRPr="00F3062A">
        <w:rPr>
          <w:bCs/>
          <w:sz w:val="20"/>
          <w:szCs w:val="20"/>
        </w:rPr>
        <w:t>):</w:t>
      </w:r>
      <w:r w:rsidR="002F6889">
        <w:rPr>
          <w:noProof/>
          <w:color w:val="000000"/>
          <w:sz w:val="20"/>
          <w:szCs w:val="20"/>
        </w:rPr>
        <w:t>16</w:t>
      </w:r>
      <w:r w:rsidR="00F3062A" w:rsidRPr="00F3062A">
        <w:rPr>
          <w:color w:val="000000"/>
          <w:sz w:val="20"/>
          <w:szCs w:val="20"/>
        </w:rPr>
        <w:t>-</w:t>
      </w:r>
      <w:r w:rsidR="002F6889">
        <w:rPr>
          <w:noProof/>
          <w:color w:val="000000"/>
          <w:sz w:val="20"/>
          <w:szCs w:val="20"/>
        </w:rPr>
        <w:t>22</w:t>
      </w:r>
      <w:r w:rsidR="00F3062A" w:rsidRPr="00F3062A">
        <w:rPr>
          <w:bCs/>
          <w:sz w:val="20"/>
          <w:szCs w:val="20"/>
        </w:rPr>
        <w:t xml:space="preserve">]. </w:t>
      </w:r>
      <w:r w:rsidR="00F3062A" w:rsidRPr="00F3062A">
        <w:rPr>
          <w:sz w:val="20"/>
          <w:szCs w:val="20"/>
        </w:rPr>
        <w:t>ISSN 1553-9865 (print); ISSN 2163-8950 (online)</w:t>
      </w:r>
      <w:r w:rsidR="00F3062A" w:rsidRPr="00F3062A">
        <w:rPr>
          <w:bCs/>
          <w:sz w:val="20"/>
          <w:szCs w:val="20"/>
        </w:rPr>
        <w:t xml:space="preserve">. </w:t>
      </w:r>
      <w:hyperlink r:id="rId8" w:history="1">
        <w:r w:rsidR="00F3062A" w:rsidRPr="00F3062A">
          <w:rPr>
            <w:rStyle w:val="Hyperlink"/>
            <w:sz w:val="20"/>
            <w:szCs w:val="20"/>
          </w:rPr>
          <w:t>http://www.sciencepub.net/researcher</w:t>
        </w:r>
      </w:hyperlink>
      <w:r w:rsidR="00F3062A" w:rsidRPr="00F3062A">
        <w:rPr>
          <w:bCs/>
          <w:sz w:val="20"/>
          <w:szCs w:val="20"/>
        </w:rPr>
        <w:t>.</w:t>
      </w:r>
      <w:r w:rsidR="00F3062A" w:rsidRPr="00F3062A">
        <w:rPr>
          <w:rFonts w:hint="eastAsia"/>
          <w:bCs/>
          <w:sz w:val="20"/>
          <w:szCs w:val="20"/>
        </w:rPr>
        <w:t xml:space="preserve"> </w:t>
      </w:r>
      <w:r w:rsidR="00F3062A">
        <w:rPr>
          <w:rFonts w:hint="eastAsia"/>
          <w:bCs/>
          <w:sz w:val="20"/>
          <w:szCs w:val="20"/>
          <w:lang w:eastAsia="zh-CN"/>
        </w:rPr>
        <w:t>3</w:t>
      </w:r>
      <w:r w:rsidR="00F3062A" w:rsidRPr="00F3062A">
        <w:rPr>
          <w:rFonts w:hint="eastAsia"/>
          <w:bCs/>
          <w:sz w:val="20"/>
          <w:szCs w:val="20"/>
        </w:rPr>
        <w:t xml:space="preserve">. </w:t>
      </w:r>
      <w:r w:rsidR="00F3062A" w:rsidRPr="00F3062A">
        <w:rPr>
          <w:color w:val="000000"/>
          <w:sz w:val="20"/>
          <w:szCs w:val="20"/>
          <w:shd w:val="clear" w:color="auto" w:fill="FFFFFF"/>
        </w:rPr>
        <w:t>doi:</w:t>
      </w:r>
      <w:hyperlink r:id="rId9" w:history="1">
        <w:r w:rsidR="00F3062A" w:rsidRPr="00F3062A">
          <w:rPr>
            <w:rStyle w:val="Hyperlink"/>
            <w:sz w:val="20"/>
            <w:szCs w:val="20"/>
            <w:shd w:val="clear" w:color="auto" w:fill="FFFFFF"/>
          </w:rPr>
          <w:t>10.7537/mars</w:t>
        </w:r>
        <w:r w:rsidR="00F3062A" w:rsidRPr="00F3062A">
          <w:rPr>
            <w:rStyle w:val="Hyperlink"/>
            <w:rFonts w:hint="eastAsia"/>
            <w:sz w:val="20"/>
            <w:szCs w:val="20"/>
            <w:shd w:val="clear" w:color="auto" w:fill="FFFFFF"/>
          </w:rPr>
          <w:t>r</w:t>
        </w:r>
        <w:r w:rsidR="00F3062A" w:rsidRPr="00F3062A">
          <w:rPr>
            <w:rStyle w:val="Hyperlink"/>
            <w:sz w:val="20"/>
            <w:szCs w:val="20"/>
            <w:shd w:val="clear" w:color="auto" w:fill="FFFFFF"/>
          </w:rPr>
          <w:t>sj</w:t>
        </w:r>
        <w:r w:rsidR="00F3062A" w:rsidRPr="00F3062A">
          <w:rPr>
            <w:rStyle w:val="Hyperlink"/>
            <w:rFonts w:hint="eastAsia"/>
            <w:sz w:val="20"/>
            <w:szCs w:val="20"/>
            <w:shd w:val="clear" w:color="auto" w:fill="FFFFFF"/>
          </w:rPr>
          <w:t>0810</w:t>
        </w:r>
        <w:r w:rsidR="00F3062A" w:rsidRPr="00F3062A">
          <w:rPr>
            <w:rStyle w:val="Hyperlink"/>
            <w:sz w:val="20"/>
            <w:szCs w:val="20"/>
            <w:shd w:val="clear" w:color="auto" w:fill="FFFFFF"/>
          </w:rPr>
          <w:t>1</w:t>
        </w:r>
        <w:r w:rsidR="00F3062A" w:rsidRPr="00F3062A">
          <w:rPr>
            <w:rStyle w:val="Hyperlink"/>
            <w:rFonts w:hint="eastAsia"/>
            <w:sz w:val="20"/>
            <w:szCs w:val="20"/>
            <w:shd w:val="clear" w:color="auto" w:fill="FFFFFF"/>
          </w:rPr>
          <w:t>6.</w:t>
        </w:r>
        <w:r w:rsidR="00F3062A" w:rsidRPr="00F3062A">
          <w:rPr>
            <w:rStyle w:val="Hyperlink"/>
            <w:sz w:val="20"/>
            <w:szCs w:val="20"/>
            <w:shd w:val="clear" w:color="auto" w:fill="FFFFFF"/>
          </w:rPr>
          <w:t>0</w:t>
        </w:r>
        <w:r w:rsidR="00F3062A">
          <w:rPr>
            <w:rStyle w:val="Hyperlink"/>
            <w:rFonts w:hint="eastAsia"/>
            <w:sz w:val="20"/>
            <w:szCs w:val="20"/>
            <w:shd w:val="clear" w:color="auto" w:fill="FFFFFF"/>
            <w:lang w:eastAsia="zh-CN"/>
          </w:rPr>
          <w:t>3</w:t>
        </w:r>
      </w:hyperlink>
      <w:r w:rsidR="00F3062A" w:rsidRPr="00F3062A">
        <w:rPr>
          <w:color w:val="000000"/>
          <w:sz w:val="20"/>
          <w:szCs w:val="20"/>
          <w:shd w:val="clear" w:color="auto" w:fill="FFFFFF"/>
        </w:rPr>
        <w:t>.</w:t>
      </w:r>
    </w:p>
    <w:p w:rsidR="001817C7" w:rsidRPr="00F3062A" w:rsidRDefault="001817C7" w:rsidP="00F3062A">
      <w:pPr>
        <w:snapToGrid w:val="0"/>
        <w:jc w:val="both"/>
        <w:rPr>
          <w:sz w:val="20"/>
          <w:szCs w:val="20"/>
        </w:rPr>
      </w:pPr>
    </w:p>
    <w:p w:rsidR="001817C7" w:rsidRPr="00F3062A" w:rsidRDefault="001817C7" w:rsidP="00F3062A">
      <w:pPr>
        <w:snapToGrid w:val="0"/>
        <w:jc w:val="both"/>
        <w:rPr>
          <w:sz w:val="20"/>
          <w:szCs w:val="20"/>
        </w:rPr>
      </w:pPr>
      <w:r w:rsidRPr="00F3062A">
        <w:rPr>
          <w:b/>
          <w:sz w:val="20"/>
          <w:szCs w:val="20"/>
        </w:rPr>
        <w:t xml:space="preserve">Keywords: </w:t>
      </w:r>
      <w:r w:rsidR="008633A4" w:rsidRPr="00F3062A">
        <w:rPr>
          <w:sz w:val="20"/>
          <w:szCs w:val="20"/>
        </w:rPr>
        <w:t>feijoa; drying; composition; physical properties; chemical properties</w:t>
      </w:r>
    </w:p>
    <w:p w:rsidR="00F3062A" w:rsidRPr="00F3062A" w:rsidRDefault="00F3062A" w:rsidP="00F3062A">
      <w:pPr>
        <w:snapToGrid w:val="0"/>
        <w:jc w:val="both"/>
        <w:rPr>
          <w:b/>
          <w:sz w:val="20"/>
          <w:szCs w:val="20"/>
        </w:rPr>
      </w:pPr>
    </w:p>
    <w:p w:rsidR="00F3062A" w:rsidRPr="00F3062A" w:rsidRDefault="00F3062A" w:rsidP="00F3062A">
      <w:pPr>
        <w:snapToGrid w:val="0"/>
        <w:jc w:val="both"/>
        <w:rPr>
          <w:b/>
          <w:sz w:val="20"/>
          <w:szCs w:val="20"/>
        </w:rPr>
        <w:sectPr w:rsidR="00F3062A" w:rsidRPr="00F3062A" w:rsidSect="002F6889">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16"/>
          <w:cols w:space="720"/>
          <w:docGrid w:linePitch="360"/>
        </w:sectPr>
      </w:pPr>
    </w:p>
    <w:p w:rsidR="00471E57" w:rsidRPr="00F3062A" w:rsidRDefault="00471E57" w:rsidP="00F3062A">
      <w:pPr>
        <w:snapToGrid w:val="0"/>
        <w:jc w:val="both"/>
        <w:rPr>
          <w:b/>
          <w:sz w:val="20"/>
          <w:szCs w:val="20"/>
        </w:rPr>
      </w:pPr>
      <w:r w:rsidRPr="00F3062A">
        <w:rPr>
          <w:b/>
          <w:sz w:val="20"/>
          <w:szCs w:val="20"/>
        </w:rPr>
        <w:t>1. Introduction</w:t>
      </w:r>
    </w:p>
    <w:p w:rsidR="008633A4" w:rsidRPr="00F3062A" w:rsidRDefault="008633A4" w:rsidP="00F3062A">
      <w:pPr>
        <w:snapToGrid w:val="0"/>
        <w:ind w:firstLine="425"/>
        <w:jc w:val="both"/>
        <w:rPr>
          <w:sz w:val="20"/>
          <w:szCs w:val="20"/>
        </w:rPr>
      </w:pPr>
      <w:r w:rsidRPr="00F3062A">
        <w:rPr>
          <w:sz w:val="20"/>
          <w:szCs w:val="20"/>
        </w:rPr>
        <w:t>The feijoa (</w:t>
      </w:r>
      <w:r w:rsidRPr="00F3062A">
        <w:rPr>
          <w:i/>
          <w:iCs/>
          <w:sz w:val="20"/>
          <w:szCs w:val="20"/>
        </w:rPr>
        <w:t>Acca sellowiana</w:t>
      </w:r>
      <w:r w:rsidRPr="00F3062A">
        <w:rPr>
          <w:sz w:val="20"/>
          <w:szCs w:val="20"/>
        </w:rPr>
        <w:t xml:space="preserve">) also known as the Pineapple Guava and Guavasteen is an evergreen bush or small tree that originates from the highlands regions of South America but nowadays is widely distributed and cultivated in many countries. The fruit of feijoa has a smooth and soft green skin, the ﬂesh is juicy and is divided into a clear, gelatinous seed pulp and a firmer, slightly granular, opaque flesh nearer the skin. Additionally, approximately thirty edible seeds are present within the flesh. Feijoa fruit usually picked fully mature, but not fully ripe and before falling to the ground, in order to assure good appearance and flavour. The optimum storage temperature and relative humidity for feijoa is 5 ± 1°C (41 ± 2°F), RH 90% to 95% and the fruit has the potential to be stored for four to five weeks depending on the cultivar and ripeness stage </w:t>
      </w:r>
      <w:r w:rsidRPr="00F3062A">
        <w:rPr>
          <w:noProof/>
          <w:sz w:val="20"/>
          <w:szCs w:val="20"/>
        </w:rPr>
        <w:t>(Al-Harthy 2010)</w:t>
      </w:r>
      <w:r w:rsidR="00F3062A" w:rsidRPr="00F3062A">
        <w:rPr>
          <w:sz w:val="20"/>
          <w:szCs w:val="20"/>
        </w:rPr>
        <w:t>.</w:t>
      </w:r>
      <w:r w:rsidR="00F3062A">
        <w:rPr>
          <w:sz w:val="20"/>
          <w:szCs w:val="20"/>
        </w:rPr>
        <w:t xml:space="preserve"> </w:t>
      </w:r>
      <w:r w:rsidR="00F3062A" w:rsidRPr="00F3062A">
        <w:rPr>
          <w:sz w:val="20"/>
          <w:szCs w:val="20"/>
        </w:rPr>
        <w:t>T</w:t>
      </w:r>
      <w:r w:rsidRPr="00F3062A">
        <w:rPr>
          <w:sz w:val="20"/>
          <w:szCs w:val="20"/>
        </w:rPr>
        <w:t>he ﬂesh is white and sweet and has a sweet, aromatic flavor. Many volatile compounds, including terpenes, tannins, quinones, steroidal saponins, ﬂavonoids and both methyl and ethyl benzoate, which account for</w:t>
      </w:r>
      <w:r w:rsidR="00F3062A">
        <w:rPr>
          <w:sz w:val="20"/>
          <w:szCs w:val="20"/>
        </w:rPr>
        <w:t xml:space="preserve"> </w:t>
      </w:r>
      <w:r w:rsidRPr="00F3062A">
        <w:rPr>
          <w:sz w:val="20"/>
          <w:szCs w:val="20"/>
        </w:rPr>
        <w:t xml:space="preserve">approximately 90% of the volatile fraction, are responsible for the strong feijoa-like character of the fruit </w:t>
      </w:r>
      <w:r w:rsidRPr="00F3062A">
        <w:rPr>
          <w:noProof/>
          <w:sz w:val="20"/>
          <w:szCs w:val="20"/>
        </w:rPr>
        <w:t>(Bose and Mitra 1990; Canhoto and Cruz 1996; Schotsmans et al. 2011; Hardy and Michael 1970b)</w:t>
      </w:r>
      <w:r w:rsidRPr="00F3062A">
        <w:rPr>
          <w:sz w:val="20"/>
          <w:szCs w:val="20"/>
        </w:rPr>
        <w:t>.</w:t>
      </w:r>
      <w:r w:rsidR="00F3062A">
        <w:rPr>
          <w:sz w:val="20"/>
          <w:szCs w:val="20"/>
        </w:rPr>
        <w:t xml:space="preserve"> </w:t>
      </w:r>
      <w:r w:rsidRPr="00F3062A">
        <w:rPr>
          <w:sz w:val="20"/>
          <w:szCs w:val="20"/>
        </w:rPr>
        <w:t xml:space="preserve">The fruits are rich in vitamin C, polyphenols, terpenes, tannins, steroidal, saponins, flavonoids hydrocarbons, minerals, iodine and both methyl and ethyl benzoate </w:t>
      </w:r>
      <w:r w:rsidRPr="00F3062A">
        <w:rPr>
          <w:noProof/>
          <w:sz w:val="20"/>
          <w:szCs w:val="20"/>
        </w:rPr>
        <w:t>(Hardy and Michael 1970b; Pasquariello et al. 2015b)</w:t>
      </w:r>
      <w:r w:rsidRPr="00F3062A">
        <w:rPr>
          <w:sz w:val="20"/>
          <w:szCs w:val="20"/>
        </w:rPr>
        <w:t xml:space="preserve">. Feijoa has shown potent antimicrobial and antifungal activities and anti-cancer activities so used for medical and pharmaceutical purposes </w:t>
      </w:r>
      <w:r w:rsidRPr="00F3062A">
        <w:rPr>
          <w:noProof/>
          <w:sz w:val="20"/>
          <w:szCs w:val="20"/>
        </w:rPr>
        <w:t>(Clerici and Carvalho-Silva 2011; Sun-</w:t>
      </w:r>
      <w:r w:rsidRPr="00F3062A">
        <w:rPr>
          <w:noProof/>
          <w:sz w:val="20"/>
          <w:szCs w:val="20"/>
        </w:rPr>
        <w:t>Waterhouse et al. 2013; Taylor et al. 2007; Weston 2010)</w:t>
      </w:r>
      <w:r w:rsidRPr="00F3062A">
        <w:rPr>
          <w:sz w:val="20"/>
          <w:szCs w:val="20"/>
        </w:rPr>
        <w:t xml:space="preserve"> Moreover, an antioxidant activity of feijoa plant has been described (Vuotto et al., 2000)</w:t>
      </w:r>
      <w:r w:rsidR="008F0181">
        <w:rPr>
          <w:rFonts w:hint="eastAsia"/>
          <w:sz w:val="20"/>
          <w:szCs w:val="20"/>
          <w:lang w:eastAsia="zh-CN"/>
        </w:rPr>
        <w:t xml:space="preserve"> </w:t>
      </w:r>
      <w:r w:rsidRPr="00F3062A">
        <w:rPr>
          <w:noProof/>
          <w:sz w:val="20"/>
          <w:szCs w:val="20"/>
        </w:rPr>
        <w:t>(Basile et al. 2010; Bontempo et al. 2007; Monforte et al. 2014; Skinner and Hunter 2013; Varga and Molnar 2000)</w:t>
      </w:r>
      <w:r w:rsidRPr="00F3062A">
        <w:rPr>
          <w:sz w:val="20"/>
          <w:szCs w:val="20"/>
        </w:rPr>
        <w:t>. There has also been a major effort to commercialize the feijoa. Both domestic and imported fruit can often be found in the markets, but the demand does not seem to be great due to of lack of clear information regarding nutritional and other characteristic of feijoa fruit. The review of literature showed that very limited studies have been conducted using this fruit in terms of physical and chemical characteristics (</w:t>
      </w:r>
      <w:r w:rsidRPr="00F3062A">
        <w:rPr>
          <w:noProof/>
          <w:sz w:val="20"/>
          <w:szCs w:val="20"/>
        </w:rPr>
        <w:t>Al-Harthy 2010; Basile et al. 2010; Beyhan et al. 2010; Bontempo et al. 2007; Canhoto and Cruz 1996; Hardy and Michael 1970a; Vuotto et al. 2000; Weston 2010</w:t>
      </w:r>
      <w:r w:rsidRPr="00F3062A">
        <w:rPr>
          <w:sz w:val="20"/>
          <w:szCs w:val="20"/>
        </w:rPr>
        <w:t>). In view of this, comparison of physicochemical methods of fresh, died and infusion of this fruit is carried out in this work.</w:t>
      </w:r>
    </w:p>
    <w:p w:rsidR="008633A4" w:rsidRPr="00F3062A" w:rsidRDefault="008633A4" w:rsidP="00F3062A">
      <w:pPr>
        <w:snapToGrid w:val="0"/>
        <w:jc w:val="both"/>
        <w:rPr>
          <w:b/>
          <w:bCs/>
          <w:sz w:val="20"/>
          <w:szCs w:val="20"/>
        </w:rPr>
      </w:pPr>
    </w:p>
    <w:p w:rsidR="008633A4" w:rsidRPr="00F3062A" w:rsidRDefault="008633A4" w:rsidP="00F3062A">
      <w:pPr>
        <w:snapToGrid w:val="0"/>
        <w:jc w:val="both"/>
        <w:rPr>
          <w:b/>
          <w:bCs/>
          <w:sz w:val="20"/>
          <w:szCs w:val="20"/>
        </w:rPr>
      </w:pPr>
      <w:r w:rsidRPr="00F3062A">
        <w:rPr>
          <w:b/>
          <w:bCs/>
          <w:sz w:val="20"/>
          <w:szCs w:val="20"/>
        </w:rPr>
        <w:t>2. Materials and methods</w:t>
      </w:r>
    </w:p>
    <w:p w:rsidR="008633A4" w:rsidRPr="00F3062A" w:rsidRDefault="008633A4" w:rsidP="00F3062A">
      <w:pPr>
        <w:snapToGrid w:val="0"/>
        <w:jc w:val="both"/>
        <w:rPr>
          <w:rFonts w:eastAsia="Calibri"/>
          <w:b/>
          <w:bCs/>
          <w:sz w:val="20"/>
          <w:szCs w:val="20"/>
        </w:rPr>
      </w:pPr>
      <w:r w:rsidRPr="00F3062A">
        <w:rPr>
          <w:rFonts w:eastAsia="Calibri"/>
          <w:b/>
          <w:bCs/>
          <w:sz w:val="20"/>
          <w:szCs w:val="20"/>
        </w:rPr>
        <w:t>2-1-Materials</w:t>
      </w:r>
    </w:p>
    <w:p w:rsidR="008633A4" w:rsidRPr="00F3062A" w:rsidRDefault="008633A4" w:rsidP="00F3062A">
      <w:pPr>
        <w:snapToGrid w:val="0"/>
        <w:ind w:firstLine="425"/>
        <w:jc w:val="both"/>
        <w:rPr>
          <w:rFonts w:eastAsia="Calibri"/>
          <w:sz w:val="20"/>
          <w:szCs w:val="20"/>
        </w:rPr>
      </w:pPr>
      <w:r w:rsidRPr="00F3062A">
        <w:rPr>
          <w:rFonts w:eastAsia="Calibri"/>
          <w:i/>
          <w:iCs/>
          <w:sz w:val="20"/>
          <w:szCs w:val="20"/>
        </w:rPr>
        <w:t>Feijoa</w:t>
      </w:r>
      <w:r w:rsidR="008F0181">
        <w:rPr>
          <w:rFonts w:eastAsiaTheme="minorEastAsia" w:hint="eastAsia"/>
          <w:i/>
          <w:iCs/>
          <w:sz w:val="20"/>
          <w:szCs w:val="20"/>
          <w:lang w:eastAsia="zh-CN"/>
        </w:rPr>
        <w:t xml:space="preserve"> </w:t>
      </w:r>
      <w:r w:rsidRPr="00F3062A">
        <w:rPr>
          <w:rFonts w:eastAsia="Calibri"/>
          <w:sz w:val="20"/>
          <w:szCs w:val="20"/>
        </w:rPr>
        <w:t xml:space="preserve">fruits were collected from botanical gardens of experimental institute in </w:t>
      </w:r>
      <w:r w:rsidR="0032038C" w:rsidRPr="00F3062A">
        <w:rPr>
          <w:rFonts w:eastAsia="Calibri"/>
          <w:sz w:val="20"/>
          <w:szCs w:val="20"/>
        </w:rPr>
        <w:t>Ramsar, Mazandaran</w:t>
      </w:r>
      <w:r w:rsidRPr="00F3062A">
        <w:rPr>
          <w:rFonts w:eastAsia="Calibri"/>
          <w:sz w:val="20"/>
          <w:szCs w:val="20"/>
        </w:rPr>
        <w:t xml:space="preserve"> province, Iran. All the chemicals and solvents used in this study were supplied by Sigma, Merck and Aplichem.</w:t>
      </w:r>
    </w:p>
    <w:p w:rsidR="008633A4" w:rsidRPr="00F3062A" w:rsidRDefault="008633A4" w:rsidP="00F3062A">
      <w:pPr>
        <w:snapToGrid w:val="0"/>
        <w:jc w:val="both"/>
        <w:rPr>
          <w:b/>
          <w:bCs/>
          <w:sz w:val="20"/>
          <w:szCs w:val="20"/>
        </w:rPr>
      </w:pPr>
      <w:r w:rsidRPr="00F3062A">
        <w:rPr>
          <w:b/>
          <w:bCs/>
          <w:sz w:val="20"/>
          <w:szCs w:val="20"/>
        </w:rPr>
        <w:t>2-2-Sample preparation</w:t>
      </w:r>
    </w:p>
    <w:p w:rsidR="008633A4" w:rsidRPr="00F3062A" w:rsidRDefault="008633A4" w:rsidP="00F3062A">
      <w:pPr>
        <w:snapToGrid w:val="0"/>
        <w:ind w:firstLine="425"/>
        <w:jc w:val="both"/>
        <w:rPr>
          <w:sz w:val="20"/>
          <w:szCs w:val="20"/>
        </w:rPr>
      </w:pPr>
      <w:r w:rsidRPr="00F3062A">
        <w:rPr>
          <w:sz w:val="20"/>
          <w:szCs w:val="20"/>
        </w:rPr>
        <w:t>Fresh fruit peels were coarsely grounded before extraction. A known amount of each part was extracted at room temperature, using the by percolation method, with methanol and water; methanol/ water</w:t>
      </w:r>
      <w:r w:rsidR="008F0181">
        <w:rPr>
          <w:rFonts w:hint="eastAsia"/>
          <w:sz w:val="20"/>
          <w:szCs w:val="20"/>
          <w:lang w:eastAsia="zh-CN"/>
        </w:rPr>
        <w:t xml:space="preserve"> </w:t>
      </w:r>
      <w:r w:rsidRPr="00F3062A">
        <w:rPr>
          <w:sz w:val="20"/>
          <w:szCs w:val="20"/>
        </w:rPr>
        <w:t xml:space="preserve">(80:20, 400 mL × 3 times) as the extraction solvent. The resulting extract was </w:t>
      </w:r>
      <w:r w:rsidRPr="00F3062A">
        <w:rPr>
          <w:sz w:val="20"/>
          <w:szCs w:val="20"/>
        </w:rPr>
        <w:lastRenderedPageBreak/>
        <w:t xml:space="preserve">concentrated in a rotary vacuum, until a crude solid extract was obtained. The extract was freeze-dried for complete solvent removal. Air dried feijoa was conducted in an oven (DK63, Yamato, Japan) at 80 </w:t>
      </w:r>
      <w:r w:rsidRPr="00F3062A">
        <w:rPr>
          <w:sz w:val="20"/>
          <w:szCs w:val="20"/>
        </w:rPr>
        <w:sym w:font="Symbol" w:char="F0B0"/>
      </w:r>
      <w:r w:rsidRPr="00F3062A">
        <w:rPr>
          <w:sz w:val="20"/>
          <w:szCs w:val="20"/>
        </w:rPr>
        <w:t xml:space="preserve">C for 2 h and then shifted to 60 </w:t>
      </w:r>
      <w:r w:rsidRPr="00F3062A">
        <w:rPr>
          <w:sz w:val="20"/>
          <w:szCs w:val="20"/>
        </w:rPr>
        <w:sym w:font="Symbol" w:char="F0B0"/>
      </w:r>
      <w:r w:rsidRPr="00F3062A">
        <w:rPr>
          <w:sz w:val="20"/>
          <w:szCs w:val="20"/>
        </w:rPr>
        <w:t>C for 6 h. the products were then ground to powder and extraction process was done as above.</w:t>
      </w:r>
    </w:p>
    <w:p w:rsidR="008633A4" w:rsidRPr="00F3062A" w:rsidRDefault="008633A4" w:rsidP="00F3062A">
      <w:pPr>
        <w:snapToGrid w:val="0"/>
        <w:ind w:firstLine="425"/>
        <w:jc w:val="both"/>
        <w:rPr>
          <w:sz w:val="20"/>
          <w:szCs w:val="20"/>
        </w:rPr>
      </w:pPr>
      <w:r w:rsidRPr="00F3062A">
        <w:rPr>
          <w:sz w:val="20"/>
          <w:szCs w:val="20"/>
        </w:rPr>
        <w:t>Drying of fruits was done by hot air dryer (Armfield tray dryer</w:t>
      </w:r>
      <w:r w:rsidR="00F3062A" w:rsidRPr="00F3062A">
        <w:rPr>
          <w:sz w:val="20"/>
          <w:szCs w:val="20"/>
        </w:rPr>
        <w:t>,</w:t>
      </w:r>
      <w:r w:rsidR="00F3062A">
        <w:rPr>
          <w:sz w:val="20"/>
          <w:szCs w:val="20"/>
        </w:rPr>
        <w:t xml:space="preserve"> </w:t>
      </w:r>
      <w:r w:rsidR="00F3062A" w:rsidRPr="00F3062A">
        <w:rPr>
          <w:sz w:val="20"/>
          <w:szCs w:val="20"/>
        </w:rPr>
        <w:t>G</w:t>
      </w:r>
      <w:r w:rsidRPr="00F3062A">
        <w:rPr>
          <w:sz w:val="20"/>
          <w:szCs w:val="20"/>
        </w:rPr>
        <w:t>ermany). The dryer was operated at an air velocity of 2 m/s, parallel to the drying surface of the sample, 60°C dry bulb and 27°C wet bulb temperatures. The samples were dried until equilibrium state and the dried fruits were stored vacuum-sealed in low-density-polyethylene bags, protected from sunlight, until further analysis.</w:t>
      </w:r>
    </w:p>
    <w:p w:rsidR="008633A4" w:rsidRPr="00F3062A" w:rsidRDefault="008633A4" w:rsidP="00F3062A">
      <w:pPr>
        <w:snapToGrid w:val="0"/>
        <w:ind w:firstLine="425"/>
        <w:jc w:val="both"/>
        <w:rPr>
          <w:sz w:val="20"/>
          <w:szCs w:val="20"/>
        </w:rPr>
      </w:pPr>
      <w:r w:rsidRPr="00F3062A">
        <w:rPr>
          <w:sz w:val="20"/>
          <w:szCs w:val="20"/>
        </w:rPr>
        <w:t>The samples of were extracted according to method described by (Rodríguez et al. 2014)</w:t>
      </w:r>
      <w:r w:rsidR="00F3062A" w:rsidRPr="00F3062A">
        <w:rPr>
          <w:sz w:val="20"/>
          <w:szCs w:val="20"/>
        </w:rPr>
        <w:t>.</w:t>
      </w:r>
      <w:r w:rsidR="00F3062A">
        <w:rPr>
          <w:sz w:val="20"/>
          <w:szCs w:val="20"/>
        </w:rPr>
        <w:t xml:space="preserve"> </w:t>
      </w:r>
      <w:r w:rsidR="00F3062A" w:rsidRPr="00F3062A">
        <w:rPr>
          <w:sz w:val="20"/>
          <w:szCs w:val="20"/>
        </w:rPr>
        <w:t>E</w:t>
      </w:r>
      <w:r w:rsidRPr="00F3062A">
        <w:rPr>
          <w:sz w:val="20"/>
          <w:szCs w:val="20"/>
        </w:rPr>
        <w:t>xtractions were performed in triplicate, and extracts were kept for further analysis.</w:t>
      </w:r>
    </w:p>
    <w:p w:rsidR="008633A4" w:rsidRPr="00F3062A" w:rsidRDefault="008633A4" w:rsidP="00F3062A">
      <w:pPr>
        <w:snapToGrid w:val="0"/>
        <w:jc w:val="both"/>
        <w:rPr>
          <w:b/>
          <w:bCs/>
          <w:sz w:val="20"/>
          <w:szCs w:val="20"/>
        </w:rPr>
      </w:pPr>
      <w:r w:rsidRPr="00F3062A">
        <w:rPr>
          <w:b/>
          <w:bCs/>
          <w:sz w:val="20"/>
          <w:szCs w:val="20"/>
        </w:rPr>
        <w:t>2-3-Physical characteristics of fresh feijoa fruits</w:t>
      </w:r>
    </w:p>
    <w:p w:rsidR="008633A4" w:rsidRPr="00F3062A" w:rsidRDefault="008633A4" w:rsidP="00F3062A">
      <w:pPr>
        <w:snapToGrid w:val="0"/>
        <w:ind w:firstLine="425"/>
        <w:jc w:val="both"/>
        <w:rPr>
          <w:sz w:val="20"/>
          <w:szCs w:val="20"/>
        </w:rPr>
      </w:pPr>
      <w:r w:rsidRPr="00F3062A">
        <w:rPr>
          <w:sz w:val="20"/>
          <w:szCs w:val="20"/>
        </w:rPr>
        <w:t>The fruit was randomly selected for physical measurement which includes the fruit weight, with an electronic balance with 0.01 g sensitivity; the fruit length and diameter, using a digital caliber with 0.1-mm sensitivity; the fruit transverse and longitudinal shape; skin and flesh color using a Minolta colorimeter (CR5, Minolta Camera Co., Japan) determining the chromaticity values L*</w:t>
      </w:r>
      <w:r w:rsidR="00F3062A">
        <w:rPr>
          <w:sz w:val="20"/>
          <w:szCs w:val="20"/>
        </w:rPr>
        <w:t xml:space="preserve"> </w:t>
      </w:r>
      <w:r w:rsidRPr="00F3062A">
        <w:rPr>
          <w:sz w:val="20"/>
          <w:szCs w:val="20"/>
        </w:rPr>
        <w:t>(Lightness), a* (green to</w:t>
      </w:r>
      <w:r w:rsidR="00F3062A">
        <w:rPr>
          <w:sz w:val="20"/>
          <w:szCs w:val="20"/>
        </w:rPr>
        <w:t xml:space="preserve"> </w:t>
      </w:r>
      <w:r w:rsidRPr="00F3062A">
        <w:rPr>
          <w:sz w:val="20"/>
          <w:szCs w:val="20"/>
        </w:rPr>
        <w:t>red) and b* (blue to yellow); total soluble solids content (TSS, ◦Brix) by digital refractometer</w:t>
      </w:r>
      <w:r w:rsidR="00F3062A">
        <w:rPr>
          <w:sz w:val="20"/>
          <w:szCs w:val="20"/>
        </w:rPr>
        <w:t xml:space="preserve"> </w:t>
      </w:r>
      <w:r w:rsidRPr="00F3062A">
        <w:rPr>
          <w:sz w:val="20"/>
          <w:szCs w:val="20"/>
        </w:rPr>
        <w:t>(Sinergica Soluzioni, DBR35, Pescara, Italy);</w:t>
      </w:r>
      <w:r w:rsidR="00F3062A">
        <w:rPr>
          <w:sz w:val="20"/>
          <w:szCs w:val="20"/>
        </w:rPr>
        <w:t xml:space="preserve"> </w:t>
      </w:r>
      <w:r w:rsidRPr="00F3062A">
        <w:rPr>
          <w:sz w:val="20"/>
          <w:szCs w:val="20"/>
        </w:rPr>
        <w:t>percent edible portion; percent waste; percent of juice, Texture profile analysis (TPA) was performed using a Texture Analyzer (model TA.XT</w:t>
      </w:r>
      <w:r w:rsidR="00F3062A" w:rsidRPr="00F3062A">
        <w:rPr>
          <w:sz w:val="20"/>
          <w:szCs w:val="20"/>
        </w:rPr>
        <w:t>.</w:t>
      </w:r>
      <w:r w:rsidR="00F3062A">
        <w:rPr>
          <w:sz w:val="20"/>
          <w:szCs w:val="20"/>
        </w:rPr>
        <w:t xml:space="preserve"> </w:t>
      </w:r>
      <w:r w:rsidR="00F3062A" w:rsidRPr="00F3062A">
        <w:rPr>
          <w:sz w:val="20"/>
          <w:szCs w:val="20"/>
        </w:rPr>
        <w:t>P</w:t>
      </w:r>
      <w:r w:rsidRPr="00F3062A">
        <w:rPr>
          <w:sz w:val="20"/>
          <w:szCs w:val="20"/>
        </w:rPr>
        <w:t>lus). The texture profile analysis was carried out by two compression cycles between parallel plates performed on cylindrical samples (diameter 10 mm, height 3 mm) using a flat 75 mm diameter plunger, with a 5 s of time between cycles. The parameters that have been used were the following: 5 kg force load cell and 0.5 mm s−1 test speed. All the measurements were done in triplicate and the average of the reading was reported.</w:t>
      </w:r>
    </w:p>
    <w:p w:rsidR="008633A4" w:rsidRPr="00F3062A" w:rsidRDefault="008633A4" w:rsidP="00F3062A">
      <w:pPr>
        <w:snapToGrid w:val="0"/>
        <w:jc w:val="both"/>
        <w:rPr>
          <w:b/>
          <w:bCs/>
          <w:sz w:val="20"/>
          <w:szCs w:val="20"/>
        </w:rPr>
      </w:pPr>
      <w:r w:rsidRPr="00F3062A">
        <w:rPr>
          <w:b/>
          <w:bCs/>
          <w:sz w:val="20"/>
          <w:szCs w:val="20"/>
        </w:rPr>
        <w:t>2-4-Chemical characteristics fresh, dried and infusion of feijoa</w:t>
      </w:r>
    </w:p>
    <w:p w:rsidR="008633A4" w:rsidRPr="00F3062A" w:rsidRDefault="008633A4" w:rsidP="00F3062A">
      <w:pPr>
        <w:snapToGrid w:val="0"/>
        <w:ind w:firstLine="425"/>
        <w:jc w:val="both"/>
        <w:rPr>
          <w:sz w:val="20"/>
          <w:szCs w:val="20"/>
        </w:rPr>
      </w:pPr>
      <w:r w:rsidRPr="00F3062A">
        <w:rPr>
          <w:sz w:val="20"/>
          <w:szCs w:val="20"/>
        </w:rPr>
        <w:t>Analysis of the moisture, pH, ash, titratable acidity</w:t>
      </w:r>
      <w:r w:rsidRPr="00F3062A">
        <w:rPr>
          <w:sz w:val="20"/>
          <w:szCs w:val="20"/>
          <w:rtl/>
        </w:rPr>
        <w:t>و</w:t>
      </w:r>
      <w:r w:rsidRPr="00F3062A">
        <w:rPr>
          <w:sz w:val="20"/>
          <w:szCs w:val="20"/>
        </w:rPr>
        <w:t xml:space="preserve"> protein, total fat, crude fiber and carbohydrate contents were carried out according to the Association of Official Analytical Chemist (AOAC) (2003).</w:t>
      </w:r>
    </w:p>
    <w:p w:rsidR="008633A4" w:rsidRPr="00F3062A" w:rsidRDefault="008633A4" w:rsidP="00F3062A">
      <w:pPr>
        <w:snapToGrid w:val="0"/>
        <w:jc w:val="both"/>
        <w:rPr>
          <w:b/>
          <w:bCs/>
          <w:sz w:val="20"/>
          <w:szCs w:val="20"/>
        </w:rPr>
      </w:pPr>
      <w:r w:rsidRPr="00F3062A">
        <w:rPr>
          <w:b/>
          <w:bCs/>
          <w:sz w:val="20"/>
          <w:szCs w:val="20"/>
        </w:rPr>
        <w:t>2-4-1-Determination of ascorbic acid</w:t>
      </w:r>
    </w:p>
    <w:p w:rsidR="008633A4" w:rsidRPr="00F3062A" w:rsidRDefault="008633A4" w:rsidP="00F3062A">
      <w:pPr>
        <w:snapToGrid w:val="0"/>
        <w:ind w:firstLine="425"/>
        <w:jc w:val="both"/>
        <w:rPr>
          <w:sz w:val="20"/>
          <w:szCs w:val="20"/>
        </w:rPr>
      </w:pPr>
      <w:r w:rsidRPr="00F3062A">
        <w:rPr>
          <w:sz w:val="20"/>
          <w:szCs w:val="20"/>
        </w:rPr>
        <w:t>The ascorbic acid (vitamin C) content of the fruit was determined following the method of Malik and Singh (2005) with some modifications</w:t>
      </w:r>
      <w:r w:rsidRPr="00F3062A">
        <w:rPr>
          <w:noProof/>
          <w:sz w:val="20"/>
          <w:szCs w:val="20"/>
        </w:rPr>
        <w:t xml:space="preserve"> (Malik and Singh 2005; Pasquariello et al. 2015a)</w:t>
      </w:r>
      <w:r w:rsidRPr="00F3062A">
        <w:rPr>
          <w:sz w:val="20"/>
          <w:szCs w:val="20"/>
        </w:rPr>
        <w:t xml:space="preserve">. The ascorbic acid concentration was calculated against a 100% (w/v) ascorbic acid standard curve and was expressed </w:t>
      </w:r>
      <w:r w:rsidRPr="00F3062A">
        <w:rPr>
          <w:sz w:val="20"/>
          <w:szCs w:val="20"/>
        </w:rPr>
        <w:t>as mg as milligrams of ascorbic acid (AA) per 100 g of fresh weight (FW).</w:t>
      </w:r>
    </w:p>
    <w:p w:rsidR="008633A4" w:rsidRPr="00F3062A" w:rsidRDefault="008633A4" w:rsidP="00F3062A">
      <w:pPr>
        <w:snapToGrid w:val="0"/>
        <w:jc w:val="both"/>
        <w:rPr>
          <w:b/>
          <w:bCs/>
          <w:sz w:val="20"/>
          <w:szCs w:val="20"/>
        </w:rPr>
      </w:pPr>
      <w:r w:rsidRPr="00F3062A">
        <w:rPr>
          <w:b/>
          <w:bCs/>
          <w:sz w:val="20"/>
          <w:szCs w:val="20"/>
        </w:rPr>
        <w:t>2-4-2-Determination of iodine</w:t>
      </w:r>
    </w:p>
    <w:p w:rsidR="008633A4" w:rsidRPr="00F3062A" w:rsidRDefault="008633A4" w:rsidP="00F3062A">
      <w:pPr>
        <w:snapToGrid w:val="0"/>
        <w:ind w:firstLine="425"/>
        <w:jc w:val="both"/>
        <w:rPr>
          <w:sz w:val="20"/>
          <w:szCs w:val="20"/>
          <w:lang w:eastAsia="zh-CN"/>
        </w:rPr>
      </w:pPr>
      <w:r w:rsidRPr="00F3062A">
        <w:rPr>
          <w:sz w:val="20"/>
          <w:szCs w:val="20"/>
        </w:rPr>
        <w:t xml:space="preserve">Iodine was determined by the method of (Moxon and Dixon 1980). The principle involves alkaline incineration of the sample at 600 </w:t>
      </w:r>
      <w:r w:rsidRPr="00F3062A">
        <w:rPr>
          <w:sz w:val="20"/>
          <w:szCs w:val="20"/>
        </w:rPr>
        <w:sym w:font="Symbol" w:char="F0B0"/>
      </w:r>
      <w:r w:rsidRPr="00F3062A">
        <w:rPr>
          <w:sz w:val="20"/>
          <w:szCs w:val="20"/>
        </w:rPr>
        <w:t>C to remove all organic material, followed by determination of iodine by measuring the rate of catalytic destruction of iron thiocyanate by nitrite in the presence of iodine</w:t>
      </w:r>
      <w:r w:rsidR="00F3062A">
        <w:rPr>
          <w:rFonts w:hint="eastAsia"/>
          <w:sz w:val="20"/>
          <w:szCs w:val="20"/>
          <w:lang w:eastAsia="zh-CN"/>
        </w:rPr>
        <w:t>.</w:t>
      </w:r>
    </w:p>
    <w:p w:rsidR="008633A4" w:rsidRPr="00F3062A" w:rsidRDefault="008633A4" w:rsidP="00F3062A">
      <w:pPr>
        <w:snapToGrid w:val="0"/>
        <w:jc w:val="both"/>
        <w:rPr>
          <w:b/>
          <w:bCs/>
          <w:sz w:val="20"/>
          <w:szCs w:val="20"/>
        </w:rPr>
      </w:pPr>
      <w:r w:rsidRPr="00F3062A">
        <w:rPr>
          <w:b/>
          <w:bCs/>
          <w:sz w:val="20"/>
          <w:szCs w:val="20"/>
        </w:rPr>
        <w:t>2-4-3-</w:t>
      </w:r>
      <w:r w:rsidRPr="00F3062A">
        <w:rPr>
          <w:sz w:val="20"/>
          <w:szCs w:val="20"/>
        </w:rPr>
        <w:t xml:space="preserve"> </w:t>
      </w:r>
      <w:r w:rsidRPr="00F3062A">
        <w:rPr>
          <w:b/>
          <w:bCs/>
          <w:sz w:val="20"/>
          <w:szCs w:val="20"/>
        </w:rPr>
        <w:t>Total phenol content</w:t>
      </w:r>
    </w:p>
    <w:p w:rsidR="008633A4" w:rsidRPr="00F3062A" w:rsidRDefault="008633A4" w:rsidP="00F3062A">
      <w:pPr>
        <w:snapToGrid w:val="0"/>
        <w:ind w:firstLine="425"/>
        <w:jc w:val="both"/>
        <w:rPr>
          <w:sz w:val="20"/>
          <w:szCs w:val="20"/>
        </w:rPr>
      </w:pPr>
      <w:r w:rsidRPr="00F3062A">
        <w:rPr>
          <w:sz w:val="20"/>
          <w:szCs w:val="20"/>
        </w:rPr>
        <w:t>Determination of total phenolic content in</w:t>
      </w:r>
      <w:r w:rsidR="00F3062A">
        <w:rPr>
          <w:sz w:val="20"/>
          <w:szCs w:val="20"/>
        </w:rPr>
        <w:t xml:space="preserve"> </w:t>
      </w:r>
      <w:r w:rsidRPr="00F3062A">
        <w:rPr>
          <w:sz w:val="20"/>
          <w:szCs w:val="20"/>
        </w:rPr>
        <w:t>was carried out using a Folin-Ciocalteau colorimetric method, calibrating against gallic acid as the reference standard and expressing the results as gallic acid equivalents (GAE) using the following linear equation based on the calibration curve:</w:t>
      </w:r>
      <w:r w:rsidR="00F3062A">
        <w:rPr>
          <w:sz w:val="20"/>
          <w:szCs w:val="20"/>
        </w:rPr>
        <w:t xml:space="preserve"> </w:t>
      </w:r>
      <w:r w:rsidRPr="00F3062A">
        <w:rPr>
          <w:noProof/>
          <w:sz w:val="20"/>
          <w:szCs w:val="20"/>
        </w:rPr>
        <w:t>(Di Majo et al. 2008)</w:t>
      </w:r>
      <w:r w:rsidRPr="00F3062A">
        <w:rPr>
          <w:sz w:val="20"/>
          <w:szCs w:val="20"/>
        </w:rPr>
        <w:t>.</w:t>
      </w:r>
    </w:p>
    <w:p w:rsidR="008633A4" w:rsidRPr="00F3062A" w:rsidRDefault="008633A4" w:rsidP="00F3062A">
      <w:pPr>
        <w:snapToGrid w:val="0"/>
        <w:jc w:val="both"/>
        <w:rPr>
          <w:sz w:val="20"/>
          <w:szCs w:val="20"/>
        </w:rPr>
      </w:pPr>
      <w:r w:rsidRPr="00F3062A">
        <w:rPr>
          <w:sz w:val="20"/>
          <w:szCs w:val="20"/>
        </w:rPr>
        <w:t xml:space="preserve">A = 0.023 C+ </w:t>
      </w:r>
      <w:r w:rsidRPr="00F3062A">
        <w:rPr>
          <w:sz w:val="20"/>
          <w:szCs w:val="20"/>
          <w:rtl/>
        </w:rPr>
        <w:t>‏</w:t>
      </w:r>
      <w:r w:rsidRPr="00F3062A">
        <w:rPr>
          <w:sz w:val="20"/>
          <w:szCs w:val="20"/>
        </w:rPr>
        <w:t xml:space="preserve"> 0:109,</w:t>
      </w:r>
      <w:r w:rsidR="00F3062A">
        <w:rPr>
          <w:sz w:val="20"/>
          <w:szCs w:val="20"/>
        </w:rPr>
        <w:t xml:space="preserve"> </w:t>
      </w:r>
      <w:r w:rsidR="00F3062A" w:rsidRPr="00F3062A">
        <w:rPr>
          <w:rFonts w:hint="eastAsia"/>
          <w:sz w:val="20"/>
          <w:szCs w:val="20"/>
          <w:lang w:eastAsia="zh-CN"/>
        </w:rPr>
        <w:tab/>
      </w:r>
      <w:r w:rsidRPr="00F3062A">
        <w:rPr>
          <w:sz w:val="20"/>
          <w:szCs w:val="20"/>
        </w:rPr>
        <w:t>R</w:t>
      </w:r>
      <w:r w:rsidRPr="00F3062A">
        <w:rPr>
          <w:sz w:val="20"/>
          <w:szCs w:val="20"/>
          <w:vertAlign w:val="superscript"/>
        </w:rPr>
        <w:t>2</w:t>
      </w:r>
      <w:r w:rsidRPr="00F3062A">
        <w:rPr>
          <w:sz w:val="20"/>
          <w:szCs w:val="20"/>
        </w:rPr>
        <w:t>= 0.99</w:t>
      </w:r>
      <w:r w:rsidR="00F3062A">
        <w:rPr>
          <w:sz w:val="20"/>
          <w:szCs w:val="20"/>
        </w:rPr>
        <w:t xml:space="preserve"> </w:t>
      </w:r>
      <w:r w:rsidR="00F3062A" w:rsidRPr="00F3062A">
        <w:rPr>
          <w:rFonts w:hint="eastAsia"/>
          <w:sz w:val="20"/>
          <w:szCs w:val="20"/>
          <w:lang w:eastAsia="zh-CN"/>
        </w:rPr>
        <w:tab/>
      </w:r>
      <w:r w:rsidR="00F3062A">
        <w:rPr>
          <w:sz w:val="20"/>
          <w:szCs w:val="20"/>
        </w:rPr>
        <w:t xml:space="preserve"> </w:t>
      </w:r>
      <w:r w:rsidRPr="00F3062A">
        <w:rPr>
          <w:sz w:val="20"/>
          <w:szCs w:val="20"/>
        </w:rPr>
        <w:t>[1]</w:t>
      </w:r>
    </w:p>
    <w:p w:rsidR="008633A4" w:rsidRPr="00F3062A" w:rsidRDefault="008633A4" w:rsidP="00F3062A">
      <w:pPr>
        <w:snapToGrid w:val="0"/>
        <w:ind w:firstLine="425"/>
        <w:jc w:val="both"/>
        <w:rPr>
          <w:sz w:val="20"/>
          <w:szCs w:val="20"/>
        </w:rPr>
      </w:pPr>
      <w:r w:rsidRPr="00F3062A">
        <w:rPr>
          <w:sz w:val="20"/>
          <w:szCs w:val="20"/>
        </w:rPr>
        <w:t>Where A is absorbance at 760 nm and C is concentrations of gallic acid equivalents (μg/ml).</w:t>
      </w:r>
    </w:p>
    <w:p w:rsidR="008633A4" w:rsidRPr="00F3062A" w:rsidRDefault="008633A4" w:rsidP="00F3062A">
      <w:pPr>
        <w:snapToGrid w:val="0"/>
        <w:jc w:val="both"/>
        <w:rPr>
          <w:b/>
          <w:bCs/>
          <w:sz w:val="20"/>
          <w:szCs w:val="20"/>
        </w:rPr>
      </w:pPr>
      <w:r w:rsidRPr="00F3062A">
        <w:rPr>
          <w:b/>
          <w:bCs/>
          <w:sz w:val="20"/>
          <w:szCs w:val="20"/>
        </w:rPr>
        <w:t>2-4-4-</w:t>
      </w:r>
      <w:r w:rsidRPr="00F3062A">
        <w:rPr>
          <w:sz w:val="20"/>
          <w:szCs w:val="20"/>
        </w:rPr>
        <w:t xml:space="preserve"> </w:t>
      </w:r>
      <w:r w:rsidRPr="00F3062A">
        <w:rPr>
          <w:b/>
          <w:bCs/>
          <w:sz w:val="20"/>
          <w:szCs w:val="20"/>
        </w:rPr>
        <w:t>Determination of total flavonoid</w:t>
      </w:r>
    </w:p>
    <w:p w:rsidR="008633A4" w:rsidRPr="00F3062A" w:rsidRDefault="008633A4" w:rsidP="00F3062A">
      <w:pPr>
        <w:snapToGrid w:val="0"/>
        <w:ind w:firstLine="425"/>
        <w:jc w:val="both"/>
        <w:rPr>
          <w:sz w:val="20"/>
          <w:szCs w:val="20"/>
        </w:rPr>
      </w:pPr>
      <w:r w:rsidRPr="00F3062A">
        <w:rPr>
          <w:sz w:val="20"/>
          <w:szCs w:val="20"/>
        </w:rPr>
        <w:t xml:space="preserve">The total flavonoid content (TFC) of the feijoa fruit flesh was determined by the aluminium chloride colorimetric method </w:t>
      </w:r>
      <w:r w:rsidRPr="00F3062A">
        <w:rPr>
          <w:noProof/>
          <w:sz w:val="20"/>
          <w:szCs w:val="20"/>
        </w:rPr>
        <w:t>(Zhishen et al. 1999)</w:t>
      </w:r>
      <w:r w:rsidR="008F0181">
        <w:rPr>
          <w:rFonts w:hint="eastAsia"/>
          <w:noProof/>
          <w:sz w:val="20"/>
          <w:szCs w:val="20"/>
          <w:lang w:eastAsia="zh-CN"/>
        </w:rPr>
        <w:t xml:space="preserve"> </w:t>
      </w:r>
      <w:r w:rsidRPr="00F3062A">
        <w:rPr>
          <w:sz w:val="20"/>
          <w:szCs w:val="20"/>
        </w:rPr>
        <w:t>and was expressed as milligrams of catechin equivalent (CE) per 100 g of fresh weight (FW), using a catechin calibration curve.</w:t>
      </w:r>
    </w:p>
    <w:p w:rsidR="008633A4" w:rsidRPr="00F3062A" w:rsidRDefault="008633A4" w:rsidP="00F3062A">
      <w:pPr>
        <w:snapToGrid w:val="0"/>
        <w:jc w:val="both"/>
        <w:rPr>
          <w:b/>
          <w:bCs/>
          <w:sz w:val="20"/>
          <w:szCs w:val="20"/>
        </w:rPr>
      </w:pPr>
      <w:r w:rsidRPr="00F3062A">
        <w:rPr>
          <w:b/>
          <w:bCs/>
          <w:sz w:val="20"/>
          <w:szCs w:val="20"/>
        </w:rPr>
        <w:t>2-5-Statistical Analysis</w:t>
      </w:r>
    </w:p>
    <w:p w:rsidR="008633A4" w:rsidRPr="00F3062A" w:rsidRDefault="008633A4" w:rsidP="00F3062A">
      <w:pPr>
        <w:snapToGrid w:val="0"/>
        <w:ind w:firstLine="425"/>
        <w:jc w:val="both"/>
        <w:rPr>
          <w:sz w:val="20"/>
          <w:szCs w:val="20"/>
        </w:rPr>
      </w:pPr>
      <w:r w:rsidRPr="00F3062A">
        <w:rPr>
          <w:sz w:val="20"/>
          <w:szCs w:val="20"/>
        </w:rPr>
        <w:t>All data are reported as mean±standard deviation of three replicates. One-way analysis of variance (ANOVA) was used to compare the means of all evaluated parameters. Differences were considered significant at P&lt;0.05. Calculations were done by SAS 9.1.3 Portable software.</w:t>
      </w:r>
    </w:p>
    <w:p w:rsidR="00F3062A" w:rsidRDefault="00F3062A" w:rsidP="00F3062A">
      <w:pPr>
        <w:snapToGrid w:val="0"/>
        <w:jc w:val="both"/>
        <w:rPr>
          <w:b/>
          <w:bCs/>
          <w:sz w:val="20"/>
          <w:szCs w:val="20"/>
          <w:lang w:eastAsia="zh-CN"/>
        </w:rPr>
      </w:pPr>
    </w:p>
    <w:p w:rsidR="008633A4" w:rsidRPr="00F3062A" w:rsidRDefault="008633A4" w:rsidP="00F3062A">
      <w:pPr>
        <w:snapToGrid w:val="0"/>
        <w:jc w:val="both"/>
        <w:rPr>
          <w:b/>
          <w:bCs/>
          <w:sz w:val="20"/>
          <w:szCs w:val="20"/>
        </w:rPr>
      </w:pPr>
      <w:r w:rsidRPr="00F3062A">
        <w:rPr>
          <w:b/>
          <w:bCs/>
          <w:sz w:val="20"/>
          <w:szCs w:val="20"/>
        </w:rPr>
        <w:t>3. Results and discussion</w:t>
      </w:r>
    </w:p>
    <w:p w:rsidR="008633A4" w:rsidRPr="00F3062A" w:rsidRDefault="008633A4" w:rsidP="00F3062A">
      <w:pPr>
        <w:snapToGrid w:val="0"/>
        <w:jc w:val="both"/>
        <w:rPr>
          <w:rFonts w:eastAsia="Calibri"/>
          <w:b/>
          <w:bCs/>
          <w:sz w:val="20"/>
          <w:szCs w:val="20"/>
        </w:rPr>
      </w:pPr>
      <w:r w:rsidRPr="00F3062A">
        <w:rPr>
          <w:rFonts w:eastAsia="Calibri"/>
          <w:b/>
          <w:bCs/>
          <w:sz w:val="20"/>
          <w:szCs w:val="20"/>
        </w:rPr>
        <w:t>3-1- Physical characteristics of feijoa fruit</w:t>
      </w:r>
    </w:p>
    <w:p w:rsidR="00F3062A" w:rsidRPr="00F3062A" w:rsidRDefault="008633A4" w:rsidP="00F3062A">
      <w:pPr>
        <w:snapToGrid w:val="0"/>
        <w:ind w:firstLine="425"/>
        <w:jc w:val="both"/>
        <w:rPr>
          <w:rFonts w:eastAsia="Calibri"/>
          <w:sz w:val="20"/>
          <w:szCs w:val="20"/>
        </w:rPr>
      </w:pPr>
      <w:r w:rsidRPr="00F3062A">
        <w:rPr>
          <w:rFonts w:eastAsia="Calibri"/>
          <w:sz w:val="20"/>
          <w:szCs w:val="20"/>
        </w:rPr>
        <w:t>Physical characteristics of fresh feijoa</w:t>
      </w:r>
      <w:r w:rsidRPr="00F3062A">
        <w:rPr>
          <w:rFonts w:eastAsia="Calibri"/>
          <w:i/>
          <w:iCs/>
          <w:sz w:val="20"/>
          <w:szCs w:val="20"/>
        </w:rPr>
        <w:t xml:space="preserve"> </w:t>
      </w:r>
      <w:r w:rsidRPr="00F3062A">
        <w:rPr>
          <w:rFonts w:eastAsia="Calibri"/>
          <w:sz w:val="20"/>
          <w:szCs w:val="20"/>
        </w:rPr>
        <w:t>which include weight, diameter, shape and length are shown in Table 1.</w:t>
      </w:r>
      <w:r w:rsidR="00F3062A">
        <w:rPr>
          <w:rFonts w:eastAsia="Calibri"/>
          <w:sz w:val="20"/>
          <w:szCs w:val="20"/>
        </w:rPr>
        <w:t xml:space="preserve"> </w:t>
      </w:r>
      <w:r w:rsidRPr="00F3062A">
        <w:rPr>
          <w:rFonts w:eastAsia="Calibri"/>
          <w:sz w:val="20"/>
          <w:szCs w:val="20"/>
        </w:rPr>
        <w:t>Fresh feijoa fruit is oval in shape. It measures about 4.63 in length, 4.83 inches in diameter, and weigh about 20 g. Although its skin is edible as in guava, it generally discarded and edible index was 76.36% (figure 1 and 2).</w:t>
      </w:r>
      <w:r w:rsidR="00F3062A">
        <w:rPr>
          <w:rFonts w:eastAsia="Calibri"/>
          <w:sz w:val="20"/>
          <w:szCs w:val="20"/>
        </w:rPr>
        <w:t xml:space="preserve"> </w:t>
      </w:r>
      <w:r w:rsidRPr="00F3062A">
        <w:rPr>
          <w:rFonts w:eastAsia="Calibri"/>
          <w:sz w:val="20"/>
          <w:szCs w:val="20"/>
        </w:rPr>
        <w:t>Several studies, on different fruit species, demonstrated that variations in the fruit weight were mainly inﬂuenced by the genotype but also by the soil, the climatic conditions and by the fruit maturity stage</w:t>
      </w:r>
      <w:r w:rsidRPr="00F3062A">
        <w:rPr>
          <w:rFonts w:eastAsia="Calibri"/>
          <w:noProof/>
          <w:sz w:val="20"/>
          <w:szCs w:val="20"/>
        </w:rPr>
        <w:t xml:space="preserve"> (Pasquariello et al. 2015a; Sestras et al. 2006)</w:t>
      </w:r>
      <w:r w:rsidRPr="00F3062A">
        <w:rPr>
          <w:rFonts w:eastAsia="Calibri"/>
          <w:sz w:val="20"/>
          <w:szCs w:val="20"/>
        </w:rPr>
        <w:t>.</w:t>
      </w:r>
    </w:p>
    <w:p w:rsidR="00F3062A" w:rsidRPr="00F3062A" w:rsidRDefault="00F3062A" w:rsidP="00F3062A">
      <w:pPr>
        <w:snapToGrid w:val="0"/>
        <w:ind w:firstLine="425"/>
        <w:jc w:val="both"/>
        <w:rPr>
          <w:rFonts w:eastAsia="Calibri"/>
          <w:sz w:val="20"/>
          <w:szCs w:val="20"/>
        </w:rPr>
      </w:pPr>
      <w:r w:rsidRPr="00F3062A">
        <w:rPr>
          <w:rFonts w:eastAsia="Calibri"/>
          <w:sz w:val="20"/>
          <w:szCs w:val="20"/>
        </w:rPr>
        <w:t xml:space="preserve">The influence of drying on physical characteristics of feijoa was shown in table 2. Fresh feijoa with higher moisture contents tend to have a higher bulking weight, because of the presence of water, which is considerably denser than the dry solid so, density was affected by the drying process. The bulk density of hot air dried samples increased as </w:t>
      </w:r>
      <w:r w:rsidRPr="00F3062A">
        <w:rPr>
          <w:rFonts w:eastAsia="Calibri"/>
          <w:sz w:val="20"/>
          <w:szCs w:val="20"/>
        </w:rPr>
        <w:lastRenderedPageBreak/>
        <w:t xml:space="preserve">drying proceeded while it decreased with reduction in </w:t>
      </w:r>
      <w:r w:rsidRPr="00F3062A">
        <w:rPr>
          <w:rFonts w:eastAsia="Calibri"/>
          <w:sz w:val="20"/>
          <w:szCs w:val="20"/>
        </w:rPr>
        <w:t>the moisture content.</w:t>
      </w:r>
    </w:p>
    <w:p w:rsidR="00F3062A" w:rsidRPr="00F3062A" w:rsidRDefault="00F3062A" w:rsidP="00F3062A">
      <w:pPr>
        <w:snapToGrid w:val="0"/>
        <w:ind w:firstLine="425"/>
        <w:jc w:val="both"/>
        <w:rPr>
          <w:rFonts w:eastAsiaTheme="minorEastAsia"/>
          <w:sz w:val="20"/>
          <w:szCs w:val="20"/>
          <w:lang w:eastAsia="zh-CN"/>
        </w:rPr>
        <w:sectPr w:rsidR="00F3062A" w:rsidRPr="00F3062A" w:rsidSect="00F3062A">
          <w:headerReference w:type="default" r:id="rId13"/>
          <w:footerReference w:type="even" r:id="rId14"/>
          <w:footerReference w:type="default" r:id="rId15"/>
          <w:footnotePr>
            <w:pos w:val="beneathText"/>
          </w:footnotePr>
          <w:type w:val="continuous"/>
          <w:pgSz w:w="12240" w:h="15840" w:code="1"/>
          <w:pgMar w:top="1440" w:right="1440" w:bottom="1440" w:left="1440" w:header="720" w:footer="720" w:gutter="0"/>
          <w:cols w:num="2" w:space="600"/>
          <w:docGrid w:linePitch="360"/>
        </w:sectPr>
      </w:pPr>
    </w:p>
    <w:p w:rsidR="00F3062A" w:rsidRDefault="00F3062A" w:rsidP="00F3062A">
      <w:pPr>
        <w:snapToGrid w:val="0"/>
        <w:jc w:val="center"/>
        <w:rPr>
          <w:rFonts w:eastAsiaTheme="minorEastAsia"/>
          <w:sz w:val="20"/>
          <w:szCs w:val="20"/>
          <w:lang w:eastAsia="zh-CN"/>
        </w:rPr>
      </w:pPr>
      <w:r>
        <w:rPr>
          <w:rFonts w:eastAsia="Calibri"/>
          <w:noProof/>
          <w:sz w:val="20"/>
          <w:szCs w:val="20"/>
          <w:lang w:eastAsia="en-US"/>
        </w:rPr>
        <w:drawing>
          <wp:inline distT="0" distB="0" distL="0" distR="0">
            <wp:extent cx="4118610" cy="2027555"/>
            <wp:effectExtent l="19050" t="0" r="0" b="0"/>
            <wp:docPr id="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18610" cy="2027555"/>
                    </a:xfrm>
                    <a:prstGeom prst="rect">
                      <a:avLst/>
                    </a:prstGeom>
                    <a:noFill/>
                    <a:ln w="9525">
                      <a:noFill/>
                      <a:miter lim="800000"/>
                      <a:headEnd/>
                      <a:tailEnd/>
                    </a:ln>
                  </pic:spPr>
                </pic:pic>
              </a:graphicData>
            </a:graphic>
          </wp:inline>
        </w:drawing>
      </w:r>
    </w:p>
    <w:p w:rsidR="00F3062A" w:rsidRDefault="00F3062A" w:rsidP="00F3062A">
      <w:pPr>
        <w:snapToGrid w:val="0"/>
        <w:ind w:firstLine="425"/>
        <w:jc w:val="both"/>
        <w:rPr>
          <w:rFonts w:eastAsiaTheme="minorEastAsia"/>
          <w:sz w:val="20"/>
          <w:szCs w:val="20"/>
          <w:lang w:eastAsia="zh-CN"/>
        </w:rPr>
      </w:pPr>
    </w:p>
    <w:p w:rsidR="008F0181" w:rsidRPr="00F3062A" w:rsidRDefault="008F0181" w:rsidP="00F3062A">
      <w:pPr>
        <w:snapToGrid w:val="0"/>
        <w:ind w:firstLine="425"/>
        <w:jc w:val="both"/>
        <w:rPr>
          <w:rFonts w:eastAsiaTheme="minorEastAsia"/>
          <w:sz w:val="20"/>
          <w:szCs w:val="20"/>
          <w:lang w:eastAsia="zh-CN"/>
        </w:rPr>
        <w:sectPr w:rsidR="008F0181" w:rsidRPr="00F3062A" w:rsidSect="007F6B31">
          <w:headerReference w:type="default" r:id="rId17"/>
          <w:footerReference w:type="even" r:id="rId18"/>
          <w:footerReference w:type="default" r:id="rId19"/>
          <w:footnotePr>
            <w:pos w:val="beneathText"/>
          </w:footnotePr>
          <w:type w:val="continuous"/>
          <w:pgSz w:w="12240" w:h="15840" w:code="1"/>
          <w:pgMar w:top="1440" w:right="1440" w:bottom="1440" w:left="1440" w:header="720" w:footer="720" w:gutter="0"/>
          <w:cols w:space="576"/>
          <w:docGrid w:linePitch="360"/>
        </w:sectPr>
      </w:pPr>
    </w:p>
    <w:p w:rsidR="00F3062A" w:rsidRDefault="00F3062A" w:rsidP="00F3062A">
      <w:pPr>
        <w:snapToGrid w:val="0"/>
        <w:jc w:val="center"/>
        <w:rPr>
          <w:rFonts w:eastAsiaTheme="minorEastAsia"/>
          <w:noProof/>
          <w:sz w:val="20"/>
          <w:szCs w:val="20"/>
          <w:lang w:eastAsia="zh-CN"/>
        </w:rPr>
      </w:pPr>
      <w:r>
        <w:rPr>
          <w:rFonts w:eastAsia="Calibri"/>
          <w:noProof/>
          <w:sz w:val="20"/>
          <w:szCs w:val="20"/>
          <w:lang w:eastAsia="en-US"/>
        </w:rPr>
        <w:drawing>
          <wp:inline distT="0" distB="0" distL="0" distR="0">
            <wp:extent cx="2146935" cy="1542415"/>
            <wp:effectExtent l="19050" t="0" r="5715" b="0"/>
            <wp:docPr id="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146935" cy="1542415"/>
                    </a:xfrm>
                    <a:prstGeom prst="rect">
                      <a:avLst/>
                    </a:prstGeom>
                    <a:noFill/>
                    <a:ln w="9525">
                      <a:noFill/>
                      <a:miter lim="800000"/>
                      <a:headEnd/>
                      <a:tailEnd/>
                    </a:ln>
                  </pic:spPr>
                </pic:pic>
              </a:graphicData>
            </a:graphic>
          </wp:inline>
        </w:drawing>
      </w:r>
    </w:p>
    <w:p w:rsidR="00F3062A" w:rsidRPr="00F3062A" w:rsidRDefault="00F3062A" w:rsidP="00F3062A">
      <w:pPr>
        <w:snapToGrid w:val="0"/>
        <w:jc w:val="center"/>
        <w:rPr>
          <w:rFonts w:eastAsiaTheme="minorEastAsia"/>
          <w:noProof/>
          <w:sz w:val="20"/>
          <w:szCs w:val="20"/>
          <w:lang w:eastAsia="zh-CN"/>
        </w:rPr>
      </w:pPr>
    </w:p>
    <w:p w:rsidR="00F3062A" w:rsidRPr="00F3062A" w:rsidRDefault="00F3062A" w:rsidP="00F3062A">
      <w:pPr>
        <w:snapToGrid w:val="0"/>
        <w:jc w:val="center"/>
        <w:rPr>
          <w:rFonts w:eastAsia="Calibri"/>
          <w:sz w:val="20"/>
          <w:szCs w:val="20"/>
        </w:rPr>
      </w:pPr>
      <w:r>
        <w:rPr>
          <w:rFonts w:eastAsia="Calibri"/>
          <w:noProof/>
          <w:sz w:val="20"/>
          <w:szCs w:val="20"/>
          <w:lang w:eastAsia="en-US"/>
        </w:rPr>
        <w:drawing>
          <wp:inline distT="0" distB="0" distL="0" distR="0">
            <wp:extent cx="1932305" cy="1454785"/>
            <wp:effectExtent l="19050" t="0" r="0" b="0"/>
            <wp:docPr id="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17960" t="11893" r="50813" b="14392"/>
                    <a:stretch>
                      <a:fillRect/>
                    </a:stretch>
                  </pic:blipFill>
                  <pic:spPr bwMode="auto">
                    <a:xfrm>
                      <a:off x="0" y="0"/>
                      <a:ext cx="1932305" cy="1454785"/>
                    </a:xfrm>
                    <a:prstGeom prst="rect">
                      <a:avLst/>
                    </a:prstGeom>
                    <a:noFill/>
                    <a:ln w="9525">
                      <a:noFill/>
                      <a:miter lim="800000"/>
                      <a:headEnd/>
                      <a:tailEnd/>
                    </a:ln>
                  </pic:spPr>
                </pic:pic>
              </a:graphicData>
            </a:graphic>
          </wp:inline>
        </w:drawing>
      </w:r>
    </w:p>
    <w:p w:rsidR="00F3062A" w:rsidRDefault="00F3062A" w:rsidP="00F3062A">
      <w:pPr>
        <w:snapToGrid w:val="0"/>
        <w:jc w:val="both"/>
        <w:rPr>
          <w:rFonts w:eastAsiaTheme="minorEastAsia"/>
          <w:sz w:val="20"/>
          <w:szCs w:val="20"/>
          <w:lang w:eastAsia="zh-CN"/>
        </w:rPr>
      </w:pPr>
      <w:r w:rsidRPr="00F3062A">
        <w:rPr>
          <w:rFonts w:eastAsia="Calibri"/>
          <w:sz w:val="20"/>
          <w:szCs w:val="20"/>
        </w:rPr>
        <w:t>Figure 1- longitudinal and transverse diameters of fresh feijoa fruit</w:t>
      </w:r>
    </w:p>
    <w:p w:rsidR="00F3062A" w:rsidRPr="00F3062A" w:rsidRDefault="00F3062A" w:rsidP="00F3062A">
      <w:pPr>
        <w:snapToGrid w:val="0"/>
        <w:jc w:val="both"/>
        <w:rPr>
          <w:rFonts w:eastAsiaTheme="minorEastAsia"/>
          <w:sz w:val="20"/>
          <w:szCs w:val="20"/>
          <w:lang w:eastAsia="zh-CN"/>
        </w:rPr>
      </w:pPr>
    </w:p>
    <w:p w:rsidR="00F3062A" w:rsidRPr="00F3062A" w:rsidRDefault="00F3062A" w:rsidP="00F3062A">
      <w:pPr>
        <w:snapToGrid w:val="0"/>
        <w:jc w:val="center"/>
        <w:rPr>
          <w:sz w:val="20"/>
          <w:szCs w:val="20"/>
        </w:rPr>
      </w:pPr>
      <w:r>
        <w:rPr>
          <w:noProof/>
          <w:sz w:val="20"/>
          <w:szCs w:val="20"/>
          <w:lang w:eastAsia="en-US"/>
        </w:rPr>
        <w:drawing>
          <wp:inline distT="0" distB="0" distL="0" distR="0">
            <wp:extent cx="2051685" cy="2099310"/>
            <wp:effectExtent l="19050" t="0" r="5715" b="0"/>
            <wp:docPr id="547" name="Picture 6" descr="C:\Users\FaratarPG.ir\Desktop\SA\assignments\آی اس آی\کبیری\کبیری#2\رفرنس\800px-Feijoa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atarPG.ir\Desktop\SA\assignments\آی اس آی\کبیری\کبیری#2\رفرنس\800px-Feijoa_cut.jpg"/>
                    <pic:cNvPicPr>
                      <a:picLocks noChangeAspect="1" noChangeArrowheads="1"/>
                    </pic:cNvPicPr>
                  </pic:nvPicPr>
                  <pic:blipFill>
                    <a:blip r:embed="rId22" cstate="print"/>
                    <a:srcRect/>
                    <a:stretch>
                      <a:fillRect/>
                    </a:stretch>
                  </pic:blipFill>
                  <pic:spPr bwMode="auto">
                    <a:xfrm>
                      <a:off x="0" y="0"/>
                      <a:ext cx="2051685" cy="2099310"/>
                    </a:xfrm>
                    <a:prstGeom prst="rect">
                      <a:avLst/>
                    </a:prstGeom>
                    <a:noFill/>
                    <a:ln w="9525">
                      <a:noFill/>
                      <a:miter lim="800000"/>
                      <a:headEnd/>
                      <a:tailEnd/>
                    </a:ln>
                  </pic:spPr>
                </pic:pic>
              </a:graphicData>
            </a:graphic>
          </wp:inline>
        </w:drawing>
      </w:r>
    </w:p>
    <w:p w:rsidR="00F3062A" w:rsidRPr="00F3062A" w:rsidRDefault="00F3062A" w:rsidP="00F3062A">
      <w:pPr>
        <w:snapToGrid w:val="0"/>
        <w:jc w:val="center"/>
        <w:rPr>
          <w:sz w:val="20"/>
          <w:szCs w:val="20"/>
        </w:rPr>
      </w:pPr>
      <w:r w:rsidRPr="00F3062A">
        <w:rPr>
          <w:sz w:val="20"/>
          <w:szCs w:val="20"/>
        </w:rPr>
        <w:t>Figure 2- Cut overripe feijoa fruit showing browning</w:t>
      </w:r>
    </w:p>
    <w:p w:rsidR="00F3062A" w:rsidRDefault="00F3062A" w:rsidP="00F3062A">
      <w:pPr>
        <w:snapToGrid w:val="0"/>
        <w:ind w:firstLine="425"/>
        <w:jc w:val="both"/>
        <w:rPr>
          <w:rFonts w:eastAsiaTheme="minorEastAsia"/>
          <w:sz w:val="20"/>
          <w:szCs w:val="20"/>
          <w:lang w:eastAsia="zh-CN"/>
        </w:rPr>
      </w:pPr>
    </w:p>
    <w:p w:rsidR="008F0181" w:rsidRDefault="008F0181" w:rsidP="00F3062A">
      <w:pPr>
        <w:snapToGrid w:val="0"/>
        <w:ind w:firstLine="425"/>
        <w:jc w:val="both"/>
        <w:rPr>
          <w:rFonts w:eastAsiaTheme="minorEastAsia"/>
          <w:sz w:val="20"/>
          <w:szCs w:val="20"/>
          <w:lang w:eastAsia="zh-CN"/>
        </w:rPr>
      </w:pPr>
    </w:p>
    <w:p w:rsidR="00F3062A" w:rsidRPr="00F3062A" w:rsidRDefault="00F3062A" w:rsidP="00F3062A">
      <w:pPr>
        <w:snapToGrid w:val="0"/>
        <w:ind w:firstLine="425"/>
        <w:jc w:val="both"/>
        <w:rPr>
          <w:rFonts w:eastAsia="Calibri"/>
          <w:sz w:val="20"/>
          <w:szCs w:val="20"/>
        </w:rPr>
      </w:pPr>
      <w:r w:rsidRPr="00F3062A">
        <w:rPr>
          <w:rFonts w:eastAsia="Calibri"/>
          <w:sz w:val="20"/>
          <w:szCs w:val="20"/>
        </w:rPr>
        <w:t>The parameter hardness can be related to the force performed by mastication that takes part during eating. With respect to the results obtained, it was possible to see that rupture of the</w:t>
      </w:r>
      <w:r>
        <w:rPr>
          <w:rFonts w:eastAsia="Calibri"/>
          <w:sz w:val="20"/>
          <w:szCs w:val="20"/>
        </w:rPr>
        <w:t xml:space="preserve"> </w:t>
      </w:r>
      <w:r w:rsidRPr="00F3062A">
        <w:rPr>
          <w:rFonts w:eastAsia="Calibri"/>
          <w:sz w:val="20"/>
          <w:szCs w:val="20"/>
        </w:rPr>
        <w:t>skin from the flesh side required a lower force (10.9 N) when compared with the same action from the skin side (13.8 N) which means that drying makes the product softer.</w:t>
      </w:r>
      <w:r>
        <w:rPr>
          <w:rFonts w:eastAsia="Calibri"/>
          <w:sz w:val="20"/>
          <w:szCs w:val="20"/>
        </w:rPr>
        <w:t xml:space="preserve"> </w:t>
      </w:r>
      <w:r w:rsidRPr="00F3062A">
        <w:rPr>
          <w:rFonts w:eastAsia="Calibri"/>
          <w:sz w:val="20"/>
          <w:szCs w:val="20"/>
        </w:rPr>
        <w:t>From the results presented in Table 2, it can be observed that hot air drying had a small effect on cohesiveness compared with the fresh fruit.</w:t>
      </w:r>
      <w:r>
        <w:rPr>
          <w:rFonts w:eastAsia="Calibri"/>
          <w:sz w:val="20"/>
          <w:szCs w:val="20"/>
        </w:rPr>
        <w:t xml:space="preserve"> </w:t>
      </w:r>
      <w:r w:rsidRPr="00F3062A">
        <w:rPr>
          <w:rFonts w:eastAsia="Calibri"/>
          <w:sz w:val="20"/>
          <w:szCs w:val="20"/>
        </w:rPr>
        <w:t>Regarding chewiness, it diminished greatly with drying, as a result of the variation observed previously in hardness. Many studies indicate that this firming effect of precooking can be attributed to the action of pectin-esterase on the cell-wall materials, particularly pectic substances, thereby resulting in deesterification of pectin molecules and the subsequent formation of calcium bridges between free carboxyl groups of adjacent molecules (LEVI et al. 1988; Pressey et al. 1971; Saladié et al. 2007).</w:t>
      </w:r>
    </w:p>
    <w:p w:rsidR="00F3062A" w:rsidRPr="00F3062A" w:rsidRDefault="00F3062A" w:rsidP="00F3062A">
      <w:pPr>
        <w:snapToGrid w:val="0"/>
        <w:ind w:firstLine="425"/>
        <w:jc w:val="both"/>
        <w:rPr>
          <w:rFonts w:eastAsia="Calibri"/>
          <w:sz w:val="20"/>
          <w:szCs w:val="20"/>
        </w:rPr>
      </w:pPr>
      <w:r w:rsidRPr="00F3062A">
        <w:rPr>
          <w:rFonts w:eastAsia="Calibri"/>
          <w:sz w:val="20"/>
          <w:szCs w:val="20"/>
        </w:rPr>
        <w:t xml:space="preserve">The average values of the color parameters for feijoa in fresh, and after air drying are presented in Table 2 for </w:t>
      </w:r>
      <w:r w:rsidRPr="00F3062A">
        <w:rPr>
          <w:rFonts w:eastAsia="Calibri"/>
          <w:i/>
          <w:iCs/>
          <w:sz w:val="20"/>
          <w:szCs w:val="20"/>
        </w:rPr>
        <w:t>L</w:t>
      </w:r>
      <w:r w:rsidRPr="00F3062A">
        <w:rPr>
          <w:rFonts w:eastAsia="Calibri"/>
          <w:sz w:val="20"/>
          <w:szCs w:val="20"/>
        </w:rPr>
        <w:t xml:space="preserve">* (brightness), </w:t>
      </w:r>
      <w:r w:rsidRPr="00F3062A">
        <w:rPr>
          <w:rFonts w:eastAsia="Calibri"/>
          <w:i/>
          <w:iCs/>
          <w:sz w:val="20"/>
          <w:szCs w:val="20"/>
        </w:rPr>
        <w:t>a</w:t>
      </w:r>
      <w:r w:rsidRPr="00F3062A">
        <w:rPr>
          <w:rFonts w:eastAsia="Calibri"/>
          <w:sz w:val="20"/>
          <w:szCs w:val="20"/>
        </w:rPr>
        <w:t xml:space="preserve">* (redness), </w:t>
      </w:r>
      <w:r w:rsidRPr="00F3062A">
        <w:rPr>
          <w:rFonts w:eastAsia="Calibri"/>
          <w:i/>
          <w:iCs/>
          <w:sz w:val="20"/>
          <w:szCs w:val="20"/>
        </w:rPr>
        <w:t>b</w:t>
      </w:r>
      <w:r w:rsidRPr="00F3062A">
        <w:rPr>
          <w:rFonts w:eastAsia="Calibri"/>
          <w:sz w:val="20"/>
          <w:szCs w:val="20"/>
        </w:rPr>
        <w:t xml:space="preserve">* (yellowness). In general, the air drying at 60 ◦C produced no remarkable changes in the color parameters of feijoa, as compared with the fresh feijoa. However, </w:t>
      </w:r>
      <w:r w:rsidRPr="00F3062A">
        <w:rPr>
          <w:rFonts w:eastAsia="Calibri"/>
          <w:i/>
          <w:iCs/>
          <w:sz w:val="20"/>
          <w:szCs w:val="20"/>
        </w:rPr>
        <w:t>L</w:t>
      </w:r>
      <w:r w:rsidRPr="00F3062A">
        <w:rPr>
          <w:rFonts w:eastAsia="Calibri"/>
          <w:sz w:val="20"/>
          <w:szCs w:val="20"/>
        </w:rPr>
        <w:t>* (lightness) of dried fruit was significantly reduced.</w:t>
      </w:r>
    </w:p>
    <w:p w:rsidR="00F3062A" w:rsidRDefault="00F3062A" w:rsidP="00F3062A">
      <w:pPr>
        <w:snapToGrid w:val="0"/>
        <w:ind w:firstLine="425"/>
        <w:jc w:val="both"/>
        <w:rPr>
          <w:rFonts w:eastAsiaTheme="minorEastAsia"/>
          <w:sz w:val="20"/>
          <w:szCs w:val="20"/>
          <w:lang w:eastAsia="zh-CN"/>
        </w:rPr>
      </w:pPr>
      <w:r w:rsidRPr="00F3062A">
        <w:rPr>
          <w:rFonts w:eastAsia="Calibri"/>
          <w:sz w:val="20"/>
          <w:szCs w:val="20"/>
        </w:rPr>
        <w:t xml:space="preserve">Similar results were observed by </w:t>
      </w:r>
      <w:r w:rsidRPr="00F3062A">
        <w:rPr>
          <w:rFonts w:eastAsia="Calibri"/>
          <w:noProof/>
          <w:sz w:val="20"/>
          <w:szCs w:val="20"/>
        </w:rPr>
        <w:t>(Guiné and Barroca 2012; Lin and Chang 2005; Quek et al. 2007)</w:t>
      </w:r>
      <w:r w:rsidRPr="00F3062A">
        <w:rPr>
          <w:rFonts w:eastAsia="Calibri"/>
          <w:sz w:val="20"/>
          <w:szCs w:val="20"/>
        </w:rPr>
        <w:t xml:space="preserve"> who studied on physicochemical characteristic of fruits.</w:t>
      </w:r>
    </w:p>
    <w:p w:rsidR="008F0181" w:rsidRPr="008F0181" w:rsidRDefault="008F0181" w:rsidP="00F3062A">
      <w:pPr>
        <w:snapToGrid w:val="0"/>
        <w:ind w:firstLine="425"/>
        <w:jc w:val="both"/>
        <w:rPr>
          <w:rFonts w:eastAsiaTheme="minorEastAsia"/>
          <w:sz w:val="20"/>
          <w:szCs w:val="20"/>
          <w:lang w:eastAsia="zh-CN"/>
        </w:rPr>
      </w:pPr>
    </w:p>
    <w:p w:rsidR="00F3062A" w:rsidRPr="00F3062A" w:rsidRDefault="00F3062A" w:rsidP="00F3062A">
      <w:pPr>
        <w:snapToGrid w:val="0"/>
        <w:jc w:val="both"/>
        <w:rPr>
          <w:b/>
          <w:bCs/>
          <w:sz w:val="20"/>
          <w:szCs w:val="20"/>
        </w:rPr>
      </w:pPr>
      <w:r w:rsidRPr="00F3062A">
        <w:rPr>
          <w:b/>
          <w:bCs/>
          <w:sz w:val="20"/>
          <w:szCs w:val="20"/>
        </w:rPr>
        <w:t>3-2- Chemical characteristics</w:t>
      </w:r>
    </w:p>
    <w:p w:rsidR="00F3062A" w:rsidRPr="00F3062A" w:rsidRDefault="00F3062A" w:rsidP="00F3062A">
      <w:pPr>
        <w:snapToGrid w:val="0"/>
        <w:ind w:firstLine="425"/>
        <w:jc w:val="both"/>
        <w:rPr>
          <w:sz w:val="20"/>
          <w:szCs w:val="20"/>
        </w:rPr>
      </w:pPr>
      <w:r w:rsidRPr="00F3062A">
        <w:rPr>
          <w:sz w:val="20"/>
          <w:szCs w:val="20"/>
        </w:rPr>
        <w:t xml:space="preserve">Table 3 summarized chemical characteristics of fresh and dried feijoa. It is evident from these finding that Iodine contents of both fresh and dried fruit was high (181-183 ppm) which means feija fruit is an </w:t>
      </w:r>
      <w:r w:rsidRPr="00F3062A">
        <w:rPr>
          <w:sz w:val="20"/>
          <w:szCs w:val="20"/>
        </w:rPr>
        <w:lastRenderedPageBreak/>
        <w:t>excellent source of iodine.</w:t>
      </w:r>
      <w:r>
        <w:rPr>
          <w:sz w:val="20"/>
          <w:szCs w:val="20"/>
        </w:rPr>
        <w:t xml:space="preserve"> </w:t>
      </w:r>
      <w:r w:rsidRPr="00F3062A">
        <w:rPr>
          <w:sz w:val="20"/>
          <w:szCs w:val="20"/>
        </w:rPr>
        <w:t xml:space="preserve">Carbohydrate content increased during drying because of condensation. Changes in ash content, fat and protein were not </w:t>
      </w:r>
      <w:r w:rsidRPr="00F3062A">
        <w:rPr>
          <w:sz w:val="20"/>
          <w:szCs w:val="20"/>
        </w:rPr>
        <w:t>significant (P&gt;0.05) showing relatively good thermal stability of these compounds.</w:t>
      </w:r>
    </w:p>
    <w:p w:rsidR="00F3062A" w:rsidRPr="00F3062A" w:rsidRDefault="00F3062A" w:rsidP="00F3062A">
      <w:pPr>
        <w:snapToGrid w:val="0"/>
        <w:ind w:firstLine="425"/>
        <w:jc w:val="both"/>
        <w:rPr>
          <w:rFonts w:eastAsiaTheme="minorEastAsia"/>
          <w:sz w:val="20"/>
          <w:szCs w:val="20"/>
          <w:lang w:eastAsia="zh-CN"/>
        </w:rPr>
        <w:sectPr w:rsidR="00F3062A" w:rsidRPr="00F3062A" w:rsidSect="00F3062A">
          <w:headerReference w:type="default" r:id="rId23"/>
          <w:footerReference w:type="even" r:id="rId24"/>
          <w:footerReference w:type="default" r:id="rId25"/>
          <w:footnotePr>
            <w:pos w:val="beneathText"/>
          </w:footnotePr>
          <w:type w:val="continuous"/>
          <w:pgSz w:w="12240" w:h="15840" w:code="1"/>
          <w:pgMar w:top="1440" w:right="1440" w:bottom="1440" w:left="1440" w:header="720" w:footer="720" w:gutter="0"/>
          <w:cols w:num="2" w:space="600"/>
          <w:docGrid w:linePitch="360"/>
        </w:sectPr>
      </w:pPr>
    </w:p>
    <w:p w:rsidR="008F0181" w:rsidRDefault="008F0181" w:rsidP="00F3062A">
      <w:pPr>
        <w:snapToGrid w:val="0"/>
        <w:jc w:val="center"/>
        <w:rPr>
          <w:rFonts w:eastAsiaTheme="minorEastAsia"/>
          <w:sz w:val="20"/>
          <w:szCs w:val="20"/>
          <w:lang w:eastAsia="zh-CN"/>
        </w:rPr>
      </w:pPr>
    </w:p>
    <w:p w:rsidR="008F0181" w:rsidRDefault="008F0181" w:rsidP="00F3062A">
      <w:pPr>
        <w:snapToGrid w:val="0"/>
        <w:jc w:val="center"/>
        <w:rPr>
          <w:rFonts w:eastAsiaTheme="minorEastAsia"/>
          <w:sz w:val="20"/>
          <w:szCs w:val="20"/>
          <w:lang w:eastAsia="zh-CN"/>
        </w:rPr>
      </w:pPr>
    </w:p>
    <w:p w:rsidR="008F0181" w:rsidRDefault="008F0181" w:rsidP="00F3062A">
      <w:pPr>
        <w:snapToGrid w:val="0"/>
        <w:jc w:val="center"/>
        <w:rPr>
          <w:rFonts w:eastAsiaTheme="minorEastAsia"/>
          <w:sz w:val="20"/>
          <w:szCs w:val="20"/>
          <w:lang w:eastAsia="zh-CN"/>
        </w:rPr>
      </w:pPr>
    </w:p>
    <w:p w:rsidR="008633A4" w:rsidRPr="00F3062A" w:rsidRDefault="00F3062A" w:rsidP="00F3062A">
      <w:pPr>
        <w:snapToGrid w:val="0"/>
        <w:jc w:val="center"/>
        <w:rPr>
          <w:rFonts w:eastAsia="Calibri"/>
          <w:sz w:val="20"/>
          <w:szCs w:val="20"/>
        </w:rPr>
      </w:pPr>
      <w:r>
        <w:rPr>
          <w:rFonts w:eastAsia="Calibri"/>
          <w:noProof/>
          <w:sz w:val="20"/>
          <w:szCs w:val="20"/>
          <w:lang w:eastAsia="en-US"/>
        </w:rPr>
        <w:drawing>
          <wp:inline distT="0" distB="0" distL="0" distR="0">
            <wp:extent cx="6159113" cy="231383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6162040" cy="2314930"/>
                    </a:xfrm>
                    <a:prstGeom prst="rect">
                      <a:avLst/>
                    </a:prstGeom>
                    <a:noFill/>
                    <a:ln w="9525">
                      <a:noFill/>
                      <a:miter lim="800000"/>
                      <a:headEnd/>
                      <a:tailEnd/>
                    </a:ln>
                  </pic:spPr>
                </pic:pic>
              </a:graphicData>
            </a:graphic>
          </wp:inline>
        </w:drawing>
      </w:r>
    </w:p>
    <w:p w:rsidR="00F3062A" w:rsidRPr="00F3062A" w:rsidRDefault="00F3062A" w:rsidP="00F3062A">
      <w:pPr>
        <w:snapToGrid w:val="0"/>
        <w:ind w:firstLine="425"/>
        <w:jc w:val="both"/>
        <w:rPr>
          <w:rFonts w:eastAsia="Calibri"/>
          <w:sz w:val="20"/>
          <w:szCs w:val="20"/>
        </w:rPr>
      </w:pPr>
    </w:p>
    <w:p w:rsidR="008633A4" w:rsidRPr="00F3062A" w:rsidRDefault="00F3062A" w:rsidP="00F3062A">
      <w:pPr>
        <w:snapToGrid w:val="0"/>
        <w:jc w:val="center"/>
        <w:rPr>
          <w:sz w:val="20"/>
          <w:szCs w:val="20"/>
        </w:rPr>
      </w:pPr>
      <w:r>
        <w:rPr>
          <w:noProof/>
          <w:sz w:val="20"/>
          <w:szCs w:val="20"/>
          <w:lang w:eastAsia="en-US"/>
        </w:rPr>
        <w:drawing>
          <wp:inline distT="0" distB="0" distL="0" distR="0">
            <wp:extent cx="5634328" cy="4442163"/>
            <wp:effectExtent l="19050" t="0" r="4472"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639152" cy="4445967"/>
                    </a:xfrm>
                    <a:prstGeom prst="rect">
                      <a:avLst/>
                    </a:prstGeom>
                    <a:noFill/>
                    <a:ln w="9525">
                      <a:noFill/>
                      <a:miter lim="800000"/>
                      <a:headEnd/>
                      <a:tailEnd/>
                    </a:ln>
                  </pic:spPr>
                </pic:pic>
              </a:graphicData>
            </a:graphic>
          </wp:inline>
        </w:drawing>
      </w:r>
    </w:p>
    <w:p w:rsidR="00F3062A" w:rsidRDefault="00F3062A" w:rsidP="00F3062A">
      <w:pPr>
        <w:snapToGrid w:val="0"/>
        <w:ind w:firstLine="425"/>
        <w:jc w:val="both"/>
        <w:rPr>
          <w:sz w:val="20"/>
          <w:szCs w:val="20"/>
          <w:lang w:eastAsia="zh-CN"/>
        </w:rPr>
      </w:pPr>
    </w:p>
    <w:p w:rsidR="008F0181" w:rsidRDefault="008F0181" w:rsidP="00F3062A">
      <w:pPr>
        <w:snapToGrid w:val="0"/>
        <w:ind w:firstLine="425"/>
        <w:jc w:val="both"/>
        <w:rPr>
          <w:sz w:val="20"/>
          <w:szCs w:val="20"/>
          <w:lang w:eastAsia="zh-CN"/>
        </w:rPr>
      </w:pPr>
    </w:p>
    <w:p w:rsidR="008F0181" w:rsidRDefault="008F0181" w:rsidP="00F3062A">
      <w:pPr>
        <w:snapToGrid w:val="0"/>
        <w:ind w:firstLine="425"/>
        <w:jc w:val="both"/>
        <w:rPr>
          <w:sz w:val="20"/>
          <w:szCs w:val="20"/>
          <w:lang w:eastAsia="zh-CN"/>
        </w:rPr>
      </w:pPr>
    </w:p>
    <w:p w:rsidR="008F0181" w:rsidRDefault="008F0181" w:rsidP="00F3062A">
      <w:pPr>
        <w:snapToGrid w:val="0"/>
        <w:ind w:firstLine="425"/>
        <w:jc w:val="both"/>
        <w:rPr>
          <w:sz w:val="20"/>
          <w:szCs w:val="20"/>
          <w:lang w:eastAsia="zh-CN"/>
        </w:rPr>
      </w:pPr>
    </w:p>
    <w:p w:rsidR="008F0181" w:rsidRPr="00F3062A" w:rsidRDefault="008F0181" w:rsidP="00F3062A">
      <w:pPr>
        <w:snapToGrid w:val="0"/>
        <w:ind w:firstLine="425"/>
        <w:jc w:val="both"/>
        <w:rPr>
          <w:sz w:val="20"/>
          <w:szCs w:val="20"/>
          <w:lang w:eastAsia="zh-CN"/>
        </w:rPr>
      </w:pPr>
    </w:p>
    <w:p w:rsidR="00F3062A" w:rsidRPr="00F3062A" w:rsidRDefault="00F3062A" w:rsidP="00F3062A">
      <w:pPr>
        <w:snapToGrid w:val="0"/>
        <w:ind w:firstLine="425"/>
        <w:jc w:val="both"/>
        <w:rPr>
          <w:sz w:val="20"/>
          <w:szCs w:val="20"/>
        </w:rPr>
        <w:sectPr w:rsidR="00F3062A" w:rsidRPr="00F3062A" w:rsidSect="007F6B31">
          <w:headerReference w:type="default" r:id="rId28"/>
          <w:footerReference w:type="even" r:id="rId29"/>
          <w:footerReference w:type="default" r:id="rId30"/>
          <w:footnotePr>
            <w:pos w:val="beneathText"/>
          </w:footnotePr>
          <w:type w:val="continuous"/>
          <w:pgSz w:w="12240" w:h="15840" w:code="1"/>
          <w:pgMar w:top="1440" w:right="1440" w:bottom="1440" w:left="1440" w:header="720" w:footer="720" w:gutter="0"/>
          <w:cols w:space="576"/>
          <w:docGrid w:linePitch="360"/>
        </w:sectPr>
      </w:pPr>
    </w:p>
    <w:p w:rsidR="00F81444" w:rsidRPr="00F3062A" w:rsidRDefault="008633A4" w:rsidP="00F3062A">
      <w:pPr>
        <w:snapToGrid w:val="0"/>
        <w:ind w:firstLine="425"/>
        <w:jc w:val="both"/>
        <w:rPr>
          <w:sz w:val="20"/>
          <w:szCs w:val="20"/>
        </w:rPr>
      </w:pPr>
      <w:r w:rsidRPr="00F3062A">
        <w:rPr>
          <w:sz w:val="20"/>
          <w:szCs w:val="20"/>
        </w:rPr>
        <w:t>The average ascorbic acid content of fresh, whole feijoa 920 ppm whereas after drying, this content felt to 521 ppm, representing a decrease of about 43.3% in the nutrient content. As seen, the ascorbic acid content is considerably affected from the drying. In fact, ascorbic acid highly sensitive to heat. Similar results were reported for several fruits and vegetables like guava (Uddin et al. 2002), pear (Mrad et al. 2012), pineapple (Ramallo and Mascheroni 2012), tomato (Demiray et al. 2013), pepper (Di Scala and Crapiste 2008) and kiwifruit (Kaya et al. 2010)</w:t>
      </w:r>
      <w:r w:rsidR="00F3062A" w:rsidRPr="00F3062A">
        <w:rPr>
          <w:sz w:val="20"/>
          <w:szCs w:val="20"/>
        </w:rPr>
        <w:t>.</w:t>
      </w:r>
      <w:r w:rsidR="00F3062A">
        <w:rPr>
          <w:sz w:val="20"/>
          <w:szCs w:val="20"/>
        </w:rPr>
        <w:t xml:space="preserve"> </w:t>
      </w:r>
      <w:r w:rsidR="00F3062A" w:rsidRPr="00F3062A">
        <w:rPr>
          <w:sz w:val="20"/>
          <w:szCs w:val="20"/>
        </w:rPr>
        <w:t>T</w:t>
      </w:r>
      <w:r w:rsidRPr="00F3062A">
        <w:rPr>
          <w:sz w:val="20"/>
          <w:szCs w:val="20"/>
        </w:rPr>
        <w:t>he recommended daily intake (RDI) of ascorbic acid is about 30 mg/day for adults and 17 mg/day for children (Levine et al. 2001). With these fruits therefore, Tanzanian could be considered as good sources of ascorbic acid for purposes of human nutrition.</w:t>
      </w:r>
    </w:p>
    <w:p w:rsidR="008633A4" w:rsidRPr="00F3062A" w:rsidRDefault="008633A4" w:rsidP="00F3062A">
      <w:pPr>
        <w:snapToGrid w:val="0"/>
        <w:ind w:firstLine="425"/>
        <w:jc w:val="both"/>
        <w:rPr>
          <w:sz w:val="20"/>
          <w:szCs w:val="20"/>
        </w:rPr>
      </w:pPr>
      <w:r w:rsidRPr="00F3062A">
        <w:rPr>
          <w:sz w:val="20"/>
          <w:szCs w:val="20"/>
        </w:rPr>
        <w:t>The concentration of total fiber was decreased by drying processing.</w:t>
      </w:r>
      <w:r w:rsidR="00F3062A">
        <w:rPr>
          <w:sz w:val="20"/>
          <w:szCs w:val="20"/>
        </w:rPr>
        <w:t xml:space="preserve"> </w:t>
      </w:r>
      <w:r w:rsidRPr="00F3062A">
        <w:rPr>
          <w:sz w:val="20"/>
          <w:szCs w:val="20"/>
        </w:rPr>
        <w:t>Previous studies showed that heat stability of fibers varies in different food, times, temperatures and pressures. The fluctuations of each component of dietary fiber contents (total, soluble and insoluble) can be different, as well (Chang and Morris 1990).</w:t>
      </w:r>
      <w:r w:rsidR="00F3062A">
        <w:rPr>
          <w:sz w:val="20"/>
          <w:szCs w:val="20"/>
        </w:rPr>
        <w:t xml:space="preserve"> </w:t>
      </w:r>
      <w:r w:rsidRPr="00F3062A">
        <w:rPr>
          <w:sz w:val="20"/>
          <w:szCs w:val="20"/>
        </w:rPr>
        <w:t>For example, (Wennberg et al. 2006) reported that 5 min boiling of treated white cabbage with acetic acid decreased 9.7-11, 4.9-14 and 6-19% of total, insoluble and soluble fiber, respectively. Whereas, (Manzi et al. 2004) observed that 10 minutes cooking of commercial mushrooms resulted in 42, 29 and 46% increases in the total, insoluble and soluble fiber, respectively.</w:t>
      </w:r>
    </w:p>
    <w:p w:rsidR="008633A4" w:rsidRPr="00F3062A" w:rsidRDefault="008633A4" w:rsidP="00F3062A">
      <w:pPr>
        <w:snapToGrid w:val="0"/>
        <w:ind w:firstLine="425"/>
        <w:jc w:val="both"/>
        <w:rPr>
          <w:sz w:val="20"/>
          <w:szCs w:val="20"/>
        </w:rPr>
      </w:pPr>
      <w:r w:rsidRPr="00F3062A">
        <w:rPr>
          <w:sz w:val="20"/>
          <w:szCs w:val="20"/>
        </w:rPr>
        <w:t>Phenols are important components due to their hydroxyl groups and scavenging properties and may have a direct relation with antioxidant activity</w:t>
      </w:r>
      <w:r w:rsidR="008F0181">
        <w:rPr>
          <w:rFonts w:hint="eastAsia"/>
          <w:sz w:val="20"/>
          <w:szCs w:val="20"/>
          <w:lang w:eastAsia="zh-CN"/>
        </w:rPr>
        <w:t xml:space="preserve"> </w:t>
      </w:r>
      <w:r w:rsidRPr="00F3062A">
        <w:rPr>
          <w:sz w:val="20"/>
          <w:szCs w:val="20"/>
        </w:rPr>
        <w:t>(Bidchol et al. 2011)</w:t>
      </w:r>
      <w:r w:rsidR="00F3062A" w:rsidRPr="00F3062A">
        <w:rPr>
          <w:sz w:val="20"/>
          <w:szCs w:val="20"/>
        </w:rPr>
        <w:t>.</w:t>
      </w:r>
      <w:r w:rsidR="00F3062A">
        <w:rPr>
          <w:sz w:val="20"/>
          <w:szCs w:val="20"/>
        </w:rPr>
        <w:t xml:space="preserve"> </w:t>
      </w:r>
      <w:r w:rsidR="00F3062A">
        <w:rPr>
          <w:rFonts w:hint="eastAsia"/>
          <w:sz w:val="20"/>
          <w:szCs w:val="20"/>
          <w:lang w:eastAsia="zh-CN"/>
        </w:rPr>
        <w:t>A</w:t>
      </w:r>
      <w:r w:rsidRPr="00F3062A">
        <w:rPr>
          <w:sz w:val="20"/>
          <w:szCs w:val="20"/>
        </w:rPr>
        <w:t>ccording to Table 1 a significant (P&lt;0.05) difference between total phenol contents of these three extracts were observed. The highest amount of total phenols was given by fresh fruit, dried fruit the least total phenolic content. This result concurred with the reports of Rhim et al. who reported that most drying methods have an undesired effect on antioxidant activity (Rhim et al. 2009). Shahidi and Naczk also reported that drying, in general, is regarded as unfavorable due to the possibility of inducing oxidative decomposition either enzymatically by polyphenol oxidase and glycosidase or by thermal degradation of phenolic compounds (Naczk and Shahidi 2004).</w:t>
      </w:r>
    </w:p>
    <w:p w:rsidR="008633A4" w:rsidRPr="00F3062A" w:rsidRDefault="008633A4" w:rsidP="00F3062A">
      <w:pPr>
        <w:snapToGrid w:val="0"/>
        <w:jc w:val="both"/>
        <w:rPr>
          <w:b/>
          <w:bCs/>
          <w:sz w:val="20"/>
          <w:szCs w:val="20"/>
        </w:rPr>
      </w:pPr>
    </w:p>
    <w:p w:rsidR="008633A4" w:rsidRPr="00F3062A" w:rsidRDefault="008633A4" w:rsidP="00F3062A">
      <w:pPr>
        <w:snapToGrid w:val="0"/>
        <w:jc w:val="both"/>
        <w:rPr>
          <w:b/>
          <w:bCs/>
          <w:sz w:val="20"/>
          <w:szCs w:val="20"/>
        </w:rPr>
      </w:pPr>
      <w:r w:rsidRPr="00F3062A">
        <w:rPr>
          <w:b/>
          <w:bCs/>
          <w:sz w:val="20"/>
          <w:szCs w:val="20"/>
        </w:rPr>
        <w:t>4- Conclusion</w:t>
      </w:r>
    </w:p>
    <w:p w:rsidR="008633A4" w:rsidRPr="00F3062A" w:rsidRDefault="008633A4" w:rsidP="00F3062A">
      <w:pPr>
        <w:snapToGrid w:val="0"/>
        <w:ind w:firstLine="425"/>
        <w:jc w:val="both"/>
        <w:rPr>
          <w:sz w:val="20"/>
          <w:szCs w:val="20"/>
        </w:rPr>
      </w:pPr>
      <w:r w:rsidRPr="00F3062A">
        <w:rPr>
          <w:sz w:val="20"/>
          <w:szCs w:val="20"/>
        </w:rPr>
        <w:t xml:space="preserve">The results of this study indicate that feijoa fruit is a signiﬁcant source of phenol compounds, ﬂavonoids, and ascorbic acid; therefore, feijoa could be considered a good source of natural antioxidants. </w:t>
      </w:r>
      <w:r w:rsidRPr="00F3062A">
        <w:rPr>
          <w:sz w:val="20"/>
          <w:szCs w:val="20"/>
        </w:rPr>
        <w:t>Moreover, many physicochemical characteristics of dried feijoa fruit remained practically constant after drying. Finally, the results of the present study can be seen as a valuable tool to evaluate drying process of feijoa, in order to retain most of health promoting characteristics.</w:t>
      </w:r>
    </w:p>
    <w:p w:rsidR="00F81444" w:rsidRPr="00F3062A" w:rsidRDefault="00F81444" w:rsidP="00F3062A">
      <w:pPr>
        <w:snapToGrid w:val="0"/>
        <w:jc w:val="both"/>
        <w:rPr>
          <w:sz w:val="20"/>
          <w:szCs w:val="20"/>
        </w:rPr>
      </w:pPr>
    </w:p>
    <w:p w:rsidR="008633A4" w:rsidRPr="00F3062A" w:rsidRDefault="008633A4" w:rsidP="00F3062A">
      <w:pPr>
        <w:pStyle w:val="EndNoteBibliographyTitle"/>
        <w:snapToGrid w:val="0"/>
        <w:spacing w:line="240" w:lineRule="auto"/>
        <w:jc w:val="both"/>
        <w:rPr>
          <w:b/>
          <w:bCs/>
          <w:szCs w:val="20"/>
        </w:rPr>
      </w:pPr>
      <w:r w:rsidRPr="00F3062A">
        <w:rPr>
          <w:b/>
          <w:bCs/>
          <w:szCs w:val="20"/>
        </w:rPr>
        <w:t>Refrences</w:t>
      </w:r>
    </w:p>
    <w:p w:rsidR="008633A4" w:rsidRPr="00F3062A" w:rsidRDefault="008633A4" w:rsidP="00F3062A">
      <w:pPr>
        <w:pStyle w:val="EndNoteBibliography"/>
        <w:numPr>
          <w:ilvl w:val="0"/>
          <w:numId w:val="5"/>
        </w:numPr>
        <w:snapToGrid w:val="0"/>
        <w:spacing w:after="0"/>
        <w:jc w:val="both"/>
        <w:rPr>
          <w:szCs w:val="20"/>
        </w:rPr>
      </w:pPr>
      <w:bookmarkStart w:id="3" w:name="_ENREF_1"/>
      <w:r w:rsidRPr="00F3062A">
        <w:rPr>
          <w:szCs w:val="20"/>
        </w:rPr>
        <w:t>Al-Harthy A-AS (2010) Postharvest treatments to extend the storage life of feijoa (Acca sellowiana): a thesis presented in partial fulfilment of the requirements for the degree of Doctor of Philosophy in Food Technology at Massey University, Palmerston North, New Zealand.</w:t>
      </w:r>
      <w:bookmarkEnd w:id="3"/>
    </w:p>
    <w:p w:rsidR="008633A4" w:rsidRPr="00F3062A" w:rsidRDefault="008633A4" w:rsidP="00F3062A">
      <w:pPr>
        <w:pStyle w:val="EndNoteBibliography"/>
        <w:numPr>
          <w:ilvl w:val="0"/>
          <w:numId w:val="5"/>
        </w:numPr>
        <w:snapToGrid w:val="0"/>
        <w:spacing w:after="0"/>
        <w:jc w:val="both"/>
        <w:rPr>
          <w:szCs w:val="20"/>
        </w:rPr>
      </w:pPr>
      <w:bookmarkStart w:id="4" w:name="_ENREF_2"/>
      <w:r w:rsidRPr="00F3062A">
        <w:rPr>
          <w:szCs w:val="20"/>
        </w:rPr>
        <w:t>Basile A, Conte B, Rigano D, Senatore F &amp; Sorbo S (2010) Antibacterial and antifungal properties of acetonic extract of Feijoa sellowiana fruits and its effect on Helicobacter pylori growth. Journal of medicinal food. 13(1), 189-195.</w:t>
      </w:r>
      <w:bookmarkEnd w:id="4"/>
    </w:p>
    <w:p w:rsidR="008633A4" w:rsidRPr="00F3062A" w:rsidRDefault="008633A4" w:rsidP="00F3062A">
      <w:pPr>
        <w:pStyle w:val="EndNoteBibliography"/>
        <w:numPr>
          <w:ilvl w:val="0"/>
          <w:numId w:val="5"/>
        </w:numPr>
        <w:snapToGrid w:val="0"/>
        <w:spacing w:after="0"/>
        <w:jc w:val="both"/>
        <w:rPr>
          <w:szCs w:val="20"/>
        </w:rPr>
      </w:pPr>
      <w:bookmarkStart w:id="5" w:name="_ENREF_3"/>
      <w:r w:rsidRPr="00F3062A">
        <w:rPr>
          <w:szCs w:val="20"/>
        </w:rPr>
        <w:t>Beyhan Ö, Elmastas M &amp; Gedikli F (2010) Total phenolic compounds and antioxidant capacity of leaf, dry fruit and fresh fruit of feijoa (Acca sellowiana, Myrtaceae). Journal of Medicinal Plants Research. 4(11), 1065-1072.</w:t>
      </w:r>
      <w:bookmarkEnd w:id="5"/>
    </w:p>
    <w:p w:rsidR="008633A4" w:rsidRPr="00F3062A" w:rsidRDefault="008633A4" w:rsidP="00F3062A">
      <w:pPr>
        <w:pStyle w:val="EndNoteBibliography"/>
        <w:numPr>
          <w:ilvl w:val="0"/>
          <w:numId w:val="5"/>
        </w:numPr>
        <w:snapToGrid w:val="0"/>
        <w:spacing w:after="0"/>
        <w:jc w:val="both"/>
        <w:rPr>
          <w:szCs w:val="20"/>
        </w:rPr>
      </w:pPr>
      <w:bookmarkStart w:id="6" w:name="_ENREF_4"/>
      <w:r w:rsidRPr="00F3062A">
        <w:rPr>
          <w:szCs w:val="20"/>
        </w:rPr>
        <w:t>Bidchol AM, Wilfred A, Abhijna P &amp; Harish R (2011) Free radical scavenging activity of aqueous and ethanolic extract of Brassica oleracea L. var. italica. Food and Bioprocess Technology. 4(7), 1137-1143.</w:t>
      </w:r>
      <w:bookmarkEnd w:id="6"/>
    </w:p>
    <w:p w:rsidR="008633A4" w:rsidRPr="00F3062A" w:rsidRDefault="008633A4" w:rsidP="00F3062A">
      <w:pPr>
        <w:pStyle w:val="EndNoteBibliography"/>
        <w:numPr>
          <w:ilvl w:val="0"/>
          <w:numId w:val="5"/>
        </w:numPr>
        <w:snapToGrid w:val="0"/>
        <w:spacing w:after="0"/>
        <w:jc w:val="both"/>
        <w:rPr>
          <w:szCs w:val="20"/>
        </w:rPr>
      </w:pPr>
      <w:bookmarkStart w:id="7" w:name="_ENREF_5"/>
      <w:r w:rsidRPr="00F3062A">
        <w:rPr>
          <w:szCs w:val="20"/>
        </w:rPr>
        <w:t>Bontempo P, Mita L, Miceli M, Doto A, Nebbioso A, De Bellis F, Conte M, Minichiello A, Manzo F &amp; Carafa V (2007) Feijoa sellowiana derived natural Flavone exerts anti-cancer action displaying HDAC inhibitory activities. The international journal of biochemistry &amp; cell biology. 39(10), 1902-1914.</w:t>
      </w:r>
      <w:bookmarkEnd w:id="7"/>
    </w:p>
    <w:p w:rsidR="008633A4" w:rsidRPr="00F3062A" w:rsidRDefault="008633A4" w:rsidP="00F3062A">
      <w:pPr>
        <w:pStyle w:val="EndNoteBibliography"/>
        <w:numPr>
          <w:ilvl w:val="0"/>
          <w:numId w:val="5"/>
        </w:numPr>
        <w:snapToGrid w:val="0"/>
        <w:spacing w:after="0"/>
        <w:jc w:val="both"/>
        <w:rPr>
          <w:szCs w:val="20"/>
        </w:rPr>
      </w:pPr>
      <w:bookmarkStart w:id="8" w:name="_ENREF_6"/>
      <w:r w:rsidRPr="00F3062A">
        <w:rPr>
          <w:szCs w:val="20"/>
        </w:rPr>
        <w:t>Bose TK &amp; Mitra SK (1990) Fruits: tropical and subtropical. Naya Prokash</w:t>
      </w:r>
      <w:bookmarkEnd w:id="8"/>
      <w:r w:rsidR="00F3062A">
        <w:rPr>
          <w:rFonts w:eastAsiaTheme="minorEastAsia" w:hint="eastAsia"/>
          <w:szCs w:val="20"/>
          <w:lang w:eastAsia="zh-CN"/>
        </w:rPr>
        <w:t>.</w:t>
      </w:r>
    </w:p>
    <w:p w:rsidR="008633A4" w:rsidRPr="00F3062A" w:rsidRDefault="008633A4" w:rsidP="00F3062A">
      <w:pPr>
        <w:pStyle w:val="EndNoteBibliography"/>
        <w:numPr>
          <w:ilvl w:val="0"/>
          <w:numId w:val="5"/>
        </w:numPr>
        <w:snapToGrid w:val="0"/>
        <w:spacing w:after="0"/>
        <w:jc w:val="both"/>
        <w:rPr>
          <w:szCs w:val="20"/>
        </w:rPr>
      </w:pPr>
      <w:bookmarkStart w:id="9" w:name="_ENREF_7"/>
      <w:r w:rsidRPr="00F3062A">
        <w:rPr>
          <w:szCs w:val="20"/>
        </w:rPr>
        <w:t>Canhoto JM &amp; Cruz GS (1996) Feijoa sellowiana Berg (Pineapple Guava). In: Bajaj YPS (ed) Trees IV, vol 35. Biotechnology in Agriculture and Forestry. p^pp 155-171. Springer Berlin Heidelberg.</w:t>
      </w:r>
      <w:bookmarkEnd w:id="9"/>
    </w:p>
    <w:p w:rsidR="008633A4" w:rsidRPr="00F3062A" w:rsidRDefault="008633A4" w:rsidP="00F3062A">
      <w:pPr>
        <w:pStyle w:val="EndNoteBibliography"/>
        <w:numPr>
          <w:ilvl w:val="0"/>
          <w:numId w:val="5"/>
        </w:numPr>
        <w:snapToGrid w:val="0"/>
        <w:spacing w:after="0"/>
        <w:jc w:val="both"/>
        <w:rPr>
          <w:szCs w:val="20"/>
        </w:rPr>
      </w:pPr>
      <w:bookmarkStart w:id="10" w:name="_ENREF_8"/>
      <w:r w:rsidRPr="00F3062A">
        <w:rPr>
          <w:szCs w:val="20"/>
        </w:rPr>
        <w:t>Chang MC &amp; Morris WC (1990) Effect of Heat Treatments on Chemical Analysis of Dietary Fiber. Journal of food science. 55(6), 1647-1650.</w:t>
      </w:r>
      <w:bookmarkEnd w:id="10"/>
    </w:p>
    <w:p w:rsidR="008633A4" w:rsidRPr="00F3062A" w:rsidRDefault="008633A4" w:rsidP="00F3062A">
      <w:pPr>
        <w:pStyle w:val="EndNoteBibliography"/>
        <w:numPr>
          <w:ilvl w:val="0"/>
          <w:numId w:val="5"/>
        </w:numPr>
        <w:snapToGrid w:val="0"/>
        <w:spacing w:after="0"/>
        <w:jc w:val="both"/>
        <w:rPr>
          <w:szCs w:val="20"/>
        </w:rPr>
      </w:pPr>
      <w:bookmarkStart w:id="11" w:name="_ENREF_9"/>
      <w:r w:rsidRPr="00F3062A">
        <w:rPr>
          <w:szCs w:val="20"/>
        </w:rPr>
        <w:t>Clerici MTPS &amp; Carvalho-Silva LB (2011) Nutritional bioactive compounds and technological aspects of minor fruits grown in Brazil. Food Research International. 44(7), 1658-1670.</w:t>
      </w:r>
      <w:bookmarkEnd w:id="11"/>
    </w:p>
    <w:p w:rsidR="008633A4" w:rsidRPr="00F3062A" w:rsidRDefault="008633A4" w:rsidP="00F3062A">
      <w:pPr>
        <w:pStyle w:val="EndNoteBibliography"/>
        <w:numPr>
          <w:ilvl w:val="0"/>
          <w:numId w:val="5"/>
        </w:numPr>
        <w:snapToGrid w:val="0"/>
        <w:spacing w:after="0"/>
        <w:jc w:val="both"/>
        <w:rPr>
          <w:szCs w:val="20"/>
        </w:rPr>
      </w:pPr>
      <w:bookmarkStart w:id="12" w:name="_ENREF_10"/>
      <w:r w:rsidRPr="00F3062A">
        <w:rPr>
          <w:szCs w:val="20"/>
        </w:rPr>
        <w:lastRenderedPageBreak/>
        <w:t>Demiray E, Tulek Y &amp; Yilmaz Y (2013) Degradation kinetics of lycopene, β-carotene and ascorbic acid in tomatoes during hot air drying. LWT-Food Science and Technology. 50(1), 172-176.</w:t>
      </w:r>
      <w:bookmarkEnd w:id="12"/>
    </w:p>
    <w:p w:rsidR="008633A4" w:rsidRPr="00F3062A" w:rsidRDefault="008633A4" w:rsidP="00F3062A">
      <w:pPr>
        <w:pStyle w:val="EndNoteBibliography"/>
        <w:numPr>
          <w:ilvl w:val="0"/>
          <w:numId w:val="5"/>
        </w:numPr>
        <w:snapToGrid w:val="0"/>
        <w:spacing w:after="0"/>
        <w:jc w:val="both"/>
        <w:rPr>
          <w:szCs w:val="20"/>
        </w:rPr>
      </w:pPr>
      <w:bookmarkStart w:id="13" w:name="_ENREF_11"/>
      <w:r w:rsidRPr="00F3062A">
        <w:rPr>
          <w:szCs w:val="20"/>
        </w:rPr>
        <w:t>Di Majo D, La Guardia M, Giammanco S, La Neve L &amp; Giammanco M (2008) The antioxidant capacity of red wine in relationship with its polyphenolic constituents. Food Chemistry. 111(1), 45-49.</w:t>
      </w:r>
      <w:bookmarkEnd w:id="13"/>
    </w:p>
    <w:p w:rsidR="008633A4" w:rsidRPr="00F3062A" w:rsidRDefault="008633A4" w:rsidP="00F3062A">
      <w:pPr>
        <w:pStyle w:val="EndNoteBibliography"/>
        <w:numPr>
          <w:ilvl w:val="0"/>
          <w:numId w:val="5"/>
        </w:numPr>
        <w:snapToGrid w:val="0"/>
        <w:spacing w:after="0"/>
        <w:jc w:val="both"/>
        <w:rPr>
          <w:szCs w:val="20"/>
        </w:rPr>
      </w:pPr>
      <w:bookmarkStart w:id="14" w:name="_ENREF_12"/>
      <w:r w:rsidRPr="00F3062A">
        <w:rPr>
          <w:szCs w:val="20"/>
        </w:rPr>
        <w:t>Di Scala K &amp; Crapiste G (2008) Drying kinetics and quality changes during drying of red pepper. LWT-Food Science and Technology. 41(5), 789-795.</w:t>
      </w:r>
      <w:bookmarkEnd w:id="14"/>
    </w:p>
    <w:p w:rsidR="008633A4" w:rsidRPr="00F3062A" w:rsidRDefault="008633A4" w:rsidP="00F3062A">
      <w:pPr>
        <w:pStyle w:val="EndNoteBibliography"/>
        <w:numPr>
          <w:ilvl w:val="0"/>
          <w:numId w:val="5"/>
        </w:numPr>
        <w:snapToGrid w:val="0"/>
        <w:spacing w:after="0"/>
        <w:jc w:val="both"/>
        <w:rPr>
          <w:szCs w:val="20"/>
        </w:rPr>
      </w:pPr>
      <w:bookmarkStart w:id="15" w:name="_ENREF_13"/>
      <w:r w:rsidRPr="00F3062A">
        <w:rPr>
          <w:szCs w:val="20"/>
        </w:rPr>
        <w:t>Guiné RP &amp; Barroca MJ (2012) Effect of drying treatments on texture and color of vegetables (pumpkin and green pepper). Food and Bioproducts Processing. 90(1), 58-63.</w:t>
      </w:r>
      <w:bookmarkEnd w:id="15"/>
    </w:p>
    <w:p w:rsidR="008633A4" w:rsidRPr="00F3062A" w:rsidRDefault="008633A4" w:rsidP="00F3062A">
      <w:pPr>
        <w:pStyle w:val="EndNoteBibliography"/>
        <w:numPr>
          <w:ilvl w:val="0"/>
          <w:numId w:val="5"/>
        </w:numPr>
        <w:snapToGrid w:val="0"/>
        <w:spacing w:after="0"/>
        <w:jc w:val="both"/>
        <w:rPr>
          <w:szCs w:val="20"/>
        </w:rPr>
      </w:pPr>
      <w:bookmarkStart w:id="16" w:name="_ENREF_14"/>
      <w:r w:rsidRPr="00F3062A">
        <w:rPr>
          <w:szCs w:val="20"/>
        </w:rPr>
        <w:t>Hardy P &amp; Michael B (1970a) Volatile components of feijoa fruits. Phytochemistry. 9(6), 1355-1357.</w:t>
      </w:r>
      <w:bookmarkEnd w:id="16"/>
    </w:p>
    <w:p w:rsidR="008633A4" w:rsidRPr="00F3062A" w:rsidRDefault="008633A4" w:rsidP="00F3062A">
      <w:pPr>
        <w:pStyle w:val="EndNoteBibliography"/>
        <w:numPr>
          <w:ilvl w:val="0"/>
          <w:numId w:val="5"/>
        </w:numPr>
        <w:snapToGrid w:val="0"/>
        <w:spacing w:after="0"/>
        <w:jc w:val="both"/>
        <w:rPr>
          <w:szCs w:val="20"/>
        </w:rPr>
      </w:pPr>
      <w:bookmarkStart w:id="17" w:name="_ENREF_15"/>
      <w:r w:rsidRPr="00F3062A">
        <w:rPr>
          <w:szCs w:val="20"/>
        </w:rPr>
        <w:t>Hardy PJ &amp; Michael BJ (1970b) Volatile components of feijoa fruits. Phytochemistry. 9(6), 1355-1357.</w:t>
      </w:r>
      <w:bookmarkEnd w:id="17"/>
    </w:p>
    <w:p w:rsidR="008633A4" w:rsidRPr="00F3062A" w:rsidRDefault="008633A4" w:rsidP="00F3062A">
      <w:pPr>
        <w:pStyle w:val="EndNoteBibliography"/>
        <w:numPr>
          <w:ilvl w:val="0"/>
          <w:numId w:val="5"/>
        </w:numPr>
        <w:snapToGrid w:val="0"/>
        <w:spacing w:after="0"/>
        <w:jc w:val="both"/>
        <w:rPr>
          <w:szCs w:val="20"/>
        </w:rPr>
      </w:pPr>
      <w:bookmarkStart w:id="18" w:name="_ENREF_16"/>
      <w:r w:rsidRPr="00F3062A">
        <w:rPr>
          <w:szCs w:val="20"/>
        </w:rPr>
        <w:t>Kaya A, Aydın O &amp; Kolaylı S (2010) Effect of different drying conditions on the vitamin C (ascorbic acid) content of Hayward kiwifruits (Actinidia deliciosa Planch). Food and Bioproducts Processing. 88(2), 165-173.</w:t>
      </w:r>
      <w:bookmarkEnd w:id="18"/>
    </w:p>
    <w:p w:rsidR="008633A4" w:rsidRPr="00F3062A" w:rsidRDefault="008633A4" w:rsidP="00F3062A">
      <w:pPr>
        <w:pStyle w:val="EndNoteBibliography"/>
        <w:numPr>
          <w:ilvl w:val="0"/>
          <w:numId w:val="5"/>
        </w:numPr>
        <w:snapToGrid w:val="0"/>
        <w:spacing w:after="0"/>
        <w:jc w:val="both"/>
        <w:rPr>
          <w:szCs w:val="20"/>
        </w:rPr>
      </w:pPr>
      <w:bookmarkStart w:id="19" w:name="_ENREF_17"/>
      <w:r w:rsidRPr="00F3062A">
        <w:rPr>
          <w:szCs w:val="20"/>
        </w:rPr>
        <w:t>LEVI A, BEN‐SHALOM N, PLAT D &amp; REID DS (1988) Effect of blanching and drying on pectin constitutents and related characteristics of dehydrated peaches. Journal of food science. 53(4), 1187-1190.</w:t>
      </w:r>
      <w:bookmarkEnd w:id="19"/>
    </w:p>
    <w:p w:rsidR="008633A4" w:rsidRPr="00F3062A" w:rsidRDefault="008633A4" w:rsidP="00F3062A">
      <w:pPr>
        <w:pStyle w:val="EndNoteBibliography"/>
        <w:numPr>
          <w:ilvl w:val="0"/>
          <w:numId w:val="5"/>
        </w:numPr>
        <w:snapToGrid w:val="0"/>
        <w:spacing w:after="0"/>
        <w:jc w:val="both"/>
        <w:rPr>
          <w:szCs w:val="20"/>
        </w:rPr>
      </w:pPr>
      <w:bookmarkStart w:id="20" w:name="_ENREF_18"/>
      <w:r w:rsidRPr="00F3062A">
        <w:rPr>
          <w:szCs w:val="20"/>
        </w:rPr>
        <w:t>Levine M, Wang Y, Padayatty SJ &amp; Morrow J (2001) A new recommended dietary allowance of vitamin C for healthy young women. Proceedings of the National Academy of Sciences. 98(17), 9842-9846.</w:t>
      </w:r>
      <w:bookmarkEnd w:id="20"/>
    </w:p>
    <w:p w:rsidR="008633A4" w:rsidRPr="00F3062A" w:rsidRDefault="008633A4" w:rsidP="00F3062A">
      <w:pPr>
        <w:pStyle w:val="EndNoteBibliography"/>
        <w:numPr>
          <w:ilvl w:val="0"/>
          <w:numId w:val="5"/>
        </w:numPr>
        <w:snapToGrid w:val="0"/>
        <w:spacing w:after="0"/>
        <w:jc w:val="both"/>
        <w:rPr>
          <w:szCs w:val="20"/>
        </w:rPr>
      </w:pPr>
      <w:bookmarkStart w:id="21" w:name="_ENREF_19"/>
      <w:r w:rsidRPr="00F3062A">
        <w:rPr>
          <w:szCs w:val="20"/>
        </w:rPr>
        <w:t>Lin C-H &amp; Chang C-Y (2005) Textural change and antioxidant properties of broccoli under different cooking treatments. Food Chemistry. 90(1), 9-15.</w:t>
      </w:r>
      <w:bookmarkEnd w:id="21"/>
    </w:p>
    <w:p w:rsidR="008633A4" w:rsidRPr="00F3062A" w:rsidRDefault="008633A4" w:rsidP="00F3062A">
      <w:pPr>
        <w:pStyle w:val="EndNoteBibliography"/>
        <w:numPr>
          <w:ilvl w:val="0"/>
          <w:numId w:val="5"/>
        </w:numPr>
        <w:snapToGrid w:val="0"/>
        <w:spacing w:after="0"/>
        <w:jc w:val="both"/>
        <w:rPr>
          <w:szCs w:val="20"/>
        </w:rPr>
      </w:pPr>
      <w:bookmarkStart w:id="22" w:name="_ENREF_20"/>
      <w:r w:rsidRPr="00F3062A">
        <w:rPr>
          <w:szCs w:val="20"/>
        </w:rPr>
        <w:t>Malik A &amp; Singh Z (2005) Pre-storage application of polyamines improves shelf-life and fruit quality of mango. Journal of horticultural science &amp; biotechnology. 80(3), 363-369.</w:t>
      </w:r>
      <w:bookmarkEnd w:id="22"/>
    </w:p>
    <w:p w:rsidR="008633A4" w:rsidRPr="00F3062A" w:rsidRDefault="008633A4" w:rsidP="00F3062A">
      <w:pPr>
        <w:pStyle w:val="EndNoteBibliography"/>
        <w:numPr>
          <w:ilvl w:val="0"/>
          <w:numId w:val="5"/>
        </w:numPr>
        <w:snapToGrid w:val="0"/>
        <w:spacing w:after="0"/>
        <w:jc w:val="both"/>
        <w:rPr>
          <w:szCs w:val="20"/>
        </w:rPr>
      </w:pPr>
      <w:bookmarkStart w:id="23" w:name="_ENREF_21"/>
      <w:r w:rsidRPr="00F3062A">
        <w:rPr>
          <w:szCs w:val="20"/>
        </w:rPr>
        <w:t>Manzi P, Marconi S, Aguzzi A &amp; Pizzoferrato L (2004) Commercial mushrooms: nutritional quality and effect of cooking. Food Chemistry. 84(2), 201-206.</w:t>
      </w:r>
      <w:bookmarkEnd w:id="23"/>
    </w:p>
    <w:p w:rsidR="008633A4" w:rsidRPr="00F3062A" w:rsidRDefault="008633A4" w:rsidP="00F3062A">
      <w:pPr>
        <w:pStyle w:val="EndNoteBibliography"/>
        <w:numPr>
          <w:ilvl w:val="0"/>
          <w:numId w:val="5"/>
        </w:numPr>
        <w:snapToGrid w:val="0"/>
        <w:spacing w:after="0"/>
        <w:jc w:val="both"/>
        <w:rPr>
          <w:szCs w:val="20"/>
        </w:rPr>
      </w:pPr>
      <w:bookmarkStart w:id="24" w:name="_ENREF_22"/>
      <w:r w:rsidRPr="00F3062A">
        <w:rPr>
          <w:szCs w:val="20"/>
        </w:rPr>
        <w:t xml:space="preserve">Monforte MT, Fimiani V, Lanuzza F, Naccari C, Restuccia S &amp; Galati EM (2014) Feijoa sellowiana Berg Fruit Juice: Anti-Inflammatory Effect and Activity on Superoxide Anion </w:t>
      </w:r>
      <w:r w:rsidRPr="00F3062A">
        <w:rPr>
          <w:szCs w:val="20"/>
        </w:rPr>
        <w:t>Generation. Journal of medicinal food. 17(4), 455-461.</w:t>
      </w:r>
      <w:bookmarkEnd w:id="24"/>
    </w:p>
    <w:p w:rsidR="008633A4" w:rsidRPr="00F3062A" w:rsidRDefault="008633A4" w:rsidP="00F3062A">
      <w:pPr>
        <w:pStyle w:val="EndNoteBibliography"/>
        <w:numPr>
          <w:ilvl w:val="0"/>
          <w:numId w:val="5"/>
        </w:numPr>
        <w:snapToGrid w:val="0"/>
        <w:spacing w:after="0"/>
        <w:jc w:val="both"/>
        <w:rPr>
          <w:szCs w:val="20"/>
        </w:rPr>
      </w:pPr>
      <w:bookmarkStart w:id="25" w:name="_ENREF_23"/>
      <w:r w:rsidRPr="00F3062A">
        <w:rPr>
          <w:szCs w:val="20"/>
        </w:rPr>
        <w:t>Moxon R &amp; Dixon E (1980) Semi-automatic method for the determination of total iodine in food. Analyst. 105(1249), 344-352.</w:t>
      </w:r>
      <w:bookmarkEnd w:id="25"/>
    </w:p>
    <w:p w:rsidR="008633A4" w:rsidRPr="00F3062A" w:rsidRDefault="008633A4" w:rsidP="00F3062A">
      <w:pPr>
        <w:pStyle w:val="EndNoteBibliography"/>
        <w:numPr>
          <w:ilvl w:val="0"/>
          <w:numId w:val="5"/>
        </w:numPr>
        <w:snapToGrid w:val="0"/>
        <w:spacing w:after="0"/>
        <w:jc w:val="both"/>
        <w:rPr>
          <w:szCs w:val="20"/>
        </w:rPr>
      </w:pPr>
      <w:bookmarkStart w:id="26" w:name="_ENREF_24"/>
      <w:r w:rsidRPr="00F3062A">
        <w:rPr>
          <w:szCs w:val="20"/>
        </w:rPr>
        <w:t>Mrad ND, Boudhrioua N, Kechaou N, Courtois F &amp; Bonazzi C (2012) Influence of air drying temperature on kinetics, physicochemical properties, total phenolic content and ascorbic acid of pears. Food and Bioproducts Processing. 90(3), 433-441.</w:t>
      </w:r>
      <w:bookmarkEnd w:id="26"/>
    </w:p>
    <w:p w:rsidR="008633A4" w:rsidRPr="00F3062A" w:rsidRDefault="008633A4" w:rsidP="00F3062A">
      <w:pPr>
        <w:pStyle w:val="EndNoteBibliography"/>
        <w:numPr>
          <w:ilvl w:val="0"/>
          <w:numId w:val="5"/>
        </w:numPr>
        <w:snapToGrid w:val="0"/>
        <w:spacing w:after="0"/>
        <w:jc w:val="both"/>
        <w:rPr>
          <w:szCs w:val="20"/>
        </w:rPr>
      </w:pPr>
      <w:bookmarkStart w:id="27" w:name="_ENREF_25"/>
      <w:r w:rsidRPr="00F3062A">
        <w:rPr>
          <w:szCs w:val="20"/>
        </w:rPr>
        <w:t>Naczk M &amp; Shahidi F (2004) Extraction and analysis of phenolics in food. Journal of chromatography A. 1054(1), 95-111.</w:t>
      </w:r>
      <w:bookmarkEnd w:id="27"/>
    </w:p>
    <w:p w:rsidR="008633A4" w:rsidRPr="00F3062A" w:rsidRDefault="008633A4" w:rsidP="00F3062A">
      <w:pPr>
        <w:pStyle w:val="EndNoteBibliography"/>
        <w:numPr>
          <w:ilvl w:val="0"/>
          <w:numId w:val="5"/>
        </w:numPr>
        <w:snapToGrid w:val="0"/>
        <w:spacing w:after="0"/>
        <w:jc w:val="both"/>
        <w:rPr>
          <w:szCs w:val="20"/>
        </w:rPr>
      </w:pPr>
      <w:bookmarkStart w:id="28" w:name="_ENREF_26"/>
      <w:r w:rsidRPr="00F3062A">
        <w:rPr>
          <w:szCs w:val="20"/>
        </w:rPr>
        <w:t>Pasquariello MS, Mastrobuoni F, Di Patre D, Zampella L, Capuano LR, Scortichini M &amp; Petriccione M (2015a) Agronomic, nutraceutical and molecular variability of feijoa (Acca sellowiana (O. Berg) Burret) germplasm. Scientia Horticulturae. 191, 1-9.</w:t>
      </w:r>
      <w:bookmarkEnd w:id="28"/>
    </w:p>
    <w:p w:rsidR="008633A4" w:rsidRPr="00F3062A" w:rsidRDefault="008633A4" w:rsidP="00F3062A">
      <w:pPr>
        <w:pStyle w:val="EndNoteBibliography"/>
        <w:numPr>
          <w:ilvl w:val="0"/>
          <w:numId w:val="5"/>
        </w:numPr>
        <w:snapToGrid w:val="0"/>
        <w:spacing w:after="0"/>
        <w:jc w:val="both"/>
        <w:rPr>
          <w:szCs w:val="20"/>
        </w:rPr>
      </w:pPr>
      <w:bookmarkStart w:id="29" w:name="_ENREF_27"/>
      <w:r w:rsidRPr="00F3062A">
        <w:rPr>
          <w:szCs w:val="20"/>
        </w:rPr>
        <w:t>Pasquariello MS, Mastrobuoni F, Di Patre D, Zampella L, Capuano LR, Scortichini M &amp; Petriccione M (2015b) Agronomic, nutraceutical and molecular variability of feijoa (Acca sellowiana (O. Berg) Burret) germplasm. Scientia Horticulturae. 191(0), 1-9.</w:t>
      </w:r>
      <w:bookmarkEnd w:id="29"/>
    </w:p>
    <w:p w:rsidR="008633A4" w:rsidRPr="00F3062A" w:rsidRDefault="008633A4" w:rsidP="00F3062A">
      <w:pPr>
        <w:pStyle w:val="EndNoteBibliography"/>
        <w:numPr>
          <w:ilvl w:val="0"/>
          <w:numId w:val="5"/>
        </w:numPr>
        <w:snapToGrid w:val="0"/>
        <w:spacing w:after="0"/>
        <w:jc w:val="both"/>
        <w:rPr>
          <w:szCs w:val="20"/>
        </w:rPr>
      </w:pPr>
      <w:bookmarkStart w:id="30" w:name="_ENREF_28"/>
      <w:r w:rsidRPr="00F3062A">
        <w:rPr>
          <w:szCs w:val="20"/>
        </w:rPr>
        <w:t>Pressey R, Hinton D &amp; Avants J (1971) Development of polygalacturonase activity and solubilization of pectin in peaches during ripening. Journal of food science. 36(7), 1070-1073.</w:t>
      </w:r>
      <w:bookmarkEnd w:id="30"/>
    </w:p>
    <w:p w:rsidR="008633A4" w:rsidRPr="00F3062A" w:rsidRDefault="008633A4" w:rsidP="00F3062A">
      <w:pPr>
        <w:pStyle w:val="EndNoteBibliography"/>
        <w:numPr>
          <w:ilvl w:val="0"/>
          <w:numId w:val="5"/>
        </w:numPr>
        <w:snapToGrid w:val="0"/>
        <w:spacing w:after="0"/>
        <w:jc w:val="both"/>
        <w:rPr>
          <w:szCs w:val="20"/>
        </w:rPr>
      </w:pPr>
      <w:bookmarkStart w:id="31" w:name="_ENREF_29"/>
      <w:r w:rsidRPr="00F3062A">
        <w:rPr>
          <w:szCs w:val="20"/>
        </w:rPr>
        <w:t>Quek SY, Chok NK &amp; Swedlund P (2007) The physicochemical properties of spray-dried watermelon powders. Chemical Engineering and Processing: Process Intensification. 46(5), 386-392.</w:t>
      </w:r>
      <w:bookmarkEnd w:id="31"/>
    </w:p>
    <w:p w:rsidR="008633A4" w:rsidRPr="00F3062A" w:rsidRDefault="008633A4" w:rsidP="00F3062A">
      <w:pPr>
        <w:pStyle w:val="EndNoteBibliography"/>
        <w:numPr>
          <w:ilvl w:val="0"/>
          <w:numId w:val="5"/>
        </w:numPr>
        <w:snapToGrid w:val="0"/>
        <w:spacing w:after="0"/>
        <w:jc w:val="both"/>
        <w:rPr>
          <w:szCs w:val="20"/>
        </w:rPr>
      </w:pPr>
      <w:bookmarkStart w:id="32" w:name="_ENREF_30"/>
      <w:r w:rsidRPr="00F3062A">
        <w:rPr>
          <w:szCs w:val="20"/>
        </w:rPr>
        <w:t>Ramallo L &amp; Mascheroni R (2012) Quality evaluation of pineapple fruit during drying process. Food and Bioproducts Processing. 90(2), 275-283.</w:t>
      </w:r>
      <w:bookmarkEnd w:id="32"/>
    </w:p>
    <w:p w:rsidR="008633A4" w:rsidRPr="00F3062A" w:rsidRDefault="008633A4" w:rsidP="00F3062A">
      <w:pPr>
        <w:pStyle w:val="EndNoteBibliography"/>
        <w:numPr>
          <w:ilvl w:val="0"/>
          <w:numId w:val="5"/>
        </w:numPr>
        <w:snapToGrid w:val="0"/>
        <w:spacing w:after="0"/>
        <w:jc w:val="both"/>
        <w:rPr>
          <w:szCs w:val="20"/>
        </w:rPr>
      </w:pPr>
      <w:bookmarkStart w:id="33" w:name="_ENREF_31"/>
      <w:r w:rsidRPr="00F3062A">
        <w:rPr>
          <w:szCs w:val="20"/>
        </w:rPr>
        <w:t>Rhim J-W, Xi Y, Jeong W-C, Ham K-S, Chung H-S &amp; Kim E-S (2009) Effect of Drying Method on Antioxidant Activity of Jiwhang (Rehmannia glutinosa). Food Science and Biotechnology. 18(6), 1464-1469.</w:t>
      </w:r>
      <w:bookmarkEnd w:id="33"/>
    </w:p>
    <w:p w:rsidR="008633A4" w:rsidRPr="00F3062A" w:rsidRDefault="008633A4" w:rsidP="00F3062A">
      <w:pPr>
        <w:pStyle w:val="EndNoteBibliography"/>
        <w:numPr>
          <w:ilvl w:val="0"/>
          <w:numId w:val="5"/>
        </w:numPr>
        <w:snapToGrid w:val="0"/>
        <w:spacing w:after="0"/>
        <w:jc w:val="both"/>
        <w:rPr>
          <w:szCs w:val="20"/>
        </w:rPr>
      </w:pPr>
      <w:bookmarkStart w:id="34" w:name="_ENREF_32"/>
      <w:r w:rsidRPr="00F3062A">
        <w:rPr>
          <w:szCs w:val="20"/>
        </w:rPr>
        <w:t>Rodríguez K, Ah‐Hen K, Vega‐Gálvez A, López J, Quispe‐Fuentes I, Lemus‐Mondaca R &amp; Gálvez‐Ranilla L (2014) Changes in bioactive compounds and antioxidant activity during convective drying of murta (Ugni molinae T.) berries. International Journal of Food Science &amp; Technology. 49(4), 990-1000.</w:t>
      </w:r>
      <w:bookmarkEnd w:id="34"/>
    </w:p>
    <w:p w:rsidR="008633A4" w:rsidRPr="00F3062A" w:rsidRDefault="008633A4" w:rsidP="00F3062A">
      <w:pPr>
        <w:pStyle w:val="EndNoteBibliography"/>
        <w:numPr>
          <w:ilvl w:val="0"/>
          <w:numId w:val="5"/>
        </w:numPr>
        <w:snapToGrid w:val="0"/>
        <w:spacing w:after="0"/>
        <w:jc w:val="both"/>
        <w:rPr>
          <w:szCs w:val="20"/>
        </w:rPr>
      </w:pPr>
      <w:bookmarkStart w:id="35" w:name="_ENREF_33"/>
      <w:r w:rsidRPr="00F3062A">
        <w:rPr>
          <w:szCs w:val="20"/>
        </w:rPr>
        <w:t xml:space="preserve">Saladié M, Matas AJ, Isaacson T, Jenks MA, Goodwin SM, Niklas KJ, Xiaolin R, Labavitch JM, Shackel KA &amp; Fernie AR (2007) A reevaluation of the key factors that influence </w:t>
      </w:r>
      <w:r w:rsidRPr="00F3062A">
        <w:rPr>
          <w:szCs w:val="20"/>
        </w:rPr>
        <w:lastRenderedPageBreak/>
        <w:t>tomato fruit softening and integrity. Plant Physiology. 144(2), 1012-1028.</w:t>
      </w:r>
      <w:bookmarkEnd w:id="35"/>
    </w:p>
    <w:p w:rsidR="008633A4" w:rsidRPr="00F3062A" w:rsidRDefault="008633A4" w:rsidP="00F3062A">
      <w:pPr>
        <w:pStyle w:val="EndNoteBibliography"/>
        <w:numPr>
          <w:ilvl w:val="0"/>
          <w:numId w:val="5"/>
        </w:numPr>
        <w:snapToGrid w:val="0"/>
        <w:spacing w:after="0"/>
        <w:jc w:val="both"/>
        <w:rPr>
          <w:szCs w:val="20"/>
        </w:rPr>
      </w:pPr>
      <w:bookmarkStart w:id="36" w:name="_ENREF_34"/>
      <w:r w:rsidRPr="00F3062A">
        <w:rPr>
          <w:szCs w:val="20"/>
        </w:rPr>
        <w:t>Schotsmans WC, East A, Thorp G &amp; Woolf AB (2011) Feijoa (Acca sellowiana [Berg] Burret). In: Yahia EM (ed) Postharvest Biology and Technology of Tropical and Subtropical Fruits. p^pp 115-135e. Woodhead Publishing.</w:t>
      </w:r>
      <w:bookmarkEnd w:id="36"/>
    </w:p>
    <w:p w:rsidR="008633A4" w:rsidRPr="00F3062A" w:rsidRDefault="008633A4" w:rsidP="00F3062A">
      <w:pPr>
        <w:pStyle w:val="EndNoteBibliography"/>
        <w:numPr>
          <w:ilvl w:val="0"/>
          <w:numId w:val="5"/>
        </w:numPr>
        <w:snapToGrid w:val="0"/>
        <w:spacing w:after="0"/>
        <w:jc w:val="both"/>
        <w:rPr>
          <w:szCs w:val="20"/>
        </w:rPr>
      </w:pPr>
      <w:bookmarkStart w:id="37" w:name="_ENREF_35"/>
      <w:r w:rsidRPr="00F3062A">
        <w:rPr>
          <w:szCs w:val="20"/>
        </w:rPr>
        <w:t>Sestras R, Tamas E &amp; Sestras A (2006) Morphological and genetic peculiarities of fruits in several winter apple varieties which confer resistance to damage. Agronomy Research. 4(1), 55-62.</w:t>
      </w:r>
      <w:bookmarkEnd w:id="37"/>
    </w:p>
    <w:p w:rsidR="008633A4" w:rsidRPr="00F3062A" w:rsidRDefault="008633A4" w:rsidP="00F3062A">
      <w:pPr>
        <w:pStyle w:val="EndNoteBibliography"/>
        <w:numPr>
          <w:ilvl w:val="0"/>
          <w:numId w:val="5"/>
        </w:numPr>
        <w:snapToGrid w:val="0"/>
        <w:spacing w:after="0"/>
        <w:jc w:val="both"/>
        <w:rPr>
          <w:szCs w:val="20"/>
        </w:rPr>
      </w:pPr>
      <w:bookmarkStart w:id="38" w:name="_ENREF_36"/>
      <w:r w:rsidRPr="00F3062A">
        <w:rPr>
          <w:szCs w:val="20"/>
        </w:rPr>
        <w:t>Skinner M &amp; Hunter D (2013) Bioactives in fruit: health benefits and functional foods. John Wiley &amp; Sons</w:t>
      </w:r>
      <w:bookmarkEnd w:id="38"/>
      <w:r w:rsidR="00F3062A">
        <w:rPr>
          <w:rFonts w:eastAsiaTheme="minorEastAsia" w:hint="eastAsia"/>
          <w:szCs w:val="20"/>
          <w:lang w:eastAsia="zh-CN"/>
        </w:rPr>
        <w:t>.</w:t>
      </w:r>
    </w:p>
    <w:p w:rsidR="008633A4" w:rsidRPr="00F3062A" w:rsidRDefault="008633A4" w:rsidP="00F3062A">
      <w:pPr>
        <w:pStyle w:val="EndNoteBibliography"/>
        <w:numPr>
          <w:ilvl w:val="0"/>
          <w:numId w:val="5"/>
        </w:numPr>
        <w:snapToGrid w:val="0"/>
        <w:spacing w:after="0"/>
        <w:jc w:val="both"/>
        <w:rPr>
          <w:szCs w:val="20"/>
        </w:rPr>
      </w:pPr>
      <w:bookmarkStart w:id="39" w:name="_ENREF_37"/>
      <w:r w:rsidRPr="00F3062A">
        <w:rPr>
          <w:szCs w:val="20"/>
        </w:rPr>
        <w:t>Sun-Waterhouse D, Wang W, Waterhouse GN &amp; Wadhwa S (2013) Utilisation Potential of Feijoa Fruit Wastes as Ingredients for Functional Foods. Food and Bioprocess Technology. 6(12), 3441-3455.</w:t>
      </w:r>
      <w:bookmarkEnd w:id="39"/>
    </w:p>
    <w:p w:rsidR="008633A4" w:rsidRPr="00F3062A" w:rsidRDefault="008633A4" w:rsidP="00F3062A">
      <w:pPr>
        <w:pStyle w:val="EndNoteBibliography"/>
        <w:numPr>
          <w:ilvl w:val="0"/>
          <w:numId w:val="5"/>
        </w:numPr>
        <w:snapToGrid w:val="0"/>
        <w:spacing w:after="0"/>
        <w:jc w:val="both"/>
        <w:rPr>
          <w:szCs w:val="20"/>
        </w:rPr>
      </w:pPr>
      <w:bookmarkStart w:id="40" w:name="_ENREF_38"/>
      <w:r w:rsidRPr="00F3062A">
        <w:rPr>
          <w:szCs w:val="20"/>
        </w:rPr>
        <w:t>Taylor TM, Gaysinsky S, Davidson PM, Bruce B &amp; Weiss J (2007) Characterization of Antimicrobial-bearing Liposomes by ζ-Potential, Vesicle Size, and Encapsulation Efficiency. Food Biophysics. 2(1), 1-9.</w:t>
      </w:r>
      <w:bookmarkEnd w:id="40"/>
    </w:p>
    <w:p w:rsidR="008633A4" w:rsidRPr="00F3062A" w:rsidRDefault="008633A4" w:rsidP="00F3062A">
      <w:pPr>
        <w:pStyle w:val="EndNoteBibliography"/>
        <w:numPr>
          <w:ilvl w:val="0"/>
          <w:numId w:val="5"/>
        </w:numPr>
        <w:snapToGrid w:val="0"/>
        <w:spacing w:after="0"/>
        <w:jc w:val="both"/>
        <w:rPr>
          <w:szCs w:val="20"/>
        </w:rPr>
      </w:pPr>
      <w:bookmarkStart w:id="41" w:name="_ENREF_39"/>
      <w:r w:rsidRPr="00F3062A">
        <w:rPr>
          <w:szCs w:val="20"/>
        </w:rPr>
        <w:t>Uddin M, Hawlader M, Ding L &amp; Mujumdar A (2002) Degradation of ascorbic acid in dried guava during storage. Journal of Food Engineering. 51(1), 21-26.</w:t>
      </w:r>
      <w:bookmarkEnd w:id="41"/>
    </w:p>
    <w:p w:rsidR="008633A4" w:rsidRPr="00F3062A" w:rsidRDefault="008633A4" w:rsidP="00F3062A">
      <w:pPr>
        <w:pStyle w:val="EndNoteBibliography"/>
        <w:numPr>
          <w:ilvl w:val="0"/>
          <w:numId w:val="5"/>
        </w:numPr>
        <w:snapToGrid w:val="0"/>
        <w:spacing w:after="0"/>
        <w:jc w:val="both"/>
        <w:rPr>
          <w:szCs w:val="20"/>
        </w:rPr>
      </w:pPr>
      <w:bookmarkStart w:id="42" w:name="_ENREF_40"/>
      <w:r w:rsidRPr="00F3062A">
        <w:rPr>
          <w:szCs w:val="20"/>
        </w:rPr>
        <w:t>Varga a &amp; Molnar J (2000) Biological activity Of feijoa peel extracts. Anticancer research. 20, 4323-4330.</w:t>
      </w:r>
      <w:bookmarkEnd w:id="42"/>
    </w:p>
    <w:p w:rsidR="008633A4" w:rsidRPr="00F3062A" w:rsidRDefault="008633A4" w:rsidP="00F3062A">
      <w:pPr>
        <w:pStyle w:val="EndNoteBibliography"/>
        <w:numPr>
          <w:ilvl w:val="0"/>
          <w:numId w:val="5"/>
        </w:numPr>
        <w:snapToGrid w:val="0"/>
        <w:spacing w:after="0"/>
        <w:jc w:val="both"/>
        <w:rPr>
          <w:szCs w:val="20"/>
        </w:rPr>
      </w:pPr>
      <w:bookmarkStart w:id="43" w:name="_ENREF_41"/>
      <w:r w:rsidRPr="00F3062A">
        <w:rPr>
          <w:szCs w:val="20"/>
        </w:rPr>
        <w:t>Vuotto ML, Basile A, Moscatiello V, De Sole P, Castaldo-Cobianchi R, Laghi E &amp; Ielpo MTL (2000) Antimicrobial and antioxidant activities of Feijoa sellowiana fruit. International Journal of Antimicrobial Agents. 13(3), 197-201.</w:t>
      </w:r>
      <w:bookmarkEnd w:id="43"/>
    </w:p>
    <w:p w:rsidR="008633A4" w:rsidRPr="00F3062A" w:rsidRDefault="008633A4" w:rsidP="00F3062A">
      <w:pPr>
        <w:pStyle w:val="EndNoteBibliography"/>
        <w:numPr>
          <w:ilvl w:val="0"/>
          <w:numId w:val="5"/>
        </w:numPr>
        <w:snapToGrid w:val="0"/>
        <w:spacing w:after="0"/>
        <w:jc w:val="both"/>
        <w:rPr>
          <w:szCs w:val="20"/>
        </w:rPr>
      </w:pPr>
      <w:bookmarkStart w:id="44" w:name="_ENREF_42"/>
      <w:r w:rsidRPr="00F3062A">
        <w:rPr>
          <w:szCs w:val="20"/>
        </w:rPr>
        <w:t>Wennberg M, Ekvall J, Olsson K &amp; Nyman M (2006) Changes in carbohydrate and glucosinolate composition in white cabbage (Brassica oleracea var. capitata) during blanching and treatment with acetic acid. Food Chemistry. 95(2), 226-236.</w:t>
      </w:r>
      <w:bookmarkEnd w:id="44"/>
    </w:p>
    <w:p w:rsidR="008633A4" w:rsidRPr="00F3062A" w:rsidRDefault="008633A4" w:rsidP="00F3062A">
      <w:pPr>
        <w:pStyle w:val="EndNoteBibliography"/>
        <w:numPr>
          <w:ilvl w:val="0"/>
          <w:numId w:val="5"/>
        </w:numPr>
        <w:snapToGrid w:val="0"/>
        <w:spacing w:after="0"/>
        <w:jc w:val="both"/>
        <w:rPr>
          <w:szCs w:val="20"/>
        </w:rPr>
      </w:pPr>
      <w:bookmarkStart w:id="45" w:name="_ENREF_43"/>
      <w:r w:rsidRPr="00F3062A">
        <w:rPr>
          <w:szCs w:val="20"/>
        </w:rPr>
        <w:t>Weston RJ (2010) Bioactive products from fruit of the feijoa (Feijoa sellowiana, Myrtaceae): A review. Food Chemistry. 121(4), 923-926.</w:t>
      </w:r>
      <w:bookmarkEnd w:id="45"/>
    </w:p>
    <w:p w:rsidR="00F3062A" w:rsidRPr="008F0181" w:rsidRDefault="008633A4" w:rsidP="00F3062A">
      <w:pPr>
        <w:numPr>
          <w:ilvl w:val="0"/>
          <w:numId w:val="5"/>
        </w:numPr>
        <w:snapToGrid w:val="0"/>
        <w:ind w:firstLine="425"/>
        <w:jc w:val="both"/>
        <w:rPr>
          <w:sz w:val="20"/>
          <w:szCs w:val="20"/>
        </w:rPr>
      </w:pPr>
      <w:bookmarkStart w:id="46" w:name="_ENREF_44"/>
      <w:r w:rsidRPr="008F0181">
        <w:rPr>
          <w:sz w:val="20"/>
          <w:szCs w:val="20"/>
        </w:rPr>
        <w:t>Zhishen J, Mengcheng T &amp; Jianming W (1999) The determination of flavonoid contents in mulberry and their scavenging effects on superoxide radicals. Food Chemistry. 64(4), 555-559.</w:t>
      </w:r>
      <w:bookmarkEnd w:id="46"/>
      <w:r w:rsidR="008F0181" w:rsidRPr="008F0181">
        <w:rPr>
          <w:rFonts w:hint="eastAsia"/>
          <w:sz w:val="20"/>
          <w:szCs w:val="20"/>
          <w:lang w:eastAsia="zh-CN"/>
        </w:rPr>
        <w:t xml:space="preserve"> </w:t>
      </w:r>
    </w:p>
    <w:p w:rsidR="00F3062A" w:rsidRPr="00F3062A" w:rsidRDefault="00F3062A" w:rsidP="00F3062A">
      <w:pPr>
        <w:snapToGrid w:val="0"/>
        <w:ind w:firstLine="425"/>
        <w:jc w:val="both"/>
        <w:rPr>
          <w:sz w:val="20"/>
          <w:szCs w:val="20"/>
        </w:rPr>
        <w:sectPr w:rsidR="00F3062A" w:rsidRPr="00F3062A" w:rsidSect="00F3062A">
          <w:headerReference w:type="default" r:id="rId31"/>
          <w:footerReference w:type="even" r:id="rId32"/>
          <w:footerReference w:type="default" r:id="rId33"/>
          <w:footnotePr>
            <w:pos w:val="beneathText"/>
          </w:footnotePr>
          <w:type w:val="continuous"/>
          <w:pgSz w:w="12240" w:h="15840" w:code="1"/>
          <w:pgMar w:top="1440" w:right="1440" w:bottom="1440" w:left="1440" w:header="720" w:footer="720" w:gutter="0"/>
          <w:cols w:num="2" w:space="600"/>
          <w:docGrid w:linePitch="360"/>
        </w:sectPr>
      </w:pPr>
    </w:p>
    <w:p w:rsidR="00F3062A" w:rsidRPr="00F3062A" w:rsidRDefault="00F3062A" w:rsidP="00F3062A">
      <w:pPr>
        <w:snapToGrid w:val="0"/>
        <w:ind w:firstLine="425"/>
        <w:jc w:val="both"/>
        <w:rPr>
          <w:b/>
          <w:sz w:val="20"/>
          <w:szCs w:val="20"/>
        </w:rPr>
      </w:pPr>
    </w:p>
    <w:p w:rsidR="00F3062A" w:rsidRDefault="00F3062A" w:rsidP="00F3062A">
      <w:pPr>
        <w:snapToGrid w:val="0"/>
        <w:ind w:firstLine="425"/>
        <w:jc w:val="both"/>
        <w:rPr>
          <w:b/>
          <w:sz w:val="20"/>
          <w:szCs w:val="20"/>
          <w:lang w:eastAsia="zh-CN"/>
        </w:rPr>
      </w:pPr>
    </w:p>
    <w:p w:rsidR="00F3062A" w:rsidRPr="00F3062A" w:rsidRDefault="00F3062A" w:rsidP="00F3062A">
      <w:pPr>
        <w:snapToGrid w:val="0"/>
        <w:ind w:firstLine="425"/>
        <w:jc w:val="both"/>
        <w:rPr>
          <w:b/>
          <w:sz w:val="20"/>
          <w:szCs w:val="20"/>
          <w:lang w:eastAsia="zh-CN"/>
        </w:rPr>
      </w:pPr>
    </w:p>
    <w:p w:rsidR="008633A4" w:rsidRPr="00F3062A" w:rsidRDefault="00F3062A" w:rsidP="00F3062A">
      <w:pPr>
        <w:snapToGrid w:val="0"/>
        <w:ind w:left="425" w:hanging="425"/>
        <w:jc w:val="both"/>
        <w:rPr>
          <w:sz w:val="20"/>
          <w:szCs w:val="20"/>
        </w:rPr>
      </w:pPr>
      <w:r w:rsidRPr="00F3062A">
        <w:rPr>
          <w:sz w:val="20"/>
          <w:szCs w:val="20"/>
        </w:rPr>
        <w:t>10/1</w:t>
      </w:r>
      <w:r>
        <w:rPr>
          <w:rFonts w:hint="eastAsia"/>
          <w:sz w:val="20"/>
          <w:szCs w:val="20"/>
          <w:lang w:eastAsia="zh-CN"/>
        </w:rPr>
        <w:t>7</w:t>
      </w:r>
      <w:r w:rsidRPr="00F3062A">
        <w:rPr>
          <w:sz w:val="20"/>
          <w:szCs w:val="20"/>
        </w:rPr>
        <w:t>/2016</w:t>
      </w:r>
    </w:p>
    <w:sectPr w:rsidR="008633A4" w:rsidRPr="00F3062A" w:rsidSect="007F6B31">
      <w:headerReference w:type="default" r:id="rId34"/>
      <w:footerReference w:type="even" r:id="rId35"/>
      <w:footerReference w:type="default" r:id="rId36"/>
      <w:footnotePr>
        <w:pos w:val="beneathText"/>
      </w:footnotePr>
      <w:type w:val="continuous"/>
      <w:pgSz w:w="12240" w:h="15840" w:code="1"/>
      <w:pgMar w:top="1440" w:right="1440" w:bottom="1440" w:left="1440" w:header="720" w:footer="720" w:gutter="0"/>
      <w:cols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E11" w:rsidRDefault="00516E11">
      <w:r>
        <w:separator/>
      </w:r>
    </w:p>
  </w:endnote>
  <w:endnote w:type="continuationSeparator" w:id="0">
    <w:p w:rsidR="00516E11" w:rsidRDefault="00516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Default="008A7C97" w:rsidP="00B3167C">
    <w:pPr>
      <w:pStyle w:val="Footer"/>
      <w:framePr w:wrap="around" w:vAnchor="text" w:hAnchor="margin" w:xAlign="center" w:y="1"/>
      <w:rPr>
        <w:rStyle w:val="PageNumber"/>
      </w:rPr>
    </w:pPr>
    <w:r>
      <w:rPr>
        <w:rStyle w:val="PageNumber"/>
      </w:rPr>
      <w:fldChar w:fldCharType="begin"/>
    </w:r>
    <w:r w:rsidR="00F3062A">
      <w:rPr>
        <w:rStyle w:val="PageNumber"/>
      </w:rPr>
      <w:instrText xml:space="preserve">PAGE  </w:instrText>
    </w:r>
    <w:r>
      <w:rPr>
        <w:rStyle w:val="PageNumber"/>
      </w:rPr>
      <w:fldChar w:fldCharType="end"/>
    </w:r>
  </w:p>
  <w:p w:rsidR="00F3062A" w:rsidRDefault="00F3062A"/>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8A7C97" w:rsidP="00F3062A">
    <w:pPr>
      <w:jc w:val="center"/>
      <w:rPr>
        <w:sz w:val="20"/>
      </w:rPr>
    </w:pPr>
    <w:r w:rsidRPr="00F3062A">
      <w:rPr>
        <w:sz w:val="20"/>
      </w:rPr>
      <w:fldChar w:fldCharType="begin"/>
    </w:r>
    <w:r w:rsidR="00F3062A" w:rsidRPr="00F3062A">
      <w:rPr>
        <w:sz w:val="20"/>
      </w:rPr>
      <w:instrText xml:space="preserve"> page </w:instrText>
    </w:r>
    <w:r w:rsidRPr="00F3062A">
      <w:rPr>
        <w:sz w:val="20"/>
      </w:rPr>
      <w:fldChar w:fldCharType="separate"/>
    </w:r>
    <w:r w:rsidR="003E5FC6">
      <w:rPr>
        <w:noProof/>
        <w:sz w:val="20"/>
      </w:rPr>
      <w:t>20</w:t>
    </w:r>
    <w:r w:rsidRPr="00F3062A">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Default="008A7C97" w:rsidP="00B3167C">
    <w:pPr>
      <w:pStyle w:val="Footer"/>
      <w:framePr w:wrap="around" w:vAnchor="text" w:hAnchor="margin" w:xAlign="center" w:y="1"/>
      <w:rPr>
        <w:rStyle w:val="PageNumber"/>
      </w:rPr>
    </w:pPr>
    <w:r>
      <w:rPr>
        <w:rStyle w:val="PageNumber"/>
      </w:rPr>
      <w:fldChar w:fldCharType="begin"/>
    </w:r>
    <w:r w:rsidR="00F3062A">
      <w:rPr>
        <w:rStyle w:val="PageNumber"/>
      </w:rPr>
      <w:instrText xml:space="preserve">PAGE  </w:instrText>
    </w:r>
    <w:r>
      <w:rPr>
        <w:rStyle w:val="PageNumber"/>
      </w:rPr>
      <w:fldChar w:fldCharType="end"/>
    </w:r>
  </w:p>
  <w:p w:rsidR="00F3062A" w:rsidRDefault="00F3062A"/>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8A7C97" w:rsidP="00F3062A">
    <w:pPr>
      <w:jc w:val="center"/>
      <w:rPr>
        <w:sz w:val="20"/>
      </w:rPr>
    </w:pPr>
    <w:r w:rsidRPr="00F3062A">
      <w:rPr>
        <w:sz w:val="20"/>
      </w:rPr>
      <w:fldChar w:fldCharType="begin"/>
    </w:r>
    <w:r w:rsidR="00F3062A" w:rsidRPr="00F3062A">
      <w:rPr>
        <w:sz w:val="20"/>
      </w:rPr>
      <w:instrText xml:space="preserve"> page </w:instrText>
    </w:r>
    <w:r w:rsidRPr="00F3062A">
      <w:rPr>
        <w:sz w:val="20"/>
      </w:rPr>
      <w:fldChar w:fldCharType="separate"/>
    </w:r>
    <w:r w:rsidR="003E5FC6">
      <w:rPr>
        <w:noProof/>
        <w:sz w:val="20"/>
      </w:rPr>
      <w:t>22</w:t>
    </w:r>
    <w:r w:rsidRPr="00F3062A">
      <w:rP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B6A" w:rsidRDefault="008A7C97"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E57" w:rsidRPr="00F3062A" w:rsidRDefault="008A7C97" w:rsidP="00F3062A">
    <w:pPr>
      <w:jc w:val="center"/>
      <w:rPr>
        <w:sz w:val="20"/>
      </w:rPr>
    </w:pPr>
    <w:r w:rsidRPr="00F3062A">
      <w:rPr>
        <w:sz w:val="20"/>
      </w:rPr>
      <w:fldChar w:fldCharType="begin"/>
    </w:r>
    <w:r w:rsidR="00F3062A" w:rsidRPr="00F3062A">
      <w:rPr>
        <w:sz w:val="20"/>
      </w:rPr>
      <w:instrText xml:space="preserve"> page </w:instrText>
    </w:r>
    <w:r w:rsidRPr="00F3062A">
      <w:rPr>
        <w:sz w:val="20"/>
      </w:rPr>
      <w:fldChar w:fldCharType="separate"/>
    </w:r>
    <w:r w:rsidR="00F3062A">
      <w:rPr>
        <w:noProof/>
        <w:sz w:val="20"/>
      </w:rPr>
      <w:t>7</w:t>
    </w:r>
    <w:r w:rsidRPr="00F3062A">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8A7C97" w:rsidP="00F3062A">
    <w:pPr>
      <w:jc w:val="center"/>
      <w:rPr>
        <w:sz w:val="20"/>
      </w:rPr>
    </w:pPr>
    <w:r w:rsidRPr="00F3062A">
      <w:rPr>
        <w:sz w:val="20"/>
      </w:rPr>
      <w:fldChar w:fldCharType="begin"/>
    </w:r>
    <w:r w:rsidR="00F3062A" w:rsidRPr="00F3062A">
      <w:rPr>
        <w:sz w:val="20"/>
      </w:rPr>
      <w:instrText xml:space="preserve"> page </w:instrText>
    </w:r>
    <w:r w:rsidRPr="00F3062A">
      <w:rPr>
        <w:sz w:val="20"/>
      </w:rPr>
      <w:fldChar w:fldCharType="separate"/>
    </w:r>
    <w:r w:rsidR="003E5FC6">
      <w:rPr>
        <w:noProof/>
        <w:sz w:val="20"/>
      </w:rPr>
      <w:t>16</w:t>
    </w:r>
    <w:r w:rsidRPr="00F3062A">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Default="008A7C97" w:rsidP="00B3167C">
    <w:pPr>
      <w:pStyle w:val="Footer"/>
      <w:framePr w:wrap="around" w:vAnchor="text" w:hAnchor="margin" w:xAlign="center" w:y="1"/>
      <w:rPr>
        <w:rStyle w:val="PageNumber"/>
      </w:rPr>
    </w:pPr>
    <w:r>
      <w:rPr>
        <w:rStyle w:val="PageNumber"/>
      </w:rPr>
      <w:fldChar w:fldCharType="begin"/>
    </w:r>
    <w:r w:rsidR="00F3062A">
      <w:rPr>
        <w:rStyle w:val="PageNumber"/>
      </w:rPr>
      <w:instrText xml:space="preserve">PAGE  </w:instrText>
    </w:r>
    <w:r>
      <w:rPr>
        <w:rStyle w:val="PageNumber"/>
      </w:rPr>
      <w:fldChar w:fldCharType="end"/>
    </w:r>
  </w:p>
  <w:p w:rsidR="00F3062A" w:rsidRDefault="00F3062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8A7C97" w:rsidP="00F3062A">
    <w:pPr>
      <w:jc w:val="center"/>
      <w:rPr>
        <w:sz w:val="20"/>
      </w:rPr>
    </w:pPr>
    <w:r w:rsidRPr="00F3062A">
      <w:rPr>
        <w:sz w:val="20"/>
      </w:rPr>
      <w:fldChar w:fldCharType="begin"/>
    </w:r>
    <w:r w:rsidR="00F3062A" w:rsidRPr="00F3062A">
      <w:rPr>
        <w:sz w:val="20"/>
      </w:rPr>
      <w:instrText xml:space="preserve"> page </w:instrText>
    </w:r>
    <w:r w:rsidRPr="00F3062A">
      <w:rPr>
        <w:sz w:val="20"/>
      </w:rPr>
      <w:fldChar w:fldCharType="separate"/>
    </w:r>
    <w:r w:rsidR="003E5FC6">
      <w:rPr>
        <w:noProof/>
        <w:sz w:val="20"/>
      </w:rPr>
      <w:t>17</w:t>
    </w:r>
    <w:r w:rsidRPr="00F3062A">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Default="008A7C97" w:rsidP="00B3167C">
    <w:pPr>
      <w:pStyle w:val="Footer"/>
      <w:framePr w:wrap="around" w:vAnchor="text" w:hAnchor="margin" w:xAlign="center" w:y="1"/>
      <w:rPr>
        <w:rStyle w:val="PageNumber"/>
      </w:rPr>
    </w:pPr>
    <w:r>
      <w:rPr>
        <w:rStyle w:val="PageNumber"/>
      </w:rPr>
      <w:fldChar w:fldCharType="begin"/>
    </w:r>
    <w:r w:rsidR="00F3062A">
      <w:rPr>
        <w:rStyle w:val="PageNumber"/>
      </w:rPr>
      <w:instrText xml:space="preserve">PAGE  </w:instrText>
    </w:r>
    <w:r>
      <w:rPr>
        <w:rStyle w:val="PageNumber"/>
      </w:rPr>
      <w:fldChar w:fldCharType="end"/>
    </w:r>
  </w:p>
  <w:p w:rsidR="00F3062A" w:rsidRDefault="00F3062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8A7C97" w:rsidP="00F3062A">
    <w:pPr>
      <w:jc w:val="center"/>
      <w:rPr>
        <w:sz w:val="20"/>
      </w:rPr>
    </w:pPr>
    <w:r w:rsidRPr="00F3062A">
      <w:rPr>
        <w:sz w:val="20"/>
      </w:rPr>
      <w:fldChar w:fldCharType="begin"/>
    </w:r>
    <w:r w:rsidR="00F3062A" w:rsidRPr="00F3062A">
      <w:rPr>
        <w:sz w:val="20"/>
      </w:rPr>
      <w:instrText xml:space="preserve"> page </w:instrText>
    </w:r>
    <w:r w:rsidRPr="00F3062A">
      <w:rPr>
        <w:sz w:val="20"/>
      </w:rPr>
      <w:fldChar w:fldCharType="separate"/>
    </w:r>
    <w:r w:rsidR="00E70E9A">
      <w:rPr>
        <w:noProof/>
        <w:sz w:val="20"/>
      </w:rPr>
      <w:t>18</w:t>
    </w:r>
    <w:r w:rsidRPr="00F3062A">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Default="008A7C97" w:rsidP="00B3167C">
    <w:pPr>
      <w:pStyle w:val="Footer"/>
      <w:framePr w:wrap="around" w:vAnchor="text" w:hAnchor="margin" w:xAlign="center" w:y="1"/>
      <w:rPr>
        <w:rStyle w:val="PageNumber"/>
      </w:rPr>
    </w:pPr>
    <w:r>
      <w:rPr>
        <w:rStyle w:val="PageNumber"/>
      </w:rPr>
      <w:fldChar w:fldCharType="begin"/>
    </w:r>
    <w:r w:rsidR="00F3062A">
      <w:rPr>
        <w:rStyle w:val="PageNumber"/>
      </w:rPr>
      <w:instrText xml:space="preserve">PAGE  </w:instrText>
    </w:r>
    <w:r>
      <w:rPr>
        <w:rStyle w:val="PageNumber"/>
      </w:rPr>
      <w:fldChar w:fldCharType="end"/>
    </w:r>
  </w:p>
  <w:p w:rsidR="00F3062A" w:rsidRDefault="00F3062A"/>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8A7C97" w:rsidP="00F3062A">
    <w:pPr>
      <w:jc w:val="center"/>
      <w:rPr>
        <w:sz w:val="20"/>
      </w:rPr>
    </w:pPr>
    <w:r w:rsidRPr="00F3062A">
      <w:rPr>
        <w:sz w:val="20"/>
      </w:rPr>
      <w:fldChar w:fldCharType="begin"/>
    </w:r>
    <w:r w:rsidR="00F3062A" w:rsidRPr="00F3062A">
      <w:rPr>
        <w:sz w:val="20"/>
      </w:rPr>
      <w:instrText xml:space="preserve"> page </w:instrText>
    </w:r>
    <w:r w:rsidRPr="00F3062A">
      <w:rPr>
        <w:sz w:val="20"/>
      </w:rPr>
      <w:fldChar w:fldCharType="separate"/>
    </w:r>
    <w:r w:rsidR="003E5FC6">
      <w:rPr>
        <w:noProof/>
        <w:sz w:val="20"/>
      </w:rPr>
      <w:t>19</w:t>
    </w:r>
    <w:r w:rsidRPr="00F3062A">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Default="008A7C97" w:rsidP="00B3167C">
    <w:pPr>
      <w:pStyle w:val="Footer"/>
      <w:framePr w:wrap="around" w:vAnchor="text" w:hAnchor="margin" w:xAlign="center" w:y="1"/>
      <w:rPr>
        <w:rStyle w:val="PageNumber"/>
      </w:rPr>
    </w:pPr>
    <w:r>
      <w:rPr>
        <w:rStyle w:val="PageNumber"/>
      </w:rPr>
      <w:fldChar w:fldCharType="begin"/>
    </w:r>
    <w:r w:rsidR="00F3062A">
      <w:rPr>
        <w:rStyle w:val="PageNumber"/>
      </w:rPr>
      <w:instrText xml:space="preserve">PAGE  </w:instrText>
    </w:r>
    <w:r>
      <w:rPr>
        <w:rStyle w:val="PageNumber"/>
      </w:rPr>
      <w:fldChar w:fldCharType="end"/>
    </w:r>
  </w:p>
  <w:p w:rsidR="00F3062A" w:rsidRDefault="00F3062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E11" w:rsidRDefault="00516E11">
      <w:r>
        <w:separator/>
      </w:r>
    </w:p>
  </w:footnote>
  <w:footnote w:type="continuationSeparator" w:id="0">
    <w:p w:rsidR="00516E11" w:rsidRDefault="00516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F3062A" w:rsidP="00F3062A">
    <w:pPr>
      <w:pBdr>
        <w:bottom w:val="thinThickMediumGap" w:sz="12" w:space="1" w:color="auto"/>
      </w:pBdr>
      <w:tabs>
        <w:tab w:val="left" w:pos="851"/>
        <w:tab w:val="right" w:pos="8364"/>
      </w:tabs>
      <w:adjustRightInd w:val="0"/>
      <w:snapToGrid w:val="0"/>
      <w:jc w:val="both"/>
      <w:rPr>
        <w:iCs/>
        <w:sz w:val="20"/>
        <w:szCs w:val="20"/>
      </w:rPr>
    </w:pPr>
    <w:r w:rsidRPr="00F3062A">
      <w:rPr>
        <w:rFonts w:hint="eastAsia"/>
        <w:iCs/>
        <w:color w:val="000000"/>
        <w:sz w:val="20"/>
        <w:szCs w:val="20"/>
      </w:rPr>
      <w:tab/>
    </w:r>
    <w:r w:rsidRPr="00F3062A">
      <w:rPr>
        <w:iCs/>
        <w:color w:val="000000"/>
        <w:sz w:val="20"/>
        <w:szCs w:val="20"/>
      </w:rPr>
      <w:t xml:space="preserve">Researcher </w:t>
    </w:r>
    <w:r w:rsidRPr="00F3062A">
      <w:rPr>
        <w:iCs/>
        <w:sz w:val="20"/>
        <w:szCs w:val="20"/>
      </w:rPr>
      <w:t>201</w:t>
    </w:r>
    <w:r w:rsidRPr="00F3062A">
      <w:rPr>
        <w:rFonts w:hint="eastAsia"/>
        <w:iCs/>
        <w:sz w:val="20"/>
        <w:szCs w:val="20"/>
      </w:rPr>
      <w:t>6</w:t>
    </w:r>
    <w:r w:rsidRPr="00F3062A">
      <w:rPr>
        <w:iCs/>
        <w:sz w:val="20"/>
        <w:szCs w:val="20"/>
      </w:rPr>
      <w:t>;</w:t>
    </w:r>
    <w:r w:rsidRPr="00F3062A">
      <w:rPr>
        <w:rFonts w:hint="eastAsia"/>
        <w:iCs/>
        <w:sz w:val="20"/>
        <w:szCs w:val="20"/>
      </w:rPr>
      <w:t>8</w:t>
    </w:r>
    <w:r w:rsidRPr="00F3062A">
      <w:rPr>
        <w:iCs/>
        <w:sz w:val="20"/>
        <w:szCs w:val="20"/>
      </w:rPr>
      <w:t>(</w:t>
    </w:r>
    <w:r w:rsidRPr="00F3062A">
      <w:rPr>
        <w:rFonts w:hint="eastAsia"/>
        <w:iCs/>
        <w:sz w:val="20"/>
        <w:szCs w:val="20"/>
      </w:rPr>
      <w:t>10</w:t>
    </w:r>
    <w:r w:rsidRPr="00F3062A">
      <w:rPr>
        <w:iCs/>
        <w:sz w:val="20"/>
        <w:szCs w:val="20"/>
      </w:rPr>
      <w:t xml:space="preserve">)  </w:t>
    </w:r>
    <w:r w:rsidRPr="00F3062A">
      <w:rPr>
        <w:rFonts w:hint="eastAsia"/>
        <w:iCs/>
        <w:sz w:val="20"/>
        <w:szCs w:val="20"/>
      </w:rPr>
      <w:t xml:space="preserve"> </w:t>
    </w:r>
    <w:r w:rsidRPr="00F3062A">
      <w:rPr>
        <w:iCs/>
        <w:sz w:val="20"/>
        <w:szCs w:val="20"/>
      </w:rPr>
      <w:t xml:space="preserve"> </w:t>
    </w:r>
    <w:r w:rsidRPr="00F3062A">
      <w:rPr>
        <w:rFonts w:hint="eastAsia"/>
        <w:iCs/>
        <w:sz w:val="20"/>
        <w:szCs w:val="20"/>
      </w:rPr>
      <w:tab/>
    </w:r>
    <w:r w:rsidRPr="00F3062A">
      <w:rPr>
        <w:iCs/>
        <w:sz w:val="20"/>
        <w:szCs w:val="20"/>
      </w:rPr>
      <w:t xml:space="preserve">    </w:t>
    </w:r>
    <w:r w:rsidRPr="00F3062A">
      <w:rPr>
        <w:sz w:val="20"/>
        <w:szCs w:val="20"/>
      </w:rPr>
      <w:t xml:space="preserve"> </w:t>
    </w:r>
    <w:hyperlink r:id="rId1" w:history="1">
      <w:r w:rsidRPr="00F3062A">
        <w:rPr>
          <w:rStyle w:val="Hyperlink"/>
          <w:sz w:val="20"/>
          <w:szCs w:val="20"/>
        </w:rPr>
        <w:t>http://www.sciencepub.net/researcher</w:t>
      </w:r>
    </w:hyperlink>
  </w:p>
  <w:p w:rsidR="00F3062A" w:rsidRPr="00F3062A" w:rsidRDefault="00F3062A" w:rsidP="00F3062A">
    <w:pPr>
      <w:tabs>
        <w:tab w:val="left" w:pos="851"/>
        <w:tab w:val="right" w:pos="8364"/>
      </w:tabs>
      <w:adjustRightInd w:val="0"/>
      <w:snapToGrid w:val="0"/>
      <w:jc w:val="both"/>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F3062A" w:rsidP="00F3062A">
    <w:pPr>
      <w:pBdr>
        <w:bottom w:val="thinThickMediumGap" w:sz="12" w:space="1" w:color="auto"/>
      </w:pBdr>
      <w:tabs>
        <w:tab w:val="left" w:pos="851"/>
        <w:tab w:val="right" w:pos="8364"/>
      </w:tabs>
      <w:adjustRightInd w:val="0"/>
      <w:snapToGrid w:val="0"/>
      <w:jc w:val="both"/>
      <w:rPr>
        <w:iCs/>
        <w:sz w:val="20"/>
        <w:szCs w:val="20"/>
      </w:rPr>
    </w:pPr>
    <w:r w:rsidRPr="00F3062A">
      <w:rPr>
        <w:rFonts w:hint="eastAsia"/>
        <w:iCs/>
        <w:color w:val="000000"/>
        <w:sz w:val="20"/>
        <w:szCs w:val="20"/>
      </w:rPr>
      <w:tab/>
    </w:r>
    <w:r w:rsidRPr="00F3062A">
      <w:rPr>
        <w:iCs/>
        <w:color w:val="000000"/>
        <w:sz w:val="20"/>
        <w:szCs w:val="20"/>
      </w:rPr>
      <w:t xml:space="preserve">Researcher </w:t>
    </w:r>
    <w:r w:rsidRPr="00F3062A">
      <w:rPr>
        <w:iCs/>
        <w:sz w:val="20"/>
        <w:szCs w:val="20"/>
      </w:rPr>
      <w:t>201</w:t>
    </w:r>
    <w:r w:rsidRPr="00F3062A">
      <w:rPr>
        <w:rFonts w:hint="eastAsia"/>
        <w:iCs/>
        <w:sz w:val="20"/>
        <w:szCs w:val="20"/>
      </w:rPr>
      <w:t>6</w:t>
    </w:r>
    <w:r w:rsidRPr="00F3062A">
      <w:rPr>
        <w:iCs/>
        <w:sz w:val="20"/>
        <w:szCs w:val="20"/>
      </w:rPr>
      <w:t>;</w:t>
    </w:r>
    <w:r w:rsidRPr="00F3062A">
      <w:rPr>
        <w:rFonts w:hint="eastAsia"/>
        <w:iCs/>
        <w:sz w:val="20"/>
        <w:szCs w:val="20"/>
      </w:rPr>
      <w:t>8</w:t>
    </w:r>
    <w:r w:rsidRPr="00F3062A">
      <w:rPr>
        <w:iCs/>
        <w:sz w:val="20"/>
        <w:szCs w:val="20"/>
      </w:rPr>
      <w:t>(</w:t>
    </w:r>
    <w:r w:rsidRPr="00F3062A">
      <w:rPr>
        <w:rFonts w:hint="eastAsia"/>
        <w:iCs/>
        <w:sz w:val="20"/>
        <w:szCs w:val="20"/>
      </w:rPr>
      <w:t>10</w:t>
    </w:r>
    <w:r w:rsidRPr="00F3062A">
      <w:rPr>
        <w:iCs/>
        <w:sz w:val="20"/>
        <w:szCs w:val="20"/>
      </w:rPr>
      <w:t xml:space="preserve">)  </w:t>
    </w:r>
    <w:r w:rsidRPr="00F3062A">
      <w:rPr>
        <w:rFonts w:hint="eastAsia"/>
        <w:iCs/>
        <w:sz w:val="20"/>
        <w:szCs w:val="20"/>
      </w:rPr>
      <w:t xml:space="preserve"> </w:t>
    </w:r>
    <w:r w:rsidRPr="00F3062A">
      <w:rPr>
        <w:iCs/>
        <w:sz w:val="20"/>
        <w:szCs w:val="20"/>
      </w:rPr>
      <w:t xml:space="preserve"> </w:t>
    </w:r>
    <w:r w:rsidRPr="00F3062A">
      <w:rPr>
        <w:rFonts w:hint="eastAsia"/>
        <w:iCs/>
        <w:sz w:val="20"/>
        <w:szCs w:val="20"/>
      </w:rPr>
      <w:tab/>
    </w:r>
    <w:r w:rsidRPr="00F3062A">
      <w:rPr>
        <w:iCs/>
        <w:sz w:val="20"/>
        <w:szCs w:val="20"/>
      </w:rPr>
      <w:t xml:space="preserve">    </w:t>
    </w:r>
    <w:r w:rsidRPr="00F3062A">
      <w:rPr>
        <w:sz w:val="20"/>
        <w:szCs w:val="20"/>
      </w:rPr>
      <w:t xml:space="preserve"> </w:t>
    </w:r>
    <w:hyperlink r:id="rId1" w:history="1">
      <w:r w:rsidRPr="00F3062A">
        <w:rPr>
          <w:rStyle w:val="Hyperlink"/>
          <w:sz w:val="20"/>
          <w:szCs w:val="20"/>
        </w:rPr>
        <w:t>http://www.sciencepub.net/researcher</w:t>
      </w:r>
    </w:hyperlink>
  </w:p>
  <w:p w:rsidR="00F3062A" w:rsidRPr="00F3062A" w:rsidRDefault="00F3062A" w:rsidP="00F3062A">
    <w:pPr>
      <w:tabs>
        <w:tab w:val="left" w:pos="851"/>
        <w:tab w:val="right" w:pos="8364"/>
      </w:tabs>
      <w:adjustRightInd w:val="0"/>
      <w:snapToGrid w:val="0"/>
      <w:jc w:val="both"/>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F3062A" w:rsidP="00F3062A">
    <w:pPr>
      <w:pBdr>
        <w:bottom w:val="thinThickMediumGap" w:sz="12" w:space="1" w:color="auto"/>
      </w:pBdr>
      <w:tabs>
        <w:tab w:val="left" w:pos="851"/>
        <w:tab w:val="right" w:pos="8364"/>
      </w:tabs>
      <w:adjustRightInd w:val="0"/>
      <w:snapToGrid w:val="0"/>
      <w:jc w:val="both"/>
      <w:rPr>
        <w:iCs/>
        <w:sz w:val="20"/>
        <w:szCs w:val="20"/>
      </w:rPr>
    </w:pPr>
    <w:r w:rsidRPr="00F3062A">
      <w:rPr>
        <w:rFonts w:hint="eastAsia"/>
        <w:iCs/>
        <w:color w:val="000000"/>
        <w:sz w:val="20"/>
        <w:szCs w:val="20"/>
      </w:rPr>
      <w:tab/>
    </w:r>
    <w:r w:rsidRPr="00F3062A">
      <w:rPr>
        <w:iCs/>
        <w:color w:val="000000"/>
        <w:sz w:val="20"/>
        <w:szCs w:val="20"/>
      </w:rPr>
      <w:t xml:space="preserve">Researcher </w:t>
    </w:r>
    <w:r w:rsidRPr="00F3062A">
      <w:rPr>
        <w:iCs/>
        <w:sz w:val="20"/>
        <w:szCs w:val="20"/>
      </w:rPr>
      <w:t>201</w:t>
    </w:r>
    <w:r w:rsidRPr="00F3062A">
      <w:rPr>
        <w:rFonts w:hint="eastAsia"/>
        <w:iCs/>
        <w:sz w:val="20"/>
        <w:szCs w:val="20"/>
      </w:rPr>
      <w:t>6</w:t>
    </w:r>
    <w:r w:rsidRPr="00F3062A">
      <w:rPr>
        <w:iCs/>
        <w:sz w:val="20"/>
        <w:szCs w:val="20"/>
      </w:rPr>
      <w:t>;</w:t>
    </w:r>
    <w:r w:rsidRPr="00F3062A">
      <w:rPr>
        <w:rFonts w:hint="eastAsia"/>
        <w:iCs/>
        <w:sz w:val="20"/>
        <w:szCs w:val="20"/>
      </w:rPr>
      <w:t>8</w:t>
    </w:r>
    <w:r w:rsidRPr="00F3062A">
      <w:rPr>
        <w:iCs/>
        <w:sz w:val="20"/>
        <w:szCs w:val="20"/>
      </w:rPr>
      <w:t>(</w:t>
    </w:r>
    <w:r w:rsidRPr="00F3062A">
      <w:rPr>
        <w:rFonts w:hint="eastAsia"/>
        <w:iCs/>
        <w:sz w:val="20"/>
        <w:szCs w:val="20"/>
      </w:rPr>
      <w:t>10</w:t>
    </w:r>
    <w:r w:rsidRPr="00F3062A">
      <w:rPr>
        <w:iCs/>
        <w:sz w:val="20"/>
        <w:szCs w:val="20"/>
      </w:rPr>
      <w:t xml:space="preserve">)  </w:t>
    </w:r>
    <w:r w:rsidRPr="00F3062A">
      <w:rPr>
        <w:rFonts w:hint="eastAsia"/>
        <w:iCs/>
        <w:sz w:val="20"/>
        <w:szCs w:val="20"/>
      </w:rPr>
      <w:t xml:space="preserve"> </w:t>
    </w:r>
    <w:r w:rsidRPr="00F3062A">
      <w:rPr>
        <w:iCs/>
        <w:sz w:val="20"/>
        <w:szCs w:val="20"/>
      </w:rPr>
      <w:t xml:space="preserve"> </w:t>
    </w:r>
    <w:r w:rsidRPr="00F3062A">
      <w:rPr>
        <w:rFonts w:hint="eastAsia"/>
        <w:iCs/>
        <w:sz w:val="20"/>
        <w:szCs w:val="20"/>
      </w:rPr>
      <w:tab/>
    </w:r>
    <w:r w:rsidRPr="00F3062A">
      <w:rPr>
        <w:iCs/>
        <w:sz w:val="20"/>
        <w:szCs w:val="20"/>
      </w:rPr>
      <w:t xml:space="preserve">    </w:t>
    </w:r>
    <w:r w:rsidRPr="00F3062A">
      <w:rPr>
        <w:sz w:val="20"/>
        <w:szCs w:val="20"/>
      </w:rPr>
      <w:t xml:space="preserve"> </w:t>
    </w:r>
    <w:hyperlink r:id="rId1" w:history="1">
      <w:r w:rsidRPr="00F3062A">
        <w:rPr>
          <w:rStyle w:val="Hyperlink"/>
          <w:sz w:val="20"/>
          <w:szCs w:val="20"/>
        </w:rPr>
        <w:t>http://www.sciencepub.net/researcher</w:t>
      </w:r>
    </w:hyperlink>
  </w:p>
  <w:p w:rsidR="00F3062A" w:rsidRPr="00F3062A" w:rsidRDefault="00F3062A" w:rsidP="00F3062A">
    <w:pPr>
      <w:tabs>
        <w:tab w:val="left" w:pos="851"/>
        <w:tab w:val="right" w:pos="8364"/>
      </w:tabs>
      <w:adjustRightInd w:val="0"/>
      <w:snapToGrid w:val="0"/>
      <w:jc w:val="both"/>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F3062A" w:rsidP="00F3062A">
    <w:pPr>
      <w:pBdr>
        <w:bottom w:val="thinThickMediumGap" w:sz="12" w:space="1" w:color="auto"/>
      </w:pBdr>
      <w:tabs>
        <w:tab w:val="left" w:pos="851"/>
        <w:tab w:val="right" w:pos="8364"/>
      </w:tabs>
      <w:adjustRightInd w:val="0"/>
      <w:snapToGrid w:val="0"/>
      <w:jc w:val="both"/>
      <w:rPr>
        <w:iCs/>
        <w:sz w:val="20"/>
        <w:szCs w:val="20"/>
      </w:rPr>
    </w:pPr>
    <w:r w:rsidRPr="00F3062A">
      <w:rPr>
        <w:rFonts w:hint="eastAsia"/>
        <w:iCs/>
        <w:color w:val="000000"/>
        <w:sz w:val="20"/>
        <w:szCs w:val="20"/>
      </w:rPr>
      <w:tab/>
    </w:r>
    <w:r w:rsidRPr="00F3062A">
      <w:rPr>
        <w:iCs/>
        <w:color w:val="000000"/>
        <w:sz w:val="20"/>
        <w:szCs w:val="20"/>
      </w:rPr>
      <w:t xml:space="preserve">Researcher </w:t>
    </w:r>
    <w:r w:rsidRPr="00F3062A">
      <w:rPr>
        <w:iCs/>
        <w:sz w:val="20"/>
        <w:szCs w:val="20"/>
      </w:rPr>
      <w:t>201</w:t>
    </w:r>
    <w:r w:rsidRPr="00F3062A">
      <w:rPr>
        <w:rFonts w:hint="eastAsia"/>
        <w:iCs/>
        <w:sz w:val="20"/>
        <w:szCs w:val="20"/>
      </w:rPr>
      <w:t>6</w:t>
    </w:r>
    <w:r w:rsidRPr="00F3062A">
      <w:rPr>
        <w:iCs/>
        <w:sz w:val="20"/>
        <w:szCs w:val="20"/>
      </w:rPr>
      <w:t>;</w:t>
    </w:r>
    <w:r w:rsidRPr="00F3062A">
      <w:rPr>
        <w:rFonts w:hint="eastAsia"/>
        <w:iCs/>
        <w:sz w:val="20"/>
        <w:szCs w:val="20"/>
      </w:rPr>
      <w:t>8</w:t>
    </w:r>
    <w:r w:rsidRPr="00F3062A">
      <w:rPr>
        <w:iCs/>
        <w:sz w:val="20"/>
        <w:szCs w:val="20"/>
      </w:rPr>
      <w:t>(</w:t>
    </w:r>
    <w:r w:rsidRPr="00F3062A">
      <w:rPr>
        <w:rFonts w:hint="eastAsia"/>
        <w:iCs/>
        <w:sz w:val="20"/>
        <w:szCs w:val="20"/>
      </w:rPr>
      <w:t>10</w:t>
    </w:r>
    <w:r w:rsidRPr="00F3062A">
      <w:rPr>
        <w:iCs/>
        <w:sz w:val="20"/>
        <w:szCs w:val="20"/>
      </w:rPr>
      <w:t xml:space="preserve">)  </w:t>
    </w:r>
    <w:r w:rsidRPr="00F3062A">
      <w:rPr>
        <w:rFonts w:hint="eastAsia"/>
        <w:iCs/>
        <w:sz w:val="20"/>
        <w:szCs w:val="20"/>
      </w:rPr>
      <w:t xml:space="preserve"> </w:t>
    </w:r>
    <w:r w:rsidRPr="00F3062A">
      <w:rPr>
        <w:iCs/>
        <w:sz w:val="20"/>
        <w:szCs w:val="20"/>
      </w:rPr>
      <w:t xml:space="preserve"> </w:t>
    </w:r>
    <w:r w:rsidRPr="00F3062A">
      <w:rPr>
        <w:rFonts w:hint="eastAsia"/>
        <w:iCs/>
        <w:sz w:val="20"/>
        <w:szCs w:val="20"/>
      </w:rPr>
      <w:tab/>
    </w:r>
    <w:r w:rsidRPr="00F3062A">
      <w:rPr>
        <w:iCs/>
        <w:sz w:val="20"/>
        <w:szCs w:val="20"/>
      </w:rPr>
      <w:t xml:space="preserve">    </w:t>
    </w:r>
    <w:r w:rsidRPr="00F3062A">
      <w:rPr>
        <w:sz w:val="20"/>
        <w:szCs w:val="20"/>
      </w:rPr>
      <w:t xml:space="preserve"> </w:t>
    </w:r>
    <w:hyperlink r:id="rId1" w:history="1">
      <w:r w:rsidRPr="00F3062A">
        <w:rPr>
          <w:rStyle w:val="Hyperlink"/>
          <w:sz w:val="20"/>
          <w:szCs w:val="20"/>
        </w:rPr>
        <w:t>http://www.sciencepub.net/researcher</w:t>
      </w:r>
    </w:hyperlink>
  </w:p>
  <w:p w:rsidR="00F3062A" w:rsidRPr="00F3062A" w:rsidRDefault="00F3062A" w:rsidP="00F3062A">
    <w:pPr>
      <w:tabs>
        <w:tab w:val="left" w:pos="851"/>
        <w:tab w:val="right" w:pos="8364"/>
      </w:tabs>
      <w:adjustRightInd w:val="0"/>
      <w:snapToGrid w:val="0"/>
      <w:jc w:val="both"/>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F3062A" w:rsidP="00F3062A">
    <w:pPr>
      <w:pBdr>
        <w:bottom w:val="thinThickMediumGap" w:sz="12" w:space="1" w:color="auto"/>
      </w:pBdr>
      <w:tabs>
        <w:tab w:val="left" w:pos="851"/>
        <w:tab w:val="right" w:pos="8364"/>
      </w:tabs>
      <w:adjustRightInd w:val="0"/>
      <w:snapToGrid w:val="0"/>
      <w:jc w:val="both"/>
      <w:rPr>
        <w:iCs/>
        <w:sz w:val="20"/>
        <w:szCs w:val="20"/>
      </w:rPr>
    </w:pPr>
    <w:r w:rsidRPr="00F3062A">
      <w:rPr>
        <w:rFonts w:hint="eastAsia"/>
        <w:iCs/>
        <w:color w:val="000000"/>
        <w:sz w:val="20"/>
        <w:szCs w:val="20"/>
      </w:rPr>
      <w:tab/>
    </w:r>
    <w:r w:rsidRPr="00F3062A">
      <w:rPr>
        <w:iCs/>
        <w:color w:val="000000"/>
        <w:sz w:val="20"/>
        <w:szCs w:val="20"/>
      </w:rPr>
      <w:t xml:space="preserve">Researcher </w:t>
    </w:r>
    <w:r w:rsidRPr="00F3062A">
      <w:rPr>
        <w:iCs/>
        <w:sz w:val="20"/>
        <w:szCs w:val="20"/>
      </w:rPr>
      <w:t>201</w:t>
    </w:r>
    <w:r w:rsidRPr="00F3062A">
      <w:rPr>
        <w:rFonts w:hint="eastAsia"/>
        <w:iCs/>
        <w:sz w:val="20"/>
        <w:szCs w:val="20"/>
      </w:rPr>
      <w:t>6</w:t>
    </w:r>
    <w:r w:rsidRPr="00F3062A">
      <w:rPr>
        <w:iCs/>
        <w:sz w:val="20"/>
        <w:szCs w:val="20"/>
      </w:rPr>
      <w:t>;</w:t>
    </w:r>
    <w:r w:rsidRPr="00F3062A">
      <w:rPr>
        <w:rFonts w:hint="eastAsia"/>
        <w:iCs/>
        <w:sz w:val="20"/>
        <w:szCs w:val="20"/>
      </w:rPr>
      <w:t>8</w:t>
    </w:r>
    <w:r w:rsidRPr="00F3062A">
      <w:rPr>
        <w:iCs/>
        <w:sz w:val="20"/>
        <w:szCs w:val="20"/>
      </w:rPr>
      <w:t>(</w:t>
    </w:r>
    <w:r w:rsidRPr="00F3062A">
      <w:rPr>
        <w:rFonts w:hint="eastAsia"/>
        <w:iCs/>
        <w:sz w:val="20"/>
        <w:szCs w:val="20"/>
      </w:rPr>
      <w:t>10</w:t>
    </w:r>
    <w:r w:rsidRPr="00F3062A">
      <w:rPr>
        <w:iCs/>
        <w:sz w:val="20"/>
        <w:szCs w:val="20"/>
      </w:rPr>
      <w:t xml:space="preserve">)  </w:t>
    </w:r>
    <w:r w:rsidRPr="00F3062A">
      <w:rPr>
        <w:rFonts w:hint="eastAsia"/>
        <w:iCs/>
        <w:sz w:val="20"/>
        <w:szCs w:val="20"/>
      </w:rPr>
      <w:t xml:space="preserve"> </w:t>
    </w:r>
    <w:r w:rsidRPr="00F3062A">
      <w:rPr>
        <w:iCs/>
        <w:sz w:val="20"/>
        <w:szCs w:val="20"/>
      </w:rPr>
      <w:t xml:space="preserve"> </w:t>
    </w:r>
    <w:r w:rsidRPr="00F3062A">
      <w:rPr>
        <w:rFonts w:hint="eastAsia"/>
        <w:iCs/>
        <w:sz w:val="20"/>
        <w:szCs w:val="20"/>
      </w:rPr>
      <w:tab/>
    </w:r>
    <w:r w:rsidRPr="00F3062A">
      <w:rPr>
        <w:iCs/>
        <w:sz w:val="20"/>
        <w:szCs w:val="20"/>
      </w:rPr>
      <w:t xml:space="preserve">    </w:t>
    </w:r>
    <w:r w:rsidRPr="00F3062A">
      <w:rPr>
        <w:sz w:val="20"/>
        <w:szCs w:val="20"/>
      </w:rPr>
      <w:t xml:space="preserve"> </w:t>
    </w:r>
    <w:hyperlink r:id="rId1" w:history="1">
      <w:r w:rsidRPr="00F3062A">
        <w:rPr>
          <w:rStyle w:val="Hyperlink"/>
          <w:sz w:val="20"/>
          <w:szCs w:val="20"/>
        </w:rPr>
        <w:t>http://www.sciencepub.net/researcher</w:t>
      </w:r>
    </w:hyperlink>
  </w:p>
  <w:p w:rsidR="00F3062A" w:rsidRPr="00F3062A" w:rsidRDefault="00F3062A" w:rsidP="00F3062A">
    <w:pPr>
      <w:tabs>
        <w:tab w:val="left" w:pos="851"/>
        <w:tab w:val="right" w:pos="8364"/>
      </w:tabs>
      <w:adjustRightInd w:val="0"/>
      <w:snapToGrid w:val="0"/>
      <w:jc w:val="both"/>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F3062A" w:rsidP="00F3062A">
    <w:pPr>
      <w:pBdr>
        <w:bottom w:val="thinThickMediumGap" w:sz="12" w:space="1" w:color="auto"/>
      </w:pBdr>
      <w:tabs>
        <w:tab w:val="left" w:pos="851"/>
        <w:tab w:val="right" w:pos="8364"/>
      </w:tabs>
      <w:adjustRightInd w:val="0"/>
      <w:snapToGrid w:val="0"/>
      <w:jc w:val="both"/>
      <w:rPr>
        <w:iCs/>
        <w:sz w:val="20"/>
        <w:szCs w:val="20"/>
      </w:rPr>
    </w:pPr>
    <w:r w:rsidRPr="00F3062A">
      <w:rPr>
        <w:rFonts w:hint="eastAsia"/>
        <w:iCs/>
        <w:color w:val="000000"/>
        <w:sz w:val="20"/>
        <w:szCs w:val="20"/>
      </w:rPr>
      <w:tab/>
    </w:r>
    <w:r w:rsidRPr="00F3062A">
      <w:rPr>
        <w:iCs/>
        <w:color w:val="000000"/>
        <w:sz w:val="20"/>
        <w:szCs w:val="20"/>
      </w:rPr>
      <w:t xml:space="preserve">Researcher </w:t>
    </w:r>
    <w:r w:rsidRPr="00F3062A">
      <w:rPr>
        <w:iCs/>
        <w:sz w:val="20"/>
        <w:szCs w:val="20"/>
      </w:rPr>
      <w:t>201</w:t>
    </w:r>
    <w:r w:rsidRPr="00F3062A">
      <w:rPr>
        <w:rFonts w:hint="eastAsia"/>
        <w:iCs/>
        <w:sz w:val="20"/>
        <w:szCs w:val="20"/>
      </w:rPr>
      <w:t>6</w:t>
    </w:r>
    <w:r w:rsidRPr="00F3062A">
      <w:rPr>
        <w:iCs/>
        <w:sz w:val="20"/>
        <w:szCs w:val="20"/>
      </w:rPr>
      <w:t>;</w:t>
    </w:r>
    <w:r w:rsidRPr="00F3062A">
      <w:rPr>
        <w:rFonts w:hint="eastAsia"/>
        <w:iCs/>
        <w:sz w:val="20"/>
        <w:szCs w:val="20"/>
      </w:rPr>
      <w:t>8</w:t>
    </w:r>
    <w:r w:rsidRPr="00F3062A">
      <w:rPr>
        <w:iCs/>
        <w:sz w:val="20"/>
        <w:szCs w:val="20"/>
      </w:rPr>
      <w:t>(</w:t>
    </w:r>
    <w:r w:rsidRPr="00F3062A">
      <w:rPr>
        <w:rFonts w:hint="eastAsia"/>
        <w:iCs/>
        <w:sz w:val="20"/>
        <w:szCs w:val="20"/>
      </w:rPr>
      <w:t>10</w:t>
    </w:r>
    <w:r w:rsidRPr="00F3062A">
      <w:rPr>
        <w:iCs/>
        <w:sz w:val="20"/>
        <w:szCs w:val="20"/>
      </w:rPr>
      <w:t xml:space="preserve">)  </w:t>
    </w:r>
    <w:r w:rsidRPr="00F3062A">
      <w:rPr>
        <w:rFonts w:hint="eastAsia"/>
        <w:iCs/>
        <w:sz w:val="20"/>
        <w:szCs w:val="20"/>
      </w:rPr>
      <w:t xml:space="preserve"> </w:t>
    </w:r>
    <w:r w:rsidRPr="00F3062A">
      <w:rPr>
        <w:iCs/>
        <w:sz w:val="20"/>
        <w:szCs w:val="20"/>
      </w:rPr>
      <w:t xml:space="preserve"> </w:t>
    </w:r>
    <w:r w:rsidRPr="00F3062A">
      <w:rPr>
        <w:rFonts w:hint="eastAsia"/>
        <w:iCs/>
        <w:sz w:val="20"/>
        <w:szCs w:val="20"/>
      </w:rPr>
      <w:tab/>
    </w:r>
    <w:r w:rsidRPr="00F3062A">
      <w:rPr>
        <w:iCs/>
        <w:sz w:val="20"/>
        <w:szCs w:val="20"/>
      </w:rPr>
      <w:t xml:space="preserve">    </w:t>
    </w:r>
    <w:r w:rsidRPr="00F3062A">
      <w:rPr>
        <w:sz w:val="20"/>
        <w:szCs w:val="20"/>
      </w:rPr>
      <w:t xml:space="preserve"> </w:t>
    </w:r>
    <w:hyperlink r:id="rId1" w:history="1">
      <w:r w:rsidRPr="00F3062A">
        <w:rPr>
          <w:rStyle w:val="Hyperlink"/>
          <w:sz w:val="20"/>
          <w:szCs w:val="20"/>
        </w:rPr>
        <w:t>http://www.sciencepub.net/researcher</w:t>
      </w:r>
    </w:hyperlink>
  </w:p>
  <w:p w:rsidR="00F3062A" w:rsidRPr="00F3062A" w:rsidRDefault="00F3062A" w:rsidP="00F3062A">
    <w:pPr>
      <w:tabs>
        <w:tab w:val="left" w:pos="851"/>
        <w:tab w:val="right" w:pos="8364"/>
      </w:tabs>
      <w:adjustRightInd w:val="0"/>
      <w:snapToGrid w:val="0"/>
      <w:jc w:val="both"/>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62A" w:rsidRPr="00F3062A" w:rsidRDefault="00F3062A" w:rsidP="00F3062A">
    <w:pPr>
      <w:pBdr>
        <w:bottom w:val="thinThickMediumGap" w:sz="12" w:space="1" w:color="auto"/>
      </w:pBdr>
      <w:tabs>
        <w:tab w:val="left" w:pos="851"/>
        <w:tab w:val="right" w:pos="8364"/>
      </w:tabs>
      <w:adjustRightInd w:val="0"/>
      <w:snapToGrid w:val="0"/>
      <w:jc w:val="both"/>
      <w:rPr>
        <w:iCs/>
        <w:sz w:val="20"/>
        <w:szCs w:val="20"/>
      </w:rPr>
    </w:pPr>
    <w:r w:rsidRPr="00F3062A">
      <w:rPr>
        <w:rFonts w:hint="eastAsia"/>
        <w:iCs/>
        <w:color w:val="000000"/>
        <w:sz w:val="20"/>
        <w:szCs w:val="20"/>
      </w:rPr>
      <w:tab/>
    </w:r>
    <w:r w:rsidRPr="00F3062A">
      <w:rPr>
        <w:iCs/>
        <w:color w:val="000000"/>
        <w:sz w:val="20"/>
        <w:szCs w:val="20"/>
      </w:rPr>
      <w:t xml:space="preserve">Researcher </w:t>
    </w:r>
    <w:r w:rsidRPr="00F3062A">
      <w:rPr>
        <w:iCs/>
        <w:sz w:val="20"/>
        <w:szCs w:val="20"/>
      </w:rPr>
      <w:t>201</w:t>
    </w:r>
    <w:r w:rsidRPr="00F3062A">
      <w:rPr>
        <w:rFonts w:hint="eastAsia"/>
        <w:iCs/>
        <w:sz w:val="20"/>
        <w:szCs w:val="20"/>
      </w:rPr>
      <w:t>6</w:t>
    </w:r>
    <w:r w:rsidRPr="00F3062A">
      <w:rPr>
        <w:iCs/>
        <w:sz w:val="20"/>
        <w:szCs w:val="20"/>
      </w:rPr>
      <w:t>;</w:t>
    </w:r>
    <w:r w:rsidRPr="00F3062A">
      <w:rPr>
        <w:rFonts w:hint="eastAsia"/>
        <w:iCs/>
        <w:sz w:val="20"/>
        <w:szCs w:val="20"/>
      </w:rPr>
      <w:t>8</w:t>
    </w:r>
    <w:r w:rsidRPr="00F3062A">
      <w:rPr>
        <w:iCs/>
        <w:sz w:val="20"/>
        <w:szCs w:val="20"/>
      </w:rPr>
      <w:t>(</w:t>
    </w:r>
    <w:r w:rsidRPr="00F3062A">
      <w:rPr>
        <w:rFonts w:hint="eastAsia"/>
        <w:iCs/>
        <w:sz w:val="20"/>
        <w:szCs w:val="20"/>
      </w:rPr>
      <w:t>10</w:t>
    </w:r>
    <w:r w:rsidRPr="00F3062A">
      <w:rPr>
        <w:iCs/>
        <w:sz w:val="20"/>
        <w:szCs w:val="20"/>
      </w:rPr>
      <w:t xml:space="preserve">)  </w:t>
    </w:r>
    <w:r w:rsidRPr="00F3062A">
      <w:rPr>
        <w:rFonts w:hint="eastAsia"/>
        <w:iCs/>
        <w:sz w:val="20"/>
        <w:szCs w:val="20"/>
      </w:rPr>
      <w:t xml:space="preserve"> </w:t>
    </w:r>
    <w:r w:rsidRPr="00F3062A">
      <w:rPr>
        <w:iCs/>
        <w:sz w:val="20"/>
        <w:szCs w:val="20"/>
      </w:rPr>
      <w:t xml:space="preserve"> </w:t>
    </w:r>
    <w:r w:rsidRPr="00F3062A">
      <w:rPr>
        <w:rFonts w:hint="eastAsia"/>
        <w:iCs/>
        <w:sz w:val="20"/>
        <w:szCs w:val="20"/>
      </w:rPr>
      <w:tab/>
    </w:r>
    <w:r w:rsidRPr="00F3062A">
      <w:rPr>
        <w:iCs/>
        <w:sz w:val="20"/>
        <w:szCs w:val="20"/>
      </w:rPr>
      <w:t xml:space="preserve">    </w:t>
    </w:r>
    <w:r w:rsidRPr="00F3062A">
      <w:rPr>
        <w:sz w:val="20"/>
        <w:szCs w:val="20"/>
      </w:rPr>
      <w:t xml:space="preserve"> </w:t>
    </w:r>
    <w:hyperlink r:id="rId1" w:history="1">
      <w:r w:rsidRPr="00F3062A">
        <w:rPr>
          <w:rStyle w:val="Hyperlink"/>
          <w:sz w:val="20"/>
          <w:szCs w:val="20"/>
        </w:rPr>
        <w:t>http://www.sciencepub.net/researcher</w:t>
      </w:r>
    </w:hyperlink>
  </w:p>
  <w:p w:rsidR="00F3062A" w:rsidRPr="00F3062A" w:rsidRDefault="00F3062A" w:rsidP="00F3062A">
    <w:pPr>
      <w:tabs>
        <w:tab w:val="left" w:pos="851"/>
        <w:tab w:val="right" w:pos="8364"/>
      </w:tabs>
      <w:adjustRightInd w:val="0"/>
      <w:snapToGrid w:val="0"/>
      <w:jc w:val="both"/>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15:restartNumberingAfterBreak="0">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6107B6B"/>
    <w:multiLevelType w:val="hybridMultilevel"/>
    <w:tmpl w:val="F0C0A2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2"/>
  </w:compat>
  <w:rsids>
    <w:rsidRoot w:val="009459B3"/>
    <w:rsid w:val="00000358"/>
    <w:rsid w:val="00005C8E"/>
    <w:rsid w:val="000075A2"/>
    <w:rsid w:val="00012408"/>
    <w:rsid w:val="0006091F"/>
    <w:rsid w:val="00080CE9"/>
    <w:rsid w:val="000827B7"/>
    <w:rsid w:val="000844D7"/>
    <w:rsid w:val="00086790"/>
    <w:rsid w:val="00090A06"/>
    <w:rsid w:val="000A0250"/>
    <w:rsid w:val="000B08FA"/>
    <w:rsid w:val="000B46C6"/>
    <w:rsid w:val="000E1ECD"/>
    <w:rsid w:val="001817C7"/>
    <w:rsid w:val="00183764"/>
    <w:rsid w:val="001964D0"/>
    <w:rsid w:val="001B41B8"/>
    <w:rsid w:val="001B650D"/>
    <w:rsid w:val="001C3D42"/>
    <w:rsid w:val="00205E97"/>
    <w:rsid w:val="00233276"/>
    <w:rsid w:val="00245C21"/>
    <w:rsid w:val="002721F1"/>
    <w:rsid w:val="00282FA1"/>
    <w:rsid w:val="002B5613"/>
    <w:rsid w:val="002D3558"/>
    <w:rsid w:val="002D589A"/>
    <w:rsid w:val="002F20CD"/>
    <w:rsid w:val="002F49EF"/>
    <w:rsid w:val="002F6889"/>
    <w:rsid w:val="00303C2C"/>
    <w:rsid w:val="00314F95"/>
    <w:rsid w:val="003169A5"/>
    <w:rsid w:val="0032038C"/>
    <w:rsid w:val="00322FAB"/>
    <w:rsid w:val="00345581"/>
    <w:rsid w:val="0034702D"/>
    <w:rsid w:val="003679A0"/>
    <w:rsid w:val="00387F96"/>
    <w:rsid w:val="00394B65"/>
    <w:rsid w:val="003A785E"/>
    <w:rsid w:val="003B55FF"/>
    <w:rsid w:val="003B651F"/>
    <w:rsid w:val="003C0116"/>
    <w:rsid w:val="003C4C28"/>
    <w:rsid w:val="003E5FC6"/>
    <w:rsid w:val="003E7FC6"/>
    <w:rsid w:val="0043645D"/>
    <w:rsid w:val="00454A59"/>
    <w:rsid w:val="00456753"/>
    <w:rsid w:val="00471E57"/>
    <w:rsid w:val="00480715"/>
    <w:rsid w:val="0049143E"/>
    <w:rsid w:val="004C78D8"/>
    <w:rsid w:val="004C7E2A"/>
    <w:rsid w:val="004D01D3"/>
    <w:rsid w:val="004D0467"/>
    <w:rsid w:val="004F4AFB"/>
    <w:rsid w:val="00516E11"/>
    <w:rsid w:val="00520D1A"/>
    <w:rsid w:val="0052512B"/>
    <w:rsid w:val="00553F9B"/>
    <w:rsid w:val="00560753"/>
    <w:rsid w:val="00593132"/>
    <w:rsid w:val="005A21B0"/>
    <w:rsid w:val="005A5E42"/>
    <w:rsid w:val="005C2F35"/>
    <w:rsid w:val="005D1DA6"/>
    <w:rsid w:val="005F11C2"/>
    <w:rsid w:val="005F23DC"/>
    <w:rsid w:val="005F5E04"/>
    <w:rsid w:val="00645BBB"/>
    <w:rsid w:val="0065209A"/>
    <w:rsid w:val="00657995"/>
    <w:rsid w:val="006B5399"/>
    <w:rsid w:val="006D5C2E"/>
    <w:rsid w:val="006E6ACB"/>
    <w:rsid w:val="006E7156"/>
    <w:rsid w:val="006F1706"/>
    <w:rsid w:val="00744442"/>
    <w:rsid w:val="007725E7"/>
    <w:rsid w:val="0078507E"/>
    <w:rsid w:val="007A5FBF"/>
    <w:rsid w:val="007B01CC"/>
    <w:rsid w:val="007D3D09"/>
    <w:rsid w:val="007D746F"/>
    <w:rsid w:val="007F6B31"/>
    <w:rsid w:val="007F763B"/>
    <w:rsid w:val="008131CF"/>
    <w:rsid w:val="00814FA7"/>
    <w:rsid w:val="008233D0"/>
    <w:rsid w:val="0085007D"/>
    <w:rsid w:val="008633A4"/>
    <w:rsid w:val="00875C08"/>
    <w:rsid w:val="008A20AC"/>
    <w:rsid w:val="008A67B6"/>
    <w:rsid w:val="008A7C97"/>
    <w:rsid w:val="008F0181"/>
    <w:rsid w:val="0091208A"/>
    <w:rsid w:val="00914558"/>
    <w:rsid w:val="00935CF7"/>
    <w:rsid w:val="0094140D"/>
    <w:rsid w:val="009459B3"/>
    <w:rsid w:val="00952EB8"/>
    <w:rsid w:val="00997A8E"/>
    <w:rsid w:val="009A3681"/>
    <w:rsid w:val="00A1557F"/>
    <w:rsid w:val="00A3476D"/>
    <w:rsid w:val="00A47712"/>
    <w:rsid w:val="00A67749"/>
    <w:rsid w:val="00B3167C"/>
    <w:rsid w:val="00B36B45"/>
    <w:rsid w:val="00B60E8D"/>
    <w:rsid w:val="00B80C0E"/>
    <w:rsid w:val="00B918AE"/>
    <w:rsid w:val="00B94E19"/>
    <w:rsid w:val="00BD2A8D"/>
    <w:rsid w:val="00BF6579"/>
    <w:rsid w:val="00C0761F"/>
    <w:rsid w:val="00C101C9"/>
    <w:rsid w:val="00C44596"/>
    <w:rsid w:val="00C60D61"/>
    <w:rsid w:val="00C92003"/>
    <w:rsid w:val="00CC4387"/>
    <w:rsid w:val="00CE7B2F"/>
    <w:rsid w:val="00CF24FB"/>
    <w:rsid w:val="00CF6616"/>
    <w:rsid w:val="00D04C27"/>
    <w:rsid w:val="00D13147"/>
    <w:rsid w:val="00D26F2E"/>
    <w:rsid w:val="00D3777A"/>
    <w:rsid w:val="00D56002"/>
    <w:rsid w:val="00D778C9"/>
    <w:rsid w:val="00DF6507"/>
    <w:rsid w:val="00DF7353"/>
    <w:rsid w:val="00E015B9"/>
    <w:rsid w:val="00E34501"/>
    <w:rsid w:val="00E34DBD"/>
    <w:rsid w:val="00E52EA0"/>
    <w:rsid w:val="00E57761"/>
    <w:rsid w:val="00E617EB"/>
    <w:rsid w:val="00E70E9A"/>
    <w:rsid w:val="00E73E1D"/>
    <w:rsid w:val="00EB51F4"/>
    <w:rsid w:val="00EC565A"/>
    <w:rsid w:val="00EC5C53"/>
    <w:rsid w:val="00ED4441"/>
    <w:rsid w:val="00ED4A29"/>
    <w:rsid w:val="00ED4ED9"/>
    <w:rsid w:val="00EE1CEE"/>
    <w:rsid w:val="00EE1F4B"/>
    <w:rsid w:val="00F03305"/>
    <w:rsid w:val="00F2228B"/>
    <w:rsid w:val="00F3062A"/>
    <w:rsid w:val="00F504FD"/>
    <w:rsid w:val="00F62573"/>
    <w:rsid w:val="00F81444"/>
    <w:rsid w:val="00F83A62"/>
    <w:rsid w:val="00FA6D77"/>
    <w:rsid w:val="00FB5B6A"/>
    <w:rsid w:val="00FC4906"/>
    <w:rsid w:val="00FF5835"/>
    <w:rsid w:val="00FF76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BCCEF5-8217-4C5C-9757-6E1B4D79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4C78D8"/>
    <w:pPr>
      <w:keepNext/>
      <w:tabs>
        <w:tab w:val="num" w:pos="0"/>
      </w:tabs>
      <w:outlineLvl w:val="0"/>
    </w:pPr>
    <w:rPr>
      <w:b/>
      <w:bCs/>
      <w:sz w:val="32"/>
    </w:rPr>
  </w:style>
  <w:style w:type="paragraph" w:styleId="Heading2">
    <w:name w:val="heading 2"/>
    <w:basedOn w:val="Normal"/>
    <w:next w:val="Normal"/>
    <w:qFormat/>
    <w:rsid w:val="004C78D8"/>
    <w:pPr>
      <w:keepNext/>
      <w:tabs>
        <w:tab w:val="num" w:pos="0"/>
      </w:tabs>
      <w:jc w:val="both"/>
      <w:outlineLvl w:val="1"/>
    </w:pPr>
    <w:rPr>
      <w:b/>
      <w:sz w:val="28"/>
    </w:rPr>
  </w:style>
  <w:style w:type="paragraph" w:styleId="Heading3">
    <w:name w:val="heading 3"/>
    <w:basedOn w:val="Normal"/>
    <w:next w:val="Normal"/>
    <w:qFormat/>
    <w:rsid w:val="004C78D8"/>
    <w:pPr>
      <w:keepNext/>
      <w:tabs>
        <w:tab w:val="num" w:pos="0"/>
      </w:tabs>
      <w:spacing w:line="360" w:lineRule="auto"/>
      <w:jc w:val="both"/>
      <w:outlineLvl w:val="2"/>
    </w:pPr>
    <w:rPr>
      <w:b/>
      <w:bCs/>
    </w:rPr>
  </w:style>
  <w:style w:type="paragraph" w:styleId="Heading6">
    <w:name w:val="heading 6"/>
    <w:basedOn w:val="Normal"/>
    <w:next w:val="Normal"/>
    <w:qFormat/>
    <w:rsid w:val="004C78D8"/>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C78D8"/>
  </w:style>
  <w:style w:type="character" w:customStyle="1" w:styleId="WW-Absatz-Standardschriftart">
    <w:name w:val="WW-Absatz-Standardschriftart"/>
    <w:rsid w:val="004C78D8"/>
  </w:style>
  <w:style w:type="character" w:customStyle="1" w:styleId="WW-Absatz-Standardschriftart1">
    <w:name w:val="WW-Absatz-Standardschriftart1"/>
    <w:rsid w:val="004C78D8"/>
  </w:style>
  <w:style w:type="character" w:customStyle="1" w:styleId="WW-Absatz-Standardschriftart11">
    <w:name w:val="WW-Absatz-Standardschriftart11"/>
    <w:rsid w:val="004C78D8"/>
  </w:style>
  <w:style w:type="character" w:customStyle="1" w:styleId="WW-Absatz-Standardschriftart111">
    <w:name w:val="WW-Absatz-Standardschriftart111"/>
    <w:rsid w:val="004C78D8"/>
  </w:style>
  <w:style w:type="character" w:customStyle="1" w:styleId="WW-Absatz-Standardschriftart1111">
    <w:name w:val="WW-Absatz-Standardschriftart1111"/>
    <w:rsid w:val="004C78D8"/>
  </w:style>
  <w:style w:type="character" w:customStyle="1" w:styleId="WW-Absatz-Standardschriftart11111">
    <w:name w:val="WW-Absatz-Standardschriftart11111"/>
    <w:rsid w:val="004C78D8"/>
  </w:style>
  <w:style w:type="character" w:customStyle="1" w:styleId="WW-Absatz-Standardschriftart111111">
    <w:name w:val="WW-Absatz-Standardschriftart111111"/>
    <w:rsid w:val="004C78D8"/>
  </w:style>
  <w:style w:type="character" w:customStyle="1" w:styleId="WW-Absatz-Standardschriftart1111111">
    <w:name w:val="WW-Absatz-Standardschriftart1111111"/>
    <w:rsid w:val="004C78D8"/>
  </w:style>
  <w:style w:type="character" w:customStyle="1" w:styleId="WW-Absatz-Standardschriftart11111111">
    <w:name w:val="WW-Absatz-Standardschriftart11111111"/>
    <w:rsid w:val="004C78D8"/>
  </w:style>
  <w:style w:type="character" w:customStyle="1" w:styleId="WW-Absatz-Standardschriftart111111111">
    <w:name w:val="WW-Absatz-Standardschriftart111111111"/>
    <w:rsid w:val="004C78D8"/>
  </w:style>
  <w:style w:type="character" w:customStyle="1" w:styleId="WW-Absatz-Standardschriftart1111111111">
    <w:name w:val="WW-Absatz-Standardschriftart1111111111"/>
    <w:rsid w:val="004C78D8"/>
  </w:style>
  <w:style w:type="character" w:customStyle="1" w:styleId="WW-Absatz-Standardschriftart11111111111">
    <w:name w:val="WW-Absatz-Standardschriftart11111111111"/>
    <w:rsid w:val="004C78D8"/>
  </w:style>
  <w:style w:type="character" w:customStyle="1" w:styleId="WW-Absatz-Standardschriftart111111111111">
    <w:name w:val="WW-Absatz-Standardschriftart111111111111"/>
    <w:rsid w:val="004C78D8"/>
  </w:style>
  <w:style w:type="character" w:customStyle="1" w:styleId="WW-Absatz-Standardschriftart1111111111111">
    <w:name w:val="WW-Absatz-Standardschriftart1111111111111"/>
    <w:rsid w:val="004C78D8"/>
  </w:style>
  <w:style w:type="character" w:customStyle="1" w:styleId="WW-Absatz-Standardschriftart11111111111111">
    <w:name w:val="WW-Absatz-Standardschriftart11111111111111"/>
    <w:rsid w:val="004C78D8"/>
  </w:style>
  <w:style w:type="character" w:customStyle="1" w:styleId="WW-Absatz-Standardschriftart111111111111111">
    <w:name w:val="WW-Absatz-Standardschriftart111111111111111"/>
    <w:rsid w:val="004C78D8"/>
  </w:style>
  <w:style w:type="character" w:customStyle="1" w:styleId="WW-Absatz-Standardschriftart1111111111111111">
    <w:name w:val="WW-Absatz-Standardschriftart1111111111111111"/>
    <w:rsid w:val="004C78D8"/>
  </w:style>
  <w:style w:type="character" w:customStyle="1" w:styleId="WW8Num1z0">
    <w:name w:val="WW8Num1z0"/>
    <w:rsid w:val="004C78D8"/>
    <w:rPr>
      <w:rFonts w:ascii="Symbol" w:eastAsia="Times New Roman" w:hAnsi="Symbol" w:cs="Times New Roman"/>
    </w:rPr>
  </w:style>
  <w:style w:type="character" w:customStyle="1" w:styleId="WW8Num1z1">
    <w:name w:val="WW8Num1z1"/>
    <w:rsid w:val="004C78D8"/>
    <w:rPr>
      <w:rFonts w:ascii="Courier New" w:hAnsi="Courier New" w:cs="Courier New"/>
    </w:rPr>
  </w:style>
  <w:style w:type="character" w:customStyle="1" w:styleId="WW8Num1z2">
    <w:name w:val="WW8Num1z2"/>
    <w:rsid w:val="004C78D8"/>
    <w:rPr>
      <w:rFonts w:ascii="Wingdings" w:hAnsi="Wingdings"/>
    </w:rPr>
  </w:style>
  <w:style w:type="character" w:customStyle="1" w:styleId="WW8Num1z3">
    <w:name w:val="WW8Num1z3"/>
    <w:rsid w:val="004C78D8"/>
    <w:rPr>
      <w:rFonts w:ascii="Symbol" w:hAnsi="Symbol"/>
    </w:rPr>
  </w:style>
  <w:style w:type="character" w:styleId="PageNumber">
    <w:name w:val="page number"/>
    <w:basedOn w:val="DefaultParagraphFont"/>
    <w:rsid w:val="004C78D8"/>
  </w:style>
  <w:style w:type="character" w:styleId="Hyperlink">
    <w:name w:val="Hyperlink"/>
    <w:rsid w:val="004C78D8"/>
    <w:rPr>
      <w:color w:val="0000FF"/>
      <w:u w:val="single"/>
    </w:rPr>
  </w:style>
  <w:style w:type="character" w:styleId="FollowedHyperlink">
    <w:name w:val="FollowedHyperlink"/>
    <w:rsid w:val="004C78D8"/>
    <w:rPr>
      <w:color w:val="800080"/>
      <w:u w:val="single"/>
    </w:rPr>
  </w:style>
  <w:style w:type="character" w:customStyle="1" w:styleId="NumberingSymbols">
    <w:name w:val="Numbering Symbols"/>
    <w:rsid w:val="004C78D8"/>
  </w:style>
  <w:style w:type="paragraph" w:customStyle="1" w:styleId="Heading">
    <w:name w:val="Heading"/>
    <w:basedOn w:val="Normal"/>
    <w:next w:val="BodyText"/>
    <w:rsid w:val="004C78D8"/>
    <w:pPr>
      <w:keepNext/>
      <w:spacing w:before="240" w:after="120"/>
    </w:pPr>
    <w:rPr>
      <w:rFonts w:ascii="Nimbus Sans L" w:eastAsia="DejaVu Sans" w:hAnsi="Nimbus Sans L" w:cs="DejaVu Sans"/>
      <w:sz w:val="28"/>
      <w:szCs w:val="28"/>
    </w:rPr>
  </w:style>
  <w:style w:type="paragraph" w:styleId="BodyText">
    <w:name w:val="Body Text"/>
    <w:basedOn w:val="Normal"/>
    <w:rsid w:val="004C78D8"/>
    <w:pPr>
      <w:spacing w:line="360" w:lineRule="auto"/>
    </w:pPr>
  </w:style>
  <w:style w:type="paragraph" w:styleId="List">
    <w:name w:val="List"/>
    <w:basedOn w:val="BodyText"/>
    <w:rsid w:val="004C78D8"/>
  </w:style>
  <w:style w:type="paragraph" w:styleId="Caption">
    <w:name w:val="caption"/>
    <w:basedOn w:val="Normal"/>
    <w:qFormat/>
    <w:rsid w:val="004C78D8"/>
    <w:pPr>
      <w:suppressLineNumbers/>
      <w:spacing w:before="120" w:after="120"/>
    </w:pPr>
    <w:rPr>
      <w:i/>
      <w:iCs/>
    </w:rPr>
  </w:style>
  <w:style w:type="paragraph" w:customStyle="1" w:styleId="Index">
    <w:name w:val="Index"/>
    <w:basedOn w:val="Normal"/>
    <w:rsid w:val="004C78D8"/>
    <w:pPr>
      <w:suppressLineNumbers/>
    </w:pPr>
  </w:style>
  <w:style w:type="paragraph" w:styleId="Header">
    <w:name w:val="header"/>
    <w:basedOn w:val="Normal"/>
    <w:next w:val="Heading1"/>
    <w:link w:val="HeaderChar"/>
    <w:rsid w:val="004C78D8"/>
    <w:pPr>
      <w:tabs>
        <w:tab w:val="center" w:pos="4320"/>
        <w:tab w:val="right" w:pos="8640"/>
      </w:tabs>
    </w:pPr>
  </w:style>
  <w:style w:type="paragraph" w:styleId="BodyTextIndent3">
    <w:name w:val="Body Text Indent 3"/>
    <w:basedOn w:val="Normal"/>
    <w:rsid w:val="004C78D8"/>
    <w:pPr>
      <w:spacing w:line="360" w:lineRule="auto"/>
      <w:ind w:firstLine="720"/>
      <w:jc w:val="both"/>
    </w:pPr>
    <w:rPr>
      <w:b/>
      <w:bCs/>
    </w:rPr>
  </w:style>
  <w:style w:type="paragraph" w:styleId="BodyTextIndent">
    <w:name w:val="Body Text Indent"/>
    <w:basedOn w:val="Normal"/>
    <w:rsid w:val="004C78D8"/>
    <w:pPr>
      <w:ind w:left="540" w:hanging="720"/>
      <w:jc w:val="both"/>
    </w:pPr>
  </w:style>
  <w:style w:type="paragraph" w:styleId="BodyTextIndent2">
    <w:name w:val="Body Text Indent 2"/>
    <w:basedOn w:val="Normal"/>
    <w:rsid w:val="004C78D8"/>
    <w:pPr>
      <w:spacing w:line="360" w:lineRule="auto"/>
      <w:ind w:firstLine="720"/>
      <w:jc w:val="both"/>
    </w:pPr>
  </w:style>
  <w:style w:type="paragraph" w:styleId="BodyText2">
    <w:name w:val="Body Text 2"/>
    <w:basedOn w:val="Normal"/>
    <w:rsid w:val="004C78D8"/>
    <w:pPr>
      <w:spacing w:line="360" w:lineRule="auto"/>
      <w:jc w:val="both"/>
    </w:pPr>
  </w:style>
  <w:style w:type="paragraph" w:styleId="Footer">
    <w:name w:val="footer"/>
    <w:basedOn w:val="Normal"/>
    <w:rsid w:val="004C78D8"/>
    <w:pPr>
      <w:tabs>
        <w:tab w:val="center" w:pos="4320"/>
        <w:tab w:val="right" w:pos="8640"/>
      </w:tabs>
    </w:pPr>
    <w:rPr>
      <w:sz w:val="32"/>
    </w:rPr>
  </w:style>
  <w:style w:type="paragraph" w:customStyle="1" w:styleId="TableContents">
    <w:name w:val="Table Contents"/>
    <w:basedOn w:val="Normal"/>
    <w:rsid w:val="004C78D8"/>
    <w:pPr>
      <w:suppressLineNumbers/>
    </w:pPr>
  </w:style>
  <w:style w:type="paragraph" w:customStyle="1" w:styleId="TableHeading">
    <w:name w:val="Table Heading"/>
    <w:basedOn w:val="TableContents"/>
    <w:rsid w:val="004C78D8"/>
    <w:pPr>
      <w:jc w:val="center"/>
    </w:pPr>
    <w:rPr>
      <w:b/>
      <w:bCs/>
    </w:rPr>
  </w:style>
  <w:style w:type="paragraph" w:customStyle="1" w:styleId="Framecontents">
    <w:name w:val="Frame contents"/>
    <w:basedOn w:val="BodyText"/>
    <w:rsid w:val="004C78D8"/>
  </w:style>
  <w:style w:type="paragraph" w:customStyle="1" w:styleId="Text">
    <w:name w:val="Text"/>
    <w:basedOn w:val="Normal"/>
    <w:rsid w:val="004C78D8"/>
    <w:pPr>
      <w:autoSpaceDE w:val="0"/>
      <w:spacing w:line="252" w:lineRule="auto"/>
      <w:ind w:firstLine="202"/>
    </w:pPr>
    <w:rPr>
      <w:rFonts w:eastAsia="PMingLiU"/>
      <w:kern w:val="1"/>
      <w:sz w:val="20"/>
      <w:szCs w:val="20"/>
    </w:rPr>
  </w:style>
  <w:style w:type="character" w:customStyle="1" w:styleId="HeaderChar">
    <w:name w:val="Header Char"/>
    <w:link w:val="Header"/>
    <w:rsid w:val="00D778C9"/>
    <w:rPr>
      <w:sz w:val="24"/>
      <w:szCs w:val="24"/>
      <w:lang w:eastAsia="ar-SA"/>
    </w:rPr>
  </w:style>
  <w:style w:type="character" w:styleId="FootnoteReference">
    <w:name w:val="footnote reference"/>
    <w:uiPriority w:val="99"/>
    <w:semiHidden/>
    <w:unhideWhenUsed/>
    <w:rsid w:val="00560753"/>
    <w:rPr>
      <w:vertAlign w:val="superscript"/>
    </w:rPr>
  </w:style>
  <w:style w:type="paragraph" w:customStyle="1" w:styleId="EndNoteBibliographyTitle">
    <w:name w:val="EndNote Bibliography Title"/>
    <w:basedOn w:val="Normal"/>
    <w:link w:val="EndNoteBibliographyTitleChar"/>
    <w:rsid w:val="008633A4"/>
    <w:pPr>
      <w:suppressAutoHyphens w:val="0"/>
      <w:spacing w:line="276" w:lineRule="auto"/>
      <w:jc w:val="center"/>
    </w:pPr>
    <w:rPr>
      <w:rFonts w:eastAsia="Calibri"/>
      <w:noProof/>
      <w:sz w:val="20"/>
      <w:szCs w:val="22"/>
    </w:rPr>
  </w:style>
  <w:style w:type="character" w:customStyle="1" w:styleId="EndNoteBibliographyTitleChar">
    <w:name w:val="EndNote Bibliography Title Char"/>
    <w:link w:val="EndNoteBibliographyTitle"/>
    <w:rsid w:val="008633A4"/>
    <w:rPr>
      <w:rFonts w:eastAsia="Calibri"/>
      <w:noProof/>
      <w:szCs w:val="22"/>
    </w:rPr>
  </w:style>
  <w:style w:type="paragraph" w:customStyle="1" w:styleId="EndNoteBibliography">
    <w:name w:val="EndNote Bibliography"/>
    <w:basedOn w:val="Normal"/>
    <w:link w:val="EndNoteBibliographyChar"/>
    <w:rsid w:val="008633A4"/>
    <w:pPr>
      <w:suppressAutoHyphens w:val="0"/>
      <w:spacing w:after="200"/>
    </w:pPr>
    <w:rPr>
      <w:rFonts w:eastAsia="Calibri"/>
      <w:noProof/>
      <w:sz w:val="20"/>
      <w:szCs w:val="22"/>
    </w:rPr>
  </w:style>
  <w:style w:type="character" w:customStyle="1" w:styleId="EndNoteBibliographyChar">
    <w:name w:val="EndNote Bibliography Char"/>
    <w:link w:val="EndNoteBibliography"/>
    <w:rsid w:val="008633A4"/>
    <w:rPr>
      <w:rFonts w:eastAsia="Calibri"/>
      <w:noProof/>
      <w:szCs w:val="22"/>
    </w:rPr>
  </w:style>
  <w:style w:type="paragraph" w:styleId="BalloonText">
    <w:name w:val="Balloon Text"/>
    <w:basedOn w:val="Normal"/>
    <w:link w:val="BalloonTextChar"/>
    <w:uiPriority w:val="99"/>
    <w:semiHidden/>
    <w:unhideWhenUsed/>
    <w:rsid w:val="008F0181"/>
    <w:rPr>
      <w:rFonts w:ascii="Tahoma" w:hAnsi="Tahoma" w:cs="Tahoma"/>
      <w:sz w:val="16"/>
      <w:szCs w:val="16"/>
    </w:rPr>
  </w:style>
  <w:style w:type="character" w:customStyle="1" w:styleId="BalloonTextChar">
    <w:name w:val="Balloon Text Char"/>
    <w:basedOn w:val="DefaultParagraphFont"/>
    <w:link w:val="BalloonText"/>
    <w:uiPriority w:val="99"/>
    <w:semiHidden/>
    <w:rsid w:val="008F0181"/>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5.jpeg"/><Relationship Id="rId21" Type="http://schemas.openxmlformats.org/officeDocument/2006/relationships/image" Target="media/image3.png"/><Relationship Id="rId34" Type="http://schemas.openxmlformats.org/officeDocument/2006/relationships/header" Target="header7.xml"/><Relationship Id="rId7" Type="http://schemas.openxmlformats.org/officeDocument/2006/relationships/hyperlink" Target="mailto:sahar.kabiri88@gmail.com" TargetMode="Externa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2.png"/><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footer" Target="footer14.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dx.doi.org/10.7537/marsrsj081016.03" TargetMode="Externa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footer" Target="footer10.xml"/><Relationship Id="rId35" Type="http://schemas.openxmlformats.org/officeDocument/2006/relationships/footer" Target="footer13.xml"/><Relationship Id="rId8" Type="http://schemas.openxmlformats.org/officeDocument/2006/relationships/hyperlink" Target="http://www.sciencepub.net/researche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3497</Words>
  <Characters>19934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23385</CharactersWithSpaces>
  <SharedDoc>false</SharedDoc>
  <HLinks>
    <vt:vector size="36" baseType="variant">
      <vt:variant>
        <vt:i4>393281</vt:i4>
      </vt:variant>
      <vt:variant>
        <vt:i4>6</vt:i4>
      </vt:variant>
      <vt:variant>
        <vt:i4>0</vt:i4>
      </vt:variant>
      <vt:variant>
        <vt:i4>5</vt:i4>
      </vt:variant>
      <vt:variant>
        <vt:lpwstr>http://www.dx.doi.org/10.7537/marsrsj08xx16xx</vt:lpwstr>
      </vt:variant>
      <vt:variant>
        <vt:lpwstr/>
      </vt:variant>
      <vt:variant>
        <vt:i4>4391003</vt:i4>
      </vt:variant>
      <vt:variant>
        <vt:i4>3</vt:i4>
      </vt:variant>
      <vt:variant>
        <vt:i4>0</vt:i4>
      </vt:variant>
      <vt:variant>
        <vt:i4>5</vt:i4>
      </vt:variant>
      <vt:variant>
        <vt:lpwstr>http://www.sciencepub.net/researcher</vt:lpwstr>
      </vt:variant>
      <vt:variant>
        <vt:lpwstr/>
      </vt:variant>
      <vt:variant>
        <vt:i4>5046324</vt:i4>
      </vt:variant>
      <vt:variant>
        <vt:i4>0</vt:i4>
      </vt:variant>
      <vt:variant>
        <vt:i4>0</vt:i4>
      </vt:variant>
      <vt:variant>
        <vt:i4>5</vt:i4>
      </vt:variant>
      <vt:variant>
        <vt:lpwstr>mailto:sahar.kabiri88@gmail.com</vt:lpwstr>
      </vt:variant>
      <vt:variant>
        <vt:lpwstr/>
      </vt:variant>
      <vt:variant>
        <vt:i4>6553620</vt:i4>
      </vt:variant>
      <vt:variant>
        <vt:i4>11</vt:i4>
      </vt:variant>
      <vt:variant>
        <vt:i4>0</vt:i4>
      </vt:variant>
      <vt:variant>
        <vt:i4>5</vt:i4>
      </vt:variant>
      <vt:variant>
        <vt:lpwstr>mailto:researcher135@gmail.com</vt:lpwstr>
      </vt:variant>
      <vt:variant>
        <vt:lpwstr/>
      </vt:variant>
      <vt:variant>
        <vt:i4>4391003</vt:i4>
      </vt:variant>
      <vt:variant>
        <vt:i4>8</vt:i4>
      </vt:variant>
      <vt:variant>
        <vt:i4>0</vt:i4>
      </vt:variant>
      <vt:variant>
        <vt:i4>5</vt:i4>
      </vt:variant>
      <vt:variant>
        <vt:lpwstr>http://www.sciencepub.net/researcher</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Ayat Mahmoudi</cp:lastModifiedBy>
  <cp:revision>6</cp:revision>
  <cp:lastPrinted>2008-06-24T20:46:00Z</cp:lastPrinted>
  <dcterms:created xsi:type="dcterms:W3CDTF">2016-10-19T07:31:00Z</dcterms:created>
  <dcterms:modified xsi:type="dcterms:W3CDTF">2017-01-21T22:22:00Z</dcterms:modified>
  <cp:category>science</cp:category>
</cp:coreProperties>
</file>