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4F49" w:rsidRPr="00073909" w:rsidRDefault="003F2FB8" w:rsidP="00073909">
      <w:pPr>
        <w:widowControl/>
        <w:autoSpaceDE/>
        <w:autoSpaceDN/>
        <w:adjustRightInd/>
        <w:snapToGrid w:val="0"/>
        <w:jc w:val="center"/>
        <w:rPr>
          <w:b/>
          <w:bCs/>
          <w:lang w:bidi="ar-EG"/>
        </w:rPr>
      </w:pPr>
      <w:r w:rsidRPr="00073909">
        <w:rPr>
          <w:b/>
          <w:bCs/>
          <w:lang w:bidi="ar-EG"/>
        </w:rPr>
        <w:t xml:space="preserve">Predictive Factors for </w:t>
      </w:r>
      <w:r w:rsidR="00F44F49" w:rsidRPr="00073909">
        <w:rPr>
          <w:b/>
          <w:bCs/>
          <w:lang w:bidi="ar-EG"/>
        </w:rPr>
        <w:t>Safe and Effic</w:t>
      </w:r>
      <w:r w:rsidRPr="00073909">
        <w:rPr>
          <w:b/>
          <w:bCs/>
          <w:lang w:bidi="ar-EG"/>
        </w:rPr>
        <w:t>tive</w:t>
      </w:r>
      <w:r w:rsidR="00F44F49" w:rsidRPr="00073909">
        <w:rPr>
          <w:b/>
          <w:bCs/>
          <w:lang w:bidi="ar-EG"/>
        </w:rPr>
        <w:t xml:space="preserve"> Percutaneous Nephrolithotomy in Children</w:t>
      </w:r>
    </w:p>
    <w:p w:rsidR="00D333BC" w:rsidRPr="00073909" w:rsidRDefault="00D333BC" w:rsidP="00073909">
      <w:pPr>
        <w:widowControl/>
        <w:autoSpaceDE/>
        <w:autoSpaceDN/>
        <w:adjustRightInd/>
        <w:snapToGrid w:val="0"/>
        <w:jc w:val="center"/>
        <w:rPr>
          <w:b/>
          <w:bCs/>
          <w:lang w:bidi="ar-EG"/>
        </w:rPr>
      </w:pPr>
    </w:p>
    <w:p w:rsidR="00ED6C54" w:rsidRDefault="00ED6C54" w:rsidP="00073909">
      <w:pPr>
        <w:snapToGrid w:val="0"/>
        <w:jc w:val="center"/>
        <w:rPr>
          <w:rFonts w:eastAsiaTheme="minorEastAsia"/>
          <w:lang w:eastAsia="zh-CN" w:bidi="ar-EG"/>
        </w:rPr>
      </w:pPr>
      <w:r w:rsidRPr="00073909">
        <w:rPr>
          <w:lang w:bidi="ar-EG"/>
        </w:rPr>
        <w:t>Abdel-Rahman I. Ebeid, Gamal I. Selmy, Hisham A. Elhelaly, Ibrahim S. Ibrahim and Hussin</w:t>
      </w:r>
      <w:r w:rsidR="009406D0">
        <w:rPr>
          <w:rFonts w:eastAsiaTheme="minorEastAsia" w:hint="eastAsia"/>
          <w:lang w:eastAsia="zh-CN" w:bidi="ar-EG"/>
        </w:rPr>
        <w:t xml:space="preserve"> </w:t>
      </w:r>
      <w:r w:rsidRPr="00073909">
        <w:rPr>
          <w:lang w:bidi="ar-EG"/>
        </w:rPr>
        <w:t>Galal</w:t>
      </w:r>
    </w:p>
    <w:p w:rsidR="00073909" w:rsidRPr="00073909" w:rsidRDefault="00073909" w:rsidP="00073909">
      <w:pPr>
        <w:snapToGrid w:val="0"/>
        <w:jc w:val="center"/>
        <w:rPr>
          <w:rFonts w:eastAsiaTheme="minorEastAsia"/>
          <w:lang w:eastAsia="zh-CN" w:bidi="ar-EG"/>
        </w:rPr>
      </w:pPr>
    </w:p>
    <w:p w:rsidR="00061A7E" w:rsidRPr="00073909" w:rsidRDefault="00337E5E" w:rsidP="00073909">
      <w:pPr>
        <w:widowControl/>
        <w:tabs>
          <w:tab w:val="left" w:pos="4310"/>
          <w:tab w:val="left" w:pos="4720"/>
          <w:tab w:val="left" w:pos="6340"/>
        </w:tabs>
        <w:autoSpaceDE/>
        <w:autoSpaceDN/>
        <w:adjustRightInd/>
        <w:snapToGrid w:val="0"/>
        <w:jc w:val="center"/>
        <w:rPr>
          <w:lang w:bidi="ar-EG"/>
        </w:rPr>
      </w:pPr>
      <w:r w:rsidRPr="00073909">
        <w:t>U</w:t>
      </w:r>
      <w:r w:rsidR="00ED6C54" w:rsidRPr="00073909">
        <w:t>rology Department; Faculty of medicine; Al Azahar University, Cairo, Egypt.</w:t>
      </w:r>
    </w:p>
    <w:p w:rsidR="00D333BC" w:rsidRPr="00073909" w:rsidRDefault="00E85812" w:rsidP="00073909">
      <w:pPr>
        <w:widowControl/>
        <w:shd w:val="clear" w:color="auto" w:fill="FFFFFF"/>
        <w:autoSpaceDE/>
        <w:autoSpaceDN/>
        <w:adjustRightInd/>
        <w:snapToGrid w:val="0"/>
        <w:jc w:val="center"/>
        <w:rPr>
          <w:color w:val="000000"/>
        </w:rPr>
      </w:pPr>
      <w:hyperlink r:id="rId8" w:tgtFrame="_blank" w:history="1">
        <w:r w:rsidR="00D333BC" w:rsidRPr="00073909">
          <w:rPr>
            <w:color w:val="338FE9"/>
            <w:u w:val="single"/>
          </w:rPr>
          <w:t>ebeid.clinic@yahoo.com</w:t>
        </w:r>
      </w:hyperlink>
    </w:p>
    <w:p w:rsidR="00D333BC" w:rsidRPr="00073909" w:rsidRDefault="00D333BC" w:rsidP="00073909">
      <w:pPr>
        <w:widowControl/>
        <w:shd w:val="clear" w:color="auto" w:fill="FFFFFF"/>
        <w:autoSpaceDE/>
        <w:autoSpaceDN/>
        <w:adjustRightInd/>
        <w:snapToGrid w:val="0"/>
        <w:jc w:val="center"/>
        <w:rPr>
          <w:color w:val="000000"/>
        </w:rPr>
      </w:pPr>
    </w:p>
    <w:p w:rsidR="00073909" w:rsidRDefault="00061A7E" w:rsidP="00073909">
      <w:pPr>
        <w:widowControl/>
        <w:autoSpaceDE/>
        <w:autoSpaceDN/>
        <w:adjustRightInd/>
        <w:snapToGrid w:val="0"/>
        <w:jc w:val="both"/>
        <w:rPr>
          <w:rFonts w:eastAsiaTheme="minorHAnsi"/>
        </w:rPr>
      </w:pPr>
      <w:r w:rsidRPr="00073909">
        <w:rPr>
          <w:b/>
          <w:bCs/>
          <w:lang w:bidi="ar-EG"/>
        </w:rPr>
        <w:t>Abstract</w:t>
      </w:r>
      <w:r w:rsidR="00D333BC" w:rsidRPr="00073909">
        <w:rPr>
          <w:b/>
          <w:bCs/>
          <w:lang w:bidi="ar-EG"/>
        </w:rPr>
        <w:t>:</w:t>
      </w:r>
      <w:r w:rsidR="00B6146D" w:rsidRPr="00073909">
        <w:rPr>
          <w:b/>
          <w:bCs/>
          <w:lang w:bidi="ar-EG"/>
        </w:rPr>
        <w:t xml:space="preserve"> </w:t>
      </w:r>
      <w:r w:rsidR="00FB4CA7" w:rsidRPr="00073909">
        <w:rPr>
          <w:rFonts w:eastAsiaTheme="minorHAnsi"/>
          <w:b/>
          <w:bCs/>
        </w:rPr>
        <w:t xml:space="preserve">Purpose: </w:t>
      </w:r>
      <w:r w:rsidR="00FB4CA7" w:rsidRPr="00073909">
        <w:rPr>
          <w:rFonts w:eastAsiaTheme="minorHAnsi"/>
        </w:rPr>
        <w:t>This study proposed to assess the safety and efficacy of PCNL in children less than 18 years of age with renal stones.</w:t>
      </w:r>
      <w:r w:rsidR="00B6146D" w:rsidRPr="00073909">
        <w:rPr>
          <w:rFonts w:eastAsiaTheme="minorHAnsi"/>
        </w:rPr>
        <w:t xml:space="preserve"> </w:t>
      </w:r>
      <w:r w:rsidR="00306D2D" w:rsidRPr="00073909">
        <w:rPr>
          <w:rFonts w:eastAsiaTheme="minorHAnsi"/>
          <w:b/>
          <w:bCs/>
        </w:rPr>
        <w:t xml:space="preserve">Materials and Methods: </w:t>
      </w:r>
      <w:r w:rsidR="00306D2D" w:rsidRPr="00073909">
        <w:rPr>
          <w:rFonts w:eastAsiaTheme="minorHAnsi"/>
        </w:rPr>
        <w:t>All children below 18 years of age with renal stones who will be undergoing PCNL at Urology, Department of Al-Hussein and Bab El-shaarya University Hospitals January 2007</w:t>
      </w:r>
      <w:r w:rsidR="00073909">
        <w:rPr>
          <w:rFonts w:eastAsiaTheme="minorHAnsi"/>
        </w:rPr>
        <w:t xml:space="preserve"> </w:t>
      </w:r>
      <w:r w:rsidR="00306D2D" w:rsidRPr="00073909">
        <w:rPr>
          <w:rFonts w:eastAsiaTheme="minorHAnsi"/>
        </w:rPr>
        <w:t>to July 2015.</w:t>
      </w:r>
      <w:r w:rsidR="00830D3B" w:rsidRPr="00073909">
        <w:rPr>
          <w:rFonts w:eastAsiaTheme="minorHAnsi"/>
          <w:b/>
          <w:bCs/>
        </w:rPr>
        <w:t xml:space="preserve"> </w:t>
      </w:r>
      <w:r w:rsidR="00B6146D" w:rsidRPr="00073909">
        <w:rPr>
          <w:rFonts w:eastAsiaTheme="minorHAnsi"/>
          <w:b/>
          <w:bCs/>
        </w:rPr>
        <w:t>R</w:t>
      </w:r>
      <w:r w:rsidR="00830D3B" w:rsidRPr="00073909">
        <w:rPr>
          <w:rFonts w:eastAsiaTheme="minorHAnsi"/>
          <w:b/>
          <w:bCs/>
        </w:rPr>
        <w:t>esults</w:t>
      </w:r>
      <w:r w:rsidR="00966EA4" w:rsidRPr="00073909">
        <w:rPr>
          <w:rFonts w:eastAsiaTheme="minorHAnsi"/>
          <w:b/>
          <w:bCs/>
        </w:rPr>
        <w:t>:</w:t>
      </w:r>
      <w:r w:rsidR="00966EA4" w:rsidRPr="00073909">
        <w:t xml:space="preserve"> A total of </w:t>
      </w:r>
      <w:r w:rsidR="00C350E0" w:rsidRPr="00073909">
        <w:t>eighty</w:t>
      </w:r>
      <w:r w:rsidR="00966EA4" w:rsidRPr="00073909">
        <w:t xml:space="preserve"> children with renal calculi </w:t>
      </w:r>
      <w:r w:rsidR="002A6C60" w:rsidRPr="00073909">
        <w:t>was</w:t>
      </w:r>
      <w:r w:rsidR="001E5B2A">
        <w:rPr>
          <w:rFonts w:eastAsiaTheme="minorEastAsia" w:hint="eastAsia"/>
          <w:lang w:eastAsia="zh-CN"/>
        </w:rPr>
        <w:t xml:space="preserve"> </w:t>
      </w:r>
      <w:r w:rsidR="00830D3B" w:rsidRPr="00073909">
        <w:t>admitted</w:t>
      </w:r>
      <w:r w:rsidR="00966EA4" w:rsidRPr="00073909">
        <w:t xml:space="preserve"> for </w:t>
      </w:r>
      <w:r w:rsidR="008019D6" w:rsidRPr="00073909">
        <w:t>PCNL</w:t>
      </w:r>
      <w:r w:rsidR="00966EA4" w:rsidRPr="00073909">
        <w:t xml:space="preserve">. </w:t>
      </w:r>
      <w:r w:rsidR="00306D2D" w:rsidRPr="00073909">
        <w:t>The cases included 50 (62.5%) males and 30 (37.5%) females; Mean patient age was 13.11 ± 4.22</w:t>
      </w:r>
      <w:r w:rsidR="001E5B2A">
        <w:rPr>
          <w:rFonts w:eastAsiaTheme="minorEastAsia" w:hint="eastAsia"/>
          <w:lang w:eastAsia="zh-CN"/>
        </w:rPr>
        <w:t xml:space="preserve"> </w:t>
      </w:r>
      <w:r w:rsidR="00306D2D" w:rsidRPr="00073909">
        <w:t>years (range 5 - 18 years, median 11.5 years).</w:t>
      </w:r>
      <w:r w:rsidR="008568E2" w:rsidRPr="00073909">
        <w:t xml:space="preserve"> Mean hospitalization was 4.01±2.0 days</w:t>
      </w:r>
      <w:r w:rsidR="00073909" w:rsidRPr="00073909">
        <w:t>.</w:t>
      </w:r>
      <w:r w:rsidR="00073909">
        <w:t xml:space="preserve"> </w:t>
      </w:r>
      <w:r w:rsidR="00073909" w:rsidRPr="00073909">
        <w:t>I</w:t>
      </w:r>
      <w:r w:rsidR="006F7941" w:rsidRPr="00073909">
        <w:t>ntraoperative complications include bleeding (11.</w:t>
      </w:r>
      <w:r w:rsidR="00584B9D" w:rsidRPr="00073909">
        <w:t>25</w:t>
      </w:r>
      <w:r w:rsidR="006F7941" w:rsidRPr="00073909">
        <w:t xml:space="preserve">%), </w:t>
      </w:r>
      <w:r w:rsidR="001548EC" w:rsidRPr="00073909">
        <w:t>extravasations</w:t>
      </w:r>
      <w:r w:rsidR="006F7941" w:rsidRPr="00073909">
        <w:t xml:space="preserve"> (22.</w:t>
      </w:r>
      <w:r w:rsidR="00584B9D" w:rsidRPr="00073909">
        <w:t>25</w:t>
      </w:r>
      <w:r w:rsidR="006F7941" w:rsidRPr="00073909">
        <w:t>%), colonic injury (</w:t>
      </w:r>
      <w:r w:rsidR="00415652" w:rsidRPr="00073909">
        <w:t>1</w:t>
      </w:r>
      <w:r w:rsidR="006F7941" w:rsidRPr="00073909">
        <w:t>.</w:t>
      </w:r>
      <w:r w:rsidR="00415652" w:rsidRPr="00073909">
        <w:t>2</w:t>
      </w:r>
      <w:r w:rsidR="00584B9D" w:rsidRPr="00073909">
        <w:t>5</w:t>
      </w:r>
      <w:r w:rsidR="006F7941" w:rsidRPr="00073909">
        <w:t>%</w:t>
      </w:r>
      <w:r w:rsidR="00B235E7" w:rsidRPr="00073909">
        <w:t>) and</w:t>
      </w:r>
      <w:r w:rsidR="006F7941" w:rsidRPr="00073909">
        <w:t xml:space="preserve"> pelvic injury (</w:t>
      </w:r>
      <w:r w:rsidR="00415652" w:rsidRPr="00073909">
        <w:t>3</w:t>
      </w:r>
      <w:r w:rsidR="006F7941" w:rsidRPr="00073909">
        <w:t>.</w:t>
      </w:r>
      <w:r w:rsidR="00584B9D" w:rsidRPr="00073909">
        <w:t>75</w:t>
      </w:r>
      <w:r w:rsidR="006F7941" w:rsidRPr="00073909">
        <w:t>%). Postoperative complications include early complications as fever (5%), urinary leakage (</w:t>
      </w:r>
      <w:r w:rsidR="00584B9D" w:rsidRPr="00073909">
        <w:t>13.75</w:t>
      </w:r>
      <w:r w:rsidR="006F7941" w:rsidRPr="00073909">
        <w:t>%) and intolerable pain (2.</w:t>
      </w:r>
      <w:r w:rsidR="00584B9D" w:rsidRPr="00073909">
        <w:t>5</w:t>
      </w:r>
      <w:r w:rsidR="006F7941" w:rsidRPr="00073909">
        <w:t xml:space="preserve">%). </w:t>
      </w:r>
      <w:r w:rsidR="00B235E7" w:rsidRPr="00073909">
        <w:rPr>
          <w:rFonts w:eastAsiaTheme="majorEastAsia"/>
          <w:b/>
          <w:bCs/>
        </w:rPr>
        <w:t>Conclusion</w:t>
      </w:r>
      <w:r w:rsidR="006F7941" w:rsidRPr="00073909">
        <w:rPr>
          <w:rFonts w:eastAsiaTheme="majorEastAsia"/>
          <w:b/>
          <w:bCs/>
        </w:rPr>
        <w:t xml:space="preserve">: </w:t>
      </w:r>
      <w:r w:rsidR="0073620B" w:rsidRPr="00073909">
        <w:rPr>
          <w:rFonts w:eastAsiaTheme="minorHAnsi"/>
        </w:rPr>
        <w:t xml:space="preserve">Percutaneous nephrolithotomy is the treatment of choice for most renal calculi in children. </w:t>
      </w:r>
      <w:r w:rsidR="00FB4CA7" w:rsidRPr="00073909">
        <w:rPr>
          <w:rFonts w:eastAsiaTheme="minorHAnsi"/>
        </w:rPr>
        <w:t xml:space="preserve">The proficiency is effective and safe in children, with a high success rate and a </w:t>
      </w:r>
      <w:r w:rsidR="00862DF9" w:rsidRPr="00073909">
        <w:rPr>
          <w:rFonts w:eastAsiaTheme="minorHAnsi"/>
        </w:rPr>
        <w:t>less</w:t>
      </w:r>
      <w:r w:rsidR="00FB4CA7" w:rsidRPr="00073909">
        <w:rPr>
          <w:rFonts w:eastAsiaTheme="minorHAnsi"/>
        </w:rPr>
        <w:t xml:space="preserve"> rate of major complication</w:t>
      </w:r>
      <w:r w:rsidR="00073909" w:rsidRPr="00073909">
        <w:rPr>
          <w:rFonts w:eastAsiaTheme="minorHAnsi"/>
        </w:rPr>
        <w:t>s</w:t>
      </w:r>
      <w:r w:rsidR="00073909">
        <w:rPr>
          <w:rFonts w:eastAsiaTheme="minorHAnsi"/>
        </w:rPr>
        <w:t>.</w:t>
      </w:r>
    </w:p>
    <w:p w:rsidR="00073909" w:rsidRPr="00073909" w:rsidRDefault="00073909" w:rsidP="00073909">
      <w:pPr>
        <w:snapToGrid w:val="0"/>
        <w:jc w:val="both"/>
        <w:rPr>
          <w:color w:val="000000"/>
          <w:shd w:val="clear" w:color="auto" w:fill="FFFFFF"/>
        </w:rPr>
      </w:pPr>
      <w:r w:rsidRPr="00073909">
        <w:rPr>
          <w:rFonts w:eastAsiaTheme="minorEastAsia" w:hint="eastAsia"/>
          <w:lang w:eastAsia="zh-CN" w:bidi="ar-EG"/>
        </w:rPr>
        <w:t>[</w:t>
      </w:r>
      <w:r w:rsidR="00D333BC" w:rsidRPr="00073909">
        <w:rPr>
          <w:lang w:bidi="ar-EG"/>
        </w:rPr>
        <w:t>Abdel-Rahman I. Ebeid, Gamal I. Selmy, Hisham A. Elhelaly, Ibrahim S. Ibrahim and Hussin</w:t>
      </w:r>
      <w:r w:rsidR="009406D0">
        <w:rPr>
          <w:rFonts w:eastAsiaTheme="minorEastAsia" w:hint="eastAsia"/>
          <w:lang w:eastAsia="zh-CN" w:bidi="ar-EG"/>
        </w:rPr>
        <w:t xml:space="preserve"> </w:t>
      </w:r>
      <w:r w:rsidR="00D333BC" w:rsidRPr="00073909">
        <w:rPr>
          <w:lang w:bidi="ar-EG"/>
        </w:rPr>
        <w:t>Galal</w:t>
      </w:r>
      <w:r>
        <w:rPr>
          <w:rFonts w:eastAsiaTheme="minorEastAsia" w:hint="eastAsia"/>
          <w:lang w:eastAsia="zh-CN" w:bidi="ar-EG"/>
        </w:rPr>
        <w:t xml:space="preserve">. </w:t>
      </w:r>
      <w:r w:rsidR="00D333BC" w:rsidRPr="00073909">
        <w:rPr>
          <w:b/>
          <w:bCs/>
          <w:lang w:bidi="ar-EG"/>
        </w:rPr>
        <w:t>Predictive Factors for Safe and Effictive Percutaneous Nephrolithotomy in Children</w:t>
      </w:r>
      <w:r w:rsidRPr="00073909">
        <w:rPr>
          <w:b/>
          <w:bCs/>
          <w:lang w:bidi="fa-IR"/>
        </w:rPr>
        <w:t>.</w:t>
      </w:r>
      <w:r w:rsidRPr="00073909">
        <w:rPr>
          <w:bCs/>
          <w:i/>
        </w:rPr>
        <w:t xml:space="preserve"> Researcher</w:t>
      </w:r>
      <w:r w:rsidRPr="00073909">
        <w:rPr>
          <w:bCs/>
        </w:rPr>
        <w:t xml:space="preserve"> 201</w:t>
      </w:r>
      <w:r w:rsidRPr="00073909">
        <w:rPr>
          <w:rFonts w:hint="eastAsia"/>
          <w:bCs/>
        </w:rPr>
        <w:t>7</w:t>
      </w:r>
      <w:r w:rsidRPr="00073909">
        <w:rPr>
          <w:bCs/>
        </w:rPr>
        <w:t>;</w:t>
      </w:r>
      <w:r w:rsidRPr="00073909">
        <w:rPr>
          <w:rFonts w:hint="eastAsia"/>
          <w:bCs/>
        </w:rPr>
        <w:t>9</w:t>
      </w:r>
      <w:r w:rsidRPr="00073909">
        <w:rPr>
          <w:bCs/>
        </w:rPr>
        <w:t>(</w:t>
      </w:r>
      <w:r w:rsidRPr="00073909">
        <w:rPr>
          <w:rFonts w:hint="eastAsia"/>
          <w:bCs/>
        </w:rPr>
        <w:t>1</w:t>
      </w:r>
      <w:r w:rsidRPr="00073909">
        <w:rPr>
          <w:bCs/>
        </w:rPr>
        <w:t>):</w:t>
      </w:r>
      <w:r w:rsidR="004364AE">
        <w:rPr>
          <w:noProof/>
          <w:color w:val="000000"/>
        </w:rPr>
        <w:t>27</w:t>
      </w:r>
      <w:r w:rsidRPr="00073909">
        <w:rPr>
          <w:color w:val="000000"/>
        </w:rPr>
        <w:t>-</w:t>
      </w:r>
      <w:r w:rsidR="004364AE">
        <w:rPr>
          <w:noProof/>
          <w:color w:val="000000"/>
        </w:rPr>
        <w:t>31</w:t>
      </w:r>
      <w:r w:rsidRPr="00073909">
        <w:rPr>
          <w:bCs/>
        </w:rPr>
        <w:t xml:space="preserve">]. </w:t>
      </w:r>
      <w:r w:rsidRPr="00073909">
        <w:t>ISSN 1553-9865 (print); ISSN 2163-8950 (online)</w:t>
      </w:r>
      <w:r w:rsidRPr="00073909">
        <w:rPr>
          <w:bCs/>
        </w:rPr>
        <w:t xml:space="preserve">. </w:t>
      </w:r>
      <w:hyperlink r:id="rId9" w:history="1">
        <w:r w:rsidRPr="00073909">
          <w:rPr>
            <w:rStyle w:val="Hyperlink"/>
          </w:rPr>
          <w:t>http://www.sciencepub.net/researcher</w:t>
        </w:r>
      </w:hyperlink>
      <w:r w:rsidRPr="00073909">
        <w:rPr>
          <w:bCs/>
        </w:rPr>
        <w:t>.</w:t>
      </w:r>
      <w:r w:rsidRPr="00073909">
        <w:rPr>
          <w:rFonts w:hint="eastAsia"/>
          <w:bCs/>
        </w:rPr>
        <w:t xml:space="preserve"> </w:t>
      </w:r>
      <w:r>
        <w:rPr>
          <w:rFonts w:eastAsiaTheme="minorEastAsia" w:hint="eastAsia"/>
          <w:bCs/>
          <w:lang w:eastAsia="zh-CN"/>
        </w:rPr>
        <w:t>4</w:t>
      </w:r>
      <w:r w:rsidRPr="00073909">
        <w:rPr>
          <w:rFonts w:hint="eastAsia"/>
          <w:bCs/>
        </w:rPr>
        <w:t xml:space="preserve">. </w:t>
      </w:r>
      <w:r w:rsidRPr="00073909">
        <w:rPr>
          <w:color w:val="000000"/>
          <w:shd w:val="clear" w:color="auto" w:fill="FFFFFF"/>
        </w:rPr>
        <w:t>doi:</w:t>
      </w:r>
      <w:hyperlink r:id="rId10" w:history="1">
        <w:r w:rsidRPr="00073909">
          <w:rPr>
            <w:rStyle w:val="Hyperlink"/>
            <w:shd w:val="clear" w:color="auto" w:fill="FFFFFF"/>
          </w:rPr>
          <w:t>10.7537/mars</w:t>
        </w:r>
        <w:r w:rsidRPr="00073909">
          <w:rPr>
            <w:rStyle w:val="Hyperlink"/>
            <w:rFonts w:hint="eastAsia"/>
            <w:shd w:val="clear" w:color="auto" w:fill="FFFFFF"/>
          </w:rPr>
          <w:t>r</w:t>
        </w:r>
        <w:r w:rsidRPr="00073909">
          <w:rPr>
            <w:rStyle w:val="Hyperlink"/>
            <w:shd w:val="clear" w:color="auto" w:fill="FFFFFF"/>
          </w:rPr>
          <w:t>sj</w:t>
        </w:r>
        <w:r w:rsidRPr="00073909">
          <w:rPr>
            <w:rStyle w:val="Hyperlink"/>
            <w:rFonts w:hint="eastAsia"/>
            <w:shd w:val="clear" w:color="auto" w:fill="FFFFFF"/>
          </w:rPr>
          <w:t>090117.</w:t>
        </w:r>
        <w:r w:rsidRPr="00073909">
          <w:rPr>
            <w:rStyle w:val="Hyperlink"/>
            <w:shd w:val="clear" w:color="auto" w:fill="FFFFFF"/>
          </w:rPr>
          <w:t>0</w:t>
        </w:r>
        <w:r>
          <w:rPr>
            <w:rStyle w:val="Hyperlink"/>
            <w:rFonts w:eastAsiaTheme="minorEastAsia" w:hint="eastAsia"/>
            <w:shd w:val="clear" w:color="auto" w:fill="FFFFFF"/>
            <w:lang w:eastAsia="zh-CN"/>
          </w:rPr>
          <w:t>4</w:t>
        </w:r>
      </w:hyperlink>
      <w:r w:rsidRPr="00073909">
        <w:rPr>
          <w:color w:val="000000"/>
          <w:shd w:val="clear" w:color="auto" w:fill="FFFFFF"/>
        </w:rPr>
        <w:t>.</w:t>
      </w:r>
    </w:p>
    <w:p w:rsidR="00D333BC" w:rsidRPr="00073909" w:rsidRDefault="00D333BC" w:rsidP="00073909">
      <w:pPr>
        <w:snapToGrid w:val="0"/>
        <w:jc w:val="both"/>
        <w:rPr>
          <w:b/>
          <w:bCs/>
          <w:lang w:bidi="ar-EG"/>
        </w:rPr>
      </w:pPr>
    </w:p>
    <w:p w:rsidR="00914C2F" w:rsidRPr="00073909" w:rsidRDefault="00D333BC" w:rsidP="00073909">
      <w:pPr>
        <w:shd w:val="clear" w:color="auto" w:fill="FFFFFF"/>
        <w:snapToGrid w:val="0"/>
        <w:jc w:val="both"/>
      </w:pPr>
      <w:bookmarkStart w:id="0" w:name="_GoBack"/>
      <w:bookmarkEnd w:id="0"/>
      <w:r w:rsidRPr="00073909">
        <w:rPr>
          <w:b/>
          <w:bCs/>
        </w:rPr>
        <w:t>Key Words</w:t>
      </w:r>
      <w:r w:rsidR="00073909" w:rsidRPr="00073909">
        <w:rPr>
          <w:b/>
          <w:bCs/>
        </w:rPr>
        <w:t>:</w:t>
      </w:r>
      <w:r w:rsidR="00073909">
        <w:rPr>
          <w:b/>
          <w:bCs/>
        </w:rPr>
        <w:t xml:space="preserve"> </w:t>
      </w:r>
      <w:r w:rsidR="00073909" w:rsidRPr="00073909">
        <w:t>M</w:t>
      </w:r>
      <w:r w:rsidR="00914C2F" w:rsidRPr="00073909">
        <w:t>inimally invasive, pediatric urolithiasis,</w:t>
      </w:r>
      <w:r w:rsidR="00EA2363" w:rsidRPr="00073909">
        <w:rPr>
          <w:rFonts w:eastAsiaTheme="minorEastAsia"/>
        </w:rPr>
        <w:t xml:space="preserve"> Guy’s stone </w:t>
      </w:r>
      <w:r w:rsidR="00B001FE" w:rsidRPr="00073909">
        <w:rPr>
          <w:rFonts w:eastAsiaTheme="minorEastAsia"/>
        </w:rPr>
        <w:t>score,</w:t>
      </w:r>
      <w:r w:rsidR="00914C2F" w:rsidRPr="00073909">
        <w:t xml:space="preserve"> PCNL.</w:t>
      </w:r>
    </w:p>
    <w:p w:rsidR="00073909" w:rsidRDefault="00073909" w:rsidP="00073909">
      <w:pPr>
        <w:tabs>
          <w:tab w:val="left" w:pos="3440"/>
        </w:tabs>
        <w:snapToGrid w:val="0"/>
        <w:jc w:val="both"/>
        <w:rPr>
          <w:b/>
          <w:bCs/>
        </w:rPr>
      </w:pPr>
    </w:p>
    <w:p w:rsidR="00073909" w:rsidRPr="00073909" w:rsidRDefault="00073909" w:rsidP="00073909">
      <w:pPr>
        <w:tabs>
          <w:tab w:val="left" w:pos="3440"/>
        </w:tabs>
        <w:snapToGrid w:val="0"/>
        <w:jc w:val="both"/>
        <w:rPr>
          <w:b/>
          <w:bCs/>
        </w:rPr>
        <w:sectPr w:rsidR="00073909" w:rsidRPr="00073909" w:rsidSect="004364A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27"/>
          <w:cols w:space="720"/>
          <w:docGrid w:linePitch="360"/>
        </w:sectPr>
      </w:pPr>
    </w:p>
    <w:p w:rsidR="00941F53" w:rsidRPr="00073909" w:rsidRDefault="00D333BC" w:rsidP="00073909">
      <w:pPr>
        <w:tabs>
          <w:tab w:val="left" w:pos="3440"/>
        </w:tabs>
        <w:snapToGrid w:val="0"/>
        <w:jc w:val="both"/>
        <w:rPr>
          <w:b/>
          <w:bCs/>
        </w:rPr>
      </w:pPr>
      <w:r w:rsidRPr="00073909">
        <w:rPr>
          <w:b/>
          <w:bCs/>
        </w:rPr>
        <w:lastRenderedPageBreak/>
        <w:t xml:space="preserve">1. </w:t>
      </w:r>
      <w:r w:rsidR="00941F53" w:rsidRPr="00073909">
        <w:rPr>
          <w:b/>
          <w:bCs/>
        </w:rPr>
        <w:t>Introduction</w:t>
      </w:r>
    </w:p>
    <w:p w:rsidR="00395219" w:rsidRPr="00073909" w:rsidRDefault="00941F53" w:rsidP="00073909">
      <w:pPr>
        <w:snapToGrid w:val="0"/>
        <w:ind w:firstLine="425"/>
        <w:jc w:val="both"/>
      </w:pPr>
      <w:r w:rsidRPr="00073909">
        <w:t xml:space="preserve">Pediatric urolithiasis poses a technical challenge to the urologist. </w:t>
      </w:r>
      <w:r w:rsidR="00830D3B" w:rsidRPr="00073909">
        <w:t>Percutaneous</w:t>
      </w:r>
      <w:r w:rsidRPr="00073909">
        <w:t xml:space="preserve">nephrolithotomy (PCNL) is an established mode of treatment for large renal calculi. </w:t>
      </w:r>
      <w:r w:rsidR="00830D3B" w:rsidRPr="00073909">
        <w:t>The incidence</w:t>
      </w:r>
      <w:r w:rsidRPr="00073909">
        <w:t xml:space="preserve"> of urolithiasis in </w:t>
      </w:r>
      <w:r w:rsidR="00830D3B" w:rsidRPr="00073909">
        <w:t>the population</w:t>
      </w:r>
      <w:r w:rsidRPr="00073909">
        <w:t xml:space="preserve"> is </w:t>
      </w:r>
      <w:r w:rsidR="00CD76CF" w:rsidRPr="00073909">
        <w:t>12</w:t>
      </w:r>
      <w:r w:rsidRPr="00073909">
        <w:t xml:space="preserve">% and </w:t>
      </w:r>
      <w:r w:rsidR="00B001FE" w:rsidRPr="00073909">
        <w:t>pediatric</w:t>
      </w:r>
      <w:r w:rsidRPr="00073909">
        <w:t xml:space="preserve">urolithiasis comprises nearly </w:t>
      </w:r>
      <w:r w:rsidR="003C0EB4" w:rsidRPr="00073909">
        <w:t>2-3</w:t>
      </w:r>
      <w:r w:rsidRPr="00073909">
        <w:t>% of them</w:t>
      </w:r>
      <w:r w:rsidR="00073909" w:rsidRPr="00073909">
        <w:t>.</w:t>
      </w:r>
      <w:r w:rsidR="00073909">
        <w:t xml:space="preserve"> </w:t>
      </w:r>
      <w:r w:rsidR="00073909" w:rsidRPr="00073909">
        <w:t>P</w:t>
      </w:r>
      <w:r w:rsidR="00FB4CA7" w:rsidRPr="00073909">
        <w:t xml:space="preserve">CNL was first identified in 1976 and since then, efforts have been built to establish the process safer and more effective </w:t>
      </w:r>
      <w:r w:rsidR="00526831" w:rsidRPr="00073909">
        <w:rPr>
          <w:b/>
          <w:bCs/>
        </w:rPr>
        <w:t>[</w:t>
      </w:r>
      <w:r w:rsidR="00FB4CA7" w:rsidRPr="00073909">
        <w:rPr>
          <w:b/>
          <w:bCs/>
        </w:rPr>
        <w:t>1</w:t>
      </w:r>
      <w:r w:rsidR="00526831" w:rsidRPr="00073909">
        <w:rPr>
          <w:b/>
          <w:bCs/>
        </w:rPr>
        <w:t>]</w:t>
      </w:r>
      <w:r w:rsidR="00FB4CA7" w:rsidRPr="00073909">
        <w:t>. PCNL will play an integral part</w:t>
      </w:r>
      <w:r w:rsidR="00FE61FA" w:rsidRPr="00073909">
        <w:t xml:space="preserve"> in managing renal stones</w:t>
      </w:r>
      <w:r w:rsidR="00073909" w:rsidRPr="00073909">
        <w:t>.</w:t>
      </w:r>
      <w:r w:rsidR="00073909">
        <w:t xml:space="preserve"> </w:t>
      </w:r>
      <w:r w:rsidR="00073909" w:rsidRPr="00073909">
        <w:t>M</w:t>
      </w:r>
      <w:r w:rsidR="00FB4CA7" w:rsidRPr="00073909">
        <w:t xml:space="preserve">orbidity and death rate of the disease and of the treatment itself, </w:t>
      </w:r>
      <w:r w:rsidR="00FE61FA" w:rsidRPr="00073909">
        <w:t>been reduced</w:t>
      </w:r>
      <w:r w:rsidR="00FB4CA7" w:rsidRPr="00073909">
        <w:t xml:space="preserve">. </w:t>
      </w:r>
      <w:r w:rsidR="00FE61FA" w:rsidRPr="00073909">
        <w:t>Although</w:t>
      </w:r>
      <w:r w:rsidR="00FB4CA7" w:rsidRPr="00073909">
        <w:t xml:space="preserve"> accepted as minimally invasive, it is an operation which still presents a </w:t>
      </w:r>
      <w:r w:rsidR="00F66E18" w:rsidRPr="00073909">
        <w:t>real</w:t>
      </w:r>
      <w:r w:rsidR="00FB4CA7" w:rsidRPr="00073909">
        <w:t xml:space="preserve"> danger of complications</w:t>
      </w:r>
      <w:r w:rsidR="00073909" w:rsidRPr="00073909">
        <w:t>.</w:t>
      </w:r>
      <w:r w:rsidR="00073909">
        <w:t xml:space="preserve"> </w:t>
      </w:r>
      <w:r w:rsidR="00073909" w:rsidRPr="00073909">
        <w:t>C</w:t>
      </w:r>
      <w:r w:rsidR="00FB4CA7" w:rsidRPr="00073909">
        <w:t>lavien system been qualified to grade these complications</w:t>
      </w:r>
      <w:r w:rsidR="00FB4CA7" w:rsidRPr="00073909">
        <w:rPr>
          <w:b/>
          <w:bCs/>
        </w:rPr>
        <w:t xml:space="preserve"> </w:t>
      </w:r>
      <w:r w:rsidR="00526831" w:rsidRPr="00073909">
        <w:rPr>
          <w:b/>
          <w:bCs/>
        </w:rPr>
        <w:t>[</w:t>
      </w:r>
      <w:r w:rsidR="00FB4CA7" w:rsidRPr="00073909">
        <w:rPr>
          <w:b/>
          <w:bCs/>
        </w:rPr>
        <w:t>2, 3</w:t>
      </w:r>
      <w:r w:rsidR="00526831" w:rsidRPr="00073909">
        <w:rPr>
          <w:b/>
          <w:bCs/>
        </w:rPr>
        <w:t>]</w:t>
      </w:r>
      <w:r w:rsidR="00FB4CA7" w:rsidRPr="00073909">
        <w:rPr>
          <w:b/>
          <w:bCs/>
        </w:rPr>
        <w:t>.</w:t>
      </w:r>
    </w:p>
    <w:p w:rsidR="00FA0CA0" w:rsidRPr="00073909" w:rsidRDefault="00395219" w:rsidP="00073909">
      <w:pPr>
        <w:pStyle w:val="NormalWeb"/>
        <w:snapToGrid w:val="0"/>
        <w:spacing w:before="0" w:beforeAutospacing="0" w:after="0" w:afterAutospacing="0"/>
        <w:ind w:firstLine="425"/>
        <w:jc w:val="both"/>
        <w:rPr>
          <w:color w:val="000000"/>
          <w:sz w:val="20"/>
          <w:szCs w:val="20"/>
        </w:rPr>
      </w:pPr>
      <w:r w:rsidRPr="00073909">
        <w:rPr>
          <w:sz w:val="20"/>
          <w:szCs w:val="20"/>
        </w:rPr>
        <w:t xml:space="preserve">With numerous previous studies, pre and perioperative factors such as stone </w:t>
      </w:r>
      <w:r w:rsidR="002A4DC1" w:rsidRPr="00073909">
        <w:rPr>
          <w:sz w:val="20"/>
          <w:szCs w:val="20"/>
        </w:rPr>
        <w:t>burden</w:t>
      </w:r>
      <w:r w:rsidR="00073909" w:rsidRPr="00073909">
        <w:rPr>
          <w:sz w:val="20"/>
          <w:szCs w:val="20"/>
        </w:rPr>
        <w:t>,</w:t>
      </w:r>
      <w:r w:rsidR="00073909">
        <w:rPr>
          <w:sz w:val="20"/>
          <w:szCs w:val="20"/>
        </w:rPr>
        <w:t xml:space="preserve"> </w:t>
      </w:r>
      <w:r w:rsidR="00073909" w:rsidRPr="00073909">
        <w:rPr>
          <w:sz w:val="20"/>
          <w:szCs w:val="20"/>
        </w:rPr>
        <w:t>c</w:t>
      </w:r>
      <w:r w:rsidRPr="00073909">
        <w:rPr>
          <w:sz w:val="20"/>
          <w:szCs w:val="20"/>
        </w:rPr>
        <w:t>onfiguration, percutaneous accessnumber and location</w:t>
      </w:r>
      <w:r w:rsidR="00073909" w:rsidRPr="00073909">
        <w:rPr>
          <w:sz w:val="20"/>
          <w:szCs w:val="20"/>
        </w:rPr>
        <w:t>.</w:t>
      </w:r>
      <w:r w:rsidR="00073909">
        <w:rPr>
          <w:sz w:val="20"/>
          <w:szCs w:val="20"/>
        </w:rPr>
        <w:t xml:space="preserve"> </w:t>
      </w:r>
      <w:r w:rsidR="00073909" w:rsidRPr="00073909">
        <w:rPr>
          <w:sz w:val="20"/>
          <w:szCs w:val="20"/>
        </w:rPr>
        <w:t>P</w:t>
      </w:r>
      <w:r w:rsidR="002A4DC1" w:rsidRPr="00073909">
        <w:rPr>
          <w:sz w:val="20"/>
          <w:szCs w:val="20"/>
        </w:rPr>
        <w:t>uncture</w:t>
      </w:r>
      <w:r w:rsidRPr="00073909">
        <w:rPr>
          <w:sz w:val="20"/>
          <w:szCs w:val="20"/>
        </w:rPr>
        <w:t xml:space="preserve"> performed by </w:t>
      </w:r>
      <w:r w:rsidR="00F52432" w:rsidRPr="00073909">
        <w:rPr>
          <w:sz w:val="20"/>
          <w:szCs w:val="20"/>
        </w:rPr>
        <w:t>a radiologist</w:t>
      </w:r>
      <w:r w:rsidR="00CA075C" w:rsidRPr="00073909">
        <w:rPr>
          <w:sz w:val="20"/>
          <w:szCs w:val="20"/>
        </w:rPr>
        <w:t xml:space="preserve"> or urologist</w:t>
      </w:r>
      <w:r w:rsidR="00073909" w:rsidRPr="00073909">
        <w:rPr>
          <w:sz w:val="20"/>
          <w:szCs w:val="20"/>
        </w:rPr>
        <w:t>.</w:t>
      </w:r>
      <w:r w:rsidR="00073909">
        <w:rPr>
          <w:sz w:val="20"/>
          <w:szCs w:val="20"/>
        </w:rPr>
        <w:t xml:space="preserve"> </w:t>
      </w:r>
      <w:r w:rsidR="00073909" w:rsidRPr="00073909">
        <w:rPr>
          <w:sz w:val="20"/>
          <w:szCs w:val="20"/>
        </w:rPr>
        <w:t>H</w:t>
      </w:r>
      <w:r w:rsidR="00CA075C" w:rsidRPr="00073909">
        <w:rPr>
          <w:sz w:val="20"/>
          <w:szCs w:val="20"/>
        </w:rPr>
        <w:t>ydronephrosis</w:t>
      </w:r>
      <w:r w:rsidRPr="00073909">
        <w:rPr>
          <w:sz w:val="20"/>
          <w:szCs w:val="20"/>
        </w:rPr>
        <w:t xml:space="preserve"> been investigated as</w:t>
      </w:r>
      <w:r w:rsidR="00CA075C" w:rsidRPr="00073909">
        <w:rPr>
          <w:sz w:val="20"/>
          <w:szCs w:val="20"/>
        </w:rPr>
        <w:t>predictor cause for</w:t>
      </w:r>
      <w:r w:rsidRPr="00073909">
        <w:rPr>
          <w:sz w:val="20"/>
          <w:szCs w:val="20"/>
        </w:rPr>
        <w:t xml:space="preserve"> success rates and complications </w:t>
      </w:r>
      <w:r w:rsidR="006C55E6" w:rsidRPr="00073909">
        <w:rPr>
          <w:b/>
          <w:bCs/>
          <w:sz w:val="20"/>
          <w:szCs w:val="20"/>
        </w:rPr>
        <w:t>(</w:t>
      </w:r>
      <w:r w:rsidR="00CE36CF" w:rsidRPr="00073909">
        <w:rPr>
          <w:b/>
          <w:bCs/>
          <w:sz w:val="20"/>
          <w:szCs w:val="20"/>
        </w:rPr>
        <w:t>4</w:t>
      </w:r>
      <w:r w:rsidRPr="00073909">
        <w:rPr>
          <w:b/>
          <w:bCs/>
          <w:sz w:val="20"/>
          <w:szCs w:val="20"/>
        </w:rPr>
        <w:t>-</w:t>
      </w:r>
      <w:r w:rsidR="00CE36CF" w:rsidRPr="00073909">
        <w:rPr>
          <w:b/>
          <w:bCs/>
          <w:sz w:val="20"/>
          <w:szCs w:val="20"/>
        </w:rPr>
        <w:t>5</w:t>
      </w:r>
      <w:r w:rsidR="006C55E6" w:rsidRPr="00073909">
        <w:rPr>
          <w:b/>
          <w:bCs/>
          <w:sz w:val="20"/>
          <w:szCs w:val="20"/>
        </w:rPr>
        <w:t>)</w:t>
      </w:r>
      <w:r w:rsidR="00073909" w:rsidRPr="00073909">
        <w:rPr>
          <w:b/>
          <w:bCs/>
          <w:sz w:val="20"/>
          <w:szCs w:val="20"/>
        </w:rPr>
        <w:t>.</w:t>
      </w:r>
      <w:r w:rsidR="00073909">
        <w:rPr>
          <w:b/>
          <w:bCs/>
          <w:sz w:val="20"/>
          <w:szCs w:val="20"/>
        </w:rPr>
        <w:t xml:space="preserve"> </w:t>
      </w:r>
      <w:r w:rsidR="00073909" w:rsidRPr="00073909">
        <w:rPr>
          <w:sz w:val="20"/>
          <w:szCs w:val="20"/>
        </w:rPr>
        <w:t>E</w:t>
      </w:r>
      <w:r w:rsidR="00FB4CA7" w:rsidRPr="00073909">
        <w:rPr>
          <w:sz w:val="20"/>
          <w:szCs w:val="20"/>
        </w:rPr>
        <w:t>fforts to identify the associated variables showed variations among the results which has made it hard to separate the patients so that the stone free rate (SFR) or complications anticipated</w:t>
      </w:r>
      <w:r w:rsidR="00073909" w:rsidRPr="00073909">
        <w:rPr>
          <w:sz w:val="20"/>
          <w:szCs w:val="20"/>
        </w:rPr>
        <w:t>.</w:t>
      </w:r>
      <w:r w:rsidR="00073909">
        <w:rPr>
          <w:sz w:val="20"/>
          <w:szCs w:val="20"/>
        </w:rPr>
        <w:t xml:space="preserve"> </w:t>
      </w:r>
      <w:r w:rsidR="00073909" w:rsidRPr="00073909">
        <w:rPr>
          <w:sz w:val="20"/>
          <w:szCs w:val="20"/>
        </w:rPr>
        <w:t>D</w:t>
      </w:r>
      <w:r w:rsidR="00FB4CA7" w:rsidRPr="00073909">
        <w:rPr>
          <w:sz w:val="20"/>
          <w:szCs w:val="20"/>
        </w:rPr>
        <w:t>irecting for a fast, simple and reproducible method for the outcomes of PCNL</w:t>
      </w:r>
      <w:r w:rsidR="00073909" w:rsidRPr="00073909">
        <w:rPr>
          <w:sz w:val="20"/>
          <w:szCs w:val="20"/>
        </w:rPr>
        <w:t>.</w:t>
      </w:r>
      <w:r w:rsidR="00073909">
        <w:rPr>
          <w:sz w:val="20"/>
          <w:szCs w:val="20"/>
        </w:rPr>
        <w:t xml:space="preserve"> </w:t>
      </w:r>
      <w:r w:rsidR="00073909" w:rsidRPr="00073909">
        <w:rPr>
          <w:sz w:val="20"/>
          <w:szCs w:val="20"/>
        </w:rPr>
        <w:t>T</w:t>
      </w:r>
      <w:r w:rsidR="002B3F42" w:rsidRPr="00073909">
        <w:rPr>
          <w:sz w:val="20"/>
          <w:szCs w:val="20"/>
        </w:rPr>
        <w:t>he</w:t>
      </w:r>
      <w:r w:rsidRPr="00073909">
        <w:rPr>
          <w:sz w:val="20"/>
          <w:szCs w:val="20"/>
        </w:rPr>
        <w:t xml:space="preserve"> ‘Guy’s stone </w:t>
      </w:r>
      <w:r w:rsidR="002B3F42" w:rsidRPr="00073909">
        <w:rPr>
          <w:sz w:val="20"/>
          <w:szCs w:val="20"/>
        </w:rPr>
        <w:t>score 'has</w:t>
      </w:r>
      <w:r w:rsidRPr="00073909">
        <w:rPr>
          <w:sz w:val="20"/>
          <w:szCs w:val="20"/>
        </w:rPr>
        <w:t xml:space="preserve"> been </w:t>
      </w:r>
      <w:r w:rsidR="002F2FCA" w:rsidRPr="00073909">
        <w:rPr>
          <w:sz w:val="20"/>
          <w:szCs w:val="20"/>
        </w:rPr>
        <w:t>discussed</w:t>
      </w:r>
      <w:r w:rsidRPr="00073909">
        <w:rPr>
          <w:sz w:val="20"/>
          <w:szCs w:val="20"/>
        </w:rPr>
        <w:t xml:space="preserve"> by </w:t>
      </w:r>
      <w:r w:rsidRPr="00073909">
        <w:rPr>
          <w:b/>
          <w:bCs/>
          <w:sz w:val="20"/>
          <w:szCs w:val="20"/>
        </w:rPr>
        <w:t>Thomas et al</w:t>
      </w:r>
      <w:r w:rsidR="00526831" w:rsidRPr="00073909">
        <w:rPr>
          <w:b/>
          <w:bCs/>
          <w:sz w:val="20"/>
          <w:szCs w:val="20"/>
        </w:rPr>
        <w:t xml:space="preserve">. </w:t>
      </w:r>
      <w:r w:rsidR="00526831" w:rsidRPr="00073909">
        <w:rPr>
          <w:sz w:val="20"/>
          <w:szCs w:val="20"/>
        </w:rPr>
        <w:t>[</w:t>
      </w:r>
      <w:r w:rsidR="006C55E6" w:rsidRPr="00073909">
        <w:rPr>
          <w:b/>
          <w:bCs/>
          <w:sz w:val="20"/>
          <w:szCs w:val="20"/>
        </w:rPr>
        <w:t>6</w:t>
      </w:r>
      <w:r w:rsidR="00526831" w:rsidRPr="00073909">
        <w:rPr>
          <w:sz w:val="20"/>
          <w:szCs w:val="20"/>
        </w:rPr>
        <w:t>]</w:t>
      </w:r>
      <w:r w:rsidR="006C55E6" w:rsidRPr="00073909">
        <w:rPr>
          <w:sz w:val="20"/>
          <w:szCs w:val="20"/>
        </w:rPr>
        <w:t>.</w:t>
      </w:r>
      <w:r w:rsidRPr="00073909">
        <w:rPr>
          <w:sz w:val="20"/>
          <w:szCs w:val="20"/>
        </w:rPr>
        <w:t xml:space="preserve"> They have found thatthe score </w:t>
      </w:r>
      <w:r w:rsidR="002F2FCA" w:rsidRPr="00073909">
        <w:rPr>
          <w:sz w:val="20"/>
          <w:szCs w:val="20"/>
        </w:rPr>
        <w:t>associated</w:t>
      </w:r>
      <w:r w:rsidRPr="00073909">
        <w:rPr>
          <w:sz w:val="20"/>
          <w:szCs w:val="20"/>
        </w:rPr>
        <w:t xml:space="preserve"> with stone free </w:t>
      </w:r>
      <w:r w:rsidR="00724E2F" w:rsidRPr="00073909">
        <w:rPr>
          <w:sz w:val="20"/>
          <w:szCs w:val="20"/>
        </w:rPr>
        <w:t>rates, but</w:t>
      </w:r>
      <w:r w:rsidRPr="00073909">
        <w:rPr>
          <w:sz w:val="20"/>
          <w:szCs w:val="20"/>
        </w:rPr>
        <w:t xml:space="preserve"> not </w:t>
      </w:r>
      <w:r w:rsidR="002F2FCA" w:rsidRPr="00073909">
        <w:rPr>
          <w:sz w:val="20"/>
          <w:szCs w:val="20"/>
        </w:rPr>
        <w:t>predict</w:t>
      </w:r>
      <w:r w:rsidRPr="00073909">
        <w:rPr>
          <w:sz w:val="20"/>
          <w:szCs w:val="20"/>
        </w:rPr>
        <w:t xml:space="preserve"> complications. </w:t>
      </w:r>
      <w:r w:rsidR="00FA0CA0" w:rsidRPr="00073909">
        <w:rPr>
          <w:rStyle w:val="mceitemhidden"/>
          <w:rFonts w:eastAsiaTheme="majorEastAsia"/>
          <w:color w:val="000000"/>
          <w:sz w:val="20"/>
          <w:szCs w:val="20"/>
        </w:rPr>
        <w:t>The grading system mainly designed according to</w:t>
      </w:r>
      <w:r w:rsidR="00FA0CA0" w:rsidRPr="00073909">
        <w:rPr>
          <w:color w:val="000000"/>
          <w:sz w:val="20"/>
          <w:szCs w:val="20"/>
        </w:rPr>
        <w:t xml:space="preserve"> the number of stones, stone, site and whether the renal anatomy is favorable or unfavorable.</w:t>
      </w:r>
    </w:p>
    <w:p w:rsidR="00F26F80" w:rsidRPr="00073909" w:rsidRDefault="00FB4CA7" w:rsidP="00073909">
      <w:pPr>
        <w:tabs>
          <w:tab w:val="left" w:pos="540"/>
        </w:tabs>
        <w:snapToGrid w:val="0"/>
        <w:ind w:firstLine="425"/>
        <w:jc w:val="both"/>
      </w:pPr>
      <w:r w:rsidRPr="00073909">
        <w:lastRenderedPageBreak/>
        <w:t>In this grading system, cal</w:t>
      </w:r>
      <w:r w:rsidR="00240938" w:rsidRPr="00073909">
        <w:t xml:space="preserve">yceal diverticulum stones, </w:t>
      </w:r>
      <w:r w:rsidRPr="00073909">
        <w:t xml:space="preserve">and any </w:t>
      </w:r>
      <w:r w:rsidR="00240938" w:rsidRPr="00073909">
        <w:t>stones</w:t>
      </w:r>
      <w:r w:rsidR="00BD7E02" w:rsidRPr="00073909">
        <w:t>in</w:t>
      </w:r>
      <w:r w:rsidR="00073909">
        <w:t xml:space="preserve"> </w:t>
      </w:r>
      <w:r w:rsidRPr="00073909">
        <w:t>patient</w:t>
      </w:r>
      <w:r w:rsidR="00BD7E02" w:rsidRPr="00073909">
        <w:t>had</w:t>
      </w:r>
      <w:r w:rsidRPr="00073909">
        <w:t xml:space="preserve"> a </w:t>
      </w:r>
      <w:r w:rsidR="00240938" w:rsidRPr="00073909">
        <w:t>spine deformity</w:t>
      </w:r>
      <w:r w:rsidRPr="00073909">
        <w:t xml:space="preserve"> or spinal injury are the exceptional circumstances</w:t>
      </w:r>
      <w:r w:rsidR="00526831" w:rsidRPr="00073909">
        <w:t xml:space="preserve"> </w:t>
      </w:r>
      <w:r w:rsidR="00136A4D" w:rsidRPr="00073909">
        <w:rPr>
          <w:b/>
          <w:bCs/>
        </w:rPr>
        <w:t>(Table</w:t>
      </w:r>
      <w:r w:rsidR="00E777A5" w:rsidRPr="00073909">
        <w:rPr>
          <w:b/>
          <w:bCs/>
        </w:rPr>
        <w:t>1</w:t>
      </w:r>
      <w:r w:rsidR="00395219" w:rsidRPr="00073909">
        <w:t>).</w:t>
      </w:r>
    </w:p>
    <w:p w:rsidR="00941F53" w:rsidRPr="00073909" w:rsidRDefault="00FB4CA7" w:rsidP="00073909">
      <w:pPr>
        <w:tabs>
          <w:tab w:val="left" w:pos="540"/>
        </w:tabs>
        <w:snapToGrid w:val="0"/>
        <w:ind w:firstLine="425"/>
        <w:jc w:val="both"/>
      </w:pPr>
      <w:r w:rsidRPr="00073909">
        <w:t>Pedia</w:t>
      </w:r>
      <w:r w:rsidR="00BD7E02" w:rsidRPr="00073909">
        <w:t>tric urolithiasis is knownassociated</w:t>
      </w:r>
      <w:r w:rsidRPr="00073909">
        <w:t xml:space="preserve"> with urinary infection, anatomical and metabolic abnormalities</w:t>
      </w:r>
      <w:r w:rsidR="00073909" w:rsidRPr="00073909">
        <w:t>.</w:t>
      </w:r>
      <w:r w:rsidR="00073909">
        <w:t xml:space="preserve"> </w:t>
      </w:r>
      <w:r w:rsidR="00073909" w:rsidRPr="00073909">
        <w:t>T</w:t>
      </w:r>
      <w:r w:rsidRPr="00073909">
        <w:t xml:space="preserve">he </w:t>
      </w:r>
      <w:r w:rsidR="00240938" w:rsidRPr="00073909">
        <w:t>plan</w:t>
      </w:r>
      <w:r w:rsidRPr="00073909">
        <w:t xml:space="preserve"> of treatment of renal calculi in children is complete stone clearance, eradication of urinary infection and correction of underlying metabolic or anatomical abnormalities </w:t>
      </w:r>
      <w:r w:rsidR="00526831" w:rsidRPr="00073909">
        <w:rPr>
          <w:b/>
          <w:bCs/>
        </w:rPr>
        <w:t>[</w:t>
      </w:r>
      <w:r w:rsidRPr="00073909">
        <w:rPr>
          <w:b/>
          <w:bCs/>
        </w:rPr>
        <w:t>7</w:t>
      </w:r>
      <w:r w:rsidR="00526831" w:rsidRPr="00073909">
        <w:rPr>
          <w:b/>
          <w:bCs/>
        </w:rPr>
        <w:t>]</w:t>
      </w:r>
      <w:r w:rsidRPr="00073909">
        <w:t>.</w:t>
      </w:r>
    </w:p>
    <w:p w:rsidR="00941F53" w:rsidRPr="00073909" w:rsidRDefault="00FB4CA7" w:rsidP="00073909">
      <w:pPr>
        <w:snapToGrid w:val="0"/>
        <w:ind w:firstLine="425"/>
        <w:jc w:val="both"/>
        <w:rPr>
          <w:b/>
          <w:bCs/>
        </w:rPr>
      </w:pPr>
      <w:r w:rsidRPr="00073909">
        <w:t>Although extracorporeal shoc</w:t>
      </w:r>
      <w:r w:rsidR="00294D5D" w:rsidRPr="00073909">
        <w:t>k-wave lithotripsy (ESWL)</w:t>
      </w:r>
      <w:r w:rsidRPr="00073909">
        <w:t xml:space="preserve"> used to fragment and clear most pediatric renal calculi, PCNL is increasingly important for the patients who </w:t>
      </w:r>
      <w:r w:rsidR="00240938" w:rsidRPr="00073909">
        <w:t>shock-wave lithotripsy ineffective to fragment and clear the stones</w:t>
      </w:r>
      <w:r w:rsidR="00526831" w:rsidRPr="00073909">
        <w:t xml:space="preserve"> </w:t>
      </w:r>
      <w:r w:rsidR="00526831" w:rsidRPr="00073909">
        <w:rPr>
          <w:b/>
          <w:bCs/>
        </w:rPr>
        <w:t>[</w:t>
      </w:r>
      <w:r w:rsidRPr="00073909">
        <w:rPr>
          <w:b/>
          <w:bCs/>
        </w:rPr>
        <w:t>8</w:t>
      </w:r>
      <w:r w:rsidR="00526831" w:rsidRPr="00073909">
        <w:rPr>
          <w:b/>
          <w:bCs/>
        </w:rPr>
        <w:t xml:space="preserve">, </w:t>
      </w:r>
      <w:r w:rsidRPr="00073909">
        <w:rPr>
          <w:b/>
          <w:bCs/>
        </w:rPr>
        <w:t>9</w:t>
      </w:r>
      <w:r w:rsidR="00526831" w:rsidRPr="00073909">
        <w:rPr>
          <w:b/>
          <w:bCs/>
        </w:rPr>
        <w:t>]</w:t>
      </w:r>
      <w:r w:rsidRPr="00073909">
        <w:rPr>
          <w:b/>
          <w:bCs/>
        </w:rPr>
        <w:t>.</w:t>
      </w:r>
    </w:p>
    <w:p w:rsidR="00941F53" w:rsidRPr="00073909" w:rsidRDefault="00FB4CA7" w:rsidP="00073909">
      <w:pPr>
        <w:tabs>
          <w:tab w:val="left" w:pos="540"/>
        </w:tabs>
        <w:snapToGrid w:val="0"/>
        <w:ind w:firstLine="425"/>
        <w:jc w:val="both"/>
      </w:pPr>
      <w:r w:rsidRPr="00073909">
        <w:t xml:space="preserve">Woodside and associates reported first case series of pediatric PCNL in </w:t>
      </w:r>
      <w:r w:rsidR="007C35B1" w:rsidRPr="00073909">
        <w:t>1985 taking 100% stone free andin</w:t>
      </w:r>
      <w:r w:rsidRPr="00073909">
        <w:t xml:space="preserve">significant complications </w:t>
      </w:r>
      <w:r w:rsidR="00526831" w:rsidRPr="00073909">
        <w:rPr>
          <w:b/>
          <w:bCs/>
        </w:rPr>
        <w:t>[</w:t>
      </w:r>
      <w:r w:rsidRPr="00073909">
        <w:rPr>
          <w:b/>
          <w:bCs/>
        </w:rPr>
        <w:t>10</w:t>
      </w:r>
      <w:r w:rsidR="00526831" w:rsidRPr="00073909">
        <w:rPr>
          <w:b/>
          <w:bCs/>
        </w:rPr>
        <w:t>]</w:t>
      </w:r>
      <w:r w:rsidRPr="00073909">
        <w:rPr>
          <w:b/>
          <w:bCs/>
        </w:rPr>
        <w:t>.</w:t>
      </w:r>
    </w:p>
    <w:p w:rsidR="00941F53" w:rsidRPr="00073909" w:rsidRDefault="008B2321" w:rsidP="00073909">
      <w:pPr>
        <w:snapToGrid w:val="0"/>
        <w:ind w:firstLine="425"/>
        <w:jc w:val="both"/>
      </w:pPr>
      <w:r w:rsidRPr="00073909">
        <w:t>If</w:t>
      </w:r>
      <w:r w:rsidR="00AE5BBA" w:rsidRPr="00073909">
        <w:t xml:space="preserve"> an</w:t>
      </w:r>
      <w:r w:rsidR="00FB4CA7" w:rsidRPr="00073909">
        <w:t>anatomical abnormality</w:t>
      </w:r>
      <w:r w:rsidRPr="00073909">
        <w:t xml:space="preserve"> is absent</w:t>
      </w:r>
      <w:r w:rsidR="00FB4CA7" w:rsidRPr="00073909">
        <w:t xml:space="preserve"> and renal calculi more</w:t>
      </w:r>
      <w:r w:rsidRPr="00073909">
        <w:t xml:space="preserve"> than 2 cm in diameter sh</w:t>
      </w:r>
      <w:r w:rsidR="00FB4CA7" w:rsidRPr="00073909">
        <w:t xml:space="preserve"> treated by PCNL and re</w:t>
      </w:r>
      <w:r w:rsidRPr="00073909">
        <w:t>nal calculi less than 1.5 cm</w:t>
      </w:r>
      <w:r w:rsidR="00FB4CA7" w:rsidRPr="00073909">
        <w:t xml:space="preserve"> treated with E</w:t>
      </w:r>
      <w:r w:rsidRPr="00073909">
        <w:t>SWL (EAU Recommendations</w:t>
      </w:r>
      <w:r w:rsidR="00FB4CA7" w:rsidRPr="00073909">
        <w:t>).</w:t>
      </w:r>
      <w:r w:rsidR="00526831" w:rsidRPr="00073909">
        <w:t xml:space="preserve"> </w:t>
      </w:r>
      <w:r w:rsidR="00941F53" w:rsidRPr="00073909">
        <w:t xml:space="preserve">PCNL is less invasive procedure and the clearance rate is in the range of 71-78% </w:t>
      </w:r>
      <w:r w:rsidR="00526831" w:rsidRPr="00073909">
        <w:rPr>
          <w:b/>
          <w:bCs/>
        </w:rPr>
        <w:t>[</w:t>
      </w:r>
      <w:r w:rsidR="00CE36CF" w:rsidRPr="00073909">
        <w:rPr>
          <w:b/>
          <w:bCs/>
        </w:rPr>
        <w:t>11</w:t>
      </w:r>
      <w:r w:rsidR="00526831" w:rsidRPr="00073909">
        <w:rPr>
          <w:b/>
          <w:bCs/>
        </w:rPr>
        <w:t xml:space="preserve">, </w:t>
      </w:r>
      <w:r w:rsidR="004F0519" w:rsidRPr="00073909">
        <w:rPr>
          <w:b/>
          <w:bCs/>
        </w:rPr>
        <w:t>12</w:t>
      </w:r>
      <w:r w:rsidR="00526831" w:rsidRPr="00073909">
        <w:rPr>
          <w:b/>
          <w:bCs/>
        </w:rPr>
        <w:t>]</w:t>
      </w:r>
      <w:r w:rsidR="00941F53" w:rsidRPr="00073909">
        <w:t>.</w:t>
      </w:r>
    </w:p>
    <w:p w:rsidR="00951AA4" w:rsidRPr="00073909" w:rsidRDefault="00FB4CA7" w:rsidP="00073909">
      <w:pPr>
        <w:pStyle w:val="Heading3"/>
        <w:tabs>
          <w:tab w:val="left" w:pos="2568"/>
        </w:tabs>
        <w:snapToGrid w:val="0"/>
        <w:spacing w:before="0" w:beforeAutospacing="0" w:after="0" w:afterAutospacing="0"/>
        <w:ind w:firstLine="425"/>
        <w:jc w:val="both"/>
        <w:rPr>
          <w:b w:val="0"/>
          <w:bCs w:val="0"/>
          <w:sz w:val="20"/>
          <w:szCs w:val="20"/>
        </w:rPr>
      </w:pPr>
      <w:r w:rsidRPr="00073909">
        <w:rPr>
          <w:b w:val="0"/>
          <w:bCs w:val="0"/>
          <w:sz w:val="20"/>
          <w:szCs w:val="20"/>
        </w:rPr>
        <w:t>The purpose of this study to measure the safety and efficacy of percutaneous</w:t>
      </w:r>
      <w:r w:rsidR="00073909">
        <w:rPr>
          <w:b w:val="0"/>
          <w:bCs w:val="0"/>
          <w:sz w:val="20"/>
          <w:szCs w:val="20"/>
        </w:rPr>
        <w:t xml:space="preserve"> </w:t>
      </w:r>
      <w:r w:rsidRPr="00073909">
        <w:rPr>
          <w:b w:val="0"/>
          <w:bCs w:val="0"/>
          <w:sz w:val="20"/>
          <w:szCs w:val="20"/>
        </w:rPr>
        <w:t>nephrolithotripsy in children.</w:t>
      </w:r>
    </w:p>
    <w:p w:rsidR="00D333BC" w:rsidRPr="00073909" w:rsidRDefault="00D333BC" w:rsidP="00073909">
      <w:pPr>
        <w:pStyle w:val="Heading3"/>
        <w:tabs>
          <w:tab w:val="left" w:pos="2568"/>
        </w:tabs>
        <w:snapToGrid w:val="0"/>
        <w:spacing w:before="0" w:beforeAutospacing="0" w:after="0" w:afterAutospacing="0"/>
        <w:jc w:val="both"/>
        <w:rPr>
          <w:sz w:val="20"/>
          <w:szCs w:val="20"/>
        </w:rPr>
      </w:pPr>
    </w:p>
    <w:p w:rsidR="00941F53" w:rsidRPr="00073909" w:rsidRDefault="00D333BC" w:rsidP="00073909">
      <w:pPr>
        <w:pStyle w:val="Heading3"/>
        <w:tabs>
          <w:tab w:val="left" w:pos="2568"/>
        </w:tabs>
        <w:snapToGrid w:val="0"/>
        <w:spacing w:before="0" w:beforeAutospacing="0" w:after="0" w:afterAutospacing="0"/>
        <w:jc w:val="both"/>
        <w:rPr>
          <w:sz w:val="20"/>
          <w:szCs w:val="20"/>
        </w:rPr>
      </w:pPr>
      <w:r w:rsidRPr="00073909">
        <w:rPr>
          <w:sz w:val="20"/>
          <w:szCs w:val="20"/>
        </w:rPr>
        <w:t>Patients and Methods:</w:t>
      </w:r>
    </w:p>
    <w:p w:rsidR="00DE5FE3" w:rsidRPr="00073909" w:rsidRDefault="00FB4CA7" w:rsidP="00073909">
      <w:pPr>
        <w:pStyle w:val="Default"/>
        <w:snapToGrid w:val="0"/>
        <w:ind w:firstLine="425"/>
        <w:jc w:val="both"/>
        <w:rPr>
          <w:rFonts w:ascii="Times New Roman" w:hAnsi="Times New Roman" w:cs="Times New Roman"/>
          <w:color w:val="auto"/>
          <w:sz w:val="20"/>
          <w:szCs w:val="20"/>
        </w:rPr>
      </w:pPr>
      <w:r w:rsidRPr="00073909">
        <w:rPr>
          <w:rFonts w:ascii="Times New Roman" w:hAnsi="Times New Roman" w:cs="Times New Roman"/>
          <w:color w:val="auto"/>
          <w:sz w:val="20"/>
          <w:szCs w:val="20"/>
        </w:rPr>
        <w:t xml:space="preserve">Prospective study (30 children been served from January 2014 to July 2015) and retrospective (50 children being done between January 2007 to </w:t>
      </w:r>
      <w:r w:rsidRPr="00073909">
        <w:rPr>
          <w:rFonts w:ascii="Times New Roman" w:hAnsi="Times New Roman" w:cs="Times New Roman"/>
          <w:color w:val="auto"/>
          <w:sz w:val="20"/>
          <w:szCs w:val="20"/>
        </w:rPr>
        <w:lastRenderedPageBreak/>
        <w:t>December 2013) taken at the Urology Department of Al-Hussein and Bab El-shaarya University Hospitals</w:t>
      </w:r>
      <w:r w:rsidR="00073909" w:rsidRPr="00073909">
        <w:rPr>
          <w:rFonts w:ascii="Times New Roman" w:hAnsi="Times New Roman" w:cs="Times New Roman"/>
          <w:color w:val="auto"/>
          <w:sz w:val="20"/>
          <w:szCs w:val="20"/>
        </w:rPr>
        <w:t>.</w:t>
      </w:r>
      <w:r w:rsidR="00073909">
        <w:rPr>
          <w:rFonts w:ascii="Times New Roman" w:hAnsi="Times New Roman" w:cs="Times New Roman"/>
          <w:color w:val="auto"/>
          <w:sz w:val="20"/>
          <w:szCs w:val="20"/>
        </w:rPr>
        <w:t xml:space="preserve"> </w:t>
      </w:r>
      <w:r w:rsidR="00073909" w:rsidRPr="00073909">
        <w:rPr>
          <w:rFonts w:ascii="Times New Roman" w:hAnsi="Times New Roman" w:cs="Times New Roman"/>
          <w:color w:val="auto"/>
          <w:sz w:val="20"/>
          <w:szCs w:val="20"/>
        </w:rPr>
        <w:t>T</w:t>
      </w:r>
      <w:r w:rsidRPr="00073909">
        <w:rPr>
          <w:rFonts w:ascii="Times New Roman" w:hAnsi="Times New Roman" w:cs="Times New Roman"/>
          <w:color w:val="auto"/>
          <w:sz w:val="20"/>
          <w:szCs w:val="20"/>
        </w:rPr>
        <w:t xml:space="preserve">o assess the safety and efficacy of PCNL in children </w:t>
      </w:r>
      <w:r w:rsidR="00AE5BBA" w:rsidRPr="00073909">
        <w:rPr>
          <w:rFonts w:ascii="Times New Roman" w:hAnsi="Times New Roman" w:cs="Times New Roman"/>
          <w:color w:val="auto"/>
          <w:sz w:val="20"/>
          <w:szCs w:val="20"/>
        </w:rPr>
        <w:t>below</w:t>
      </w:r>
      <w:r w:rsidRPr="00073909">
        <w:rPr>
          <w:rFonts w:ascii="Times New Roman" w:hAnsi="Times New Roman" w:cs="Times New Roman"/>
          <w:color w:val="auto"/>
          <w:sz w:val="20"/>
          <w:szCs w:val="20"/>
        </w:rPr>
        <w:t xml:space="preserve">18 years of age with renal </w:t>
      </w:r>
      <w:r w:rsidR="00AE5BBA" w:rsidRPr="00073909">
        <w:rPr>
          <w:rFonts w:ascii="Times New Roman" w:hAnsi="Times New Roman" w:cs="Times New Roman"/>
          <w:color w:val="auto"/>
          <w:sz w:val="20"/>
          <w:szCs w:val="20"/>
        </w:rPr>
        <w:t>calculi</w:t>
      </w:r>
      <w:r w:rsidR="00073909" w:rsidRPr="00073909">
        <w:rPr>
          <w:rFonts w:ascii="Times New Roman" w:hAnsi="Times New Roman" w:cs="Times New Roman"/>
          <w:color w:val="auto"/>
          <w:sz w:val="20"/>
          <w:szCs w:val="20"/>
        </w:rPr>
        <w:t>.</w:t>
      </w:r>
      <w:r w:rsidR="00073909">
        <w:rPr>
          <w:rFonts w:ascii="Times New Roman" w:hAnsi="Times New Roman" w:cs="Times New Roman"/>
          <w:color w:val="auto"/>
          <w:sz w:val="20"/>
          <w:szCs w:val="20"/>
        </w:rPr>
        <w:t xml:space="preserve"> </w:t>
      </w:r>
      <w:r w:rsidR="00073909" w:rsidRPr="00073909">
        <w:rPr>
          <w:rFonts w:ascii="Times New Roman" w:hAnsi="Times New Roman" w:cs="Times New Roman"/>
          <w:color w:val="auto"/>
          <w:sz w:val="20"/>
          <w:szCs w:val="20"/>
        </w:rPr>
        <w:t>T</w:t>
      </w:r>
      <w:r w:rsidRPr="00073909">
        <w:rPr>
          <w:rFonts w:ascii="Times New Roman" w:hAnsi="Times New Roman" w:cs="Times New Roman"/>
          <w:color w:val="auto"/>
          <w:sz w:val="20"/>
          <w:szCs w:val="20"/>
        </w:rPr>
        <w:t>he protocol of this survey been sanctioned by Al-Azhar Medical Research Ethics Committee and informed consent obtained from all patients' relatives</w:t>
      </w:r>
      <w:r w:rsidR="00073909" w:rsidRPr="00073909">
        <w:rPr>
          <w:rFonts w:ascii="Times New Roman" w:hAnsi="Times New Roman" w:cs="Times New Roman"/>
          <w:color w:val="auto"/>
          <w:sz w:val="20"/>
          <w:szCs w:val="20"/>
        </w:rPr>
        <w:t>.</w:t>
      </w:r>
      <w:r w:rsidR="00073909">
        <w:rPr>
          <w:rFonts w:ascii="Times New Roman" w:hAnsi="Times New Roman" w:cs="Times New Roman"/>
          <w:color w:val="auto"/>
          <w:sz w:val="20"/>
          <w:szCs w:val="20"/>
        </w:rPr>
        <w:t xml:space="preserve"> </w:t>
      </w:r>
      <w:r w:rsidR="00073909" w:rsidRPr="00073909">
        <w:rPr>
          <w:rFonts w:ascii="Times New Roman" w:hAnsi="Times New Roman" w:cs="Times New Roman"/>
          <w:color w:val="auto"/>
          <w:sz w:val="20"/>
          <w:szCs w:val="20"/>
        </w:rPr>
        <w:t>A</w:t>
      </w:r>
      <w:r w:rsidRPr="00073909">
        <w:rPr>
          <w:rFonts w:ascii="Times New Roman" w:hAnsi="Times New Roman" w:cs="Times New Roman"/>
          <w:color w:val="auto"/>
          <w:sz w:val="20"/>
          <w:szCs w:val="20"/>
        </w:rPr>
        <w:t xml:space="preserve"> sum of eighty children out of 220 with renal calculi.</w:t>
      </w:r>
    </w:p>
    <w:p w:rsidR="00410BC8" w:rsidRPr="00073909" w:rsidRDefault="00DE5FE3" w:rsidP="00073909">
      <w:pPr>
        <w:pStyle w:val="Default"/>
        <w:snapToGrid w:val="0"/>
        <w:jc w:val="both"/>
        <w:rPr>
          <w:rFonts w:ascii="Times New Roman" w:hAnsi="Times New Roman" w:cs="Times New Roman"/>
          <w:b/>
          <w:bCs/>
          <w:color w:val="auto"/>
          <w:sz w:val="20"/>
          <w:szCs w:val="20"/>
        </w:rPr>
      </w:pPr>
      <w:r w:rsidRPr="00073909">
        <w:rPr>
          <w:rFonts w:ascii="Times New Roman" w:hAnsi="Times New Roman" w:cs="Times New Roman"/>
          <w:b/>
          <w:bCs/>
          <w:color w:val="auto"/>
          <w:sz w:val="20"/>
          <w:szCs w:val="20"/>
        </w:rPr>
        <w:t>I</w:t>
      </w:r>
      <w:r w:rsidR="0027383A" w:rsidRPr="00073909">
        <w:rPr>
          <w:rFonts w:ascii="Times New Roman" w:hAnsi="Times New Roman" w:cs="Times New Roman"/>
          <w:b/>
          <w:bCs/>
          <w:color w:val="auto"/>
          <w:sz w:val="20"/>
          <w:szCs w:val="20"/>
        </w:rPr>
        <w:t>nclusion criteria</w:t>
      </w:r>
      <w:r w:rsidR="00210593" w:rsidRPr="00073909">
        <w:rPr>
          <w:rFonts w:ascii="Times New Roman" w:hAnsi="Times New Roman" w:cs="Times New Roman"/>
          <w:b/>
          <w:bCs/>
          <w:color w:val="auto"/>
          <w:sz w:val="20"/>
          <w:szCs w:val="20"/>
        </w:rPr>
        <w:t xml:space="preserve"> (</w:t>
      </w:r>
      <w:r w:rsidR="00210593" w:rsidRPr="00073909">
        <w:rPr>
          <w:rFonts w:ascii="Times New Roman" w:hAnsi="Times New Roman" w:cs="Times New Roman"/>
          <w:color w:val="auto"/>
          <w:sz w:val="20"/>
          <w:szCs w:val="20"/>
        </w:rPr>
        <w:t>P.N.L 80/220 36.36%</w:t>
      </w:r>
      <w:r w:rsidR="00344D97" w:rsidRPr="00073909">
        <w:rPr>
          <w:rFonts w:ascii="Times New Roman" w:hAnsi="Times New Roman" w:cs="Times New Roman"/>
          <w:color w:val="auto"/>
          <w:sz w:val="20"/>
          <w:szCs w:val="20"/>
        </w:rPr>
        <w:t>,</w:t>
      </w:r>
      <w:r w:rsidR="00210593" w:rsidRPr="00073909">
        <w:rPr>
          <w:rFonts w:ascii="Times New Roman" w:hAnsi="Times New Roman" w:cs="Times New Roman"/>
          <w:color w:val="auto"/>
          <w:sz w:val="20"/>
          <w:szCs w:val="20"/>
        </w:rPr>
        <w:t xml:space="preserve"> E.S.W.L 118/220 53.64% and open renal surgery 22/220 10%)</w:t>
      </w:r>
      <w:r w:rsidR="00AE414F" w:rsidRPr="00073909">
        <w:rPr>
          <w:rFonts w:ascii="Times New Roman" w:hAnsi="Times New Roman" w:cs="Times New Roman"/>
          <w:color w:val="auto"/>
          <w:sz w:val="20"/>
          <w:szCs w:val="20"/>
        </w:rPr>
        <w:t xml:space="preserve">. </w:t>
      </w:r>
      <w:r w:rsidR="00FA5FEC" w:rsidRPr="00073909">
        <w:rPr>
          <w:rFonts w:ascii="Times New Roman" w:hAnsi="Times New Roman" w:cs="Times New Roman"/>
          <w:color w:val="auto"/>
          <w:sz w:val="20"/>
          <w:szCs w:val="20"/>
        </w:rPr>
        <w:t>Flexible ureteroscopy for retrograde intrarenal surgery (RIRS) was</w:t>
      </w:r>
      <w:r w:rsidR="00A17666" w:rsidRPr="00073909">
        <w:rPr>
          <w:rFonts w:ascii="Times New Roman" w:hAnsi="Times New Roman" w:cs="Times New Roman"/>
          <w:color w:val="auto"/>
          <w:sz w:val="20"/>
          <w:szCs w:val="20"/>
        </w:rPr>
        <w:t xml:space="preserve"> not av</w:t>
      </w:r>
      <w:r w:rsidR="002F775E" w:rsidRPr="00073909">
        <w:rPr>
          <w:rFonts w:ascii="Times New Roman" w:hAnsi="Times New Roman" w:cs="Times New Roman"/>
          <w:color w:val="auto"/>
          <w:sz w:val="20"/>
          <w:szCs w:val="20"/>
        </w:rPr>
        <w:t>a</w:t>
      </w:r>
      <w:r w:rsidR="00A17666" w:rsidRPr="00073909">
        <w:rPr>
          <w:rFonts w:ascii="Times New Roman" w:hAnsi="Times New Roman" w:cs="Times New Roman"/>
          <w:color w:val="auto"/>
          <w:sz w:val="20"/>
          <w:szCs w:val="20"/>
        </w:rPr>
        <w:t>ilable</w:t>
      </w:r>
      <w:r w:rsidR="00073909" w:rsidRPr="00073909">
        <w:rPr>
          <w:rFonts w:ascii="Times New Roman" w:hAnsi="Times New Roman" w:cs="Times New Roman"/>
          <w:color w:val="auto"/>
          <w:sz w:val="20"/>
          <w:szCs w:val="20"/>
        </w:rPr>
        <w:t>.</w:t>
      </w:r>
      <w:r w:rsidR="00073909">
        <w:rPr>
          <w:rFonts w:ascii="Times New Roman" w:hAnsi="Times New Roman" w:cs="Times New Roman"/>
          <w:color w:val="auto"/>
          <w:sz w:val="20"/>
          <w:szCs w:val="20"/>
        </w:rPr>
        <w:t xml:space="preserve"> </w:t>
      </w:r>
      <w:r w:rsidR="00073909" w:rsidRPr="00073909">
        <w:rPr>
          <w:rFonts w:ascii="Times New Roman" w:hAnsi="Times New Roman" w:cs="Times New Roman"/>
          <w:color w:val="auto"/>
          <w:sz w:val="20"/>
          <w:szCs w:val="20"/>
        </w:rPr>
        <w:t>Y</w:t>
      </w:r>
      <w:r w:rsidR="00FB4CA7" w:rsidRPr="00073909">
        <w:rPr>
          <w:rFonts w:ascii="Times New Roman" w:hAnsi="Times New Roman" w:cs="Times New Roman"/>
          <w:color w:val="auto"/>
          <w:sz w:val="20"/>
          <w:szCs w:val="20"/>
        </w:rPr>
        <w:t>ears (1-18) years old and stone size more than 2 cm and cases after failed ESWL included, European Association of Urology (EAU) guidelines 2016 (12).</w:t>
      </w:r>
    </w:p>
    <w:p w:rsidR="00396494" w:rsidRPr="00073909" w:rsidRDefault="0019179F" w:rsidP="00073909">
      <w:pPr>
        <w:pStyle w:val="Default"/>
        <w:snapToGrid w:val="0"/>
        <w:jc w:val="both"/>
        <w:rPr>
          <w:rFonts w:ascii="Times New Roman" w:hAnsi="Times New Roman" w:cs="Times New Roman"/>
          <w:color w:val="auto"/>
          <w:sz w:val="20"/>
          <w:szCs w:val="20"/>
        </w:rPr>
      </w:pPr>
      <w:r w:rsidRPr="00073909">
        <w:rPr>
          <w:rFonts w:ascii="Times New Roman" w:hAnsi="Times New Roman" w:cs="Times New Roman"/>
          <w:b/>
          <w:bCs/>
          <w:color w:val="auto"/>
          <w:sz w:val="20"/>
          <w:szCs w:val="20"/>
        </w:rPr>
        <w:t>E</w:t>
      </w:r>
      <w:r w:rsidR="007A53E0" w:rsidRPr="00073909">
        <w:rPr>
          <w:rFonts w:ascii="Times New Roman" w:hAnsi="Times New Roman" w:cs="Times New Roman"/>
          <w:b/>
          <w:bCs/>
          <w:color w:val="auto"/>
          <w:sz w:val="20"/>
          <w:szCs w:val="20"/>
        </w:rPr>
        <w:t>xclusion</w:t>
      </w:r>
      <w:r w:rsidR="007A53E0" w:rsidRPr="00073909">
        <w:rPr>
          <w:rFonts w:ascii="Times New Roman" w:hAnsi="Times New Roman" w:cs="Times New Roman"/>
          <w:color w:val="auto"/>
          <w:sz w:val="20"/>
          <w:szCs w:val="20"/>
        </w:rPr>
        <w:t xml:space="preserve"> of children with bleeding diathesis, marked scoliosis or kyphosis, </w:t>
      </w:r>
      <w:r w:rsidR="00262ADC" w:rsidRPr="00073909">
        <w:rPr>
          <w:rFonts w:ascii="Times New Roman" w:hAnsi="Times New Roman" w:cs="Times New Roman"/>
          <w:color w:val="auto"/>
          <w:sz w:val="20"/>
          <w:szCs w:val="20"/>
        </w:rPr>
        <w:t>associated</w:t>
      </w:r>
      <w:r w:rsidR="00073909">
        <w:rPr>
          <w:rFonts w:ascii="Times New Roman" w:hAnsi="Times New Roman" w:cs="Times New Roman"/>
          <w:color w:val="auto"/>
          <w:sz w:val="20"/>
          <w:szCs w:val="20"/>
        </w:rPr>
        <w:t xml:space="preserve"> </w:t>
      </w:r>
      <w:r w:rsidR="007A53E0" w:rsidRPr="00073909">
        <w:rPr>
          <w:rFonts w:ascii="Times New Roman" w:hAnsi="Times New Roman" w:cs="Times New Roman"/>
          <w:color w:val="auto"/>
          <w:sz w:val="20"/>
          <w:szCs w:val="20"/>
        </w:rPr>
        <w:t xml:space="preserve">anatomical </w:t>
      </w:r>
      <w:r w:rsidR="007A53E0" w:rsidRPr="00073909">
        <w:rPr>
          <w:rFonts w:ascii="Times New Roman" w:hAnsi="Times New Roman" w:cs="Times New Roman"/>
          <w:color w:val="auto"/>
          <w:sz w:val="20"/>
          <w:szCs w:val="20"/>
        </w:rPr>
        <w:lastRenderedPageBreak/>
        <w:t>obstruction as pelviureteric junction obstruction (PUJO) and</w:t>
      </w:r>
      <w:r w:rsidR="002F775E" w:rsidRPr="00073909">
        <w:rPr>
          <w:rFonts w:ascii="Times New Roman" w:hAnsi="Times New Roman" w:cs="Times New Roman"/>
          <w:color w:val="auto"/>
          <w:sz w:val="20"/>
          <w:szCs w:val="20"/>
        </w:rPr>
        <w:t xml:space="preserve"> congenital renal anomalies</w:t>
      </w:r>
      <w:r w:rsidR="00623EB6" w:rsidRPr="00073909">
        <w:rPr>
          <w:rFonts w:ascii="Times New Roman" w:hAnsi="Times New Roman" w:cs="Times New Roman"/>
          <w:color w:val="auto"/>
          <w:sz w:val="20"/>
          <w:szCs w:val="20"/>
        </w:rPr>
        <w:t>.</w:t>
      </w:r>
    </w:p>
    <w:p w:rsidR="005F51AF" w:rsidRPr="00073909" w:rsidRDefault="00B40C54" w:rsidP="00073909">
      <w:pPr>
        <w:shd w:val="clear" w:color="auto" w:fill="FFFFFF"/>
        <w:snapToGrid w:val="0"/>
        <w:ind w:firstLine="425"/>
        <w:jc w:val="both"/>
      </w:pPr>
      <w:r w:rsidRPr="00073909">
        <w:t xml:space="preserve">Data </w:t>
      </w:r>
      <w:r w:rsidR="00926AA4" w:rsidRPr="00073909">
        <w:t>collected from the medical files including: age, gender, stone burden</w:t>
      </w:r>
      <w:r w:rsidRPr="00073909">
        <w:t xml:space="preserve">, stone </w:t>
      </w:r>
      <w:r w:rsidR="003D6728" w:rsidRPr="00073909">
        <w:t>site</w:t>
      </w:r>
      <w:r w:rsidRPr="00073909">
        <w:t xml:space="preserve">, presence of hydronephrosis, </w:t>
      </w:r>
      <w:r w:rsidR="00B95B74" w:rsidRPr="00073909">
        <w:t>other concomitant</w:t>
      </w:r>
      <w:r w:rsidRPr="00073909">
        <w:t xml:space="preserve"> disease, previous shock wave lithotripsy or </w:t>
      </w:r>
      <w:r w:rsidR="00B95B74" w:rsidRPr="00073909">
        <w:t>renal surgery</w:t>
      </w:r>
      <w:r w:rsidRPr="00073909">
        <w:t xml:space="preserve"> history, American Society of Anesthesiologists (ASA) score, subcostal or intercostal entry, number of access tracts made during the operation, dilatation type (Amplatz dilators/</w:t>
      </w:r>
      <w:r w:rsidR="003D2050" w:rsidRPr="00073909">
        <w:t>or</w:t>
      </w:r>
      <w:r w:rsidR="00305821" w:rsidRPr="00073909">
        <w:t>Nephromax</w:t>
      </w:r>
      <w:r w:rsidRPr="00073909">
        <w:t>)</w:t>
      </w:r>
      <w:r w:rsidR="003D2050" w:rsidRPr="00073909">
        <w:t xml:space="preserve"> which was depend on surgeon preference</w:t>
      </w:r>
      <w:r w:rsidR="00770208" w:rsidRPr="00073909">
        <w:t>Amplatz in 50</w:t>
      </w:r>
      <w:r w:rsidR="00611CDB" w:rsidRPr="00073909">
        <w:t xml:space="preserve"> (62.5%)</w:t>
      </w:r>
      <w:r w:rsidR="00073909">
        <w:t xml:space="preserve"> </w:t>
      </w:r>
      <w:r w:rsidR="00770208" w:rsidRPr="00073909">
        <w:t>and balloon dilator in 30</w:t>
      </w:r>
      <w:r w:rsidR="00611CDB" w:rsidRPr="00073909">
        <w:t>(</w:t>
      </w:r>
      <w:r w:rsidR="00770208" w:rsidRPr="00073909">
        <w:t>37.5%</w:t>
      </w:r>
      <w:r w:rsidR="00611CDB" w:rsidRPr="00073909">
        <w:t>). O</w:t>
      </w:r>
      <w:r w:rsidR="00926AA4" w:rsidRPr="00073909">
        <w:t>perative</w:t>
      </w:r>
      <w:r w:rsidRPr="00073909">
        <w:t xml:space="preserve"> t</w:t>
      </w:r>
      <w:r w:rsidR="00926AA4" w:rsidRPr="00073909">
        <w:t>ime, blood transfusion, residual stone</w:t>
      </w:r>
      <w:r w:rsidRPr="00073909">
        <w:t>, pre-operative and</w:t>
      </w:r>
      <w:r w:rsidR="00926AA4" w:rsidRPr="00073909">
        <w:t xml:space="preserve"> post-operative hemoglobin (Hb) and</w:t>
      </w:r>
      <w:r w:rsidRPr="00073909">
        <w:t xml:space="preserve"> post-operative </w:t>
      </w:r>
      <w:r w:rsidR="00926AA4" w:rsidRPr="00073909">
        <w:t>urine</w:t>
      </w:r>
      <w:r w:rsidRPr="00073909">
        <w:t xml:space="preserve"> and blood cul</w:t>
      </w:r>
      <w:r w:rsidR="00926AA4" w:rsidRPr="00073909">
        <w:t xml:space="preserve">ture results. The kidney stones </w:t>
      </w:r>
      <w:r w:rsidRPr="00073909">
        <w:t>diagnosed by intravenous pyelography</w:t>
      </w:r>
      <w:r w:rsidR="00220EA8" w:rsidRPr="00073909">
        <w:t xml:space="preserve"> and/or computeri</w:t>
      </w:r>
      <w:r w:rsidR="00926AA4" w:rsidRPr="00073909">
        <w:t>zed tomography (CT). Stones</w:t>
      </w:r>
      <w:r w:rsidR="00220EA8" w:rsidRPr="00073909">
        <w:t xml:space="preserve"> classified according to the Guy’s stone score </w:t>
      </w:r>
      <w:r w:rsidR="00220EA8" w:rsidRPr="00073909">
        <w:rPr>
          <w:b/>
          <w:bCs/>
        </w:rPr>
        <w:t xml:space="preserve">Table </w:t>
      </w:r>
      <w:r w:rsidR="005F51AF" w:rsidRPr="00073909">
        <w:rPr>
          <w:b/>
          <w:bCs/>
        </w:rPr>
        <w:t>1</w:t>
      </w:r>
      <w:r w:rsidR="00036E1A" w:rsidRPr="00073909">
        <w:t>.</w:t>
      </w:r>
    </w:p>
    <w:p w:rsidR="00073909" w:rsidRPr="00073909" w:rsidRDefault="00073909" w:rsidP="00073909">
      <w:pPr>
        <w:tabs>
          <w:tab w:val="left" w:pos="540"/>
        </w:tabs>
        <w:snapToGrid w:val="0"/>
        <w:ind w:firstLine="425"/>
        <w:jc w:val="both"/>
        <w:sectPr w:rsidR="00073909" w:rsidRPr="00073909" w:rsidSect="004364AE">
          <w:headerReference w:type="default" r:id="rId17"/>
          <w:footerReference w:type="even" r:id="rId18"/>
          <w:footerReference w:type="default" r:id="rId19"/>
          <w:type w:val="continuous"/>
          <w:pgSz w:w="12240" w:h="15840" w:code="1"/>
          <w:pgMar w:top="1440" w:right="1440" w:bottom="1440" w:left="1440" w:header="720" w:footer="720" w:gutter="0"/>
          <w:cols w:num="2" w:space="500"/>
          <w:docGrid w:linePitch="360"/>
        </w:sectPr>
      </w:pPr>
    </w:p>
    <w:p w:rsidR="00D333BC" w:rsidRPr="00073909" w:rsidRDefault="00D333BC" w:rsidP="00073909">
      <w:pPr>
        <w:tabs>
          <w:tab w:val="left" w:pos="540"/>
        </w:tabs>
        <w:snapToGrid w:val="0"/>
        <w:jc w:val="center"/>
      </w:pPr>
    </w:p>
    <w:p w:rsidR="005F51AF" w:rsidRPr="00073909" w:rsidRDefault="00EB6D64" w:rsidP="00073909">
      <w:pPr>
        <w:tabs>
          <w:tab w:val="left" w:pos="540"/>
        </w:tabs>
        <w:snapToGrid w:val="0"/>
        <w:jc w:val="center"/>
        <w:rPr>
          <w:b/>
          <w:bCs/>
        </w:rPr>
      </w:pPr>
      <w:r w:rsidRPr="00073909">
        <w:rPr>
          <w:b/>
          <w:bCs/>
        </w:rPr>
        <w:t>Table 1</w:t>
      </w:r>
      <w:r w:rsidR="00CA5D29" w:rsidRPr="00073909">
        <w:rPr>
          <w:b/>
          <w:bCs/>
        </w:rPr>
        <w:t xml:space="preserve">: </w:t>
      </w:r>
      <w:r w:rsidRPr="00073909">
        <w:rPr>
          <w:b/>
          <w:bCs/>
        </w:rPr>
        <w:t>-</w:t>
      </w:r>
      <w:r w:rsidR="005F51AF" w:rsidRPr="00073909">
        <w:rPr>
          <w:b/>
          <w:bCs/>
        </w:rPr>
        <w:t xml:space="preserve"> Guy’s stone score</w:t>
      </w:r>
    </w:p>
    <w:tbl>
      <w:tblPr>
        <w:tblStyle w:val="TableGrid"/>
        <w:tblW w:w="0" w:type="auto"/>
        <w:jc w:val="center"/>
        <w:tblLook w:val="04A0"/>
      </w:tblPr>
      <w:tblGrid>
        <w:gridCol w:w="1863"/>
        <w:gridCol w:w="7686"/>
      </w:tblGrid>
      <w:tr w:rsidR="005F51AF" w:rsidRPr="00073909" w:rsidTr="00073909">
        <w:trPr>
          <w:trHeight w:val="138"/>
          <w:jc w:val="center"/>
        </w:trPr>
        <w:tc>
          <w:tcPr>
            <w:tcW w:w="1863" w:type="dxa"/>
          </w:tcPr>
          <w:p w:rsidR="005F51AF" w:rsidRPr="00073909" w:rsidRDefault="005F51AF" w:rsidP="00073909">
            <w:pPr>
              <w:tabs>
                <w:tab w:val="left" w:pos="540"/>
              </w:tabs>
              <w:snapToGrid w:val="0"/>
              <w:jc w:val="both"/>
              <w:rPr>
                <w:color w:val="000000"/>
              </w:rPr>
            </w:pPr>
            <w:r w:rsidRPr="00073909">
              <w:rPr>
                <w:color w:val="000000"/>
              </w:rPr>
              <w:t>Grade</w:t>
            </w:r>
          </w:p>
        </w:tc>
        <w:tc>
          <w:tcPr>
            <w:tcW w:w="7686" w:type="dxa"/>
          </w:tcPr>
          <w:p w:rsidR="005F51AF" w:rsidRPr="00073909" w:rsidRDefault="005F51AF" w:rsidP="00073909">
            <w:pPr>
              <w:tabs>
                <w:tab w:val="left" w:pos="540"/>
              </w:tabs>
              <w:snapToGrid w:val="0"/>
              <w:jc w:val="both"/>
              <w:rPr>
                <w:color w:val="000000"/>
              </w:rPr>
            </w:pPr>
            <w:r w:rsidRPr="00073909">
              <w:rPr>
                <w:color w:val="000000"/>
              </w:rPr>
              <w:t>Description</w:t>
            </w:r>
          </w:p>
        </w:tc>
      </w:tr>
      <w:tr w:rsidR="005F51AF" w:rsidRPr="00073909" w:rsidTr="00073909">
        <w:trPr>
          <w:trHeight w:val="293"/>
          <w:jc w:val="center"/>
        </w:trPr>
        <w:tc>
          <w:tcPr>
            <w:tcW w:w="1863" w:type="dxa"/>
          </w:tcPr>
          <w:p w:rsidR="005F51AF" w:rsidRPr="00073909" w:rsidRDefault="005F51AF" w:rsidP="00073909">
            <w:pPr>
              <w:tabs>
                <w:tab w:val="left" w:pos="540"/>
              </w:tabs>
              <w:snapToGrid w:val="0"/>
              <w:jc w:val="both"/>
              <w:rPr>
                <w:color w:val="000000"/>
              </w:rPr>
            </w:pPr>
            <w:r w:rsidRPr="00073909">
              <w:rPr>
                <w:color w:val="000000"/>
              </w:rPr>
              <w:t>Grade I</w:t>
            </w:r>
          </w:p>
        </w:tc>
        <w:tc>
          <w:tcPr>
            <w:tcW w:w="7686" w:type="dxa"/>
          </w:tcPr>
          <w:p w:rsidR="005F51AF" w:rsidRPr="00073909" w:rsidRDefault="005F51AF" w:rsidP="00073909">
            <w:pPr>
              <w:tabs>
                <w:tab w:val="left" w:pos="540"/>
              </w:tabs>
              <w:snapToGrid w:val="0"/>
              <w:jc w:val="both"/>
              <w:rPr>
                <w:color w:val="000000"/>
              </w:rPr>
            </w:pPr>
            <w:r w:rsidRPr="00073909">
              <w:rPr>
                <w:color w:val="000000"/>
              </w:rPr>
              <w:t>A solitary stone in the mid/lower pole with simple anatomy or A</w:t>
            </w:r>
          </w:p>
          <w:p w:rsidR="005F51AF" w:rsidRPr="00073909" w:rsidRDefault="00EB6D64" w:rsidP="00073909">
            <w:pPr>
              <w:tabs>
                <w:tab w:val="left" w:pos="540"/>
              </w:tabs>
              <w:snapToGrid w:val="0"/>
              <w:jc w:val="both"/>
              <w:rPr>
                <w:color w:val="000000"/>
              </w:rPr>
            </w:pPr>
            <w:r w:rsidRPr="00073909">
              <w:rPr>
                <w:color w:val="000000"/>
              </w:rPr>
              <w:t>Solitary</w:t>
            </w:r>
            <w:r w:rsidR="005F51AF" w:rsidRPr="00073909">
              <w:rPr>
                <w:color w:val="000000"/>
              </w:rPr>
              <w:t xml:space="preserve"> stone in the pelvis with simple anatomy.</w:t>
            </w:r>
          </w:p>
        </w:tc>
      </w:tr>
      <w:tr w:rsidR="005F51AF" w:rsidRPr="00073909" w:rsidTr="00073909">
        <w:trPr>
          <w:trHeight w:val="293"/>
          <w:jc w:val="center"/>
        </w:trPr>
        <w:tc>
          <w:tcPr>
            <w:tcW w:w="1863" w:type="dxa"/>
          </w:tcPr>
          <w:p w:rsidR="005F51AF" w:rsidRPr="00073909" w:rsidRDefault="005F51AF" w:rsidP="00073909">
            <w:pPr>
              <w:tabs>
                <w:tab w:val="left" w:pos="540"/>
              </w:tabs>
              <w:snapToGrid w:val="0"/>
              <w:jc w:val="both"/>
              <w:rPr>
                <w:color w:val="000000"/>
              </w:rPr>
            </w:pPr>
            <w:r w:rsidRPr="00073909">
              <w:rPr>
                <w:color w:val="000000"/>
              </w:rPr>
              <w:t>Grade II</w:t>
            </w:r>
          </w:p>
        </w:tc>
        <w:tc>
          <w:tcPr>
            <w:tcW w:w="7686" w:type="dxa"/>
          </w:tcPr>
          <w:p w:rsidR="005F51AF" w:rsidRPr="00073909" w:rsidRDefault="005F51AF" w:rsidP="00073909">
            <w:pPr>
              <w:tabs>
                <w:tab w:val="left" w:pos="540"/>
              </w:tabs>
              <w:snapToGrid w:val="0"/>
              <w:jc w:val="both"/>
              <w:rPr>
                <w:color w:val="000000"/>
              </w:rPr>
            </w:pPr>
            <w:r w:rsidRPr="00073909">
              <w:rPr>
                <w:color w:val="000000"/>
              </w:rPr>
              <w:t>A solitary stone in the upper pole with simple anatomy or Multiple stones in a patient with simple anatomy or any solitary stone in a patient with abnormal anatomy.</w:t>
            </w:r>
          </w:p>
        </w:tc>
      </w:tr>
      <w:tr w:rsidR="005F51AF" w:rsidRPr="00073909" w:rsidTr="00073909">
        <w:trPr>
          <w:trHeight w:val="284"/>
          <w:jc w:val="center"/>
        </w:trPr>
        <w:tc>
          <w:tcPr>
            <w:tcW w:w="1863" w:type="dxa"/>
          </w:tcPr>
          <w:p w:rsidR="005F51AF" w:rsidRPr="00073909" w:rsidRDefault="005F51AF" w:rsidP="00073909">
            <w:pPr>
              <w:tabs>
                <w:tab w:val="left" w:pos="540"/>
              </w:tabs>
              <w:snapToGrid w:val="0"/>
              <w:jc w:val="both"/>
              <w:rPr>
                <w:color w:val="000000"/>
              </w:rPr>
            </w:pPr>
            <w:r w:rsidRPr="00073909">
              <w:rPr>
                <w:color w:val="000000"/>
              </w:rPr>
              <w:t>Grade III</w:t>
            </w:r>
          </w:p>
        </w:tc>
        <w:tc>
          <w:tcPr>
            <w:tcW w:w="7686" w:type="dxa"/>
          </w:tcPr>
          <w:p w:rsidR="005F51AF" w:rsidRPr="00073909" w:rsidRDefault="005F51AF" w:rsidP="00073909">
            <w:pPr>
              <w:tabs>
                <w:tab w:val="left" w:pos="540"/>
              </w:tabs>
              <w:snapToGrid w:val="0"/>
              <w:jc w:val="both"/>
              <w:rPr>
                <w:color w:val="000000"/>
              </w:rPr>
            </w:pPr>
            <w:r w:rsidRPr="00073909">
              <w:rPr>
                <w:color w:val="000000"/>
              </w:rPr>
              <w:t>Multiple stones in a patient with abnormal anatomy or Stones in a calyceal diverticulum or Partial staghorn calculus</w:t>
            </w:r>
          </w:p>
        </w:tc>
      </w:tr>
      <w:tr w:rsidR="005F51AF" w:rsidRPr="00073909" w:rsidTr="00073909">
        <w:trPr>
          <w:trHeight w:val="293"/>
          <w:jc w:val="center"/>
        </w:trPr>
        <w:tc>
          <w:tcPr>
            <w:tcW w:w="1863" w:type="dxa"/>
          </w:tcPr>
          <w:p w:rsidR="005F51AF" w:rsidRPr="00073909" w:rsidRDefault="005F51AF" w:rsidP="00073909">
            <w:pPr>
              <w:tabs>
                <w:tab w:val="left" w:pos="540"/>
              </w:tabs>
              <w:snapToGrid w:val="0"/>
              <w:jc w:val="both"/>
              <w:rPr>
                <w:color w:val="000000"/>
              </w:rPr>
            </w:pPr>
            <w:r w:rsidRPr="00073909">
              <w:rPr>
                <w:color w:val="000000"/>
              </w:rPr>
              <w:t>Grade IV</w:t>
            </w:r>
          </w:p>
        </w:tc>
        <w:tc>
          <w:tcPr>
            <w:tcW w:w="7686" w:type="dxa"/>
          </w:tcPr>
          <w:p w:rsidR="005F51AF" w:rsidRPr="00073909" w:rsidRDefault="005F51AF" w:rsidP="00073909">
            <w:pPr>
              <w:tabs>
                <w:tab w:val="left" w:pos="540"/>
              </w:tabs>
              <w:snapToGrid w:val="0"/>
              <w:jc w:val="both"/>
              <w:rPr>
                <w:color w:val="000000"/>
              </w:rPr>
            </w:pPr>
            <w:r w:rsidRPr="00073909">
              <w:rPr>
                <w:color w:val="000000"/>
              </w:rPr>
              <w:t>Staghorn calculus or any stone in a patient with spina bifida or</w:t>
            </w:r>
            <w:r w:rsidR="00073909">
              <w:rPr>
                <w:color w:val="000000"/>
              </w:rPr>
              <w:t xml:space="preserve"> </w:t>
            </w:r>
            <w:r w:rsidRPr="00073909">
              <w:rPr>
                <w:color w:val="000000"/>
              </w:rPr>
              <w:t>Spinal injury.</w:t>
            </w:r>
          </w:p>
        </w:tc>
      </w:tr>
    </w:tbl>
    <w:p w:rsidR="00073909" w:rsidRDefault="00073909" w:rsidP="00073909">
      <w:pPr>
        <w:widowControl/>
        <w:snapToGrid w:val="0"/>
        <w:ind w:firstLine="425"/>
        <w:jc w:val="both"/>
      </w:pPr>
    </w:p>
    <w:p w:rsidR="00073909" w:rsidRPr="00073909" w:rsidRDefault="00073909" w:rsidP="00073909">
      <w:pPr>
        <w:widowControl/>
        <w:snapToGrid w:val="0"/>
        <w:ind w:firstLine="425"/>
        <w:jc w:val="both"/>
        <w:sectPr w:rsidR="00073909" w:rsidRPr="00073909" w:rsidSect="004364AE">
          <w:headerReference w:type="default" r:id="rId20"/>
          <w:footerReference w:type="even" r:id="rId21"/>
          <w:footerReference w:type="default" r:id="rId22"/>
          <w:type w:val="continuous"/>
          <w:pgSz w:w="12240" w:h="15840" w:code="1"/>
          <w:pgMar w:top="1440" w:right="1440" w:bottom="1440" w:left="1440" w:header="720" w:footer="720" w:gutter="0"/>
          <w:cols w:space="720"/>
          <w:docGrid w:linePitch="360"/>
        </w:sectPr>
      </w:pPr>
    </w:p>
    <w:p w:rsidR="00220EA8" w:rsidRPr="00073909" w:rsidRDefault="005953AF" w:rsidP="00073909">
      <w:pPr>
        <w:widowControl/>
        <w:snapToGrid w:val="0"/>
        <w:ind w:firstLine="425"/>
        <w:jc w:val="both"/>
      </w:pPr>
      <w:r w:rsidRPr="00073909">
        <w:lastRenderedPageBreak/>
        <w:t xml:space="preserve">For the nephrolitometricnomogram, stone </w:t>
      </w:r>
      <w:r w:rsidR="00564F03" w:rsidRPr="00073909">
        <w:t>size</w:t>
      </w:r>
      <w:r w:rsidR="00073909">
        <w:t xml:space="preserve"> </w:t>
      </w:r>
      <w:r w:rsidRPr="00073909">
        <w:t>estimated as the surface area calculated according to the EUA guidelines using the two greatest vertical and horizontal dimensions measures seen on a plain x-ray of the kidney-ureter-bladder (KUB)</w:t>
      </w:r>
      <w:r w:rsidR="00073909" w:rsidRPr="00073909">
        <w:t>.</w:t>
      </w:r>
      <w:r w:rsidR="00073909">
        <w:t xml:space="preserve"> </w:t>
      </w:r>
      <w:r w:rsidR="00073909" w:rsidRPr="00073909">
        <w:t>I</w:t>
      </w:r>
      <w:r w:rsidR="00220EA8" w:rsidRPr="00073909">
        <w:t xml:space="preserve">n patients without a KUB or intravenous pyelography but with a CT </w:t>
      </w:r>
      <w:r w:rsidR="00474B7C" w:rsidRPr="00073909">
        <w:t>scan, the</w:t>
      </w:r>
      <w:r w:rsidR="00220EA8" w:rsidRPr="00073909">
        <w:t xml:space="preserve"> size of </w:t>
      </w:r>
      <w:r w:rsidR="00DC625A" w:rsidRPr="00073909">
        <w:t>the stonescalculatedin</w:t>
      </w:r>
      <w:r w:rsidR="00220EA8" w:rsidRPr="00073909">
        <w:t xml:space="preserve"> the same </w:t>
      </w:r>
      <w:r w:rsidR="00DC625A" w:rsidRPr="00073909">
        <w:t>way</w:t>
      </w:r>
      <w:r w:rsidR="00564F03" w:rsidRPr="00073909">
        <w:t>. T</w:t>
      </w:r>
      <w:r w:rsidR="00220EA8" w:rsidRPr="00073909">
        <w:t xml:space="preserve">he dimensions obtained from the </w:t>
      </w:r>
      <w:r w:rsidR="00474B7C" w:rsidRPr="00073909">
        <w:t>tomogram</w:t>
      </w:r>
      <w:r w:rsidR="00220EA8" w:rsidRPr="00073909">
        <w:t xml:space="preserve"> of the non-contrast computed tomography images. Stones </w:t>
      </w:r>
      <w:r w:rsidR="00564F03" w:rsidRPr="00073909">
        <w:t xml:space="preserve">occupying </w:t>
      </w:r>
      <w:r w:rsidR="00220EA8" w:rsidRPr="00073909">
        <w:t xml:space="preserve">the renal pelvis and all </w:t>
      </w:r>
      <w:r w:rsidR="00532B14" w:rsidRPr="00073909">
        <w:t>the calyces</w:t>
      </w:r>
      <w:r w:rsidR="00073909">
        <w:t xml:space="preserve"> </w:t>
      </w:r>
      <w:r w:rsidR="00220EA8" w:rsidRPr="00073909">
        <w:t xml:space="preserve">defined as staghorn calculi and the area of each stone part in the calyces and the pelvis </w:t>
      </w:r>
      <w:r w:rsidR="00136B4E" w:rsidRPr="00073909">
        <w:t>calculated separately and</w:t>
      </w:r>
      <w:r w:rsidR="00220EA8" w:rsidRPr="00073909">
        <w:t xml:space="preserve"> added</w:t>
      </w:r>
      <w:r w:rsidR="00801E79" w:rsidRPr="00073909">
        <w:t>,</w:t>
      </w:r>
      <w:r w:rsidR="00801E79" w:rsidRPr="00073909">
        <w:rPr>
          <w:rFonts w:eastAsia="HelveticaNeue-Roman"/>
        </w:rPr>
        <w:t xml:space="preserve"> Stone size is usually given in one or two dimensions, and stratified into those mea</w:t>
      </w:r>
      <w:r w:rsidR="0092602A" w:rsidRPr="00073909">
        <w:rPr>
          <w:rFonts w:eastAsia="HelveticaNeue-Roman"/>
        </w:rPr>
        <w:t xml:space="preserve">suring </w:t>
      </w:r>
      <w:r w:rsidR="00801E79" w:rsidRPr="00073909">
        <w:rPr>
          <w:rFonts w:eastAsia="HelveticaNeue-Roman"/>
        </w:rPr>
        <w:t>&gt; 20 mm in largest diameter</w:t>
      </w:r>
      <w:r w:rsidR="00B6146D" w:rsidRPr="00073909">
        <w:t xml:space="preserve"> [</w:t>
      </w:r>
      <w:r w:rsidR="00CE36CF" w:rsidRPr="00073909">
        <w:rPr>
          <w:b/>
          <w:bCs/>
        </w:rPr>
        <w:t>12</w:t>
      </w:r>
      <w:r w:rsidR="00B6146D" w:rsidRPr="00073909">
        <w:t>]</w:t>
      </w:r>
      <w:r w:rsidR="00963491" w:rsidRPr="00073909">
        <w:t>.</w:t>
      </w:r>
    </w:p>
    <w:p w:rsidR="0075343D" w:rsidRPr="00073909" w:rsidRDefault="001553BD" w:rsidP="00073909">
      <w:pPr>
        <w:pStyle w:val="NormalWeb"/>
        <w:snapToGrid w:val="0"/>
        <w:spacing w:before="0" w:beforeAutospacing="0" w:after="0" w:afterAutospacing="0"/>
        <w:ind w:firstLine="425"/>
        <w:jc w:val="both"/>
        <w:rPr>
          <w:color w:val="000000"/>
          <w:sz w:val="20"/>
          <w:szCs w:val="20"/>
        </w:rPr>
      </w:pPr>
      <w:r w:rsidRPr="00073909">
        <w:rPr>
          <w:sz w:val="20"/>
          <w:szCs w:val="20"/>
        </w:rPr>
        <w:t>S</w:t>
      </w:r>
      <w:r w:rsidR="00A033DE" w:rsidRPr="00073909">
        <w:rPr>
          <w:sz w:val="20"/>
          <w:szCs w:val="20"/>
        </w:rPr>
        <w:t>ingle stage PCNL</w:t>
      </w:r>
      <w:r w:rsidR="00073909">
        <w:rPr>
          <w:sz w:val="20"/>
          <w:szCs w:val="20"/>
        </w:rPr>
        <w:t xml:space="preserve"> </w:t>
      </w:r>
      <w:r w:rsidR="00941F53" w:rsidRPr="00073909">
        <w:rPr>
          <w:sz w:val="20"/>
          <w:szCs w:val="20"/>
        </w:rPr>
        <w:t xml:space="preserve">performed by </w:t>
      </w:r>
      <w:r w:rsidR="0068664A" w:rsidRPr="00073909">
        <w:rPr>
          <w:sz w:val="20"/>
          <w:szCs w:val="20"/>
        </w:rPr>
        <w:t>using Wolfnephroscope</w:t>
      </w:r>
      <w:r w:rsidR="00492E34" w:rsidRPr="00073909">
        <w:rPr>
          <w:sz w:val="20"/>
          <w:szCs w:val="20"/>
        </w:rPr>
        <w:t xml:space="preserve"> inner sheath (size </w:t>
      </w:r>
      <w:r w:rsidR="00E64A4E" w:rsidRPr="00073909">
        <w:rPr>
          <w:sz w:val="20"/>
          <w:szCs w:val="20"/>
        </w:rPr>
        <w:t>15</w:t>
      </w:r>
      <w:r w:rsidR="009937AB" w:rsidRPr="00073909">
        <w:rPr>
          <w:sz w:val="20"/>
          <w:szCs w:val="20"/>
        </w:rPr>
        <w:t>F</w:t>
      </w:r>
      <w:r w:rsidR="00941F53" w:rsidRPr="00073909">
        <w:rPr>
          <w:sz w:val="20"/>
          <w:szCs w:val="20"/>
        </w:rPr>
        <w:t>r</w:t>
      </w:r>
      <w:r w:rsidR="009937AB" w:rsidRPr="00073909">
        <w:rPr>
          <w:sz w:val="20"/>
          <w:szCs w:val="20"/>
        </w:rPr>
        <w:t>.</w:t>
      </w:r>
      <w:r w:rsidR="00941F53" w:rsidRPr="00073909">
        <w:rPr>
          <w:sz w:val="20"/>
          <w:szCs w:val="20"/>
        </w:rPr>
        <w:t>), under general anesthe</w:t>
      </w:r>
      <w:r w:rsidR="00492E34" w:rsidRPr="00073909">
        <w:rPr>
          <w:sz w:val="20"/>
          <w:szCs w:val="20"/>
        </w:rPr>
        <w:t xml:space="preserve">sia. Under lithotomy position, </w:t>
      </w:r>
      <w:r w:rsidR="00941F53" w:rsidRPr="00073909">
        <w:rPr>
          <w:sz w:val="20"/>
          <w:szCs w:val="20"/>
        </w:rPr>
        <w:t xml:space="preserve">ipsilateral ureter </w:t>
      </w:r>
      <w:r w:rsidR="00474B7C" w:rsidRPr="00073909">
        <w:rPr>
          <w:sz w:val="20"/>
          <w:szCs w:val="20"/>
        </w:rPr>
        <w:t>catheterized</w:t>
      </w:r>
      <w:r w:rsidR="00941F53" w:rsidRPr="00073909">
        <w:rPr>
          <w:sz w:val="20"/>
          <w:szCs w:val="20"/>
        </w:rPr>
        <w:t xml:space="preserve"> with 5fr ureteric Catheter</w:t>
      </w:r>
      <w:r w:rsidR="00913618" w:rsidRPr="00073909">
        <w:rPr>
          <w:sz w:val="20"/>
          <w:szCs w:val="20"/>
        </w:rPr>
        <w:t xml:space="preserve"> fixed</w:t>
      </w:r>
      <w:r w:rsidR="00941F53" w:rsidRPr="00073909">
        <w:rPr>
          <w:sz w:val="20"/>
          <w:szCs w:val="20"/>
        </w:rPr>
        <w:t xml:space="preserve">. </w:t>
      </w:r>
      <w:r w:rsidR="005953AF" w:rsidRPr="00073909">
        <w:rPr>
          <w:sz w:val="20"/>
          <w:szCs w:val="20"/>
        </w:rPr>
        <w:t>All pressure points were well filled out</w:t>
      </w:r>
      <w:r w:rsidR="00073909" w:rsidRPr="00073909">
        <w:rPr>
          <w:sz w:val="20"/>
          <w:szCs w:val="20"/>
        </w:rPr>
        <w:t>.</w:t>
      </w:r>
      <w:r w:rsidR="00073909">
        <w:rPr>
          <w:sz w:val="20"/>
          <w:szCs w:val="20"/>
        </w:rPr>
        <w:t xml:space="preserve"> </w:t>
      </w:r>
      <w:r w:rsidR="00073909" w:rsidRPr="00073909">
        <w:rPr>
          <w:sz w:val="20"/>
          <w:szCs w:val="20"/>
        </w:rPr>
        <w:t>I</w:t>
      </w:r>
      <w:r w:rsidR="005953AF" w:rsidRPr="00073909">
        <w:rPr>
          <w:sz w:val="20"/>
          <w:szCs w:val="20"/>
        </w:rPr>
        <w:t>nitial p</w:t>
      </w:r>
      <w:r w:rsidR="00A033DE" w:rsidRPr="00073909">
        <w:rPr>
          <w:sz w:val="20"/>
          <w:szCs w:val="20"/>
        </w:rPr>
        <w:t>uncture and tract dilatation</w:t>
      </w:r>
      <w:r w:rsidR="00073909">
        <w:rPr>
          <w:sz w:val="20"/>
          <w:szCs w:val="20"/>
        </w:rPr>
        <w:t xml:space="preserve"> </w:t>
      </w:r>
      <w:r w:rsidR="005953AF" w:rsidRPr="00073909">
        <w:rPr>
          <w:sz w:val="20"/>
          <w:szCs w:val="20"/>
        </w:rPr>
        <w:t>performed up to 21 Fr under fluoroscopic control</w:t>
      </w:r>
      <w:r w:rsidR="00073909" w:rsidRPr="00073909">
        <w:rPr>
          <w:sz w:val="20"/>
          <w:szCs w:val="20"/>
        </w:rPr>
        <w:t>.</w:t>
      </w:r>
      <w:r w:rsidR="00073909">
        <w:rPr>
          <w:sz w:val="20"/>
          <w:szCs w:val="20"/>
        </w:rPr>
        <w:t xml:space="preserve"> </w:t>
      </w:r>
      <w:r w:rsidR="00073909" w:rsidRPr="00073909">
        <w:rPr>
          <w:sz w:val="20"/>
          <w:szCs w:val="20"/>
        </w:rPr>
        <w:t>N</w:t>
      </w:r>
      <w:r w:rsidR="00941F53" w:rsidRPr="00073909">
        <w:rPr>
          <w:sz w:val="20"/>
          <w:szCs w:val="20"/>
        </w:rPr>
        <w:t>ephroscope (size 15 F) used</w:t>
      </w:r>
      <w:r w:rsidR="004143E4" w:rsidRPr="00073909">
        <w:rPr>
          <w:sz w:val="20"/>
          <w:szCs w:val="20"/>
        </w:rPr>
        <w:t xml:space="preserve">. </w:t>
      </w:r>
      <w:r w:rsidR="005953AF" w:rsidRPr="00073909">
        <w:rPr>
          <w:sz w:val="20"/>
          <w:szCs w:val="20"/>
        </w:rPr>
        <w:t xml:space="preserve">During PNL; pneumatic </w:t>
      </w:r>
      <w:r w:rsidR="0075343D" w:rsidRPr="00073909">
        <w:rPr>
          <w:sz w:val="20"/>
          <w:szCs w:val="20"/>
        </w:rPr>
        <w:t>lithotriptors</w:t>
      </w:r>
      <w:r w:rsidR="005953AF" w:rsidRPr="00073909">
        <w:rPr>
          <w:sz w:val="20"/>
          <w:szCs w:val="20"/>
        </w:rPr>
        <w:t xml:space="preserve"> are most normally used for rigid nephroscopy</w:t>
      </w:r>
      <w:r w:rsidR="00073909" w:rsidRPr="00073909">
        <w:rPr>
          <w:sz w:val="20"/>
          <w:szCs w:val="20"/>
        </w:rPr>
        <w:t>.</w:t>
      </w:r>
      <w:r w:rsidR="00073909">
        <w:rPr>
          <w:sz w:val="20"/>
          <w:szCs w:val="20"/>
        </w:rPr>
        <w:t xml:space="preserve"> </w:t>
      </w:r>
      <w:r w:rsidR="00073909" w:rsidRPr="00073909">
        <w:rPr>
          <w:rStyle w:val="mceitemhidden"/>
          <w:rFonts w:eastAsiaTheme="majorEastAsia"/>
          <w:color w:val="000000"/>
          <w:sz w:val="20"/>
          <w:szCs w:val="20"/>
        </w:rPr>
        <w:t>L</w:t>
      </w:r>
      <w:r w:rsidR="0075343D" w:rsidRPr="00073909">
        <w:rPr>
          <w:rStyle w:val="mceitemhidden"/>
          <w:rFonts w:eastAsiaTheme="majorEastAsia"/>
          <w:color w:val="000000"/>
          <w:sz w:val="20"/>
          <w:szCs w:val="20"/>
        </w:rPr>
        <w:t xml:space="preserve">aser </w:t>
      </w:r>
      <w:r w:rsidR="0075343D" w:rsidRPr="00073909">
        <w:rPr>
          <w:rStyle w:val="hiddenspellerror1"/>
          <w:color w:val="000000"/>
          <w:sz w:val="20"/>
          <w:szCs w:val="20"/>
        </w:rPr>
        <w:t>lithotripsy</w:t>
      </w:r>
      <w:r w:rsidR="0075343D" w:rsidRPr="00073909">
        <w:rPr>
          <w:color w:val="000000"/>
          <w:sz w:val="20"/>
          <w:szCs w:val="20"/>
        </w:rPr>
        <w:t xml:space="preserve"> when using miniaturized instruments associated with lower stone migration than with pneumatic lithotripsy</w:t>
      </w:r>
      <w:r w:rsidR="00073909" w:rsidRPr="00073909">
        <w:rPr>
          <w:color w:val="000000"/>
          <w:sz w:val="20"/>
          <w:szCs w:val="20"/>
        </w:rPr>
        <w:t>.</w:t>
      </w:r>
    </w:p>
    <w:p w:rsidR="001553BD" w:rsidRPr="00073909" w:rsidRDefault="00403515" w:rsidP="00073909">
      <w:pPr>
        <w:shd w:val="clear" w:color="auto" w:fill="FFFFFF"/>
        <w:snapToGrid w:val="0"/>
        <w:ind w:firstLine="425"/>
        <w:jc w:val="both"/>
      </w:pPr>
      <w:r w:rsidRPr="00073909">
        <w:lastRenderedPageBreak/>
        <w:t>N</w:t>
      </w:r>
      <w:r w:rsidR="00D15E17" w:rsidRPr="00073909">
        <w:t>ephrostomy tubewas</w:t>
      </w:r>
      <w:r w:rsidR="00941F53" w:rsidRPr="00073909">
        <w:t xml:space="preserve"> kept in all patients after the procedure. </w:t>
      </w:r>
      <w:r w:rsidR="00620CE8" w:rsidRPr="00073909">
        <w:t xml:space="preserve">Blood loss </w:t>
      </w:r>
      <w:r w:rsidR="005953AF" w:rsidRPr="00073909">
        <w:t>estimated by Postoperative hemogram and hematocrit value in all patients 4 hours after the operation</w:t>
      </w:r>
      <w:r w:rsidR="00073909" w:rsidRPr="00073909">
        <w:t>.</w:t>
      </w:r>
      <w:r w:rsidR="00073909">
        <w:t xml:space="preserve"> </w:t>
      </w:r>
      <w:r w:rsidR="00073909" w:rsidRPr="00073909">
        <w:t>C</w:t>
      </w:r>
      <w:r w:rsidR="005953AF" w:rsidRPr="00073909">
        <w:t>heck X-ray KUB was done in all examples to assess stone clearance on the first postoperative day.</w:t>
      </w:r>
      <w:r w:rsidR="00941F53" w:rsidRPr="00073909">
        <w:t xml:space="preserve"> Nephrostomy was kept open for 24 hours and clamped on </w:t>
      </w:r>
      <w:r w:rsidR="000564E2" w:rsidRPr="00073909">
        <w:t>the second postoperative day</w:t>
      </w:r>
      <w:r w:rsidR="00941F53" w:rsidRPr="00073909">
        <w:t xml:space="preserve">. If patients had no fever, abdominal pain, Nephrostomy removed on </w:t>
      </w:r>
      <w:r w:rsidR="000564E2" w:rsidRPr="00073909">
        <w:t>the third postoperative day</w:t>
      </w:r>
      <w:r w:rsidR="00941F53" w:rsidRPr="00073909">
        <w:t xml:space="preserve">. Urethral </w:t>
      </w:r>
      <w:r w:rsidR="00F45928" w:rsidRPr="00073909">
        <w:t>and ureteric catheter</w:t>
      </w:r>
      <w:r w:rsidR="00941F53" w:rsidRPr="00073909">
        <w:t xml:space="preserve"> removed after complete cessation of leak from nephrostomy site.</w:t>
      </w:r>
    </w:p>
    <w:p w:rsidR="0062738B" w:rsidRPr="00073909" w:rsidRDefault="005953AF" w:rsidP="00073909">
      <w:pPr>
        <w:shd w:val="clear" w:color="auto" w:fill="FFFFFF"/>
        <w:snapToGrid w:val="0"/>
        <w:ind w:firstLine="425"/>
        <w:jc w:val="both"/>
      </w:pPr>
      <w:r w:rsidRPr="00073909">
        <w:t xml:space="preserve">The patients assessed using a KUB performed in the morning after the </w:t>
      </w:r>
      <w:r w:rsidR="00904F43" w:rsidRPr="00073909">
        <w:t>operation</w:t>
      </w:r>
      <w:r w:rsidRPr="00073909">
        <w:t xml:space="preserve"> and a CT performed </w:t>
      </w:r>
      <w:r w:rsidR="00904F43" w:rsidRPr="00073909">
        <w:t xml:space="preserve">one </w:t>
      </w:r>
      <w:r w:rsidRPr="00073909">
        <w:t xml:space="preserve">month after </w:t>
      </w:r>
      <w:r w:rsidR="00904F43" w:rsidRPr="00073909">
        <w:t>the procedure for the follow-up</w:t>
      </w:r>
      <w:r w:rsidR="00073909" w:rsidRPr="00073909">
        <w:t>.</w:t>
      </w:r>
      <w:r w:rsidR="00073909">
        <w:t xml:space="preserve"> </w:t>
      </w:r>
      <w:r w:rsidR="00073909" w:rsidRPr="00073909">
        <w:t>T</w:t>
      </w:r>
      <w:r w:rsidRPr="00073909">
        <w:t>he re</w:t>
      </w:r>
      <w:r w:rsidR="00904F43" w:rsidRPr="00073909">
        <w:t>sidual stone status evaluated</w:t>
      </w:r>
      <w:r w:rsidRPr="00073909">
        <w:t xml:space="preserve"> in three categories; stone free (SF), clinically insignificant residual fragments (CIRF</w:t>
      </w:r>
      <w:r w:rsidR="00904F43" w:rsidRPr="00073909">
        <w:t xml:space="preserve">) </w:t>
      </w:r>
      <w:r w:rsidRPr="00073909">
        <w:t>residual fragments smaller than 4 millimeter) and clinically significant residual fragments (CSRF, residual fragments larger than 4 millimeter).</w:t>
      </w:r>
      <w:r w:rsidR="00B6146D" w:rsidRPr="00073909">
        <w:t xml:space="preserve"> </w:t>
      </w:r>
      <w:r w:rsidR="0034558A" w:rsidRPr="00073909">
        <w:t>The success rate</w:t>
      </w:r>
      <w:r w:rsidR="00073909">
        <w:t xml:space="preserve"> </w:t>
      </w:r>
      <w:r w:rsidR="005648DE" w:rsidRPr="00073909">
        <w:t>determined as</w:t>
      </w:r>
      <w:r w:rsidR="0034558A" w:rsidRPr="00073909">
        <w:t>combination</w:t>
      </w:r>
      <w:r w:rsidR="00134983" w:rsidRPr="00073909">
        <w:t xml:space="preserve"> of SF and CIRF. The type of complication encountered</w:t>
      </w:r>
      <w:r w:rsidR="00073909">
        <w:t xml:space="preserve"> </w:t>
      </w:r>
      <w:r w:rsidR="0034558A" w:rsidRPr="00073909">
        <w:t>and classified</w:t>
      </w:r>
      <w:r w:rsidR="00134983" w:rsidRPr="00073909">
        <w:t xml:space="preserve"> according to the modified Clavien System.</w:t>
      </w:r>
    </w:p>
    <w:p w:rsidR="00EF5BCB" w:rsidRPr="00073909" w:rsidRDefault="00EF5BCB" w:rsidP="00073909">
      <w:pPr>
        <w:widowControl/>
        <w:shd w:val="clear" w:color="auto" w:fill="FFFFFF"/>
        <w:autoSpaceDE/>
        <w:autoSpaceDN/>
        <w:adjustRightInd/>
        <w:snapToGrid w:val="0"/>
        <w:ind w:firstLine="425"/>
        <w:jc w:val="both"/>
        <w:rPr>
          <w:color w:val="000000"/>
        </w:rPr>
      </w:pPr>
      <w:r w:rsidRPr="00073909">
        <w:rPr>
          <w:color w:val="000000"/>
        </w:rPr>
        <w:t xml:space="preserve">All children's followed post-operatively by Hb%, urinary leakage, pain, fever, stone free status, hospital stay. Four weeks after discharge, all our patients </w:t>
      </w:r>
      <w:r w:rsidRPr="00073909">
        <w:rPr>
          <w:color w:val="000000"/>
        </w:rPr>
        <w:lastRenderedPageBreak/>
        <w:t>scheduled for KUB, abdomino-pelvicultrasound, urinalysis and culture and sensitivity.</w:t>
      </w:r>
    </w:p>
    <w:p w:rsidR="00AE3914" w:rsidRPr="00073909" w:rsidRDefault="00134983" w:rsidP="00073909">
      <w:pPr>
        <w:snapToGrid w:val="0"/>
        <w:jc w:val="both"/>
        <w:rPr>
          <w:b/>
          <w:bCs/>
          <w:lang w:eastAsia="ar-SA"/>
        </w:rPr>
      </w:pPr>
      <w:r w:rsidRPr="00073909">
        <w:rPr>
          <w:b/>
          <w:bCs/>
          <w:lang w:eastAsia="ar-SA"/>
        </w:rPr>
        <w:t>Statistical data analysis:</w:t>
      </w:r>
    </w:p>
    <w:p w:rsidR="003C680F" w:rsidRPr="00073909" w:rsidRDefault="00476200" w:rsidP="00073909">
      <w:pPr>
        <w:snapToGrid w:val="0"/>
        <w:ind w:firstLine="425"/>
        <w:jc w:val="both"/>
        <w:rPr>
          <w:lang w:bidi="ar-EG"/>
        </w:rPr>
      </w:pPr>
      <w:r w:rsidRPr="00073909">
        <w:rPr>
          <w:lang w:bidi="ar-EG"/>
        </w:rPr>
        <w:t>The gathered data</w:t>
      </w:r>
      <w:r w:rsidR="00134983" w:rsidRPr="00073909">
        <w:rPr>
          <w:lang w:bidi="ar-EG"/>
        </w:rPr>
        <w:t xml:space="preserve"> organized, tabulated and statistically analyzed using statistical software for social science (SPSS) version 20 (SPSS Inc, USA), persisting on an IMB compatible computer with Microsoft® Windows 7</w:t>
      </w:r>
      <w:r w:rsidR="00073909" w:rsidRPr="00073909">
        <w:rPr>
          <w:lang w:bidi="ar-EG"/>
        </w:rPr>
        <w:t>.</w:t>
      </w:r>
      <w:r w:rsidR="00073909">
        <w:rPr>
          <w:lang w:bidi="ar-EG"/>
        </w:rPr>
        <w:t xml:space="preserve"> </w:t>
      </w:r>
      <w:r w:rsidR="00073909" w:rsidRPr="00073909">
        <w:rPr>
          <w:lang w:bidi="ar-EG"/>
        </w:rPr>
        <w:t>F</w:t>
      </w:r>
      <w:r w:rsidR="00134983" w:rsidRPr="00073909">
        <w:rPr>
          <w:lang w:bidi="ar-EG"/>
        </w:rPr>
        <w:t>or qualitative data, frequency and percent distributions calculated, while quantitative data presented as mean and standard deviations</w:t>
      </w:r>
      <w:r w:rsidR="00073909" w:rsidRPr="00073909">
        <w:rPr>
          <w:lang w:bidi="ar-EG"/>
        </w:rPr>
        <w:t>.</w:t>
      </w:r>
      <w:r w:rsidR="00073909">
        <w:rPr>
          <w:lang w:bidi="ar-EG"/>
        </w:rPr>
        <w:t xml:space="preserve"> </w:t>
      </w:r>
      <w:r w:rsidR="00073909" w:rsidRPr="00073909">
        <w:rPr>
          <w:lang w:bidi="ar-EG"/>
        </w:rPr>
        <w:t>F</w:t>
      </w:r>
      <w:r w:rsidR="00134983" w:rsidRPr="00073909">
        <w:rPr>
          <w:lang w:bidi="ar-EG"/>
        </w:rPr>
        <w:t>or comparison between values before surgical intervention and the same variables after intervention, the paired samples (t) test employed for quantitative information</w:t>
      </w:r>
      <w:r w:rsidR="0034558A" w:rsidRPr="00073909">
        <w:rPr>
          <w:lang w:bidi="ar-EG"/>
        </w:rPr>
        <w:t xml:space="preserve"> and</w:t>
      </w:r>
      <w:r w:rsidR="003C680F" w:rsidRPr="00073909">
        <w:rPr>
          <w:lang w:bidi="ar-EG"/>
        </w:rPr>
        <w:t xml:space="preserve"> results</w:t>
      </w:r>
      <w:r w:rsidR="0034558A" w:rsidRPr="00073909">
        <w:rPr>
          <w:lang w:bidi="ar-EG"/>
        </w:rPr>
        <w:t xml:space="preserve"> interpretation</w:t>
      </w:r>
      <w:r w:rsidR="003C680F" w:rsidRPr="00073909">
        <w:rPr>
          <w:lang w:bidi="ar-EG"/>
        </w:rPr>
        <w:t>, p value ≤ 0.05 was considered significant.</w:t>
      </w:r>
    </w:p>
    <w:p w:rsidR="00B6146D" w:rsidRPr="00073909" w:rsidRDefault="00B6146D" w:rsidP="00073909">
      <w:pPr>
        <w:snapToGrid w:val="0"/>
        <w:jc w:val="both"/>
        <w:rPr>
          <w:b/>
          <w:bCs/>
        </w:rPr>
      </w:pPr>
    </w:p>
    <w:p w:rsidR="00FC1703" w:rsidRPr="00073909" w:rsidRDefault="00D333BC" w:rsidP="00073909">
      <w:pPr>
        <w:snapToGrid w:val="0"/>
        <w:jc w:val="both"/>
        <w:rPr>
          <w:b/>
          <w:bCs/>
        </w:rPr>
      </w:pPr>
      <w:r w:rsidRPr="00073909">
        <w:rPr>
          <w:b/>
          <w:bCs/>
        </w:rPr>
        <w:t xml:space="preserve">3. </w:t>
      </w:r>
      <w:r w:rsidR="00AE3914" w:rsidRPr="00073909">
        <w:rPr>
          <w:b/>
          <w:bCs/>
        </w:rPr>
        <w:t>R</w:t>
      </w:r>
      <w:r w:rsidR="009C2B3A" w:rsidRPr="00073909">
        <w:rPr>
          <w:b/>
          <w:bCs/>
        </w:rPr>
        <w:t>esults</w:t>
      </w:r>
      <w:r w:rsidR="00AE3914" w:rsidRPr="00073909">
        <w:rPr>
          <w:b/>
          <w:bCs/>
        </w:rPr>
        <w:t>:</w:t>
      </w:r>
    </w:p>
    <w:p w:rsidR="004554E3" w:rsidRPr="00073909" w:rsidRDefault="00AE3914" w:rsidP="00073909">
      <w:pPr>
        <w:snapToGrid w:val="0"/>
        <w:ind w:firstLine="425"/>
        <w:jc w:val="both"/>
      </w:pPr>
      <w:r w:rsidRPr="00073909">
        <w:t xml:space="preserve">PCNL was performed in </w:t>
      </w:r>
      <w:r w:rsidR="0046162A" w:rsidRPr="00073909">
        <w:t>the Urology Department</w:t>
      </w:r>
      <w:r w:rsidRPr="00073909">
        <w:t xml:space="preserve"> of Al-Hussein and Bab El-</w:t>
      </w:r>
      <w:r w:rsidR="0046162A" w:rsidRPr="00073909">
        <w:t>Shore</w:t>
      </w:r>
      <w:r w:rsidRPr="00073909">
        <w:t xml:space="preserve"> University Hospital, in </w:t>
      </w:r>
      <w:r w:rsidR="00E662B0" w:rsidRPr="00073909">
        <w:t>80</w:t>
      </w:r>
      <w:r w:rsidR="009406D0">
        <w:rPr>
          <w:rFonts w:eastAsiaTheme="minorEastAsia" w:hint="eastAsia"/>
          <w:lang w:eastAsia="zh-CN"/>
        </w:rPr>
        <w:t xml:space="preserve"> </w:t>
      </w:r>
      <w:r w:rsidR="008164F2" w:rsidRPr="00073909">
        <w:t xml:space="preserve">children </w:t>
      </w:r>
      <w:r w:rsidRPr="00073909">
        <w:t xml:space="preserve">(mean age: 13.11 years). The mean stone </w:t>
      </w:r>
      <w:r w:rsidR="008164F2" w:rsidRPr="00073909">
        <w:t>size</w:t>
      </w:r>
      <w:r w:rsidRPr="00073909">
        <w:t xml:space="preserve"> was </w:t>
      </w:r>
      <w:r w:rsidR="001A6C16" w:rsidRPr="00073909">
        <w:t>2.3</w:t>
      </w:r>
      <w:r w:rsidRPr="00073909">
        <w:t xml:space="preserve"> cm (range: 1</w:t>
      </w:r>
      <w:r w:rsidR="001A6C16" w:rsidRPr="00073909">
        <w:t>.8</w:t>
      </w:r>
      <w:r w:rsidRPr="00073909">
        <w:t>–</w:t>
      </w:r>
      <w:r w:rsidR="001A6C16" w:rsidRPr="00073909">
        <w:t>3.3</w:t>
      </w:r>
      <w:r w:rsidRPr="00073909">
        <w:t xml:space="preserve">cm). Overall, </w:t>
      </w:r>
      <w:r w:rsidR="00E662B0" w:rsidRPr="00073909">
        <w:t>50 (62.5%)</w:t>
      </w:r>
      <w:r w:rsidRPr="00073909">
        <w:t xml:space="preserve"> single stones</w:t>
      </w:r>
      <w:r w:rsidR="009465A1" w:rsidRPr="00073909">
        <w:t xml:space="preserve"> (Grade I and II</w:t>
      </w:r>
      <w:r w:rsidR="009465A1" w:rsidRPr="00073909">
        <w:rPr>
          <w:b/>
          <w:bCs/>
          <w:i/>
          <w:iCs/>
        </w:rPr>
        <w:t xml:space="preserve"> Guy’s stone score</w:t>
      </w:r>
      <w:r w:rsidR="009465A1" w:rsidRPr="00073909">
        <w:t>)</w:t>
      </w:r>
      <w:r w:rsidR="009406D0">
        <w:rPr>
          <w:rFonts w:eastAsiaTheme="minorEastAsia" w:hint="eastAsia"/>
          <w:lang w:eastAsia="zh-CN"/>
        </w:rPr>
        <w:t xml:space="preserve"> </w:t>
      </w:r>
      <w:r w:rsidR="00E662B0" w:rsidRPr="00073909">
        <w:t>30 (37.5%)</w:t>
      </w:r>
      <w:r w:rsidRPr="00073909">
        <w:t xml:space="preserve"> multiple </w:t>
      </w:r>
      <w:r w:rsidR="009465A1" w:rsidRPr="00073909">
        <w:t>stones (Grade III</w:t>
      </w:r>
      <w:r w:rsidR="009465A1" w:rsidRPr="00073909">
        <w:rPr>
          <w:b/>
          <w:bCs/>
          <w:i/>
          <w:iCs/>
        </w:rPr>
        <w:t xml:space="preserve"> Guy’s stone score</w:t>
      </w:r>
      <w:r w:rsidR="009465A1" w:rsidRPr="00073909">
        <w:t>)</w:t>
      </w:r>
      <w:r w:rsidR="009406D0">
        <w:rPr>
          <w:rFonts w:eastAsiaTheme="minorEastAsia" w:hint="eastAsia"/>
          <w:lang w:eastAsia="zh-CN"/>
        </w:rPr>
        <w:t xml:space="preserve"> </w:t>
      </w:r>
      <w:r w:rsidR="00263509" w:rsidRPr="00073909">
        <w:rPr>
          <w:b/>
          <w:bCs/>
        </w:rPr>
        <w:t>Table</w:t>
      </w:r>
      <w:r w:rsidR="009406D0">
        <w:rPr>
          <w:rFonts w:eastAsiaTheme="minorEastAsia" w:hint="eastAsia"/>
          <w:b/>
          <w:bCs/>
          <w:lang w:eastAsia="zh-CN"/>
        </w:rPr>
        <w:t xml:space="preserve"> </w:t>
      </w:r>
      <w:r w:rsidR="00263509" w:rsidRPr="00073909">
        <w:rPr>
          <w:b/>
          <w:bCs/>
        </w:rPr>
        <w:t>2</w:t>
      </w:r>
      <w:r w:rsidR="00EB0861" w:rsidRPr="00073909">
        <w:t xml:space="preserve">. </w:t>
      </w:r>
      <w:r w:rsidR="00143222" w:rsidRPr="00073909">
        <w:t>69 (86.25</w:t>
      </w:r>
      <w:r w:rsidR="009221BD" w:rsidRPr="00073909">
        <w:t>%)</w:t>
      </w:r>
      <w:r w:rsidR="009406D0">
        <w:rPr>
          <w:rFonts w:eastAsiaTheme="minorEastAsia" w:hint="eastAsia"/>
          <w:lang w:eastAsia="zh-CN"/>
        </w:rPr>
        <w:t xml:space="preserve"> </w:t>
      </w:r>
      <w:r w:rsidRPr="00073909">
        <w:t xml:space="preserve">were completely stone free following </w:t>
      </w:r>
      <w:r w:rsidR="00A61C19" w:rsidRPr="00073909">
        <w:t>first</w:t>
      </w:r>
      <w:r w:rsidRPr="00073909">
        <w:t xml:space="preserve">PCNL. </w:t>
      </w:r>
      <w:r w:rsidR="00C40F2E" w:rsidRPr="00073909">
        <w:t xml:space="preserve">Seven </w:t>
      </w:r>
      <w:r w:rsidRPr="00073909">
        <w:t>cases had extracorporeal shock wave lithotripsy for residual fragments</w:t>
      </w:r>
      <w:r w:rsidR="00FC1703" w:rsidRPr="00073909">
        <w:t xml:space="preserve">. </w:t>
      </w:r>
      <w:r w:rsidR="00134983" w:rsidRPr="00073909">
        <w:rPr>
          <w:lang w:val="nl-BE"/>
        </w:rPr>
        <w:t>No dispute was found between retrospective and prospective data which were compiled by the same observer except the ability to get some of the Clavian grade 1 complications.</w:t>
      </w:r>
    </w:p>
    <w:p w:rsidR="00073909" w:rsidRPr="00073909" w:rsidRDefault="00073909" w:rsidP="00073909">
      <w:pPr>
        <w:widowControl/>
        <w:tabs>
          <w:tab w:val="left" w:pos="567"/>
          <w:tab w:val="left" w:pos="709"/>
        </w:tabs>
        <w:snapToGrid w:val="0"/>
        <w:ind w:firstLine="425"/>
        <w:jc w:val="both"/>
        <w:rPr>
          <w:lang w:val="nl-BE"/>
        </w:rPr>
        <w:sectPr w:rsidR="00073909" w:rsidRPr="00073909" w:rsidSect="004364AE">
          <w:headerReference w:type="default" r:id="rId23"/>
          <w:footerReference w:type="even" r:id="rId24"/>
          <w:footerReference w:type="default" r:id="rId25"/>
          <w:type w:val="continuous"/>
          <w:pgSz w:w="12240" w:h="15840" w:code="1"/>
          <w:pgMar w:top="1440" w:right="1440" w:bottom="1440" w:left="1440" w:header="720" w:footer="720" w:gutter="0"/>
          <w:cols w:num="2" w:space="500"/>
          <w:docGrid w:linePitch="360"/>
        </w:sectPr>
      </w:pPr>
    </w:p>
    <w:p w:rsidR="00D333BC" w:rsidRPr="00073909" w:rsidRDefault="00D333BC" w:rsidP="00073909">
      <w:pPr>
        <w:widowControl/>
        <w:tabs>
          <w:tab w:val="left" w:pos="567"/>
          <w:tab w:val="left" w:pos="709"/>
        </w:tabs>
        <w:snapToGrid w:val="0"/>
        <w:jc w:val="center"/>
        <w:rPr>
          <w:lang w:val="nl-BE"/>
        </w:rPr>
      </w:pPr>
    </w:p>
    <w:p w:rsidR="006D150E" w:rsidRPr="00073909" w:rsidRDefault="00134983" w:rsidP="00073909">
      <w:pPr>
        <w:widowControl/>
        <w:tabs>
          <w:tab w:val="left" w:pos="567"/>
          <w:tab w:val="left" w:pos="709"/>
        </w:tabs>
        <w:snapToGrid w:val="0"/>
        <w:jc w:val="center"/>
        <w:rPr>
          <w:b/>
          <w:bCs/>
          <w:lang w:val="nl-BE"/>
        </w:rPr>
      </w:pPr>
      <w:r w:rsidRPr="00073909">
        <w:rPr>
          <w:b/>
          <w:bCs/>
          <w:lang w:val="nl-BE"/>
        </w:rPr>
        <w:t>Table 2: - Patient distribution and success rates, granting to the Guy’s Stone score</w:t>
      </w:r>
    </w:p>
    <w:tbl>
      <w:tblPr>
        <w:tblStyle w:val="TableGrid"/>
        <w:tblW w:w="0" w:type="auto"/>
        <w:jc w:val="center"/>
        <w:tblLook w:val="04A0"/>
      </w:tblPr>
      <w:tblGrid>
        <w:gridCol w:w="1896"/>
        <w:gridCol w:w="2121"/>
        <w:gridCol w:w="2187"/>
        <w:gridCol w:w="1513"/>
        <w:gridCol w:w="1748"/>
      </w:tblGrid>
      <w:tr w:rsidR="001D21EA" w:rsidRPr="00073909" w:rsidTr="00073909">
        <w:trPr>
          <w:trHeight w:val="64"/>
          <w:jc w:val="center"/>
        </w:trPr>
        <w:tc>
          <w:tcPr>
            <w:tcW w:w="1896"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Guy’s stone score</w:t>
            </w:r>
          </w:p>
        </w:tc>
        <w:tc>
          <w:tcPr>
            <w:tcW w:w="2121"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Patients (n/%)</w:t>
            </w:r>
          </w:p>
        </w:tc>
        <w:tc>
          <w:tcPr>
            <w:tcW w:w="2187"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Success rate (n/%)</w:t>
            </w:r>
          </w:p>
        </w:tc>
        <w:tc>
          <w:tcPr>
            <w:tcW w:w="1513"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P value</w:t>
            </w:r>
          </w:p>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(Success)</w:t>
            </w:r>
          </w:p>
        </w:tc>
        <w:tc>
          <w:tcPr>
            <w:tcW w:w="1748"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P value</w:t>
            </w:r>
          </w:p>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w:t>
            </w:r>
            <w:r w:rsidR="00F52432" w:rsidRPr="00073909">
              <w:rPr>
                <w:color w:val="000000"/>
                <w:szCs w:val="18"/>
                <w:lang w:val="nl-BE"/>
              </w:rPr>
              <w:t>Complications</w:t>
            </w:r>
            <w:r w:rsidRPr="00073909">
              <w:rPr>
                <w:color w:val="000000"/>
                <w:szCs w:val="18"/>
                <w:lang w:val="nl-BE"/>
              </w:rPr>
              <w:t>)</w:t>
            </w:r>
          </w:p>
        </w:tc>
      </w:tr>
      <w:tr w:rsidR="001D21EA" w:rsidRPr="00073909" w:rsidTr="00073909">
        <w:trPr>
          <w:trHeight w:val="188"/>
          <w:jc w:val="center"/>
        </w:trPr>
        <w:tc>
          <w:tcPr>
            <w:tcW w:w="1896"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1</w:t>
            </w:r>
          </w:p>
        </w:tc>
        <w:tc>
          <w:tcPr>
            <w:tcW w:w="2121"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30/37.5%</w:t>
            </w:r>
          </w:p>
        </w:tc>
        <w:tc>
          <w:tcPr>
            <w:tcW w:w="2187"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27/ 30 (90% )</w:t>
            </w:r>
          </w:p>
        </w:tc>
        <w:tc>
          <w:tcPr>
            <w:tcW w:w="1513" w:type="dxa"/>
          </w:tcPr>
          <w:p w:rsidR="001D21EA" w:rsidRPr="00073909" w:rsidRDefault="001D21EA" w:rsidP="00073909">
            <w:pPr>
              <w:pStyle w:val="Heading3"/>
              <w:snapToGrid w:val="0"/>
              <w:spacing w:before="0" w:beforeAutospacing="0" w:after="0" w:afterAutospacing="0"/>
              <w:jc w:val="both"/>
              <w:outlineLvl w:val="2"/>
              <w:rPr>
                <w:color w:val="000000"/>
                <w:sz w:val="20"/>
                <w:szCs w:val="18"/>
                <w:lang w:val="nl-BE"/>
              </w:rPr>
            </w:pPr>
            <w:r w:rsidRPr="00073909">
              <w:rPr>
                <w:color w:val="000000"/>
                <w:sz w:val="20"/>
                <w:szCs w:val="18"/>
                <w:lang w:val="nl-BE"/>
              </w:rPr>
              <w:t>P&lt;0.05</w:t>
            </w:r>
          </w:p>
        </w:tc>
        <w:tc>
          <w:tcPr>
            <w:tcW w:w="1748" w:type="dxa"/>
          </w:tcPr>
          <w:p w:rsidR="001D21EA" w:rsidRPr="00073909" w:rsidRDefault="001D21EA" w:rsidP="00073909">
            <w:pPr>
              <w:pStyle w:val="Heading3"/>
              <w:snapToGrid w:val="0"/>
              <w:spacing w:before="0" w:beforeAutospacing="0" w:after="0" w:afterAutospacing="0"/>
              <w:jc w:val="both"/>
              <w:outlineLvl w:val="2"/>
              <w:rPr>
                <w:color w:val="000000"/>
                <w:sz w:val="20"/>
                <w:szCs w:val="18"/>
                <w:lang w:val="nl-BE"/>
              </w:rPr>
            </w:pPr>
            <w:r w:rsidRPr="00073909">
              <w:rPr>
                <w:color w:val="000000"/>
                <w:sz w:val="20"/>
                <w:szCs w:val="18"/>
                <w:lang w:val="nl-BE"/>
              </w:rPr>
              <w:t>0.</w:t>
            </w:r>
            <w:r w:rsidR="00FB592E" w:rsidRPr="00073909">
              <w:rPr>
                <w:color w:val="000000"/>
                <w:sz w:val="20"/>
                <w:szCs w:val="18"/>
                <w:lang w:val="nl-BE"/>
              </w:rPr>
              <w:t>03</w:t>
            </w:r>
          </w:p>
        </w:tc>
      </w:tr>
      <w:tr w:rsidR="001D21EA" w:rsidRPr="00073909" w:rsidTr="00073909">
        <w:trPr>
          <w:trHeight w:val="176"/>
          <w:jc w:val="center"/>
        </w:trPr>
        <w:tc>
          <w:tcPr>
            <w:tcW w:w="1896"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2</w:t>
            </w:r>
          </w:p>
        </w:tc>
        <w:tc>
          <w:tcPr>
            <w:tcW w:w="2121"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20/25%</w:t>
            </w:r>
          </w:p>
        </w:tc>
        <w:tc>
          <w:tcPr>
            <w:tcW w:w="2187"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18/ 20 (90% )</w:t>
            </w:r>
          </w:p>
        </w:tc>
        <w:tc>
          <w:tcPr>
            <w:tcW w:w="1513"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P&lt;0.05</w:t>
            </w:r>
          </w:p>
        </w:tc>
        <w:tc>
          <w:tcPr>
            <w:tcW w:w="1748"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0.</w:t>
            </w:r>
            <w:r w:rsidR="00FB592E" w:rsidRPr="00073909">
              <w:rPr>
                <w:color w:val="000000"/>
                <w:szCs w:val="18"/>
                <w:lang w:val="nl-BE"/>
              </w:rPr>
              <w:t>0</w:t>
            </w:r>
            <w:r w:rsidRPr="00073909">
              <w:rPr>
                <w:color w:val="000000"/>
                <w:szCs w:val="18"/>
                <w:lang w:val="nl-BE"/>
              </w:rPr>
              <w:t>3</w:t>
            </w:r>
          </w:p>
        </w:tc>
      </w:tr>
      <w:tr w:rsidR="001D21EA" w:rsidRPr="00073909" w:rsidTr="00073909">
        <w:trPr>
          <w:trHeight w:val="188"/>
          <w:jc w:val="center"/>
        </w:trPr>
        <w:tc>
          <w:tcPr>
            <w:tcW w:w="1896" w:type="dxa"/>
          </w:tcPr>
          <w:p w:rsidR="001D21EA" w:rsidRPr="00073909" w:rsidRDefault="001D21EA" w:rsidP="00073909">
            <w:pPr>
              <w:widowControl/>
              <w:tabs>
                <w:tab w:val="left" w:pos="567"/>
                <w:tab w:val="left" w:pos="709"/>
              </w:tabs>
              <w:snapToGrid w:val="0"/>
              <w:jc w:val="both"/>
              <w:rPr>
                <w:color w:val="000000"/>
                <w:szCs w:val="18"/>
              </w:rPr>
            </w:pPr>
            <w:r w:rsidRPr="00073909">
              <w:rPr>
                <w:color w:val="000000"/>
                <w:szCs w:val="18"/>
                <w:lang w:val="nl-BE"/>
              </w:rPr>
              <w:t>3</w:t>
            </w:r>
          </w:p>
        </w:tc>
        <w:tc>
          <w:tcPr>
            <w:tcW w:w="2121"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20/25%</w:t>
            </w:r>
          </w:p>
        </w:tc>
        <w:tc>
          <w:tcPr>
            <w:tcW w:w="2187"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14/ 20 (70% )</w:t>
            </w:r>
          </w:p>
        </w:tc>
        <w:tc>
          <w:tcPr>
            <w:tcW w:w="1513"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0.</w:t>
            </w:r>
            <w:r w:rsidR="00FB592E" w:rsidRPr="00073909">
              <w:rPr>
                <w:color w:val="000000"/>
                <w:szCs w:val="18"/>
                <w:lang w:val="nl-BE"/>
              </w:rPr>
              <w:t>02</w:t>
            </w:r>
          </w:p>
        </w:tc>
        <w:tc>
          <w:tcPr>
            <w:tcW w:w="1748"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P&lt;0.05</w:t>
            </w:r>
          </w:p>
        </w:tc>
      </w:tr>
      <w:tr w:rsidR="001D21EA" w:rsidRPr="00073909" w:rsidTr="00073909">
        <w:trPr>
          <w:trHeight w:val="188"/>
          <w:jc w:val="center"/>
        </w:trPr>
        <w:tc>
          <w:tcPr>
            <w:tcW w:w="1896"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4</w:t>
            </w:r>
          </w:p>
        </w:tc>
        <w:tc>
          <w:tcPr>
            <w:tcW w:w="2121"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10/12.5%</w:t>
            </w:r>
          </w:p>
        </w:tc>
        <w:tc>
          <w:tcPr>
            <w:tcW w:w="2187"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5/10(50%)</w:t>
            </w:r>
          </w:p>
        </w:tc>
        <w:tc>
          <w:tcPr>
            <w:tcW w:w="1513"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0.0</w:t>
            </w:r>
            <w:r w:rsidR="00FB592E" w:rsidRPr="00073909">
              <w:rPr>
                <w:color w:val="000000"/>
                <w:szCs w:val="18"/>
                <w:lang w:val="nl-BE"/>
              </w:rPr>
              <w:t>1</w:t>
            </w:r>
          </w:p>
        </w:tc>
        <w:tc>
          <w:tcPr>
            <w:tcW w:w="1748" w:type="dxa"/>
          </w:tcPr>
          <w:p w:rsidR="001D21EA" w:rsidRPr="00073909" w:rsidRDefault="001D21EA" w:rsidP="00073909">
            <w:pPr>
              <w:widowControl/>
              <w:tabs>
                <w:tab w:val="left" w:pos="567"/>
                <w:tab w:val="left" w:pos="709"/>
              </w:tabs>
              <w:snapToGrid w:val="0"/>
              <w:jc w:val="both"/>
              <w:rPr>
                <w:color w:val="000000"/>
                <w:szCs w:val="18"/>
                <w:lang w:val="nl-BE"/>
              </w:rPr>
            </w:pPr>
            <w:r w:rsidRPr="00073909">
              <w:rPr>
                <w:color w:val="000000"/>
                <w:szCs w:val="18"/>
                <w:lang w:val="nl-BE"/>
              </w:rPr>
              <w:t>P&lt;0.05</w:t>
            </w:r>
          </w:p>
        </w:tc>
      </w:tr>
    </w:tbl>
    <w:p w:rsidR="00073909" w:rsidRDefault="00073909" w:rsidP="00073909">
      <w:pPr>
        <w:widowControl/>
        <w:autoSpaceDE/>
        <w:autoSpaceDN/>
        <w:adjustRightInd/>
        <w:snapToGrid w:val="0"/>
        <w:ind w:firstLine="425"/>
        <w:jc w:val="both"/>
      </w:pPr>
    </w:p>
    <w:p w:rsidR="00073909" w:rsidRPr="00073909" w:rsidRDefault="00073909" w:rsidP="00073909">
      <w:pPr>
        <w:widowControl/>
        <w:autoSpaceDE/>
        <w:autoSpaceDN/>
        <w:adjustRightInd/>
        <w:snapToGrid w:val="0"/>
        <w:ind w:firstLine="425"/>
        <w:jc w:val="both"/>
        <w:sectPr w:rsidR="00073909" w:rsidRPr="00073909" w:rsidSect="004364AE">
          <w:headerReference w:type="default" r:id="rId26"/>
          <w:footerReference w:type="even" r:id="rId27"/>
          <w:footerReference w:type="default" r:id="rId28"/>
          <w:type w:val="continuous"/>
          <w:pgSz w:w="12240" w:h="15840" w:code="1"/>
          <w:pgMar w:top="1440" w:right="1440" w:bottom="1440" w:left="1440" w:header="720" w:footer="720" w:gutter="0"/>
          <w:cols w:space="720"/>
          <w:docGrid w:linePitch="360"/>
        </w:sectPr>
      </w:pPr>
    </w:p>
    <w:p w:rsidR="007D643B" w:rsidRPr="00073909" w:rsidRDefault="007D643B" w:rsidP="00073909">
      <w:pPr>
        <w:widowControl/>
        <w:autoSpaceDE/>
        <w:autoSpaceDN/>
        <w:adjustRightInd/>
        <w:snapToGrid w:val="0"/>
        <w:jc w:val="both"/>
        <w:rPr>
          <w:b/>
          <w:bCs/>
        </w:rPr>
      </w:pPr>
      <w:r w:rsidRPr="00073909">
        <w:rPr>
          <w:b/>
          <w:bCs/>
        </w:rPr>
        <w:lastRenderedPageBreak/>
        <w:t>Table (3): Intraoperative complications of the study group</w:t>
      </w:r>
    </w:p>
    <w:tbl>
      <w:tblPr>
        <w:tblStyle w:val="TableGrid"/>
        <w:tblW w:w="0" w:type="auto"/>
        <w:jc w:val="center"/>
        <w:tblLook w:val="04A0"/>
      </w:tblPr>
      <w:tblGrid>
        <w:gridCol w:w="1230"/>
        <w:gridCol w:w="2239"/>
        <w:gridCol w:w="511"/>
        <w:gridCol w:w="666"/>
      </w:tblGrid>
      <w:tr w:rsidR="007D643B" w:rsidRPr="00073909" w:rsidTr="00073909">
        <w:trPr>
          <w:jc w:val="center"/>
        </w:trPr>
        <w:tc>
          <w:tcPr>
            <w:tcW w:w="0" w:type="auto"/>
            <w:vAlign w:val="center"/>
          </w:tcPr>
          <w:p w:rsidR="007D643B" w:rsidRPr="00073909" w:rsidRDefault="007D643B" w:rsidP="00073909">
            <w:pPr>
              <w:widowControl/>
              <w:autoSpaceDE/>
              <w:autoSpaceDN/>
              <w:adjustRightInd/>
              <w:snapToGrid w:val="0"/>
              <w:jc w:val="both"/>
              <w:rPr>
                <w:b/>
                <w:bCs/>
                <w:color w:val="000000"/>
                <w:szCs w:val="14"/>
              </w:rPr>
            </w:pPr>
            <w:r w:rsidRPr="00073909">
              <w:rPr>
                <w:b/>
                <w:bCs/>
                <w:color w:val="000000"/>
                <w:szCs w:val="14"/>
              </w:rPr>
              <w:t>Clavian Grade</w:t>
            </w:r>
          </w:p>
        </w:tc>
        <w:tc>
          <w:tcPr>
            <w:tcW w:w="0" w:type="auto"/>
            <w:vAlign w:val="center"/>
          </w:tcPr>
          <w:p w:rsidR="007D643B" w:rsidRPr="00073909" w:rsidRDefault="007D643B" w:rsidP="00073909">
            <w:pPr>
              <w:widowControl/>
              <w:autoSpaceDE/>
              <w:autoSpaceDN/>
              <w:adjustRightInd/>
              <w:snapToGrid w:val="0"/>
              <w:jc w:val="both"/>
              <w:rPr>
                <w:b/>
                <w:bCs/>
                <w:color w:val="000000"/>
                <w:szCs w:val="14"/>
              </w:rPr>
            </w:pPr>
            <w:r w:rsidRPr="00073909">
              <w:rPr>
                <w:b/>
                <w:bCs/>
                <w:color w:val="000000"/>
                <w:szCs w:val="14"/>
              </w:rPr>
              <w:t>Complications</w:t>
            </w:r>
          </w:p>
        </w:tc>
        <w:tc>
          <w:tcPr>
            <w:tcW w:w="0" w:type="auto"/>
            <w:vAlign w:val="center"/>
          </w:tcPr>
          <w:p w:rsidR="007D643B" w:rsidRPr="00073909" w:rsidRDefault="007D643B" w:rsidP="00073909">
            <w:pPr>
              <w:widowControl/>
              <w:autoSpaceDE/>
              <w:autoSpaceDN/>
              <w:adjustRightInd/>
              <w:snapToGrid w:val="0"/>
              <w:jc w:val="both"/>
              <w:rPr>
                <w:b/>
                <w:bCs/>
                <w:color w:val="000000"/>
                <w:szCs w:val="14"/>
              </w:rPr>
            </w:pPr>
            <w:r w:rsidRPr="00073909">
              <w:rPr>
                <w:b/>
                <w:bCs/>
                <w:color w:val="000000"/>
                <w:szCs w:val="14"/>
              </w:rPr>
              <w:t>No.</w:t>
            </w:r>
          </w:p>
        </w:tc>
        <w:tc>
          <w:tcPr>
            <w:tcW w:w="0" w:type="auto"/>
            <w:vAlign w:val="center"/>
          </w:tcPr>
          <w:p w:rsidR="007D643B" w:rsidRPr="00073909" w:rsidRDefault="007D643B" w:rsidP="00073909">
            <w:pPr>
              <w:widowControl/>
              <w:autoSpaceDE/>
              <w:autoSpaceDN/>
              <w:adjustRightInd/>
              <w:snapToGrid w:val="0"/>
              <w:jc w:val="both"/>
              <w:rPr>
                <w:b/>
                <w:bCs/>
                <w:color w:val="000000"/>
                <w:szCs w:val="14"/>
              </w:rPr>
            </w:pPr>
            <w:r w:rsidRPr="00073909">
              <w:rPr>
                <w:b/>
                <w:bCs/>
                <w:color w:val="000000"/>
                <w:szCs w:val="14"/>
              </w:rPr>
              <w:t>%</w:t>
            </w:r>
          </w:p>
        </w:tc>
      </w:tr>
      <w:tr w:rsidR="007D643B" w:rsidRPr="00073909" w:rsidTr="00073909">
        <w:trPr>
          <w:jc w:val="center"/>
        </w:trPr>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2</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Bleeding</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Yes</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No</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9</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71</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11.25</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88.75</w:t>
            </w:r>
          </w:p>
        </w:tc>
      </w:tr>
      <w:tr w:rsidR="007D643B" w:rsidRPr="00073909" w:rsidTr="00073909">
        <w:trPr>
          <w:jc w:val="center"/>
        </w:trPr>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2</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Extravasation</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Yes</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No</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18</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62</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22.5</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77.5</w:t>
            </w:r>
          </w:p>
        </w:tc>
      </w:tr>
      <w:tr w:rsidR="007D643B" w:rsidRPr="00073909" w:rsidTr="00073909">
        <w:trPr>
          <w:jc w:val="center"/>
        </w:trPr>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3b</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Colonic injury</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Yes</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No</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1</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79</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1.25</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98.75</w:t>
            </w:r>
          </w:p>
        </w:tc>
      </w:tr>
      <w:tr w:rsidR="007D643B" w:rsidRPr="00073909" w:rsidTr="00073909">
        <w:trPr>
          <w:jc w:val="center"/>
        </w:trPr>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3b</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Pelvic perforation &amp;</w:t>
            </w:r>
            <w:r w:rsidRPr="00073909">
              <w:rPr>
                <w:color w:val="000000"/>
                <w:szCs w:val="14"/>
              </w:rPr>
              <w:t>DJ</w:t>
            </w:r>
            <w:r w:rsidRPr="00073909">
              <w:rPr>
                <w:bCs/>
                <w:color w:val="000000"/>
                <w:szCs w:val="14"/>
              </w:rPr>
              <w:t xml:space="preserve"> fixation.</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Yes</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No</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3</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77</w:t>
            </w:r>
          </w:p>
        </w:tc>
        <w:tc>
          <w:tcPr>
            <w:tcW w:w="0" w:type="auto"/>
            <w:vAlign w:val="center"/>
          </w:tcPr>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3.75</w:t>
            </w:r>
          </w:p>
          <w:p w:rsidR="007D643B" w:rsidRPr="00073909" w:rsidRDefault="007D643B" w:rsidP="00073909">
            <w:pPr>
              <w:widowControl/>
              <w:autoSpaceDE/>
              <w:autoSpaceDN/>
              <w:adjustRightInd/>
              <w:snapToGrid w:val="0"/>
              <w:jc w:val="both"/>
              <w:rPr>
                <w:bCs/>
                <w:color w:val="000000"/>
                <w:szCs w:val="14"/>
              </w:rPr>
            </w:pPr>
            <w:r w:rsidRPr="00073909">
              <w:rPr>
                <w:bCs/>
                <w:color w:val="000000"/>
                <w:szCs w:val="14"/>
              </w:rPr>
              <w:t>96.25</w:t>
            </w:r>
          </w:p>
        </w:tc>
      </w:tr>
    </w:tbl>
    <w:p w:rsidR="00B6146D" w:rsidRPr="00073909" w:rsidRDefault="00B6146D" w:rsidP="00073909">
      <w:pPr>
        <w:snapToGrid w:val="0"/>
        <w:ind w:firstLine="425"/>
        <w:jc w:val="both"/>
      </w:pPr>
    </w:p>
    <w:p w:rsidR="00073909" w:rsidRPr="00073909" w:rsidRDefault="00073909" w:rsidP="00073909">
      <w:pPr>
        <w:widowControl/>
        <w:autoSpaceDE/>
        <w:autoSpaceDN/>
        <w:adjustRightInd/>
        <w:snapToGrid w:val="0"/>
        <w:ind w:firstLine="425"/>
        <w:jc w:val="both"/>
      </w:pPr>
      <w:r w:rsidRPr="00073909">
        <w:t>Intra-operative complications was in 37 (46.25%) children, include, blood loss necessitating packed RBCs encountered in 9 (11.25%) children five of them needed further postoperative packed RBCs, the extravasation in 18 (22.86%) children was retroperitoneal extravasation which diagnosed intraoperative and no need for intervention, the colonic injury in 1 (1.25%) child which late recognition, was needed exploration and</w:t>
      </w:r>
      <w:r>
        <w:t xml:space="preserve"> </w:t>
      </w:r>
      <w:r w:rsidRPr="00073909">
        <w:t>colostomy was done and nephrostomy tube for drainage the kidney then repair of colostomy was done one month later. The pelvic perforation in 7 (8.75%) children necessitatesDouble</w:t>
      </w:r>
      <w:r w:rsidRPr="00073909">
        <w:rPr>
          <w:b/>
          <w:bCs/>
        </w:rPr>
        <w:t xml:space="preserve"> J stent (</w:t>
      </w:r>
      <w:r w:rsidRPr="00073909">
        <w:t xml:space="preserve">DJ) fixation. All of the complicated cases </w:t>
      </w:r>
      <w:r w:rsidRPr="00073909">
        <w:lastRenderedPageBreak/>
        <w:t>mentioned above occurred in large stones (staghorn stones) which takes more operative time with Amplatzditation (Table 3).</w:t>
      </w:r>
    </w:p>
    <w:p w:rsidR="007D643B" w:rsidRPr="00073909" w:rsidRDefault="007D643B" w:rsidP="00073909">
      <w:pPr>
        <w:snapToGrid w:val="0"/>
        <w:ind w:firstLine="425"/>
        <w:jc w:val="both"/>
      </w:pPr>
      <w:r w:rsidRPr="00073909">
        <w:t>Operative time ranged from 50 to 180 minutes, (Mean ±SD 98.6±41.6) and Mean hospital stay, was 5 ± 1.6 (range</w:t>
      </w:r>
      <w:r w:rsidRPr="00073909">
        <w:rPr>
          <w:lang w:val="nl-BE"/>
        </w:rPr>
        <w:t xml:space="preserve"> was found 3 – 7 days)</w:t>
      </w:r>
      <w:r w:rsidRPr="00073909">
        <w:t>.</w:t>
      </w:r>
    </w:p>
    <w:p w:rsidR="00073909" w:rsidRDefault="007D643B" w:rsidP="00073909">
      <w:pPr>
        <w:snapToGrid w:val="0"/>
        <w:ind w:firstLine="425"/>
        <w:jc w:val="both"/>
      </w:pPr>
      <w:r w:rsidRPr="00073909">
        <w:t>There was no statistical</w:t>
      </w:r>
      <w:r w:rsidR="00073909">
        <w:t xml:space="preserve"> </w:t>
      </w:r>
      <w:r w:rsidRPr="00073909">
        <w:t>difference in the operative time (97.9±45.3 minutes in balloon group versus 98.5±43.4 minutes in the Amplatz group; p=0. 43), preoperative hematocrit value (39.04±4.21 vs. 38.94±4.49; p=0. 87), postoperative hematocrit value (32.74±4.86 vs. 32.48±5.43; p=0. 73). Blood transfusion rate (15.6% versus 16.7%; p=0. 84)</w:t>
      </w:r>
      <w:r w:rsidR="00073909" w:rsidRPr="00073909">
        <w:t>.</w:t>
      </w:r>
      <w:r w:rsidRPr="00073909">
        <w:t xml:space="preserve"> Treatment success rate (78.9% versus. 79.2%; p=0. 96) between the balloon and Amplatz groups. The conflicts are significant reductions in X-ray exposure in a balloon because it can be done ultrasound guided instead of fluoroscopy. Nevertheless, the price of the balloon dilator is higher than that of the Amplatz dilato</w:t>
      </w:r>
      <w:r w:rsidR="00073909" w:rsidRPr="00073909">
        <w:t>r</w:t>
      </w:r>
      <w:r w:rsidR="00073909">
        <w:t>.</w:t>
      </w:r>
    </w:p>
    <w:p w:rsidR="007D643B" w:rsidRPr="00073909" w:rsidRDefault="007D643B" w:rsidP="00073909">
      <w:pPr>
        <w:widowControl/>
        <w:autoSpaceDE/>
        <w:autoSpaceDN/>
        <w:adjustRightInd/>
        <w:snapToGrid w:val="0"/>
        <w:ind w:firstLine="425"/>
        <w:jc w:val="both"/>
      </w:pPr>
      <w:r w:rsidRPr="00073909">
        <w:t xml:space="preserve">Early post-operative complications were 18 (22.85%) children, described in 4 (5 %) children who developed fever and done with antibiotics and antipyretics, 11 (13.75%) children who developed prolonged urinary leakage from nephrostomy site which managed conservatively, 2 (2.5) children who was complaining intolerable pain and managed by analgesic. Late post-operative complications reported in 11 (13.75%) patients who developed urinary tract infection who assessed by urinalysis, managed by antibiotics and no other major infections seen and 11 (13.75%) patients had residual stone fragments </w:t>
      </w:r>
      <w:r w:rsidRPr="00073909">
        <w:lastRenderedPageBreak/>
        <w:t>(CSRF) which assessed by postoperative ultrasonography and KUB and managed by ESWL later on and no case with CIRF (Table 4).</w:t>
      </w:r>
    </w:p>
    <w:p w:rsidR="00526831" w:rsidRPr="00073909" w:rsidRDefault="00526831" w:rsidP="00073909">
      <w:pPr>
        <w:widowControl/>
        <w:autoSpaceDE/>
        <w:autoSpaceDN/>
        <w:adjustRightInd/>
        <w:snapToGrid w:val="0"/>
        <w:jc w:val="center"/>
        <w:rPr>
          <w:b/>
          <w:bCs/>
          <w:szCs w:val="18"/>
        </w:rPr>
      </w:pPr>
    </w:p>
    <w:p w:rsidR="007D643B" w:rsidRPr="00073909" w:rsidRDefault="007D643B" w:rsidP="00073909">
      <w:pPr>
        <w:widowControl/>
        <w:autoSpaceDE/>
        <w:autoSpaceDN/>
        <w:adjustRightInd/>
        <w:snapToGrid w:val="0"/>
        <w:jc w:val="both"/>
        <w:rPr>
          <w:b/>
          <w:bCs/>
          <w:szCs w:val="18"/>
        </w:rPr>
      </w:pPr>
      <w:r w:rsidRPr="00073909">
        <w:rPr>
          <w:b/>
          <w:bCs/>
          <w:szCs w:val="18"/>
        </w:rPr>
        <w:t>Table (4): Postoperative complications of the subject group</w:t>
      </w:r>
    </w:p>
    <w:tbl>
      <w:tblPr>
        <w:tblStyle w:val="TableGrid"/>
        <w:tblW w:w="0" w:type="auto"/>
        <w:jc w:val="center"/>
        <w:tblLook w:val="04A0"/>
      </w:tblPr>
      <w:tblGrid>
        <w:gridCol w:w="951"/>
        <w:gridCol w:w="1785"/>
        <w:gridCol w:w="892"/>
        <w:gridCol w:w="1018"/>
      </w:tblGrid>
      <w:tr w:rsidR="007D643B" w:rsidRPr="00073909" w:rsidTr="00073909">
        <w:trPr>
          <w:trHeight w:val="356"/>
          <w:jc w:val="center"/>
        </w:trPr>
        <w:tc>
          <w:tcPr>
            <w:tcW w:w="1239" w:type="dxa"/>
          </w:tcPr>
          <w:p w:rsidR="007D643B" w:rsidRPr="00073909" w:rsidRDefault="007D643B" w:rsidP="00073909">
            <w:pPr>
              <w:widowControl/>
              <w:autoSpaceDE/>
              <w:autoSpaceDN/>
              <w:adjustRightInd/>
              <w:snapToGrid w:val="0"/>
              <w:jc w:val="both"/>
              <w:rPr>
                <w:b/>
                <w:bCs/>
                <w:color w:val="000000"/>
                <w:szCs w:val="18"/>
              </w:rPr>
            </w:pPr>
            <w:r w:rsidRPr="00073909">
              <w:rPr>
                <w:b/>
                <w:bCs/>
                <w:color w:val="000000"/>
                <w:szCs w:val="18"/>
              </w:rPr>
              <w:t>Clavian Grade</w:t>
            </w:r>
          </w:p>
        </w:tc>
        <w:tc>
          <w:tcPr>
            <w:tcW w:w="3194" w:type="dxa"/>
          </w:tcPr>
          <w:p w:rsidR="007D643B" w:rsidRPr="00073909" w:rsidRDefault="007D643B" w:rsidP="00073909">
            <w:pPr>
              <w:widowControl/>
              <w:autoSpaceDE/>
              <w:autoSpaceDN/>
              <w:adjustRightInd/>
              <w:snapToGrid w:val="0"/>
              <w:jc w:val="both"/>
              <w:rPr>
                <w:b/>
                <w:bCs/>
                <w:color w:val="000000"/>
                <w:szCs w:val="18"/>
              </w:rPr>
            </w:pPr>
            <w:r w:rsidRPr="00073909">
              <w:rPr>
                <w:b/>
                <w:bCs/>
                <w:color w:val="000000"/>
                <w:szCs w:val="18"/>
              </w:rPr>
              <w:t>Complications</w:t>
            </w:r>
          </w:p>
        </w:tc>
        <w:tc>
          <w:tcPr>
            <w:tcW w:w="2499" w:type="dxa"/>
          </w:tcPr>
          <w:p w:rsidR="007D643B" w:rsidRPr="00073909" w:rsidRDefault="007D643B" w:rsidP="00073909">
            <w:pPr>
              <w:widowControl/>
              <w:autoSpaceDE/>
              <w:autoSpaceDN/>
              <w:adjustRightInd/>
              <w:snapToGrid w:val="0"/>
              <w:jc w:val="both"/>
              <w:rPr>
                <w:b/>
                <w:bCs/>
                <w:color w:val="000000"/>
                <w:szCs w:val="18"/>
              </w:rPr>
            </w:pPr>
            <w:r w:rsidRPr="00073909">
              <w:rPr>
                <w:b/>
                <w:bCs/>
                <w:color w:val="000000"/>
                <w:szCs w:val="18"/>
              </w:rPr>
              <w:t>No.</w:t>
            </w:r>
          </w:p>
        </w:tc>
        <w:tc>
          <w:tcPr>
            <w:tcW w:w="2499" w:type="dxa"/>
          </w:tcPr>
          <w:p w:rsidR="007D643B" w:rsidRPr="00073909" w:rsidRDefault="007D643B" w:rsidP="00073909">
            <w:pPr>
              <w:widowControl/>
              <w:autoSpaceDE/>
              <w:autoSpaceDN/>
              <w:adjustRightInd/>
              <w:snapToGrid w:val="0"/>
              <w:jc w:val="both"/>
              <w:rPr>
                <w:b/>
                <w:bCs/>
                <w:color w:val="000000"/>
                <w:szCs w:val="18"/>
              </w:rPr>
            </w:pPr>
            <w:r w:rsidRPr="00073909">
              <w:rPr>
                <w:b/>
                <w:bCs/>
                <w:color w:val="000000"/>
                <w:szCs w:val="18"/>
              </w:rPr>
              <w:t>%</w:t>
            </w:r>
          </w:p>
        </w:tc>
      </w:tr>
      <w:tr w:rsidR="007D643B" w:rsidRPr="00073909" w:rsidTr="00073909">
        <w:trPr>
          <w:trHeight w:val="167"/>
          <w:jc w:val="center"/>
        </w:trPr>
        <w:tc>
          <w:tcPr>
            <w:tcW w:w="1239" w:type="dxa"/>
          </w:tcPr>
          <w:p w:rsidR="007D643B" w:rsidRPr="00073909" w:rsidRDefault="007D643B" w:rsidP="00073909">
            <w:pPr>
              <w:widowControl/>
              <w:autoSpaceDE/>
              <w:autoSpaceDN/>
              <w:adjustRightInd/>
              <w:snapToGrid w:val="0"/>
              <w:jc w:val="both"/>
              <w:rPr>
                <w:b/>
                <w:bCs/>
                <w:color w:val="000000"/>
                <w:szCs w:val="18"/>
              </w:rPr>
            </w:pPr>
          </w:p>
        </w:tc>
        <w:tc>
          <w:tcPr>
            <w:tcW w:w="3194" w:type="dxa"/>
          </w:tcPr>
          <w:p w:rsidR="007D643B" w:rsidRPr="00073909" w:rsidRDefault="007D643B" w:rsidP="00073909">
            <w:pPr>
              <w:widowControl/>
              <w:autoSpaceDE/>
              <w:autoSpaceDN/>
              <w:adjustRightInd/>
              <w:snapToGrid w:val="0"/>
              <w:jc w:val="both"/>
              <w:rPr>
                <w:b/>
                <w:bCs/>
                <w:color w:val="000000"/>
                <w:szCs w:val="18"/>
              </w:rPr>
            </w:pPr>
            <w:r w:rsidRPr="00073909">
              <w:rPr>
                <w:b/>
                <w:bCs/>
                <w:color w:val="000000"/>
                <w:szCs w:val="18"/>
              </w:rPr>
              <w:t>Early</w:t>
            </w:r>
          </w:p>
        </w:tc>
        <w:tc>
          <w:tcPr>
            <w:tcW w:w="2499" w:type="dxa"/>
          </w:tcPr>
          <w:p w:rsidR="007D643B" w:rsidRPr="00073909" w:rsidRDefault="007D643B" w:rsidP="00073909">
            <w:pPr>
              <w:widowControl/>
              <w:autoSpaceDE/>
              <w:autoSpaceDN/>
              <w:adjustRightInd/>
              <w:snapToGrid w:val="0"/>
              <w:jc w:val="both"/>
              <w:rPr>
                <w:b/>
                <w:bCs/>
                <w:color w:val="000000"/>
                <w:szCs w:val="18"/>
              </w:rPr>
            </w:pPr>
          </w:p>
        </w:tc>
        <w:tc>
          <w:tcPr>
            <w:tcW w:w="2499" w:type="dxa"/>
          </w:tcPr>
          <w:p w:rsidR="007D643B" w:rsidRPr="00073909" w:rsidRDefault="007D643B" w:rsidP="00073909">
            <w:pPr>
              <w:widowControl/>
              <w:autoSpaceDE/>
              <w:autoSpaceDN/>
              <w:adjustRightInd/>
              <w:snapToGrid w:val="0"/>
              <w:jc w:val="both"/>
              <w:rPr>
                <w:b/>
                <w:bCs/>
                <w:color w:val="000000"/>
                <w:szCs w:val="18"/>
              </w:rPr>
            </w:pPr>
          </w:p>
        </w:tc>
      </w:tr>
      <w:tr w:rsidR="007D643B" w:rsidRPr="00073909" w:rsidTr="00073909">
        <w:trPr>
          <w:trHeight w:val="534"/>
          <w:jc w:val="center"/>
        </w:trPr>
        <w:tc>
          <w:tcPr>
            <w:tcW w:w="1239"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w:t>
            </w:r>
          </w:p>
        </w:tc>
        <w:tc>
          <w:tcPr>
            <w:tcW w:w="3194"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Fever</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Yes</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No</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4</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76</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5</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95</w:t>
            </w:r>
          </w:p>
        </w:tc>
      </w:tr>
      <w:tr w:rsidR="007D643B" w:rsidRPr="00073909" w:rsidTr="00073909">
        <w:trPr>
          <w:trHeight w:val="523"/>
          <w:jc w:val="center"/>
        </w:trPr>
        <w:tc>
          <w:tcPr>
            <w:tcW w:w="1239"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2</w:t>
            </w:r>
          </w:p>
        </w:tc>
        <w:tc>
          <w:tcPr>
            <w:tcW w:w="3194"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Leakage</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Yes</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No</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11</w:t>
            </w:r>
          </w:p>
          <w:p w:rsidR="007D643B" w:rsidRPr="00073909" w:rsidRDefault="007D643B" w:rsidP="00073909">
            <w:pPr>
              <w:widowControl/>
              <w:autoSpaceDE/>
              <w:autoSpaceDN/>
              <w:adjustRightInd/>
              <w:snapToGrid w:val="0"/>
              <w:jc w:val="both"/>
              <w:rPr>
                <w:bCs/>
                <w:color w:val="000000"/>
                <w:szCs w:val="18"/>
                <w:highlight w:val="lightGray"/>
              </w:rPr>
            </w:pPr>
            <w:r w:rsidRPr="00073909">
              <w:rPr>
                <w:bCs/>
                <w:color w:val="000000"/>
                <w:szCs w:val="18"/>
              </w:rPr>
              <w:t>69</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13.75</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86.25</w:t>
            </w:r>
          </w:p>
        </w:tc>
      </w:tr>
      <w:tr w:rsidR="007D643B" w:rsidRPr="00073909" w:rsidTr="00073909">
        <w:trPr>
          <w:trHeight w:val="534"/>
          <w:jc w:val="center"/>
        </w:trPr>
        <w:tc>
          <w:tcPr>
            <w:tcW w:w="1239"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w:t>
            </w:r>
          </w:p>
        </w:tc>
        <w:tc>
          <w:tcPr>
            <w:tcW w:w="3194"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Pain</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Yes</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No</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2</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78</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2.5</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97.5</w:t>
            </w:r>
          </w:p>
        </w:tc>
      </w:tr>
      <w:tr w:rsidR="007D643B" w:rsidRPr="00073909" w:rsidTr="00073909">
        <w:trPr>
          <w:trHeight w:val="167"/>
          <w:jc w:val="center"/>
        </w:trPr>
        <w:tc>
          <w:tcPr>
            <w:tcW w:w="1239" w:type="dxa"/>
          </w:tcPr>
          <w:p w:rsidR="007D643B" w:rsidRPr="00073909" w:rsidRDefault="007D643B" w:rsidP="00073909">
            <w:pPr>
              <w:widowControl/>
              <w:autoSpaceDE/>
              <w:autoSpaceDN/>
              <w:adjustRightInd/>
              <w:snapToGrid w:val="0"/>
              <w:jc w:val="both"/>
              <w:rPr>
                <w:bCs/>
                <w:color w:val="000000"/>
                <w:szCs w:val="18"/>
              </w:rPr>
            </w:pPr>
          </w:p>
        </w:tc>
        <w:tc>
          <w:tcPr>
            <w:tcW w:w="3194"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Late</w:t>
            </w:r>
          </w:p>
        </w:tc>
        <w:tc>
          <w:tcPr>
            <w:tcW w:w="2499" w:type="dxa"/>
          </w:tcPr>
          <w:p w:rsidR="007D643B" w:rsidRPr="00073909" w:rsidRDefault="007D643B" w:rsidP="00073909">
            <w:pPr>
              <w:widowControl/>
              <w:autoSpaceDE/>
              <w:autoSpaceDN/>
              <w:adjustRightInd/>
              <w:snapToGrid w:val="0"/>
              <w:jc w:val="both"/>
              <w:rPr>
                <w:bCs/>
                <w:color w:val="000000"/>
                <w:szCs w:val="18"/>
              </w:rPr>
            </w:pPr>
          </w:p>
        </w:tc>
        <w:tc>
          <w:tcPr>
            <w:tcW w:w="2499" w:type="dxa"/>
          </w:tcPr>
          <w:p w:rsidR="007D643B" w:rsidRPr="00073909" w:rsidRDefault="007D643B" w:rsidP="00073909">
            <w:pPr>
              <w:widowControl/>
              <w:autoSpaceDE/>
              <w:autoSpaceDN/>
              <w:adjustRightInd/>
              <w:snapToGrid w:val="0"/>
              <w:jc w:val="both"/>
              <w:rPr>
                <w:bCs/>
                <w:color w:val="000000"/>
                <w:szCs w:val="18"/>
              </w:rPr>
            </w:pPr>
          </w:p>
        </w:tc>
      </w:tr>
      <w:tr w:rsidR="007D643B" w:rsidRPr="00073909" w:rsidTr="00073909">
        <w:trPr>
          <w:trHeight w:val="534"/>
          <w:jc w:val="center"/>
        </w:trPr>
        <w:tc>
          <w:tcPr>
            <w:tcW w:w="1239"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w:t>
            </w:r>
          </w:p>
        </w:tc>
        <w:tc>
          <w:tcPr>
            <w:tcW w:w="3194"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UTI</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Yes</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No</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11</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69</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13.75</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86.25</w:t>
            </w:r>
          </w:p>
        </w:tc>
      </w:tr>
      <w:tr w:rsidR="007D643B" w:rsidRPr="00073909" w:rsidTr="00073909">
        <w:trPr>
          <w:trHeight w:val="534"/>
          <w:jc w:val="center"/>
        </w:trPr>
        <w:tc>
          <w:tcPr>
            <w:tcW w:w="1239"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3a</w:t>
            </w:r>
          </w:p>
        </w:tc>
        <w:tc>
          <w:tcPr>
            <w:tcW w:w="3194" w:type="dxa"/>
          </w:tcPr>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Residual stone</w:t>
            </w:r>
            <w:r w:rsidRPr="00073909">
              <w:rPr>
                <w:color w:val="000000"/>
                <w:szCs w:val="18"/>
              </w:rPr>
              <w:t xml:space="preserve"> (CSRF)</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Yes</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No</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11</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69</w:t>
            </w:r>
          </w:p>
        </w:tc>
        <w:tc>
          <w:tcPr>
            <w:tcW w:w="2499" w:type="dxa"/>
          </w:tcPr>
          <w:p w:rsidR="007D643B" w:rsidRPr="00073909" w:rsidRDefault="007D643B" w:rsidP="00073909">
            <w:pPr>
              <w:widowControl/>
              <w:autoSpaceDE/>
              <w:autoSpaceDN/>
              <w:adjustRightInd/>
              <w:snapToGrid w:val="0"/>
              <w:jc w:val="both"/>
              <w:rPr>
                <w:bCs/>
                <w:color w:val="000000"/>
                <w:szCs w:val="18"/>
              </w:rPr>
            </w:pP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13.75</w:t>
            </w:r>
          </w:p>
          <w:p w:rsidR="007D643B" w:rsidRPr="00073909" w:rsidRDefault="007D643B" w:rsidP="00073909">
            <w:pPr>
              <w:widowControl/>
              <w:autoSpaceDE/>
              <w:autoSpaceDN/>
              <w:adjustRightInd/>
              <w:snapToGrid w:val="0"/>
              <w:jc w:val="both"/>
              <w:rPr>
                <w:bCs/>
                <w:color w:val="000000"/>
                <w:szCs w:val="18"/>
              </w:rPr>
            </w:pPr>
            <w:r w:rsidRPr="00073909">
              <w:rPr>
                <w:bCs/>
                <w:color w:val="000000"/>
                <w:szCs w:val="18"/>
              </w:rPr>
              <w:t>86.25</w:t>
            </w:r>
          </w:p>
        </w:tc>
      </w:tr>
    </w:tbl>
    <w:p w:rsidR="007D643B" w:rsidRPr="00073909" w:rsidRDefault="007D643B" w:rsidP="00073909">
      <w:pPr>
        <w:widowControl/>
        <w:autoSpaceDE/>
        <w:autoSpaceDN/>
        <w:adjustRightInd/>
        <w:snapToGrid w:val="0"/>
        <w:jc w:val="both"/>
        <w:rPr>
          <w:rFonts w:eastAsiaTheme="minorHAnsi"/>
          <w:b/>
          <w:bCs/>
          <w:szCs w:val="18"/>
        </w:rPr>
      </w:pPr>
      <w:r w:rsidRPr="00073909">
        <w:rPr>
          <w:b/>
          <w:bCs/>
          <w:szCs w:val="18"/>
        </w:rPr>
        <w:t>CSRF</w:t>
      </w:r>
      <w:r w:rsidR="00073909" w:rsidRPr="00073909">
        <w:rPr>
          <w:rFonts w:eastAsiaTheme="minorHAnsi"/>
          <w:b/>
          <w:bCs/>
          <w:szCs w:val="18"/>
        </w:rPr>
        <w:t>:</w:t>
      </w:r>
      <w:r w:rsidRPr="00073909">
        <w:rPr>
          <w:rFonts w:eastAsiaTheme="minorHAnsi"/>
          <w:b/>
          <w:bCs/>
          <w:szCs w:val="18"/>
        </w:rPr>
        <w:t>-</w:t>
      </w:r>
      <w:r w:rsidRPr="00073909">
        <w:rPr>
          <w:rFonts w:eastAsiaTheme="minorHAnsi"/>
          <w:szCs w:val="18"/>
        </w:rPr>
        <w:t>Clinically significant residual fragments</w:t>
      </w:r>
    </w:p>
    <w:p w:rsidR="007D643B" w:rsidRPr="00073909" w:rsidRDefault="007D643B" w:rsidP="00073909">
      <w:pPr>
        <w:widowControl/>
        <w:autoSpaceDE/>
        <w:autoSpaceDN/>
        <w:adjustRightInd/>
        <w:snapToGrid w:val="0"/>
        <w:jc w:val="both"/>
      </w:pPr>
    </w:p>
    <w:p w:rsidR="007D643B" w:rsidRPr="00073909" w:rsidRDefault="007D643B" w:rsidP="00073909">
      <w:pPr>
        <w:widowControl/>
        <w:autoSpaceDE/>
        <w:autoSpaceDN/>
        <w:adjustRightInd/>
        <w:snapToGrid w:val="0"/>
        <w:jc w:val="both"/>
        <w:rPr>
          <w:rFonts w:eastAsiaTheme="minorHAnsi"/>
          <w:b/>
          <w:bCs/>
        </w:rPr>
      </w:pPr>
      <w:r w:rsidRPr="00073909">
        <w:rPr>
          <w:rFonts w:eastAsiaTheme="minorHAnsi"/>
          <w:b/>
          <w:bCs/>
        </w:rPr>
        <w:t>4. Disscusion:</w:t>
      </w:r>
    </w:p>
    <w:p w:rsidR="007D643B" w:rsidRPr="00073909" w:rsidRDefault="007D643B" w:rsidP="00073909">
      <w:pPr>
        <w:widowControl/>
        <w:snapToGrid w:val="0"/>
        <w:ind w:firstLine="425"/>
        <w:jc w:val="both"/>
        <w:rPr>
          <w:rFonts w:eastAsiaTheme="minorHAnsi"/>
        </w:rPr>
      </w:pPr>
      <w:r w:rsidRPr="00073909">
        <w:t>Percutaneous nephrolithotomy (PCNL) had bening accepted as a standard surgical approach for most renal calculi. With the widespread function of this technique, its safety in a broad diversity of clinical sites, including employment in small children, has bening reported</w:t>
      </w:r>
      <w:r w:rsidRPr="00073909">
        <w:rPr>
          <w:b/>
          <w:bCs/>
        </w:rPr>
        <w:t xml:space="preserve"> </w:t>
      </w:r>
      <w:r w:rsidR="00526831" w:rsidRPr="00073909">
        <w:rPr>
          <w:b/>
          <w:bCs/>
        </w:rPr>
        <w:t>[</w:t>
      </w:r>
      <w:r w:rsidRPr="00073909">
        <w:rPr>
          <w:b/>
          <w:bCs/>
        </w:rPr>
        <w:t>13</w:t>
      </w:r>
      <w:r w:rsidR="00526831" w:rsidRPr="00073909">
        <w:rPr>
          <w:b/>
          <w:bCs/>
        </w:rPr>
        <w:t>]</w:t>
      </w:r>
      <w:r w:rsidRPr="00073909">
        <w:t>.</w:t>
      </w:r>
    </w:p>
    <w:p w:rsidR="007D643B" w:rsidRPr="00073909" w:rsidRDefault="007D643B" w:rsidP="00073909">
      <w:pPr>
        <w:widowControl/>
        <w:snapToGrid w:val="0"/>
        <w:ind w:firstLine="425"/>
        <w:jc w:val="both"/>
      </w:pPr>
      <w:r w:rsidRPr="00073909">
        <w:rPr>
          <w:rFonts w:eastAsiaTheme="minorHAnsi"/>
        </w:rPr>
        <w:t>The present results comparable to most of the published data,</w:t>
      </w:r>
      <w:r w:rsidR="00073909">
        <w:rPr>
          <w:rFonts w:eastAsiaTheme="minorHAnsi"/>
        </w:rPr>
        <w:t xml:space="preserve"> </w:t>
      </w:r>
      <w:r w:rsidRPr="00073909">
        <w:rPr>
          <w:rFonts w:eastAsiaTheme="minorHAnsi"/>
        </w:rPr>
        <w:t>Stone size was the only pre-operative, operative and post-operative variable that held a statistically significant correlation both with success P&lt;0.05 and also with the complications</w:t>
      </w:r>
      <w:r w:rsidR="00073909">
        <w:rPr>
          <w:rFonts w:eastAsiaTheme="minorHAnsi"/>
        </w:rPr>
        <w:t xml:space="preserve"> </w:t>
      </w:r>
      <w:r w:rsidRPr="00073909">
        <w:rPr>
          <w:rFonts w:eastAsiaTheme="minorHAnsi"/>
        </w:rPr>
        <w:t>P&lt;0.03.</w:t>
      </w:r>
      <w:r w:rsidRPr="00073909">
        <w:t xml:space="preserve"> Guy’s stone scores, grade 1 and 2 associated with success and less complications compared to grade 3 and 4 linked with less success rate and more complications.</w:t>
      </w:r>
    </w:p>
    <w:p w:rsidR="007D643B" w:rsidRPr="00073909" w:rsidRDefault="007D643B" w:rsidP="00073909">
      <w:pPr>
        <w:widowControl/>
        <w:tabs>
          <w:tab w:val="left" w:pos="340"/>
          <w:tab w:val="left" w:pos="709"/>
          <w:tab w:val="left" w:pos="5145"/>
        </w:tabs>
        <w:snapToGrid w:val="0"/>
        <w:jc w:val="both"/>
        <w:rPr>
          <w:lang w:val="nl-BE"/>
        </w:rPr>
      </w:pPr>
      <w:r w:rsidRPr="00073909">
        <w:rPr>
          <w:b/>
          <w:bCs/>
          <w:lang w:val="nl-BE"/>
        </w:rPr>
        <w:t>Thomas et al</w:t>
      </w:r>
      <w:r w:rsidR="00526831" w:rsidRPr="00073909">
        <w:rPr>
          <w:b/>
          <w:bCs/>
          <w:lang w:val="nl-BE"/>
        </w:rPr>
        <w:t>.</w:t>
      </w:r>
      <w:r w:rsidRPr="00073909">
        <w:rPr>
          <w:b/>
          <w:bCs/>
          <w:lang w:val="nl-BE"/>
        </w:rPr>
        <w:t xml:space="preserve"> </w:t>
      </w:r>
      <w:r w:rsidR="00526831" w:rsidRPr="00073909">
        <w:rPr>
          <w:b/>
          <w:bCs/>
          <w:lang w:val="nl-BE"/>
        </w:rPr>
        <w:t>[</w:t>
      </w:r>
      <w:r w:rsidRPr="00073909">
        <w:rPr>
          <w:b/>
          <w:bCs/>
          <w:lang w:val="nl-BE"/>
        </w:rPr>
        <w:t>6</w:t>
      </w:r>
      <w:r w:rsidR="00526831" w:rsidRPr="00073909">
        <w:rPr>
          <w:b/>
          <w:bCs/>
          <w:lang w:val="nl-BE"/>
        </w:rPr>
        <w:t>]</w:t>
      </w:r>
      <w:r w:rsidRPr="00073909">
        <w:rPr>
          <w:lang w:val="nl-BE"/>
        </w:rPr>
        <w:t xml:space="preserve"> has found that the Guy’s stone score can predict the SFR after PCNL [6] Which they have described the evolution and substantiation of the grading system. They found that as the level of </w:t>
      </w:r>
      <w:r w:rsidRPr="00073909">
        <w:rPr>
          <w:lang w:val="nl-BE"/>
        </w:rPr>
        <w:lastRenderedPageBreak/>
        <w:t>complications increases, the success decreases. Grade 1 stones had an 81%, grade 2: 72.4% grade 3: 35% and grade 4: 29% stone free rates. The overall success rate was 62% and complications discovered in 52% of the patients with most of them Clavian grade 1 (30%).</w:t>
      </w:r>
    </w:p>
    <w:p w:rsidR="007D643B" w:rsidRPr="00073909" w:rsidRDefault="007D643B" w:rsidP="00073909">
      <w:pPr>
        <w:widowControl/>
        <w:tabs>
          <w:tab w:val="left" w:pos="567"/>
          <w:tab w:val="left" w:pos="709"/>
        </w:tabs>
        <w:snapToGrid w:val="0"/>
        <w:ind w:firstLine="425"/>
        <w:jc w:val="both"/>
        <w:rPr>
          <w:lang w:val="nl-BE"/>
        </w:rPr>
      </w:pPr>
      <w:r w:rsidRPr="00073909">
        <w:rPr>
          <w:lang w:val="nl-BE"/>
        </w:rPr>
        <w:t>Both success and complication rate is important for determination of the surgical outcome of PCNL. Success rates evaluated with a generally used &lt; 4 mm cutoff point to define CIRF and</w:t>
      </w:r>
      <w:r w:rsidR="00073909">
        <w:rPr>
          <w:lang w:val="nl-BE"/>
        </w:rPr>
        <w:t xml:space="preserve"> </w:t>
      </w:r>
      <w:r w:rsidRPr="00073909">
        <w:rPr>
          <w:lang w:val="nl-BE"/>
        </w:rPr>
        <w:t>combination of CIRF and stone free (SF).</w:t>
      </w:r>
    </w:p>
    <w:p w:rsidR="007D643B" w:rsidRPr="00073909" w:rsidRDefault="007D643B" w:rsidP="00073909">
      <w:pPr>
        <w:widowControl/>
        <w:tabs>
          <w:tab w:val="left" w:pos="567"/>
          <w:tab w:val="left" w:pos="709"/>
        </w:tabs>
        <w:autoSpaceDE/>
        <w:autoSpaceDN/>
        <w:adjustRightInd/>
        <w:snapToGrid w:val="0"/>
        <w:ind w:firstLine="425"/>
        <w:jc w:val="both"/>
        <w:rPr>
          <w:color w:val="000000"/>
          <w:lang w:val="nl-BE"/>
        </w:rPr>
      </w:pPr>
      <w:r w:rsidRPr="00073909">
        <w:rPr>
          <w:color w:val="000000"/>
          <w:lang w:val="nl-BE"/>
        </w:rPr>
        <w:t>In this work, the overall success rate was 86.25% and Guy’s stone score 1 and 2 showed a statistically significant correlation with success P&lt;0.05. The complication rate was 46.25% and Guy’s stone scores 3 and 4 had significant correlations with the complications. It determined that as the score increases, the success rates decreases and a complications increase.</w:t>
      </w:r>
    </w:p>
    <w:p w:rsidR="007D643B" w:rsidRPr="00073909" w:rsidRDefault="007D643B" w:rsidP="00073909">
      <w:pPr>
        <w:widowControl/>
        <w:autoSpaceDE/>
        <w:autoSpaceDN/>
        <w:adjustRightInd/>
        <w:snapToGrid w:val="0"/>
        <w:ind w:firstLine="425"/>
        <w:jc w:val="both"/>
        <w:rPr>
          <w:lang w:val="nl-BE"/>
        </w:rPr>
      </w:pPr>
      <w:r w:rsidRPr="00073909">
        <w:t>Mean hospital stay, days were 5 ± 1.6 (range</w:t>
      </w:r>
      <w:r w:rsidRPr="00073909">
        <w:rPr>
          <w:lang w:val="nl-BE"/>
        </w:rPr>
        <w:t xml:space="preserve"> was found ( 3 – 7 days). This was in all cases except one case of colonic injury who prolonged hospital stay up to 30 days, compared to previous studies as </w:t>
      </w:r>
      <w:r w:rsidRPr="00073909">
        <w:rPr>
          <w:b/>
          <w:bCs/>
          <w:lang w:val="nl-BE"/>
        </w:rPr>
        <w:t>Elderwy et al</w:t>
      </w:r>
      <w:r w:rsidR="00526831" w:rsidRPr="00073909">
        <w:rPr>
          <w:rStyle w:val="CommentReference"/>
          <w:sz w:val="20"/>
        </w:rPr>
        <w:t xml:space="preserve">. </w:t>
      </w:r>
      <w:r w:rsidR="00526831" w:rsidRPr="00073909">
        <w:rPr>
          <w:lang w:val="nl-BE"/>
        </w:rPr>
        <w:t>[</w:t>
      </w:r>
      <w:r w:rsidRPr="00073909">
        <w:rPr>
          <w:b/>
          <w:bCs/>
          <w:lang w:val="nl-BE"/>
        </w:rPr>
        <w:t>14</w:t>
      </w:r>
      <w:r w:rsidR="00526831" w:rsidRPr="00073909">
        <w:rPr>
          <w:lang w:val="nl-BE"/>
        </w:rPr>
        <w:t>]</w:t>
      </w:r>
      <w:r w:rsidRPr="00073909">
        <w:rPr>
          <w:lang w:val="nl-BE"/>
        </w:rPr>
        <w:t xml:space="preserve"> was found to be 3- 4 days.</w:t>
      </w:r>
    </w:p>
    <w:p w:rsidR="00073909" w:rsidRDefault="007D643B" w:rsidP="00073909">
      <w:pPr>
        <w:widowControl/>
        <w:tabs>
          <w:tab w:val="left" w:pos="567"/>
          <w:tab w:val="left" w:pos="709"/>
        </w:tabs>
        <w:snapToGrid w:val="0"/>
        <w:jc w:val="both"/>
        <w:rPr>
          <w:lang w:val="nl-BE"/>
        </w:rPr>
      </w:pPr>
      <w:r w:rsidRPr="00073909">
        <w:rPr>
          <w:b/>
          <w:bCs/>
          <w:lang w:val="nl-BE"/>
        </w:rPr>
        <w:t>Hüseyin et al</w:t>
      </w:r>
      <w:r w:rsidR="00526831" w:rsidRPr="00073909">
        <w:rPr>
          <w:b/>
          <w:bCs/>
          <w:lang w:val="nl-BE"/>
        </w:rPr>
        <w:t>.</w:t>
      </w:r>
      <w:r w:rsidR="00073909">
        <w:rPr>
          <w:b/>
          <w:bCs/>
          <w:lang w:val="nl-BE"/>
        </w:rPr>
        <w:t xml:space="preserve"> </w:t>
      </w:r>
      <w:r w:rsidR="00526831" w:rsidRPr="00073909">
        <w:rPr>
          <w:lang w:val="nl-BE"/>
        </w:rPr>
        <w:t>[</w:t>
      </w:r>
      <w:r w:rsidRPr="00073909">
        <w:rPr>
          <w:b/>
          <w:bCs/>
          <w:lang w:val="nl-BE"/>
        </w:rPr>
        <w:t>15</w:t>
      </w:r>
      <w:r w:rsidR="00526831" w:rsidRPr="00073909">
        <w:rPr>
          <w:lang w:val="nl-BE"/>
        </w:rPr>
        <w:t>]</w:t>
      </w:r>
      <w:r w:rsidRPr="00073909">
        <w:rPr>
          <w:lang w:val="nl-BE"/>
        </w:rPr>
        <w:t xml:space="preserve"> found that most patients had decreased blood hemoglobin levels following PCNL, due to haemodilution or bleeding. It is important to evaluate whether blood transfusion is necessary. Equipment size, operative time, and stone size suggested as clinical variables affecting blood loss in pediatric PCNL. In summation, the number of punctures has</w:t>
      </w:r>
      <w:r w:rsidR="00073909">
        <w:rPr>
          <w:lang w:val="nl-BE"/>
        </w:rPr>
        <w:t xml:space="preserve"> </w:t>
      </w:r>
      <w:r w:rsidRPr="00073909">
        <w:rPr>
          <w:lang w:val="nl-BE"/>
        </w:rPr>
        <w:t>identified as a case of bleeding (Blood transfusion 9 (3.09),</w:t>
      </w:r>
      <w:r w:rsidR="00073909">
        <w:rPr>
          <w:lang w:val="nl-BE"/>
        </w:rPr>
        <w:t xml:space="preserve"> </w:t>
      </w:r>
      <w:r w:rsidRPr="00073909">
        <w:rPr>
          <w:lang w:val="nl-BE"/>
        </w:rPr>
        <w:t>Double J stent fixation 8 (2.74), Fever7 (2.40) and Urinary infection 5 (1.71</w:t>
      </w:r>
      <w:r w:rsidR="00073909" w:rsidRPr="00073909">
        <w:rPr>
          <w:lang w:val="nl-BE"/>
        </w:rPr>
        <w:t>)</w:t>
      </w:r>
      <w:r w:rsidR="00073909">
        <w:rPr>
          <w:lang w:val="nl-BE"/>
        </w:rPr>
        <w:t>.</w:t>
      </w:r>
    </w:p>
    <w:p w:rsidR="007D643B" w:rsidRPr="00073909" w:rsidRDefault="007D643B" w:rsidP="00073909">
      <w:pPr>
        <w:widowControl/>
        <w:tabs>
          <w:tab w:val="left" w:pos="567"/>
          <w:tab w:val="left" w:pos="709"/>
        </w:tabs>
        <w:snapToGrid w:val="0"/>
        <w:ind w:firstLine="425"/>
        <w:jc w:val="both"/>
        <w:rPr>
          <w:lang w:val="nl-BE"/>
        </w:rPr>
      </w:pPr>
      <w:r w:rsidRPr="00073909">
        <w:rPr>
          <w:lang w:val="nl-BE"/>
        </w:rPr>
        <w:t>In this study,</w:t>
      </w:r>
      <w:r w:rsidR="00073909">
        <w:rPr>
          <w:lang w:val="nl-BE"/>
        </w:rPr>
        <w:t xml:space="preserve"> </w:t>
      </w:r>
      <w:r w:rsidRPr="00073909">
        <w:rPr>
          <w:lang w:val="nl-BE"/>
        </w:rPr>
        <w:t>complications were bleeding in 9 children</w:t>
      </w:r>
      <w:r w:rsidR="00073909">
        <w:rPr>
          <w:lang w:val="nl-BE"/>
        </w:rPr>
        <w:t xml:space="preserve"> </w:t>
      </w:r>
      <w:r w:rsidRPr="00073909">
        <w:rPr>
          <w:lang w:val="nl-BE"/>
        </w:rPr>
        <w:t>(11.25%) blood transfusion rate and we indicated that larger Amplatz sheath, stone burden and longer operative time related to the greatest transfusion rate. Four Children (5%) had a fever, which correlated with previous studies (</w:t>
      </w:r>
      <w:r w:rsidRPr="00073909">
        <w:rPr>
          <w:b/>
          <w:bCs/>
          <w:lang w:val="nl-BE"/>
        </w:rPr>
        <w:t>Table 5</w:t>
      </w:r>
      <w:r w:rsidRPr="00073909">
        <w:rPr>
          <w:lang w:val="nl-BE"/>
        </w:rPr>
        <w:t>). However; prolonged leak from nephrostomy site was found in 11 Children (13.75%), colonic injury realized in 1 child (1.25%) and pelvic injury seen in 7 children (8.75%) who were higher than previous studies due to in our series there were a large size which needs more running time and large Amplatz size.</w:t>
      </w:r>
    </w:p>
    <w:p w:rsidR="00073909" w:rsidRPr="00073909" w:rsidRDefault="00073909" w:rsidP="00073909">
      <w:pPr>
        <w:widowControl/>
        <w:autoSpaceDE/>
        <w:autoSpaceDN/>
        <w:adjustRightInd/>
        <w:snapToGrid w:val="0"/>
        <w:jc w:val="both"/>
        <w:rPr>
          <w:b/>
          <w:bCs/>
          <w:lang w:val="nl-BE"/>
        </w:rPr>
        <w:sectPr w:rsidR="00073909" w:rsidRPr="00073909" w:rsidSect="004364AE">
          <w:headerReference w:type="default" r:id="rId29"/>
          <w:footerReference w:type="even" r:id="rId30"/>
          <w:footerReference w:type="default" r:id="rId31"/>
          <w:type w:val="continuous"/>
          <w:pgSz w:w="12240" w:h="15840" w:code="1"/>
          <w:pgMar w:top="1440" w:right="1440" w:bottom="1440" w:left="1440" w:header="720" w:footer="720" w:gutter="0"/>
          <w:cols w:num="2" w:space="500"/>
          <w:docGrid w:linePitch="360"/>
        </w:sectPr>
      </w:pPr>
    </w:p>
    <w:p w:rsidR="00D333BC" w:rsidRPr="00073909" w:rsidRDefault="00D333BC" w:rsidP="00073909">
      <w:pPr>
        <w:shd w:val="clear" w:color="auto" w:fill="FFFFFF"/>
        <w:snapToGrid w:val="0"/>
        <w:jc w:val="center"/>
        <w:outlineLvl w:val="0"/>
        <w:rPr>
          <w:b/>
          <w:bCs/>
          <w:lang w:val="nl-BE"/>
        </w:rPr>
      </w:pPr>
    </w:p>
    <w:p w:rsidR="00E13698" w:rsidRPr="00073909" w:rsidRDefault="00E13698" w:rsidP="00073909">
      <w:pPr>
        <w:shd w:val="clear" w:color="auto" w:fill="FFFFFF"/>
        <w:snapToGrid w:val="0"/>
        <w:jc w:val="center"/>
        <w:outlineLvl w:val="0"/>
        <w:rPr>
          <w:lang w:val="nl-BE"/>
        </w:rPr>
      </w:pPr>
      <w:r w:rsidRPr="00073909">
        <w:rPr>
          <w:b/>
          <w:bCs/>
          <w:lang w:val="nl-BE"/>
        </w:rPr>
        <w:t>Table (</w:t>
      </w:r>
      <w:r w:rsidR="00263509" w:rsidRPr="00073909">
        <w:rPr>
          <w:b/>
          <w:bCs/>
          <w:lang w:val="nl-BE"/>
        </w:rPr>
        <w:t>5</w:t>
      </w:r>
      <w:r w:rsidRPr="00073909">
        <w:rPr>
          <w:b/>
          <w:bCs/>
          <w:lang w:val="nl-BE"/>
        </w:rPr>
        <w:t>): Comparison of complications in various studies:</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276"/>
        <w:gridCol w:w="1134"/>
        <w:gridCol w:w="1417"/>
        <w:gridCol w:w="1522"/>
        <w:gridCol w:w="1412"/>
      </w:tblGrid>
      <w:tr w:rsidR="001418E1" w:rsidRPr="00073909" w:rsidTr="00073909">
        <w:trPr>
          <w:trHeight w:val="52"/>
          <w:jc w:val="center"/>
        </w:trPr>
        <w:tc>
          <w:tcPr>
            <w:tcW w:w="2660" w:type="dxa"/>
          </w:tcPr>
          <w:p w:rsidR="001418E1" w:rsidRPr="00073909" w:rsidRDefault="001418E1" w:rsidP="00073909">
            <w:pPr>
              <w:snapToGrid w:val="0"/>
              <w:jc w:val="both"/>
              <w:outlineLvl w:val="0"/>
              <w:rPr>
                <w:b/>
                <w:bCs/>
                <w:color w:val="000000"/>
                <w:lang w:val="nl-BE"/>
              </w:rPr>
            </w:pPr>
            <w:r w:rsidRPr="00073909">
              <w:rPr>
                <w:b/>
                <w:bCs/>
                <w:color w:val="000000"/>
                <w:lang w:val="nl-BE"/>
              </w:rPr>
              <w:t>Study</w:t>
            </w:r>
          </w:p>
        </w:tc>
        <w:tc>
          <w:tcPr>
            <w:tcW w:w="1276" w:type="dxa"/>
          </w:tcPr>
          <w:p w:rsidR="001418E1" w:rsidRPr="00073909" w:rsidRDefault="001418E1" w:rsidP="00073909">
            <w:pPr>
              <w:snapToGrid w:val="0"/>
              <w:jc w:val="both"/>
              <w:outlineLvl w:val="0"/>
              <w:rPr>
                <w:b/>
                <w:bCs/>
                <w:color w:val="000000"/>
                <w:lang w:val="nl-BE"/>
              </w:rPr>
            </w:pPr>
            <w:r w:rsidRPr="00073909">
              <w:rPr>
                <w:b/>
                <w:bCs/>
                <w:color w:val="000000"/>
                <w:lang w:val="nl-BE"/>
              </w:rPr>
              <w:t>Bleeding</w:t>
            </w:r>
            <w:r w:rsidR="00073909">
              <w:rPr>
                <w:b/>
                <w:bCs/>
                <w:color w:val="000000"/>
                <w:lang w:val="nl-BE"/>
              </w:rPr>
              <w:t xml:space="preserve"> </w:t>
            </w:r>
            <w:r w:rsidRPr="00073909">
              <w:rPr>
                <w:b/>
                <w:bCs/>
                <w:color w:val="000000"/>
                <w:lang w:val="nl-BE"/>
              </w:rPr>
              <w:t>%</w:t>
            </w:r>
          </w:p>
        </w:tc>
        <w:tc>
          <w:tcPr>
            <w:tcW w:w="1134" w:type="dxa"/>
          </w:tcPr>
          <w:p w:rsidR="001418E1" w:rsidRPr="00073909" w:rsidRDefault="00801F45" w:rsidP="00073909">
            <w:pPr>
              <w:snapToGrid w:val="0"/>
              <w:jc w:val="both"/>
              <w:outlineLvl w:val="0"/>
              <w:rPr>
                <w:b/>
                <w:bCs/>
                <w:color w:val="000000"/>
                <w:lang w:val="nl-BE"/>
              </w:rPr>
            </w:pPr>
            <w:r w:rsidRPr="00073909">
              <w:rPr>
                <w:b/>
                <w:bCs/>
                <w:color w:val="000000"/>
                <w:lang w:val="nl-BE"/>
              </w:rPr>
              <w:t>Fever, %</w:t>
            </w:r>
          </w:p>
        </w:tc>
        <w:tc>
          <w:tcPr>
            <w:tcW w:w="1417" w:type="dxa"/>
          </w:tcPr>
          <w:p w:rsidR="001418E1" w:rsidRPr="00073909" w:rsidRDefault="001418E1" w:rsidP="00073909">
            <w:pPr>
              <w:snapToGrid w:val="0"/>
              <w:jc w:val="both"/>
              <w:outlineLvl w:val="0"/>
              <w:rPr>
                <w:b/>
                <w:bCs/>
                <w:color w:val="000000"/>
                <w:lang w:val="nl-BE"/>
              </w:rPr>
            </w:pPr>
            <w:r w:rsidRPr="00073909">
              <w:rPr>
                <w:b/>
                <w:bCs/>
                <w:color w:val="000000"/>
                <w:lang w:val="nl-BE"/>
              </w:rPr>
              <w:t>Colonic injury %</w:t>
            </w:r>
          </w:p>
        </w:tc>
        <w:tc>
          <w:tcPr>
            <w:tcW w:w="1522" w:type="dxa"/>
          </w:tcPr>
          <w:p w:rsidR="001418E1" w:rsidRPr="00073909" w:rsidRDefault="001418E1" w:rsidP="00073909">
            <w:pPr>
              <w:snapToGrid w:val="0"/>
              <w:jc w:val="both"/>
              <w:outlineLvl w:val="0"/>
              <w:rPr>
                <w:b/>
                <w:bCs/>
                <w:color w:val="000000"/>
                <w:lang w:val="nl-BE"/>
              </w:rPr>
            </w:pPr>
            <w:r w:rsidRPr="00073909">
              <w:rPr>
                <w:b/>
                <w:bCs/>
                <w:color w:val="000000"/>
                <w:lang w:val="nl-BE"/>
              </w:rPr>
              <w:t>Nephrostomy leak %</w:t>
            </w:r>
          </w:p>
        </w:tc>
        <w:tc>
          <w:tcPr>
            <w:tcW w:w="1412" w:type="dxa"/>
          </w:tcPr>
          <w:p w:rsidR="001418E1" w:rsidRPr="00073909" w:rsidRDefault="001418E1" w:rsidP="00073909">
            <w:pPr>
              <w:snapToGrid w:val="0"/>
              <w:jc w:val="both"/>
              <w:outlineLvl w:val="0"/>
              <w:rPr>
                <w:b/>
                <w:bCs/>
                <w:color w:val="000000"/>
                <w:lang w:val="nl-BE"/>
              </w:rPr>
            </w:pPr>
            <w:r w:rsidRPr="00073909">
              <w:rPr>
                <w:b/>
                <w:bCs/>
                <w:color w:val="000000"/>
                <w:lang w:val="nl-BE"/>
              </w:rPr>
              <w:t>Pelvic injury %</w:t>
            </w:r>
          </w:p>
        </w:tc>
      </w:tr>
      <w:tr w:rsidR="001418E1" w:rsidRPr="00073909" w:rsidTr="00073909">
        <w:trPr>
          <w:trHeight w:val="52"/>
          <w:jc w:val="center"/>
        </w:trPr>
        <w:tc>
          <w:tcPr>
            <w:tcW w:w="2660" w:type="dxa"/>
          </w:tcPr>
          <w:p w:rsidR="001418E1" w:rsidRPr="00073909" w:rsidRDefault="00EC395E" w:rsidP="00073909">
            <w:pPr>
              <w:snapToGrid w:val="0"/>
              <w:jc w:val="both"/>
              <w:outlineLvl w:val="0"/>
              <w:rPr>
                <w:color w:val="000000"/>
                <w:lang w:val="nl-BE"/>
              </w:rPr>
            </w:pPr>
            <w:r w:rsidRPr="00073909">
              <w:rPr>
                <w:rStyle w:val="authorsname"/>
                <w:color w:val="000000"/>
                <w:lang w:val="en-GB"/>
              </w:rPr>
              <w:t>Bayram</w:t>
            </w:r>
            <w:r w:rsidR="00E9019E" w:rsidRPr="00073909">
              <w:rPr>
                <w:color w:val="000000"/>
              </w:rPr>
              <w:t>et al. 201</w:t>
            </w:r>
            <w:r w:rsidRPr="00073909">
              <w:rPr>
                <w:color w:val="000000"/>
              </w:rPr>
              <w:t>2</w:t>
            </w:r>
            <w:r w:rsidR="00155B64" w:rsidRPr="00073909">
              <w:rPr>
                <w:color w:val="000000"/>
                <w:lang w:val="nl-BE"/>
              </w:rPr>
              <w:t>(</w:t>
            </w:r>
            <w:r w:rsidR="00CE36CF" w:rsidRPr="00073909">
              <w:rPr>
                <w:b/>
                <w:bCs/>
                <w:color w:val="000000"/>
                <w:lang w:val="nl-BE"/>
              </w:rPr>
              <w:t>1</w:t>
            </w:r>
            <w:r w:rsidR="00A61878" w:rsidRPr="00073909">
              <w:rPr>
                <w:b/>
                <w:bCs/>
                <w:color w:val="000000"/>
                <w:lang w:val="nl-BE"/>
              </w:rPr>
              <w:t>6</w:t>
            </w:r>
            <w:r w:rsidR="00155B64" w:rsidRPr="00073909">
              <w:rPr>
                <w:color w:val="000000"/>
                <w:lang w:val="nl-BE"/>
              </w:rPr>
              <w:t>)</w:t>
            </w:r>
          </w:p>
        </w:tc>
        <w:tc>
          <w:tcPr>
            <w:tcW w:w="1276" w:type="dxa"/>
          </w:tcPr>
          <w:p w:rsidR="001418E1" w:rsidRPr="00073909" w:rsidRDefault="00B51EAD" w:rsidP="00073909">
            <w:pPr>
              <w:snapToGrid w:val="0"/>
              <w:jc w:val="both"/>
              <w:outlineLvl w:val="0"/>
              <w:rPr>
                <w:color w:val="000000"/>
                <w:lang w:val="nl-BE"/>
              </w:rPr>
            </w:pPr>
            <w:r w:rsidRPr="00073909">
              <w:rPr>
                <w:color w:val="000000"/>
                <w:lang w:val="nl-BE"/>
              </w:rPr>
              <w:t>21</w:t>
            </w:r>
          </w:p>
        </w:tc>
        <w:tc>
          <w:tcPr>
            <w:tcW w:w="1134" w:type="dxa"/>
          </w:tcPr>
          <w:p w:rsidR="001418E1" w:rsidRPr="00073909" w:rsidRDefault="00B51EAD" w:rsidP="00073909">
            <w:pPr>
              <w:snapToGrid w:val="0"/>
              <w:jc w:val="both"/>
              <w:outlineLvl w:val="0"/>
              <w:rPr>
                <w:color w:val="000000"/>
                <w:lang w:val="nl-BE"/>
              </w:rPr>
            </w:pPr>
            <w:r w:rsidRPr="00073909">
              <w:rPr>
                <w:color w:val="000000"/>
                <w:lang w:val="nl-BE"/>
              </w:rPr>
              <w:t>31</w:t>
            </w:r>
          </w:p>
        </w:tc>
        <w:tc>
          <w:tcPr>
            <w:tcW w:w="1417" w:type="dxa"/>
          </w:tcPr>
          <w:p w:rsidR="001418E1" w:rsidRPr="00073909" w:rsidRDefault="00730E6D" w:rsidP="00073909">
            <w:pPr>
              <w:snapToGrid w:val="0"/>
              <w:jc w:val="both"/>
              <w:outlineLvl w:val="0"/>
              <w:rPr>
                <w:color w:val="000000"/>
                <w:lang w:val="nl-BE"/>
              </w:rPr>
            </w:pPr>
            <w:r w:rsidRPr="00073909">
              <w:rPr>
                <w:color w:val="000000"/>
                <w:lang w:val="nl-BE"/>
              </w:rPr>
              <w:t>0</w:t>
            </w:r>
          </w:p>
        </w:tc>
        <w:tc>
          <w:tcPr>
            <w:tcW w:w="1522" w:type="dxa"/>
          </w:tcPr>
          <w:p w:rsidR="001418E1" w:rsidRPr="00073909" w:rsidRDefault="001418E1" w:rsidP="00073909">
            <w:pPr>
              <w:snapToGrid w:val="0"/>
              <w:jc w:val="both"/>
              <w:outlineLvl w:val="0"/>
              <w:rPr>
                <w:color w:val="000000"/>
                <w:lang w:val="nl-BE"/>
              </w:rPr>
            </w:pPr>
            <w:r w:rsidRPr="00073909">
              <w:rPr>
                <w:color w:val="000000"/>
                <w:lang w:val="nl-BE"/>
              </w:rPr>
              <w:t>0</w:t>
            </w:r>
          </w:p>
        </w:tc>
        <w:tc>
          <w:tcPr>
            <w:tcW w:w="1412" w:type="dxa"/>
          </w:tcPr>
          <w:p w:rsidR="001418E1" w:rsidRPr="00073909" w:rsidRDefault="004F6894" w:rsidP="00073909">
            <w:pPr>
              <w:snapToGrid w:val="0"/>
              <w:jc w:val="both"/>
              <w:outlineLvl w:val="0"/>
              <w:rPr>
                <w:color w:val="000000"/>
                <w:lang w:val="nl-BE"/>
              </w:rPr>
            </w:pPr>
            <w:r w:rsidRPr="00073909">
              <w:rPr>
                <w:color w:val="000000"/>
                <w:lang w:val="nl-BE"/>
              </w:rPr>
              <w:t>0</w:t>
            </w:r>
          </w:p>
        </w:tc>
      </w:tr>
      <w:tr w:rsidR="001418E1" w:rsidRPr="00073909" w:rsidTr="00073909">
        <w:trPr>
          <w:trHeight w:val="52"/>
          <w:jc w:val="center"/>
        </w:trPr>
        <w:tc>
          <w:tcPr>
            <w:tcW w:w="2660" w:type="dxa"/>
          </w:tcPr>
          <w:p w:rsidR="001418E1" w:rsidRPr="00073909" w:rsidRDefault="00A3562B" w:rsidP="00073909">
            <w:pPr>
              <w:snapToGrid w:val="0"/>
              <w:jc w:val="both"/>
              <w:outlineLvl w:val="0"/>
              <w:rPr>
                <w:color w:val="000000"/>
                <w:lang w:val="nl-BE"/>
              </w:rPr>
            </w:pPr>
            <w:r w:rsidRPr="00073909">
              <w:rPr>
                <w:color w:val="000000"/>
                <w:lang w:val="en-GB"/>
              </w:rPr>
              <w:t>Unsal</w:t>
            </w:r>
            <w:r w:rsidR="004F6894" w:rsidRPr="00073909">
              <w:rPr>
                <w:color w:val="000000"/>
                <w:lang w:val="nl-BE"/>
              </w:rPr>
              <w:t xml:space="preserve"> et al. 2010</w:t>
            </w:r>
            <w:r w:rsidR="00155B64" w:rsidRPr="00073909">
              <w:rPr>
                <w:color w:val="000000"/>
                <w:lang w:val="nl-BE"/>
              </w:rPr>
              <w:t xml:space="preserve"> (</w:t>
            </w:r>
            <w:r w:rsidR="009A4A27" w:rsidRPr="00073909">
              <w:rPr>
                <w:color w:val="000000"/>
                <w:lang w:val="nl-BE"/>
              </w:rPr>
              <w:t>9</w:t>
            </w:r>
            <w:r w:rsidR="00155B64" w:rsidRPr="00073909">
              <w:rPr>
                <w:color w:val="000000"/>
                <w:lang w:val="nl-BE"/>
              </w:rPr>
              <w:t>)</w:t>
            </w:r>
          </w:p>
        </w:tc>
        <w:tc>
          <w:tcPr>
            <w:tcW w:w="1276" w:type="dxa"/>
          </w:tcPr>
          <w:p w:rsidR="001418E1" w:rsidRPr="00073909" w:rsidRDefault="004F6894" w:rsidP="00073909">
            <w:pPr>
              <w:snapToGrid w:val="0"/>
              <w:jc w:val="both"/>
              <w:outlineLvl w:val="0"/>
              <w:rPr>
                <w:color w:val="000000"/>
                <w:lang w:val="nl-BE"/>
              </w:rPr>
            </w:pPr>
            <w:r w:rsidRPr="00073909">
              <w:rPr>
                <w:color w:val="000000"/>
                <w:lang w:val="nl-BE"/>
              </w:rPr>
              <w:t>13.3</w:t>
            </w:r>
          </w:p>
        </w:tc>
        <w:tc>
          <w:tcPr>
            <w:tcW w:w="1134" w:type="dxa"/>
          </w:tcPr>
          <w:p w:rsidR="001418E1" w:rsidRPr="00073909" w:rsidRDefault="004F6894" w:rsidP="00073909">
            <w:pPr>
              <w:snapToGrid w:val="0"/>
              <w:jc w:val="both"/>
              <w:outlineLvl w:val="0"/>
              <w:rPr>
                <w:color w:val="000000"/>
                <w:lang w:val="nl-BE"/>
              </w:rPr>
            </w:pPr>
            <w:r w:rsidRPr="00073909">
              <w:rPr>
                <w:color w:val="000000"/>
                <w:lang w:val="nl-BE"/>
              </w:rPr>
              <w:t>13.3</w:t>
            </w:r>
          </w:p>
        </w:tc>
        <w:tc>
          <w:tcPr>
            <w:tcW w:w="1417" w:type="dxa"/>
          </w:tcPr>
          <w:p w:rsidR="001418E1" w:rsidRPr="00073909" w:rsidRDefault="001418E1" w:rsidP="00073909">
            <w:pPr>
              <w:snapToGrid w:val="0"/>
              <w:jc w:val="both"/>
              <w:outlineLvl w:val="0"/>
              <w:rPr>
                <w:color w:val="000000"/>
                <w:lang w:val="nl-BE"/>
              </w:rPr>
            </w:pPr>
            <w:r w:rsidRPr="00073909">
              <w:rPr>
                <w:color w:val="000000"/>
                <w:lang w:val="nl-BE"/>
              </w:rPr>
              <w:t>0</w:t>
            </w:r>
          </w:p>
        </w:tc>
        <w:tc>
          <w:tcPr>
            <w:tcW w:w="1522" w:type="dxa"/>
          </w:tcPr>
          <w:p w:rsidR="001418E1" w:rsidRPr="00073909" w:rsidRDefault="001418E1" w:rsidP="00073909">
            <w:pPr>
              <w:snapToGrid w:val="0"/>
              <w:jc w:val="both"/>
              <w:outlineLvl w:val="0"/>
              <w:rPr>
                <w:color w:val="000000"/>
                <w:lang w:val="nl-BE"/>
              </w:rPr>
            </w:pPr>
            <w:r w:rsidRPr="00073909">
              <w:rPr>
                <w:color w:val="000000"/>
                <w:lang w:val="nl-BE"/>
              </w:rPr>
              <w:t>5.4</w:t>
            </w:r>
          </w:p>
        </w:tc>
        <w:tc>
          <w:tcPr>
            <w:tcW w:w="1412" w:type="dxa"/>
          </w:tcPr>
          <w:p w:rsidR="001418E1" w:rsidRPr="00073909" w:rsidRDefault="001418E1" w:rsidP="00073909">
            <w:pPr>
              <w:snapToGrid w:val="0"/>
              <w:jc w:val="both"/>
              <w:outlineLvl w:val="0"/>
              <w:rPr>
                <w:color w:val="000000"/>
                <w:lang w:val="nl-BE"/>
              </w:rPr>
            </w:pPr>
            <w:r w:rsidRPr="00073909">
              <w:rPr>
                <w:color w:val="000000"/>
                <w:lang w:val="nl-BE"/>
              </w:rPr>
              <w:t>0</w:t>
            </w:r>
          </w:p>
        </w:tc>
      </w:tr>
      <w:tr w:rsidR="001418E1" w:rsidRPr="00073909" w:rsidTr="00073909">
        <w:trPr>
          <w:trHeight w:val="52"/>
          <w:jc w:val="center"/>
        </w:trPr>
        <w:tc>
          <w:tcPr>
            <w:tcW w:w="2660" w:type="dxa"/>
          </w:tcPr>
          <w:p w:rsidR="001418E1" w:rsidRPr="00073909" w:rsidRDefault="004F6894" w:rsidP="00073909">
            <w:pPr>
              <w:snapToGrid w:val="0"/>
              <w:jc w:val="both"/>
              <w:outlineLvl w:val="0"/>
              <w:rPr>
                <w:color w:val="000000"/>
                <w:lang w:val="nl-BE"/>
              </w:rPr>
            </w:pPr>
            <w:r w:rsidRPr="00073909">
              <w:rPr>
                <w:color w:val="000000"/>
                <w:lang w:val="en-GB"/>
              </w:rPr>
              <w:t>Nouralizadeh</w:t>
            </w:r>
            <w:r w:rsidR="00E92D08" w:rsidRPr="00073909">
              <w:rPr>
                <w:color w:val="000000"/>
              </w:rPr>
              <w:t xml:space="preserve"> et al</w:t>
            </w:r>
            <w:r w:rsidR="0050448F" w:rsidRPr="00073909">
              <w:rPr>
                <w:color w:val="000000"/>
              </w:rPr>
              <w:t xml:space="preserve">. </w:t>
            </w:r>
            <w:r w:rsidR="00E9019E" w:rsidRPr="00073909">
              <w:rPr>
                <w:color w:val="000000"/>
              </w:rPr>
              <w:t>20</w:t>
            </w:r>
            <w:r w:rsidR="00A61878" w:rsidRPr="00073909">
              <w:rPr>
                <w:color w:val="000000"/>
              </w:rPr>
              <w:t>07 (17)</w:t>
            </w:r>
          </w:p>
        </w:tc>
        <w:tc>
          <w:tcPr>
            <w:tcW w:w="1276" w:type="dxa"/>
          </w:tcPr>
          <w:p w:rsidR="001418E1" w:rsidRPr="00073909" w:rsidRDefault="001418E1" w:rsidP="00073909">
            <w:pPr>
              <w:snapToGrid w:val="0"/>
              <w:jc w:val="both"/>
              <w:outlineLvl w:val="0"/>
              <w:rPr>
                <w:color w:val="000000"/>
                <w:lang w:val="nl-BE"/>
              </w:rPr>
            </w:pPr>
            <w:r w:rsidRPr="00073909">
              <w:rPr>
                <w:color w:val="000000"/>
                <w:lang w:val="nl-BE"/>
              </w:rPr>
              <w:t>6.</w:t>
            </w:r>
            <w:r w:rsidR="005F249C" w:rsidRPr="00073909">
              <w:rPr>
                <w:color w:val="000000"/>
                <w:lang w:val="nl-BE"/>
              </w:rPr>
              <w:t>65</w:t>
            </w:r>
          </w:p>
        </w:tc>
        <w:tc>
          <w:tcPr>
            <w:tcW w:w="1134" w:type="dxa"/>
          </w:tcPr>
          <w:p w:rsidR="001418E1" w:rsidRPr="00073909" w:rsidRDefault="00EC395E" w:rsidP="00073909">
            <w:pPr>
              <w:snapToGrid w:val="0"/>
              <w:jc w:val="both"/>
              <w:outlineLvl w:val="0"/>
              <w:rPr>
                <w:color w:val="000000"/>
                <w:lang w:val="nl-BE"/>
              </w:rPr>
            </w:pPr>
            <w:r w:rsidRPr="00073909">
              <w:rPr>
                <w:color w:val="000000"/>
                <w:lang w:val="nl-BE"/>
              </w:rPr>
              <w:t>13.3</w:t>
            </w:r>
          </w:p>
        </w:tc>
        <w:tc>
          <w:tcPr>
            <w:tcW w:w="1417" w:type="dxa"/>
          </w:tcPr>
          <w:p w:rsidR="001418E1" w:rsidRPr="00073909" w:rsidRDefault="00DF239B" w:rsidP="00073909">
            <w:pPr>
              <w:snapToGrid w:val="0"/>
              <w:jc w:val="both"/>
              <w:outlineLvl w:val="0"/>
              <w:rPr>
                <w:color w:val="000000"/>
                <w:lang w:val="nl-BE"/>
              </w:rPr>
            </w:pPr>
            <w:r w:rsidRPr="00073909">
              <w:rPr>
                <w:color w:val="000000"/>
                <w:lang w:val="nl-BE"/>
              </w:rPr>
              <w:t>2.8</w:t>
            </w:r>
          </w:p>
        </w:tc>
        <w:tc>
          <w:tcPr>
            <w:tcW w:w="1522" w:type="dxa"/>
          </w:tcPr>
          <w:p w:rsidR="001418E1" w:rsidRPr="00073909" w:rsidRDefault="001418E1" w:rsidP="00073909">
            <w:pPr>
              <w:snapToGrid w:val="0"/>
              <w:jc w:val="both"/>
              <w:outlineLvl w:val="0"/>
              <w:rPr>
                <w:color w:val="000000"/>
                <w:lang w:val="nl-BE"/>
              </w:rPr>
            </w:pPr>
            <w:r w:rsidRPr="00073909">
              <w:rPr>
                <w:color w:val="000000"/>
                <w:lang w:val="nl-BE"/>
              </w:rPr>
              <w:t>8</w:t>
            </w:r>
          </w:p>
        </w:tc>
        <w:tc>
          <w:tcPr>
            <w:tcW w:w="1412" w:type="dxa"/>
          </w:tcPr>
          <w:p w:rsidR="001418E1" w:rsidRPr="00073909" w:rsidRDefault="00EC395E" w:rsidP="00073909">
            <w:pPr>
              <w:snapToGrid w:val="0"/>
              <w:jc w:val="both"/>
              <w:outlineLvl w:val="0"/>
              <w:rPr>
                <w:color w:val="000000"/>
                <w:lang w:val="nl-BE"/>
              </w:rPr>
            </w:pPr>
            <w:r w:rsidRPr="00073909">
              <w:rPr>
                <w:color w:val="000000"/>
                <w:lang w:val="nl-BE"/>
              </w:rPr>
              <w:t>6.65</w:t>
            </w:r>
          </w:p>
        </w:tc>
      </w:tr>
      <w:tr w:rsidR="001418E1" w:rsidRPr="00073909" w:rsidTr="00073909">
        <w:trPr>
          <w:trHeight w:val="52"/>
          <w:jc w:val="center"/>
        </w:trPr>
        <w:tc>
          <w:tcPr>
            <w:tcW w:w="2660" w:type="dxa"/>
          </w:tcPr>
          <w:p w:rsidR="001418E1" w:rsidRPr="00073909" w:rsidRDefault="001418E1" w:rsidP="00073909">
            <w:pPr>
              <w:snapToGrid w:val="0"/>
              <w:jc w:val="both"/>
              <w:outlineLvl w:val="0"/>
              <w:rPr>
                <w:color w:val="000000"/>
                <w:lang w:val="nl-BE"/>
              </w:rPr>
            </w:pPr>
            <w:r w:rsidRPr="00073909">
              <w:rPr>
                <w:color w:val="000000"/>
                <w:lang w:val="nl-BE"/>
              </w:rPr>
              <w:t>Present study</w:t>
            </w:r>
          </w:p>
        </w:tc>
        <w:tc>
          <w:tcPr>
            <w:tcW w:w="1276" w:type="dxa"/>
          </w:tcPr>
          <w:p w:rsidR="001418E1" w:rsidRPr="00073909" w:rsidRDefault="001418E1" w:rsidP="00073909">
            <w:pPr>
              <w:snapToGrid w:val="0"/>
              <w:jc w:val="both"/>
              <w:outlineLvl w:val="0"/>
              <w:rPr>
                <w:color w:val="000000"/>
                <w:lang w:val="nl-BE"/>
              </w:rPr>
            </w:pPr>
            <w:r w:rsidRPr="00073909">
              <w:rPr>
                <w:color w:val="000000"/>
                <w:lang w:val="nl-BE"/>
              </w:rPr>
              <w:t>11.</w:t>
            </w:r>
            <w:r w:rsidR="00333F1F" w:rsidRPr="00073909">
              <w:rPr>
                <w:color w:val="000000"/>
                <w:lang w:val="nl-BE"/>
              </w:rPr>
              <w:t>25</w:t>
            </w:r>
          </w:p>
        </w:tc>
        <w:tc>
          <w:tcPr>
            <w:tcW w:w="1134" w:type="dxa"/>
          </w:tcPr>
          <w:p w:rsidR="001418E1" w:rsidRPr="00073909" w:rsidRDefault="00333F1F" w:rsidP="00073909">
            <w:pPr>
              <w:snapToGrid w:val="0"/>
              <w:jc w:val="both"/>
              <w:outlineLvl w:val="0"/>
              <w:rPr>
                <w:color w:val="000000"/>
                <w:lang w:val="nl-BE"/>
              </w:rPr>
            </w:pPr>
            <w:r w:rsidRPr="00073909">
              <w:rPr>
                <w:color w:val="000000"/>
                <w:lang w:val="nl-BE"/>
              </w:rPr>
              <w:t>5</w:t>
            </w:r>
          </w:p>
        </w:tc>
        <w:tc>
          <w:tcPr>
            <w:tcW w:w="1417" w:type="dxa"/>
          </w:tcPr>
          <w:p w:rsidR="001418E1" w:rsidRPr="00073909" w:rsidRDefault="003106BE" w:rsidP="00073909">
            <w:pPr>
              <w:snapToGrid w:val="0"/>
              <w:jc w:val="both"/>
              <w:outlineLvl w:val="0"/>
              <w:rPr>
                <w:color w:val="000000"/>
                <w:lang w:val="nl-BE"/>
              </w:rPr>
            </w:pPr>
            <w:r w:rsidRPr="00073909">
              <w:rPr>
                <w:color w:val="000000"/>
                <w:lang w:val="nl-BE"/>
              </w:rPr>
              <w:t>1</w:t>
            </w:r>
            <w:r w:rsidR="001418E1" w:rsidRPr="00073909">
              <w:rPr>
                <w:color w:val="000000"/>
                <w:lang w:val="nl-BE"/>
              </w:rPr>
              <w:t>.</w:t>
            </w:r>
            <w:r w:rsidR="00333F1F" w:rsidRPr="00073909">
              <w:rPr>
                <w:color w:val="000000"/>
                <w:lang w:val="nl-BE"/>
              </w:rPr>
              <w:t>25</w:t>
            </w:r>
          </w:p>
        </w:tc>
        <w:tc>
          <w:tcPr>
            <w:tcW w:w="1522" w:type="dxa"/>
          </w:tcPr>
          <w:p w:rsidR="001418E1" w:rsidRPr="00073909" w:rsidRDefault="00333F1F" w:rsidP="00073909">
            <w:pPr>
              <w:snapToGrid w:val="0"/>
              <w:jc w:val="both"/>
              <w:outlineLvl w:val="0"/>
              <w:rPr>
                <w:color w:val="000000"/>
                <w:lang w:val="nl-BE"/>
              </w:rPr>
            </w:pPr>
            <w:r w:rsidRPr="00073909">
              <w:rPr>
                <w:color w:val="000000"/>
                <w:lang w:val="nl-BE"/>
              </w:rPr>
              <w:t>13.25</w:t>
            </w:r>
          </w:p>
        </w:tc>
        <w:tc>
          <w:tcPr>
            <w:tcW w:w="1412" w:type="dxa"/>
          </w:tcPr>
          <w:p w:rsidR="001418E1" w:rsidRPr="00073909" w:rsidRDefault="003106BE" w:rsidP="00073909">
            <w:pPr>
              <w:snapToGrid w:val="0"/>
              <w:jc w:val="both"/>
              <w:outlineLvl w:val="0"/>
              <w:rPr>
                <w:color w:val="000000"/>
                <w:lang w:val="nl-BE"/>
              </w:rPr>
            </w:pPr>
            <w:r w:rsidRPr="00073909">
              <w:rPr>
                <w:color w:val="000000"/>
                <w:lang w:val="nl-BE"/>
              </w:rPr>
              <w:t>3</w:t>
            </w:r>
            <w:r w:rsidR="001418E1" w:rsidRPr="00073909">
              <w:rPr>
                <w:color w:val="000000"/>
                <w:lang w:val="nl-BE"/>
              </w:rPr>
              <w:t>.</w:t>
            </w:r>
            <w:r w:rsidR="00333F1F" w:rsidRPr="00073909">
              <w:rPr>
                <w:color w:val="000000"/>
                <w:lang w:val="nl-BE"/>
              </w:rPr>
              <w:t>75</w:t>
            </w:r>
          </w:p>
        </w:tc>
      </w:tr>
    </w:tbl>
    <w:p w:rsidR="00073909" w:rsidRDefault="00073909" w:rsidP="00073909">
      <w:pPr>
        <w:shd w:val="clear" w:color="auto" w:fill="FFFFFF"/>
        <w:snapToGrid w:val="0"/>
        <w:ind w:firstLine="425"/>
        <w:jc w:val="both"/>
        <w:outlineLvl w:val="0"/>
        <w:rPr>
          <w:rFonts w:eastAsiaTheme="minorEastAsia"/>
          <w:lang w:eastAsia="zh-CN"/>
        </w:rPr>
      </w:pPr>
    </w:p>
    <w:p w:rsidR="009406D0" w:rsidRPr="009406D0" w:rsidRDefault="009406D0" w:rsidP="00073909">
      <w:pPr>
        <w:shd w:val="clear" w:color="auto" w:fill="FFFFFF"/>
        <w:snapToGrid w:val="0"/>
        <w:ind w:firstLine="425"/>
        <w:jc w:val="both"/>
        <w:outlineLvl w:val="0"/>
        <w:rPr>
          <w:rFonts w:eastAsiaTheme="minorEastAsia"/>
          <w:lang w:eastAsia="zh-CN"/>
        </w:rPr>
        <w:sectPr w:rsidR="009406D0" w:rsidRPr="009406D0" w:rsidSect="004364AE">
          <w:headerReference w:type="default" r:id="rId32"/>
          <w:footerReference w:type="even" r:id="rId33"/>
          <w:footerReference w:type="default" r:id="rId34"/>
          <w:type w:val="continuous"/>
          <w:pgSz w:w="12240" w:h="15840" w:code="1"/>
          <w:pgMar w:top="1440" w:right="1440" w:bottom="1440" w:left="1440" w:header="720" w:footer="720" w:gutter="0"/>
          <w:cols w:space="720"/>
          <w:docGrid w:linePitch="360"/>
        </w:sectPr>
      </w:pPr>
    </w:p>
    <w:p w:rsidR="00B6146D" w:rsidRPr="00073909" w:rsidRDefault="006F1009" w:rsidP="00073909">
      <w:pPr>
        <w:shd w:val="clear" w:color="auto" w:fill="FFFFFF"/>
        <w:snapToGrid w:val="0"/>
        <w:ind w:firstLine="425"/>
        <w:jc w:val="both"/>
        <w:outlineLvl w:val="0"/>
        <w:rPr>
          <w:lang w:val="nl-BE"/>
        </w:rPr>
      </w:pPr>
      <w:r w:rsidRPr="00073909">
        <w:lastRenderedPageBreak/>
        <w:t>Most complications were minor and insignificant</w:t>
      </w:r>
      <w:r w:rsidR="0050448F" w:rsidRPr="00073909">
        <w:rPr>
          <w:lang w:val="nl-BE"/>
        </w:rPr>
        <w:t xml:space="preserve">. </w:t>
      </w:r>
      <w:r w:rsidR="00143F00" w:rsidRPr="00073909">
        <w:rPr>
          <w:lang w:val="nl-BE"/>
        </w:rPr>
        <w:t>There were</w:t>
      </w:r>
      <w:r w:rsidR="00F938CF" w:rsidRPr="00073909">
        <w:rPr>
          <w:lang w:val="nl-BE"/>
        </w:rPr>
        <w:t xml:space="preserve"> no major complications developed in this study as</w:t>
      </w:r>
      <w:r w:rsidR="00073909">
        <w:rPr>
          <w:lang w:val="nl-BE"/>
        </w:rPr>
        <w:t xml:space="preserve"> </w:t>
      </w:r>
      <w:r w:rsidR="00F938CF" w:rsidRPr="00073909">
        <w:rPr>
          <w:lang w:val="nl-BE"/>
        </w:rPr>
        <w:t>pneumothorax or hemothorax</w:t>
      </w:r>
      <w:r w:rsidR="001D4767" w:rsidRPr="00073909">
        <w:rPr>
          <w:lang w:val="nl-BE"/>
        </w:rPr>
        <w:t>.</w:t>
      </w:r>
    </w:p>
    <w:p w:rsidR="00B6146D" w:rsidRPr="00073909" w:rsidRDefault="00B6146D" w:rsidP="00073909">
      <w:pPr>
        <w:shd w:val="clear" w:color="auto" w:fill="FFFFFF"/>
        <w:snapToGrid w:val="0"/>
        <w:jc w:val="both"/>
        <w:outlineLvl w:val="0"/>
        <w:rPr>
          <w:lang w:val="nl-BE"/>
        </w:rPr>
      </w:pPr>
    </w:p>
    <w:p w:rsidR="00B124FE" w:rsidRPr="00073909" w:rsidRDefault="00B124FE" w:rsidP="00073909">
      <w:pPr>
        <w:shd w:val="clear" w:color="auto" w:fill="FFFFFF"/>
        <w:snapToGrid w:val="0"/>
        <w:jc w:val="both"/>
        <w:outlineLvl w:val="0"/>
        <w:rPr>
          <w:b/>
          <w:bCs/>
          <w:lang w:val="nl-BE"/>
        </w:rPr>
      </w:pPr>
      <w:r w:rsidRPr="00073909">
        <w:rPr>
          <w:b/>
          <w:bCs/>
        </w:rPr>
        <w:t>Limitations and weaknesses:</w:t>
      </w:r>
    </w:p>
    <w:p w:rsidR="00B124FE" w:rsidRPr="00073909" w:rsidRDefault="00134983" w:rsidP="00073909">
      <w:pPr>
        <w:widowControl/>
        <w:autoSpaceDE/>
        <w:autoSpaceDN/>
        <w:adjustRightInd/>
        <w:snapToGrid w:val="0"/>
        <w:ind w:firstLine="425"/>
        <w:jc w:val="both"/>
      </w:pPr>
      <w:r w:rsidRPr="00073909">
        <w:t xml:space="preserve">We have reasoned that the Guy’s stone score can predict the </w:t>
      </w:r>
      <w:r w:rsidR="002E1934" w:rsidRPr="00073909">
        <w:t>stone free rate</w:t>
      </w:r>
      <w:r w:rsidRPr="00073909">
        <w:t xml:space="preserve"> and have insignificant correlation with </w:t>
      </w:r>
      <w:r w:rsidR="002E1934" w:rsidRPr="00073909">
        <w:t>complications</w:t>
      </w:r>
      <w:r w:rsidR="00073909">
        <w:t xml:space="preserve"> </w:t>
      </w:r>
      <w:r w:rsidRPr="00073909">
        <w:t xml:space="preserve">due to the small patient group of this study in which 80 patients </w:t>
      </w:r>
      <w:r w:rsidR="002E1934" w:rsidRPr="00073909">
        <w:t>studied</w:t>
      </w:r>
      <w:r w:rsidRPr="00073909">
        <w:t>.</w:t>
      </w:r>
    </w:p>
    <w:p w:rsidR="00BC3697" w:rsidRPr="00073909" w:rsidRDefault="00134983" w:rsidP="00073909">
      <w:pPr>
        <w:widowControl/>
        <w:autoSpaceDE/>
        <w:autoSpaceDN/>
        <w:adjustRightInd/>
        <w:snapToGrid w:val="0"/>
        <w:ind w:firstLine="425"/>
        <w:jc w:val="both"/>
      </w:pPr>
      <w:r w:rsidRPr="00073909">
        <w:t>On the other hand, the retrospective survey may have restricted the ability to capture some of the Clavian grade 1 complications.</w:t>
      </w:r>
    </w:p>
    <w:p w:rsidR="00D333BC" w:rsidRPr="00073909" w:rsidRDefault="00D333BC" w:rsidP="00073909">
      <w:pPr>
        <w:widowControl/>
        <w:autoSpaceDE/>
        <w:autoSpaceDN/>
        <w:adjustRightInd/>
        <w:snapToGrid w:val="0"/>
        <w:jc w:val="both"/>
        <w:rPr>
          <w:b/>
          <w:bCs/>
        </w:rPr>
      </w:pPr>
    </w:p>
    <w:p w:rsidR="00E953D7" w:rsidRPr="00073909" w:rsidRDefault="00D333BC" w:rsidP="00073909">
      <w:pPr>
        <w:widowControl/>
        <w:autoSpaceDE/>
        <w:autoSpaceDN/>
        <w:adjustRightInd/>
        <w:snapToGrid w:val="0"/>
        <w:jc w:val="both"/>
        <w:rPr>
          <w:b/>
          <w:bCs/>
        </w:rPr>
      </w:pPr>
      <w:r w:rsidRPr="00073909">
        <w:rPr>
          <w:b/>
          <w:bCs/>
        </w:rPr>
        <w:t>Conclusions:</w:t>
      </w:r>
    </w:p>
    <w:p w:rsidR="00603D97" w:rsidRPr="00073909" w:rsidRDefault="00134983" w:rsidP="00073909">
      <w:pPr>
        <w:widowControl/>
        <w:shd w:val="clear" w:color="auto" w:fill="FFFFFF"/>
        <w:autoSpaceDE/>
        <w:autoSpaceDN/>
        <w:adjustRightInd/>
        <w:snapToGrid w:val="0"/>
        <w:ind w:firstLine="425"/>
        <w:jc w:val="both"/>
        <w:rPr>
          <w:b/>
          <w:bCs/>
          <w:u w:val="single"/>
        </w:rPr>
      </w:pPr>
      <w:r w:rsidRPr="00073909">
        <w:t>PCNL in pediatric patients is a highly efficient modality of discourse, albeit with a fairly high complication rate</w:t>
      </w:r>
      <w:r w:rsidR="00516F46" w:rsidRPr="00073909">
        <w:t>. M</w:t>
      </w:r>
      <w:r w:rsidRPr="00073909">
        <w:t xml:space="preserve">ini-PNL and micro-PNL concepts have </w:t>
      </w:r>
      <w:r w:rsidR="00516F46" w:rsidRPr="00073909">
        <w:t>introduced</w:t>
      </w:r>
      <w:r w:rsidRPr="00073909">
        <w:t>, which reduce tract dilatation</w:t>
      </w:r>
      <w:r w:rsidR="00516F46" w:rsidRPr="00073909">
        <w:t xml:space="preserve"> and reduce severe complications such as bleeding</w:t>
      </w:r>
      <w:r w:rsidR="00073909" w:rsidRPr="00073909">
        <w:t>.</w:t>
      </w:r>
      <w:r w:rsidR="00073909">
        <w:t xml:space="preserve"> </w:t>
      </w:r>
      <w:r w:rsidR="00073909" w:rsidRPr="00073909">
        <w:t>M</w:t>
      </w:r>
      <w:r w:rsidRPr="00073909">
        <w:t>ini-PNL is more common, especially in children, The guy's stone score has a good correlation both with success and complications</w:t>
      </w:r>
      <w:r w:rsidR="00073909" w:rsidRPr="00073909">
        <w:t>.</w:t>
      </w:r>
    </w:p>
    <w:p w:rsidR="00D333BC" w:rsidRPr="00073909" w:rsidRDefault="00D333BC" w:rsidP="00073909">
      <w:pPr>
        <w:widowControl/>
        <w:shd w:val="clear" w:color="auto" w:fill="FFFFFF"/>
        <w:tabs>
          <w:tab w:val="left" w:pos="3460"/>
        </w:tabs>
        <w:autoSpaceDE/>
        <w:autoSpaceDN/>
        <w:adjustRightInd/>
        <w:snapToGrid w:val="0"/>
        <w:jc w:val="both"/>
        <w:rPr>
          <w:b/>
          <w:bCs/>
        </w:rPr>
      </w:pPr>
    </w:p>
    <w:p w:rsidR="00B16472" w:rsidRPr="00073909" w:rsidRDefault="00131BA9" w:rsidP="00073909">
      <w:pPr>
        <w:widowControl/>
        <w:shd w:val="clear" w:color="auto" w:fill="FFFFFF"/>
        <w:tabs>
          <w:tab w:val="left" w:pos="3460"/>
        </w:tabs>
        <w:autoSpaceDE/>
        <w:autoSpaceDN/>
        <w:adjustRightInd/>
        <w:snapToGrid w:val="0"/>
        <w:jc w:val="both"/>
      </w:pPr>
      <w:r w:rsidRPr="00073909">
        <w:rPr>
          <w:b/>
          <w:bCs/>
        </w:rPr>
        <w:t>References</w:t>
      </w:r>
      <w:r w:rsidRPr="00073909">
        <w:t>:-</w:t>
      </w:r>
    </w:p>
    <w:p w:rsidR="00073909" w:rsidRDefault="00293527" w:rsidP="00073909">
      <w:pPr>
        <w:pStyle w:val="ListParagraph"/>
        <w:widowControl/>
        <w:numPr>
          <w:ilvl w:val="0"/>
          <w:numId w:val="13"/>
        </w:numPr>
        <w:snapToGrid w:val="0"/>
        <w:ind w:left="425" w:hanging="425"/>
        <w:jc w:val="both"/>
        <w:rPr>
          <w:rFonts w:eastAsiaTheme="minorHAnsi"/>
        </w:rPr>
      </w:pPr>
      <w:r w:rsidRPr="00073909">
        <w:rPr>
          <w:rFonts w:eastAsiaTheme="minorHAnsi"/>
          <w:lang w:val="fr-FR"/>
        </w:rPr>
        <w:t>Novak TE, Lakshmanan Y, Trock BJ et al</w:t>
      </w:r>
      <w:r w:rsidR="00F07680" w:rsidRPr="00073909">
        <w:rPr>
          <w:rFonts w:eastAsiaTheme="minorHAnsi"/>
          <w:lang w:val="fr-FR"/>
        </w:rPr>
        <w:t xml:space="preserve"> (2009)</w:t>
      </w:r>
      <w:r w:rsidRPr="00073909">
        <w:rPr>
          <w:rFonts w:eastAsiaTheme="minorHAnsi"/>
          <w:lang w:val="fr-FR"/>
        </w:rPr>
        <w:t xml:space="preserve">. </w:t>
      </w:r>
      <w:r w:rsidRPr="00073909">
        <w:rPr>
          <w:rFonts w:eastAsiaTheme="minorHAnsi"/>
        </w:rPr>
        <w:t xml:space="preserve">Sex prevalence of pediatric kidney stone disease in the United States: an epidemiologic investigation. </w:t>
      </w:r>
      <w:r w:rsidRPr="00073909">
        <w:rPr>
          <w:rFonts w:eastAsiaTheme="minorHAnsi"/>
          <w:i/>
          <w:iCs/>
        </w:rPr>
        <w:t>Urology</w:t>
      </w:r>
      <w:r w:rsidRPr="00073909">
        <w:rPr>
          <w:rFonts w:eastAsiaTheme="minorHAnsi"/>
        </w:rPr>
        <w:t>; 74: 104–</w:t>
      </w:r>
      <w:r w:rsidR="00073909" w:rsidRPr="00073909">
        <w:rPr>
          <w:rFonts w:eastAsiaTheme="minorHAnsi"/>
        </w:rPr>
        <w:t>7</w:t>
      </w:r>
      <w:r w:rsidR="00073909">
        <w:rPr>
          <w:rFonts w:eastAsiaTheme="minorHAnsi"/>
        </w:rPr>
        <w:t>.</w:t>
      </w:r>
    </w:p>
    <w:p w:rsidR="00FB4C09" w:rsidRPr="00073909" w:rsidRDefault="00FB4C09" w:rsidP="00073909">
      <w:pPr>
        <w:pStyle w:val="ListParagraph"/>
        <w:widowControl/>
        <w:numPr>
          <w:ilvl w:val="0"/>
          <w:numId w:val="13"/>
        </w:numPr>
        <w:autoSpaceDE/>
        <w:autoSpaceDN/>
        <w:adjustRightInd/>
        <w:snapToGrid w:val="0"/>
        <w:ind w:left="425" w:hanging="425"/>
        <w:jc w:val="both"/>
      </w:pPr>
      <w:r w:rsidRPr="00073909">
        <w:t>Rosette JJ, Opondo D, Daels FP, Giusti G, Serrano A, Kandasami SV</w:t>
      </w:r>
      <w:r w:rsidR="00F07680" w:rsidRPr="00073909">
        <w:t>(</w:t>
      </w:r>
      <w:r w:rsidR="003346D4" w:rsidRPr="00073909">
        <w:t>2012</w:t>
      </w:r>
      <w:r w:rsidR="00F07680" w:rsidRPr="00073909">
        <w:t>)</w:t>
      </w:r>
      <w:r w:rsidR="00431BA3" w:rsidRPr="00073909">
        <w:t>.</w:t>
      </w:r>
      <w:r w:rsidR="00B6146D" w:rsidRPr="00073909">
        <w:t xml:space="preserve"> </w:t>
      </w:r>
      <w:r w:rsidR="00801F45" w:rsidRPr="00073909">
        <w:t>Categorization</w:t>
      </w:r>
      <w:r w:rsidRPr="00073909">
        <w:t xml:space="preserve"> of complications and validation of the Clavien</w:t>
      </w:r>
      <w:r w:rsidR="00801F45" w:rsidRPr="00073909">
        <w:t>scores</w:t>
      </w:r>
      <w:r w:rsidRPr="00073909">
        <w:t xml:space="preserve"> for </w:t>
      </w:r>
      <w:r w:rsidR="00801F45" w:rsidRPr="00073909">
        <w:t>percutaneous</w:t>
      </w:r>
      <w:r w:rsidR="00B6146D" w:rsidRPr="00073909">
        <w:t xml:space="preserve"> </w:t>
      </w:r>
      <w:r w:rsidR="00310EC7" w:rsidRPr="00073909">
        <w:t>nephrolithotomy. EUR</w:t>
      </w:r>
      <w:r w:rsidR="00B6146D" w:rsidRPr="00073909">
        <w:t xml:space="preserve">, </w:t>
      </w:r>
      <w:r w:rsidRPr="00073909">
        <w:t>Urol</w:t>
      </w:r>
      <w:r w:rsidR="00B6146D" w:rsidRPr="00073909">
        <w:t>.</w:t>
      </w:r>
      <w:r w:rsidR="00F1222C" w:rsidRPr="00073909">
        <w:t>; 62</w:t>
      </w:r>
      <w:r w:rsidR="00293527" w:rsidRPr="00073909">
        <w:t xml:space="preserve"> (</w:t>
      </w:r>
      <w:r w:rsidRPr="00073909">
        <w:t>2)</w:t>
      </w:r>
      <w:r w:rsidR="00293527" w:rsidRPr="00073909">
        <w:t xml:space="preserve">: </w:t>
      </w:r>
      <w:r w:rsidRPr="00073909">
        <w:t>246-55.</w:t>
      </w:r>
    </w:p>
    <w:p w:rsidR="00073909" w:rsidRDefault="00F1222C" w:rsidP="00073909">
      <w:pPr>
        <w:pStyle w:val="ListParagraph"/>
        <w:widowControl/>
        <w:numPr>
          <w:ilvl w:val="0"/>
          <w:numId w:val="13"/>
        </w:numPr>
        <w:autoSpaceDE/>
        <w:autoSpaceDN/>
        <w:adjustRightInd/>
        <w:snapToGrid w:val="0"/>
        <w:ind w:left="425" w:hanging="425"/>
        <w:jc w:val="both"/>
      </w:pPr>
      <w:r w:rsidRPr="00073909">
        <w:t>Dindo D, Demartines N, and Clavien PA</w:t>
      </w:r>
      <w:r w:rsidR="00B6146D" w:rsidRPr="00073909">
        <w:t xml:space="preserve"> </w:t>
      </w:r>
      <w:r w:rsidR="00F07680" w:rsidRPr="00073909">
        <w:t>(</w:t>
      </w:r>
      <w:r w:rsidR="003346D4" w:rsidRPr="00073909">
        <w:t>2004</w:t>
      </w:r>
      <w:r w:rsidR="00F07680" w:rsidRPr="00073909">
        <w:t>)</w:t>
      </w:r>
      <w:r w:rsidRPr="00073909">
        <w:t xml:space="preserve">. Classification of surgical complications: a new proposal with evaluation in a cohort of 6336 patients and results of a </w:t>
      </w:r>
      <w:r w:rsidR="00801F45" w:rsidRPr="00073909">
        <w:t>survey</w:t>
      </w:r>
      <w:r w:rsidRPr="00073909">
        <w:t>. Ann Surg</w:t>
      </w:r>
      <w:r w:rsidR="007A1D87" w:rsidRPr="00073909">
        <w:t>; 240</w:t>
      </w:r>
      <w:r w:rsidR="00535C31" w:rsidRPr="00073909">
        <w:t xml:space="preserve"> (</w:t>
      </w:r>
      <w:r w:rsidRPr="00073909">
        <w:t>2)</w:t>
      </w:r>
      <w:r w:rsidR="00535C31" w:rsidRPr="00073909">
        <w:t xml:space="preserve">: </w:t>
      </w:r>
      <w:r w:rsidRPr="00073909">
        <w:t>205-1</w:t>
      </w:r>
      <w:r w:rsidR="00073909" w:rsidRPr="00073909">
        <w:t>3</w:t>
      </w:r>
      <w:r w:rsidR="00073909">
        <w:t>.</w:t>
      </w:r>
    </w:p>
    <w:p w:rsidR="00073909" w:rsidRDefault="0025011C" w:rsidP="00073909">
      <w:pPr>
        <w:pStyle w:val="ListParagraph"/>
        <w:widowControl/>
        <w:numPr>
          <w:ilvl w:val="0"/>
          <w:numId w:val="13"/>
        </w:numPr>
        <w:autoSpaceDE/>
        <w:autoSpaceDN/>
        <w:adjustRightInd/>
        <w:snapToGrid w:val="0"/>
        <w:ind w:left="425" w:hanging="425"/>
        <w:jc w:val="both"/>
      </w:pPr>
      <w:r w:rsidRPr="00073909">
        <w:t>Akman T, Binbay M, Sari E, Yuruk E, Tepeler A, Akcay M</w:t>
      </w:r>
      <w:r w:rsidR="00F07680" w:rsidRPr="00073909">
        <w:t>(</w:t>
      </w:r>
      <w:r w:rsidR="003346D4" w:rsidRPr="00073909">
        <w:t>2011</w:t>
      </w:r>
      <w:r w:rsidR="00F07680" w:rsidRPr="00073909">
        <w:t>)</w:t>
      </w:r>
      <w:r w:rsidRPr="00073909">
        <w:t xml:space="preserve">. </w:t>
      </w:r>
      <w:r w:rsidR="00474999" w:rsidRPr="00073909">
        <w:t>Factor's</w:t>
      </w:r>
      <w:r w:rsidR="00B6146D" w:rsidRPr="00073909">
        <w:t xml:space="preserve"> </w:t>
      </w:r>
      <w:r w:rsidR="00801F45" w:rsidRPr="00073909">
        <w:t>affecting</w:t>
      </w:r>
      <w:r w:rsidRPr="00073909">
        <w:t xml:space="preserve"> bleeding during percutaneous nephrolithotomy: single surgeon experience. J Endourol</w:t>
      </w:r>
      <w:r w:rsidR="00930767" w:rsidRPr="00073909">
        <w:t>; 25</w:t>
      </w:r>
      <w:r w:rsidRPr="00073909">
        <w:t>(2):327-3</w:t>
      </w:r>
      <w:r w:rsidR="00073909" w:rsidRPr="00073909">
        <w:t>3</w:t>
      </w:r>
      <w:r w:rsidR="00073909">
        <w:t>.</w:t>
      </w:r>
    </w:p>
    <w:p w:rsidR="0025011C" w:rsidRPr="00073909" w:rsidRDefault="0025011C" w:rsidP="00073909">
      <w:pPr>
        <w:pStyle w:val="ListParagraph"/>
        <w:widowControl/>
        <w:numPr>
          <w:ilvl w:val="0"/>
          <w:numId w:val="13"/>
        </w:numPr>
        <w:autoSpaceDE/>
        <w:autoSpaceDN/>
        <w:adjustRightInd/>
        <w:snapToGrid w:val="0"/>
        <w:ind w:left="425" w:hanging="425"/>
        <w:jc w:val="both"/>
      </w:pPr>
      <w:r w:rsidRPr="00073909">
        <w:t>Muslumanoglu AY, Tefekli A, Karadag MA, Tok A, Sari E, and Berberoglu Y</w:t>
      </w:r>
      <w:r w:rsidR="00F07680" w:rsidRPr="00073909">
        <w:t>(</w:t>
      </w:r>
      <w:r w:rsidR="00EB2D4D" w:rsidRPr="00073909">
        <w:t>2006</w:t>
      </w:r>
      <w:r w:rsidR="00F07680" w:rsidRPr="00073909">
        <w:t>)</w:t>
      </w:r>
      <w:r w:rsidRPr="00073909">
        <w:t xml:space="preserve">. Impact </w:t>
      </w:r>
      <w:r w:rsidR="00801F45" w:rsidRPr="00073909">
        <w:t>on</w:t>
      </w:r>
      <w:r w:rsidRPr="00073909">
        <w:t xml:space="preserve"> percutaneous access point number and location on complication and success rates in percutaneous nephrolithotomy</w:t>
      </w:r>
      <w:r w:rsidR="00073909" w:rsidRPr="00073909">
        <w:t>.</w:t>
      </w:r>
      <w:r w:rsidR="00073909">
        <w:t xml:space="preserve"> </w:t>
      </w:r>
      <w:r w:rsidR="00073909" w:rsidRPr="00073909">
        <w:t>U</w:t>
      </w:r>
      <w:r w:rsidRPr="00073909">
        <w:t>rol Int;77</w:t>
      </w:r>
      <w:r w:rsidR="00801F45" w:rsidRPr="00073909">
        <w:t xml:space="preserve"> (</w:t>
      </w:r>
      <w:r w:rsidRPr="00073909">
        <w:t>4)</w:t>
      </w:r>
      <w:r w:rsidR="00801F45" w:rsidRPr="00073909">
        <w:t xml:space="preserve">: </w:t>
      </w:r>
      <w:r w:rsidRPr="00073909">
        <w:t>340-6.</w:t>
      </w:r>
    </w:p>
    <w:p w:rsidR="00073909" w:rsidRDefault="0025011C" w:rsidP="00073909">
      <w:pPr>
        <w:pStyle w:val="Heading3"/>
        <w:numPr>
          <w:ilvl w:val="0"/>
          <w:numId w:val="13"/>
        </w:numPr>
        <w:snapToGrid w:val="0"/>
        <w:spacing w:before="0" w:beforeAutospacing="0" w:after="0" w:afterAutospacing="0"/>
        <w:ind w:left="425" w:hanging="425"/>
        <w:jc w:val="both"/>
        <w:rPr>
          <w:b w:val="0"/>
          <w:bCs w:val="0"/>
          <w:sz w:val="20"/>
          <w:szCs w:val="20"/>
        </w:rPr>
      </w:pPr>
      <w:r w:rsidRPr="00073909">
        <w:rPr>
          <w:b w:val="0"/>
          <w:bCs w:val="0"/>
          <w:sz w:val="20"/>
          <w:szCs w:val="20"/>
        </w:rPr>
        <w:t>Thomas K, Smith NC, Hegarty N, and Glass JM</w:t>
      </w:r>
      <w:r w:rsidR="00F07680" w:rsidRPr="00073909">
        <w:rPr>
          <w:b w:val="0"/>
          <w:bCs w:val="0"/>
          <w:sz w:val="20"/>
          <w:szCs w:val="20"/>
        </w:rPr>
        <w:t>(</w:t>
      </w:r>
      <w:r w:rsidR="00D61E4F" w:rsidRPr="00073909">
        <w:rPr>
          <w:b w:val="0"/>
          <w:bCs w:val="0"/>
          <w:sz w:val="20"/>
          <w:szCs w:val="20"/>
        </w:rPr>
        <w:t>2011</w:t>
      </w:r>
      <w:r w:rsidR="00F07680" w:rsidRPr="00073909">
        <w:rPr>
          <w:b w:val="0"/>
          <w:bCs w:val="0"/>
          <w:sz w:val="20"/>
          <w:szCs w:val="20"/>
        </w:rPr>
        <w:t>)</w:t>
      </w:r>
      <w:r w:rsidR="00D333BC" w:rsidRPr="00073909">
        <w:rPr>
          <w:b w:val="0"/>
          <w:bCs w:val="0"/>
          <w:sz w:val="20"/>
          <w:szCs w:val="20"/>
        </w:rPr>
        <w:t>. The Guy’s stone score-</w:t>
      </w:r>
      <w:r w:rsidRPr="00073909">
        <w:rPr>
          <w:b w:val="0"/>
          <w:bCs w:val="0"/>
          <w:sz w:val="20"/>
          <w:szCs w:val="20"/>
        </w:rPr>
        <w:t xml:space="preserve">grading the </w:t>
      </w:r>
      <w:r w:rsidRPr="00073909">
        <w:rPr>
          <w:b w:val="0"/>
          <w:bCs w:val="0"/>
          <w:sz w:val="20"/>
          <w:szCs w:val="20"/>
        </w:rPr>
        <w:lastRenderedPageBreak/>
        <w:t>complexity of percutaneous nephrolithotomy procedures. Urology</w:t>
      </w:r>
      <w:r w:rsidR="00930767" w:rsidRPr="00073909">
        <w:rPr>
          <w:b w:val="0"/>
          <w:bCs w:val="0"/>
          <w:sz w:val="20"/>
          <w:szCs w:val="20"/>
        </w:rPr>
        <w:t>; 78</w:t>
      </w:r>
      <w:r w:rsidR="00801F45" w:rsidRPr="00073909">
        <w:rPr>
          <w:b w:val="0"/>
          <w:bCs w:val="0"/>
          <w:sz w:val="20"/>
          <w:szCs w:val="20"/>
        </w:rPr>
        <w:t xml:space="preserve"> (</w:t>
      </w:r>
      <w:r w:rsidR="00BC1A2C" w:rsidRPr="00073909">
        <w:rPr>
          <w:b w:val="0"/>
          <w:bCs w:val="0"/>
          <w:sz w:val="20"/>
          <w:szCs w:val="20"/>
        </w:rPr>
        <w:t>2)</w:t>
      </w:r>
      <w:r w:rsidR="00801F45" w:rsidRPr="00073909">
        <w:rPr>
          <w:b w:val="0"/>
          <w:bCs w:val="0"/>
          <w:sz w:val="20"/>
          <w:szCs w:val="20"/>
        </w:rPr>
        <w:t xml:space="preserve">: </w:t>
      </w:r>
      <w:r w:rsidR="00BC1A2C" w:rsidRPr="00073909">
        <w:rPr>
          <w:b w:val="0"/>
          <w:bCs w:val="0"/>
          <w:sz w:val="20"/>
          <w:szCs w:val="20"/>
        </w:rPr>
        <w:t>277-8</w:t>
      </w:r>
      <w:r w:rsidR="00073909" w:rsidRPr="00073909">
        <w:rPr>
          <w:b w:val="0"/>
          <w:bCs w:val="0"/>
          <w:sz w:val="20"/>
          <w:szCs w:val="20"/>
        </w:rPr>
        <w:t>1</w:t>
      </w:r>
      <w:r w:rsidR="00073909">
        <w:rPr>
          <w:b w:val="0"/>
          <w:bCs w:val="0"/>
          <w:sz w:val="20"/>
          <w:szCs w:val="20"/>
        </w:rPr>
        <w:t>.</w:t>
      </w:r>
    </w:p>
    <w:p w:rsidR="00A17353" w:rsidRPr="00073909" w:rsidRDefault="00A17353" w:rsidP="00073909">
      <w:pPr>
        <w:pStyle w:val="ListParagraph"/>
        <w:widowControl/>
        <w:numPr>
          <w:ilvl w:val="0"/>
          <w:numId w:val="13"/>
        </w:numPr>
        <w:autoSpaceDE/>
        <w:autoSpaceDN/>
        <w:adjustRightInd/>
        <w:snapToGrid w:val="0"/>
        <w:ind w:left="425" w:hanging="425"/>
        <w:jc w:val="both"/>
      </w:pPr>
      <w:r w:rsidRPr="00073909">
        <w:t xml:space="preserve">Coward RJ, Peters CJ, Duffy </w:t>
      </w:r>
      <w:r w:rsidR="00801F45" w:rsidRPr="00073909">
        <w:t>PG, et</w:t>
      </w:r>
      <w:r w:rsidRPr="00073909">
        <w:t xml:space="preserve"> al</w:t>
      </w:r>
      <w:r w:rsidR="006E70CB">
        <w:rPr>
          <w:rFonts w:eastAsiaTheme="minorEastAsia" w:hint="eastAsia"/>
          <w:lang w:eastAsia="zh-CN"/>
        </w:rPr>
        <w:t xml:space="preserve"> </w:t>
      </w:r>
      <w:r w:rsidR="00F07680" w:rsidRPr="00073909">
        <w:t>(</w:t>
      </w:r>
      <w:r w:rsidR="00FA09FA" w:rsidRPr="00073909">
        <w:t>2003</w:t>
      </w:r>
      <w:r w:rsidR="00F07680" w:rsidRPr="00073909">
        <w:t>)</w:t>
      </w:r>
      <w:r w:rsidR="00073909" w:rsidRPr="00073909">
        <w:t>.</w:t>
      </w:r>
      <w:r w:rsidR="00073909">
        <w:t xml:space="preserve"> </w:t>
      </w:r>
      <w:r w:rsidR="00073909" w:rsidRPr="00073909">
        <w:t>E</w:t>
      </w:r>
      <w:r w:rsidRPr="00073909">
        <w:t xml:space="preserve">pidemiology of </w:t>
      </w:r>
      <w:r w:rsidR="00801F45" w:rsidRPr="00073909">
        <w:t>pediatric</w:t>
      </w:r>
      <w:r w:rsidRPr="00073909">
        <w:t xml:space="preserve"> renal stone disease in the UK</w:t>
      </w:r>
      <w:r w:rsidR="00073909" w:rsidRPr="00073909">
        <w:t>.</w:t>
      </w:r>
      <w:r w:rsidR="00073909">
        <w:t xml:space="preserve"> </w:t>
      </w:r>
      <w:r w:rsidR="00073909" w:rsidRPr="00073909">
        <w:t>A</w:t>
      </w:r>
      <w:r w:rsidRPr="00073909">
        <w:t>rch Dis Child.; 88:96.</w:t>
      </w:r>
    </w:p>
    <w:p w:rsidR="00A17353" w:rsidRPr="00073909" w:rsidRDefault="00A17353" w:rsidP="00073909">
      <w:pPr>
        <w:pStyle w:val="ListParagraph"/>
        <w:widowControl/>
        <w:numPr>
          <w:ilvl w:val="0"/>
          <w:numId w:val="13"/>
        </w:numPr>
        <w:autoSpaceDE/>
        <w:autoSpaceDN/>
        <w:adjustRightInd/>
        <w:snapToGrid w:val="0"/>
        <w:ind w:left="425" w:hanging="425"/>
        <w:jc w:val="both"/>
      </w:pPr>
      <w:r w:rsidRPr="00073909">
        <w:t>Fraser M, Joyce AD, Thomas DFM et al</w:t>
      </w:r>
      <w:r w:rsidR="006E70CB">
        <w:rPr>
          <w:rFonts w:eastAsiaTheme="minorEastAsia" w:hint="eastAsia"/>
          <w:lang w:eastAsia="zh-CN"/>
        </w:rPr>
        <w:t xml:space="preserve"> </w:t>
      </w:r>
      <w:r w:rsidR="00F07680" w:rsidRPr="00073909">
        <w:t>(</w:t>
      </w:r>
      <w:r w:rsidR="00FA09FA" w:rsidRPr="00073909">
        <w:t>1999</w:t>
      </w:r>
      <w:r w:rsidR="00F07680" w:rsidRPr="00073909">
        <w:t>)</w:t>
      </w:r>
      <w:r w:rsidR="00073909" w:rsidRPr="00073909">
        <w:t>.</w:t>
      </w:r>
      <w:r w:rsidR="00073909">
        <w:t xml:space="preserve"> </w:t>
      </w:r>
      <w:r w:rsidR="00073909" w:rsidRPr="00073909">
        <w:t>M</w:t>
      </w:r>
      <w:r w:rsidRPr="00073909">
        <w:t>inimally invasive treatment of urinary tract calculi in children. BJU Int; 84:339-342.</w:t>
      </w:r>
    </w:p>
    <w:p w:rsidR="00073909" w:rsidRDefault="00A3562B" w:rsidP="00073909">
      <w:pPr>
        <w:pStyle w:val="ListParagraph"/>
        <w:widowControl/>
        <w:numPr>
          <w:ilvl w:val="0"/>
          <w:numId w:val="13"/>
        </w:numPr>
        <w:autoSpaceDE/>
        <w:autoSpaceDN/>
        <w:adjustRightInd/>
        <w:snapToGrid w:val="0"/>
        <w:ind w:left="425" w:hanging="425"/>
        <w:jc w:val="both"/>
        <w:rPr>
          <w:lang w:val="en-GB"/>
        </w:rPr>
      </w:pPr>
      <w:r w:rsidRPr="00073909">
        <w:rPr>
          <w:lang w:val="en-GB"/>
        </w:rPr>
        <w:t>Unsal A, Resorlu B, Kara C et al (2010) Safety and efficacy of percutaneous nephrolithotomy in infants, preschool age, and older children with different sizes of instruments. Urology 76(1):247–25</w:t>
      </w:r>
      <w:r w:rsidR="00073909" w:rsidRPr="00073909">
        <w:rPr>
          <w:lang w:val="en-GB"/>
        </w:rPr>
        <w:t>2</w:t>
      </w:r>
      <w:r w:rsidR="00073909">
        <w:rPr>
          <w:lang w:val="en-GB"/>
        </w:rPr>
        <w:t>.</w:t>
      </w:r>
    </w:p>
    <w:p w:rsidR="00A17353" w:rsidRPr="00073909" w:rsidRDefault="00A17353" w:rsidP="00073909">
      <w:pPr>
        <w:pStyle w:val="ListParagraph"/>
        <w:widowControl/>
        <w:numPr>
          <w:ilvl w:val="0"/>
          <w:numId w:val="13"/>
        </w:numPr>
        <w:autoSpaceDE/>
        <w:autoSpaceDN/>
        <w:adjustRightInd/>
        <w:snapToGrid w:val="0"/>
        <w:ind w:left="425" w:hanging="425"/>
        <w:jc w:val="both"/>
      </w:pPr>
      <w:r w:rsidRPr="00073909">
        <w:t>Woodside JR, Stevens GF, Stark GL et al</w:t>
      </w:r>
      <w:r w:rsidR="00F07680" w:rsidRPr="00073909">
        <w:t>(1985)</w:t>
      </w:r>
      <w:r w:rsidRPr="00073909">
        <w:t>. Percutaneous stone removal in children. J Urol; 134: 1166-1167.</w:t>
      </w:r>
    </w:p>
    <w:p w:rsidR="00A17353" w:rsidRPr="00073909" w:rsidRDefault="00A17353" w:rsidP="00073909">
      <w:pPr>
        <w:pStyle w:val="ListParagraph"/>
        <w:widowControl/>
        <w:numPr>
          <w:ilvl w:val="0"/>
          <w:numId w:val="13"/>
        </w:numPr>
        <w:autoSpaceDE/>
        <w:autoSpaceDN/>
        <w:adjustRightInd/>
        <w:snapToGrid w:val="0"/>
        <w:ind w:left="425" w:hanging="425"/>
        <w:jc w:val="both"/>
      </w:pPr>
      <w:r w:rsidRPr="00073909">
        <w:t>Chibber PJ</w:t>
      </w:r>
      <w:r w:rsidR="00526831" w:rsidRPr="00073909">
        <w:t xml:space="preserve"> </w:t>
      </w:r>
      <w:r w:rsidR="00D36370" w:rsidRPr="00073909">
        <w:t>(</w:t>
      </w:r>
      <w:r w:rsidR="007F348F" w:rsidRPr="00073909">
        <w:t>1993</w:t>
      </w:r>
      <w:r w:rsidR="00D36370" w:rsidRPr="00073909">
        <w:t>)</w:t>
      </w:r>
      <w:r w:rsidRPr="00073909">
        <w:t>.</w:t>
      </w:r>
      <w:r w:rsidR="00526831" w:rsidRPr="00073909">
        <w:t xml:space="preserve"> </w:t>
      </w:r>
      <w:r w:rsidRPr="00073909">
        <w:t>Percutaneous nephrolithotomy for large and staghorn calculi. J Endourol; 7 (4): 293 - 5.</w:t>
      </w:r>
    </w:p>
    <w:p w:rsidR="009A4A27" w:rsidRPr="00073909" w:rsidRDefault="009A4A27" w:rsidP="00073909">
      <w:pPr>
        <w:pStyle w:val="ListParagraph"/>
        <w:widowControl/>
        <w:numPr>
          <w:ilvl w:val="0"/>
          <w:numId w:val="13"/>
        </w:numPr>
        <w:autoSpaceDE/>
        <w:autoSpaceDN/>
        <w:adjustRightInd/>
        <w:snapToGrid w:val="0"/>
        <w:ind w:left="425" w:hanging="425"/>
        <w:jc w:val="both"/>
      </w:pPr>
      <w:r w:rsidRPr="00073909">
        <w:t>Turk C, Knoll T, Petrik A, Sarica</w:t>
      </w:r>
      <w:r w:rsidR="00002AB7" w:rsidRPr="00073909">
        <w:t>, Skolarikos A,</w:t>
      </w:r>
      <w:r w:rsidRPr="00073909">
        <w:t xml:space="preserve"> Straub M, and Seitz C</w:t>
      </w:r>
      <w:r w:rsidR="00D36370" w:rsidRPr="00073909">
        <w:t>(</w:t>
      </w:r>
      <w:r w:rsidR="00EB2D4D" w:rsidRPr="00073909">
        <w:t>2016</w:t>
      </w:r>
      <w:r w:rsidR="00D36370" w:rsidRPr="00073909">
        <w:t>)</w:t>
      </w:r>
      <w:r w:rsidRPr="00073909">
        <w:t xml:space="preserve">. EAU Guidelines on Urolithiasis. In: members of the European Association of Urology (EAU) Guidelines Office, editors. EAU Guidelines, edition presented at the Arnhem, </w:t>
      </w:r>
      <w:r w:rsidR="00930767" w:rsidRPr="00073909">
        <w:t>the</w:t>
      </w:r>
      <w:r w:rsidRPr="00073909">
        <w:t xml:space="preserve"> Netherlands: EAU Guidelines Office;.</w:t>
      </w:r>
    </w:p>
    <w:p w:rsidR="00073909" w:rsidRDefault="005C19FE" w:rsidP="00073909">
      <w:pPr>
        <w:pStyle w:val="ListParagraph"/>
        <w:widowControl/>
        <w:numPr>
          <w:ilvl w:val="0"/>
          <w:numId w:val="13"/>
        </w:numPr>
        <w:autoSpaceDE/>
        <w:autoSpaceDN/>
        <w:adjustRightInd/>
        <w:snapToGrid w:val="0"/>
        <w:ind w:left="425" w:hanging="425"/>
        <w:jc w:val="both"/>
      </w:pPr>
      <w:r w:rsidRPr="00073909">
        <w:t xml:space="preserve">Samad </w:t>
      </w:r>
      <w:r w:rsidR="00930767" w:rsidRPr="00073909">
        <w:t>L, Aquil</w:t>
      </w:r>
      <w:r w:rsidRPr="00073909">
        <w:t xml:space="preserve"> S and Ziadi</w:t>
      </w:r>
      <w:r w:rsidR="006E70CB">
        <w:rPr>
          <w:rFonts w:eastAsiaTheme="minorEastAsia" w:hint="eastAsia"/>
          <w:lang w:eastAsia="zh-CN"/>
        </w:rPr>
        <w:t xml:space="preserve"> </w:t>
      </w:r>
      <w:r w:rsidR="00930767" w:rsidRPr="00073909">
        <w:t>Z</w:t>
      </w:r>
      <w:r w:rsidR="006E70CB">
        <w:rPr>
          <w:rFonts w:eastAsiaTheme="minorEastAsia" w:hint="eastAsia"/>
          <w:lang w:eastAsia="zh-CN"/>
        </w:rPr>
        <w:t xml:space="preserve"> </w:t>
      </w:r>
      <w:r w:rsidR="00D36370" w:rsidRPr="00073909">
        <w:t>(</w:t>
      </w:r>
      <w:r w:rsidR="00EB2D4D" w:rsidRPr="00073909">
        <w:t>2006</w:t>
      </w:r>
      <w:r w:rsidR="00D36370" w:rsidRPr="00073909">
        <w:t>)</w:t>
      </w:r>
      <w:r w:rsidR="00930767" w:rsidRPr="00073909">
        <w:t>:</w:t>
      </w:r>
      <w:r w:rsidRPr="00073909">
        <w:t xml:space="preserve"> pediatric </w:t>
      </w:r>
      <w:r w:rsidR="00801F45" w:rsidRPr="00073909">
        <w:t>percutaneous</w:t>
      </w:r>
      <w:r w:rsidR="00526831" w:rsidRPr="00073909">
        <w:t xml:space="preserve"> </w:t>
      </w:r>
      <w:r w:rsidR="002E1E67" w:rsidRPr="00073909">
        <w:t>nephrolithotomy setting new frontiers BJU Int</w:t>
      </w:r>
      <w:r w:rsidR="00930767" w:rsidRPr="00073909">
        <w:t>; 97:359</w:t>
      </w:r>
      <w:r w:rsidR="002E1E67" w:rsidRPr="00073909">
        <w:t xml:space="preserve"> -6</w:t>
      </w:r>
      <w:r w:rsidR="00073909" w:rsidRPr="00073909">
        <w:t>3</w:t>
      </w:r>
      <w:r w:rsidR="00073909">
        <w:t>.</w:t>
      </w:r>
    </w:p>
    <w:p w:rsidR="00696A90" w:rsidRPr="00073909" w:rsidRDefault="00696A90" w:rsidP="00073909">
      <w:pPr>
        <w:pStyle w:val="ListParagraph"/>
        <w:numPr>
          <w:ilvl w:val="0"/>
          <w:numId w:val="13"/>
        </w:numPr>
        <w:snapToGrid w:val="0"/>
        <w:ind w:left="425" w:hanging="425"/>
        <w:jc w:val="both"/>
        <w:rPr>
          <w:rFonts w:eastAsia="MyriadPro-Regular"/>
        </w:rPr>
      </w:pPr>
      <w:r w:rsidRPr="00073909">
        <w:t>1Elderwy AA, Gadelmoula M, Elgammal MA, Osama E, Al-Hazmi H, Hammouda H, Osman E, Abdullah MA, Neel KF</w:t>
      </w:r>
      <w:r w:rsidR="00D36370" w:rsidRPr="00073909">
        <w:t>(</w:t>
      </w:r>
      <w:r w:rsidR="007F348F" w:rsidRPr="00073909">
        <w:t>2014</w:t>
      </w:r>
      <w:r w:rsidR="00D36370" w:rsidRPr="00073909">
        <w:t>)</w:t>
      </w:r>
      <w:r w:rsidRPr="00073909">
        <w:t>. Percutaneous nephrolithotomy in children: A preliminary report. Urol Ann; 6:187-91.</w:t>
      </w:r>
    </w:p>
    <w:p w:rsidR="00A61878" w:rsidRPr="00073909" w:rsidRDefault="00717F25" w:rsidP="00073909">
      <w:pPr>
        <w:pStyle w:val="icon--meta-keyline-before"/>
        <w:numPr>
          <w:ilvl w:val="0"/>
          <w:numId w:val="13"/>
        </w:numPr>
        <w:snapToGrid w:val="0"/>
        <w:spacing w:before="0" w:beforeAutospacing="0" w:after="0" w:afterAutospacing="0"/>
        <w:ind w:left="425" w:hanging="425"/>
        <w:jc w:val="both"/>
        <w:rPr>
          <w:sz w:val="20"/>
          <w:szCs w:val="20"/>
        </w:rPr>
      </w:pPr>
      <w:r w:rsidRPr="00073909">
        <w:rPr>
          <w:sz w:val="20"/>
          <w:szCs w:val="20"/>
        </w:rPr>
        <w:t>Hüseyin Ç.</w:t>
      </w:r>
      <w:r w:rsidR="00A61878" w:rsidRPr="00073909">
        <w:rPr>
          <w:sz w:val="20"/>
          <w:szCs w:val="20"/>
        </w:rPr>
        <w:t>, Ahmet Ç</w:t>
      </w:r>
      <w:r w:rsidRPr="00073909">
        <w:rPr>
          <w:sz w:val="20"/>
          <w:szCs w:val="20"/>
        </w:rPr>
        <w:t>.</w:t>
      </w:r>
      <w:r w:rsidR="00A61878" w:rsidRPr="00073909">
        <w:rPr>
          <w:sz w:val="20"/>
          <w:szCs w:val="20"/>
        </w:rPr>
        <w:t>, Ramazan A</w:t>
      </w:r>
      <w:r w:rsidRPr="00073909">
        <w:rPr>
          <w:sz w:val="20"/>
          <w:szCs w:val="20"/>
        </w:rPr>
        <w:t>.</w:t>
      </w:r>
      <w:r w:rsidR="00A61878" w:rsidRPr="00073909">
        <w:rPr>
          <w:sz w:val="20"/>
          <w:szCs w:val="20"/>
        </w:rPr>
        <w:t>, Cemal T</w:t>
      </w:r>
      <w:r w:rsidRPr="00073909">
        <w:rPr>
          <w:sz w:val="20"/>
          <w:szCs w:val="20"/>
        </w:rPr>
        <w:t>.</w:t>
      </w:r>
      <w:r w:rsidR="00A61878" w:rsidRPr="00073909">
        <w:rPr>
          <w:sz w:val="20"/>
          <w:szCs w:val="20"/>
        </w:rPr>
        <w:t>, İbrahim Topcu, S</w:t>
      </w:r>
      <w:r w:rsidRPr="00073909">
        <w:rPr>
          <w:sz w:val="20"/>
          <w:szCs w:val="20"/>
        </w:rPr>
        <w:t>.</w:t>
      </w:r>
      <w:r w:rsidR="00526831" w:rsidRPr="00073909">
        <w:rPr>
          <w:sz w:val="20"/>
          <w:szCs w:val="20"/>
        </w:rPr>
        <w:t xml:space="preserve"> </w:t>
      </w:r>
      <w:r w:rsidR="00A61878" w:rsidRPr="00073909">
        <w:rPr>
          <w:sz w:val="20"/>
          <w:szCs w:val="20"/>
        </w:rPr>
        <w:t>Çimen, Ali G</w:t>
      </w:r>
      <w:r w:rsidR="009C2B3A" w:rsidRPr="00073909">
        <w:rPr>
          <w:sz w:val="20"/>
          <w:szCs w:val="20"/>
        </w:rPr>
        <w:t>. (2015)</w:t>
      </w:r>
      <w:r w:rsidRPr="00073909">
        <w:rPr>
          <w:sz w:val="20"/>
          <w:szCs w:val="20"/>
        </w:rPr>
        <w:t xml:space="preserve">:- </w:t>
      </w:r>
      <w:r w:rsidR="00D333BC" w:rsidRPr="00073909">
        <w:rPr>
          <w:sz w:val="20"/>
          <w:szCs w:val="20"/>
        </w:rPr>
        <w:t>Percutaneous Nephrolithotomy For Paediatric Stone Disease Emj</w:t>
      </w:r>
      <w:r w:rsidR="00D34D9A">
        <w:rPr>
          <w:rFonts w:eastAsiaTheme="minorEastAsia" w:hint="eastAsia"/>
          <w:sz w:val="20"/>
          <w:szCs w:val="20"/>
          <w:lang w:eastAsia="zh-CN"/>
        </w:rPr>
        <w:t xml:space="preserve"> </w:t>
      </w:r>
      <w:r w:rsidRPr="00073909">
        <w:rPr>
          <w:sz w:val="20"/>
          <w:szCs w:val="20"/>
        </w:rPr>
        <w:t>Urol. 2015;3[3]:73-76.</w:t>
      </w:r>
    </w:p>
    <w:p w:rsidR="00073909" w:rsidRDefault="00EC395E" w:rsidP="00073909">
      <w:pPr>
        <w:pStyle w:val="icon--meta-keyline-before"/>
        <w:numPr>
          <w:ilvl w:val="0"/>
          <w:numId w:val="13"/>
        </w:numPr>
        <w:snapToGrid w:val="0"/>
        <w:spacing w:before="0" w:beforeAutospacing="0" w:after="0" w:afterAutospacing="0"/>
        <w:ind w:left="425" w:hanging="425"/>
        <w:jc w:val="both"/>
        <w:rPr>
          <w:rStyle w:val="articlecitationpages"/>
          <w:sz w:val="20"/>
          <w:szCs w:val="20"/>
          <w:lang w:val="en-GB"/>
        </w:rPr>
      </w:pPr>
      <w:r w:rsidRPr="00073909">
        <w:rPr>
          <w:sz w:val="20"/>
          <w:szCs w:val="20"/>
          <w:lang w:val="en-GB"/>
        </w:rPr>
        <w:t>Bayram</w:t>
      </w:r>
      <w:r w:rsidR="00526831" w:rsidRPr="00073909">
        <w:rPr>
          <w:sz w:val="20"/>
          <w:szCs w:val="20"/>
          <w:lang w:val="en-GB"/>
        </w:rPr>
        <w:t xml:space="preserve"> Dogan</w:t>
      </w:r>
      <w:r w:rsidRPr="00073909">
        <w:rPr>
          <w:sz w:val="20"/>
          <w:szCs w:val="20"/>
          <w:lang w:val="en-GB"/>
        </w:rPr>
        <w:t>,</w:t>
      </w:r>
      <w:r w:rsidR="00526831" w:rsidRPr="00073909">
        <w:rPr>
          <w:sz w:val="20"/>
          <w:szCs w:val="20"/>
          <w:lang w:val="en-GB"/>
        </w:rPr>
        <w:t xml:space="preserve"> Ali FuatAtmaca</w:t>
      </w:r>
      <w:r w:rsidRPr="00073909">
        <w:rPr>
          <w:sz w:val="20"/>
          <w:szCs w:val="20"/>
          <w:lang w:val="en-GB"/>
        </w:rPr>
        <w:t>,</w:t>
      </w:r>
      <w:r w:rsidR="00526831" w:rsidRPr="00073909">
        <w:rPr>
          <w:sz w:val="20"/>
          <w:szCs w:val="20"/>
          <w:lang w:val="en-GB"/>
        </w:rPr>
        <w:t xml:space="preserve"> </w:t>
      </w:r>
      <w:r w:rsidRPr="00073909">
        <w:rPr>
          <w:sz w:val="20"/>
          <w:szCs w:val="20"/>
          <w:lang w:val="en-GB"/>
        </w:rPr>
        <w:t>Abdullah Erdem,</w:t>
      </w:r>
      <w:r w:rsidR="00526831" w:rsidRPr="00073909">
        <w:rPr>
          <w:sz w:val="20"/>
          <w:szCs w:val="20"/>
          <w:lang w:val="en-GB"/>
        </w:rPr>
        <w:t xml:space="preserve"> </w:t>
      </w:r>
      <w:r w:rsidRPr="00073909">
        <w:rPr>
          <w:sz w:val="20"/>
          <w:szCs w:val="20"/>
          <w:lang w:val="en-GB"/>
        </w:rPr>
        <w:t>Abidin</w:t>
      </w:r>
      <w:r w:rsidR="00526831" w:rsidRPr="00073909">
        <w:rPr>
          <w:sz w:val="20"/>
          <w:szCs w:val="20"/>
          <w:lang w:val="en-GB"/>
        </w:rPr>
        <w:t xml:space="preserve"> </w:t>
      </w:r>
      <w:r w:rsidRPr="00073909">
        <w:rPr>
          <w:sz w:val="20"/>
          <w:szCs w:val="20"/>
          <w:lang w:val="en-GB"/>
        </w:rPr>
        <w:t>Egemen</w:t>
      </w:r>
      <w:r w:rsidR="00526831" w:rsidRPr="00073909">
        <w:rPr>
          <w:sz w:val="20"/>
          <w:szCs w:val="20"/>
          <w:lang w:val="en-GB"/>
        </w:rPr>
        <w:t xml:space="preserve"> </w:t>
      </w:r>
      <w:r w:rsidRPr="00073909">
        <w:rPr>
          <w:sz w:val="20"/>
          <w:szCs w:val="20"/>
          <w:lang w:val="en-GB"/>
        </w:rPr>
        <w:t>Isgoren,</w:t>
      </w:r>
      <w:r w:rsidR="00073909">
        <w:rPr>
          <w:sz w:val="20"/>
          <w:szCs w:val="20"/>
          <w:lang w:val="en-GB"/>
        </w:rPr>
        <w:t xml:space="preserve"> </w:t>
      </w:r>
      <w:r w:rsidRPr="00073909">
        <w:rPr>
          <w:sz w:val="20"/>
          <w:szCs w:val="20"/>
          <w:lang w:val="en-GB"/>
        </w:rPr>
        <w:t>Ziya</w:t>
      </w:r>
      <w:r w:rsidR="00526831" w:rsidRPr="00073909">
        <w:rPr>
          <w:sz w:val="20"/>
          <w:szCs w:val="20"/>
          <w:lang w:val="en-GB"/>
        </w:rPr>
        <w:t xml:space="preserve"> </w:t>
      </w:r>
      <w:r w:rsidRPr="00073909">
        <w:rPr>
          <w:sz w:val="20"/>
          <w:szCs w:val="20"/>
          <w:lang w:val="en-GB"/>
        </w:rPr>
        <w:t>Akbulutand</w:t>
      </w:r>
      <w:r w:rsidR="00526831" w:rsidRPr="00073909">
        <w:rPr>
          <w:sz w:val="20"/>
          <w:szCs w:val="20"/>
          <w:lang w:val="en-GB"/>
        </w:rPr>
        <w:t xml:space="preserve"> </w:t>
      </w:r>
      <w:r w:rsidRPr="00073909">
        <w:rPr>
          <w:sz w:val="20"/>
          <w:szCs w:val="20"/>
          <w:lang w:val="en-GB"/>
        </w:rPr>
        <w:t>Mevlana</w:t>
      </w:r>
      <w:r w:rsidR="00526831" w:rsidRPr="00073909">
        <w:rPr>
          <w:sz w:val="20"/>
          <w:szCs w:val="20"/>
          <w:lang w:val="en-GB"/>
        </w:rPr>
        <w:t xml:space="preserve"> </w:t>
      </w:r>
      <w:r w:rsidRPr="00073909">
        <w:rPr>
          <w:sz w:val="20"/>
          <w:szCs w:val="20"/>
          <w:lang w:val="en-GB"/>
        </w:rPr>
        <w:t>Derya</w:t>
      </w:r>
      <w:r w:rsidR="00526831" w:rsidRPr="00073909">
        <w:rPr>
          <w:sz w:val="20"/>
          <w:szCs w:val="20"/>
          <w:lang w:val="en-GB"/>
        </w:rPr>
        <w:t xml:space="preserve"> </w:t>
      </w:r>
      <w:r w:rsidRPr="00073909">
        <w:rPr>
          <w:sz w:val="20"/>
          <w:szCs w:val="20"/>
          <w:lang w:val="en-GB"/>
        </w:rPr>
        <w:t>Balbay</w:t>
      </w:r>
      <w:r w:rsidR="00526831" w:rsidRPr="00073909">
        <w:rPr>
          <w:sz w:val="20"/>
          <w:szCs w:val="20"/>
          <w:lang w:val="en-GB"/>
        </w:rPr>
        <w:t xml:space="preserve"> </w:t>
      </w:r>
      <w:r w:rsidR="002C6437" w:rsidRPr="00073909">
        <w:rPr>
          <w:rStyle w:val="articlecitationyear"/>
          <w:sz w:val="20"/>
          <w:szCs w:val="20"/>
          <w:lang w:val="en-GB"/>
        </w:rPr>
        <w:t>(</w:t>
      </w:r>
      <w:r w:rsidR="00EB2D4D" w:rsidRPr="00073909">
        <w:rPr>
          <w:rStyle w:val="articlecitationyear"/>
          <w:sz w:val="20"/>
          <w:szCs w:val="20"/>
          <w:lang w:val="en-GB"/>
        </w:rPr>
        <w:t>2012</w:t>
      </w:r>
      <w:r w:rsidR="002C6437" w:rsidRPr="00073909">
        <w:rPr>
          <w:rStyle w:val="articlecitationyear"/>
          <w:sz w:val="20"/>
          <w:szCs w:val="20"/>
          <w:lang w:val="en-GB"/>
        </w:rPr>
        <w:t>)</w:t>
      </w:r>
      <w:r w:rsidRPr="00073909">
        <w:rPr>
          <w:sz w:val="20"/>
          <w:szCs w:val="20"/>
          <w:lang w:val="en-GB"/>
        </w:rPr>
        <w:t>:</w:t>
      </w:r>
      <w:r w:rsidRPr="00073909">
        <w:rPr>
          <w:sz w:val="20"/>
          <w:szCs w:val="20"/>
        </w:rPr>
        <w:t xml:space="preserve"> Efficiency of percutaneous nephrolithotomy in pediatric patients using adult-type instruments</w:t>
      </w:r>
      <w:r w:rsidR="00526831" w:rsidRPr="00073909">
        <w:rPr>
          <w:sz w:val="20"/>
          <w:szCs w:val="20"/>
        </w:rPr>
        <w:t xml:space="preserve"> </w:t>
      </w:r>
      <w:hyperlink r:id="rId35" w:tooltip="Urological Research" w:history="1">
        <w:r w:rsidR="00EB2D4D" w:rsidRPr="00073909">
          <w:rPr>
            <w:rStyle w:val="journaltitle"/>
            <w:sz w:val="20"/>
            <w:szCs w:val="20"/>
            <w:lang w:val="en-GB"/>
          </w:rPr>
          <w:t>Urological Research</w:t>
        </w:r>
      </w:hyperlink>
      <w:r w:rsidR="00EB2D4D" w:rsidRPr="00073909">
        <w:rPr>
          <w:rStyle w:val="articlecitationyear"/>
          <w:sz w:val="20"/>
          <w:szCs w:val="20"/>
          <w:lang w:val="en-GB"/>
        </w:rPr>
        <w:t xml:space="preserve">, </w:t>
      </w:r>
      <w:r w:rsidR="00EB2D4D" w:rsidRPr="00073909">
        <w:rPr>
          <w:rStyle w:val="articlecitationvolume"/>
          <w:sz w:val="20"/>
          <w:szCs w:val="20"/>
          <w:lang w:val="en-GB"/>
        </w:rPr>
        <w:t xml:space="preserve">40, </w:t>
      </w:r>
      <w:hyperlink r:id="rId36" w:tooltip="Issue 3" w:history="1">
        <w:r w:rsidR="00EB2D4D" w:rsidRPr="00073909">
          <w:rPr>
            <w:rStyle w:val="Hyperlink"/>
            <w:color w:val="auto"/>
            <w:sz w:val="20"/>
            <w:szCs w:val="20"/>
            <w:u w:val="none"/>
            <w:lang w:val="en-GB"/>
          </w:rPr>
          <w:t>Issue 3</w:t>
        </w:r>
      </w:hyperlink>
      <w:r w:rsidR="00EB2D4D" w:rsidRPr="00073909">
        <w:rPr>
          <w:sz w:val="20"/>
          <w:szCs w:val="20"/>
          <w:lang w:val="en-GB"/>
        </w:rPr>
        <w:t xml:space="preserve">, </w:t>
      </w:r>
      <w:r w:rsidR="00EB2D4D" w:rsidRPr="00073909">
        <w:rPr>
          <w:rStyle w:val="articlecitationpages"/>
          <w:sz w:val="20"/>
          <w:szCs w:val="20"/>
          <w:lang w:val="en-GB"/>
        </w:rPr>
        <w:t>pp 259–26</w:t>
      </w:r>
      <w:r w:rsidR="00073909" w:rsidRPr="00073909">
        <w:rPr>
          <w:rStyle w:val="articlecitationpages"/>
          <w:sz w:val="20"/>
          <w:szCs w:val="20"/>
          <w:lang w:val="en-GB"/>
        </w:rPr>
        <w:t>2</w:t>
      </w:r>
      <w:r w:rsidR="00073909">
        <w:rPr>
          <w:rStyle w:val="articlecitationpages"/>
          <w:sz w:val="20"/>
          <w:szCs w:val="20"/>
          <w:lang w:val="en-GB"/>
        </w:rPr>
        <w:t>.</w:t>
      </w:r>
    </w:p>
    <w:p w:rsidR="00073909" w:rsidRDefault="00EC395E" w:rsidP="00073909">
      <w:pPr>
        <w:pStyle w:val="ListParagraph"/>
        <w:widowControl/>
        <w:numPr>
          <w:ilvl w:val="0"/>
          <w:numId w:val="13"/>
        </w:numPr>
        <w:autoSpaceDE/>
        <w:autoSpaceDN/>
        <w:adjustRightInd/>
        <w:snapToGrid w:val="0"/>
        <w:ind w:left="425" w:hanging="425"/>
        <w:jc w:val="both"/>
      </w:pPr>
      <w:r w:rsidRPr="009406D0">
        <w:rPr>
          <w:lang w:val="en-GB"/>
        </w:rPr>
        <w:t>Nouralizadeh A, Basiri A, Javaher</w:t>
      </w:r>
      <w:r w:rsidR="00B6146D" w:rsidRPr="009406D0">
        <w:rPr>
          <w:lang w:val="en-GB"/>
        </w:rPr>
        <w:t xml:space="preserve"> </w:t>
      </w:r>
      <w:r w:rsidRPr="009406D0">
        <w:rPr>
          <w:lang w:val="en-GB"/>
        </w:rPr>
        <w:t>for</w:t>
      </w:r>
      <w:r w:rsidR="00B6146D" w:rsidRPr="009406D0">
        <w:rPr>
          <w:lang w:val="en-GB"/>
        </w:rPr>
        <w:t xml:space="preserve"> </w:t>
      </w:r>
      <w:r w:rsidRPr="009406D0">
        <w:rPr>
          <w:lang w:val="en-GB"/>
        </w:rPr>
        <w:t>ooshzadeh A et al</w:t>
      </w:r>
      <w:r w:rsidR="00B6146D" w:rsidRPr="009406D0">
        <w:rPr>
          <w:lang w:val="en-GB"/>
        </w:rPr>
        <w:t>.</w:t>
      </w:r>
      <w:r w:rsidRPr="009406D0">
        <w:rPr>
          <w:lang w:val="en-GB"/>
        </w:rPr>
        <w:t xml:space="preserve"> (2009) Experience of percutaneous nephrolithotomy using adult-size instruments in children less than 5 years old. J PediatrUrol 5(5):351–354</w:t>
      </w:r>
      <w:r w:rsidR="00D333BC" w:rsidRPr="00073909">
        <w:t>.</w:t>
      </w:r>
      <w:r w:rsidR="009406D0" w:rsidRPr="009406D0">
        <w:rPr>
          <w:rFonts w:eastAsiaTheme="minorEastAsia" w:hint="eastAsia"/>
          <w:lang w:eastAsia="zh-CN"/>
        </w:rPr>
        <w:t xml:space="preserve"> </w:t>
      </w:r>
    </w:p>
    <w:p w:rsidR="00073909" w:rsidRPr="00073909" w:rsidRDefault="00073909" w:rsidP="00073909">
      <w:pPr>
        <w:widowControl/>
        <w:autoSpaceDE/>
        <w:autoSpaceDN/>
        <w:adjustRightInd/>
        <w:snapToGrid w:val="0"/>
        <w:ind w:left="425" w:hanging="425"/>
        <w:jc w:val="both"/>
        <w:sectPr w:rsidR="00073909" w:rsidRPr="00073909" w:rsidSect="004364AE">
          <w:headerReference w:type="default" r:id="rId37"/>
          <w:footerReference w:type="even" r:id="rId38"/>
          <w:footerReference w:type="default" r:id="rId39"/>
          <w:type w:val="continuous"/>
          <w:pgSz w:w="12240" w:h="15840" w:code="1"/>
          <w:pgMar w:top="1440" w:right="1440" w:bottom="1440" w:left="1440" w:header="720" w:footer="720" w:gutter="0"/>
          <w:cols w:num="2" w:space="500"/>
          <w:docGrid w:linePitch="360"/>
        </w:sectPr>
      </w:pPr>
    </w:p>
    <w:p w:rsidR="00073909" w:rsidRDefault="00073909" w:rsidP="00073909">
      <w:pPr>
        <w:widowControl/>
        <w:autoSpaceDE/>
        <w:autoSpaceDN/>
        <w:adjustRightInd/>
        <w:snapToGrid w:val="0"/>
        <w:ind w:left="425" w:hanging="425"/>
        <w:jc w:val="both"/>
        <w:rPr>
          <w:rFonts w:eastAsiaTheme="minorEastAsia"/>
          <w:lang w:eastAsia="zh-CN"/>
        </w:rPr>
      </w:pPr>
    </w:p>
    <w:p w:rsidR="00073909" w:rsidRDefault="00073909" w:rsidP="00073909">
      <w:pPr>
        <w:widowControl/>
        <w:autoSpaceDE/>
        <w:autoSpaceDN/>
        <w:adjustRightInd/>
        <w:snapToGrid w:val="0"/>
        <w:ind w:left="425" w:hanging="425"/>
        <w:jc w:val="both"/>
        <w:rPr>
          <w:rFonts w:eastAsiaTheme="minorEastAsia"/>
          <w:lang w:eastAsia="zh-CN"/>
        </w:rPr>
      </w:pPr>
    </w:p>
    <w:p w:rsidR="00073909" w:rsidRPr="00073909" w:rsidRDefault="00073909" w:rsidP="00073909">
      <w:pPr>
        <w:widowControl/>
        <w:autoSpaceDE/>
        <w:autoSpaceDN/>
        <w:adjustRightInd/>
        <w:snapToGrid w:val="0"/>
        <w:ind w:left="425" w:hanging="425"/>
        <w:jc w:val="both"/>
        <w:rPr>
          <w:rFonts w:eastAsiaTheme="minorEastAsia"/>
          <w:lang w:eastAsia="zh-CN"/>
        </w:rPr>
      </w:pPr>
    </w:p>
    <w:p w:rsidR="00D333BC" w:rsidRPr="00073909" w:rsidRDefault="00073909" w:rsidP="00073909">
      <w:pPr>
        <w:widowControl/>
        <w:autoSpaceDE/>
        <w:autoSpaceDN/>
        <w:adjustRightInd/>
        <w:snapToGrid w:val="0"/>
        <w:ind w:left="425" w:hanging="425"/>
        <w:jc w:val="both"/>
      </w:pPr>
      <w:r w:rsidRPr="00073909">
        <w:t>1/15/2017</w:t>
      </w:r>
    </w:p>
    <w:sectPr w:rsidR="00D333BC" w:rsidRPr="00073909" w:rsidSect="0037559E">
      <w:headerReference w:type="default" r:id="rId40"/>
      <w:footerReference w:type="even" r:id="rId41"/>
      <w:footerReference w:type="default" r:id="rId42"/>
      <w:type w:val="continuous"/>
      <w:pgSz w:w="12240" w:h="15840" w:code="1"/>
      <w:pgMar w:top="1440" w:right="1440" w:bottom="1440" w:left="1440" w:header="720" w:footer="720" w:gutter="0"/>
      <w:pgNumType w:start="1"/>
      <w:cols w:space="709"/>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BE168" w15:done="0"/>
  <w15:commentEx w15:paraId="2ED31B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CB" w:rsidRDefault="00D31BCB" w:rsidP="00941F53">
      <w:r>
        <w:separator/>
      </w:r>
    </w:p>
  </w:endnote>
  <w:endnote w:type="continuationSeparator" w:id="0">
    <w:p w:rsidR="00D31BCB" w:rsidRDefault="00D31BCB" w:rsidP="00941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KJKL H+ TTE A 0 O 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Roman">
    <w:altName w:val="MS Gothic"/>
    <w:panose1 w:val="00000000000000000000"/>
    <w:charset w:val="80"/>
    <w:family w:val="swiss"/>
    <w:notTrueType/>
    <w:pitch w:val="default"/>
    <w:sig w:usb0="00000000"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073909">
        <w:rPr>
          <w:noProof/>
        </w:rPr>
        <w:t>1</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1E5B2A">
        <w:rPr>
          <w:noProof/>
        </w:rPr>
        <w:t>30</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1E5B2A">
        <w:rPr>
          <w:noProof/>
        </w:rPr>
        <w:t>31</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9406D0">
        <w:rPr>
          <w:noProof/>
        </w:rPr>
        <w:t>31</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07" w:rsidRDefault="00E85812" w:rsidP="00C45D07">
    <w:pPr>
      <w:pStyle w:val="Footer"/>
      <w:framePr w:wrap="around" w:vAnchor="text" w:hAnchor="margin" w:xAlign="center" w:y="1"/>
      <w:rPr>
        <w:rStyle w:val="PageNumber"/>
      </w:rPr>
    </w:pPr>
    <w:r>
      <w:rPr>
        <w:rStyle w:val="PageNumber"/>
      </w:rPr>
      <w:fldChar w:fldCharType="begin"/>
    </w:r>
    <w:r w:rsidR="00B3762F">
      <w:rPr>
        <w:rStyle w:val="PageNumber"/>
      </w:rPr>
      <w:instrText xml:space="preserve">PAGE  </w:instrText>
    </w:r>
    <w:r>
      <w:rPr>
        <w:rStyle w:val="PageNumber"/>
      </w:rPr>
      <w:fldChar w:fldCharType="end"/>
    </w:r>
  </w:p>
  <w:p w:rsidR="00C45D07" w:rsidRDefault="001E5B2A">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53" w:rsidRPr="00073909" w:rsidRDefault="00E85812" w:rsidP="00073909">
    <w:pPr>
      <w:jc w:val="center"/>
    </w:pPr>
    <w:fldSimple w:instr=" page ">
      <w:r w:rsidR="0007390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1E5B2A">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E" w:rsidRDefault="004364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1E5B2A">
        <w:rPr>
          <w:noProof/>
        </w:rPr>
        <w:t>28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073909">
        <w:rPr>
          <w:noProof/>
        </w:rPr>
        <w:t>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Default="00E85812" w:rsidP="00C45D07">
    <w:pPr>
      <w:pStyle w:val="Footer"/>
      <w:framePr w:wrap="around" w:vAnchor="text" w:hAnchor="margin" w:xAlign="center" w:y="1"/>
      <w:rPr>
        <w:rStyle w:val="PageNumber"/>
      </w:rPr>
    </w:pPr>
    <w:r>
      <w:rPr>
        <w:rStyle w:val="PageNumber"/>
      </w:rPr>
      <w:fldChar w:fldCharType="begin"/>
    </w:r>
    <w:r w:rsidR="00073909">
      <w:rPr>
        <w:rStyle w:val="PageNumber"/>
      </w:rPr>
      <w:instrText xml:space="preserve">PAGE  </w:instrText>
    </w:r>
    <w:r>
      <w:rPr>
        <w:rStyle w:val="PageNumber"/>
      </w:rPr>
      <w:fldChar w:fldCharType="end"/>
    </w:r>
  </w:p>
  <w:p w:rsidR="00073909" w:rsidRDefault="0007390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E85812" w:rsidP="00073909">
    <w:pPr>
      <w:jc w:val="center"/>
    </w:pPr>
    <w:fldSimple w:instr=" page ">
      <w:r w:rsidR="001E5B2A">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CB" w:rsidRDefault="00D31BCB" w:rsidP="00941F53">
      <w:r>
        <w:separator/>
      </w:r>
    </w:p>
  </w:footnote>
  <w:footnote w:type="continuationSeparator" w:id="0">
    <w:p w:rsidR="00D31BCB" w:rsidRDefault="00D31BCB" w:rsidP="00941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E" w:rsidRDefault="004364A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E" w:rsidRDefault="004364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9" w:rsidRPr="00073909" w:rsidRDefault="00073909" w:rsidP="00073909">
    <w:pPr>
      <w:pBdr>
        <w:bottom w:val="thinThickMediumGap" w:sz="12" w:space="1" w:color="auto"/>
      </w:pBdr>
      <w:tabs>
        <w:tab w:val="left" w:pos="851"/>
        <w:tab w:val="right" w:pos="8364"/>
      </w:tabs>
      <w:snapToGrid w:val="0"/>
      <w:jc w:val="both"/>
      <w:rPr>
        <w:iCs/>
      </w:rPr>
    </w:pPr>
    <w:r w:rsidRPr="00073909">
      <w:rPr>
        <w:rFonts w:hint="eastAsia"/>
        <w:iCs/>
        <w:color w:val="000000"/>
      </w:rPr>
      <w:tab/>
    </w:r>
    <w:r w:rsidRPr="00073909">
      <w:rPr>
        <w:iCs/>
        <w:color w:val="000000"/>
      </w:rPr>
      <w:t xml:space="preserve">Researcher </w:t>
    </w:r>
    <w:r w:rsidRPr="00073909">
      <w:rPr>
        <w:iCs/>
      </w:rPr>
      <w:t>201</w:t>
    </w:r>
    <w:r w:rsidRPr="00073909">
      <w:rPr>
        <w:rFonts w:hint="eastAsia"/>
        <w:iCs/>
      </w:rPr>
      <w:t>7</w:t>
    </w:r>
    <w:r w:rsidRPr="00073909">
      <w:rPr>
        <w:iCs/>
      </w:rPr>
      <w:t>;</w:t>
    </w:r>
    <w:r w:rsidRPr="00073909">
      <w:rPr>
        <w:rFonts w:hint="eastAsia"/>
        <w:iCs/>
      </w:rPr>
      <w:t>9</w:t>
    </w:r>
    <w:r w:rsidRPr="00073909">
      <w:rPr>
        <w:iCs/>
      </w:rPr>
      <w:t>(</w:t>
    </w:r>
    <w:r w:rsidRPr="00073909">
      <w:rPr>
        <w:rFonts w:hint="eastAsia"/>
        <w:iCs/>
      </w:rPr>
      <w:t>1</w:t>
    </w:r>
    <w:r w:rsidRPr="00073909">
      <w:rPr>
        <w:iCs/>
      </w:rPr>
      <w:t xml:space="preserve">)  </w:t>
    </w:r>
    <w:r w:rsidRPr="00073909">
      <w:rPr>
        <w:rFonts w:hint="eastAsia"/>
        <w:iCs/>
      </w:rPr>
      <w:t xml:space="preserve"> </w:t>
    </w:r>
    <w:r w:rsidRPr="00073909">
      <w:rPr>
        <w:iCs/>
      </w:rPr>
      <w:t xml:space="preserve"> </w:t>
    </w:r>
    <w:r w:rsidRPr="00073909">
      <w:rPr>
        <w:rFonts w:hint="eastAsia"/>
        <w:iCs/>
      </w:rPr>
      <w:tab/>
    </w:r>
    <w:r w:rsidRPr="00073909">
      <w:rPr>
        <w:iCs/>
      </w:rPr>
      <w:t xml:space="preserve">    </w:t>
    </w:r>
    <w:r w:rsidRPr="00073909">
      <w:t xml:space="preserve"> </w:t>
    </w:r>
    <w:hyperlink r:id="rId1" w:history="1">
      <w:r w:rsidRPr="00073909">
        <w:rPr>
          <w:rStyle w:val="Hyperlink"/>
        </w:rPr>
        <w:t>http://www.sciencepub.net/researcher</w:t>
      </w:r>
    </w:hyperlink>
  </w:p>
  <w:p w:rsidR="00073909" w:rsidRPr="00073909" w:rsidRDefault="00073909" w:rsidP="00073909">
    <w:pPr>
      <w:tabs>
        <w:tab w:val="left" w:pos="851"/>
        <w:tab w:val="right" w:pos="8364"/>
      </w:tabs>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B12"/>
    <w:multiLevelType w:val="hybridMultilevel"/>
    <w:tmpl w:val="5456C6C0"/>
    <w:lvl w:ilvl="0" w:tplc="04090001">
      <w:start w:val="1"/>
      <w:numFmt w:val="bullet"/>
      <w:lvlText w:val=""/>
      <w:lvlJc w:val="left"/>
      <w:pPr>
        <w:tabs>
          <w:tab w:val="num" w:pos="360"/>
        </w:tabs>
        <w:ind w:left="360" w:hanging="360"/>
      </w:pPr>
      <w:rPr>
        <w:rFonts w:ascii="Symbol" w:hAnsi="Symbol" w:hint="default"/>
        <w:b/>
        <w:bCs/>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13D05657"/>
    <w:multiLevelType w:val="hybridMultilevel"/>
    <w:tmpl w:val="13AC0032"/>
    <w:lvl w:ilvl="0" w:tplc="04090001">
      <w:start w:val="1"/>
      <w:numFmt w:val="bullet"/>
      <w:lvlText w:val=""/>
      <w:lvlJc w:val="left"/>
      <w:pPr>
        <w:tabs>
          <w:tab w:val="num" w:pos="360"/>
        </w:tabs>
        <w:ind w:left="360" w:hanging="360"/>
      </w:pPr>
      <w:rPr>
        <w:rFonts w:ascii="Symbol" w:hAnsi="Symbol" w:hint="default"/>
        <w:b/>
        <w:bCs/>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14787C10"/>
    <w:multiLevelType w:val="hybridMultilevel"/>
    <w:tmpl w:val="8C9A73D0"/>
    <w:lvl w:ilvl="0" w:tplc="04090001">
      <w:start w:val="1"/>
      <w:numFmt w:val="bullet"/>
      <w:lvlText w:val=""/>
      <w:lvlJc w:val="left"/>
      <w:pPr>
        <w:tabs>
          <w:tab w:val="num" w:pos="360"/>
        </w:tabs>
        <w:ind w:left="360" w:hanging="360"/>
      </w:pPr>
      <w:rPr>
        <w:rFonts w:ascii="Symbol" w:hAnsi="Symbol" w:hint="default"/>
        <w:b/>
        <w:bCs/>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CF73730"/>
    <w:multiLevelType w:val="hybridMultilevel"/>
    <w:tmpl w:val="D8107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4B05C0"/>
    <w:multiLevelType w:val="hybridMultilevel"/>
    <w:tmpl w:val="7B7EF444"/>
    <w:lvl w:ilvl="0" w:tplc="04090001">
      <w:start w:val="1"/>
      <w:numFmt w:val="bullet"/>
      <w:lvlText w:val=""/>
      <w:lvlJc w:val="left"/>
      <w:pPr>
        <w:tabs>
          <w:tab w:val="num" w:pos="360"/>
        </w:tabs>
        <w:ind w:left="360" w:hanging="360"/>
      </w:pPr>
      <w:rPr>
        <w:rFonts w:ascii="Symbol" w:hAnsi="Symbol" w:hint="default"/>
        <w:b/>
        <w:bCs/>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33EE6085"/>
    <w:multiLevelType w:val="hybridMultilevel"/>
    <w:tmpl w:val="5CBAD9A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22D6D52"/>
    <w:multiLevelType w:val="hybridMultilevel"/>
    <w:tmpl w:val="DB26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D628C"/>
    <w:multiLevelType w:val="hybridMultilevel"/>
    <w:tmpl w:val="CD7A44CC"/>
    <w:lvl w:ilvl="0" w:tplc="4B1E4A10">
      <w:start w:val="1"/>
      <w:numFmt w:val="decimal"/>
      <w:lvlText w:val="%1-"/>
      <w:lvlJc w:val="left"/>
      <w:pPr>
        <w:ind w:left="720" w:hanging="360"/>
      </w:pPr>
      <w:rPr>
        <w:rFonts w:asciiTheme="majorBidi" w:hAnsiTheme="majorBidi" w:cstheme="maj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25BF7"/>
    <w:multiLevelType w:val="hybridMultilevel"/>
    <w:tmpl w:val="C376F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9446F0"/>
    <w:multiLevelType w:val="hybridMultilevel"/>
    <w:tmpl w:val="2B441EE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F8C6BA6"/>
    <w:multiLevelType w:val="hybridMultilevel"/>
    <w:tmpl w:val="9A52E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5A74C2"/>
    <w:multiLevelType w:val="multilevel"/>
    <w:tmpl w:val="292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8A4AB0"/>
    <w:multiLevelType w:val="hybridMultilevel"/>
    <w:tmpl w:val="275EC70C"/>
    <w:lvl w:ilvl="0" w:tplc="04090001">
      <w:start w:val="1"/>
      <w:numFmt w:val="bullet"/>
      <w:lvlText w:val=""/>
      <w:lvlJc w:val="left"/>
      <w:pPr>
        <w:tabs>
          <w:tab w:val="num" w:pos="360"/>
        </w:tabs>
        <w:ind w:left="360" w:hanging="360"/>
      </w:pPr>
      <w:rPr>
        <w:rFonts w:ascii="Symbol" w:hAnsi="Symbol" w:hint="default"/>
        <w:b/>
        <w:bCs/>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10"/>
  </w:num>
  <w:num w:numId="2">
    <w:abstractNumId w:val="1"/>
  </w:num>
  <w:num w:numId="3">
    <w:abstractNumId w:val="6"/>
  </w:num>
  <w:num w:numId="4">
    <w:abstractNumId w:val="12"/>
  </w:num>
  <w:num w:numId="5">
    <w:abstractNumId w:val="2"/>
  </w:num>
  <w:num w:numId="6">
    <w:abstractNumId w:val="4"/>
  </w:num>
  <w:num w:numId="7">
    <w:abstractNumId w:val="0"/>
  </w:num>
  <w:num w:numId="8">
    <w:abstractNumId w:val="9"/>
  </w:num>
  <w:num w:numId="9">
    <w:abstractNumId w:val="5"/>
  </w:num>
  <w:num w:numId="10">
    <w:abstractNumId w:val="3"/>
  </w:num>
  <w:num w:numId="11">
    <w:abstractNumId w:val="11"/>
  </w:num>
  <w:num w:numId="12">
    <w:abstractNumId w:val="7"/>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hideGrammaticalErrors/>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61A7E"/>
    <w:rsid w:val="00000BE0"/>
    <w:rsid w:val="00001028"/>
    <w:rsid w:val="000029EC"/>
    <w:rsid w:val="00002A59"/>
    <w:rsid w:val="00002AB7"/>
    <w:rsid w:val="00007660"/>
    <w:rsid w:val="000133F2"/>
    <w:rsid w:val="00016393"/>
    <w:rsid w:val="0002339E"/>
    <w:rsid w:val="0003013A"/>
    <w:rsid w:val="000312E7"/>
    <w:rsid w:val="00032D77"/>
    <w:rsid w:val="00033FB4"/>
    <w:rsid w:val="00035B4B"/>
    <w:rsid w:val="000368C7"/>
    <w:rsid w:val="00036E1A"/>
    <w:rsid w:val="00042349"/>
    <w:rsid w:val="00047474"/>
    <w:rsid w:val="00051735"/>
    <w:rsid w:val="000526E6"/>
    <w:rsid w:val="0005469A"/>
    <w:rsid w:val="000564E2"/>
    <w:rsid w:val="000571D5"/>
    <w:rsid w:val="00061A7E"/>
    <w:rsid w:val="000632AB"/>
    <w:rsid w:val="00063ABF"/>
    <w:rsid w:val="00063C19"/>
    <w:rsid w:val="00070377"/>
    <w:rsid w:val="00073909"/>
    <w:rsid w:val="000818B7"/>
    <w:rsid w:val="0008572E"/>
    <w:rsid w:val="0008689A"/>
    <w:rsid w:val="00086D66"/>
    <w:rsid w:val="00087C0A"/>
    <w:rsid w:val="00090410"/>
    <w:rsid w:val="000A2313"/>
    <w:rsid w:val="000A2835"/>
    <w:rsid w:val="000B18A9"/>
    <w:rsid w:val="000C37EF"/>
    <w:rsid w:val="000D682A"/>
    <w:rsid w:val="000E768E"/>
    <w:rsid w:val="000F1161"/>
    <w:rsid w:val="000F3962"/>
    <w:rsid w:val="000F5B67"/>
    <w:rsid w:val="00103965"/>
    <w:rsid w:val="0011293D"/>
    <w:rsid w:val="001137E8"/>
    <w:rsid w:val="001151C1"/>
    <w:rsid w:val="001178F5"/>
    <w:rsid w:val="00125BB3"/>
    <w:rsid w:val="00131BA9"/>
    <w:rsid w:val="00134983"/>
    <w:rsid w:val="00134E7B"/>
    <w:rsid w:val="00135C06"/>
    <w:rsid w:val="00136A4D"/>
    <w:rsid w:val="00136B4E"/>
    <w:rsid w:val="001418E1"/>
    <w:rsid w:val="00143222"/>
    <w:rsid w:val="00143F00"/>
    <w:rsid w:val="00145BF6"/>
    <w:rsid w:val="00147559"/>
    <w:rsid w:val="00152432"/>
    <w:rsid w:val="00153C43"/>
    <w:rsid w:val="001548EC"/>
    <w:rsid w:val="001553BD"/>
    <w:rsid w:val="00155B64"/>
    <w:rsid w:val="001565F1"/>
    <w:rsid w:val="00157043"/>
    <w:rsid w:val="00163A61"/>
    <w:rsid w:val="00166046"/>
    <w:rsid w:val="00167AE4"/>
    <w:rsid w:val="00173955"/>
    <w:rsid w:val="001739F7"/>
    <w:rsid w:val="00177860"/>
    <w:rsid w:val="0018156B"/>
    <w:rsid w:val="00183A14"/>
    <w:rsid w:val="00187F26"/>
    <w:rsid w:val="001904F9"/>
    <w:rsid w:val="0019179F"/>
    <w:rsid w:val="00193BA5"/>
    <w:rsid w:val="0019503A"/>
    <w:rsid w:val="001A6C16"/>
    <w:rsid w:val="001A757D"/>
    <w:rsid w:val="001B2E47"/>
    <w:rsid w:val="001B430E"/>
    <w:rsid w:val="001C3171"/>
    <w:rsid w:val="001C3D7F"/>
    <w:rsid w:val="001C750B"/>
    <w:rsid w:val="001D21EA"/>
    <w:rsid w:val="001D26B7"/>
    <w:rsid w:val="001D31E1"/>
    <w:rsid w:val="001D4767"/>
    <w:rsid w:val="001D4BFB"/>
    <w:rsid w:val="001E0266"/>
    <w:rsid w:val="001E5B2A"/>
    <w:rsid w:val="001E7CF1"/>
    <w:rsid w:val="001E7F2F"/>
    <w:rsid w:val="001F3F23"/>
    <w:rsid w:val="001F75A9"/>
    <w:rsid w:val="00200176"/>
    <w:rsid w:val="00201B87"/>
    <w:rsid w:val="0020352E"/>
    <w:rsid w:val="00203E39"/>
    <w:rsid w:val="00210593"/>
    <w:rsid w:val="00210CA9"/>
    <w:rsid w:val="00220EA8"/>
    <w:rsid w:val="00232473"/>
    <w:rsid w:val="00240938"/>
    <w:rsid w:val="0024378F"/>
    <w:rsid w:val="0025011C"/>
    <w:rsid w:val="0025110A"/>
    <w:rsid w:val="002559D8"/>
    <w:rsid w:val="00262ADC"/>
    <w:rsid w:val="00263509"/>
    <w:rsid w:val="0026677D"/>
    <w:rsid w:val="00266800"/>
    <w:rsid w:val="00272F79"/>
    <w:rsid w:val="0027383A"/>
    <w:rsid w:val="00273987"/>
    <w:rsid w:val="00286B43"/>
    <w:rsid w:val="00293527"/>
    <w:rsid w:val="00294D5D"/>
    <w:rsid w:val="00295E08"/>
    <w:rsid w:val="00297F71"/>
    <w:rsid w:val="002A4DC1"/>
    <w:rsid w:val="002A57F1"/>
    <w:rsid w:val="002A6C60"/>
    <w:rsid w:val="002B3F42"/>
    <w:rsid w:val="002C01FF"/>
    <w:rsid w:val="002C3970"/>
    <w:rsid w:val="002C6437"/>
    <w:rsid w:val="002D0E06"/>
    <w:rsid w:val="002E1934"/>
    <w:rsid w:val="002E1E67"/>
    <w:rsid w:val="002E2625"/>
    <w:rsid w:val="002E3981"/>
    <w:rsid w:val="002F2FCA"/>
    <w:rsid w:val="002F3451"/>
    <w:rsid w:val="002F775E"/>
    <w:rsid w:val="0030007B"/>
    <w:rsid w:val="00300C9E"/>
    <w:rsid w:val="00300F1C"/>
    <w:rsid w:val="003025E7"/>
    <w:rsid w:val="00302686"/>
    <w:rsid w:val="00305821"/>
    <w:rsid w:val="00305DE2"/>
    <w:rsid w:val="00306D2D"/>
    <w:rsid w:val="003106BE"/>
    <w:rsid w:val="00310EC7"/>
    <w:rsid w:val="003125A0"/>
    <w:rsid w:val="00316896"/>
    <w:rsid w:val="00320ED5"/>
    <w:rsid w:val="003241DE"/>
    <w:rsid w:val="003248D0"/>
    <w:rsid w:val="00333F1F"/>
    <w:rsid w:val="00334479"/>
    <w:rsid w:val="003346D4"/>
    <w:rsid w:val="00337E5E"/>
    <w:rsid w:val="00344D97"/>
    <w:rsid w:val="0034558A"/>
    <w:rsid w:val="00350433"/>
    <w:rsid w:val="00351C95"/>
    <w:rsid w:val="00362C59"/>
    <w:rsid w:val="0036356A"/>
    <w:rsid w:val="00374D30"/>
    <w:rsid w:val="0037559E"/>
    <w:rsid w:val="003764DF"/>
    <w:rsid w:val="00390963"/>
    <w:rsid w:val="00393018"/>
    <w:rsid w:val="00395219"/>
    <w:rsid w:val="00396494"/>
    <w:rsid w:val="003A066C"/>
    <w:rsid w:val="003A73AA"/>
    <w:rsid w:val="003B226E"/>
    <w:rsid w:val="003B2551"/>
    <w:rsid w:val="003B591C"/>
    <w:rsid w:val="003B70D4"/>
    <w:rsid w:val="003C0EB4"/>
    <w:rsid w:val="003C221F"/>
    <w:rsid w:val="003C255A"/>
    <w:rsid w:val="003C680F"/>
    <w:rsid w:val="003C7CB0"/>
    <w:rsid w:val="003D1E26"/>
    <w:rsid w:val="003D2050"/>
    <w:rsid w:val="003D4C69"/>
    <w:rsid w:val="003D6728"/>
    <w:rsid w:val="003E0577"/>
    <w:rsid w:val="003E14D9"/>
    <w:rsid w:val="003E64A9"/>
    <w:rsid w:val="003E6FCE"/>
    <w:rsid w:val="003F2FB8"/>
    <w:rsid w:val="003F4052"/>
    <w:rsid w:val="00403515"/>
    <w:rsid w:val="00404215"/>
    <w:rsid w:val="004078EE"/>
    <w:rsid w:val="00410BC8"/>
    <w:rsid w:val="004143E4"/>
    <w:rsid w:val="00414855"/>
    <w:rsid w:val="00415652"/>
    <w:rsid w:val="004175BC"/>
    <w:rsid w:val="004206C0"/>
    <w:rsid w:val="00422830"/>
    <w:rsid w:val="00422B08"/>
    <w:rsid w:val="00422F35"/>
    <w:rsid w:val="004302B9"/>
    <w:rsid w:val="00431BA3"/>
    <w:rsid w:val="00434535"/>
    <w:rsid w:val="004349E8"/>
    <w:rsid w:val="004364AE"/>
    <w:rsid w:val="00440870"/>
    <w:rsid w:val="004427B4"/>
    <w:rsid w:val="00447F84"/>
    <w:rsid w:val="004526F9"/>
    <w:rsid w:val="004554E3"/>
    <w:rsid w:val="00461594"/>
    <w:rsid w:val="0046162A"/>
    <w:rsid w:val="004630BD"/>
    <w:rsid w:val="00464132"/>
    <w:rsid w:val="004665EE"/>
    <w:rsid w:val="00466E3C"/>
    <w:rsid w:val="00467A91"/>
    <w:rsid w:val="00472DD4"/>
    <w:rsid w:val="00474999"/>
    <w:rsid w:val="00474B7C"/>
    <w:rsid w:val="00475F3A"/>
    <w:rsid w:val="00476200"/>
    <w:rsid w:val="00480D9A"/>
    <w:rsid w:val="00487DDB"/>
    <w:rsid w:val="00490B5E"/>
    <w:rsid w:val="00492E34"/>
    <w:rsid w:val="004A0109"/>
    <w:rsid w:val="004A3849"/>
    <w:rsid w:val="004B1340"/>
    <w:rsid w:val="004C2B3F"/>
    <w:rsid w:val="004C5C3F"/>
    <w:rsid w:val="004C7306"/>
    <w:rsid w:val="004D07E8"/>
    <w:rsid w:val="004D1560"/>
    <w:rsid w:val="004D3DD2"/>
    <w:rsid w:val="004E1EC3"/>
    <w:rsid w:val="004E2BD4"/>
    <w:rsid w:val="004F0519"/>
    <w:rsid w:val="004F2365"/>
    <w:rsid w:val="004F6894"/>
    <w:rsid w:val="00501B86"/>
    <w:rsid w:val="0050448F"/>
    <w:rsid w:val="00505F75"/>
    <w:rsid w:val="00516F46"/>
    <w:rsid w:val="0052003F"/>
    <w:rsid w:val="0052072F"/>
    <w:rsid w:val="00526831"/>
    <w:rsid w:val="00532530"/>
    <w:rsid w:val="00532B14"/>
    <w:rsid w:val="00533E97"/>
    <w:rsid w:val="00535C31"/>
    <w:rsid w:val="00536E2B"/>
    <w:rsid w:val="00562AC1"/>
    <w:rsid w:val="00562C7C"/>
    <w:rsid w:val="005648DE"/>
    <w:rsid w:val="00564F03"/>
    <w:rsid w:val="005677FD"/>
    <w:rsid w:val="00584B9D"/>
    <w:rsid w:val="0058536B"/>
    <w:rsid w:val="005854AD"/>
    <w:rsid w:val="00590AF2"/>
    <w:rsid w:val="005936C5"/>
    <w:rsid w:val="005953AF"/>
    <w:rsid w:val="005A1385"/>
    <w:rsid w:val="005A176D"/>
    <w:rsid w:val="005A254B"/>
    <w:rsid w:val="005B335E"/>
    <w:rsid w:val="005B3D10"/>
    <w:rsid w:val="005C19FE"/>
    <w:rsid w:val="005C71DA"/>
    <w:rsid w:val="005D369B"/>
    <w:rsid w:val="005D42F6"/>
    <w:rsid w:val="005E5C8F"/>
    <w:rsid w:val="005E61B7"/>
    <w:rsid w:val="005F249C"/>
    <w:rsid w:val="005F51AF"/>
    <w:rsid w:val="00603D97"/>
    <w:rsid w:val="00604A79"/>
    <w:rsid w:val="00604C2D"/>
    <w:rsid w:val="006070A9"/>
    <w:rsid w:val="00611C34"/>
    <w:rsid w:val="00611CDB"/>
    <w:rsid w:val="00613E29"/>
    <w:rsid w:val="00620BC5"/>
    <w:rsid w:val="00620CE8"/>
    <w:rsid w:val="00623EB6"/>
    <w:rsid w:val="006247E8"/>
    <w:rsid w:val="0062738B"/>
    <w:rsid w:val="00627A0E"/>
    <w:rsid w:val="00647DC2"/>
    <w:rsid w:val="00653900"/>
    <w:rsid w:val="00661321"/>
    <w:rsid w:val="00661E1D"/>
    <w:rsid w:val="00662017"/>
    <w:rsid w:val="0066214C"/>
    <w:rsid w:val="0067740A"/>
    <w:rsid w:val="00677CDB"/>
    <w:rsid w:val="006817E3"/>
    <w:rsid w:val="0068267F"/>
    <w:rsid w:val="00683251"/>
    <w:rsid w:val="0068664A"/>
    <w:rsid w:val="00696A90"/>
    <w:rsid w:val="0069735B"/>
    <w:rsid w:val="006A4191"/>
    <w:rsid w:val="006A61BC"/>
    <w:rsid w:val="006B5D1F"/>
    <w:rsid w:val="006C062F"/>
    <w:rsid w:val="006C55E6"/>
    <w:rsid w:val="006D150E"/>
    <w:rsid w:val="006D2125"/>
    <w:rsid w:val="006D38D4"/>
    <w:rsid w:val="006E01F7"/>
    <w:rsid w:val="006E70CB"/>
    <w:rsid w:val="006F1009"/>
    <w:rsid w:val="006F644E"/>
    <w:rsid w:val="006F7941"/>
    <w:rsid w:val="00700192"/>
    <w:rsid w:val="007003D0"/>
    <w:rsid w:val="0070151D"/>
    <w:rsid w:val="0070155E"/>
    <w:rsid w:val="00710952"/>
    <w:rsid w:val="00711FA8"/>
    <w:rsid w:val="00717F25"/>
    <w:rsid w:val="007209AC"/>
    <w:rsid w:val="00724E2F"/>
    <w:rsid w:val="00730E6D"/>
    <w:rsid w:val="007333A9"/>
    <w:rsid w:val="00733419"/>
    <w:rsid w:val="0073620B"/>
    <w:rsid w:val="00736FAE"/>
    <w:rsid w:val="00740596"/>
    <w:rsid w:val="00750110"/>
    <w:rsid w:val="0075343D"/>
    <w:rsid w:val="00760DD3"/>
    <w:rsid w:val="00766FBB"/>
    <w:rsid w:val="0076747C"/>
    <w:rsid w:val="00767FAE"/>
    <w:rsid w:val="00770208"/>
    <w:rsid w:val="007806F7"/>
    <w:rsid w:val="007830B9"/>
    <w:rsid w:val="007869EF"/>
    <w:rsid w:val="00792A2E"/>
    <w:rsid w:val="00793D05"/>
    <w:rsid w:val="007A1D87"/>
    <w:rsid w:val="007A312E"/>
    <w:rsid w:val="007A5168"/>
    <w:rsid w:val="007A53E0"/>
    <w:rsid w:val="007A6E22"/>
    <w:rsid w:val="007B62F8"/>
    <w:rsid w:val="007B69B9"/>
    <w:rsid w:val="007C1F9E"/>
    <w:rsid w:val="007C35B1"/>
    <w:rsid w:val="007D643B"/>
    <w:rsid w:val="007D6845"/>
    <w:rsid w:val="007D7AC3"/>
    <w:rsid w:val="007D7FCF"/>
    <w:rsid w:val="007E2961"/>
    <w:rsid w:val="007F348F"/>
    <w:rsid w:val="007F5097"/>
    <w:rsid w:val="007F7890"/>
    <w:rsid w:val="0080133E"/>
    <w:rsid w:val="008019D6"/>
    <w:rsid w:val="00801E79"/>
    <w:rsid w:val="00801F45"/>
    <w:rsid w:val="00804F8F"/>
    <w:rsid w:val="00812B58"/>
    <w:rsid w:val="008164F2"/>
    <w:rsid w:val="00817B8E"/>
    <w:rsid w:val="00825346"/>
    <w:rsid w:val="00827432"/>
    <w:rsid w:val="00830D3B"/>
    <w:rsid w:val="008344B8"/>
    <w:rsid w:val="0083787E"/>
    <w:rsid w:val="008379CF"/>
    <w:rsid w:val="00855308"/>
    <w:rsid w:val="00855D3C"/>
    <w:rsid w:val="008568E2"/>
    <w:rsid w:val="00860818"/>
    <w:rsid w:val="00862DF9"/>
    <w:rsid w:val="00867A88"/>
    <w:rsid w:val="00871620"/>
    <w:rsid w:val="00872A75"/>
    <w:rsid w:val="008745AB"/>
    <w:rsid w:val="00875E6A"/>
    <w:rsid w:val="00881CA1"/>
    <w:rsid w:val="00893AD1"/>
    <w:rsid w:val="008A52CE"/>
    <w:rsid w:val="008B2321"/>
    <w:rsid w:val="008B2651"/>
    <w:rsid w:val="008B3490"/>
    <w:rsid w:val="008B46BD"/>
    <w:rsid w:val="008C4441"/>
    <w:rsid w:val="008D361C"/>
    <w:rsid w:val="008D3E06"/>
    <w:rsid w:val="008E6AE0"/>
    <w:rsid w:val="008E7B53"/>
    <w:rsid w:val="008F48F9"/>
    <w:rsid w:val="00904F43"/>
    <w:rsid w:val="00913618"/>
    <w:rsid w:val="00914C2F"/>
    <w:rsid w:val="009221BD"/>
    <w:rsid w:val="0092602A"/>
    <w:rsid w:val="00926AA4"/>
    <w:rsid w:val="00930767"/>
    <w:rsid w:val="00934020"/>
    <w:rsid w:val="00934523"/>
    <w:rsid w:val="00934EA2"/>
    <w:rsid w:val="009406D0"/>
    <w:rsid w:val="00940B61"/>
    <w:rsid w:val="00941D08"/>
    <w:rsid w:val="00941F53"/>
    <w:rsid w:val="009465A1"/>
    <w:rsid w:val="00950B3F"/>
    <w:rsid w:val="00951AA4"/>
    <w:rsid w:val="009630D8"/>
    <w:rsid w:val="00963491"/>
    <w:rsid w:val="00966EA4"/>
    <w:rsid w:val="00970177"/>
    <w:rsid w:val="00984D99"/>
    <w:rsid w:val="00991E34"/>
    <w:rsid w:val="009924C3"/>
    <w:rsid w:val="009937AB"/>
    <w:rsid w:val="009A4A27"/>
    <w:rsid w:val="009B0A77"/>
    <w:rsid w:val="009B5815"/>
    <w:rsid w:val="009C143A"/>
    <w:rsid w:val="009C2B3A"/>
    <w:rsid w:val="009C4D9A"/>
    <w:rsid w:val="009D1FD9"/>
    <w:rsid w:val="009E2815"/>
    <w:rsid w:val="009E484F"/>
    <w:rsid w:val="009F443C"/>
    <w:rsid w:val="009F54FA"/>
    <w:rsid w:val="00A033DE"/>
    <w:rsid w:val="00A12E53"/>
    <w:rsid w:val="00A17353"/>
    <w:rsid w:val="00A17666"/>
    <w:rsid w:val="00A24DE7"/>
    <w:rsid w:val="00A26637"/>
    <w:rsid w:val="00A3562B"/>
    <w:rsid w:val="00A36547"/>
    <w:rsid w:val="00A43949"/>
    <w:rsid w:val="00A47FD1"/>
    <w:rsid w:val="00A60280"/>
    <w:rsid w:val="00A61878"/>
    <w:rsid w:val="00A61C19"/>
    <w:rsid w:val="00A6225C"/>
    <w:rsid w:val="00A65616"/>
    <w:rsid w:val="00A669E8"/>
    <w:rsid w:val="00A70547"/>
    <w:rsid w:val="00A72E4C"/>
    <w:rsid w:val="00A7362F"/>
    <w:rsid w:val="00A75D26"/>
    <w:rsid w:val="00A777A4"/>
    <w:rsid w:val="00A82FC4"/>
    <w:rsid w:val="00A8384F"/>
    <w:rsid w:val="00A86F19"/>
    <w:rsid w:val="00A94BB9"/>
    <w:rsid w:val="00A95B06"/>
    <w:rsid w:val="00AA60E1"/>
    <w:rsid w:val="00AA67E9"/>
    <w:rsid w:val="00AA6EEF"/>
    <w:rsid w:val="00AA722B"/>
    <w:rsid w:val="00AA7807"/>
    <w:rsid w:val="00AB0C85"/>
    <w:rsid w:val="00AB1868"/>
    <w:rsid w:val="00AB3B2A"/>
    <w:rsid w:val="00AB5740"/>
    <w:rsid w:val="00AB6C72"/>
    <w:rsid w:val="00AB7F7A"/>
    <w:rsid w:val="00AC4EE4"/>
    <w:rsid w:val="00AD1875"/>
    <w:rsid w:val="00AD635B"/>
    <w:rsid w:val="00AE1205"/>
    <w:rsid w:val="00AE3914"/>
    <w:rsid w:val="00AE414F"/>
    <w:rsid w:val="00AE49DD"/>
    <w:rsid w:val="00AE5277"/>
    <w:rsid w:val="00AE5BBA"/>
    <w:rsid w:val="00AF1C4F"/>
    <w:rsid w:val="00AF36B2"/>
    <w:rsid w:val="00AF409B"/>
    <w:rsid w:val="00B0006E"/>
    <w:rsid w:val="00B001FE"/>
    <w:rsid w:val="00B0083C"/>
    <w:rsid w:val="00B01BCD"/>
    <w:rsid w:val="00B0347E"/>
    <w:rsid w:val="00B124FE"/>
    <w:rsid w:val="00B1410D"/>
    <w:rsid w:val="00B16472"/>
    <w:rsid w:val="00B16E04"/>
    <w:rsid w:val="00B16F84"/>
    <w:rsid w:val="00B221FA"/>
    <w:rsid w:val="00B235E7"/>
    <w:rsid w:val="00B30280"/>
    <w:rsid w:val="00B35D82"/>
    <w:rsid w:val="00B3762F"/>
    <w:rsid w:val="00B40C54"/>
    <w:rsid w:val="00B47894"/>
    <w:rsid w:val="00B51EAD"/>
    <w:rsid w:val="00B6146D"/>
    <w:rsid w:val="00B70236"/>
    <w:rsid w:val="00B727AC"/>
    <w:rsid w:val="00B90307"/>
    <w:rsid w:val="00B917A7"/>
    <w:rsid w:val="00B92D74"/>
    <w:rsid w:val="00B95B74"/>
    <w:rsid w:val="00BA1900"/>
    <w:rsid w:val="00BA6F45"/>
    <w:rsid w:val="00BB1EFA"/>
    <w:rsid w:val="00BB6BE4"/>
    <w:rsid w:val="00BB73A9"/>
    <w:rsid w:val="00BC1A2C"/>
    <w:rsid w:val="00BC3697"/>
    <w:rsid w:val="00BD3EB8"/>
    <w:rsid w:val="00BD6165"/>
    <w:rsid w:val="00BD7E02"/>
    <w:rsid w:val="00BE0C79"/>
    <w:rsid w:val="00BE7A27"/>
    <w:rsid w:val="00BF0D49"/>
    <w:rsid w:val="00BF3327"/>
    <w:rsid w:val="00BF710F"/>
    <w:rsid w:val="00C0005E"/>
    <w:rsid w:val="00C12964"/>
    <w:rsid w:val="00C17785"/>
    <w:rsid w:val="00C20455"/>
    <w:rsid w:val="00C22283"/>
    <w:rsid w:val="00C25AD1"/>
    <w:rsid w:val="00C34A22"/>
    <w:rsid w:val="00C350E0"/>
    <w:rsid w:val="00C40F2E"/>
    <w:rsid w:val="00C4114A"/>
    <w:rsid w:val="00C53AE2"/>
    <w:rsid w:val="00C61A85"/>
    <w:rsid w:val="00C635FE"/>
    <w:rsid w:val="00C66A70"/>
    <w:rsid w:val="00C66C0A"/>
    <w:rsid w:val="00C73890"/>
    <w:rsid w:val="00C747C1"/>
    <w:rsid w:val="00C80162"/>
    <w:rsid w:val="00C82CCF"/>
    <w:rsid w:val="00C9040A"/>
    <w:rsid w:val="00C92709"/>
    <w:rsid w:val="00C960E8"/>
    <w:rsid w:val="00CA075C"/>
    <w:rsid w:val="00CA253F"/>
    <w:rsid w:val="00CA5C7A"/>
    <w:rsid w:val="00CA5D29"/>
    <w:rsid w:val="00CB46E2"/>
    <w:rsid w:val="00CB5001"/>
    <w:rsid w:val="00CB6CCE"/>
    <w:rsid w:val="00CC14B2"/>
    <w:rsid w:val="00CC7E98"/>
    <w:rsid w:val="00CD4B40"/>
    <w:rsid w:val="00CD76CF"/>
    <w:rsid w:val="00CE04A4"/>
    <w:rsid w:val="00CE1FF4"/>
    <w:rsid w:val="00CE2D15"/>
    <w:rsid w:val="00CE36CF"/>
    <w:rsid w:val="00CF2E09"/>
    <w:rsid w:val="00CF3D1D"/>
    <w:rsid w:val="00CF40F0"/>
    <w:rsid w:val="00CF61BC"/>
    <w:rsid w:val="00D0296F"/>
    <w:rsid w:val="00D1289B"/>
    <w:rsid w:val="00D1396B"/>
    <w:rsid w:val="00D15E17"/>
    <w:rsid w:val="00D1620C"/>
    <w:rsid w:val="00D218FD"/>
    <w:rsid w:val="00D247E8"/>
    <w:rsid w:val="00D26CF2"/>
    <w:rsid w:val="00D31BCB"/>
    <w:rsid w:val="00D333BC"/>
    <w:rsid w:val="00D3484D"/>
    <w:rsid w:val="00D34D9A"/>
    <w:rsid w:val="00D36370"/>
    <w:rsid w:val="00D41DD5"/>
    <w:rsid w:val="00D41E07"/>
    <w:rsid w:val="00D445F9"/>
    <w:rsid w:val="00D54AD7"/>
    <w:rsid w:val="00D55D2A"/>
    <w:rsid w:val="00D61E4F"/>
    <w:rsid w:val="00D671F2"/>
    <w:rsid w:val="00D8321D"/>
    <w:rsid w:val="00D86A3F"/>
    <w:rsid w:val="00D91604"/>
    <w:rsid w:val="00D93F0D"/>
    <w:rsid w:val="00DA5413"/>
    <w:rsid w:val="00DB5067"/>
    <w:rsid w:val="00DB6473"/>
    <w:rsid w:val="00DB6587"/>
    <w:rsid w:val="00DB78BC"/>
    <w:rsid w:val="00DB7D17"/>
    <w:rsid w:val="00DC3A17"/>
    <w:rsid w:val="00DC625A"/>
    <w:rsid w:val="00DD2345"/>
    <w:rsid w:val="00DE1053"/>
    <w:rsid w:val="00DE299F"/>
    <w:rsid w:val="00DE344E"/>
    <w:rsid w:val="00DE5FE3"/>
    <w:rsid w:val="00DE6386"/>
    <w:rsid w:val="00DE6ABD"/>
    <w:rsid w:val="00DF239B"/>
    <w:rsid w:val="00DF34E5"/>
    <w:rsid w:val="00DF531E"/>
    <w:rsid w:val="00E05093"/>
    <w:rsid w:val="00E0536A"/>
    <w:rsid w:val="00E11D6E"/>
    <w:rsid w:val="00E1339F"/>
    <w:rsid w:val="00E13698"/>
    <w:rsid w:val="00E14B6B"/>
    <w:rsid w:val="00E16E88"/>
    <w:rsid w:val="00E2229D"/>
    <w:rsid w:val="00E22551"/>
    <w:rsid w:val="00E316EA"/>
    <w:rsid w:val="00E42967"/>
    <w:rsid w:val="00E43031"/>
    <w:rsid w:val="00E47460"/>
    <w:rsid w:val="00E47917"/>
    <w:rsid w:val="00E502CF"/>
    <w:rsid w:val="00E54C30"/>
    <w:rsid w:val="00E54E94"/>
    <w:rsid w:val="00E64A4E"/>
    <w:rsid w:val="00E662B0"/>
    <w:rsid w:val="00E75861"/>
    <w:rsid w:val="00E76241"/>
    <w:rsid w:val="00E777A5"/>
    <w:rsid w:val="00E85812"/>
    <w:rsid w:val="00E9019E"/>
    <w:rsid w:val="00E92D08"/>
    <w:rsid w:val="00E953D7"/>
    <w:rsid w:val="00EA2363"/>
    <w:rsid w:val="00EA40E3"/>
    <w:rsid w:val="00EA4257"/>
    <w:rsid w:val="00EA63DA"/>
    <w:rsid w:val="00EA7B63"/>
    <w:rsid w:val="00EB0861"/>
    <w:rsid w:val="00EB2D4D"/>
    <w:rsid w:val="00EB5905"/>
    <w:rsid w:val="00EB6D64"/>
    <w:rsid w:val="00EB7B56"/>
    <w:rsid w:val="00EC17CC"/>
    <w:rsid w:val="00EC1874"/>
    <w:rsid w:val="00EC2C54"/>
    <w:rsid w:val="00EC395E"/>
    <w:rsid w:val="00EC60C5"/>
    <w:rsid w:val="00ED422C"/>
    <w:rsid w:val="00ED6B0F"/>
    <w:rsid w:val="00ED6C54"/>
    <w:rsid w:val="00EE01A7"/>
    <w:rsid w:val="00EE3223"/>
    <w:rsid w:val="00EE3EC0"/>
    <w:rsid w:val="00EE4399"/>
    <w:rsid w:val="00EF1AAE"/>
    <w:rsid w:val="00EF5BCB"/>
    <w:rsid w:val="00F07575"/>
    <w:rsid w:val="00F07680"/>
    <w:rsid w:val="00F1222C"/>
    <w:rsid w:val="00F1227D"/>
    <w:rsid w:val="00F1698F"/>
    <w:rsid w:val="00F20E15"/>
    <w:rsid w:val="00F2689E"/>
    <w:rsid w:val="00F26EA2"/>
    <w:rsid w:val="00F26F80"/>
    <w:rsid w:val="00F3064E"/>
    <w:rsid w:val="00F4407D"/>
    <w:rsid w:val="00F44F49"/>
    <w:rsid w:val="00F45928"/>
    <w:rsid w:val="00F45A3D"/>
    <w:rsid w:val="00F52432"/>
    <w:rsid w:val="00F53A47"/>
    <w:rsid w:val="00F56FF8"/>
    <w:rsid w:val="00F62D85"/>
    <w:rsid w:val="00F66E18"/>
    <w:rsid w:val="00F725DE"/>
    <w:rsid w:val="00F72BDC"/>
    <w:rsid w:val="00F8464F"/>
    <w:rsid w:val="00F86D2D"/>
    <w:rsid w:val="00F90C1B"/>
    <w:rsid w:val="00F92508"/>
    <w:rsid w:val="00F938CF"/>
    <w:rsid w:val="00F93D6E"/>
    <w:rsid w:val="00FA09FA"/>
    <w:rsid w:val="00FA0B77"/>
    <w:rsid w:val="00FA0CA0"/>
    <w:rsid w:val="00FA4D38"/>
    <w:rsid w:val="00FA5FEC"/>
    <w:rsid w:val="00FB2C06"/>
    <w:rsid w:val="00FB4C09"/>
    <w:rsid w:val="00FB4CA7"/>
    <w:rsid w:val="00FB592E"/>
    <w:rsid w:val="00FC1703"/>
    <w:rsid w:val="00FC5967"/>
    <w:rsid w:val="00FD026B"/>
    <w:rsid w:val="00FD205D"/>
    <w:rsid w:val="00FD5F00"/>
    <w:rsid w:val="00FE03BE"/>
    <w:rsid w:val="00FE5B40"/>
    <w:rsid w:val="00FE61FA"/>
    <w:rsid w:val="00FF0BE2"/>
    <w:rsid w:val="00FF23CD"/>
    <w:rsid w:val="00FF6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C3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941F53"/>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1A7E"/>
    <w:pPr>
      <w:tabs>
        <w:tab w:val="center" w:pos="4320"/>
        <w:tab w:val="right" w:pos="8640"/>
      </w:tabs>
    </w:pPr>
  </w:style>
  <w:style w:type="character" w:customStyle="1" w:styleId="FooterChar">
    <w:name w:val="Footer Char"/>
    <w:basedOn w:val="DefaultParagraphFont"/>
    <w:link w:val="Footer"/>
    <w:uiPriority w:val="99"/>
    <w:rsid w:val="00061A7E"/>
    <w:rPr>
      <w:rFonts w:ascii="Times New Roman" w:eastAsia="Times New Roman" w:hAnsi="Times New Roman" w:cs="Times New Roman"/>
      <w:sz w:val="20"/>
      <w:szCs w:val="20"/>
    </w:rPr>
  </w:style>
  <w:style w:type="character" w:styleId="PageNumber">
    <w:name w:val="page number"/>
    <w:basedOn w:val="DefaultParagraphFont"/>
    <w:rsid w:val="00061A7E"/>
  </w:style>
  <w:style w:type="paragraph" w:styleId="NormalWeb">
    <w:name w:val="Normal (Web)"/>
    <w:basedOn w:val="Normal"/>
    <w:uiPriority w:val="99"/>
    <w:unhideWhenUsed/>
    <w:rsid w:val="006F7941"/>
    <w:pPr>
      <w:widowControl/>
      <w:autoSpaceDE/>
      <w:autoSpaceDN/>
      <w:adjustRightInd/>
      <w:spacing w:before="100" w:beforeAutospacing="1" w:after="100" w:afterAutospacing="1"/>
    </w:pPr>
    <w:rPr>
      <w:sz w:val="24"/>
      <w:szCs w:val="24"/>
    </w:rPr>
  </w:style>
  <w:style w:type="paragraph" w:customStyle="1" w:styleId="Default">
    <w:name w:val="Default"/>
    <w:rsid w:val="00914C2F"/>
    <w:pPr>
      <w:autoSpaceDE w:val="0"/>
      <w:autoSpaceDN w:val="0"/>
      <w:adjustRightInd w:val="0"/>
      <w:spacing w:after="0" w:line="240" w:lineRule="auto"/>
    </w:pPr>
    <w:rPr>
      <w:rFonts w:ascii="CKJKL H+ TTE A 0 O 00" w:hAnsi="CKJKL H+ TTE A 0 O 00" w:cs="CKJKL H+ TTE A 0 O 00"/>
      <w:color w:val="000000"/>
      <w:sz w:val="24"/>
      <w:szCs w:val="24"/>
    </w:rPr>
  </w:style>
  <w:style w:type="paragraph" w:styleId="Header">
    <w:name w:val="header"/>
    <w:basedOn w:val="Normal"/>
    <w:link w:val="HeaderChar"/>
    <w:uiPriority w:val="99"/>
    <w:unhideWhenUsed/>
    <w:rsid w:val="00941F53"/>
    <w:pPr>
      <w:tabs>
        <w:tab w:val="center" w:pos="4320"/>
        <w:tab w:val="right" w:pos="8640"/>
      </w:tabs>
    </w:pPr>
  </w:style>
  <w:style w:type="character" w:customStyle="1" w:styleId="HeaderChar">
    <w:name w:val="Header Char"/>
    <w:basedOn w:val="DefaultParagraphFont"/>
    <w:link w:val="Header"/>
    <w:uiPriority w:val="99"/>
    <w:rsid w:val="00941F5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941F53"/>
    <w:rPr>
      <w:rFonts w:ascii="Times New Roman" w:eastAsia="Times New Roman" w:hAnsi="Times New Roman" w:cs="Times New Roman"/>
      <w:b/>
      <w:bCs/>
      <w:sz w:val="27"/>
      <w:szCs w:val="27"/>
    </w:rPr>
  </w:style>
  <w:style w:type="paragraph" w:styleId="ListParagraph">
    <w:name w:val="List Paragraph"/>
    <w:basedOn w:val="Normal"/>
    <w:uiPriority w:val="34"/>
    <w:qFormat/>
    <w:rsid w:val="00CF2E09"/>
    <w:pPr>
      <w:ind w:left="720"/>
      <w:contextualSpacing/>
    </w:pPr>
  </w:style>
  <w:style w:type="paragraph" w:styleId="BalloonText">
    <w:name w:val="Balloon Text"/>
    <w:basedOn w:val="Normal"/>
    <w:link w:val="BalloonTextChar"/>
    <w:uiPriority w:val="99"/>
    <w:semiHidden/>
    <w:unhideWhenUsed/>
    <w:rsid w:val="00FF0BE2"/>
    <w:rPr>
      <w:rFonts w:ascii="Tahoma" w:hAnsi="Tahoma" w:cs="Tahoma"/>
      <w:sz w:val="16"/>
      <w:szCs w:val="16"/>
    </w:rPr>
  </w:style>
  <w:style w:type="character" w:customStyle="1" w:styleId="BalloonTextChar">
    <w:name w:val="Balloon Text Char"/>
    <w:basedOn w:val="DefaultParagraphFont"/>
    <w:link w:val="BalloonText"/>
    <w:uiPriority w:val="99"/>
    <w:semiHidden/>
    <w:rsid w:val="00FF0BE2"/>
    <w:rPr>
      <w:rFonts w:ascii="Tahoma" w:eastAsia="Times New Roman" w:hAnsi="Tahoma" w:cs="Tahoma"/>
      <w:sz w:val="16"/>
      <w:szCs w:val="16"/>
    </w:rPr>
  </w:style>
  <w:style w:type="table" w:styleId="TableGrid">
    <w:name w:val="Table Grid"/>
    <w:basedOn w:val="TableNormal"/>
    <w:uiPriority w:val="59"/>
    <w:rsid w:val="008B2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xt">
    <w:name w:val="reference-txt"/>
    <w:basedOn w:val="DefaultParagraphFont"/>
    <w:rsid w:val="00E9019E"/>
  </w:style>
  <w:style w:type="character" w:customStyle="1" w:styleId="contribution-title">
    <w:name w:val="contribution-title"/>
    <w:basedOn w:val="DefaultParagraphFont"/>
    <w:rsid w:val="00E9019E"/>
  </w:style>
  <w:style w:type="character" w:customStyle="1" w:styleId="reference-title">
    <w:name w:val="reference-title"/>
    <w:basedOn w:val="DefaultParagraphFont"/>
    <w:rsid w:val="00E9019E"/>
  </w:style>
  <w:style w:type="character" w:customStyle="1" w:styleId="authorsname">
    <w:name w:val="authors__name"/>
    <w:basedOn w:val="DefaultParagraphFont"/>
    <w:rsid w:val="00EC395E"/>
  </w:style>
  <w:style w:type="character" w:customStyle="1" w:styleId="authorscontact">
    <w:name w:val="authors__contact"/>
    <w:basedOn w:val="DefaultParagraphFont"/>
    <w:rsid w:val="00EC395E"/>
  </w:style>
  <w:style w:type="character" w:styleId="Hyperlink">
    <w:name w:val="Hyperlink"/>
    <w:basedOn w:val="DefaultParagraphFont"/>
    <w:uiPriority w:val="99"/>
    <w:semiHidden/>
    <w:unhideWhenUsed/>
    <w:rsid w:val="00EC395E"/>
    <w:rPr>
      <w:color w:val="0000FF"/>
      <w:u w:val="single"/>
    </w:rPr>
  </w:style>
  <w:style w:type="character" w:customStyle="1" w:styleId="Heading1Char">
    <w:name w:val="Heading 1 Char"/>
    <w:basedOn w:val="DefaultParagraphFont"/>
    <w:link w:val="Heading1"/>
    <w:uiPriority w:val="9"/>
    <w:rsid w:val="00EC395E"/>
    <w:rPr>
      <w:rFonts w:asciiTheme="majorHAnsi" w:eastAsiaTheme="majorEastAsia" w:hAnsiTheme="majorHAnsi" w:cstheme="majorBidi"/>
      <w:b/>
      <w:bCs/>
      <w:color w:val="365F91" w:themeColor="accent1" w:themeShade="BF"/>
      <w:sz w:val="28"/>
      <w:szCs w:val="28"/>
    </w:rPr>
  </w:style>
  <w:style w:type="character" w:customStyle="1" w:styleId="journaltitle">
    <w:name w:val="journaltitle"/>
    <w:basedOn w:val="DefaultParagraphFont"/>
    <w:rsid w:val="00EB2D4D"/>
  </w:style>
  <w:style w:type="paragraph" w:customStyle="1" w:styleId="icon--meta-keyline-before">
    <w:name w:val="icon--meta-keyline-before"/>
    <w:basedOn w:val="Normal"/>
    <w:rsid w:val="00EB2D4D"/>
    <w:pPr>
      <w:widowControl/>
      <w:autoSpaceDE/>
      <w:autoSpaceDN/>
      <w:adjustRightInd/>
      <w:spacing w:before="100" w:beforeAutospacing="1" w:after="100" w:afterAutospacing="1"/>
    </w:pPr>
    <w:rPr>
      <w:sz w:val="24"/>
      <w:szCs w:val="24"/>
    </w:rPr>
  </w:style>
  <w:style w:type="character" w:customStyle="1" w:styleId="articlecitationyear">
    <w:name w:val="articlecitation_year"/>
    <w:basedOn w:val="DefaultParagraphFont"/>
    <w:rsid w:val="00EB2D4D"/>
  </w:style>
  <w:style w:type="character" w:customStyle="1" w:styleId="articlecitationvolume">
    <w:name w:val="articlecitation_volume"/>
    <w:basedOn w:val="DefaultParagraphFont"/>
    <w:rsid w:val="00EB2D4D"/>
  </w:style>
  <w:style w:type="character" w:customStyle="1" w:styleId="articlecitationpages">
    <w:name w:val="articlecitation_pages"/>
    <w:basedOn w:val="DefaultParagraphFont"/>
    <w:rsid w:val="00EB2D4D"/>
  </w:style>
  <w:style w:type="character" w:customStyle="1" w:styleId="mceitemhidden">
    <w:name w:val="mceitemhidden"/>
    <w:basedOn w:val="DefaultParagraphFont"/>
    <w:rsid w:val="00FA0CA0"/>
  </w:style>
  <w:style w:type="character" w:customStyle="1" w:styleId="hiddenspellerror1">
    <w:name w:val="hiddenspellerror1"/>
    <w:basedOn w:val="DefaultParagraphFont"/>
    <w:rsid w:val="0075343D"/>
  </w:style>
  <w:style w:type="character" w:styleId="CommentReference">
    <w:name w:val="annotation reference"/>
    <w:basedOn w:val="DefaultParagraphFont"/>
    <w:uiPriority w:val="99"/>
    <w:semiHidden/>
    <w:unhideWhenUsed/>
    <w:rsid w:val="00177860"/>
    <w:rPr>
      <w:sz w:val="16"/>
      <w:szCs w:val="16"/>
    </w:rPr>
  </w:style>
  <w:style w:type="paragraph" w:styleId="CommentText">
    <w:name w:val="annotation text"/>
    <w:basedOn w:val="Normal"/>
    <w:link w:val="CommentTextChar"/>
    <w:uiPriority w:val="99"/>
    <w:semiHidden/>
    <w:unhideWhenUsed/>
    <w:rsid w:val="00177860"/>
  </w:style>
  <w:style w:type="character" w:customStyle="1" w:styleId="CommentTextChar">
    <w:name w:val="Comment Text Char"/>
    <w:basedOn w:val="DefaultParagraphFont"/>
    <w:link w:val="CommentText"/>
    <w:uiPriority w:val="99"/>
    <w:semiHidden/>
    <w:rsid w:val="001778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860"/>
    <w:rPr>
      <w:b/>
      <w:bCs/>
    </w:rPr>
  </w:style>
  <w:style w:type="character" w:customStyle="1" w:styleId="CommentSubjectChar">
    <w:name w:val="Comment Subject Char"/>
    <w:basedOn w:val="CommentTextChar"/>
    <w:link w:val="CommentSubject"/>
    <w:uiPriority w:val="99"/>
    <w:semiHidden/>
    <w:rsid w:val="0017786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C3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941F53"/>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1A7E"/>
    <w:pPr>
      <w:tabs>
        <w:tab w:val="center" w:pos="4320"/>
        <w:tab w:val="right" w:pos="8640"/>
      </w:tabs>
    </w:pPr>
  </w:style>
  <w:style w:type="character" w:customStyle="1" w:styleId="FooterChar">
    <w:name w:val="Footer Char"/>
    <w:basedOn w:val="DefaultParagraphFont"/>
    <w:link w:val="Footer"/>
    <w:uiPriority w:val="99"/>
    <w:rsid w:val="00061A7E"/>
    <w:rPr>
      <w:rFonts w:ascii="Times New Roman" w:eastAsia="Times New Roman" w:hAnsi="Times New Roman" w:cs="Times New Roman"/>
      <w:sz w:val="20"/>
      <w:szCs w:val="20"/>
    </w:rPr>
  </w:style>
  <w:style w:type="character" w:styleId="PageNumber">
    <w:name w:val="page number"/>
    <w:basedOn w:val="DefaultParagraphFont"/>
    <w:rsid w:val="00061A7E"/>
  </w:style>
  <w:style w:type="paragraph" w:styleId="NormalWeb">
    <w:name w:val="Normal (Web)"/>
    <w:basedOn w:val="Normal"/>
    <w:uiPriority w:val="99"/>
    <w:unhideWhenUsed/>
    <w:rsid w:val="006F7941"/>
    <w:pPr>
      <w:widowControl/>
      <w:autoSpaceDE/>
      <w:autoSpaceDN/>
      <w:adjustRightInd/>
      <w:spacing w:before="100" w:beforeAutospacing="1" w:after="100" w:afterAutospacing="1"/>
    </w:pPr>
    <w:rPr>
      <w:sz w:val="24"/>
      <w:szCs w:val="24"/>
    </w:rPr>
  </w:style>
  <w:style w:type="paragraph" w:customStyle="1" w:styleId="Default">
    <w:name w:val="Default"/>
    <w:rsid w:val="00914C2F"/>
    <w:pPr>
      <w:autoSpaceDE w:val="0"/>
      <w:autoSpaceDN w:val="0"/>
      <w:adjustRightInd w:val="0"/>
      <w:spacing w:after="0" w:line="240" w:lineRule="auto"/>
    </w:pPr>
    <w:rPr>
      <w:rFonts w:ascii="CKJKL H+ TTE A 0 O 00" w:hAnsi="CKJKL H+ TTE A 0 O 00" w:cs="CKJKL H+ TTE A 0 O 00"/>
      <w:color w:val="000000"/>
      <w:sz w:val="24"/>
      <w:szCs w:val="24"/>
    </w:rPr>
  </w:style>
  <w:style w:type="paragraph" w:styleId="Header">
    <w:name w:val="header"/>
    <w:basedOn w:val="Normal"/>
    <w:link w:val="HeaderChar"/>
    <w:uiPriority w:val="99"/>
    <w:unhideWhenUsed/>
    <w:rsid w:val="00941F53"/>
    <w:pPr>
      <w:tabs>
        <w:tab w:val="center" w:pos="4320"/>
        <w:tab w:val="right" w:pos="8640"/>
      </w:tabs>
    </w:pPr>
  </w:style>
  <w:style w:type="character" w:customStyle="1" w:styleId="HeaderChar">
    <w:name w:val="Header Char"/>
    <w:basedOn w:val="DefaultParagraphFont"/>
    <w:link w:val="Header"/>
    <w:uiPriority w:val="99"/>
    <w:rsid w:val="00941F5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941F53"/>
    <w:rPr>
      <w:rFonts w:ascii="Times New Roman" w:eastAsia="Times New Roman" w:hAnsi="Times New Roman" w:cs="Times New Roman"/>
      <w:b/>
      <w:bCs/>
      <w:sz w:val="27"/>
      <w:szCs w:val="27"/>
    </w:rPr>
  </w:style>
  <w:style w:type="paragraph" w:styleId="ListParagraph">
    <w:name w:val="List Paragraph"/>
    <w:basedOn w:val="Normal"/>
    <w:uiPriority w:val="34"/>
    <w:qFormat/>
    <w:rsid w:val="00CF2E09"/>
    <w:pPr>
      <w:ind w:left="720"/>
      <w:contextualSpacing/>
    </w:pPr>
  </w:style>
  <w:style w:type="paragraph" w:styleId="BalloonText">
    <w:name w:val="Balloon Text"/>
    <w:basedOn w:val="Normal"/>
    <w:link w:val="BalloonTextChar"/>
    <w:uiPriority w:val="99"/>
    <w:semiHidden/>
    <w:unhideWhenUsed/>
    <w:rsid w:val="00FF0BE2"/>
    <w:rPr>
      <w:rFonts w:ascii="Tahoma" w:hAnsi="Tahoma" w:cs="Tahoma"/>
      <w:sz w:val="16"/>
      <w:szCs w:val="16"/>
    </w:rPr>
  </w:style>
  <w:style w:type="character" w:customStyle="1" w:styleId="BalloonTextChar">
    <w:name w:val="Balloon Text Char"/>
    <w:basedOn w:val="DefaultParagraphFont"/>
    <w:link w:val="BalloonText"/>
    <w:uiPriority w:val="99"/>
    <w:semiHidden/>
    <w:rsid w:val="00FF0BE2"/>
    <w:rPr>
      <w:rFonts w:ascii="Tahoma" w:eastAsia="Times New Roman" w:hAnsi="Tahoma" w:cs="Tahoma"/>
      <w:sz w:val="16"/>
      <w:szCs w:val="16"/>
    </w:rPr>
  </w:style>
  <w:style w:type="table" w:styleId="TableGrid">
    <w:name w:val="Table Grid"/>
    <w:basedOn w:val="TableNormal"/>
    <w:uiPriority w:val="59"/>
    <w:rsid w:val="008B2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xt">
    <w:name w:val="reference-txt"/>
    <w:basedOn w:val="DefaultParagraphFont"/>
    <w:rsid w:val="00E9019E"/>
  </w:style>
  <w:style w:type="character" w:customStyle="1" w:styleId="contribution-title">
    <w:name w:val="contribution-title"/>
    <w:basedOn w:val="DefaultParagraphFont"/>
    <w:rsid w:val="00E9019E"/>
  </w:style>
  <w:style w:type="character" w:customStyle="1" w:styleId="reference-title">
    <w:name w:val="reference-title"/>
    <w:basedOn w:val="DefaultParagraphFont"/>
    <w:rsid w:val="00E9019E"/>
  </w:style>
  <w:style w:type="character" w:customStyle="1" w:styleId="authorsname">
    <w:name w:val="authors__name"/>
    <w:basedOn w:val="DefaultParagraphFont"/>
    <w:rsid w:val="00EC395E"/>
  </w:style>
  <w:style w:type="character" w:customStyle="1" w:styleId="authorscontact">
    <w:name w:val="authors__contact"/>
    <w:basedOn w:val="DefaultParagraphFont"/>
    <w:rsid w:val="00EC395E"/>
  </w:style>
  <w:style w:type="character" w:styleId="Hyperlink">
    <w:name w:val="Hyperlink"/>
    <w:basedOn w:val="DefaultParagraphFont"/>
    <w:uiPriority w:val="99"/>
    <w:semiHidden/>
    <w:unhideWhenUsed/>
    <w:rsid w:val="00EC395E"/>
    <w:rPr>
      <w:color w:val="0000FF"/>
      <w:u w:val="single"/>
    </w:rPr>
  </w:style>
  <w:style w:type="character" w:customStyle="1" w:styleId="Heading1Char">
    <w:name w:val="Heading 1 Char"/>
    <w:basedOn w:val="DefaultParagraphFont"/>
    <w:link w:val="Heading1"/>
    <w:uiPriority w:val="9"/>
    <w:rsid w:val="00EC395E"/>
    <w:rPr>
      <w:rFonts w:asciiTheme="majorHAnsi" w:eastAsiaTheme="majorEastAsia" w:hAnsiTheme="majorHAnsi" w:cstheme="majorBidi"/>
      <w:b/>
      <w:bCs/>
      <w:color w:val="365F91" w:themeColor="accent1" w:themeShade="BF"/>
      <w:sz w:val="28"/>
      <w:szCs w:val="28"/>
    </w:rPr>
  </w:style>
  <w:style w:type="character" w:customStyle="1" w:styleId="journaltitle">
    <w:name w:val="journaltitle"/>
    <w:basedOn w:val="DefaultParagraphFont"/>
    <w:rsid w:val="00EB2D4D"/>
  </w:style>
  <w:style w:type="paragraph" w:customStyle="1" w:styleId="icon--meta-keyline-before">
    <w:name w:val="icon--meta-keyline-before"/>
    <w:basedOn w:val="Normal"/>
    <w:rsid w:val="00EB2D4D"/>
    <w:pPr>
      <w:widowControl/>
      <w:autoSpaceDE/>
      <w:autoSpaceDN/>
      <w:adjustRightInd/>
      <w:spacing w:before="100" w:beforeAutospacing="1" w:after="100" w:afterAutospacing="1"/>
    </w:pPr>
    <w:rPr>
      <w:sz w:val="24"/>
      <w:szCs w:val="24"/>
    </w:rPr>
  </w:style>
  <w:style w:type="character" w:customStyle="1" w:styleId="articlecitationyear">
    <w:name w:val="articlecitation_year"/>
    <w:basedOn w:val="DefaultParagraphFont"/>
    <w:rsid w:val="00EB2D4D"/>
  </w:style>
  <w:style w:type="character" w:customStyle="1" w:styleId="articlecitationvolume">
    <w:name w:val="articlecitation_volume"/>
    <w:basedOn w:val="DefaultParagraphFont"/>
    <w:rsid w:val="00EB2D4D"/>
  </w:style>
  <w:style w:type="character" w:customStyle="1" w:styleId="articlecitationpages">
    <w:name w:val="articlecitation_pages"/>
    <w:basedOn w:val="DefaultParagraphFont"/>
    <w:rsid w:val="00EB2D4D"/>
  </w:style>
  <w:style w:type="character" w:customStyle="1" w:styleId="mceitemhidden">
    <w:name w:val="mceitemhidden"/>
    <w:basedOn w:val="DefaultParagraphFont"/>
    <w:rsid w:val="00FA0CA0"/>
  </w:style>
  <w:style w:type="character" w:customStyle="1" w:styleId="hiddenspellerror1">
    <w:name w:val="hiddenspellerror1"/>
    <w:basedOn w:val="DefaultParagraphFont"/>
    <w:rsid w:val="0075343D"/>
  </w:style>
  <w:style w:type="character" w:styleId="CommentReference">
    <w:name w:val="annotation reference"/>
    <w:basedOn w:val="DefaultParagraphFont"/>
    <w:uiPriority w:val="99"/>
    <w:semiHidden/>
    <w:unhideWhenUsed/>
    <w:rsid w:val="00177860"/>
    <w:rPr>
      <w:sz w:val="16"/>
      <w:szCs w:val="16"/>
    </w:rPr>
  </w:style>
  <w:style w:type="paragraph" w:styleId="CommentText">
    <w:name w:val="annotation text"/>
    <w:basedOn w:val="Normal"/>
    <w:link w:val="CommentTextChar"/>
    <w:uiPriority w:val="99"/>
    <w:semiHidden/>
    <w:unhideWhenUsed/>
    <w:rsid w:val="00177860"/>
  </w:style>
  <w:style w:type="character" w:customStyle="1" w:styleId="CommentTextChar">
    <w:name w:val="Comment Text Char"/>
    <w:basedOn w:val="DefaultParagraphFont"/>
    <w:link w:val="CommentText"/>
    <w:uiPriority w:val="99"/>
    <w:semiHidden/>
    <w:rsid w:val="001778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860"/>
    <w:rPr>
      <w:b/>
      <w:bCs/>
    </w:rPr>
  </w:style>
  <w:style w:type="character" w:customStyle="1" w:styleId="CommentSubjectChar">
    <w:name w:val="Comment Subject Char"/>
    <w:basedOn w:val="CommentTextChar"/>
    <w:link w:val="CommentSubject"/>
    <w:uiPriority w:val="99"/>
    <w:semiHidden/>
    <w:rsid w:val="0017786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8385200">
      <w:bodyDiv w:val="1"/>
      <w:marLeft w:val="0"/>
      <w:marRight w:val="0"/>
      <w:marTop w:val="0"/>
      <w:marBottom w:val="0"/>
      <w:divBdr>
        <w:top w:val="none" w:sz="0" w:space="0" w:color="auto"/>
        <w:left w:val="none" w:sz="0" w:space="0" w:color="auto"/>
        <w:bottom w:val="none" w:sz="0" w:space="0" w:color="auto"/>
        <w:right w:val="none" w:sz="0" w:space="0" w:color="auto"/>
      </w:divBdr>
    </w:div>
    <w:div w:id="315455410">
      <w:bodyDiv w:val="1"/>
      <w:marLeft w:val="80"/>
      <w:marRight w:val="80"/>
      <w:marTop w:val="80"/>
      <w:marBottom w:val="80"/>
      <w:divBdr>
        <w:top w:val="none" w:sz="0" w:space="0" w:color="auto"/>
        <w:left w:val="none" w:sz="0" w:space="0" w:color="auto"/>
        <w:bottom w:val="none" w:sz="0" w:space="0" w:color="auto"/>
        <w:right w:val="none" w:sz="0" w:space="0" w:color="auto"/>
      </w:divBdr>
    </w:div>
    <w:div w:id="750539538">
      <w:bodyDiv w:val="1"/>
      <w:marLeft w:val="80"/>
      <w:marRight w:val="80"/>
      <w:marTop w:val="80"/>
      <w:marBottom w:val="80"/>
      <w:divBdr>
        <w:top w:val="none" w:sz="0" w:space="0" w:color="auto"/>
        <w:left w:val="none" w:sz="0" w:space="0" w:color="auto"/>
        <w:bottom w:val="none" w:sz="0" w:space="0" w:color="auto"/>
        <w:right w:val="none" w:sz="0" w:space="0" w:color="auto"/>
      </w:divBdr>
    </w:div>
    <w:div w:id="1189638219">
      <w:bodyDiv w:val="1"/>
      <w:marLeft w:val="0"/>
      <w:marRight w:val="0"/>
      <w:marTop w:val="0"/>
      <w:marBottom w:val="0"/>
      <w:divBdr>
        <w:top w:val="none" w:sz="0" w:space="0" w:color="auto"/>
        <w:left w:val="none" w:sz="0" w:space="0" w:color="auto"/>
        <w:bottom w:val="none" w:sz="0" w:space="0" w:color="auto"/>
        <w:right w:val="none" w:sz="0" w:space="0" w:color="auto"/>
      </w:divBdr>
    </w:div>
    <w:div w:id="1265461097">
      <w:bodyDiv w:val="1"/>
      <w:marLeft w:val="0"/>
      <w:marRight w:val="0"/>
      <w:marTop w:val="0"/>
      <w:marBottom w:val="0"/>
      <w:divBdr>
        <w:top w:val="none" w:sz="0" w:space="0" w:color="auto"/>
        <w:left w:val="none" w:sz="0" w:space="0" w:color="auto"/>
        <w:bottom w:val="none" w:sz="0" w:space="0" w:color="auto"/>
        <w:right w:val="none" w:sz="0" w:space="0" w:color="auto"/>
      </w:divBdr>
      <w:divsChild>
        <w:div w:id="1816291077">
          <w:marLeft w:val="0"/>
          <w:marRight w:val="0"/>
          <w:marTop w:val="0"/>
          <w:marBottom w:val="0"/>
          <w:divBdr>
            <w:top w:val="none" w:sz="0" w:space="0" w:color="auto"/>
            <w:left w:val="none" w:sz="0" w:space="0" w:color="auto"/>
            <w:bottom w:val="none" w:sz="0" w:space="0" w:color="auto"/>
            <w:right w:val="none" w:sz="0" w:space="0" w:color="auto"/>
          </w:divBdr>
          <w:divsChild>
            <w:div w:id="543450319">
              <w:marLeft w:val="0"/>
              <w:marRight w:val="0"/>
              <w:marTop w:val="0"/>
              <w:marBottom w:val="0"/>
              <w:divBdr>
                <w:top w:val="none" w:sz="0" w:space="0" w:color="auto"/>
                <w:left w:val="none" w:sz="0" w:space="0" w:color="auto"/>
                <w:bottom w:val="none" w:sz="0" w:space="0" w:color="auto"/>
                <w:right w:val="none" w:sz="0" w:space="0" w:color="auto"/>
              </w:divBdr>
              <w:divsChild>
                <w:div w:id="1107309519">
                  <w:marLeft w:val="0"/>
                  <w:marRight w:val="0"/>
                  <w:marTop w:val="0"/>
                  <w:marBottom w:val="0"/>
                  <w:divBdr>
                    <w:top w:val="none" w:sz="0" w:space="0" w:color="auto"/>
                    <w:left w:val="none" w:sz="0" w:space="0" w:color="auto"/>
                    <w:bottom w:val="none" w:sz="0" w:space="0" w:color="auto"/>
                    <w:right w:val="none" w:sz="0" w:space="0" w:color="auto"/>
                  </w:divBdr>
                  <w:divsChild>
                    <w:div w:id="245310885">
                      <w:marLeft w:val="0"/>
                      <w:marRight w:val="0"/>
                      <w:marTop w:val="0"/>
                      <w:marBottom w:val="0"/>
                      <w:divBdr>
                        <w:top w:val="none" w:sz="0" w:space="0" w:color="auto"/>
                        <w:left w:val="none" w:sz="0" w:space="0" w:color="auto"/>
                        <w:bottom w:val="none" w:sz="0" w:space="0" w:color="auto"/>
                        <w:right w:val="none" w:sz="0" w:space="0" w:color="auto"/>
                      </w:divBdr>
                      <w:divsChild>
                        <w:div w:id="804389928">
                          <w:marLeft w:val="0"/>
                          <w:marRight w:val="0"/>
                          <w:marTop w:val="0"/>
                          <w:marBottom w:val="0"/>
                          <w:divBdr>
                            <w:top w:val="none" w:sz="0" w:space="0" w:color="auto"/>
                            <w:left w:val="none" w:sz="0" w:space="0" w:color="auto"/>
                            <w:bottom w:val="none" w:sz="0" w:space="0" w:color="auto"/>
                            <w:right w:val="none" w:sz="0" w:space="0" w:color="auto"/>
                          </w:divBdr>
                          <w:divsChild>
                            <w:div w:id="439304708">
                              <w:marLeft w:val="0"/>
                              <w:marRight w:val="0"/>
                              <w:marTop w:val="0"/>
                              <w:marBottom w:val="0"/>
                              <w:divBdr>
                                <w:top w:val="none" w:sz="0" w:space="0" w:color="auto"/>
                                <w:left w:val="none" w:sz="0" w:space="0" w:color="auto"/>
                                <w:bottom w:val="none" w:sz="0" w:space="0" w:color="auto"/>
                                <w:right w:val="none" w:sz="0" w:space="0" w:color="auto"/>
                              </w:divBdr>
                              <w:divsChild>
                                <w:div w:id="7133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763285">
      <w:bodyDiv w:val="1"/>
      <w:marLeft w:val="0"/>
      <w:marRight w:val="0"/>
      <w:marTop w:val="0"/>
      <w:marBottom w:val="0"/>
      <w:divBdr>
        <w:top w:val="none" w:sz="0" w:space="0" w:color="auto"/>
        <w:left w:val="none" w:sz="0" w:space="0" w:color="auto"/>
        <w:bottom w:val="none" w:sz="0" w:space="0" w:color="auto"/>
        <w:right w:val="none" w:sz="0" w:space="0" w:color="auto"/>
      </w:divBdr>
      <w:divsChild>
        <w:div w:id="2118718908">
          <w:marLeft w:val="0"/>
          <w:marRight w:val="0"/>
          <w:marTop w:val="0"/>
          <w:marBottom w:val="0"/>
          <w:divBdr>
            <w:top w:val="none" w:sz="0" w:space="0" w:color="auto"/>
            <w:left w:val="none" w:sz="0" w:space="0" w:color="auto"/>
            <w:bottom w:val="none" w:sz="0" w:space="0" w:color="auto"/>
            <w:right w:val="none" w:sz="0" w:space="0" w:color="auto"/>
          </w:divBdr>
          <w:divsChild>
            <w:div w:id="269238807">
              <w:marLeft w:val="0"/>
              <w:marRight w:val="0"/>
              <w:marTop w:val="0"/>
              <w:marBottom w:val="0"/>
              <w:divBdr>
                <w:top w:val="none" w:sz="0" w:space="0" w:color="auto"/>
                <w:left w:val="none" w:sz="0" w:space="0" w:color="auto"/>
                <w:bottom w:val="none" w:sz="0" w:space="0" w:color="auto"/>
                <w:right w:val="none" w:sz="0" w:space="0" w:color="auto"/>
              </w:divBdr>
              <w:divsChild>
                <w:div w:id="2068991856">
                  <w:marLeft w:val="0"/>
                  <w:marRight w:val="0"/>
                  <w:marTop w:val="0"/>
                  <w:marBottom w:val="0"/>
                  <w:divBdr>
                    <w:top w:val="none" w:sz="0" w:space="0" w:color="auto"/>
                    <w:left w:val="none" w:sz="0" w:space="0" w:color="auto"/>
                    <w:bottom w:val="none" w:sz="0" w:space="0" w:color="auto"/>
                    <w:right w:val="none" w:sz="0" w:space="0" w:color="auto"/>
                  </w:divBdr>
                  <w:divsChild>
                    <w:div w:id="611328175">
                      <w:marLeft w:val="0"/>
                      <w:marRight w:val="0"/>
                      <w:marTop w:val="0"/>
                      <w:marBottom w:val="0"/>
                      <w:divBdr>
                        <w:top w:val="none" w:sz="0" w:space="0" w:color="auto"/>
                        <w:left w:val="none" w:sz="0" w:space="0" w:color="auto"/>
                        <w:bottom w:val="none" w:sz="0" w:space="0" w:color="auto"/>
                        <w:right w:val="none" w:sz="0" w:space="0" w:color="auto"/>
                      </w:divBdr>
                      <w:divsChild>
                        <w:div w:id="598369538">
                          <w:marLeft w:val="0"/>
                          <w:marRight w:val="0"/>
                          <w:marTop w:val="0"/>
                          <w:marBottom w:val="0"/>
                          <w:divBdr>
                            <w:top w:val="none" w:sz="0" w:space="0" w:color="auto"/>
                            <w:left w:val="none" w:sz="0" w:space="0" w:color="auto"/>
                            <w:bottom w:val="none" w:sz="0" w:space="0" w:color="auto"/>
                            <w:right w:val="none" w:sz="0" w:space="0" w:color="auto"/>
                          </w:divBdr>
                          <w:divsChild>
                            <w:div w:id="1561672075">
                              <w:marLeft w:val="0"/>
                              <w:marRight w:val="0"/>
                              <w:marTop w:val="0"/>
                              <w:marBottom w:val="0"/>
                              <w:divBdr>
                                <w:top w:val="none" w:sz="0" w:space="0" w:color="auto"/>
                                <w:left w:val="none" w:sz="0" w:space="0" w:color="auto"/>
                                <w:bottom w:val="none" w:sz="0" w:space="0" w:color="auto"/>
                                <w:right w:val="none" w:sz="0" w:space="0" w:color="auto"/>
                              </w:divBdr>
                              <w:divsChild>
                                <w:div w:id="19845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50236">
      <w:bodyDiv w:val="1"/>
      <w:marLeft w:val="0"/>
      <w:marRight w:val="0"/>
      <w:marTop w:val="0"/>
      <w:marBottom w:val="0"/>
      <w:divBdr>
        <w:top w:val="none" w:sz="0" w:space="0" w:color="auto"/>
        <w:left w:val="none" w:sz="0" w:space="0" w:color="auto"/>
        <w:bottom w:val="none" w:sz="0" w:space="0" w:color="auto"/>
        <w:right w:val="none" w:sz="0" w:space="0" w:color="auto"/>
      </w:divBdr>
      <w:divsChild>
        <w:div w:id="1638757003">
          <w:marLeft w:val="0"/>
          <w:marRight w:val="0"/>
          <w:marTop w:val="0"/>
          <w:marBottom w:val="0"/>
          <w:divBdr>
            <w:top w:val="none" w:sz="0" w:space="0" w:color="auto"/>
            <w:left w:val="none" w:sz="0" w:space="0" w:color="auto"/>
            <w:bottom w:val="none" w:sz="0" w:space="0" w:color="auto"/>
            <w:right w:val="none" w:sz="0" w:space="0" w:color="auto"/>
          </w:divBdr>
          <w:divsChild>
            <w:div w:id="145166693">
              <w:marLeft w:val="0"/>
              <w:marRight w:val="0"/>
              <w:marTop w:val="0"/>
              <w:marBottom w:val="0"/>
              <w:divBdr>
                <w:top w:val="none" w:sz="0" w:space="0" w:color="auto"/>
                <w:left w:val="none" w:sz="0" w:space="0" w:color="auto"/>
                <w:bottom w:val="none" w:sz="0" w:space="0" w:color="auto"/>
                <w:right w:val="none" w:sz="0" w:space="0" w:color="auto"/>
              </w:divBdr>
              <w:divsChild>
                <w:div w:id="798038114">
                  <w:marLeft w:val="0"/>
                  <w:marRight w:val="0"/>
                  <w:marTop w:val="0"/>
                  <w:marBottom w:val="0"/>
                  <w:divBdr>
                    <w:top w:val="none" w:sz="0" w:space="0" w:color="auto"/>
                    <w:left w:val="none" w:sz="0" w:space="0" w:color="auto"/>
                    <w:bottom w:val="none" w:sz="0" w:space="0" w:color="auto"/>
                    <w:right w:val="none" w:sz="0" w:space="0" w:color="auto"/>
                  </w:divBdr>
                  <w:divsChild>
                    <w:div w:id="1646885277">
                      <w:marLeft w:val="0"/>
                      <w:marRight w:val="0"/>
                      <w:marTop w:val="0"/>
                      <w:marBottom w:val="0"/>
                      <w:divBdr>
                        <w:top w:val="none" w:sz="0" w:space="0" w:color="auto"/>
                        <w:left w:val="none" w:sz="0" w:space="0" w:color="auto"/>
                        <w:bottom w:val="none" w:sz="0" w:space="0" w:color="auto"/>
                        <w:right w:val="none" w:sz="0" w:space="0" w:color="auto"/>
                      </w:divBdr>
                      <w:divsChild>
                        <w:div w:id="1962152457">
                          <w:marLeft w:val="0"/>
                          <w:marRight w:val="0"/>
                          <w:marTop w:val="0"/>
                          <w:marBottom w:val="0"/>
                          <w:divBdr>
                            <w:top w:val="none" w:sz="0" w:space="0" w:color="auto"/>
                            <w:left w:val="none" w:sz="0" w:space="0" w:color="auto"/>
                            <w:bottom w:val="none" w:sz="0" w:space="0" w:color="auto"/>
                            <w:right w:val="none" w:sz="0" w:space="0" w:color="auto"/>
                          </w:divBdr>
                          <w:divsChild>
                            <w:div w:id="1759060397">
                              <w:marLeft w:val="0"/>
                              <w:marRight w:val="0"/>
                              <w:marTop w:val="0"/>
                              <w:marBottom w:val="0"/>
                              <w:divBdr>
                                <w:top w:val="none" w:sz="0" w:space="0" w:color="auto"/>
                                <w:left w:val="none" w:sz="0" w:space="0" w:color="auto"/>
                                <w:bottom w:val="none" w:sz="0" w:space="0" w:color="auto"/>
                                <w:right w:val="none" w:sz="0" w:space="0" w:color="auto"/>
                              </w:divBdr>
                              <w:divsChild>
                                <w:div w:id="504517427">
                                  <w:marLeft w:val="0"/>
                                  <w:marRight w:val="0"/>
                                  <w:marTop w:val="0"/>
                                  <w:marBottom w:val="0"/>
                                  <w:divBdr>
                                    <w:top w:val="none" w:sz="0" w:space="0" w:color="auto"/>
                                    <w:left w:val="none" w:sz="0" w:space="0" w:color="auto"/>
                                    <w:bottom w:val="none" w:sz="0" w:space="0" w:color="auto"/>
                                    <w:right w:val="none" w:sz="0" w:space="0" w:color="auto"/>
                                  </w:divBdr>
                                  <w:divsChild>
                                    <w:div w:id="13837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638189">
      <w:bodyDiv w:val="1"/>
      <w:marLeft w:val="0"/>
      <w:marRight w:val="0"/>
      <w:marTop w:val="0"/>
      <w:marBottom w:val="0"/>
      <w:divBdr>
        <w:top w:val="none" w:sz="0" w:space="0" w:color="auto"/>
        <w:left w:val="none" w:sz="0" w:space="0" w:color="auto"/>
        <w:bottom w:val="none" w:sz="0" w:space="0" w:color="auto"/>
        <w:right w:val="none" w:sz="0" w:space="0" w:color="auto"/>
      </w:divBdr>
      <w:divsChild>
        <w:div w:id="802387582">
          <w:marLeft w:val="0"/>
          <w:marRight w:val="0"/>
          <w:marTop w:val="0"/>
          <w:marBottom w:val="0"/>
          <w:divBdr>
            <w:top w:val="none" w:sz="0" w:space="0" w:color="auto"/>
            <w:left w:val="none" w:sz="0" w:space="0" w:color="auto"/>
            <w:bottom w:val="none" w:sz="0" w:space="0" w:color="auto"/>
            <w:right w:val="none" w:sz="0" w:space="0" w:color="auto"/>
          </w:divBdr>
          <w:divsChild>
            <w:div w:id="916402878">
              <w:marLeft w:val="0"/>
              <w:marRight w:val="0"/>
              <w:marTop w:val="0"/>
              <w:marBottom w:val="0"/>
              <w:divBdr>
                <w:top w:val="none" w:sz="0" w:space="0" w:color="auto"/>
                <w:left w:val="none" w:sz="0" w:space="0" w:color="auto"/>
                <w:bottom w:val="none" w:sz="0" w:space="0" w:color="auto"/>
                <w:right w:val="none" w:sz="0" w:space="0" w:color="auto"/>
              </w:divBdr>
              <w:divsChild>
                <w:div w:id="2048753607">
                  <w:marLeft w:val="0"/>
                  <w:marRight w:val="0"/>
                  <w:marTop w:val="0"/>
                  <w:marBottom w:val="0"/>
                  <w:divBdr>
                    <w:top w:val="none" w:sz="0" w:space="0" w:color="auto"/>
                    <w:left w:val="none" w:sz="0" w:space="0" w:color="auto"/>
                    <w:bottom w:val="none" w:sz="0" w:space="0" w:color="auto"/>
                    <w:right w:val="none" w:sz="0" w:space="0" w:color="auto"/>
                  </w:divBdr>
                  <w:divsChild>
                    <w:div w:id="505243889">
                      <w:marLeft w:val="0"/>
                      <w:marRight w:val="0"/>
                      <w:marTop w:val="0"/>
                      <w:marBottom w:val="0"/>
                      <w:divBdr>
                        <w:top w:val="none" w:sz="0" w:space="0" w:color="auto"/>
                        <w:left w:val="none" w:sz="0" w:space="0" w:color="auto"/>
                        <w:bottom w:val="none" w:sz="0" w:space="0" w:color="auto"/>
                        <w:right w:val="none" w:sz="0" w:space="0" w:color="auto"/>
                      </w:divBdr>
                      <w:divsChild>
                        <w:div w:id="1895198291">
                          <w:marLeft w:val="0"/>
                          <w:marRight w:val="0"/>
                          <w:marTop w:val="0"/>
                          <w:marBottom w:val="0"/>
                          <w:divBdr>
                            <w:top w:val="none" w:sz="0" w:space="0" w:color="auto"/>
                            <w:left w:val="none" w:sz="0" w:space="0" w:color="auto"/>
                            <w:bottom w:val="none" w:sz="0" w:space="0" w:color="auto"/>
                            <w:right w:val="none" w:sz="0" w:space="0" w:color="auto"/>
                          </w:divBdr>
                          <w:divsChild>
                            <w:div w:id="335117717">
                              <w:marLeft w:val="0"/>
                              <w:marRight w:val="0"/>
                              <w:marTop w:val="0"/>
                              <w:marBottom w:val="0"/>
                              <w:divBdr>
                                <w:top w:val="none" w:sz="0" w:space="0" w:color="auto"/>
                                <w:left w:val="none" w:sz="0" w:space="0" w:color="auto"/>
                                <w:bottom w:val="none" w:sz="0" w:space="0" w:color="auto"/>
                                <w:right w:val="none" w:sz="0" w:space="0" w:color="auto"/>
                              </w:divBdr>
                              <w:divsChild>
                                <w:div w:id="19213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8753">
      <w:bodyDiv w:val="1"/>
      <w:marLeft w:val="80"/>
      <w:marRight w:val="80"/>
      <w:marTop w:val="80"/>
      <w:marBottom w:val="80"/>
      <w:divBdr>
        <w:top w:val="none" w:sz="0" w:space="0" w:color="auto"/>
        <w:left w:val="none" w:sz="0" w:space="0" w:color="auto"/>
        <w:bottom w:val="none" w:sz="0" w:space="0" w:color="auto"/>
        <w:right w:val="none" w:sz="0" w:space="0" w:color="auto"/>
      </w:divBdr>
    </w:div>
    <w:div w:id="2147315617">
      <w:bodyDiv w:val="1"/>
      <w:marLeft w:val="80"/>
      <w:marRight w:val="80"/>
      <w:marTop w:val="80"/>
      <w:marBottom w:val="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id.clinic@yahoo.com"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5.xml"/><Relationship Id="rId42" Type="http://schemas.openxmlformats.org/officeDocument/2006/relationships/footer" Target="footer19.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6.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header" Target="header11.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hyperlink" Target="http://link.springer.com/journal/240/40/3/page/1" TargetMode="External"/><Relationship Id="rId10" Type="http://schemas.openxmlformats.org/officeDocument/2006/relationships/hyperlink" Target="http://www.dx.doi.org/10.7537/marsrsj090117.04" TargetMode="Externa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yperlink" Target="http://link.springer.com/journal/240" TargetMode="External"/><Relationship Id="rId43"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05A1-5D46-4C77-B1D4-2A4BC61E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dc:creator>
  <cp:lastModifiedBy>Administrator</cp:lastModifiedBy>
  <cp:revision>5</cp:revision>
  <cp:lastPrinted>2015-01-11T22:00:00Z</cp:lastPrinted>
  <dcterms:created xsi:type="dcterms:W3CDTF">2017-01-17T08:59:00Z</dcterms:created>
  <dcterms:modified xsi:type="dcterms:W3CDTF">2017-01-18T04:13:00Z</dcterms:modified>
</cp:coreProperties>
</file>