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B9" w:rsidRPr="00071861" w:rsidRDefault="00CA68B9" w:rsidP="009D4525">
      <w:pPr>
        <w:snapToGrid w:val="0"/>
        <w:jc w:val="center"/>
        <w:rPr>
          <w:b/>
          <w:sz w:val="20"/>
          <w:szCs w:val="20"/>
        </w:rPr>
      </w:pPr>
      <w:r w:rsidRPr="00071861">
        <w:rPr>
          <w:b/>
          <w:sz w:val="20"/>
          <w:szCs w:val="20"/>
        </w:rPr>
        <w:t xml:space="preserve">Evaluative analysis of regression models for carbon sequestration determination in </w:t>
      </w:r>
      <w:proofErr w:type="spellStart"/>
      <w:r w:rsidRPr="00071861">
        <w:rPr>
          <w:b/>
          <w:i/>
          <w:sz w:val="20"/>
          <w:szCs w:val="20"/>
        </w:rPr>
        <w:t>Gmelina</w:t>
      </w:r>
      <w:proofErr w:type="spellEnd"/>
      <w:r w:rsidRPr="00071861">
        <w:rPr>
          <w:b/>
          <w:i/>
          <w:sz w:val="20"/>
          <w:szCs w:val="20"/>
        </w:rPr>
        <w:t xml:space="preserve"> </w:t>
      </w:r>
      <w:proofErr w:type="spellStart"/>
      <w:r w:rsidRPr="00071861">
        <w:rPr>
          <w:b/>
          <w:i/>
          <w:sz w:val="20"/>
          <w:szCs w:val="20"/>
        </w:rPr>
        <w:t>arborea</w:t>
      </w:r>
      <w:proofErr w:type="spellEnd"/>
      <w:r w:rsidRPr="00071861">
        <w:rPr>
          <w:b/>
          <w:sz w:val="20"/>
          <w:szCs w:val="20"/>
        </w:rPr>
        <w:t xml:space="preserve"> stands in </w:t>
      </w:r>
      <w:proofErr w:type="spellStart"/>
      <w:r w:rsidRPr="00071861">
        <w:rPr>
          <w:b/>
          <w:sz w:val="20"/>
          <w:szCs w:val="20"/>
        </w:rPr>
        <w:t>Omo</w:t>
      </w:r>
      <w:proofErr w:type="spellEnd"/>
      <w:r w:rsidRPr="00071861">
        <w:rPr>
          <w:b/>
          <w:sz w:val="20"/>
          <w:szCs w:val="20"/>
        </w:rPr>
        <w:t xml:space="preserve"> Forest Reserve, </w:t>
      </w:r>
      <w:proofErr w:type="spellStart"/>
      <w:r w:rsidRPr="00071861">
        <w:rPr>
          <w:b/>
          <w:sz w:val="20"/>
          <w:szCs w:val="20"/>
        </w:rPr>
        <w:t>Ogun</w:t>
      </w:r>
      <w:proofErr w:type="spellEnd"/>
      <w:r w:rsidRPr="00071861">
        <w:rPr>
          <w:b/>
          <w:sz w:val="20"/>
          <w:szCs w:val="20"/>
        </w:rPr>
        <w:t xml:space="preserve"> State</w:t>
      </w:r>
    </w:p>
    <w:p w:rsidR="00480715" w:rsidRPr="00071861" w:rsidRDefault="00480715" w:rsidP="009D4525">
      <w:pPr>
        <w:snapToGrid w:val="0"/>
        <w:jc w:val="center"/>
        <w:rPr>
          <w:sz w:val="20"/>
          <w:szCs w:val="20"/>
          <w:lang w:eastAsia="zh-CN"/>
        </w:rPr>
      </w:pPr>
    </w:p>
    <w:p w:rsidR="00471E57" w:rsidRPr="00071861" w:rsidRDefault="00CA68B9" w:rsidP="009D4525">
      <w:pPr>
        <w:snapToGrid w:val="0"/>
        <w:jc w:val="center"/>
        <w:rPr>
          <w:sz w:val="20"/>
          <w:szCs w:val="20"/>
        </w:rPr>
      </w:pPr>
      <w:proofErr w:type="spellStart"/>
      <w:r w:rsidRPr="00071861">
        <w:rPr>
          <w:sz w:val="20"/>
          <w:szCs w:val="20"/>
        </w:rPr>
        <w:t>Funmilayo</w:t>
      </w:r>
      <w:proofErr w:type="spellEnd"/>
      <w:r w:rsidRPr="00071861">
        <w:rPr>
          <w:sz w:val="20"/>
          <w:szCs w:val="20"/>
        </w:rPr>
        <w:t xml:space="preserve"> Sarah </w:t>
      </w:r>
      <w:proofErr w:type="spellStart"/>
      <w:r w:rsidRPr="00071861">
        <w:rPr>
          <w:sz w:val="20"/>
          <w:szCs w:val="20"/>
        </w:rPr>
        <w:t>Eguakun</w:t>
      </w:r>
      <w:proofErr w:type="spellEnd"/>
      <w:r w:rsidR="006E6ACB" w:rsidRPr="00071861">
        <w:rPr>
          <w:sz w:val="20"/>
          <w:szCs w:val="20"/>
        </w:rPr>
        <w:t xml:space="preserve"> </w:t>
      </w:r>
      <w:r w:rsidR="00471E57" w:rsidRPr="00071861">
        <w:rPr>
          <w:sz w:val="20"/>
          <w:szCs w:val="20"/>
          <w:vertAlign w:val="superscript"/>
        </w:rPr>
        <w:t>1</w:t>
      </w:r>
      <w:r w:rsidRPr="00071861">
        <w:rPr>
          <w:sz w:val="20"/>
          <w:szCs w:val="20"/>
        </w:rPr>
        <w:t xml:space="preserve">, Peter </w:t>
      </w:r>
      <w:proofErr w:type="spellStart"/>
      <w:r w:rsidRPr="00071861">
        <w:rPr>
          <w:sz w:val="20"/>
          <w:szCs w:val="20"/>
        </w:rPr>
        <w:t>Oluremi</w:t>
      </w:r>
      <w:proofErr w:type="spellEnd"/>
      <w:r w:rsidRPr="00071861">
        <w:rPr>
          <w:sz w:val="20"/>
          <w:szCs w:val="20"/>
        </w:rPr>
        <w:t xml:space="preserve"> </w:t>
      </w:r>
      <w:proofErr w:type="spellStart"/>
      <w:r w:rsidRPr="00071861">
        <w:rPr>
          <w:sz w:val="20"/>
          <w:szCs w:val="20"/>
        </w:rPr>
        <w:t>Adesoye</w:t>
      </w:r>
      <w:proofErr w:type="spellEnd"/>
      <w:r w:rsidR="00471E57" w:rsidRPr="00071861">
        <w:rPr>
          <w:sz w:val="20"/>
          <w:szCs w:val="20"/>
        </w:rPr>
        <w:t xml:space="preserve"> </w:t>
      </w:r>
      <w:r w:rsidR="00593132" w:rsidRPr="00071861">
        <w:rPr>
          <w:sz w:val="20"/>
          <w:szCs w:val="20"/>
          <w:vertAlign w:val="superscript"/>
        </w:rPr>
        <w:t>2</w:t>
      </w:r>
      <w:r w:rsidR="00456753" w:rsidRPr="00071861">
        <w:rPr>
          <w:sz w:val="20"/>
          <w:szCs w:val="20"/>
        </w:rPr>
        <w:t>,</w:t>
      </w:r>
      <w:r w:rsidR="006E6ACB" w:rsidRPr="00071861">
        <w:rPr>
          <w:sz w:val="20"/>
          <w:szCs w:val="20"/>
        </w:rPr>
        <w:t xml:space="preserve"> </w:t>
      </w:r>
      <w:proofErr w:type="spellStart"/>
      <w:r w:rsidRPr="00071861">
        <w:rPr>
          <w:sz w:val="20"/>
          <w:szCs w:val="20"/>
        </w:rPr>
        <w:t>Bukola</w:t>
      </w:r>
      <w:proofErr w:type="spellEnd"/>
      <w:r w:rsidRPr="00071861">
        <w:rPr>
          <w:sz w:val="20"/>
          <w:szCs w:val="20"/>
        </w:rPr>
        <w:t xml:space="preserve"> </w:t>
      </w:r>
      <w:proofErr w:type="spellStart"/>
      <w:r w:rsidR="001F4054" w:rsidRPr="00071861">
        <w:rPr>
          <w:sz w:val="20"/>
          <w:szCs w:val="20"/>
        </w:rPr>
        <w:t>Amoo</w:t>
      </w:r>
      <w:proofErr w:type="spellEnd"/>
      <w:r w:rsidR="001F4054" w:rsidRPr="00071861">
        <w:rPr>
          <w:sz w:val="20"/>
          <w:szCs w:val="20"/>
        </w:rPr>
        <w:t xml:space="preserve"> </w:t>
      </w:r>
      <w:proofErr w:type="spellStart"/>
      <w:r w:rsidRPr="00071861">
        <w:rPr>
          <w:sz w:val="20"/>
          <w:szCs w:val="20"/>
        </w:rPr>
        <w:t>Oyebade</w:t>
      </w:r>
      <w:proofErr w:type="spellEnd"/>
      <w:r w:rsidR="006E6ACB" w:rsidRPr="00071861">
        <w:rPr>
          <w:sz w:val="20"/>
          <w:szCs w:val="20"/>
        </w:rPr>
        <w:t xml:space="preserve"> </w:t>
      </w:r>
      <w:r w:rsidR="00593132" w:rsidRPr="00071861">
        <w:rPr>
          <w:sz w:val="20"/>
          <w:szCs w:val="20"/>
          <w:vertAlign w:val="superscript"/>
        </w:rPr>
        <w:t>1</w:t>
      </w:r>
    </w:p>
    <w:p w:rsidR="00471E57" w:rsidRPr="00071861" w:rsidRDefault="00471E57" w:rsidP="009D4525">
      <w:pPr>
        <w:snapToGrid w:val="0"/>
        <w:jc w:val="center"/>
        <w:rPr>
          <w:sz w:val="20"/>
          <w:szCs w:val="20"/>
        </w:rPr>
      </w:pPr>
    </w:p>
    <w:p w:rsidR="00471E57" w:rsidRPr="00071861" w:rsidRDefault="00593132" w:rsidP="009D4525">
      <w:pPr>
        <w:pStyle w:val="ListParagraph"/>
        <w:snapToGrid w:val="0"/>
        <w:spacing w:after="0" w:line="240" w:lineRule="auto"/>
        <w:ind w:left="0"/>
        <w:jc w:val="center"/>
        <w:rPr>
          <w:rFonts w:ascii="Times New Roman" w:hAnsi="Times New Roman"/>
          <w:b/>
          <w:sz w:val="20"/>
          <w:szCs w:val="20"/>
        </w:rPr>
      </w:pPr>
      <w:r w:rsidRPr="00071861">
        <w:rPr>
          <w:rFonts w:ascii="Times New Roman" w:hAnsi="Times New Roman"/>
          <w:sz w:val="20"/>
          <w:szCs w:val="20"/>
          <w:vertAlign w:val="superscript"/>
        </w:rPr>
        <w:t>1.</w:t>
      </w:r>
      <w:r w:rsidR="00471E57" w:rsidRPr="00071861">
        <w:rPr>
          <w:rFonts w:ascii="Times New Roman" w:hAnsi="Times New Roman"/>
          <w:sz w:val="20"/>
          <w:szCs w:val="20"/>
        </w:rPr>
        <w:t xml:space="preserve"> </w:t>
      </w:r>
      <w:r w:rsidR="00CA68B9" w:rsidRPr="00071861">
        <w:rPr>
          <w:rFonts w:ascii="Times New Roman" w:hAnsi="Times New Roman"/>
          <w:sz w:val="20"/>
          <w:szCs w:val="20"/>
        </w:rPr>
        <w:t>Department of Forestry and Wildlife Management, University of Port Harcourt</w:t>
      </w:r>
    </w:p>
    <w:p w:rsidR="00CA68B9" w:rsidRPr="00071861" w:rsidRDefault="00EB51F4" w:rsidP="009D4525">
      <w:pPr>
        <w:pStyle w:val="ListParagraph"/>
        <w:snapToGrid w:val="0"/>
        <w:spacing w:after="0" w:line="240" w:lineRule="auto"/>
        <w:ind w:left="0"/>
        <w:jc w:val="center"/>
        <w:rPr>
          <w:rFonts w:ascii="Times New Roman" w:hAnsi="Times New Roman"/>
          <w:sz w:val="20"/>
          <w:szCs w:val="20"/>
        </w:rPr>
      </w:pPr>
      <w:r w:rsidRPr="00071861">
        <w:rPr>
          <w:rFonts w:ascii="Times New Roman" w:hAnsi="Times New Roman"/>
          <w:sz w:val="20"/>
          <w:szCs w:val="20"/>
          <w:vertAlign w:val="superscript"/>
        </w:rPr>
        <w:t>2</w:t>
      </w:r>
      <w:r w:rsidR="00593132" w:rsidRPr="00071861">
        <w:rPr>
          <w:rFonts w:ascii="Times New Roman" w:hAnsi="Times New Roman"/>
          <w:sz w:val="20"/>
          <w:szCs w:val="20"/>
          <w:vertAlign w:val="superscript"/>
        </w:rPr>
        <w:t>.</w:t>
      </w:r>
      <w:r w:rsidR="006E6ACB" w:rsidRPr="00071861">
        <w:rPr>
          <w:rFonts w:ascii="Times New Roman" w:hAnsi="Times New Roman"/>
          <w:sz w:val="20"/>
          <w:szCs w:val="20"/>
        </w:rPr>
        <w:t xml:space="preserve"> </w:t>
      </w:r>
      <w:r w:rsidR="00CA68B9" w:rsidRPr="00071861">
        <w:rPr>
          <w:rFonts w:ascii="Times New Roman" w:hAnsi="Times New Roman"/>
          <w:sz w:val="20"/>
          <w:szCs w:val="20"/>
        </w:rPr>
        <w:t>Department of Forestry School of Agriculture, University of Venda Thohoyandou, South Africa</w:t>
      </w:r>
    </w:p>
    <w:p w:rsidR="00471E57" w:rsidRPr="00071861" w:rsidRDefault="00932054" w:rsidP="009D4525">
      <w:pPr>
        <w:snapToGrid w:val="0"/>
        <w:jc w:val="center"/>
        <w:rPr>
          <w:sz w:val="20"/>
          <w:szCs w:val="20"/>
        </w:rPr>
      </w:pPr>
      <w:hyperlink r:id="rId7" w:history="1">
        <w:r w:rsidR="00857809" w:rsidRPr="00071861">
          <w:rPr>
            <w:rStyle w:val="Hyperlink"/>
            <w:sz w:val="20"/>
            <w:szCs w:val="20"/>
          </w:rPr>
          <w:t>funmilayo.popo-ola@uniport.edu.ng</w:t>
        </w:r>
      </w:hyperlink>
    </w:p>
    <w:p w:rsidR="001817C7" w:rsidRPr="00071861" w:rsidRDefault="001817C7" w:rsidP="009D4525">
      <w:pPr>
        <w:snapToGrid w:val="0"/>
        <w:jc w:val="center"/>
        <w:rPr>
          <w:sz w:val="20"/>
          <w:szCs w:val="20"/>
        </w:rPr>
      </w:pPr>
    </w:p>
    <w:p w:rsidR="00857809" w:rsidRPr="00071861" w:rsidRDefault="00471E57" w:rsidP="009D4525">
      <w:pPr>
        <w:pStyle w:val="ListParagraph"/>
        <w:snapToGrid w:val="0"/>
        <w:spacing w:after="0" w:line="240" w:lineRule="auto"/>
        <w:ind w:left="0"/>
        <w:jc w:val="both"/>
        <w:rPr>
          <w:rFonts w:ascii="Times New Roman" w:hAnsi="Times New Roman"/>
          <w:sz w:val="20"/>
          <w:szCs w:val="20"/>
        </w:rPr>
      </w:pPr>
      <w:r w:rsidRPr="00071861">
        <w:rPr>
          <w:rFonts w:ascii="Times New Roman" w:hAnsi="Times New Roman"/>
          <w:b/>
          <w:sz w:val="20"/>
          <w:szCs w:val="20"/>
        </w:rPr>
        <w:t xml:space="preserve">Abstract: </w:t>
      </w:r>
      <w:r w:rsidR="00857809" w:rsidRPr="00071861">
        <w:rPr>
          <w:rFonts w:ascii="Times New Roman" w:hAnsi="Times New Roman"/>
          <w:sz w:val="20"/>
          <w:szCs w:val="20"/>
          <w:lang w:eastAsia="en-GB"/>
        </w:rPr>
        <w:t>Carbon sequestration is the</w:t>
      </w:r>
      <w:r w:rsidR="00857809" w:rsidRPr="00071861">
        <w:rPr>
          <w:rFonts w:ascii="Times New Roman" w:hAnsi="Times New Roman"/>
          <w:sz w:val="20"/>
          <w:szCs w:val="20"/>
        </w:rPr>
        <w:t xml:space="preserve"> process of removing carbon dioxide (CO</w:t>
      </w:r>
      <w:r w:rsidR="00857809" w:rsidRPr="00071861">
        <w:rPr>
          <w:rFonts w:ascii="Times New Roman" w:hAnsi="Times New Roman"/>
          <w:sz w:val="20"/>
          <w:szCs w:val="20"/>
          <w:vertAlign w:val="subscript"/>
        </w:rPr>
        <w:t>2</w:t>
      </w:r>
      <w:r w:rsidR="00857809" w:rsidRPr="00071861">
        <w:rPr>
          <w:rFonts w:ascii="Times New Roman" w:hAnsi="Times New Roman"/>
          <w:sz w:val="20"/>
          <w:szCs w:val="20"/>
        </w:rPr>
        <w:t>) from the atmosphere and ‘storing’ it in plants that use sunlight to turn CO</w:t>
      </w:r>
      <w:r w:rsidR="00857809" w:rsidRPr="00071861">
        <w:rPr>
          <w:rFonts w:ascii="Times New Roman" w:hAnsi="Times New Roman"/>
          <w:sz w:val="20"/>
          <w:szCs w:val="20"/>
          <w:vertAlign w:val="subscript"/>
        </w:rPr>
        <w:t xml:space="preserve">2 </w:t>
      </w:r>
      <w:r w:rsidR="00857809" w:rsidRPr="00071861">
        <w:rPr>
          <w:rFonts w:ascii="Times New Roman" w:hAnsi="Times New Roman"/>
          <w:sz w:val="20"/>
          <w:szCs w:val="20"/>
        </w:rPr>
        <w:t>into biomass and oxygen</w:t>
      </w:r>
      <w:r w:rsidR="00857809" w:rsidRPr="00071861">
        <w:rPr>
          <w:rFonts w:ascii="Times New Roman" w:hAnsi="Times New Roman"/>
          <w:sz w:val="20"/>
          <w:szCs w:val="20"/>
          <w:lang w:eastAsia="en-GB"/>
        </w:rPr>
        <w:t xml:space="preserve">. </w:t>
      </w:r>
      <w:r w:rsidR="00857809" w:rsidRPr="00071861">
        <w:rPr>
          <w:rFonts w:ascii="Times New Roman" w:eastAsia="TimesNewRomanPSMT" w:hAnsi="Times New Roman"/>
          <w:sz w:val="20"/>
          <w:szCs w:val="20"/>
          <w:lang w:eastAsia="en-GB"/>
        </w:rPr>
        <w:t>The integration of carbon sequestered by forest ecosystems into forest management planning models has become increasingly more important, particularly in the areas of climate change, land use, and sustainable forest management.</w:t>
      </w:r>
      <w:r w:rsidR="00857809" w:rsidRPr="00071861">
        <w:rPr>
          <w:rFonts w:ascii="Times New Roman" w:hAnsi="Times New Roman"/>
          <w:sz w:val="20"/>
          <w:szCs w:val="20"/>
          <w:lang w:eastAsia="en-GB"/>
        </w:rPr>
        <w:t xml:space="preserve"> The objective of</w:t>
      </w:r>
      <w:r w:rsidR="00857809" w:rsidRPr="00071861">
        <w:rPr>
          <w:rFonts w:ascii="Times New Roman" w:eastAsia="TimesNewRomanPSMT" w:hAnsi="Times New Roman"/>
          <w:sz w:val="20"/>
          <w:szCs w:val="20"/>
          <w:lang w:eastAsia="en-GB"/>
        </w:rPr>
        <w:t xml:space="preserve"> </w:t>
      </w:r>
      <w:r w:rsidR="00857809" w:rsidRPr="00071861">
        <w:rPr>
          <w:rFonts w:ascii="Times New Roman" w:hAnsi="Times New Roman"/>
          <w:sz w:val="20"/>
          <w:szCs w:val="20"/>
          <w:lang w:eastAsia="en-GB"/>
        </w:rPr>
        <w:t xml:space="preserve">the study was to develop and evaluate carbon sequestration prediction models for </w:t>
      </w:r>
      <w:proofErr w:type="spellStart"/>
      <w:r w:rsidR="00857809" w:rsidRPr="00071861">
        <w:rPr>
          <w:rFonts w:ascii="Times New Roman" w:hAnsi="Times New Roman"/>
          <w:i/>
          <w:sz w:val="20"/>
          <w:szCs w:val="20"/>
          <w:lang w:eastAsia="en-GB"/>
        </w:rPr>
        <w:t>Gmelina</w:t>
      </w:r>
      <w:proofErr w:type="spellEnd"/>
      <w:r w:rsidR="00857809" w:rsidRPr="00071861">
        <w:rPr>
          <w:rFonts w:ascii="Times New Roman" w:hAnsi="Times New Roman"/>
          <w:i/>
          <w:sz w:val="20"/>
          <w:szCs w:val="20"/>
          <w:lang w:eastAsia="en-GB"/>
        </w:rPr>
        <w:t xml:space="preserve"> </w:t>
      </w:r>
      <w:proofErr w:type="spellStart"/>
      <w:r w:rsidR="00857809" w:rsidRPr="00071861">
        <w:rPr>
          <w:rFonts w:ascii="Times New Roman" w:hAnsi="Times New Roman"/>
          <w:i/>
          <w:sz w:val="20"/>
          <w:szCs w:val="20"/>
          <w:lang w:eastAsia="en-GB"/>
        </w:rPr>
        <w:t>arborea</w:t>
      </w:r>
      <w:proofErr w:type="spellEnd"/>
      <w:r w:rsidR="00857809" w:rsidRPr="00071861">
        <w:rPr>
          <w:rFonts w:ascii="Times New Roman" w:hAnsi="Times New Roman"/>
          <w:sz w:val="20"/>
          <w:szCs w:val="20"/>
          <w:lang w:eastAsia="en-GB"/>
        </w:rPr>
        <w:t>. Based on the data set from the temporary</w:t>
      </w:r>
      <w:r w:rsidR="00857809" w:rsidRPr="00071861">
        <w:rPr>
          <w:rFonts w:ascii="Times New Roman" w:eastAsia="TimesNewRomanPSMT" w:hAnsi="Times New Roman"/>
          <w:sz w:val="20"/>
          <w:szCs w:val="20"/>
          <w:lang w:eastAsia="en-GB"/>
        </w:rPr>
        <w:t xml:space="preserve"> </w:t>
      </w:r>
      <w:r w:rsidR="00857809" w:rsidRPr="00071861">
        <w:rPr>
          <w:rFonts w:ascii="Times New Roman" w:hAnsi="Times New Roman"/>
          <w:sz w:val="20"/>
          <w:szCs w:val="20"/>
          <w:lang w:eastAsia="en-GB"/>
        </w:rPr>
        <w:t>sample plots, several regression models including semi logarithm, double logarithm, power, polynomials and combined variable models were tested.</w:t>
      </w:r>
      <w:r w:rsidR="00857809" w:rsidRPr="00071861">
        <w:rPr>
          <w:rFonts w:ascii="Times New Roman" w:eastAsia="TimesNewRomanPSMT" w:hAnsi="Times New Roman"/>
          <w:sz w:val="20"/>
          <w:szCs w:val="20"/>
          <w:lang w:eastAsia="en-GB"/>
        </w:rPr>
        <w:t xml:space="preserve"> </w:t>
      </w:r>
      <w:r w:rsidR="00857809" w:rsidRPr="00071861">
        <w:rPr>
          <w:rFonts w:ascii="Times New Roman" w:hAnsi="Times New Roman"/>
          <w:sz w:val="20"/>
          <w:szCs w:val="20"/>
          <w:lang w:eastAsia="en-GB"/>
        </w:rPr>
        <w:t>These models were evaluated in terms of coefficient of determination (R</w:t>
      </w:r>
      <w:r w:rsidR="00857809" w:rsidRPr="00071861">
        <w:rPr>
          <w:rFonts w:ascii="Times New Roman" w:hAnsi="Times New Roman"/>
          <w:sz w:val="20"/>
          <w:szCs w:val="20"/>
          <w:vertAlign w:val="superscript"/>
          <w:lang w:eastAsia="en-GB"/>
        </w:rPr>
        <w:t>2</w:t>
      </w:r>
      <w:r w:rsidR="00857809" w:rsidRPr="00071861">
        <w:rPr>
          <w:rFonts w:ascii="Times New Roman" w:hAnsi="Times New Roman"/>
          <w:sz w:val="20"/>
          <w:szCs w:val="20"/>
          <w:lang w:eastAsia="en-GB"/>
        </w:rPr>
        <w:t xml:space="preserve">), standard error of the estimate (SEE) and </w:t>
      </w:r>
      <w:proofErr w:type="spellStart"/>
      <w:r w:rsidR="00857809" w:rsidRPr="00071861">
        <w:rPr>
          <w:rFonts w:ascii="Times New Roman" w:hAnsi="Times New Roman"/>
          <w:sz w:val="20"/>
          <w:szCs w:val="20"/>
        </w:rPr>
        <w:t>Akiakes</w:t>
      </w:r>
      <w:proofErr w:type="spellEnd"/>
      <w:r w:rsidR="00857809" w:rsidRPr="00071861">
        <w:rPr>
          <w:rFonts w:ascii="Times New Roman" w:hAnsi="Times New Roman"/>
          <w:sz w:val="20"/>
          <w:szCs w:val="20"/>
        </w:rPr>
        <w:t xml:space="preserve"> Information Criteria (AIC</w:t>
      </w:r>
      <w:r w:rsidR="00857809" w:rsidRPr="00071861">
        <w:rPr>
          <w:rFonts w:ascii="Times New Roman" w:hAnsi="Times New Roman"/>
          <w:sz w:val="20"/>
          <w:szCs w:val="20"/>
          <w:lang w:eastAsia="en-GB"/>
        </w:rPr>
        <w:t>).</w:t>
      </w:r>
      <w:r w:rsidR="00857809" w:rsidRPr="00071861">
        <w:rPr>
          <w:rFonts w:ascii="Times New Roman" w:eastAsia="TimesNewRomanPSMT" w:hAnsi="Times New Roman"/>
          <w:sz w:val="20"/>
          <w:szCs w:val="20"/>
          <w:lang w:eastAsia="en-GB"/>
        </w:rPr>
        <w:t xml:space="preserve"> </w:t>
      </w:r>
      <w:r w:rsidR="00857809" w:rsidRPr="00071861">
        <w:rPr>
          <w:rFonts w:ascii="Times New Roman" w:hAnsi="Times New Roman"/>
          <w:sz w:val="20"/>
          <w:szCs w:val="20"/>
          <w:lang w:eastAsia="en-GB"/>
        </w:rPr>
        <w:t>The significance of the estimated parameters was also verified. Plot of residuals against estimated carbon sequestered were</w:t>
      </w:r>
      <w:r w:rsidR="00857809" w:rsidRPr="00071861">
        <w:rPr>
          <w:rFonts w:ascii="Times New Roman" w:eastAsia="TimesNewRomanPSMT" w:hAnsi="Times New Roman"/>
          <w:sz w:val="20"/>
          <w:szCs w:val="20"/>
          <w:lang w:eastAsia="en-GB"/>
        </w:rPr>
        <w:t xml:space="preserve"> </w:t>
      </w:r>
      <w:r w:rsidR="00857809" w:rsidRPr="00071861">
        <w:rPr>
          <w:rFonts w:ascii="Times New Roman" w:hAnsi="Times New Roman"/>
          <w:sz w:val="20"/>
          <w:szCs w:val="20"/>
          <w:lang w:eastAsia="en-GB"/>
        </w:rPr>
        <w:t>observed. Polynomial models</w:t>
      </w:r>
      <w:r w:rsidR="00857809" w:rsidRPr="00071861">
        <w:rPr>
          <w:rFonts w:ascii="Times New Roman" w:eastAsia="TimesNewRomanPSMT" w:hAnsi="Times New Roman"/>
          <w:sz w:val="20"/>
          <w:szCs w:val="20"/>
          <w:lang w:eastAsia="en-GB"/>
        </w:rPr>
        <w:t xml:space="preserve"> </w:t>
      </w:r>
      <w:r w:rsidR="00857809" w:rsidRPr="00071861">
        <w:rPr>
          <w:rFonts w:ascii="Times New Roman" w:hAnsi="Times New Roman"/>
          <w:sz w:val="20"/>
          <w:szCs w:val="20"/>
          <w:lang w:eastAsia="en-GB"/>
        </w:rPr>
        <w:t>were observed to be more consistent in their predictive ability; and were therefore recommended for predicting carbon sequestered in the stand.</w:t>
      </w:r>
    </w:p>
    <w:p w:rsidR="009D4525" w:rsidRPr="00071861" w:rsidRDefault="00D778C9" w:rsidP="009D4525">
      <w:pPr>
        <w:adjustRightInd w:val="0"/>
        <w:snapToGrid w:val="0"/>
        <w:jc w:val="both"/>
        <w:rPr>
          <w:color w:val="000000"/>
          <w:sz w:val="20"/>
          <w:szCs w:val="20"/>
          <w:shd w:val="clear" w:color="auto" w:fill="FFFFFF"/>
        </w:rPr>
      </w:pPr>
      <w:r w:rsidRPr="00071861">
        <w:rPr>
          <w:color w:val="000000"/>
          <w:sz w:val="20"/>
          <w:szCs w:val="20"/>
        </w:rPr>
        <w:t>[</w:t>
      </w:r>
      <w:proofErr w:type="spellStart"/>
      <w:r w:rsidR="00857809" w:rsidRPr="00071861">
        <w:rPr>
          <w:sz w:val="20"/>
          <w:szCs w:val="20"/>
        </w:rPr>
        <w:t>Eguakun</w:t>
      </w:r>
      <w:proofErr w:type="spellEnd"/>
      <w:r w:rsidR="00857809" w:rsidRPr="00071861">
        <w:rPr>
          <w:sz w:val="20"/>
          <w:szCs w:val="20"/>
        </w:rPr>
        <w:t xml:space="preserve"> F.S., </w:t>
      </w:r>
      <w:proofErr w:type="spellStart"/>
      <w:r w:rsidR="00857809" w:rsidRPr="00071861">
        <w:rPr>
          <w:sz w:val="20"/>
          <w:szCs w:val="20"/>
        </w:rPr>
        <w:t>Adesoye</w:t>
      </w:r>
      <w:proofErr w:type="spellEnd"/>
      <w:r w:rsidRPr="00071861">
        <w:rPr>
          <w:sz w:val="20"/>
          <w:szCs w:val="20"/>
        </w:rPr>
        <w:t xml:space="preserve"> P</w:t>
      </w:r>
      <w:r w:rsidR="00857809" w:rsidRPr="00071861">
        <w:rPr>
          <w:sz w:val="20"/>
          <w:szCs w:val="20"/>
        </w:rPr>
        <w:t xml:space="preserve">.O., </w:t>
      </w:r>
      <w:proofErr w:type="spellStart"/>
      <w:r w:rsidR="00857809" w:rsidRPr="00071861">
        <w:rPr>
          <w:sz w:val="20"/>
          <w:szCs w:val="20"/>
        </w:rPr>
        <w:t>Oyebade</w:t>
      </w:r>
      <w:proofErr w:type="spellEnd"/>
      <w:r w:rsidR="00857809" w:rsidRPr="00071861">
        <w:rPr>
          <w:sz w:val="20"/>
          <w:szCs w:val="20"/>
        </w:rPr>
        <w:t xml:space="preserve"> B.A.</w:t>
      </w:r>
      <w:r w:rsidRPr="00071861">
        <w:rPr>
          <w:sz w:val="20"/>
          <w:szCs w:val="20"/>
        </w:rPr>
        <w:t xml:space="preserve"> </w:t>
      </w:r>
      <w:r w:rsidR="00857809" w:rsidRPr="00071861">
        <w:rPr>
          <w:b/>
          <w:sz w:val="20"/>
          <w:szCs w:val="20"/>
        </w:rPr>
        <w:t xml:space="preserve">Evaluative analysis of regression models for carbon sequestration determination in </w:t>
      </w:r>
      <w:proofErr w:type="spellStart"/>
      <w:r w:rsidR="00857809" w:rsidRPr="00071861">
        <w:rPr>
          <w:b/>
          <w:i/>
          <w:sz w:val="20"/>
          <w:szCs w:val="20"/>
        </w:rPr>
        <w:t>Gmelina</w:t>
      </w:r>
      <w:proofErr w:type="spellEnd"/>
      <w:r w:rsidR="00857809" w:rsidRPr="00071861">
        <w:rPr>
          <w:b/>
          <w:i/>
          <w:sz w:val="20"/>
          <w:szCs w:val="20"/>
        </w:rPr>
        <w:t xml:space="preserve"> </w:t>
      </w:r>
      <w:proofErr w:type="spellStart"/>
      <w:r w:rsidR="00857809" w:rsidRPr="00071861">
        <w:rPr>
          <w:b/>
          <w:i/>
          <w:sz w:val="20"/>
          <w:szCs w:val="20"/>
        </w:rPr>
        <w:t>arborea</w:t>
      </w:r>
      <w:proofErr w:type="spellEnd"/>
      <w:r w:rsidR="00857809" w:rsidRPr="00071861">
        <w:rPr>
          <w:b/>
          <w:sz w:val="20"/>
          <w:szCs w:val="20"/>
        </w:rPr>
        <w:t xml:space="preserve"> stands in </w:t>
      </w:r>
      <w:proofErr w:type="spellStart"/>
      <w:r w:rsidR="00857809" w:rsidRPr="00071861">
        <w:rPr>
          <w:b/>
          <w:sz w:val="20"/>
          <w:szCs w:val="20"/>
        </w:rPr>
        <w:t>Omo</w:t>
      </w:r>
      <w:proofErr w:type="spellEnd"/>
      <w:r w:rsidR="00857809" w:rsidRPr="00071861">
        <w:rPr>
          <w:b/>
          <w:sz w:val="20"/>
          <w:szCs w:val="20"/>
        </w:rPr>
        <w:t xml:space="preserve"> Forest Reserve, </w:t>
      </w:r>
      <w:proofErr w:type="spellStart"/>
      <w:r w:rsidR="00857809" w:rsidRPr="00071861">
        <w:rPr>
          <w:b/>
          <w:sz w:val="20"/>
          <w:szCs w:val="20"/>
        </w:rPr>
        <w:t>Ogun</w:t>
      </w:r>
      <w:proofErr w:type="spellEnd"/>
      <w:r w:rsidR="00857809" w:rsidRPr="00071861">
        <w:rPr>
          <w:b/>
          <w:sz w:val="20"/>
          <w:szCs w:val="20"/>
        </w:rPr>
        <w:t xml:space="preserve"> State</w:t>
      </w:r>
      <w:r w:rsidR="009D4525" w:rsidRPr="00071861">
        <w:rPr>
          <w:rFonts w:eastAsia="Times New Roman"/>
          <w:b/>
          <w:bCs/>
          <w:sz w:val="20"/>
          <w:szCs w:val="20"/>
          <w:lang w:bidi="fa-IR"/>
        </w:rPr>
        <w:t>.</w:t>
      </w:r>
      <w:r w:rsidR="009D4525" w:rsidRPr="00071861">
        <w:rPr>
          <w:bCs/>
          <w:i/>
          <w:sz w:val="20"/>
          <w:szCs w:val="20"/>
        </w:rPr>
        <w:t xml:space="preserve"> Researcher</w:t>
      </w:r>
      <w:r w:rsidR="009D4525" w:rsidRPr="00071861">
        <w:rPr>
          <w:bCs/>
          <w:sz w:val="20"/>
          <w:szCs w:val="20"/>
        </w:rPr>
        <w:t xml:space="preserve"> 201</w:t>
      </w:r>
      <w:r w:rsidR="009D4525" w:rsidRPr="00071861">
        <w:rPr>
          <w:rFonts w:hint="eastAsia"/>
          <w:bCs/>
          <w:sz w:val="20"/>
          <w:szCs w:val="20"/>
        </w:rPr>
        <w:t>7</w:t>
      </w:r>
      <w:r w:rsidR="009D4525" w:rsidRPr="00071861">
        <w:rPr>
          <w:bCs/>
          <w:sz w:val="20"/>
          <w:szCs w:val="20"/>
        </w:rPr>
        <w:t>;</w:t>
      </w:r>
      <w:r w:rsidR="009D4525" w:rsidRPr="00071861">
        <w:rPr>
          <w:rFonts w:hint="eastAsia"/>
          <w:bCs/>
          <w:sz w:val="20"/>
          <w:szCs w:val="20"/>
        </w:rPr>
        <w:t>9</w:t>
      </w:r>
      <w:r w:rsidR="009D4525" w:rsidRPr="00071861">
        <w:rPr>
          <w:bCs/>
          <w:sz w:val="20"/>
          <w:szCs w:val="20"/>
        </w:rPr>
        <w:t>(</w:t>
      </w:r>
      <w:r w:rsidR="009D4525" w:rsidRPr="00071861">
        <w:rPr>
          <w:rFonts w:hint="eastAsia"/>
          <w:bCs/>
          <w:sz w:val="20"/>
          <w:szCs w:val="20"/>
        </w:rPr>
        <w:t>3</w:t>
      </w:r>
      <w:r w:rsidR="009D4525" w:rsidRPr="00071861">
        <w:rPr>
          <w:bCs/>
          <w:sz w:val="20"/>
          <w:szCs w:val="20"/>
        </w:rPr>
        <w:t>):</w:t>
      </w:r>
      <w:r w:rsidR="005D3271" w:rsidRPr="00071861">
        <w:rPr>
          <w:noProof/>
          <w:color w:val="000000"/>
          <w:sz w:val="20"/>
          <w:szCs w:val="20"/>
        </w:rPr>
        <w:t>23</w:t>
      </w:r>
      <w:r w:rsidR="009D4525" w:rsidRPr="00071861">
        <w:rPr>
          <w:color w:val="000000"/>
          <w:sz w:val="20"/>
          <w:szCs w:val="20"/>
        </w:rPr>
        <w:t>-</w:t>
      </w:r>
      <w:r w:rsidR="005D3271" w:rsidRPr="00071861">
        <w:rPr>
          <w:noProof/>
          <w:color w:val="000000"/>
          <w:sz w:val="20"/>
          <w:szCs w:val="20"/>
        </w:rPr>
        <w:t>28</w:t>
      </w:r>
      <w:r w:rsidR="009D4525" w:rsidRPr="00071861">
        <w:rPr>
          <w:bCs/>
          <w:sz w:val="20"/>
          <w:szCs w:val="20"/>
        </w:rPr>
        <w:t xml:space="preserve">]. </w:t>
      </w:r>
      <w:r w:rsidR="009D4525" w:rsidRPr="00071861">
        <w:rPr>
          <w:sz w:val="20"/>
          <w:szCs w:val="20"/>
        </w:rPr>
        <w:t>ISSN 1553-9865 (print); ISSN 2163-8950 (online)</w:t>
      </w:r>
      <w:r w:rsidR="009D4525" w:rsidRPr="00071861">
        <w:rPr>
          <w:bCs/>
          <w:sz w:val="20"/>
          <w:szCs w:val="20"/>
        </w:rPr>
        <w:t xml:space="preserve">. </w:t>
      </w:r>
      <w:hyperlink r:id="rId8" w:history="1">
        <w:r w:rsidR="009D4525" w:rsidRPr="00071861">
          <w:rPr>
            <w:rStyle w:val="Hyperlink"/>
            <w:sz w:val="20"/>
            <w:szCs w:val="20"/>
          </w:rPr>
          <w:t>http://www.sciencepub.net/researcher</w:t>
        </w:r>
      </w:hyperlink>
      <w:r w:rsidR="009D4525" w:rsidRPr="00071861">
        <w:rPr>
          <w:bCs/>
          <w:sz w:val="20"/>
          <w:szCs w:val="20"/>
        </w:rPr>
        <w:t>.</w:t>
      </w:r>
      <w:r w:rsidR="009D4525" w:rsidRPr="00071861">
        <w:rPr>
          <w:rFonts w:hint="eastAsia"/>
          <w:bCs/>
          <w:sz w:val="20"/>
          <w:szCs w:val="20"/>
        </w:rPr>
        <w:t xml:space="preserve"> </w:t>
      </w:r>
      <w:r w:rsidR="009D4525" w:rsidRPr="00071861">
        <w:rPr>
          <w:rFonts w:hint="eastAsia"/>
          <w:bCs/>
          <w:sz w:val="20"/>
          <w:szCs w:val="20"/>
          <w:lang w:eastAsia="zh-CN"/>
        </w:rPr>
        <w:t>5</w:t>
      </w:r>
      <w:r w:rsidR="009D4525" w:rsidRPr="00071861">
        <w:rPr>
          <w:rFonts w:hint="eastAsia"/>
          <w:bCs/>
          <w:sz w:val="20"/>
          <w:szCs w:val="20"/>
        </w:rPr>
        <w:t xml:space="preserve">. </w:t>
      </w:r>
      <w:r w:rsidR="009D4525" w:rsidRPr="00071861">
        <w:rPr>
          <w:color w:val="000000"/>
          <w:sz w:val="20"/>
          <w:szCs w:val="20"/>
          <w:shd w:val="clear" w:color="auto" w:fill="FFFFFF"/>
        </w:rPr>
        <w:t>doi:</w:t>
      </w:r>
      <w:hyperlink r:id="rId9" w:history="1">
        <w:r w:rsidR="009D4525" w:rsidRPr="00071861">
          <w:rPr>
            <w:rStyle w:val="Hyperlink"/>
            <w:sz w:val="20"/>
            <w:szCs w:val="20"/>
            <w:shd w:val="clear" w:color="auto" w:fill="FFFFFF"/>
          </w:rPr>
          <w:t>10.7537/mars</w:t>
        </w:r>
        <w:r w:rsidR="009D4525" w:rsidRPr="00071861">
          <w:rPr>
            <w:rStyle w:val="Hyperlink"/>
            <w:rFonts w:hint="eastAsia"/>
            <w:sz w:val="20"/>
            <w:szCs w:val="20"/>
            <w:shd w:val="clear" w:color="auto" w:fill="FFFFFF"/>
          </w:rPr>
          <w:t>r</w:t>
        </w:r>
        <w:r w:rsidR="009D4525" w:rsidRPr="00071861">
          <w:rPr>
            <w:rStyle w:val="Hyperlink"/>
            <w:sz w:val="20"/>
            <w:szCs w:val="20"/>
            <w:shd w:val="clear" w:color="auto" w:fill="FFFFFF"/>
          </w:rPr>
          <w:t>sj</w:t>
        </w:r>
        <w:r w:rsidR="009D4525" w:rsidRPr="00071861">
          <w:rPr>
            <w:rStyle w:val="Hyperlink"/>
            <w:rFonts w:hint="eastAsia"/>
            <w:sz w:val="20"/>
            <w:szCs w:val="20"/>
            <w:shd w:val="clear" w:color="auto" w:fill="FFFFFF"/>
          </w:rPr>
          <w:t>090317.</w:t>
        </w:r>
        <w:r w:rsidR="009D4525" w:rsidRPr="00071861">
          <w:rPr>
            <w:rStyle w:val="Hyperlink"/>
            <w:sz w:val="20"/>
            <w:szCs w:val="20"/>
            <w:shd w:val="clear" w:color="auto" w:fill="FFFFFF"/>
          </w:rPr>
          <w:t>0</w:t>
        </w:r>
        <w:r w:rsidR="009D4525" w:rsidRPr="00071861">
          <w:rPr>
            <w:rStyle w:val="Hyperlink"/>
            <w:rFonts w:hint="eastAsia"/>
            <w:sz w:val="20"/>
            <w:szCs w:val="20"/>
            <w:shd w:val="clear" w:color="auto" w:fill="FFFFFF"/>
            <w:lang w:eastAsia="zh-CN"/>
          </w:rPr>
          <w:t>5</w:t>
        </w:r>
      </w:hyperlink>
      <w:r w:rsidR="009D4525" w:rsidRPr="00071861">
        <w:rPr>
          <w:color w:val="000000"/>
          <w:sz w:val="20"/>
          <w:szCs w:val="20"/>
          <w:shd w:val="clear" w:color="auto" w:fill="FFFFFF"/>
        </w:rPr>
        <w:t>.</w:t>
      </w:r>
    </w:p>
    <w:p w:rsidR="001817C7" w:rsidRPr="00071861" w:rsidRDefault="001817C7" w:rsidP="009D4525">
      <w:pPr>
        <w:snapToGrid w:val="0"/>
        <w:jc w:val="both"/>
        <w:rPr>
          <w:sz w:val="20"/>
          <w:szCs w:val="20"/>
        </w:rPr>
      </w:pPr>
    </w:p>
    <w:p w:rsidR="001817C7" w:rsidRPr="00071861" w:rsidRDefault="001817C7" w:rsidP="009D4525">
      <w:pPr>
        <w:snapToGrid w:val="0"/>
        <w:jc w:val="both"/>
        <w:rPr>
          <w:sz w:val="20"/>
          <w:szCs w:val="20"/>
        </w:rPr>
      </w:pPr>
      <w:r w:rsidRPr="00071861">
        <w:rPr>
          <w:b/>
          <w:sz w:val="20"/>
          <w:szCs w:val="20"/>
        </w:rPr>
        <w:t xml:space="preserve">Keywords: </w:t>
      </w:r>
      <w:r w:rsidR="00857809" w:rsidRPr="00071861">
        <w:rPr>
          <w:sz w:val="20"/>
          <w:szCs w:val="20"/>
        </w:rPr>
        <w:t>Carbon sequestration; Forest trees; Global warming; Polynomial models.</w:t>
      </w:r>
    </w:p>
    <w:p w:rsidR="009D4525" w:rsidRPr="00071861" w:rsidRDefault="009D4525" w:rsidP="009D4525">
      <w:pPr>
        <w:snapToGrid w:val="0"/>
        <w:jc w:val="both"/>
        <w:rPr>
          <w:b/>
          <w:sz w:val="20"/>
          <w:szCs w:val="20"/>
        </w:rPr>
      </w:pPr>
    </w:p>
    <w:p w:rsidR="009D4525" w:rsidRPr="00071861" w:rsidRDefault="009D4525" w:rsidP="009D4525">
      <w:pPr>
        <w:snapToGrid w:val="0"/>
        <w:jc w:val="both"/>
        <w:rPr>
          <w:b/>
          <w:sz w:val="20"/>
          <w:szCs w:val="20"/>
        </w:rPr>
        <w:sectPr w:rsidR="009D4525" w:rsidRPr="00071861" w:rsidSect="005D327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3"/>
          <w:cols w:space="720"/>
          <w:docGrid w:linePitch="360"/>
        </w:sectPr>
      </w:pPr>
    </w:p>
    <w:p w:rsidR="00471E57" w:rsidRPr="00071861" w:rsidRDefault="00471E57" w:rsidP="009D4525">
      <w:pPr>
        <w:snapToGrid w:val="0"/>
        <w:jc w:val="both"/>
        <w:rPr>
          <w:b/>
          <w:sz w:val="20"/>
          <w:szCs w:val="20"/>
        </w:rPr>
      </w:pPr>
      <w:r w:rsidRPr="00071861">
        <w:rPr>
          <w:b/>
          <w:sz w:val="20"/>
          <w:szCs w:val="20"/>
        </w:rPr>
        <w:lastRenderedPageBreak/>
        <w:t>1. Introduction</w:t>
      </w:r>
    </w:p>
    <w:p w:rsidR="0078493A" w:rsidRPr="00071861" w:rsidRDefault="0078493A" w:rsidP="009D4525">
      <w:pPr>
        <w:autoSpaceDE w:val="0"/>
        <w:autoSpaceDN w:val="0"/>
        <w:adjustRightInd w:val="0"/>
        <w:snapToGrid w:val="0"/>
        <w:ind w:firstLine="425"/>
        <w:jc w:val="both"/>
        <w:rPr>
          <w:sz w:val="20"/>
          <w:szCs w:val="20"/>
        </w:rPr>
      </w:pPr>
      <w:r w:rsidRPr="00071861">
        <w:rPr>
          <w:sz w:val="20"/>
          <w:szCs w:val="20"/>
        </w:rPr>
        <w:t>Global warming is the increase in the average temperature of the earth’s surface resulting from the rise in the concentration of greenhouse gases (</w:t>
      </w:r>
      <w:proofErr w:type="spellStart"/>
      <w:r w:rsidRPr="00071861">
        <w:rPr>
          <w:sz w:val="20"/>
          <w:szCs w:val="20"/>
        </w:rPr>
        <w:t>GHGs</w:t>
      </w:r>
      <w:proofErr w:type="spellEnd"/>
      <w:r w:rsidRPr="00071861">
        <w:rPr>
          <w:sz w:val="20"/>
          <w:szCs w:val="20"/>
        </w:rPr>
        <w:t>) like carbon dioxide CO</w:t>
      </w:r>
      <w:r w:rsidRPr="00071861">
        <w:rPr>
          <w:sz w:val="20"/>
          <w:szCs w:val="20"/>
          <w:vertAlign w:val="subscript"/>
        </w:rPr>
        <w:t>2</w:t>
      </w:r>
      <w:r w:rsidRPr="00071861">
        <w:rPr>
          <w:sz w:val="20"/>
          <w:szCs w:val="20"/>
        </w:rPr>
        <w:t>, methane (CH</w:t>
      </w:r>
      <w:r w:rsidRPr="00071861">
        <w:rPr>
          <w:sz w:val="20"/>
          <w:szCs w:val="20"/>
          <w:vertAlign w:val="subscript"/>
        </w:rPr>
        <w:t>4</w:t>
      </w:r>
      <w:r w:rsidRPr="00071861">
        <w:rPr>
          <w:sz w:val="20"/>
          <w:szCs w:val="20"/>
        </w:rPr>
        <w:t>), nitrous oxide (N</w:t>
      </w:r>
      <w:r w:rsidRPr="00071861">
        <w:rPr>
          <w:sz w:val="20"/>
          <w:szCs w:val="20"/>
          <w:vertAlign w:val="subscript"/>
        </w:rPr>
        <w:t>2</w:t>
      </w:r>
      <w:r w:rsidRPr="00071861">
        <w:rPr>
          <w:sz w:val="20"/>
          <w:szCs w:val="20"/>
        </w:rPr>
        <w:t xml:space="preserve">0), and chlorofluorocarbons. </w:t>
      </w:r>
      <w:r w:rsidRPr="00071861">
        <w:rPr>
          <w:rFonts w:eastAsia="TimesNewRomanPSMT"/>
          <w:sz w:val="20"/>
          <w:szCs w:val="20"/>
        </w:rPr>
        <w:t xml:space="preserve">Urban developmental activities are increasing the concentration of </w:t>
      </w:r>
      <w:proofErr w:type="spellStart"/>
      <w:r w:rsidRPr="00071861">
        <w:rPr>
          <w:rFonts w:eastAsia="TimesNewRomanPSMT"/>
          <w:sz w:val="20"/>
          <w:szCs w:val="20"/>
        </w:rPr>
        <w:t>GHGs</w:t>
      </w:r>
      <w:proofErr w:type="spellEnd"/>
      <w:r w:rsidRPr="00071861">
        <w:rPr>
          <w:rFonts w:eastAsia="TimesNewRomanPSMT"/>
          <w:sz w:val="20"/>
          <w:szCs w:val="20"/>
        </w:rPr>
        <w:t>, especially CO</w:t>
      </w:r>
      <w:r w:rsidRPr="00071861">
        <w:rPr>
          <w:rFonts w:eastAsia="TimesNewRomanPSMT"/>
          <w:sz w:val="20"/>
          <w:szCs w:val="20"/>
          <w:vertAlign w:val="subscript"/>
        </w:rPr>
        <w:t>2</w:t>
      </w:r>
      <w:r w:rsidRPr="00071861">
        <w:rPr>
          <w:rFonts w:eastAsia="TimesNewRomanPSMT"/>
          <w:sz w:val="20"/>
          <w:szCs w:val="20"/>
        </w:rPr>
        <w:t xml:space="preserve"> which in turns increases atmospheric temperature through the trapping of certain wavelengths of heat radiation in the atmosphere. </w:t>
      </w:r>
      <w:r w:rsidRPr="00071861">
        <w:rPr>
          <w:sz w:val="20"/>
          <w:szCs w:val="20"/>
        </w:rPr>
        <w:t xml:space="preserve">Increasingly convincing evidences show that the Earth is getting warmer and in the future warming could have serious effects on human (Mann </w:t>
      </w:r>
      <w:r w:rsidRPr="00071861">
        <w:rPr>
          <w:i/>
          <w:sz w:val="20"/>
          <w:szCs w:val="20"/>
        </w:rPr>
        <w:t>et al</w:t>
      </w:r>
      <w:r w:rsidRPr="00071861">
        <w:rPr>
          <w:sz w:val="20"/>
          <w:szCs w:val="20"/>
        </w:rPr>
        <w:t xml:space="preserve">., 1998). Forests are critical to mitigating the effects of global climate change because of their ability to absorb carbon dioxide from the atmosphere continuously and they are considered large store house of carbon (Goers </w:t>
      </w:r>
      <w:r w:rsidRPr="00071861">
        <w:rPr>
          <w:i/>
          <w:sz w:val="20"/>
          <w:szCs w:val="20"/>
        </w:rPr>
        <w:t>et al</w:t>
      </w:r>
      <w:r w:rsidRPr="00071861">
        <w:rPr>
          <w:sz w:val="20"/>
          <w:szCs w:val="20"/>
        </w:rPr>
        <w:t>., 2012).</w:t>
      </w:r>
    </w:p>
    <w:p w:rsidR="0078493A" w:rsidRPr="00071861" w:rsidRDefault="0078493A" w:rsidP="009D4525">
      <w:pPr>
        <w:autoSpaceDE w:val="0"/>
        <w:autoSpaceDN w:val="0"/>
        <w:adjustRightInd w:val="0"/>
        <w:snapToGrid w:val="0"/>
        <w:ind w:firstLine="425"/>
        <w:jc w:val="both"/>
        <w:rPr>
          <w:sz w:val="20"/>
          <w:szCs w:val="20"/>
        </w:rPr>
      </w:pPr>
      <w:r w:rsidRPr="00071861">
        <w:rPr>
          <w:color w:val="000000"/>
          <w:sz w:val="20"/>
          <w:szCs w:val="20"/>
        </w:rPr>
        <w:t xml:space="preserve">Berg and </w:t>
      </w:r>
      <w:proofErr w:type="spellStart"/>
      <w:r w:rsidRPr="00071861">
        <w:rPr>
          <w:color w:val="000000"/>
          <w:sz w:val="20"/>
          <w:szCs w:val="20"/>
        </w:rPr>
        <w:t>McClaugherty</w:t>
      </w:r>
      <w:proofErr w:type="spellEnd"/>
      <w:r w:rsidRPr="00071861">
        <w:rPr>
          <w:color w:val="000000"/>
          <w:sz w:val="20"/>
          <w:szCs w:val="20"/>
        </w:rPr>
        <w:t xml:space="preserve"> (2008), stated that Carbon makes up the skeleton of macromolecules that create the storage matrix for nitrogen (N) and other nutrients hence it is essential for life. </w:t>
      </w:r>
      <w:r w:rsidRPr="00071861">
        <w:rPr>
          <w:rFonts w:eastAsia="TimesNewRomanPSMT"/>
          <w:sz w:val="20"/>
          <w:szCs w:val="20"/>
        </w:rPr>
        <w:t xml:space="preserve">Trees absorb carbon from the atmosphere and store it in its tissues as they grow and increases in biomass (Mathews </w:t>
      </w:r>
      <w:r w:rsidRPr="00071861">
        <w:rPr>
          <w:rFonts w:eastAsia="TimesNewRomanPSMT"/>
          <w:i/>
          <w:sz w:val="20"/>
          <w:szCs w:val="20"/>
        </w:rPr>
        <w:t>et. al</w:t>
      </w:r>
      <w:r w:rsidRPr="00071861">
        <w:rPr>
          <w:rFonts w:eastAsia="TimesNewRomanPSMT"/>
          <w:sz w:val="20"/>
          <w:szCs w:val="20"/>
        </w:rPr>
        <w:t xml:space="preserve">., 2000). </w:t>
      </w:r>
      <w:r w:rsidRPr="00071861">
        <w:rPr>
          <w:sz w:val="20"/>
          <w:szCs w:val="20"/>
        </w:rPr>
        <w:t>This process of removing carbon dioxide (CO</w:t>
      </w:r>
      <w:r w:rsidRPr="00071861">
        <w:rPr>
          <w:sz w:val="20"/>
          <w:szCs w:val="20"/>
          <w:vertAlign w:val="subscript"/>
        </w:rPr>
        <w:t>2</w:t>
      </w:r>
      <w:r w:rsidRPr="00071861">
        <w:rPr>
          <w:sz w:val="20"/>
          <w:szCs w:val="20"/>
        </w:rPr>
        <w:t>) from the atmosphere and ‘storing’ it in plants that use sunlight to turn CO</w:t>
      </w:r>
      <w:r w:rsidRPr="00071861">
        <w:rPr>
          <w:sz w:val="20"/>
          <w:szCs w:val="20"/>
          <w:vertAlign w:val="subscript"/>
        </w:rPr>
        <w:t xml:space="preserve">2 </w:t>
      </w:r>
      <w:r w:rsidRPr="00071861">
        <w:rPr>
          <w:sz w:val="20"/>
          <w:szCs w:val="20"/>
        </w:rPr>
        <w:t>into biomass and oxygen is termed carbon sequestration (</w:t>
      </w:r>
      <w:proofErr w:type="spellStart"/>
      <w:r w:rsidRPr="00071861">
        <w:rPr>
          <w:sz w:val="20"/>
          <w:szCs w:val="20"/>
        </w:rPr>
        <w:t>Tagupa</w:t>
      </w:r>
      <w:proofErr w:type="spellEnd"/>
      <w:r w:rsidRPr="00071861">
        <w:rPr>
          <w:sz w:val="20"/>
          <w:szCs w:val="20"/>
        </w:rPr>
        <w:t xml:space="preserve"> </w:t>
      </w:r>
      <w:r w:rsidRPr="00071861">
        <w:rPr>
          <w:i/>
          <w:sz w:val="20"/>
          <w:szCs w:val="20"/>
        </w:rPr>
        <w:t>et al.</w:t>
      </w:r>
      <w:r w:rsidRPr="00071861">
        <w:rPr>
          <w:sz w:val="20"/>
          <w:szCs w:val="20"/>
        </w:rPr>
        <w:t xml:space="preserve">, 2010). </w:t>
      </w:r>
      <w:r w:rsidRPr="00071861">
        <w:rPr>
          <w:rFonts w:eastAsia="FranklinGothic-Book"/>
          <w:sz w:val="20"/>
          <w:szCs w:val="20"/>
        </w:rPr>
        <w:t xml:space="preserve">About one-half the weight of dry wood is carbon and </w:t>
      </w:r>
      <w:r w:rsidRPr="00071861">
        <w:rPr>
          <w:rFonts w:eastAsia="FranklinGothic-Book"/>
          <w:sz w:val="20"/>
          <w:szCs w:val="20"/>
        </w:rPr>
        <w:lastRenderedPageBreak/>
        <w:t xml:space="preserve">that carbon is stored or sequestered as long as the wood is in existence. </w:t>
      </w:r>
      <w:r w:rsidRPr="00071861">
        <w:rPr>
          <w:color w:val="000000"/>
          <w:sz w:val="20"/>
          <w:szCs w:val="20"/>
        </w:rPr>
        <w:t>As the amount of tree biomass increases (within a forest or in forest products) the increase in atmospheric CO</w:t>
      </w:r>
      <w:r w:rsidRPr="00071861">
        <w:rPr>
          <w:color w:val="000000"/>
          <w:sz w:val="20"/>
          <w:szCs w:val="20"/>
          <w:vertAlign w:val="subscript"/>
        </w:rPr>
        <w:t>2</w:t>
      </w:r>
      <w:r w:rsidRPr="00071861">
        <w:rPr>
          <w:color w:val="000000"/>
          <w:sz w:val="20"/>
          <w:szCs w:val="20"/>
        </w:rPr>
        <w:t xml:space="preserve"> is mitigated.</w:t>
      </w:r>
    </w:p>
    <w:p w:rsidR="0078493A" w:rsidRPr="00071861" w:rsidRDefault="0078493A" w:rsidP="009D4525">
      <w:pPr>
        <w:autoSpaceDE w:val="0"/>
        <w:autoSpaceDN w:val="0"/>
        <w:adjustRightInd w:val="0"/>
        <w:snapToGrid w:val="0"/>
        <w:ind w:firstLine="425"/>
        <w:jc w:val="both"/>
        <w:rPr>
          <w:color w:val="000000"/>
          <w:sz w:val="20"/>
          <w:szCs w:val="20"/>
          <w:lang w:eastAsia="en-GB"/>
        </w:rPr>
      </w:pPr>
      <w:r w:rsidRPr="00071861">
        <w:rPr>
          <w:color w:val="000000"/>
          <w:sz w:val="20"/>
          <w:szCs w:val="20"/>
        </w:rPr>
        <w:t xml:space="preserve">When forests are cleared or degraded, their stored carbon is released into the atmosphere as carbon dioxide. </w:t>
      </w:r>
      <w:r w:rsidRPr="00071861">
        <w:rPr>
          <w:color w:val="000000"/>
          <w:sz w:val="20"/>
          <w:szCs w:val="20"/>
          <w:lang w:eastAsia="en-GB"/>
        </w:rPr>
        <w:t>This act is considered the largest source of greenhouse gas emissions in most tropical countries. In 2005, FAO reported that deforestation accounts for nearly 70% of total emissions in Africa</w:t>
      </w:r>
      <w:r w:rsidRPr="00071861">
        <w:rPr>
          <w:sz w:val="20"/>
          <w:szCs w:val="20"/>
          <w:lang w:eastAsia="en-GB"/>
        </w:rPr>
        <w:t>.</w:t>
      </w:r>
      <w:r w:rsidRPr="00071861">
        <w:rPr>
          <w:color w:val="000000"/>
          <w:sz w:val="20"/>
          <w:szCs w:val="20"/>
          <w:lang w:eastAsia="en-GB"/>
        </w:rPr>
        <w:t xml:space="preserve"> </w:t>
      </w:r>
      <w:proofErr w:type="spellStart"/>
      <w:r w:rsidRPr="00071861">
        <w:rPr>
          <w:sz w:val="20"/>
          <w:szCs w:val="20"/>
        </w:rPr>
        <w:t>Nikolic</w:t>
      </w:r>
      <w:proofErr w:type="spellEnd"/>
      <w:r w:rsidRPr="00071861">
        <w:rPr>
          <w:sz w:val="20"/>
          <w:szCs w:val="20"/>
        </w:rPr>
        <w:t xml:space="preserve"> et al. (2008) stated that land-use change through deforestation and degradation of natural forests diminishes overall carbon storage capacities in vegetation and in soils. </w:t>
      </w:r>
      <w:r w:rsidRPr="00071861">
        <w:rPr>
          <w:color w:val="000000"/>
          <w:sz w:val="20"/>
          <w:szCs w:val="20"/>
        </w:rPr>
        <w:t>Moreover, clearing tropical forests also destroys globally important carbon sinks that are currently sequestering CO</w:t>
      </w:r>
      <w:r w:rsidRPr="00071861">
        <w:rPr>
          <w:color w:val="000000"/>
          <w:sz w:val="20"/>
          <w:szCs w:val="20"/>
          <w:vertAlign w:val="subscript"/>
        </w:rPr>
        <w:t>2</w:t>
      </w:r>
      <w:r w:rsidRPr="00071861">
        <w:rPr>
          <w:color w:val="000000"/>
          <w:sz w:val="20"/>
          <w:szCs w:val="20"/>
        </w:rPr>
        <w:t xml:space="preserve"> from the atmosphere and are critical to future climate stabilization (Stephens </w:t>
      </w:r>
      <w:r w:rsidRPr="00071861">
        <w:rPr>
          <w:i/>
          <w:iCs/>
          <w:color w:val="000000"/>
          <w:sz w:val="20"/>
          <w:szCs w:val="20"/>
        </w:rPr>
        <w:t xml:space="preserve">et al </w:t>
      </w:r>
      <w:r w:rsidRPr="00071861">
        <w:rPr>
          <w:sz w:val="20"/>
          <w:szCs w:val="20"/>
        </w:rPr>
        <w:t>2007</w:t>
      </w:r>
      <w:r w:rsidRPr="00071861">
        <w:rPr>
          <w:color w:val="000000"/>
          <w:sz w:val="20"/>
          <w:szCs w:val="20"/>
        </w:rPr>
        <w:t>). Despite the importance of avoiding deforestation and associated emissions, developing countries have had few economic or policy incentives to reduce emissions from land use change (</w:t>
      </w:r>
      <w:proofErr w:type="spellStart"/>
      <w:r w:rsidRPr="00071861">
        <w:rPr>
          <w:color w:val="000000"/>
          <w:sz w:val="20"/>
          <w:szCs w:val="20"/>
        </w:rPr>
        <w:t>Santilli</w:t>
      </w:r>
      <w:proofErr w:type="spellEnd"/>
      <w:r w:rsidRPr="00071861">
        <w:rPr>
          <w:color w:val="000000"/>
          <w:sz w:val="20"/>
          <w:szCs w:val="20"/>
        </w:rPr>
        <w:t xml:space="preserve"> </w:t>
      </w:r>
      <w:r w:rsidRPr="00071861">
        <w:rPr>
          <w:i/>
          <w:iCs/>
          <w:color w:val="000000"/>
          <w:sz w:val="20"/>
          <w:szCs w:val="20"/>
        </w:rPr>
        <w:t xml:space="preserve">et al </w:t>
      </w:r>
      <w:r w:rsidRPr="00071861">
        <w:rPr>
          <w:sz w:val="20"/>
          <w:szCs w:val="20"/>
        </w:rPr>
        <w:t>2005</w:t>
      </w:r>
      <w:r w:rsidRPr="00071861">
        <w:rPr>
          <w:color w:val="000000"/>
          <w:sz w:val="20"/>
          <w:szCs w:val="20"/>
        </w:rPr>
        <w:t>).</w:t>
      </w:r>
    </w:p>
    <w:p w:rsidR="0078493A" w:rsidRPr="00071861" w:rsidRDefault="0078493A" w:rsidP="009D4525">
      <w:pPr>
        <w:snapToGrid w:val="0"/>
        <w:ind w:firstLine="425"/>
        <w:jc w:val="both"/>
        <w:rPr>
          <w:rFonts w:eastAsia="TimesNewRomanPSMT"/>
          <w:sz w:val="20"/>
          <w:szCs w:val="20"/>
        </w:rPr>
      </w:pPr>
      <w:r w:rsidRPr="00071861">
        <w:rPr>
          <w:rFonts w:eastAsia="TimesNewRomanPSMT"/>
          <w:sz w:val="20"/>
          <w:szCs w:val="20"/>
        </w:rPr>
        <w:t>Issues of climate change and loss of biodiversity are increasingly prompting nations to focus on accounting for and managing greenhouse gas emissions (</w:t>
      </w:r>
      <w:proofErr w:type="spellStart"/>
      <w:r w:rsidRPr="00071861">
        <w:rPr>
          <w:rFonts w:eastAsia="TimesNewRomanPSMT"/>
          <w:sz w:val="20"/>
          <w:szCs w:val="20"/>
        </w:rPr>
        <w:t>Korner</w:t>
      </w:r>
      <w:proofErr w:type="spellEnd"/>
      <w:r w:rsidRPr="00071861">
        <w:rPr>
          <w:rFonts w:eastAsia="TimesNewRomanPSMT"/>
          <w:i/>
          <w:sz w:val="20"/>
          <w:szCs w:val="20"/>
        </w:rPr>
        <w:t xml:space="preserve"> et al.</w:t>
      </w:r>
      <w:r w:rsidRPr="00071861">
        <w:rPr>
          <w:rFonts w:eastAsia="TimesNewRomanPSMT"/>
          <w:sz w:val="20"/>
          <w:szCs w:val="20"/>
        </w:rPr>
        <w:t xml:space="preserve">, 2005). Several studies have found that growing trees to sequester carbon could provide relatively low-cost net emission reductions for a number of countries (Newell and </w:t>
      </w:r>
      <w:proofErr w:type="spellStart"/>
      <w:r w:rsidRPr="00071861">
        <w:rPr>
          <w:rFonts w:eastAsia="TimesNewRomanPSMT"/>
          <w:sz w:val="20"/>
          <w:szCs w:val="20"/>
        </w:rPr>
        <w:t>Stavi</w:t>
      </w:r>
      <w:proofErr w:type="spellEnd"/>
      <w:r w:rsidRPr="00071861">
        <w:rPr>
          <w:rFonts w:eastAsia="TimesNewRomanPSMT"/>
          <w:sz w:val="20"/>
          <w:szCs w:val="20"/>
        </w:rPr>
        <w:t xml:space="preserve">, 2000). </w:t>
      </w:r>
      <w:r w:rsidRPr="00071861">
        <w:rPr>
          <w:rFonts w:eastAsia="TimesNewRomanPSMT"/>
          <w:sz w:val="20"/>
          <w:szCs w:val="20"/>
        </w:rPr>
        <w:lastRenderedPageBreak/>
        <w:t xml:space="preserve">According to </w:t>
      </w:r>
      <w:r w:rsidRPr="00071861">
        <w:rPr>
          <w:sz w:val="20"/>
          <w:szCs w:val="20"/>
        </w:rPr>
        <w:t xml:space="preserve">Tan </w:t>
      </w:r>
      <w:r w:rsidRPr="00071861">
        <w:rPr>
          <w:i/>
          <w:sz w:val="20"/>
          <w:szCs w:val="20"/>
        </w:rPr>
        <w:t>et al</w:t>
      </w:r>
      <w:r w:rsidRPr="00071861">
        <w:rPr>
          <w:sz w:val="20"/>
          <w:szCs w:val="20"/>
        </w:rPr>
        <w:t>., (2007), there is considerable interest today in estimating the carbon sequestration capacity of forests for both practical forestry issues and scientific purposes. However, the quantification of carbon pools of a forest suffers from a number of methodological problems. Accurate carbon estimation requires locally applicable carbon sequestration equations.</w:t>
      </w:r>
      <w:r w:rsidR="009D4525" w:rsidRPr="00071861">
        <w:rPr>
          <w:sz w:val="20"/>
          <w:szCs w:val="20"/>
        </w:rPr>
        <w:t>.</w:t>
      </w:r>
      <w:r w:rsidRPr="00071861">
        <w:rPr>
          <w:sz w:val="20"/>
          <w:szCs w:val="20"/>
        </w:rPr>
        <w:t xml:space="preserve"> It is therefore necessary to develop and evaluate carbon sequestration models for </w:t>
      </w:r>
      <w:proofErr w:type="spellStart"/>
      <w:r w:rsidRPr="00071861">
        <w:rPr>
          <w:sz w:val="20"/>
          <w:szCs w:val="20"/>
        </w:rPr>
        <w:t>Gmelina</w:t>
      </w:r>
      <w:proofErr w:type="spellEnd"/>
      <w:r w:rsidRPr="00071861">
        <w:rPr>
          <w:sz w:val="20"/>
          <w:szCs w:val="20"/>
        </w:rPr>
        <w:t xml:space="preserve"> stands in </w:t>
      </w:r>
      <w:proofErr w:type="spellStart"/>
      <w:r w:rsidRPr="00071861">
        <w:rPr>
          <w:sz w:val="20"/>
          <w:szCs w:val="20"/>
        </w:rPr>
        <w:t>Omo</w:t>
      </w:r>
      <w:proofErr w:type="spellEnd"/>
      <w:r w:rsidRPr="00071861">
        <w:rPr>
          <w:sz w:val="20"/>
          <w:szCs w:val="20"/>
        </w:rPr>
        <w:t xml:space="preserve"> Forest Reserve.</w:t>
      </w:r>
      <w:r w:rsidR="009D4525" w:rsidRPr="00071861">
        <w:rPr>
          <w:sz w:val="20"/>
          <w:szCs w:val="20"/>
        </w:rPr>
        <w:t xml:space="preserve"> </w:t>
      </w:r>
      <w:r w:rsidRPr="00071861">
        <w:rPr>
          <w:sz w:val="20"/>
          <w:szCs w:val="20"/>
        </w:rPr>
        <w:t xml:space="preserve">Such models will enhance not only the </w:t>
      </w:r>
      <w:proofErr w:type="spellStart"/>
      <w:r w:rsidRPr="00071861">
        <w:rPr>
          <w:sz w:val="20"/>
          <w:szCs w:val="20"/>
        </w:rPr>
        <w:t>silvicultural</w:t>
      </w:r>
      <w:proofErr w:type="spellEnd"/>
      <w:r w:rsidRPr="00071861">
        <w:rPr>
          <w:sz w:val="20"/>
          <w:szCs w:val="20"/>
        </w:rPr>
        <w:t xml:space="preserve"> management of the stands, but also the accurate prediction of the carbon sequestration capacity of the stands.</w:t>
      </w:r>
    </w:p>
    <w:p w:rsidR="00EB51F4" w:rsidRPr="00071861" w:rsidRDefault="00EB51F4" w:rsidP="009D4525">
      <w:pPr>
        <w:snapToGrid w:val="0"/>
        <w:jc w:val="both"/>
        <w:rPr>
          <w:b/>
          <w:sz w:val="20"/>
          <w:szCs w:val="20"/>
        </w:rPr>
      </w:pPr>
    </w:p>
    <w:p w:rsidR="00471E57" w:rsidRPr="00071861" w:rsidRDefault="00471E57" w:rsidP="009D4525">
      <w:pPr>
        <w:snapToGrid w:val="0"/>
        <w:jc w:val="both"/>
        <w:rPr>
          <w:b/>
          <w:sz w:val="20"/>
          <w:szCs w:val="20"/>
        </w:rPr>
      </w:pPr>
      <w:r w:rsidRPr="00071861">
        <w:rPr>
          <w:b/>
          <w:sz w:val="20"/>
          <w:szCs w:val="20"/>
        </w:rPr>
        <w:t>2. Material and Methods</w:t>
      </w:r>
    </w:p>
    <w:p w:rsidR="003A3C6D" w:rsidRPr="00071861" w:rsidRDefault="003A3C6D" w:rsidP="009D4525">
      <w:pPr>
        <w:snapToGrid w:val="0"/>
        <w:jc w:val="both"/>
        <w:rPr>
          <w:b/>
          <w:sz w:val="20"/>
          <w:szCs w:val="20"/>
        </w:rPr>
      </w:pPr>
      <w:r w:rsidRPr="00071861">
        <w:rPr>
          <w:b/>
          <w:sz w:val="20"/>
          <w:szCs w:val="20"/>
        </w:rPr>
        <w:t>Study Area</w:t>
      </w:r>
    </w:p>
    <w:p w:rsidR="003A3C6D" w:rsidRPr="00071861" w:rsidRDefault="003A3C6D" w:rsidP="009D4525">
      <w:pPr>
        <w:snapToGrid w:val="0"/>
        <w:ind w:firstLine="425"/>
        <w:jc w:val="both"/>
        <w:rPr>
          <w:sz w:val="20"/>
          <w:szCs w:val="20"/>
        </w:rPr>
      </w:pPr>
      <w:r w:rsidRPr="00071861">
        <w:rPr>
          <w:sz w:val="20"/>
          <w:szCs w:val="20"/>
        </w:rPr>
        <w:t xml:space="preserve">The study was carried out </w:t>
      </w:r>
      <w:proofErr w:type="spellStart"/>
      <w:r w:rsidRPr="00071861">
        <w:rPr>
          <w:sz w:val="20"/>
          <w:szCs w:val="20"/>
        </w:rPr>
        <w:t>Omo</w:t>
      </w:r>
      <w:proofErr w:type="spellEnd"/>
      <w:r w:rsidRPr="00071861">
        <w:rPr>
          <w:sz w:val="20"/>
          <w:szCs w:val="20"/>
        </w:rPr>
        <w:t xml:space="preserve"> Forest Reserve (J4). It is situated between latitude 6</w:t>
      </w:r>
      <w:r w:rsidRPr="00071861">
        <w:rPr>
          <w:sz w:val="20"/>
          <w:szCs w:val="20"/>
          <w:vertAlign w:val="superscript"/>
        </w:rPr>
        <w:t>o</w:t>
      </w:r>
      <w:r w:rsidRPr="00071861">
        <w:rPr>
          <w:sz w:val="20"/>
          <w:szCs w:val="20"/>
        </w:rPr>
        <w:t>35</w:t>
      </w:r>
      <w:r w:rsidRPr="00071861">
        <w:rPr>
          <w:sz w:val="20"/>
          <w:szCs w:val="20"/>
          <w:vertAlign w:val="superscript"/>
        </w:rPr>
        <w:t xml:space="preserve">1 </w:t>
      </w:r>
      <w:r w:rsidRPr="00071861">
        <w:rPr>
          <w:sz w:val="20"/>
          <w:szCs w:val="20"/>
        </w:rPr>
        <w:t>and 7</w:t>
      </w:r>
      <w:r w:rsidRPr="00071861">
        <w:rPr>
          <w:sz w:val="20"/>
          <w:szCs w:val="20"/>
          <w:vertAlign w:val="superscript"/>
        </w:rPr>
        <w:t>o</w:t>
      </w:r>
      <w:r w:rsidRPr="00071861">
        <w:rPr>
          <w:sz w:val="20"/>
          <w:szCs w:val="20"/>
        </w:rPr>
        <w:t>05</w:t>
      </w:r>
      <w:r w:rsidRPr="00071861">
        <w:rPr>
          <w:sz w:val="20"/>
          <w:szCs w:val="20"/>
          <w:vertAlign w:val="superscript"/>
        </w:rPr>
        <w:t>1</w:t>
      </w:r>
      <w:r w:rsidRPr="00071861">
        <w:rPr>
          <w:sz w:val="20"/>
          <w:szCs w:val="20"/>
        </w:rPr>
        <w:t>N and longitudes 4</w:t>
      </w:r>
      <w:r w:rsidRPr="00071861">
        <w:rPr>
          <w:sz w:val="20"/>
          <w:szCs w:val="20"/>
          <w:vertAlign w:val="superscript"/>
        </w:rPr>
        <w:t>o</w:t>
      </w:r>
      <w:r w:rsidRPr="00071861">
        <w:rPr>
          <w:sz w:val="20"/>
          <w:szCs w:val="20"/>
        </w:rPr>
        <w:t>19</w:t>
      </w:r>
      <w:r w:rsidRPr="00071861">
        <w:rPr>
          <w:sz w:val="20"/>
          <w:szCs w:val="20"/>
          <w:vertAlign w:val="superscript"/>
        </w:rPr>
        <w:t>1</w:t>
      </w:r>
      <w:r w:rsidRPr="00071861">
        <w:rPr>
          <w:sz w:val="20"/>
          <w:szCs w:val="20"/>
        </w:rPr>
        <w:t xml:space="preserve"> and 4</w:t>
      </w:r>
      <w:r w:rsidRPr="00071861">
        <w:rPr>
          <w:sz w:val="20"/>
          <w:szCs w:val="20"/>
          <w:vertAlign w:val="superscript"/>
        </w:rPr>
        <w:t>o</w:t>
      </w:r>
      <w:r w:rsidRPr="00071861">
        <w:rPr>
          <w:sz w:val="20"/>
          <w:szCs w:val="20"/>
        </w:rPr>
        <w:t>40</w:t>
      </w:r>
      <w:r w:rsidRPr="00071861">
        <w:rPr>
          <w:sz w:val="20"/>
          <w:szCs w:val="20"/>
          <w:vertAlign w:val="superscript"/>
        </w:rPr>
        <w:t>I</w:t>
      </w:r>
      <w:r w:rsidRPr="00071861">
        <w:rPr>
          <w:sz w:val="20"/>
          <w:szCs w:val="20"/>
        </w:rPr>
        <w:t xml:space="preserve">E. The Reserve shares its northern boundary with </w:t>
      </w:r>
      <w:proofErr w:type="spellStart"/>
      <w:r w:rsidRPr="00071861">
        <w:rPr>
          <w:sz w:val="20"/>
          <w:szCs w:val="20"/>
        </w:rPr>
        <w:t>Osun</w:t>
      </w:r>
      <w:proofErr w:type="spellEnd"/>
      <w:r w:rsidRPr="00071861">
        <w:rPr>
          <w:sz w:val="20"/>
          <w:szCs w:val="20"/>
        </w:rPr>
        <w:t xml:space="preserve"> and Ago </w:t>
      </w:r>
      <w:proofErr w:type="spellStart"/>
      <w:r w:rsidRPr="00071861">
        <w:rPr>
          <w:sz w:val="20"/>
          <w:szCs w:val="20"/>
        </w:rPr>
        <w:t>Owu</w:t>
      </w:r>
      <w:proofErr w:type="spellEnd"/>
      <w:r w:rsidRPr="00071861">
        <w:rPr>
          <w:sz w:val="20"/>
          <w:szCs w:val="20"/>
        </w:rPr>
        <w:t xml:space="preserve"> Forest Reserves in </w:t>
      </w:r>
      <w:proofErr w:type="spellStart"/>
      <w:r w:rsidRPr="00071861">
        <w:rPr>
          <w:sz w:val="20"/>
          <w:szCs w:val="20"/>
        </w:rPr>
        <w:t>Osun</w:t>
      </w:r>
      <w:proofErr w:type="spellEnd"/>
      <w:r w:rsidRPr="00071861">
        <w:rPr>
          <w:sz w:val="20"/>
          <w:szCs w:val="20"/>
        </w:rPr>
        <w:t xml:space="preserve"> state and </w:t>
      </w:r>
      <w:proofErr w:type="spellStart"/>
      <w:r w:rsidRPr="00071861">
        <w:rPr>
          <w:sz w:val="20"/>
          <w:szCs w:val="20"/>
        </w:rPr>
        <w:t>Oluwa</w:t>
      </w:r>
      <w:proofErr w:type="spellEnd"/>
      <w:r w:rsidRPr="00071861">
        <w:rPr>
          <w:sz w:val="20"/>
          <w:szCs w:val="20"/>
        </w:rPr>
        <w:t xml:space="preserve"> Forest Reserve in </w:t>
      </w:r>
      <w:proofErr w:type="spellStart"/>
      <w:r w:rsidRPr="00071861">
        <w:rPr>
          <w:sz w:val="20"/>
          <w:szCs w:val="20"/>
        </w:rPr>
        <w:t>Ondo</w:t>
      </w:r>
      <w:proofErr w:type="spellEnd"/>
      <w:r w:rsidRPr="00071861">
        <w:rPr>
          <w:sz w:val="20"/>
          <w:szCs w:val="20"/>
        </w:rPr>
        <w:t xml:space="preserve"> state. The </w:t>
      </w:r>
      <w:proofErr w:type="spellStart"/>
      <w:r w:rsidRPr="00071861">
        <w:rPr>
          <w:sz w:val="20"/>
          <w:szCs w:val="20"/>
        </w:rPr>
        <w:t>Omo</w:t>
      </w:r>
      <w:proofErr w:type="spellEnd"/>
      <w:r w:rsidRPr="00071861">
        <w:rPr>
          <w:sz w:val="20"/>
          <w:szCs w:val="20"/>
        </w:rPr>
        <w:t xml:space="preserve"> and Oni Rivers mark the southern boundary. The Oni River continues </w:t>
      </w:r>
      <w:proofErr w:type="spellStart"/>
      <w:r w:rsidRPr="00071861">
        <w:rPr>
          <w:sz w:val="20"/>
          <w:szCs w:val="20"/>
        </w:rPr>
        <w:t>futher</w:t>
      </w:r>
      <w:proofErr w:type="spellEnd"/>
      <w:r w:rsidRPr="00071861">
        <w:rPr>
          <w:sz w:val="20"/>
          <w:szCs w:val="20"/>
        </w:rPr>
        <w:t xml:space="preserve"> north to form eastern boundary, while the western boundary is formed by surveyed paths and demarcated cut lines. The Reserve had a total area of approximately 130,550ha with 65km of enclaves. Communities present include </w:t>
      </w:r>
      <w:proofErr w:type="spellStart"/>
      <w:r w:rsidRPr="00071861">
        <w:rPr>
          <w:sz w:val="20"/>
          <w:szCs w:val="20"/>
        </w:rPr>
        <w:t>Aberu</w:t>
      </w:r>
      <w:proofErr w:type="spellEnd"/>
      <w:r w:rsidRPr="00071861">
        <w:rPr>
          <w:sz w:val="20"/>
          <w:szCs w:val="20"/>
        </w:rPr>
        <w:t xml:space="preserve">, </w:t>
      </w:r>
      <w:proofErr w:type="spellStart"/>
      <w:r w:rsidRPr="00071861">
        <w:rPr>
          <w:sz w:val="20"/>
          <w:szCs w:val="20"/>
        </w:rPr>
        <w:t>Abititun</w:t>
      </w:r>
      <w:proofErr w:type="spellEnd"/>
      <w:r w:rsidRPr="00071861">
        <w:rPr>
          <w:sz w:val="20"/>
          <w:szCs w:val="20"/>
        </w:rPr>
        <w:t xml:space="preserve">, </w:t>
      </w:r>
      <w:proofErr w:type="spellStart"/>
      <w:r w:rsidRPr="00071861">
        <w:rPr>
          <w:sz w:val="20"/>
          <w:szCs w:val="20"/>
        </w:rPr>
        <w:t>Oloji</w:t>
      </w:r>
      <w:proofErr w:type="spellEnd"/>
      <w:r w:rsidRPr="00071861">
        <w:rPr>
          <w:sz w:val="20"/>
          <w:szCs w:val="20"/>
        </w:rPr>
        <w:t xml:space="preserve">, </w:t>
      </w:r>
      <w:proofErr w:type="spellStart"/>
      <w:r w:rsidRPr="00071861">
        <w:rPr>
          <w:sz w:val="20"/>
          <w:szCs w:val="20"/>
        </w:rPr>
        <w:t>Osoko</w:t>
      </w:r>
      <w:proofErr w:type="spellEnd"/>
      <w:r w:rsidRPr="00071861">
        <w:rPr>
          <w:sz w:val="20"/>
          <w:szCs w:val="20"/>
        </w:rPr>
        <w:t xml:space="preserve">, </w:t>
      </w:r>
      <w:proofErr w:type="spellStart"/>
      <w:r w:rsidRPr="00071861">
        <w:rPr>
          <w:sz w:val="20"/>
          <w:szCs w:val="20"/>
        </w:rPr>
        <w:t>Ajebandele</w:t>
      </w:r>
      <w:proofErr w:type="spellEnd"/>
      <w:r w:rsidRPr="00071861">
        <w:rPr>
          <w:sz w:val="20"/>
          <w:szCs w:val="20"/>
        </w:rPr>
        <w:t xml:space="preserve">, </w:t>
      </w:r>
      <w:proofErr w:type="spellStart"/>
      <w:r w:rsidRPr="00071861">
        <w:rPr>
          <w:sz w:val="20"/>
          <w:szCs w:val="20"/>
        </w:rPr>
        <w:t>Abakurudu</w:t>
      </w:r>
      <w:proofErr w:type="spellEnd"/>
      <w:r w:rsidRPr="00071861">
        <w:rPr>
          <w:sz w:val="20"/>
          <w:szCs w:val="20"/>
        </w:rPr>
        <w:t xml:space="preserve">, </w:t>
      </w:r>
      <w:proofErr w:type="spellStart"/>
      <w:r w:rsidRPr="00071861">
        <w:rPr>
          <w:sz w:val="20"/>
          <w:szCs w:val="20"/>
        </w:rPr>
        <w:t>Tisaba</w:t>
      </w:r>
      <w:proofErr w:type="spellEnd"/>
      <w:r w:rsidRPr="00071861">
        <w:rPr>
          <w:sz w:val="20"/>
          <w:szCs w:val="20"/>
        </w:rPr>
        <w:t xml:space="preserve">, </w:t>
      </w:r>
      <w:proofErr w:type="spellStart"/>
      <w:r w:rsidRPr="00071861">
        <w:rPr>
          <w:sz w:val="20"/>
          <w:szCs w:val="20"/>
        </w:rPr>
        <w:t>Olomogo</w:t>
      </w:r>
      <w:proofErr w:type="spellEnd"/>
      <w:r w:rsidRPr="00071861">
        <w:rPr>
          <w:sz w:val="20"/>
          <w:szCs w:val="20"/>
        </w:rPr>
        <w:t xml:space="preserve">, </w:t>
      </w:r>
      <w:proofErr w:type="spellStart"/>
      <w:r w:rsidRPr="00071861">
        <w:rPr>
          <w:sz w:val="20"/>
          <w:szCs w:val="20"/>
        </w:rPr>
        <w:t>Etemi</w:t>
      </w:r>
      <w:proofErr w:type="spellEnd"/>
      <w:r w:rsidRPr="00071861">
        <w:rPr>
          <w:sz w:val="20"/>
          <w:szCs w:val="20"/>
        </w:rPr>
        <w:t xml:space="preserve">, </w:t>
      </w:r>
      <w:proofErr w:type="spellStart"/>
      <w:r w:rsidRPr="00071861">
        <w:rPr>
          <w:sz w:val="20"/>
          <w:szCs w:val="20"/>
        </w:rPr>
        <w:t>Abeku</w:t>
      </w:r>
      <w:proofErr w:type="spellEnd"/>
      <w:r w:rsidRPr="00071861">
        <w:rPr>
          <w:sz w:val="20"/>
          <w:szCs w:val="20"/>
        </w:rPr>
        <w:t>. The topography of the reserve is generally undulating with average elevation of 125m above sea level (</w:t>
      </w:r>
      <w:proofErr w:type="spellStart"/>
      <w:r w:rsidRPr="00071861">
        <w:rPr>
          <w:sz w:val="20"/>
          <w:szCs w:val="20"/>
        </w:rPr>
        <w:t>Akindele</w:t>
      </w:r>
      <w:proofErr w:type="spellEnd"/>
      <w:r w:rsidRPr="00071861">
        <w:rPr>
          <w:sz w:val="20"/>
          <w:szCs w:val="20"/>
        </w:rPr>
        <w:t xml:space="preserve"> and </w:t>
      </w:r>
      <w:proofErr w:type="spellStart"/>
      <w:r w:rsidRPr="00071861">
        <w:rPr>
          <w:sz w:val="20"/>
          <w:szCs w:val="20"/>
        </w:rPr>
        <w:t>Abayomi</w:t>
      </w:r>
      <w:proofErr w:type="spellEnd"/>
      <w:r w:rsidRPr="00071861">
        <w:rPr>
          <w:sz w:val="20"/>
          <w:szCs w:val="20"/>
        </w:rPr>
        <w:t>, 1993).</w:t>
      </w:r>
    </w:p>
    <w:p w:rsidR="003A3C6D" w:rsidRPr="00071861" w:rsidRDefault="003A3C6D" w:rsidP="009D4525">
      <w:pPr>
        <w:snapToGrid w:val="0"/>
        <w:jc w:val="both"/>
        <w:rPr>
          <w:b/>
          <w:sz w:val="20"/>
          <w:szCs w:val="20"/>
        </w:rPr>
      </w:pPr>
      <w:r w:rsidRPr="00071861">
        <w:rPr>
          <w:b/>
          <w:sz w:val="20"/>
          <w:szCs w:val="20"/>
        </w:rPr>
        <w:t>Data</w:t>
      </w:r>
    </w:p>
    <w:p w:rsidR="003A3C6D" w:rsidRPr="00071861" w:rsidRDefault="003A3C6D" w:rsidP="009D4525">
      <w:pPr>
        <w:autoSpaceDE w:val="0"/>
        <w:autoSpaceDN w:val="0"/>
        <w:adjustRightInd w:val="0"/>
        <w:snapToGrid w:val="0"/>
        <w:ind w:firstLine="425"/>
        <w:jc w:val="both"/>
        <w:rPr>
          <w:sz w:val="20"/>
          <w:szCs w:val="20"/>
          <w:lang w:eastAsia="en-GB"/>
        </w:rPr>
      </w:pPr>
      <w:r w:rsidRPr="00071861">
        <w:rPr>
          <w:sz w:val="20"/>
          <w:szCs w:val="20"/>
          <w:lang w:eastAsia="en-GB"/>
        </w:rPr>
        <w:t xml:space="preserve">Data used for this study was collected from fifteen (15) randomly selected temporary sample plots of size 20×20 m within 3 age series (18, 20 and 24years) in the study area. Within each sample plot, the following tree growth variables were measured for all trees: total height (m), bole height (m), merchantable height (m), crown length (m), diameter (cm) outside bark at breast height (i.e. </w:t>
      </w:r>
      <w:proofErr w:type="spellStart"/>
      <w:r w:rsidRPr="00071861">
        <w:rPr>
          <w:sz w:val="20"/>
          <w:szCs w:val="20"/>
          <w:lang w:eastAsia="en-GB"/>
        </w:rPr>
        <w:t>dbh</w:t>
      </w:r>
      <w:proofErr w:type="spellEnd"/>
      <w:r w:rsidRPr="00071861">
        <w:rPr>
          <w:sz w:val="20"/>
          <w:szCs w:val="20"/>
          <w:lang w:eastAsia="en-GB"/>
        </w:rPr>
        <w:t xml:space="preserve"> measured at 1.3 m above the ground level), diameter (cm) outside bark at top, middle and base, crown diameter (cm).</w:t>
      </w:r>
    </w:p>
    <w:p w:rsidR="003A3C6D" w:rsidRPr="00071861" w:rsidRDefault="003A3C6D" w:rsidP="009D4525">
      <w:pPr>
        <w:autoSpaceDE w:val="0"/>
        <w:autoSpaceDN w:val="0"/>
        <w:adjustRightInd w:val="0"/>
        <w:snapToGrid w:val="0"/>
        <w:jc w:val="both"/>
        <w:rPr>
          <w:b/>
          <w:sz w:val="20"/>
          <w:szCs w:val="20"/>
          <w:lang w:eastAsia="en-GB"/>
        </w:rPr>
      </w:pPr>
      <w:r w:rsidRPr="00071861">
        <w:rPr>
          <w:b/>
          <w:sz w:val="20"/>
          <w:szCs w:val="20"/>
          <w:lang w:eastAsia="en-GB"/>
        </w:rPr>
        <w:t>Carbon sequestration estimation</w:t>
      </w:r>
    </w:p>
    <w:p w:rsidR="003A3C6D" w:rsidRPr="00071861" w:rsidRDefault="003A3C6D" w:rsidP="009D4525">
      <w:pPr>
        <w:snapToGrid w:val="0"/>
        <w:ind w:firstLine="425"/>
        <w:jc w:val="both"/>
        <w:rPr>
          <w:sz w:val="20"/>
          <w:szCs w:val="20"/>
        </w:rPr>
      </w:pPr>
      <w:proofErr w:type="spellStart"/>
      <w:r w:rsidRPr="00071861">
        <w:rPr>
          <w:sz w:val="20"/>
          <w:szCs w:val="20"/>
        </w:rPr>
        <w:t>Haglof</w:t>
      </w:r>
      <w:proofErr w:type="spellEnd"/>
      <w:r w:rsidRPr="00071861">
        <w:rPr>
          <w:sz w:val="20"/>
          <w:szCs w:val="20"/>
        </w:rPr>
        <w:t xml:space="preserve"> increment borer was used to collect core sample from DBH of selected trees. The samples were oven dried at 70 degree centigrade for 48hrs and its dried weights were determined using a triple beam balance. The density of the core sample was estimated as the ratio of dry weight to fresh volume. The percentage carbon content of the core was also determined and hence the amount of carbon sequestered estimated.</w:t>
      </w:r>
    </w:p>
    <w:p w:rsidR="003A3C6D" w:rsidRPr="00071861" w:rsidRDefault="003A3C6D" w:rsidP="009D4525">
      <w:pPr>
        <w:snapToGrid w:val="0"/>
        <w:ind w:firstLine="425"/>
        <w:jc w:val="both"/>
        <w:rPr>
          <w:sz w:val="20"/>
          <w:szCs w:val="20"/>
        </w:rPr>
      </w:pPr>
    </w:p>
    <w:p w:rsidR="003A3C6D" w:rsidRPr="00071861" w:rsidRDefault="009D4525" w:rsidP="009D4525">
      <w:pPr>
        <w:snapToGrid w:val="0"/>
        <w:jc w:val="center"/>
        <w:rPr>
          <w:sz w:val="20"/>
          <w:szCs w:val="20"/>
        </w:rPr>
      </w:pPr>
      <w:r w:rsidRPr="00071861">
        <w:rPr>
          <w:sz w:val="20"/>
          <w:szCs w:val="20"/>
        </w:rPr>
        <w:object w:dxaOrig="3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3pt" o:ole="">
            <v:imagedata r:id="rId13" o:title=""/>
          </v:shape>
          <o:OLEObject Type="Embed" ProgID="Equation.3" ShapeID="_x0000_i1025" DrawAspect="Content" ObjectID="_1550782752" r:id="rId14"/>
        </w:object>
      </w:r>
    </w:p>
    <w:p w:rsidR="003A3C6D" w:rsidRPr="00071861" w:rsidRDefault="003A3C6D" w:rsidP="009D4525">
      <w:pPr>
        <w:snapToGrid w:val="0"/>
        <w:ind w:firstLine="425"/>
        <w:jc w:val="both"/>
        <w:rPr>
          <w:sz w:val="20"/>
          <w:szCs w:val="20"/>
        </w:rPr>
      </w:pPr>
      <w:r w:rsidRPr="00071861">
        <w:rPr>
          <w:sz w:val="20"/>
          <w:szCs w:val="20"/>
        </w:rPr>
        <w:t>Where C = Amount of C sequester</w:t>
      </w:r>
    </w:p>
    <w:p w:rsidR="003A3C6D" w:rsidRPr="00071861" w:rsidRDefault="003A3C6D" w:rsidP="009D4525">
      <w:pPr>
        <w:snapToGrid w:val="0"/>
        <w:ind w:firstLine="425"/>
        <w:jc w:val="both"/>
        <w:rPr>
          <w:sz w:val="20"/>
          <w:szCs w:val="20"/>
        </w:rPr>
      </w:pPr>
      <w:r w:rsidRPr="00071861">
        <w:rPr>
          <w:sz w:val="20"/>
          <w:szCs w:val="20"/>
        </w:rPr>
        <w:t>V = merchantable volume</w:t>
      </w:r>
    </w:p>
    <w:p w:rsidR="003A3C6D" w:rsidRPr="00071861" w:rsidRDefault="003A3C6D" w:rsidP="009D4525">
      <w:pPr>
        <w:snapToGrid w:val="0"/>
        <w:ind w:firstLine="425"/>
        <w:jc w:val="both"/>
        <w:rPr>
          <w:sz w:val="20"/>
          <w:szCs w:val="20"/>
        </w:rPr>
      </w:pPr>
      <w:r w:rsidRPr="00071861">
        <w:rPr>
          <w:sz w:val="20"/>
          <w:szCs w:val="20"/>
        </w:rPr>
        <w:t>D = wood density</w:t>
      </w:r>
    </w:p>
    <w:p w:rsidR="003A3C6D" w:rsidRPr="00071861" w:rsidRDefault="003A3C6D" w:rsidP="009D4525">
      <w:pPr>
        <w:snapToGrid w:val="0"/>
        <w:ind w:firstLine="425"/>
        <w:jc w:val="both"/>
        <w:rPr>
          <w:sz w:val="20"/>
          <w:szCs w:val="20"/>
        </w:rPr>
      </w:pPr>
      <w:r w:rsidRPr="00071861">
        <w:rPr>
          <w:sz w:val="20"/>
          <w:szCs w:val="20"/>
        </w:rPr>
        <w:t>CC = carbon content %</w:t>
      </w:r>
    </w:p>
    <w:p w:rsidR="003A3C6D" w:rsidRPr="00071861" w:rsidRDefault="003A3C6D" w:rsidP="009D4525">
      <w:pPr>
        <w:snapToGrid w:val="0"/>
        <w:jc w:val="both"/>
        <w:rPr>
          <w:b/>
          <w:sz w:val="20"/>
          <w:szCs w:val="20"/>
        </w:rPr>
      </w:pPr>
      <w:r w:rsidRPr="00071861">
        <w:rPr>
          <w:b/>
          <w:sz w:val="20"/>
          <w:szCs w:val="20"/>
        </w:rPr>
        <w:t>Computation of derived variables</w:t>
      </w:r>
    </w:p>
    <w:p w:rsidR="00B81B76" w:rsidRPr="00071861" w:rsidRDefault="003A3C6D" w:rsidP="009D4525">
      <w:pPr>
        <w:snapToGrid w:val="0"/>
        <w:ind w:firstLine="425"/>
        <w:jc w:val="both"/>
        <w:rPr>
          <w:sz w:val="20"/>
          <w:szCs w:val="20"/>
        </w:rPr>
      </w:pPr>
      <w:r w:rsidRPr="00071861">
        <w:rPr>
          <w:sz w:val="20"/>
          <w:szCs w:val="20"/>
        </w:rPr>
        <w:t>The following variables were derived from measured tree growth variable</w:t>
      </w:r>
      <w:r w:rsidR="00B81B76" w:rsidRPr="00071861">
        <w:rPr>
          <w:sz w:val="20"/>
          <w:szCs w:val="20"/>
        </w:rPr>
        <w:t>s.</w:t>
      </w:r>
    </w:p>
    <w:p w:rsidR="003A3C6D" w:rsidRPr="00071861" w:rsidRDefault="003A3C6D" w:rsidP="009D4525">
      <w:pPr>
        <w:numPr>
          <w:ilvl w:val="0"/>
          <w:numId w:val="7"/>
        </w:numPr>
        <w:suppressAutoHyphens w:val="0"/>
        <w:snapToGrid w:val="0"/>
        <w:ind w:left="0" w:firstLine="425"/>
        <w:jc w:val="both"/>
        <w:rPr>
          <w:sz w:val="20"/>
          <w:szCs w:val="20"/>
        </w:rPr>
      </w:pPr>
      <w:r w:rsidRPr="00071861">
        <w:rPr>
          <w:sz w:val="20"/>
          <w:szCs w:val="20"/>
        </w:rPr>
        <w:t>Basal area computed as</w:t>
      </w:r>
    </w:p>
    <w:p w:rsidR="009D4525" w:rsidRPr="00071861" w:rsidRDefault="009D4525" w:rsidP="009D4525">
      <w:pPr>
        <w:snapToGrid w:val="0"/>
        <w:jc w:val="center"/>
        <w:rPr>
          <w:sz w:val="20"/>
          <w:szCs w:val="20"/>
        </w:rPr>
      </w:pPr>
      <w:r w:rsidRPr="00071861">
        <w:rPr>
          <w:sz w:val="20"/>
          <w:szCs w:val="20"/>
        </w:rPr>
        <w:object w:dxaOrig="2400" w:dyaOrig="660">
          <v:shape id="_x0000_i1026" type="#_x0000_t75" style="width:162.8pt;height:31.95pt" o:ole="">
            <v:imagedata r:id="rId15" o:title=""/>
          </v:shape>
          <o:OLEObject Type="Embed" ProgID="Equation.3" ShapeID="_x0000_i1026" DrawAspect="Content" ObjectID="_1550782753" r:id="rId16"/>
        </w:object>
      </w:r>
    </w:p>
    <w:p w:rsidR="003A3C6D" w:rsidRPr="00071861" w:rsidRDefault="003A3C6D" w:rsidP="009D4525">
      <w:pPr>
        <w:snapToGrid w:val="0"/>
        <w:ind w:firstLine="425"/>
        <w:jc w:val="both"/>
        <w:rPr>
          <w:sz w:val="20"/>
          <w:szCs w:val="20"/>
        </w:rPr>
      </w:pPr>
      <w:r w:rsidRPr="00071861">
        <w:rPr>
          <w:sz w:val="20"/>
          <w:szCs w:val="20"/>
        </w:rPr>
        <w:t>Where BA = Basal area, D = diameter at breast height (m)</w:t>
      </w:r>
    </w:p>
    <w:p w:rsidR="003A3C6D" w:rsidRPr="00071861" w:rsidRDefault="003A3C6D" w:rsidP="009D4525">
      <w:pPr>
        <w:numPr>
          <w:ilvl w:val="0"/>
          <w:numId w:val="7"/>
        </w:numPr>
        <w:suppressAutoHyphens w:val="0"/>
        <w:snapToGrid w:val="0"/>
        <w:ind w:left="0" w:firstLine="425"/>
        <w:jc w:val="both"/>
        <w:rPr>
          <w:sz w:val="20"/>
          <w:szCs w:val="20"/>
        </w:rPr>
      </w:pPr>
      <w:r w:rsidRPr="00071861">
        <w:rPr>
          <w:sz w:val="20"/>
          <w:szCs w:val="20"/>
        </w:rPr>
        <w:t>Crown projection area and crown ratio computed as</w:t>
      </w:r>
    </w:p>
    <w:p w:rsidR="003A3C6D" w:rsidRPr="00071861" w:rsidRDefault="003A3C6D" w:rsidP="009D4525">
      <w:pPr>
        <w:snapToGrid w:val="0"/>
        <w:jc w:val="center"/>
        <w:rPr>
          <w:sz w:val="20"/>
          <w:szCs w:val="20"/>
        </w:rPr>
      </w:pPr>
      <w:r w:rsidRPr="00071861">
        <w:rPr>
          <w:sz w:val="20"/>
          <w:szCs w:val="20"/>
        </w:rPr>
        <w:object w:dxaOrig="3940" w:dyaOrig="660">
          <v:shape id="_x0000_i1027" type="#_x0000_t75" style="width:197.85pt;height:33.2pt" o:ole="">
            <v:imagedata r:id="rId17" o:title=""/>
          </v:shape>
          <o:OLEObject Type="Embed" ProgID="Equation.3" ShapeID="_x0000_i1027" DrawAspect="Content" ObjectID="_1550782754" r:id="rId18"/>
        </w:object>
      </w:r>
    </w:p>
    <w:p w:rsidR="003A3C6D" w:rsidRPr="00071861" w:rsidRDefault="003A3C6D" w:rsidP="009D4525">
      <w:pPr>
        <w:snapToGrid w:val="0"/>
        <w:jc w:val="center"/>
        <w:rPr>
          <w:sz w:val="20"/>
          <w:szCs w:val="20"/>
        </w:rPr>
      </w:pPr>
      <w:r w:rsidRPr="00071861">
        <w:rPr>
          <w:sz w:val="20"/>
          <w:szCs w:val="20"/>
        </w:rPr>
        <w:object w:dxaOrig="4040" w:dyaOrig="620">
          <v:shape id="_x0000_i1028" type="#_x0000_t75" style="width:202.25pt;height:31.3pt" o:ole="">
            <v:imagedata r:id="rId19" o:title=""/>
          </v:shape>
          <o:OLEObject Type="Embed" ProgID="Equation.3" ShapeID="_x0000_i1028" DrawAspect="Content" ObjectID="_1550782755" r:id="rId20"/>
        </w:object>
      </w:r>
    </w:p>
    <w:p w:rsidR="003A3C6D" w:rsidRPr="00071861" w:rsidRDefault="003A3C6D" w:rsidP="009D4525">
      <w:pPr>
        <w:snapToGrid w:val="0"/>
        <w:ind w:firstLine="425"/>
        <w:jc w:val="both"/>
        <w:rPr>
          <w:sz w:val="20"/>
          <w:szCs w:val="20"/>
        </w:rPr>
      </w:pPr>
      <w:r w:rsidRPr="00071861">
        <w:rPr>
          <w:sz w:val="20"/>
          <w:szCs w:val="20"/>
        </w:rPr>
        <w:t>Where CPA= Crown Projection Area, CR = crown ratio, CL = crown height and</w:t>
      </w:r>
    </w:p>
    <w:p w:rsidR="003A3C6D" w:rsidRPr="00071861" w:rsidRDefault="003A3C6D" w:rsidP="009D4525">
      <w:pPr>
        <w:snapToGrid w:val="0"/>
        <w:ind w:firstLine="425"/>
        <w:jc w:val="both"/>
        <w:rPr>
          <w:sz w:val="20"/>
          <w:szCs w:val="20"/>
        </w:rPr>
      </w:pPr>
      <w:r w:rsidRPr="00071861">
        <w:rPr>
          <w:sz w:val="20"/>
          <w:szCs w:val="20"/>
        </w:rPr>
        <w:t>H = total height.</w:t>
      </w:r>
    </w:p>
    <w:p w:rsidR="003A3C6D" w:rsidRPr="00071861" w:rsidRDefault="003A3C6D" w:rsidP="009D4525">
      <w:pPr>
        <w:numPr>
          <w:ilvl w:val="0"/>
          <w:numId w:val="7"/>
        </w:numPr>
        <w:suppressAutoHyphens w:val="0"/>
        <w:snapToGrid w:val="0"/>
        <w:ind w:left="0" w:firstLine="425"/>
        <w:jc w:val="both"/>
        <w:rPr>
          <w:sz w:val="20"/>
          <w:szCs w:val="20"/>
        </w:rPr>
      </w:pPr>
      <w:r w:rsidRPr="00071861">
        <w:rPr>
          <w:sz w:val="20"/>
          <w:szCs w:val="20"/>
        </w:rPr>
        <w:t>Tree slenderness Coefficient</w:t>
      </w:r>
    </w:p>
    <w:p w:rsidR="009D4525" w:rsidRPr="00071861" w:rsidRDefault="009D4525" w:rsidP="009D4525">
      <w:pPr>
        <w:snapToGrid w:val="0"/>
        <w:jc w:val="center"/>
        <w:rPr>
          <w:sz w:val="20"/>
          <w:szCs w:val="20"/>
          <w:lang w:eastAsia="zh-CN"/>
        </w:rPr>
      </w:pPr>
      <w:r w:rsidRPr="00071861">
        <w:rPr>
          <w:sz w:val="20"/>
          <w:szCs w:val="20"/>
        </w:rPr>
        <w:object w:dxaOrig="3000" w:dyaOrig="620">
          <v:shape id="_x0000_i1029" type="#_x0000_t75" style="width:217.25pt;height:31.95pt" o:ole="">
            <v:imagedata r:id="rId21" o:title=""/>
          </v:shape>
          <o:OLEObject Type="Embed" ProgID="Equation.3" ShapeID="_x0000_i1029" DrawAspect="Content" ObjectID="_1550782756" r:id="rId22"/>
        </w:object>
      </w:r>
    </w:p>
    <w:p w:rsidR="003A3C6D" w:rsidRPr="00071861" w:rsidRDefault="003A3C6D" w:rsidP="009D4525">
      <w:pPr>
        <w:snapToGrid w:val="0"/>
        <w:jc w:val="center"/>
        <w:rPr>
          <w:sz w:val="20"/>
          <w:szCs w:val="20"/>
        </w:rPr>
      </w:pPr>
      <w:r w:rsidRPr="00071861">
        <w:rPr>
          <w:sz w:val="20"/>
          <w:szCs w:val="20"/>
        </w:rPr>
        <w:t>Stem volume computed as</w:t>
      </w:r>
    </w:p>
    <w:p w:rsidR="009D4525" w:rsidRPr="00071861" w:rsidRDefault="009D4525" w:rsidP="009D4525">
      <w:pPr>
        <w:snapToGrid w:val="0"/>
        <w:jc w:val="center"/>
        <w:rPr>
          <w:sz w:val="20"/>
          <w:szCs w:val="20"/>
          <w:lang w:eastAsia="zh-CN"/>
        </w:rPr>
      </w:pPr>
      <w:r w:rsidRPr="00071861">
        <w:rPr>
          <w:sz w:val="20"/>
          <w:szCs w:val="20"/>
        </w:rPr>
        <w:object w:dxaOrig="3100" w:dyaOrig="620">
          <v:shape id="_x0000_i1030" type="#_x0000_t75" style="width:211pt;height:30.7pt" o:ole="">
            <v:imagedata r:id="rId23" o:title=""/>
          </v:shape>
          <o:OLEObject Type="Embed" ProgID="Equation.3" ShapeID="_x0000_i1030" DrawAspect="Content" ObjectID="_1550782757" r:id="rId24"/>
        </w:object>
      </w:r>
    </w:p>
    <w:p w:rsidR="00B81B76" w:rsidRPr="00071861" w:rsidRDefault="003A3C6D" w:rsidP="009D4525">
      <w:pPr>
        <w:snapToGrid w:val="0"/>
        <w:ind w:firstLine="425"/>
        <w:jc w:val="both"/>
        <w:rPr>
          <w:sz w:val="20"/>
          <w:szCs w:val="20"/>
        </w:rPr>
      </w:pPr>
      <w:r w:rsidRPr="00071861">
        <w:rPr>
          <w:sz w:val="20"/>
          <w:szCs w:val="20"/>
        </w:rPr>
        <w:t>Where V = Stem volume (m</w:t>
      </w:r>
      <w:r w:rsidRPr="00071861">
        <w:rPr>
          <w:sz w:val="20"/>
          <w:szCs w:val="20"/>
          <w:vertAlign w:val="superscript"/>
        </w:rPr>
        <w:t>3</w:t>
      </w:r>
      <w:r w:rsidRPr="00071861">
        <w:rPr>
          <w:sz w:val="20"/>
          <w:szCs w:val="20"/>
        </w:rPr>
        <w:t xml:space="preserve">), h = Merchantable height (m), </w:t>
      </w:r>
      <w:proofErr w:type="spellStart"/>
      <w:r w:rsidRPr="00071861">
        <w:rPr>
          <w:sz w:val="20"/>
          <w:szCs w:val="20"/>
        </w:rPr>
        <w:t>A</w:t>
      </w:r>
      <w:r w:rsidRPr="00071861">
        <w:rPr>
          <w:sz w:val="20"/>
          <w:szCs w:val="20"/>
          <w:vertAlign w:val="subscript"/>
        </w:rPr>
        <w:t>b</w:t>
      </w:r>
      <w:proofErr w:type="spellEnd"/>
      <w:r w:rsidRPr="00071861">
        <w:rPr>
          <w:sz w:val="20"/>
          <w:szCs w:val="20"/>
        </w:rPr>
        <w:t>, A</w:t>
      </w:r>
      <w:r w:rsidRPr="00071861">
        <w:rPr>
          <w:sz w:val="20"/>
          <w:szCs w:val="20"/>
          <w:vertAlign w:val="subscript"/>
        </w:rPr>
        <w:t>m</w:t>
      </w:r>
      <w:r w:rsidRPr="00071861">
        <w:rPr>
          <w:sz w:val="20"/>
          <w:szCs w:val="20"/>
        </w:rPr>
        <w:t>, A</w:t>
      </w:r>
      <w:r w:rsidRPr="00071861">
        <w:rPr>
          <w:sz w:val="20"/>
          <w:szCs w:val="20"/>
          <w:vertAlign w:val="subscript"/>
        </w:rPr>
        <w:t>t</w:t>
      </w:r>
      <w:r w:rsidRPr="00071861">
        <w:rPr>
          <w:sz w:val="20"/>
          <w:szCs w:val="20"/>
        </w:rPr>
        <w:t>,= cross sectional areas at the base, middle and top of the tree respectively (m</w:t>
      </w:r>
      <w:r w:rsidRPr="00071861">
        <w:rPr>
          <w:sz w:val="20"/>
          <w:szCs w:val="20"/>
          <w:vertAlign w:val="superscript"/>
        </w:rPr>
        <w:t>2</w:t>
      </w:r>
      <w:r w:rsidR="00B81B76" w:rsidRPr="00071861">
        <w:rPr>
          <w:sz w:val="20"/>
          <w:szCs w:val="20"/>
        </w:rPr>
        <w:t>).</w:t>
      </w:r>
    </w:p>
    <w:p w:rsidR="003A3C6D" w:rsidRPr="00071861" w:rsidRDefault="003A3C6D" w:rsidP="009D4525">
      <w:pPr>
        <w:snapToGrid w:val="0"/>
        <w:jc w:val="both"/>
        <w:rPr>
          <w:b/>
          <w:sz w:val="20"/>
          <w:szCs w:val="20"/>
        </w:rPr>
      </w:pPr>
      <w:r w:rsidRPr="00071861">
        <w:rPr>
          <w:b/>
          <w:sz w:val="20"/>
          <w:szCs w:val="20"/>
        </w:rPr>
        <w:t>Model description</w:t>
      </w:r>
    </w:p>
    <w:p w:rsidR="003A3C6D" w:rsidRPr="00071861" w:rsidRDefault="003A3C6D" w:rsidP="009D4525">
      <w:pPr>
        <w:snapToGrid w:val="0"/>
        <w:ind w:firstLine="425"/>
        <w:jc w:val="both"/>
        <w:rPr>
          <w:sz w:val="20"/>
          <w:szCs w:val="20"/>
        </w:rPr>
      </w:pPr>
      <w:r w:rsidRPr="00071861">
        <w:rPr>
          <w:sz w:val="20"/>
          <w:szCs w:val="20"/>
        </w:rPr>
        <w:t xml:space="preserve">Regression models were developed for </w:t>
      </w:r>
      <w:proofErr w:type="spellStart"/>
      <w:r w:rsidRPr="00071861">
        <w:rPr>
          <w:sz w:val="20"/>
          <w:szCs w:val="20"/>
        </w:rPr>
        <w:t>Gmelina</w:t>
      </w:r>
      <w:proofErr w:type="spellEnd"/>
      <w:r w:rsidRPr="00071861">
        <w:rPr>
          <w:sz w:val="20"/>
          <w:szCs w:val="20"/>
        </w:rPr>
        <w:t xml:space="preserve"> trees relating carbon sequestered with DBH for each tree. Semi logarithm model, Double logarithm model, Power model, combined variable model, polynomial models </w:t>
      </w:r>
      <w:proofErr w:type="spellStart"/>
      <w:r w:rsidRPr="00071861">
        <w:rPr>
          <w:sz w:val="20"/>
          <w:szCs w:val="20"/>
        </w:rPr>
        <w:t>e.t.c</w:t>
      </w:r>
      <w:proofErr w:type="spellEnd"/>
      <w:r w:rsidRPr="00071861">
        <w:rPr>
          <w:sz w:val="20"/>
          <w:szCs w:val="20"/>
        </w:rPr>
        <w:t xml:space="preserve">. was used in developing the carbon sequestration capacity of </w:t>
      </w:r>
      <w:proofErr w:type="spellStart"/>
      <w:r w:rsidRPr="00071861">
        <w:rPr>
          <w:sz w:val="20"/>
          <w:szCs w:val="20"/>
        </w:rPr>
        <w:t>Gmelina</w:t>
      </w:r>
      <w:proofErr w:type="spellEnd"/>
      <w:r w:rsidRPr="00071861">
        <w:rPr>
          <w:sz w:val="20"/>
          <w:szCs w:val="20"/>
        </w:rPr>
        <w:t xml:space="preserve"> </w:t>
      </w:r>
      <w:proofErr w:type="spellStart"/>
      <w:r w:rsidRPr="00071861">
        <w:rPr>
          <w:sz w:val="20"/>
          <w:szCs w:val="20"/>
        </w:rPr>
        <w:t>arborea</w:t>
      </w:r>
      <w:proofErr w:type="spellEnd"/>
      <w:r w:rsidRPr="00071861">
        <w:rPr>
          <w:sz w:val="20"/>
          <w:szCs w:val="20"/>
        </w:rPr>
        <w:t xml:space="preserve"> stands in </w:t>
      </w:r>
      <w:proofErr w:type="spellStart"/>
      <w:r w:rsidRPr="00071861">
        <w:rPr>
          <w:sz w:val="20"/>
          <w:szCs w:val="20"/>
        </w:rPr>
        <w:t>Omo</w:t>
      </w:r>
      <w:proofErr w:type="spellEnd"/>
      <w:r w:rsidRPr="00071861">
        <w:rPr>
          <w:sz w:val="20"/>
          <w:szCs w:val="20"/>
        </w:rPr>
        <w:t xml:space="preserve"> Forest Reserve. </w:t>
      </w:r>
      <w:proofErr w:type="spellStart"/>
      <w:r w:rsidRPr="00071861">
        <w:rPr>
          <w:sz w:val="20"/>
          <w:szCs w:val="20"/>
        </w:rPr>
        <w:t>SemiLogarithm</w:t>
      </w:r>
      <w:proofErr w:type="spellEnd"/>
      <w:r w:rsidRPr="00071861">
        <w:rPr>
          <w:sz w:val="20"/>
          <w:szCs w:val="20"/>
        </w:rPr>
        <w:t xml:space="preserve"> model,</w:t>
      </w:r>
    </w:p>
    <w:p w:rsidR="003A3C6D" w:rsidRPr="00071861" w:rsidRDefault="003A3C6D" w:rsidP="009D4525">
      <w:pPr>
        <w:snapToGrid w:val="0"/>
        <w:jc w:val="center"/>
        <w:rPr>
          <w:sz w:val="20"/>
          <w:szCs w:val="20"/>
        </w:rPr>
      </w:pPr>
      <w:r w:rsidRPr="00071861">
        <w:rPr>
          <w:sz w:val="20"/>
          <w:szCs w:val="20"/>
        </w:rPr>
        <w:object w:dxaOrig="2580" w:dyaOrig="360">
          <v:shape id="_x0000_i1031" type="#_x0000_t75" style="width:134pt;height:19.4pt" o:ole="">
            <v:imagedata r:id="rId25" o:title=""/>
          </v:shape>
          <o:OLEObject Type="Embed" ProgID="Equation.3" ShapeID="_x0000_i1031" DrawAspect="Content" ObjectID="_1550782758" r:id="rId26"/>
        </w:object>
      </w:r>
    </w:p>
    <w:p w:rsidR="003A3C6D" w:rsidRPr="00071861" w:rsidRDefault="003A3C6D" w:rsidP="009D4525">
      <w:pPr>
        <w:snapToGrid w:val="0"/>
        <w:ind w:firstLine="425"/>
        <w:jc w:val="both"/>
        <w:rPr>
          <w:sz w:val="20"/>
          <w:szCs w:val="20"/>
        </w:rPr>
      </w:pPr>
      <w:proofErr w:type="spellStart"/>
      <w:r w:rsidRPr="00071861">
        <w:rPr>
          <w:sz w:val="20"/>
          <w:szCs w:val="20"/>
        </w:rPr>
        <w:t>Doublelog</w:t>
      </w:r>
      <w:proofErr w:type="spellEnd"/>
      <w:r w:rsidRPr="00071861">
        <w:rPr>
          <w:sz w:val="20"/>
          <w:szCs w:val="20"/>
        </w:rPr>
        <w:object w:dxaOrig="4300" w:dyaOrig="360">
          <v:shape id="_x0000_i1032" type="#_x0000_t75" style="width:214.75pt;height:19.4pt" o:ole="">
            <v:imagedata r:id="rId27" o:title=""/>
          </v:shape>
          <o:OLEObject Type="Embed" ProgID="Equation.3" ShapeID="_x0000_i1032" DrawAspect="Content" ObjectID="_1550782759" r:id="rId28"/>
        </w:object>
      </w:r>
    </w:p>
    <w:p w:rsidR="003A3C6D" w:rsidRPr="00071861" w:rsidRDefault="003A3C6D" w:rsidP="009D4525">
      <w:pPr>
        <w:snapToGrid w:val="0"/>
        <w:ind w:firstLine="425"/>
        <w:jc w:val="both"/>
        <w:rPr>
          <w:sz w:val="20"/>
          <w:szCs w:val="20"/>
        </w:rPr>
      </w:pPr>
      <w:r w:rsidRPr="00071861">
        <w:rPr>
          <w:sz w:val="20"/>
          <w:szCs w:val="20"/>
        </w:rPr>
        <w:t xml:space="preserve">Power, </w:t>
      </w:r>
      <w:r w:rsidRPr="00071861">
        <w:rPr>
          <w:sz w:val="20"/>
          <w:szCs w:val="20"/>
        </w:rPr>
        <w:object w:dxaOrig="2620" w:dyaOrig="380">
          <v:shape id="_x0000_i1033" type="#_x0000_t75" style="width:200.35pt;height:20.05pt" o:ole="">
            <v:imagedata r:id="rId29" o:title=""/>
          </v:shape>
          <o:OLEObject Type="Embed" ProgID="Equation.3" ShapeID="_x0000_i1033" DrawAspect="Content" ObjectID="_1550782760" r:id="rId30"/>
        </w:object>
      </w:r>
    </w:p>
    <w:p w:rsidR="003A3C6D" w:rsidRPr="00071861" w:rsidRDefault="003A3C6D" w:rsidP="009D4525">
      <w:pPr>
        <w:snapToGrid w:val="0"/>
        <w:ind w:firstLine="425"/>
        <w:jc w:val="both"/>
        <w:rPr>
          <w:sz w:val="20"/>
          <w:szCs w:val="20"/>
        </w:rPr>
      </w:pPr>
      <w:proofErr w:type="spellStart"/>
      <w:r w:rsidRPr="00071861">
        <w:rPr>
          <w:sz w:val="20"/>
          <w:szCs w:val="20"/>
        </w:rPr>
        <w:t>Combinedvariable</w:t>
      </w:r>
      <w:proofErr w:type="spellEnd"/>
      <w:r w:rsidRPr="00071861">
        <w:rPr>
          <w:sz w:val="20"/>
          <w:szCs w:val="20"/>
        </w:rPr>
        <w:t>,</w:t>
      </w:r>
      <w:r w:rsidR="009D4525" w:rsidRPr="00071861">
        <w:rPr>
          <w:sz w:val="20"/>
          <w:szCs w:val="20"/>
        </w:rPr>
        <w:t xml:space="preserve"> </w:t>
      </w:r>
      <w:r w:rsidRPr="00071861">
        <w:rPr>
          <w:sz w:val="20"/>
          <w:szCs w:val="20"/>
        </w:rPr>
        <w:object w:dxaOrig="3360" w:dyaOrig="400">
          <v:shape id="_x0000_i1034" type="#_x0000_t75" style="width:218.5pt;height:22.55pt" o:ole="">
            <v:imagedata r:id="rId31" o:title=""/>
          </v:shape>
          <o:OLEObject Type="Embed" ProgID="Equation.3" ShapeID="_x0000_i1034" DrawAspect="Content" ObjectID="_1550782761" r:id="rId32"/>
        </w:object>
      </w:r>
    </w:p>
    <w:p w:rsidR="003A3C6D" w:rsidRPr="00071861" w:rsidRDefault="003A3C6D" w:rsidP="009D4525">
      <w:pPr>
        <w:snapToGrid w:val="0"/>
        <w:ind w:firstLine="425"/>
        <w:jc w:val="both"/>
        <w:rPr>
          <w:sz w:val="20"/>
          <w:szCs w:val="20"/>
        </w:rPr>
      </w:pPr>
      <w:r w:rsidRPr="00071861">
        <w:rPr>
          <w:sz w:val="20"/>
          <w:szCs w:val="20"/>
        </w:rPr>
        <w:t xml:space="preserve">Polynomial </w:t>
      </w:r>
      <w:r w:rsidR="009D4525" w:rsidRPr="00071861">
        <w:rPr>
          <w:sz w:val="20"/>
          <w:szCs w:val="20"/>
        </w:rPr>
        <w:object w:dxaOrig="4160" w:dyaOrig="400">
          <v:shape id="_x0000_i1035" type="#_x0000_t75" style="width:209.1pt;height:21.9pt" o:ole="">
            <v:imagedata r:id="rId33" o:title=""/>
          </v:shape>
          <o:OLEObject Type="Embed" ProgID="Equation.3" ShapeID="_x0000_i1035" DrawAspect="Content" ObjectID="_1550782762" r:id="rId34"/>
        </w:object>
      </w:r>
    </w:p>
    <w:p w:rsidR="003A3C6D" w:rsidRPr="00071861" w:rsidRDefault="003A3C6D" w:rsidP="009D4525">
      <w:pPr>
        <w:snapToGrid w:val="0"/>
        <w:ind w:firstLine="425"/>
        <w:jc w:val="both"/>
        <w:rPr>
          <w:sz w:val="20"/>
          <w:szCs w:val="20"/>
        </w:rPr>
      </w:pPr>
      <w:r w:rsidRPr="00071861">
        <w:rPr>
          <w:sz w:val="20"/>
          <w:szCs w:val="20"/>
        </w:rPr>
        <w:lastRenderedPageBreak/>
        <w:t>Where C = Carbon sequestration capacity</w:t>
      </w:r>
    </w:p>
    <w:p w:rsidR="003A3C6D" w:rsidRPr="00071861" w:rsidRDefault="003A3C6D" w:rsidP="009D4525">
      <w:pPr>
        <w:snapToGrid w:val="0"/>
        <w:ind w:firstLine="425"/>
        <w:jc w:val="both"/>
        <w:rPr>
          <w:sz w:val="20"/>
          <w:szCs w:val="20"/>
        </w:rPr>
      </w:pPr>
      <w:r w:rsidRPr="00071861">
        <w:rPr>
          <w:sz w:val="20"/>
          <w:szCs w:val="20"/>
        </w:rPr>
        <w:t xml:space="preserve">X = Tree growth variables such as </w:t>
      </w:r>
      <w:proofErr w:type="spellStart"/>
      <w:r w:rsidRPr="00071861">
        <w:rPr>
          <w:sz w:val="20"/>
          <w:szCs w:val="20"/>
        </w:rPr>
        <w:t>Dbh</w:t>
      </w:r>
      <w:proofErr w:type="spellEnd"/>
      <w:r w:rsidRPr="00071861">
        <w:rPr>
          <w:sz w:val="20"/>
          <w:szCs w:val="20"/>
        </w:rPr>
        <w:t xml:space="preserve">, height, crown diameter, crown length, volume, age, stand density, Basal area </w:t>
      </w:r>
      <w:proofErr w:type="spellStart"/>
      <w:r w:rsidRPr="00071861">
        <w:rPr>
          <w:sz w:val="20"/>
          <w:szCs w:val="20"/>
        </w:rPr>
        <w:t>e.t.c</w:t>
      </w:r>
      <w:proofErr w:type="spellEnd"/>
    </w:p>
    <w:p w:rsidR="003A3C6D" w:rsidRPr="00071861" w:rsidRDefault="003A3C6D" w:rsidP="009D4525">
      <w:pPr>
        <w:snapToGrid w:val="0"/>
        <w:ind w:firstLine="425"/>
        <w:jc w:val="both"/>
        <w:rPr>
          <w:sz w:val="20"/>
          <w:szCs w:val="20"/>
        </w:rPr>
      </w:pPr>
      <w:r w:rsidRPr="00071861">
        <w:rPr>
          <w:sz w:val="20"/>
          <w:szCs w:val="20"/>
        </w:rPr>
        <w:t>a</w:t>
      </w:r>
      <w:r w:rsidR="00B81B76" w:rsidRPr="00071861">
        <w:rPr>
          <w:sz w:val="20"/>
          <w:szCs w:val="20"/>
        </w:rPr>
        <w:t>, b</w:t>
      </w:r>
      <w:r w:rsidRPr="00071861">
        <w:rPr>
          <w:sz w:val="20"/>
          <w:szCs w:val="20"/>
        </w:rPr>
        <w:t xml:space="preserve"> = Regression parameters</w:t>
      </w:r>
    </w:p>
    <w:p w:rsidR="003A3C6D" w:rsidRPr="00071861" w:rsidRDefault="003A3C6D" w:rsidP="009D4525">
      <w:pPr>
        <w:snapToGrid w:val="0"/>
        <w:jc w:val="both"/>
        <w:rPr>
          <w:b/>
          <w:sz w:val="20"/>
          <w:szCs w:val="20"/>
        </w:rPr>
      </w:pPr>
      <w:r w:rsidRPr="00071861">
        <w:rPr>
          <w:b/>
          <w:sz w:val="20"/>
          <w:szCs w:val="20"/>
        </w:rPr>
        <w:t>Model evaluation</w:t>
      </w:r>
    </w:p>
    <w:p w:rsidR="003A3C6D" w:rsidRPr="00071861" w:rsidRDefault="003A3C6D" w:rsidP="009D4525">
      <w:pPr>
        <w:snapToGrid w:val="0"/>
        <w:ind w:firstLine="425"/>
        <w:jc w:val="both"/>
        <w:rPr>
          <w:sz w:val="20"/>
          <w:szCs w:val="20"/>
        </w:rPr>
      </w:pPr>
      <w:r w:rsidRPr="00071861">
        <w:rPr>
          <w:sz w:val="20"/>
          <w:szCs w:val="20"/>
        </w:rPr>
        <w:t>The model formulated was evaluated with a view of selecting the best estimator for carbon sequestration. The evaluation was based on the following criteria:</w:t>
      </w:r>
    </w:p>
    <w:p w:rsidR="003A3C6D" w:rsidRPr="00071861" w:rsidRDefault="003A3C6D" w:rsidP="009D4525">
      <w:pPr>
        <w:pStyle w:val="ListParagraph"/>
        <w:numPr>
          <w:ilvl w:val="0"/>
          <w:numId w:val="6"/>
        </w:numPr>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Coefficient of determination (R</w:t>
      </w:r>
      <w:r w:rsidRPr="00071861">
        <w:rPr>
          <w:rFonts w:ascii="Times New Roman" w:hAnsi="Times New Roman"/>
          <w:sz w:val="20"/>
          <w:szCs w:val="20"/>
          <w:vertAlign w:val="superscript"/>
        </w:rPr>
        <w:t>2</w:t>
      </w:r>
      <w:r w:rsidRPr="00071861">
        <w:rPr>
          <w:rFonts w:ascii="Times New Roman" w:hAnsi="Times New Roman"/>
          <w:sz w:val="20"/>
          <w:szCs w:val="20"/>
        </w:rPr>
        <w:t>)</w:t>
      </w:r>
    </w:p>
    <w:p w:rsidR="003A3C6D" w:rsidRPr="00071861" w:rsidRDefault="003A3C6D" w:rsidP="009D4525">
      <w:pPr>
        <w:pStyle w:val="ListParagraph"/>
        <w:snapToGrid w:val="0"/>
        <w:spacing w:after="0" w:line="240" w:lineRule="auto"/>
        <w:ind w:left="0"/>
        <w:jc w:val="center"/>
        <w:rPr>
          <w:rFonts w:ascii="Times New Roman" w:hAnsi="Times New Roman"/>
          <w:sz w:val="20"/>
          <w:szCs w:val="20"/>
        </w:rPr>
      </w:pPr>
      <w:r w:rsidRPr="00071861">
        <w:rPr>
          <w:rFonts w:ascii="Times New Roman" w:hAnsi="Times New Roman"/>
          <w:sz w:val="20"/>
          <w:szCs w:val="20"/>
        </w:rPr>
        <w:object w:dxaOrig="2980" w:dyaOrig="680">
          <v:shape id="_x0000_i1036" type="#_x0000_t75" style="width:163.4pt;height:36.3pt" o:ole="">
            <v:imagedata r:id="rId35" o:title=""/>
          </v:shape>
          <o:OLEObject Type="Embed" ProgID="Equation.3" ShapeID="_x0000_i1036" DrawAspect="Content" ObjectID="_1550782763" r:id="rId36"/>
        </w:object>
      </w:r>
    </w:p>
    <w:p w:rsidR="003A3C6D" w:rsidRPr="00071861" w:rsidRDefault="003A3C6D" w:rsidP="009D4525">
      <w:pPr>
        <w:pStyle w:val="ListParagraph"/>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Where R2 = Coefficient of determination</w:t>
      </w:r>
    </w:p>
    <w:p w:rsidR="003A3C6D" w:rsidRPr="00071861" w:rsidRDefault="003A3C6D" w:rsidP="009D4525">
      <w:pPr>
        <w:pStyle w:val="ListParagraph"/>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RSS = Residual Sum of Square</w:t>
      </w:r>
    </w:p>
    <w:p w:rsidR="003A3C6D" w:rsidRPr="00071861" w:rsidRDefault="003A3C6D" w:rsidP="009D4525">
      <w:pPr>
        <w:pStyle w:val="ListParagraph"/>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TSS = Total Sum of Square</w:t>
      </w:r>
    </w:p>
    <w:p w:rsidR="003A3C6D" w:rsidRPr="00071861" w:rsidRDefault="003A3C6D" w:rsidP="009D4525">
      <w:pPr>
        <w:pStyle w:val="ListParagraph"/>
        <w:numPr>
          <w:ilvl w:val="0"/>
          <w:numId w:val="6"/>
        </w:numPr>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Standard Error of Estimate (SEE)</w:t>
      </w:r>
    </w:p>
    <w:p w:rsidR="003A3C6D" w:rsidRPr="00071861" w:rsidRDefault="003A3C6D" w:rsidP="009D4525">
      <w:pPr>
        <w:pStyle w:val="ListParagraph"/>
        <w:snapToGrid w:val="0"/>
        <w:spacing w:after="0" w:line="240" w:lineRule="auto"/>
        <w:ind w:left="0"/>
        <w:jc w:val="center"/>
        <w:rPr>
          <w:rFonts w:ascii="Times New Roman" w:hAnsi="Times New Roman"/>
          <w:sz w:val="20"/>
          <w:szCs w:val="20"/>
        </w:rPr>
      </w:pPr>
      <w:r w:rsidRPr="00071861">
        <w:rPr>
          <w:rFonts w:ascii="Times New Roman" w:hAnsi="Times New Roman"/>
          <w:sz w:val="20"/>
          <w:szCs w:val="20"/>
        </w:rPr>
        <w:object w:dxaOrig="2820" w:dyaOrig="380">
          <v:shape id="_x0000_i1037" type="#_x0000_t75" style="width:160.3pt;height:20.05pt" o:ole="">
            <v:imagedata r:id="rId37" o:title=""/>
          </v:shape>
          <o:OLEObject Type="Embed" ProgID="Equation.3" ShapeID="_x0000_i1037" DrawAspect="Content" ObjectID="_1550782764" r:id="rId38"/>
        </w:object>
      </w:r>
    </w:p>
    <w:p w:rsidR="003A3C6D" w:rsidRPr="00071861" w:rsidRDefault="003A3C6D" w:rsidP="009D4525">
      <w:pPr>
        <w:pStyle w:val="ListParagraph"/>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Where SEE = Standard Error of Estimate</w:t>
      </w:r>
    </w:p>
    <w:p w:rsidR="003A3C6D" w:rsidRPr="00071861" w:rsidRDefault="003A3C6D" w:rsidP="009D4525">
      <w:pPr>
        <w:pStyle w:val="ListParagraph"/>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MSE = Mean Square Error</w:t>
      </w:r>
    </w:p>
    <w:p w:rsidR="003A3C6D" w:rsidRPr="00071861" w:rsidRDefault="003A3C6D" w:rsidP="009D4525">
      <w:pPr>
        <w:pStyle w:val="ListParagraph"/>
        <w:numPr>
          <w:ilvl w:val="0"/>
          <w:numId w:val="6"/>
        </w:numPr>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lastRenderedPageBreak/>
        <w:t>Significance of the overall regression equation (F-ratio)</w:t>
      </w:r>
    </w:p>
    <w:p w:rsidR="003A3C6D" w:rsidRPr="00071861" w:rsidRDefault="003A3C6D" w:rsidP="009D4525">
      <w:pPr>
        <w:pStyle w:val="ListParagraph"/>
        <w:numPr>
          <w:ilvl w:val="0"/>
          <w:numId w:val="6"/>
        </w:numPr>
        <w:snapToGrid w:val="0"/>
        <w:spacing w:after="0" w:line="240" w:lineRule="auto"/>
        <w:ind w:left="0" w:firstLine="425"/>
        <w:jc w:val="both"/>
        <w:rPr>
          <w:rFonts w:ascii="Times New Roman" w:hAnsi="Times New Roman"/>
          <w:sz w:val="20"/>
          <w:szCs w:val="20"/>
        </w:rPr>
      </w:pPr>
      <w:r w:rsidRPr="00071861">
        <w:rPr>
          <w:rFonts w:ascii="Times New Roman" w:hAnsi="Times New Roman"/>
          <w:sz w:val="20"/>
          <w:szCs w:val="20"/>
        </w:rPr>
        <w:t>Significance of regression coefficient</w:t>
      </w:r>
    </w:p>
    <w:p w:rsidR="003A3C6D" w:rsidRPr="00071861" w:rsidRDefault="003A3C6D" w:rsidP="009D4525">
      <w:pPr>
        <w:pStyle w:val="ListParagraph"/>
        <w:numPr>
          <w:ilvl w:val="0"/>
          <w:numId w:val="6"/>
        </w:numPr>
        <w:snapToGrid w:val="0"/>
        <w:spacing w:after="0" w:line="240" w:lineRule="auto"/>
        <w:ind w:left="0" w:firstLine="425"/>
        <w:jc w:val="both"/>
        <w:rPr>
          <w:rFonts w:ascii="Times New Roman" w:hAnsi="Times New Roman"/>
          <w:sz w:val="20"/>
          <w:szCs w:val="20"/>
        </w:rPr>
      </w:pPr>
      <w:proofErr w:type="spellStart"/>
      <w:r w:rsidRPr="00071861">
        <w:rPr>
          <w:rFonts w:ascii="Times New Roman" w:hAnsi="Times New Roman"/>
          <w:sz w:val="20"/>
          <w:szCs w:val="20"/>
        </w:rPr>
        <w:t>Akiakes</w:t>
      </w:r>
      <w:proofErr w:type="spellEnd"/>
      <w:r w:rsidRPr="00071861">
        <w:rPr>
          <w:rFonts w:ascii="Times New Roman" w:hAnsi="Times New Roman"/>
          <w:sz w:val="20"/>
          <w:szCs w:val="20"/>
        </w:rPr>
        <w:t xml:space="preserve"> Information Criteria (AIC)</w:t>
      </w:r>
    </w:p>
    <w:p w:rsidR="003A3C6D" w:rsidRPr="00071861" w:rsidRDefault="003A3C6D" w:rsidP="009D4525">
      <w:pPr>
        <w:snapToGrid w:val="0"/>
        <w:jc w:val="center"/>
        <w:rPr>
          <w:sz w:val="20"/>
          <w:szCs w:val="20"/>
        </w:rPr>
      </w:pPr>
      <w:r w:rsidRPr="00071861">
        <w:rPr>
          <w:sz w:val="20"/>
          <w:szCs w:val="20"/>
        </w:rPr>
        <w:object w:dxaOrig="3860" w:dyaOrig="680">
          <v:shape id="_x0000_i1038" type="#_x0000_t75" style="width:163.4pt;height:36.3pt" o:ole="">
            <v:imagedata r:id="rId39" o:title=""/>
          </v:shape>
          <o:OLEObject Type="Embed" ProgID="Equation.3" ShapeID="_x0000_i1038" DrawAspect="Content" ObjectID="_1550782765" r:id="rId40"/>
        </w:object>
      </w:r>
    </w:p>
    <w:p w:rsidR="003A3C6D" w:rsidRPr="00071861" w:rsidRDefault="003A3C6D" w:rsidP="009D4525">
      <w:pPr>
        <w:snapToGrid w:val="0"/>
        <w:ind w:firstLine="425"/>
        <w:jc w:val="both"/>
        <w:rPr>
          <w:sz w:val="20"/>
          <w:szCs w:val="20"/>
        </w:rPr>
      </w:pPr>
      <w:r w:rsidRPr="00071861">
        <w:rPr>
          <w:sz w:val="20"/>
          <w:szCs w:val="20"/>
        </w:rPr>
        <w:t xml:space="preserve">Where AIC = </w:t>
      </w:r>
      <w:proofErr w:type="spellStart"/>
      <w:r w:rsidRPr="00071861">
        <w:rPr>
          <w:sz w:val="20"/>
          <w:szCs w:val="20"/>
        </w:rPr>
        <w:t>Akiakes</w:t>
      </w:r>
      <w:proofErr w:type="spellEnd"/>
      <w:r w:rsidRPr="00071861">
        <w:rPr>
          <w:sz w:val="20"/>
          <w:szCs w:val="20"/>
        </w:rPr>
        <w:t xml:space="preserve"> Information Criteria</w:t>
      </w:r>
    </w:p>
    <w:p w:rsidR="003A3C6D" w:rsidRPr="00071861" w:rsidRDefault="003A3C6D" w:rsidP="009D4525">
      <w:pPr>
        <w:snapToGrid w:val="0"/>
        <w:ind w:firstLine="425"/>
        <w:jc w:val="both"/>
        <w:rPr>
          <w:sz w:val="20"/>
          <w:szCs w:val="20"/>
        </w:rPr>
      </w:pPr>
      <w:r w:rsidRPr="00071861">
        <w:rPr>
          <w:sz w:val="20"/>
          <w:szCs w:val="20"/>
        </w:rPr>
        <w:t>N = Number of data points</w:t>
      </w:r>
    </w:p>
    <w:p w:rsidR="003A3C6D" w:rsidRPr="00071861" w:rsidRDefault="003A3C6D" w:rsidP="009D4525">
      <w:pPr>
        <w:snapToGrid w:val="0"/>
        <w:ind w:firstLine="425"/>
        <w:jc w:val="both"/>
        <w:rPr>
          <w:sz w:val="20"/>
          <w:szCs w:val="20"/>
        </w:rPr>
      </w:pPr>
      <w:r w:rsidRPr="00071861">
        <w:rPr>
          <w:sz w:val="20"/>
          <w:szCs w:val="20"/>
        </w:rPr>
        <w:t>SS = Sum of Squares Error</w:t>
      </w:r>
    </w:p>
    <w:p w:rsidR="003A3C6D" w:rsidRPr="00071861" w:rsidRDefault="003A3C6D" w:rsidP="009D4525">
      <w:pPr>
        <w:snapToGrid w:val="0"/>
        <w:ind w:firstLine="425"/>
        <w:jc w:val="both"/>
        <w:rPr>
          <w:sz w:val="20"/>
          <w:szCs w:val="20"/>
        </w:rPr>
      </w:pPr>
      <w:r w:rsidRPr="00071861">
        <w:rPr>
          <w:sz w:val="20"/>
          <w:szCs w:val="20"/>
        </w:rPr>
        <w:t>K = Number of Parameter plus 1</w:t>
      </w:r>
    </w:p>
    <w:p w:rsidR="003A3C6D" w:rsidRPr="00071861" w:rsidRDefault="003A3C6D" w:rsidP="009D4525">
      <w:pPr>
        <w:snapToGrid w:val="0"/>
        <w:ind w:firstLine="425"/>
        <w:jc w:val="both"/>
        <w:rPr>
          <w:sz w:val="20"/>
          <w:szCs w:val="20"/>
        </w:rPr>
      </w:pPr>
      <w:r w:rsidRPr="00071861">
        <w:rPr>
          <w:sz w:val="20"/>
          <w:szCs w:val="20"/>
        </w:rPr>
        <w:t>A model with higher R</w:t>
      </w:r>
      <w:r w:rsidRPr="00071861">
        <w:rPr>
          <w:sz w:val="20"/>
          <w:szCs w:val="20"/>
          <w:vertAlign w:val="superscript"/>
        </w:rPr>
        <w:t>2</w:t>
      </w:r>
      <w:r w:rsidRPr="00071861">
        <w:rPr>
          <w:sz w:val="20"/>
          <w:szCs w:val="20"/>
        </w:rPr>
        <w:t>, least SEE, least AIC and significant overall regression as well as significant regression coefficient was selected as the suitable model for carbon sequestration.</w:t>
      </w:r>
    </w:p>
    <w:p w:rsidR="009D4525" w:rsidRPr="00071861" w:rsidRDefault="009D4525" w:rsidP="009D4525">
      <w:pPr>
        <w:snapToGrid w:val="0"/>
        <w:jc w:val="both"/>
        <w:rPr>
          <w:b/>
          <w:sz w:val="20"/>
          <w:szCs w:val="20"/>
          <w:lang w:eastAsia="zh-CN"/>
        </w:rPr>
      </w:pPr>
    </w:p>
    <w:p w:rsidR="00471E57" w:rsidRPr="00071861" w:rsidRDefault="00471E57" w:rsidP="009D4525">
      <w:pPr>
        <w:snapToGrid w:val="0"/>
        <w:jc w:val="both"/>
        <w:rPr>
          <w:b/>
          <w:sz w:val="20"/>
          <w:szCs w:val="20"/>
        </w:rPr>
      </w:pPr>
      <w:r w:rsidRPr="00071861">
        <w:rPr>
          <w:b/>
          <w:sz w:val="20"/>
          <w:szCs w:val="20"/>
        </w:rPr>
        <w:t>3. Results</w:t>
      </w:r>
    </w:p>
    <w:p w:rsidR="00B74F7D" w:rsidRPr="00071861" w:rsidRDefault="00B74F7D" w:rsidP="009D4525">
      <w:pPr>
        <w:autoSpaceDE w:val="0"/>
        <w:autoSpaceDN w:val="0"/>
        <w:adjustRightInd w:val="0"/>
        <w:snapToGrid w:val="0"/>
        <w:jc w:val="both"/>
        <w:rPr>
          <w:b/>
          <w:sz w:val="20"/>
          <w:szCs w:val="20"/>
          <w:lang w:eastAsia="en-GB"/>
        </w:rPr>
      </w:pPr>
      <w:r w:rsidRPr="00071861">
        <w:rPr>
          <w:b/>
          <w:sz w:val="20"/>
          <w:szCs w:val="20"/>
          <w:lang w:eastAsia="en-GB"/>
        </w:rPr>
        <w:t>Data summary</w:t>
      </w:r>
    </w:p>
    <w:p w:rsidR="00B74F7D" w:rsidRPr="00071861" w:rsidRDefault="00B74F7D" w:rsidP="009D4525">
      <w:pPr>
        <w:autoSpaceDE w:val="0"/>
        <w:autoSpaceDN w:val="0"/>
        <w:adjustRightInd w:val="0"/>
        <w:snapToGrid w:val="0"/>
        <w:ind w:firstLine="425"/>
        <w:jc w:val="both"/>
        <w:rPr>
          <w:sz w:val="20"/>
          <w:szCs w:val="20"/>
          <w:lang w:eastAsia="en-GB"/>
        </w:rPr>
      </w:pPr>
      <w:r w:rsidRPr="00071861">
        <w:rPr>
          <w:sz w:val="20"/>
          <w:szCs w:val="20"/>
          <w:lang w:eastAsia="en-GB"/>
        </w:rPr>
        <w:t>The model fitting data set covered a wide range. The mean, maximum, minimum and standard deviation of the main measured variables and other derived variables are presented in Table 1 below.</w:t>
      </w:r>
    </w:p>
    <w:p w:rsidR="009D4525" w:rsidRPr="00071861" w:rsidRDefault="009D4525" w:rsidP="009D4525">
      <w:pPr>
        <w:snapToGrid w:val="0"/>
        <w:ind w:firstLine="425"/>
        <w:jc w:val="both"/>
        <w:rPr>
          <w:sz w:val="20"/>
          <w:szCs w:val="20"/>
        </w:rPr>
        <w:sectPr w:rsidR="009D4525" w:rsidRPr="00071861" w:rsidSect="009D4525">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600"/>
          <w:docGrid w:linePitch="360"/>
        </w:sectPr>
      </w:pPr>
    </w:p>
    <w:p w:rsidR="008233D0" w:rsidRPr="00071861" w:rsidRDefault="008233D0" w:rsidP="009D4525">
      <w:pPr>
        <w:snapToGrid w:val="0"/>
        <w:jc w:val="center"/>
        <w:rPr>
          <w:sz w:val="20"/>
          <w:szCs w:val="20"/>
          <w:lang w:eastAsia="zh-CN"/>
        </w:rPr>
      </w:pPr>
    </w:p>
    <w:p w:rsidR="00B74F7D" w:rsidRPr="00071861" w:rsidRDefault="00B74F7D" w:rsidP="009D4525">
      <w:pPr>
        <w:snapToGrid w:val="0"/>
        <w:jc w:val="both"/>
        <w:rPr>
          <w:b/>
          <w:sz w:val="20"/>
          <w:szCs w:val="20"/>
        </w:rPr>
      </w:pPr>
      <w:r w:rsidRPr="00071861">
        <w:rPr>
          <w:b/>
          <w:sz w:val="20"/>
          <w:szCs w:val="20"/>
        </w:rPr>
        <w:t>Table 1: Characterization of the individual tree variables used for the development of the Carbon sequestration model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105"/>
        <w:gridCol w:w="1153"/>
        <w:gridCol w:w="1004"/>
        <w:gridCol w:w="735"/>
        <w:gridCol w:w="981"/>
        <w:gridCol w:w="1752"/>
        <w:gridCol w:w="1448"/>
      </w:tblGrid>
      <w:tr w:rsidR="00B74F7D" w:rsidRPr="00071861" w:rsidTr="00071861">
        <w:trPr>
          <w:jc w:val="center"/>
        </w:trPr>
        <w:tc>
          <w:tcPr>
            <w:tcW w:w="730" w:type="pct"/>
            <w:vAlign w:val="center"/>
          </w:tcPr>
          <w:p w:rsidR="00B74F7D" w:rsidRPr="00071861" w:rsidRDefault="00B74F7D" w:rsidP="009D4525">
            <w:pPr>
              <w:snapToGrid w:val="0"/>
              <w:jc w:val="both"/>
              <w:rPr>
                <w:b/>
                <w:color w:val="000000"/>
                <w:sz w:val="20"/>
                <w:szCs w:val="20"/>
              </w:rPr>
            </w:pPr>
            <w:r w:rsidRPr="00071861">
              <w:rPr>
                <w:b/>
                <w:color w:val="000000"/>
                <w:sz w:val="20"/>
                <w:szCs w:val="20"/>
              </w:rPr>
              <w:t>Statistic</w:t>
            </w:r>
          </w:p>
        </w:tc>
        <w:tc>
          <w:tcPr>
            <w:tcW w:w="577"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DBH (m)</w:t>
            </w:r>
          </w:p>
        </w:tc>
        <w:tc>
          <w:tcPr>
            <w:tcW w:w="602"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MTH (m)</w:t>
            </w:r>
          </w:p>
        </w:tc>
        <w:tc>
          <w:tcPr>
            <w:tcW w:w="524"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BA (m</w:t>
            </w:r>
            <w:r w:rsidRPr="00071861">
              <w:rPr>
                <w:b/>
                <w:bCs/>
                <w:color w:val="000000"/>
                <w:sz w:val="20"/>
                <w:szCs w:val="20"/>
                <w:vertAlign w:val="superscript"/>
              </w:rPr>
              <w:t>2</w:t>
            </w:r>
            <w:r w:rsidRPr="00071861">
              <w:rPr>
                <w:b/>
                <w:bCs/>
                <w:color w:val="000000"/>
                <w:sz w:val="20"/>
                <w:szCs w:val="20"/>
              </w:rPr>
              <w:t>)</w:t>
            </w:r>
          </w:p>
        </w:tc>
        <w:tc>
          <w:tcPr>
            <w:tcW w:w="384"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TSC</w:t>
            </w:r>
          </w:p>
        </w:tc>
        <w:tc>
          <w:tcPr>
            <w:tcW w:w="512"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SV (m</w:t>
            </w:r>
            <w:r w:rsidRPr="00071861">
              <w:rPr>
                <w:b/>
                <w:bCs/>
                <w:color w:val="000000"/>
                <w:sz w:val="20"/>
                <w:szCs w:val="20"/>
                <w:vertAlign w:val="superscript"/>
              </w:rPr>
              <w:t>3</w:t>
            </w:r>
            <w:r w:rsidRPr="00071861">
              <w:rPr>
                <w:b/>
                <w:bCs/>
                <w:color w:val="000000"/>
                <w:sz w:val="20"/>
                <w:szCs w:val="20"/>
              </w:rPr>
              <w:t>)</w:t>
            </w:r>
          </w:p>
        </w:tc>
        <w:tc>
          <w:tcPr>
            <w:tcW w:w="915"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Density (Kg/m</w:t>
            </w:r>
            <w:r w:rsidRPr="00071861">
              <w:rPr>
                <w:b/>
                <w:bCs/>
                <w:color w:val="000000"/>
                <w:sz w:val="20"/>
                <w:szCs w:val="20"/>
                <w:vertAlign w:val="superscript"/>
              </w:rPr>
              <w:t>3</w:t>
            </w:r>
            <w:r w:rsidRPr="00071861">
              <w:rPr>
                <w:b/>
                <w:bCs/>
                <w:color w:val="000000"/>
                <w:sz w:val="20"/>
                <w:szCs w:val="20"/>
              </w:rPr>
              <w:t>)</w:t>
            </w:r>
          </w:p>
        </w:tc>
        <w:tc>
          <w:tcPr>
            <w:tcW w:w="756" w:type="pct"/>
            <w:vAlign w:val="center"/>
          </w:tcPr>
          <w:p w:rsidR="00B74F7D" w:rsidRPr="00071861" w:rsidRDefault="00B74F7D" w:rsidP="009D4525">
            <w:pPr>
              <w:snapToGrid w:val="0"/>
              <w:jc w:val="both"/>
              <w:rPr>
                <w:b/>
                <w:bCs/>
                <w:color w:val="000000"/>
                <w:sz w:val="20"/>
                <w:szCs w:val="20"/>
              </w:rPr>
            </w:pPr>
            <w:r w:rsidRPr="00071861">
              <w:rPr>
                <w:b/>
                <w:bCs/>
                <w:color w:val="000000"/>
                <w:sz w:val="20"/>
                <w:szCs w:val="20"/>
              </w:rPr>
              <w:t>Carbon (Kg)</w:t>
            </w:r>
          </w:p>
        </w:tc>
      </w:tr>
      <w:tr w:rsidR="00B74F7D" w:rsidRPr="00071861" w:rsidTr="00071861">
        <w:trPr>
          <w:jc w:val="center"/>
        </w:trPr>
        <w:tc>
          <w:tcPr>
            <w:tcW w:w="730" w:type="pct"/>
            <w:vAlign w:val="center"/>
          </w:tcPr>
          <w:p w:rsidR="00B74F7D" w:rsidRPr="00071861" w:rsidRDefault="00B74F7D" w:rsidP="009D4525">
            <w:pPr>
              <w:snapToGrid w:val="0"/>
              <w:jc w:val="both"/>
              <w:rPr>
                <w:color w:val="000000"/>
                <w:sz w:val="20"/>
                <w:szCs w:val="20"/>
              </w:rPr>
            </w:pPr>
            <w:r w:rsidRPr="00071861">
              <w:rPr>
                <w:color w:val="000000"/>
                <w:sz w:val="20"/>
                <w:szCs w:val="20"/>
              </w:rPr>
              <w:t>Average</w:t>
            </w:r>
          </w:p>
          <w:p w:rsidR="00B74F7D" w:rsidRPr="00071861" w:rsidRDefault="00B74F7D" w:rsidP="009D4525">
            <w:pPr>
              <w:snapToGrid w:val="0"/>
              <w:jc w:val="both"/>
              <w:rPr>
                <w:color w:val="000000"/>
                <w:sz w:val="20"/>
                <w:szCs w:val="20"/>
              </w:rPr>
            </w:pPr>
            <w:r w:rsidRPr="00071861">
              <w:rPr>
                <w:color w:val="000000"/>
                <w:sz w:val="20"/>
                <w:szCs w:val="20"/>
              </w:rPr>
              <w:t>Min</w:t>
            </w:r>
          </w:p>
          <w:p w:rsidR="00B74F7D" w:rsidRPr="00071861" w:rsidRDefault="00B74F7D" w:rsidP="009D4525">
            <w:pPr>
              <w:snapToGrid w:val="0"/>
              <w:jc w:val="both"/>
              <w:rPr>
                <w:color w:val="000000"/>
                <w:sz w:val="20"/>
                <w:szCs w:val="20"/>
              </w:rPr>
            </w:pPr>
            <w:r w:rsidRPr="00071861">
              <w:rPr>
                <w:color w:val="000000"/>
                <w:sz w:val="20"/>
                <w:szCs w:val="20"/>
              </w:rPr>
              <w:t>Max</w:t>
            </w:r>
          </w:p>
          <w:p w:rsidR="00B74F7D" w:rsidRPr="00071861" w:rsidRDefault="00B74F7D" w:rsidP="009D4525">
            <w:pPr>
              <w:snapToGrid w:val="0"/>
              <w:jc w:val="both"/>
              <w:rPr>
                <w:color w:val="000000"/>
                <w:sz w:val="20"/>
                <w:szCs w:val="20"/>
              </w:rPr>
            </w:pPr>
            <w:r w:rsidRPr="00071861">
              <w:rPr>
                <w:color w:val="000000"/>
                <w:sz w:val="20"/>
                <w:szCs w:val="20"/>
              </w:rPr>
              <w:t>Standard dev</w:t>
            </w:r>
          </w:p>
        </w:tc>
        <w:tc>
          <w:tcPr>
            <w:tcW w:w="577" w:type="pct"/>
            <w:vAlign w:val="center"/>
          </w:tcPr>
          <w:p w:rsidR="00B74F7D" w:rsidRPr="00071861" w:rsidRDefault="00B74F7D" w:rsidP="009D4525">
            <w:pPr>
              <w:snapToGrid w:val="0"/>
              <w:jc w:val="both"/>
              <w:rPr>
                <w:color w:val="000000"/>
                <w:sz w:val="20"/>
                <w:szCs w:val="20"/>
              </w:rPr>
            </w:pPr>
            <w:r w:rsidRPr="00071861">
              <w:rPr>
                <w:color w:val="000000"/>
                <w:sz w:val="20"/>
                <w:szCs w:val="20"/>
              </w:rPr>
              <w:t>0.85</w:t>
            </w:r>
          </w:p>
          <w:p w:rsidR="00B74F7D" w:rsidRPr="00071861" w:rsidRDefault="00B74F7D" w:rsidP="009D4525">
            <w:pPr>
              <w:snapToGrid w:val="0"/>
              <w:jc w:val="both"/>
              <w:rPr>
                <w:color w:val="000000"/>
                <w:sz w:val="20"/>
                <w:szCs w:val="20"/>
              </w:rPr>
            </w:pPr>
            <w:r w:rsidRPr="00071861">
              <w:rPr>
                <w:color w:val="000000"/>
                <w:sz w:val="20"/>
                <w:szCs w:val="20"/>
              </w:rPr>
              <w:t>0.38</w:t>
            </w:r>
          </w:p>
          <w:p w:rsidR="00B74F7D" w:rsidRPr="00071861" w:rsidRDefault="00B74F7D" w:rsidP="009D4525">
            <w:pPr>
              <w:snapToGrid w:val="0"/>
              <w:jc w:val="both"/>
              <w:rPr>
                <w:color w:val="000000"/>
                <w:sz w:val="20"/>
                <w:szCs w:val="20"/>
              </w:rPr>
            </w:pPr>
            <w:r w:rsidRPr="00071861">
              <w:rPr>
                <w:color w:val="000000"/>
                <w:sz w:val="20"/>
                <w:szCs w:val="20"/>
              </w:rPr>
              <w:t>1.46</w:t>
            </w:r>
          </w:p>
          <w:p w:rsidR="00B74F7D" w:rsidRPr="00071861" w:rsidRDefault="00B74F7D" w:rsidP="009D4525">
            <w:pPr>
              <w:snapToGrid w:val="0"/>
              <w:jc w:val="both"/>
              <w:rPr>
                <w:color w:val="000000"/>
                <w:sz w:val="20"/>
                <w:szCs w:val="20"/>
              </w:rPr>
            </w:pPr>
            <w:r w:rsidRPr="00071861">
              <w:rPr>
                <w:color w:val="000000"/>
                <w:sz w:val="20"/>
                <w:szCs w:val="20"/>
              </w:rPr>
              <w:t>0.33</w:t>
            </w:r>
          </w:p>
        </w:tc>
        <w:tc>
          <w:tcPr>
            <w:tcW w:w="602" w:type="pct"/>
            <w:vAlign w:val="center"/>
          </w:tcPr>
          <w:p w:rsidR="00B74F7D" w:rsidRPr="00071861" w:rsidRDefault="00B74F7D" w:rsidP="009D4525">
            <w:pPr>
              <w:snapToGrid w:val="0"/>
              <w:jc w:val="both"/>
              <w:rPr>
                <w:color w:val="000000"/>
                <w:sz w:val="20"/>
                <w:szCs w:val="20"/>
              </w:rPr>
            </w:pPr>
            <w:r w:rsidRPr="00071861">
              <w:rPr>
                <w:color w:val="000000"/>
                <w:sz w:val="20"/>
                <w:szCs w:val="20"/>
              </w:rPr>
              <w:t>15.67</w:t>
            </w:r>
          </w:p>
          <w:p w:rsidR="00B74F7D" w:rsidRPr="00071861" w:rsidRDefault="00B74F7D" w:rsidP="009D4525">
            <w:pPr>
              <w:snapToGrid w:val="0"/>
              <w:jc w:val="both"/>
              <w:rPr>
                <w:color w:val="000000"/>
                <w:sz w:val="20"/>
                <w:szCs w:val="20"/>
              </w:rPr>
            </w:pPr>
            <w:r w:rsidRPr="00071861">
              <w:rPr>
                <w:color w:val="000000"/>
                <w:sz w:val="20"/>
                <w:szCs w:val="20"/>
              </w:rPr>
              <w:t>12.00</w:t>
            </w:r>
          </w:p>
          <w:p w:rsidR="00B74F7D" w:rsidRPr="00071861" w:rsidRDefault="00B74F7D" w:rsidP="009D4525">
            <w:pPr>
              <w:snapToGrid w:val="0"/>
              <w:jc w:val="both"/>
              <w:rPr>
                <w:color w:val="000000"/>
                <w:sz w:val="20"/>
                <w:szCs w:val="20"/>
              </w:rPr>
            </w:pPr>
            <w:r w:rsidRPr="00071861">
              <w:rPr>
                <w:color w:val="000000"/>
                <w:sz w:val="20"/>
                <w:szCs w:val="20"/>
              </w:rPr>
              <w:t>20.00</w:t>
            </w:r>
          </w:p>
          <w:p w:rsidR="00B74F7D" w:rsidRPr="00071861" w:rsidRDefault="00B74F7D" w:rsidP="009D4525">
            <w:pPr>
              <w:snapToGrid w:val="0"/>
              <w:jc w:val="both"/>
              <w:rPr>
                <w:color w:val="000000"/>
                <w:sz w:val="20"/>
                <w:szCs w:val="20"/>
              </w:rPr>
            </w:pPr>
            <w:r w:rsidRPr="00071861">
              <w:rPr>
                <w:color w:val="000000"/>
                <w:sz w:val="20"/>
                <w:szCs w:val="20"/>
              </w:rPr>
              <w:t>2.11</w:t>
            </w:r>
          </w:p>
        </w:tc>
        <w:tc>
          <w:tcPr>
            <w:tcW w:w="524" w:type="pct"/>
            <w:vAlign w:val="center"/>
          </w:tcPr>
          <w:p w:rsidR="00B74F7D" w:rsidRPr="00071861" w:rsidRDefault="00B74F7D" w:rsidP="009D4525">
            <w:pPr>
              <w:snapToGrid w:val="0"/>
              <w:jc w:val="both"/>
              <w:rPr>
                <w:color w:val="000000"/>
                <w:sz w:val="20"/>
                <w:szCs w:val="20"/>
              </w:rPr>
            </w:pPr>
            <w:r w:rsidRPr="00071861">
              <w:rPr>
                <w:color w:val="000000"/>
                <w:sz w:val="20"/>
                <w:szCs w:val="20"/>
              </w:rPr>
              <w:t>0.66</w:t>
            </w:r>
          </w:p>
          <w:p w:rsidR="00B74F7D" w:rsidRPr="00071861" w:rsidRDefault="00B74F7D" w:rsidP="009D4525">
            <w:pPr>
              <w:snapToGrid w:val="0"/>
              <w:jc w:val="both"/>
              <w:rPr>
                <w:color w:val="000000"/>
                <w:sz w:val="20"/>
                <w:szCs w:val="20"/>
              </w:rPr>
            </w:pPr>
            <w:r w:rsidRPr="00071861">
              <w:rPr>
                <w:color w:val="000000"/>
                <w:sz w:val="20"/>
                <w:szCs w:val="20"/>
              </w:rPr>
              <w:t>0.12</w:t>
            </w:r>
          </w:p>
          <w:p w:rsidR="00B74F7D" w:rsidRPr="00071861" w:rsidRDefault="00B74F7D" w:rsidP="009D4525">
            <w:pPr>
              <w:snapToGrid w:val="0"/>
              <w:jc w:val="both"/>
              <w:rPr>
                <w:color w:val="000000"/>
                <w:sz w:val="20"/>
                <w:szCs w:val="20"/>
              </w:rPr>
            </w:pPr>
            <w:r w:rsidRPr="00071861">
              <w:rPr>
                <w:color w:val="000000"/>
                <w:sz w:val="20"/>
                <w:szCs w:val="20"/>
              </w:rPr>
              <w:t>1.67</w:t>
            </w:r>
          </w:p>
          <w:p w:rsidR="00B74F7D" w:rsidRPr="00071861" w:rsidRDefault="00B74F7D" w:rsidP="009D4525">
            <w:pPr>
              <w:snapToGrid w:val="0"/>
              <w:jc w:val="both"/>
              <w:rPr>
                <w:color w:val="000000"/>
                <w:sz w:val="20"/>
                <w:szCs w:val="20"/>
              </w:rPr>
            </w:pPr>
            <w:r w:rsidRPr="00071861">
              <w:rPr>
                <w:color w:val="000000"/>
                <w:sz w:val="20"/>
                <w:szCs w:val="20"/>
              </w:rPr>
              <w:t>0.47</w:t>
            </w:r>
          </w:p>
        </w:tc>
        <w:tc>
          <w:tcPr>
            <w:tcW w:w="384" w:type="pct"/>
            <w:vAlign w:val="center"/>
          </w:tcPr>
          <w:p w:rsidR="00B74F7D" w:rsidRPr="00071861" w:rsidRDefault="00B74F7D" w:rsidP="009D4525">
            <w:pPr>
              <w:snapToGrid w:val="0"/>
              <w:jc w:val="both"/>
              <w:rPr>
                <w:color w:val="000000"/>
                <w:sz w:val="20"/>
                <w:szCs w:val="20"/>
              </w:rPr>
            </w:pPr>
            <w:r w:rsidRPr="00071861">
              <w:rPr>
                <w:color w:val="000000"/>
                <w:sz w:val="20"/>
                <w:szCs w:val="20"/>
              </w:rPr>
              <w:t>28.16</w:t>
            </w:r>
          </w:p>
          <w:p w:rsidR="00B74F7D" w:rsidRPr="00071861" w:rsidRDefault="00B74F7D" w:rsidP="009D4525">
            <w:pPr>
              <w:snapToGrid w:val="0"/>
              <w:jc w:val="both"/>
              <w:rPr>
                <w:color w:val="000000"/>
                <w:sz w:val="20"/>
                <w:szCs w:val="20"/>
              </w:rPr>
            </w:pPr>
            <w:r w:rsidRPr="00071861">
              <w:rPr>
                <w:color w:val="000000"/>
                <w:sz w:val="20"/>
                <w:szCs w:val="20"/>
              </w:rPr>
              <w:t>7.61</w:t>
            </w:r>
          </w:p>
          <w:p w:rsidR="00B74F7D" w:rsidRPr="00071861" w:rsidRDefault="00B74F7D" w:rsidP="009D4525">
            <w:pPr>
              <w:snapToGrid w:val="0"/>
              <w:jc w:val="both"/>
              <w:rPr>
                <w:color w:val="000000"/>
                <w:sz w:val="20"/>
                <w:szCs w:val="20"/>
              </w:rPr>
            </w:pPr>
            <w:r w:rsidRPr="00071861">
              <w:rPr>
                <w:color w:val="000000"/>
                <w:sz w:val="20"/>
                <w:szCs w:val="20"/>
              </w:rPr>
              <w:t>61.02</w:t>
            </w:r>
          </w:p>
          <w:p w:rsidR="00B74F7D" w:rsidRPr="00071861" w:rsidRDefault="00B74F7D" w:rsidP="009D4525">
            <w:pPr>
              <w:snapToGrid w:val="0"/>
              <w:jc w:val="both"/>
              <w:rPr>
                <w:color w:val="000000"/>
                <w:sz w:val="20"/>
                <w:szCs w:val="20"/>
              </w:rPr>
            </w:pPr>
            <w:r w:rsidRPr="00071861">
              <w:rPr>
                <w:color w:val="000000"/>
                <w:sz w:val="20"/>
                <w:szCs w:val="20"/>
              </w:rPr>
              <w:t>8.89</w:t>
            </w:r>
          </w:p>
        </w:tc>
        <w:tc>
          <w:tcPr>
            <w:tcW w:w="512" w:type="pct"/>
            <w:vAlign w:val="center"/>
          </w:tcPr>
          <w:p w:rsidR="00B74F7D" w:rsidRPr="00071861" w:rsidRDefault="00B74F7D" w:rsidP="009D4525">
            <w:pPr>
              <w:snapToGrid w:val="0"/>
              <w:jc w:val="both"/>
              <w:rPr>
                <w:color w:val="000000"/>
                <w:sz w:val="20"/>
                <w:szCs w:val="20"/>
              </w:rPr>
            </w:pPr>
            <w:r w:rsidRPr="00071861">
              <w:rPr>
                <w:color w:val="000000"/>
                <w:sz w:val="20"/>
                <w:szCs w:val="20"/>
              </w:rPr>
              <w:t>7.33</w:t>
            </w:r>
          </w:p>
          <w:p w:rsidR="00B74F7D" w:rsidRPr="00071861" w:rsidRDefault="00B74F7D" w:rsidP="009D4525">
            <w:pPr>
              <w:snapToGrid w:val="0"/>
              <w:jc w:val="both"/>
              <w:rPr>
                <w:color w:val="000000"/>
                <w:sz w:val="20"/>
                <w:szCs w:val="20"/>
              </w:rPr>
            </w:pPr>
            <w:r w:rsidRPr="00071861">
              <w:rPr>
                <w:color w:val="000000"/>
                <w:sz w:val="20"/>
                <w:szCs w:val="20"/>
              </w:rPr>
              <w:t>0.73</w:t>
            </w:r>
          </w:p>
          <w:p w:rsidR="00B74F7D" w:rsidRPr="00071861" w:rsidRDefault="00B74F7D" w:rsidP="009D4525">
            <w:pPr>
              <w:snapToGrid w:val="0"/>
              <w:jc w:val="both"/>
              <w:rPr>
                <w:color w:val="000000"/>
                <w:sz w:val="20"/>
                <w:szCs w:val="20"/>
              </w:rPr>
            </w:pPr>
            <w:r w:rsidRPr="00071861">
              <w:rPr>
                <w:color w:val="000000"/>
                <w:sz w:val="20"/>
                <w:szCs w:val="20"/>
              </w:rPr>
              <w:t>18.95</w:t>
            </w:r>
          </w:p>
          <w:p w:rsidR="00B74F7D" w:rsidRPr="00071861" w:rsidRDefault="00B74F7D" w:rsidP="009D4525">
            <w:pPr>
              <w:snapToGrid w:val="0"/>
              <w:jc w:val="both"/>
              <w:rPr>
                <w:color w:val="000000"/>
                <w:sz w:val="20"/>
                <w:szCs w:val="20"/>
              </w:rPr>
            </w:pPr>
            <w:r w:rsidRPr="00071861">
              <w:rPr>
                <w:color w:val="000000"/>
                <w:sz w:val="20"/>
                <w:szCs w:val="20"/>
              </w:rPr>
              <w:t>5.65</w:t>
            </w:r>
          </w:p>
        </w:tc>
        <w:tc>
          <w:tcPr>
            <w:tcW w:w="915" w:type="pct"/>
            <w:vAlign w:val="center"/>
          </w:tcPr>
          <w:p w:rsidR="00B74F7D" w:rsidRPr="00071861" w:rsidRDefault="00B74F7D" w:rsidP="009D4525">
            <w:pPr>
              <w:snapToGrid w:val="0"/>
              <w:jc w:val="both"/>
              <w:rPr>
                <w:color w:val="000000"/>
                <w:sz w:val="20"/>
                <w:szCs w:val="20"/>
              </w:rPr>
            </w:pPr>
            <w:r w:rsidRPr="00071861">
              <w:rPr>
                <w:color w:val="000000"/>
                <w:sz w:val="20"/>
                <w:szCs w:val="20"/>
              </w:rPr>
              <w:t>388.42</w:t>
            </w:r>
          </w:p>
          <w:p w:rsidR="00B74F7D" w:rsidRPr="00071861" w:rsidRDefault="00B74F7D" w:rsidP="009D4525">
            <w:pPr>
              <w:snapToGrid w:val="0"/>
              <w:jc w:val="both"/>
              <w:rPr>
                <w:color w:val="000000"/>
                <w:sz w:val="20"/>
                <w:szCs w:val="20"/>
              </w:rPr>
            </w:pPr>
            <w:r w:rsidRPr="00071861">
              <w:rPr>
                <w:color w:val="000000"/>
                <w:sz w:val="20"/>
                <w:szCs w:val="20"/>
              </w:rPr>
              <w:t>293.34</w:t>
            </w:r>
          </w:p>
          <w:p w:rsidR="00B74F7D" w:rsidRPr="00071861" w:rsidRDefault="00B74F7D" w:rsidP="009D4525">
            <w:pPr>
              <w:snapToGrid w:val="0"/>
              <w:jc w:val="both"/>
              <w:rPr>
                <w:color w:val="000000"/>
                <w:sz w:val="20"/>
                <w:szCs w:val="20"/>
              </w:rPr>
            </w:pPr>
            <w:r w:rsidRPr="00071861">
              <w:rPr>
                <w:color w:val="000000"/>
                <w:sz w:val="20"/>
                <w:szCs w:val="20"/>
              </w:rPr>
              <w:t>488.03</w:t>
            </w:r>
          </w:p>
          <w:p w:rsidR="00B74F7D" w:rsidRPr="00071861" w:rsidRDefault="00B74F7D" w:rsidP="009D4525">
            <w:pPr>
              <w:snapToGrid w:val="0"/>
              <w:jc w:val="both"/>
              <w:rPr>
                <w:color w:val="000000"/>
                <w:sz w:val="20"/>
                <w:szCs w:val="20"/>
              </w:rPr>
            </w:pPr>
            <w:r w:rsidRPr="00071861">
              <w:rPr>
                <w:color w:val="000000"/>
                <w:sz w:val="20"/>
                <w:szCs w:val="20"/>
              </w:rPr>
              <w:t>44.68</w:t>
            </w:r>
          </w:p>
        </w:tc>
        <w:tc>
          <w:tcPr>
            <w:tcW w:w="756" w:type="pct"/>
            <w:vAlign w:val="center"/>
          </w:tcPr>
          <w:p w:rsidR="00B74F7D" w:rsidRPr="00071861" w:rsidRDefault="00B74F7D" w:rsidP="009D4525">
            <w:pPr>
              <w:snapToGrid w:val="0"/>
              <w:jc w:val="both"/>
              <w:rPr>
                <w:color w:val="000000"/>
                <w:sz w:val="20"/>
                <w:szCs w:val="20"/>
              </w:rPr>
            </w:pPr>
            <w:r w:rsidRPr="00071861">
              <w:rPr>
                <w:color w:val="000000"/>
                <w:sz w:val="20"/>
                <w:szCs w:val="20"/>
              </w:rPr>
              <w:t>871.49</w:t>
            </w:r>
          </w:p>
          <w:p w:rsidR="00B74F7D" w:rsidRPr="00071861" w:rsidRDefault="00B74F7D" w:rsidP="009D4525">
            <w:pPr>
              <w:snapToGrid w:val="0"/>
              <w:jc w:val="both"/>
              <w:rPr>
                <w:color w:val="000000"/>
                <w:sz w:val="20"/>
                <w:szCs w:val="20"/>
              </w:rPr>
            </w:pPr>
            <w:r w:rsidRPr="00071861">
              <w:rPr>
                <w:color w:val="000000"/>
                <w:sz w:val="20"/>
                <w:szCs w:val="20"/>
              </w:rPr>
              <w:t>82.53</w:t>
            </w:r>
          </w:p>
          <w:p w:rsidR="00B74F7D" w:rsidRPr="00071861" w:rsidRDefault="00B74F7D" w:rsidP="009D4525">
            <w:pPr>
              <w:snapToGrid w:val="0"/>
              <w:jc w:val="both"/>
              <w:rPr>
                <w:color w:val="000000"/>
                <w:sz w:val="20"/>
                <w:szCs w:val="20"/>
              </w:rPr>
            </w:pPr>
            <w:r w:rsidRPr="00071861">
              <w:rPr>
                <w:color w:val="000000"/>
                <w:sz w:val="20"/>
                <w:szCs w:val="20"/>
              </w:rPr>
              <w:t>1965.11</w:t>
            </w:r>
          </w:p>
          <w:p w:rsidR="00B74F7D" w:rsidRPr="00071861" w:rsidRDefault="00B74F7D" w:rsidP="009D4525">
            <w:pPr>
              <w:snapToGrid w:val="0"/>
              <w:jc w:val="both"/>
              <w:rPr>
                <w:color w:val="000000"/>
                <w:sz w:val="20"/>
                <w:szCs w:val="20"/>
              </w:rPr>
            </w:pPr>
            <w:r w:rsidRPr="00071861">
              <w:rPr>
                <w:color w:val="000000"/>
                <w:sz w:val="20"/>
                <w:szCs w:val="20"/>
              </w:rPr>
              <w:t>691.13</w:t>
            </w:r>
          </w:p>
        </w:tc>
      </w:tr>
    </w:tbl>
    <w:p w:rsidR="009D4525" w:rsidRPr="00071861" w:rsidRDefault="009D4525" w:rsidP="009D4525">
      <w:pPr>
        <w:snapToGrid w:val="0"/>
        <w:ind w:firstLine="425"/>
        <w:jc w:val="both"/>
        <w:rPr>
          <w:sz w:val="20"/>
          <w:szCs w:val="20"/>
        </w:rPr>
      </w:pPr>
    </w:p>
    <w:p w:rsidR="009D4525" w:rsidRPr="00071861" w:rsidRDefault="009D4525" w:rsidP="009D4525">
      <w:pPr>
        <w:snapToGrid w:val="0"/>
        <w:ind w:firstLine="425"/>
        <w:jc w:val="both"/>
        <w:rPr>
          <w:sz w:val="20"/>
          <w:szCs w:val="20"/>
        </w:rPr>
        <w:sectPr w:rsidR="009D4525" w:rsidRPr="00071861" w:rsidSect="00186242">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576"/>
          <w:docGrid w:linePitch="360"/>
        </w:sectPr>
      </w:pPr>
    </w:p>
    <w:p w:rsidR="00B74F7D" w:rsidRPr="00071861" w:rsidRDefault="00B74F7D" w:rsidP="009D4525">
      <w:pPr>
        <w:autoSpaceDE w:val="0"/>
        <w:autoSpaceDN w:val="0"/>
        <w:adjustRightInd w:val="0"/>
        <w:snapToGrid w:val="0"/>
        <w:ind w:firstLine="425"/>
        <w:jc w:val="both"/>
        <w:rPr>
          <w:color w:val="000000"/>
          <w:sz w:val="20"/>
          <w:szCs w:val="20"/>
        </w:rPr>
      </w:pPr>
      <w:r w:rsidRPr="00071861">
        <w:rPr>
          <w:sz w:val="20"/>
          <w:szCs w:val="20"/>
          <w:lang w:eastAsia="en-GB"/>
        </w:rPr>
        <w:lastRenderedPageBreak/>
        <w:t xml:space="preserve">The range of growth variable in the data set reflects the age, stand condition and site productivity of the stand used in the study (table 1). Effort was directed towards obtaining carbon sequestration prediction models. Before the models were developed, correlation analysis was carried out to give an insight of the association between carbon sequestered and the growth variables. It was observed from the correlation matrix presented in Table 2 that carbon sequestration increases with increasing tree size (height, DBH) but decreases with increasing slenderness coefficient. </w:t>
      </w:r>
      <w:r w:rsidRPr="00071861">
        <w:rPr>
          <w:sz w:val="20"/>
          <w:szCs w:val="20"/>
        </w:rPr>
        <w:t xml:space="preserve">Among the measured tree growth variables, diameter at breast height was highly significantly correlated with the amount of carbon sequestered by the trees. </w:t>
      </w:r>
      <w:r w:rsidRPr="00071861">
        <w:rPr>
          <w:color w:val="000000"/>
          <w:sz w:val="20"/>
          <w:szCs w:val="20"/>
        </w:rPr>
        <w:t xml:space="preserve">Measurements of diameter at breast height (DBH) alone or in combination with tree height can be converted to estimates of forest carbon stocks using </w:t>
      </w:r>
      <w:proofErr w:type="spellStart"/>
      <w:r w:rsidRPr="00071861">
        <w:rPr>
          <w:color w:val="000000"/>
          <w:sz w:val="20"/>
          <w:szCs w:val="20"/>
        </w:rPr>
        <w:t>allometric</w:t>
      </w:r>
      <w:proofErr w:type="spellEnd"/>
      <w:r w:rsidRPr="00071861">
        <w:rPr>
          <w:color w:val="000000"/>
          <w:sz w:val="20"/>
          <w:szCs w:val="20"/>
        </w:rPr>
        <w:t xml:space="preserve"> relationships. </w:t>
      </w:r>
      <w:r w:rsidRPr="00071861">
        <w:rPr>
          <w:sz w:val="20"/>
          <w:szCs w:val="20"/>
        </w:rPr>
        <w:t xml:space="preserve">The negative correlation of carbon sequestration with tree slenderness coefficient indicates that trees that are tall and slender sequester less carbon. Wood density was positively related to carbon sequestered by the stand which is similar to previous work (Baker </w:t>
      </w:r>
      <w:r w:rsidRPr="00071861">
        <w:rPr>
          <w:i/>
          <w:iCs/>
          <w:sz w:val="20"/>
          <w:szCs w:val="20"/>
        </w:rPr>
        <w:t>et al</w:t>
      </w:r>
      <w:r w:rsidRPr="00071861">
        <w:rPr>
          <w:sz w:val="20"/>
          <w:szCs w:val="20"/>
        </w:rPr>
        <w:t>., 2004), forest biomass increased with community wood density.</w:t>
      </w:r>
    </w:p>
    <w:p w:rsidR="00B74F7D" w:rsidRPr="00071861" w:rsidRDefault="00B74F7D" w:rsidP="009D4525">
      <w:pPr>
        <w:autoSpaceDE w:val="0"/>
        <w:autoSpaceDN w:val="0"/>
        <w:adjustRightInd w:val="0"/>
        <w:snapToGrid w:val="0"/>
        <w:ind w:firstLine="425"/>
        <w:jc w:val="both"/>
        <w:rPr>
          <w:sz w:val="20"/>
          <w:szCs w:val="20"/>
        </w:rPr>
      </w:pPr>
      <w:proofErr w:type="spellStart"/>
      <w:r w:rsidRPr="00071861">
        <w:rPr>
          <w:sz w:val="20"/>
          <w:szCs w:val="20"/>
        </w:rPr>
        <w:lastRenderedPageBreak/>
        <w:t>Stegen</w:t>
      </w:r>
      <w:proofErr w:type="spellEnd"/>
      <w:r w:rsidRPr="00071861">
        <w:rPr>
          <w:sz w:val="20"/>
          <w:szCs w:val="20"/>
        </w:rPr>
        <w:t xml:space="preserve"> </w:t>
      </w:r>
      <w:r w:rsidRPr="00071861">
        <w:rPr>
          <w:i/>
          <w:sz w:val="20"/>
          <w:szCs w:val="20"/>
        </w:rPr>
        <w:t>et al</w:t>
      </w:r>
      <w:r w:rsidRPr="00071861">
        <w:rPr>
          <w:sz w:val="20"/>
          <w:szCs w:val="20"/>
        </w:rPr>
        <w:t xml:space="preserve">., (2009), observed a linear positive correlation between forest biomass, stand wood density and total basal area in his findings. Similar trend was observed in this study. This makes intuitive sense: basal area is intimately linked to standing biomass so that an increase in basal area with wood density leads to an increase in biomass. Bunker </w:t>
      </w:r>
      <w:r w:rsidRPr="00071861">
        <w:rPr>
          <w:i/>
          <w:iCs/>
          <w:sz w:val="20"/>
          <w:szCs w:val="20"/>
        </w:rPr>
        <w:t>et al</w:t>
      </w:r>
      <w:r w:rsidRPr="00071861">
        <w:rPr>
          <w:sz w:val="20"/>
          <w:szCs w:val="20"/>
        </w:rPr>
        <w:t xml:space="preserve">. (2005) found a positive correlation between forest biomass and wood density for </w:t>
      </w:r>
      <w:proofErr w:type="spellStart"/>
      <w:r w:rsidRPr="00071861">
        <w:rPr>
          <w:sz w:val="20"/>
          <w:szCs w:val="20"/>
        </w:rPr>
        <w:t>Barro</w:t>
      </w:r>
      <w:proofErr w:type="spellEnd"/>
      <w:r w:rsidRPr="00071861">
        <w:rPr>
          <w:sz w:val="20"/>
          <w:szCs w:val="20"/>
        </w:rPr>
        <w:t xml:space="preserve"> Colorado Island via simulation analyses, and subsequently proposed plantations of high wood density species as a management strategy to increase carbon storage.</w:t>
      </w:r>
    </w:p>
    <w:p w:rsidR="009D4525" w:rsidRPr="00071861" w:rsidRDefault="009D4525" w:rsidP="009D4525">
      <w:pPr>
        <w:autoSpaceDE w:val="0"/>
        <w:autoSpaceDN w:val="0"/>
        <w:adjustRightInd w:val="0"/>
        <w:snapToGrid w:val="0"/>
        <w:jc w:val="both"/>
        <w:rPr>
          <w:b/>
          <w:sz w:val="20"/>
          <w:szCs w:val="20"/>
          <w:lang w:eastAsia="en-GB"/>
        </w:rPr>
      </w:pPr>
      <w:r w:rsidRPr="00071861">
        <w:rPr>
          <w:b/>
          <w:sz w:val="20"/>
          <w:szCs w:val="20"/>
          <w:lang w:eastAsia="en-GB"/>
        </w:rPr>
        <w:t>Model fitting and evaluation</w:t>
      </w:r>
    </w:p>
    <w:p w:rsidR="009D4525" w:rsidRPr="00071861" w:rsidRDefault="009D4525" w:rsidP="009D4525">
      <w:pPr>
        <w:autoSpaceDE w:val="0"/>
        <w:autoSpaceDN w:val="0"/>
        <w:adjustRightInd w:val="0"/>
        <w:snapToGrid w:val="0"/>
        <w:ind w:firstLine="425"/>
        <w:jc w:val="both"/>
        <w:rPr>
          <w:color w:val="000000"/>
          <w:sz w:val="20"/>
          <w:szCs w:val="20"/>
          <w:lang w:eastAsia="en-GB"/>
        </w:rPr>
      </w:pPr>
      <w:r w:rsidRPr="00071861">
        <w:rPr>
          <w:color w:val="000000"/>
          <w:sz w:val="20"/>
          <w:szCs w:val="20"/>
          <w:lang w:eastAsia="en-GB"/>
        </w:rPr>
        <w:t>Model fitting and evaluation are important parts of model building. Fitting of carbon sequestration models were based on the total data set. A number of different models were examined for predicting carbon sequestration. In this study coefficient of determination (R</w:t>
      </w:r>
      <w:r w:rsidRPr="00071861">
        <w:rPr>
          <w:color w:val="000000"/>
          <w:sz w:val="20"/>
          <w:szCs w:val="20"/>
          <w:vertAlign w:val="superscript"/>
          <w:lang w:eastAsia="en-GB"/>
        </w:rPr>
        <w:t>2</w:t>
      </w:r>
      <w:r w:rsidRPr="00071861">
        <w:rPr>
          <w:color w:val="000000"/>
          <w:sz w:val="20"/>
          <w:szCs w:val="20"/>
          <w:lang w:eastAsia="en-GB"/>
        </w:rPr>
        <w:t xml:space="preserve">), </w:t>
      </w:r>
      <w:proofErr w:type="spellStart"/>
      <w:r w:rsidRPr="00071861">
        <w:rPr>
          <w:sz w:val="20"/>
          <w:szCs w:val="20"/>
        </w:rPr>
        <w:t>Akiakes</w:t>
      </w:r>
      <w:proofErr w:type="spellEnd"/>
      <w:r w:rsidRPr="00071861">
        <w:rPr>
          <w:sz w:val="20"/>
          <w:szCs w:val="20"/>
        </w:rPr>
        <w:t xml:space="preserve"> Information Criteria (AIC</w:t>
      </w:r>
      <w:r w:rsidRPr="00071861">
        <w:rPr>
          <w:sz w:val="20"/>
          <w:szCs w:val="20"/>
          <w:lang w:eastAsia="en-GB"/>
        </w:rPr>
        <w:t>)</w:t>
      </w:r>
      <w:r w:rsidRPr="00071861">
        <w:rPr>
          <w:color w:val="000000"/>
          <w:sz w:val="20"/>
          <w:szCs w:val="20"/>
          <w:lang w:eastAsia="en-GB"/>
        </w:rPr>
        <w:t xml:space="preserve"> and standard error of estimate (SEE) were computed in order to evaluate the fitted models. In addition, residual plots were carried out to check the error assumption. The significance of the parameter estimates </w:t>
      </w:r>
      <w:r w:rsidRPr="00071861">
        <w:rPr>
          <w:sz w:val="20"/>
          <w:szCs w:val="20"/>
          <w:lang w:eastAsia="en-GB"/>
        </w:rPr>
        <w:t xml:space="preserve">was also observed. The selected versions of the models, their parameter estimates and fit statistics </w:t>
      </w:r>
      <w:r w:rsidRPr="00071861">
        <w:rPr>
          <w:sz w:val="20"/>
          <w:szCs w:val="20"/>
          <w:lang w:eastAsia="en-GB"/>
        </w:rPr>
        <w:lastRenderedPageBreak/>
        <w:t>are</w:t>
      </w:r>
      <w:r w:rsidRPr="00071861">
        <w:rPr>
          <w:color w:val="000000"/>
          <w:sz w:val="20"/>
          <w:szCs w:val="20"/>
          <w:lang w:eastAsia="en-GB"/>
        </w:rPr>
        <w:t xml:space="preserve"> </w:t>
      </w:r>
      <w:r w:rsidRPr="00071861">
        <w:rPr>
          <w:sz w:val="20"/>
          <w:szCs w:val="20"/>
          <w:lang w:eastAsia="en-GB"/>
        </w:rPr>
        <w:t xml:space="preserve">presented in Table 3. </w:t>
      </w:r>
      <w:r w:rsidRPr="00071861">
        <w:rPr>
          <w:sz w:val="20"/>
          <w:szCs w:val="20"/>
        </w:rPr>
        <w:t xml:space="preserve">Scatter plots in Fig. 4 indicate a nonlinear relationship between carbon sequestered and DBH. However, in order to facilitate comparison to linear models in other papers (Nelson </w:t>
      </w:r>
      <w:r w:rsidRPr="00071861">
        <w:rPr>
          <w:sz w:val="20"/>
          <w:szCs w:val="20"/>
        </w:rPr>
        <w:lastRenderedPageBreak/>
        <w:t xml:space="preserve">et al., 1999), DBH and carbon estimates given by all selected models were </w:t>
      </w:r>
      <w:proofErr w:type="spellStart"/>
      <w:r w:rsidRPr="00071861">
        <w:rPr>
          <w:sz w:val="20"/>
          <w:szCs w:val="20"/>
        </w:rPr>
        <w:t>ln</w:t>
      </w:r>
      <w:proofErr w:type="spellEnd"/>
      <w:r w:rsidRPr="00071861">
        <w:rPr>
          <w:sz w:val="20"/>
          <w:szCs w:val="20"/>
        </w:rPr>
        <w:t>-transformed, and</w:t>
      </w:r>
      <w:r w:rsidRPr="00071861">
        <w:rPr>
          <w:color w:val="000000"/>
          <w:sz w:val="20"/>
          <w:szCs w:val="20"/>
          <w:lang w:eastAsia="en-GB"/>
        </w:rPr>
        <w:t xml:space="preserve"> </w:t>
      </w:r>
      <w:r w:rsidRPr="00071861">
        <w:rPr>
          <w:sz w:val="20"/>
          <w:szCs w:val="20"/>
        </w:rPr>
        <w:t xml:space="preserve">linear regressions were fit to the </w:t>
      </w:r>
      <w:proofErr w:type="spellStart"/>
      <w:r w:rsidRPr="00071861">
        <w:rPr>
          <w:sz w:val="20"/>
          <w:szCs w:val="20"/>
        </w:rPr>
        <w:t>ln</w:t>
      </w:r>
      <w:proofErr w:type="spellEnd"/>
      <w:r w:rsidRPr="00071861">
        <w:rPr>
          <w:sz w:val="20"/>
          <w:szCs w:val="20"/>
        </w:rPr>
        <w:t>-transformed data.</w:t>
      </w:r>
    </w:p>
    <w:p w:rsidR="009D4525" w:rsidRPr="00071861" w:rsidRDefault="009D4525" w:rsidP="009D4525">
      <w:pPr>
        <w:snapToGrid w:val="0"/>
        <w:jc w:val="both"/>
        <w:rPr>
          <w:sz w:val="20"/>
          <w:szCs w:val="20"/>
          <w:lang w:eastAsia="zh-CN"/>
        </w:rPr>
        <w:sectPr w:rsidR="009D4525" w:rsidRPr="00071861" w:rsidSect="009D4525">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600"/>
          <w:docGrid w:linePitch="360"/>
        </w:sectPr>
      </w:pPr>
    </w:p>
    <w:p w:rsidR="009D4525" w:rsidRPr="00071861" w:rsidRDefault="009D4525">
      <w:pPr>
        <w:suppressAutoHyphens w:val="0"/>
        <w:rPr>
          <w:b/>
          <w:sz w:val="20"/>
          <w:szCs w:val="20"/>
        </w:rPr>
      </w:pPr>
    </w:p>
    <w:p w:rsidR="00B74F7D" w:rsidRPr="00071861" w:rsidRDefault="00B74F7D" w:rsidP="009D4525">
      <w:pPr>
        <w:snapToGrid w:val="0"/>
        <w:jc w:val="center"/>
        <w:rPr>
          <w:b/>
          <w:sz w:val="20"/>
          <w:szCs w:val="20"/>
        </w:rPr>
      </w:pPr>
      <w:r w:rsidRPr="00071861">
        <w:rPr>
          <w:b/>
          <w:sz w:val="20"/>
          <w:szCs w:val="20"/>
        </w:rPr>
        <w:t>Table 2: Correlation matrix for individual measured tree growth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979"/>
        <w:gridCol w:w="822"/>
        <w:gridCol w:w="938"/>
        <w:gridCol w:w="979"/>
        <w:gridCol w:w="979"/>
        <w:gridCol w:w="979"/>
        <w:gridCol w:w="724"/>
        <w:gridCol w:w="881"/>
        <w:gridCol w:w="822"/>
        <w:gridCol w:w="578"/>
      </w:tblGrid>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THT</w:t>
            </w:r>
          </w:p>
        </w:tc>
        <w:tc>
          <w:tcPr>
            <w:tcW w:w="429"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CL</w:t>
            </w:r>
          </w:p>
        </w:tc>
        <w:tc>
          <w:tcPr>
            <w:tcW w:w="490"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CD</w:t>
            </w:r>
          </w:p>
        </w:tc>
        <w:tc>
          <w:tcPr>
            <w:tcW w:w="511"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DBH</w:t>
            </w:r>
          </w:p>
        </w:tc>
        <w:tc>
          <w:tcPr>
            <w:tcW w:w="511"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BA</w:t>
            </w:r>
          </w:p>
        </w:tc>
        <w:tc>
          <w:tcPr>
            <w:tcW w:w="511"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TSC</w:t>
            </w:r>
          </w:p>
        </w:tc>
        <w:tc>
          <w:tcPr>
            <w:tcW w:w="378"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V</w:t>
            </w:r>
          </w:p>
        </w:tc>
        <w:tc>
          <w:tcPr>
            <w:tcW w:w="460"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CPA</w:t>
            </w:r>
          </w:p>
        </w:tc>
        <w:tc>
          <w:tcPr>
            <w:tcW w:w="429"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D</w:t>
            </w:r>
          </w:p>
        </w:tc>
        <w:tc>
          <w:tcPr>
            <w:tcW w:w="303" w:type="pct"/>
            <w:shd w:val="clear" w:color="auto" w:fill="auto"/>
            <w:noWrap/>
            <w:vAlign w:val="bottom"/>
            <w:hideMark/>
          </w:tcPr>
          <w:p w:rsidR="00B74F7D" w:rsidRPr="00071861" w:rsidRDefault="00B74F7D" w:rsidP="009D4525">
            <w:pPr>
              <w:snapToGrid w:val="0"/>
              <w:jc w:val="both"/>
              <w:rPr>
                <w:rFonts w:eastAsia="Times New Roman"/>
                <w:i/>
                <w:iCs/>
                <w:color w:val="000000"/>
                <w:sz w:val="20"/>
                <w:szCs w:val="20"/>
              </w:rPr>
            </w:pPr>
            <w:r w:rsidRPr="00071861">
              <w:rPr>
                <w:rFonts w:eastAsia="Times New Roman"/>
                <w:i/>
                <w:iCs/>
                <w:color w:val="000000"/>
                <w:sz w:val="20"/>
                <w:szCs w:val="20"/>
              </w:rPr>
              <w:t>C</w:t>
            </w: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THT</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CL</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0.50*</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CD</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0.48</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0.50*</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DBH</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0.72*</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0.45</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0.58*</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BA</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0.66*</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0.42</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0.56*</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0.99*</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TSC</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-0.63*</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-0.40</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-0.59*</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-0.97*</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-0.93*</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V</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0.72*</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0.38</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0.57*</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0.98*</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0.97*</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-0.93*</w:t>
            </w: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CPA</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0.45</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0.49</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0.99*</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0.61*</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0.58*</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-0.62*</w:t>
            </w: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0.59*</w:t>
            </w: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D</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0.38</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0.09</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0.33</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0.44</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0.39</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-0.48</w:t>
            </w: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0.43</w:t>
            </w: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0.37</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p>
        </w:tc>
      </w:tr>
      <w:tr w:rsidR="00B74F7D" w:rsidRPr="00071861" w:rsidTr="00071861">
        <w:trPr>
          <w:cantSplit/>
          <w:jc w:val="center"/>
        </w:trPr>
        <w:tc>
          <w:tcPr>
            <w:tcW w:w="46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C</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0.71*</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0.35</w:t>
            </w:r>
          </w:p>
        </w:tc>
        <w:tc>
          <w:tcPr>
            <w:tcW w:w="49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0.53*</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0.95*</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0.94*</w:t>
            </w:r>
          </w:p>
        </w:tc>
        <w:tc>
          <w:tcPr>
            <w:tcW w:w="511"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-0.92*</w:t>
            </w:r>
          </w:p>
        </w:tc>
        <w:tc>
          <w:tcPr>
            <w:tcW w:w="378"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0.98*</w:t>
            </w:r>
          </w:p>
        </w:tc>
        <w:tc>
          <w:tcPr>
            <w:tcW w:w="460"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0.56*</w:t>
            </w:r>
          </w:p>
        </w:tc>
        <w:tc>
          <w:tcPr>
            <w:tcW w:w="429"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0.53*</w:t>
            </w:r>
          </w:p>
        </w:tc>
        <w:tc>
          <w:tcPr>
            <w:tcW w:w="303" w:type="pct"/>
            <w:shd w:val="clear" w:color="auto" w:fill="auto"/>
            <w:noWrap/>
            <w:vAlign w:val="bottom"/>
            <w:hideMark/>
          </w:tcPr>
          <w:p w:rsidR="00B74F7D" w:rsidRPr="00071861" w:rsidRDefault="00B74F7D" w:rsidP="009D4525">
            <w:pPr>
              <w:snapToGrid w:val="0"/>
              <w:jc w:val="both"/>
              <w:rPr>
                <w:rFonts w:eastAsia="Times New Roman"/>
                <w:color w:val="000000"/>
                <w:sz w:val="20"/>
                <w:szCs w:val="20"/>
              </w:rPr>
            </w:pPr>
            <w:r w:rsidRPr="00071861">
              <w:rPr>
                <w:rFonts w:eastAsia="Times New Roman"/>
                <w:color w:val="000000"/>
                <w:sz w:val="20"/>
                <w:szCs w:val="20"/>
              </w:rPr>
              <w:t>1</w:t>
            </w:r>
          </w:p>
        </w:tc>
      </w:tr>
    </w:tbl>
    <w:p w:rsidR="00B74F7D" w:rsidRPr="00071861" w:rsidRDefault="00B74F7D" w:rsidP="009D4525">
      <w:pPr>
        <w:snapToGrid w:val="0"/>
        <w:jc w:val="both"/>
        <w:rPr>
          <w:sz w:val="20"/>
          <w:szCs w:val="20"/>
        </w:rPr>
      </w:pPr>
      <w:r w:rsidRPr="00071861">
        <w:rPr>
          <w:sz w:val="20"/>
          <w:szCs w:val="20"/>
        </w:rPr>
        <w:t>*Significant at 0.05 level of significance, THT- Total height, CL- Crown length, CD- Crown diameter, DBH- Diameter at breast height, BA- Basal area, TSC- Tree slenderness coefficient, V- Volume, CPA- Crown projection area, D- Density, C- Carbon sequestered</w:t>
      </w:r>
    </w:p>
    <w:p w:rsidR="009D4525" w:rsidRPr="00071861" w:rsidRDefault="009D4525" w:rsidP="009D4525">
      <w:pPr>
        <w:snapToGrid w:val="0"/>
        <w:jc w:val="both"/>
        <w:rPr>
          <w:sz w:val="20"/>
          <w:szCs w:val="20"/>
        </w:rPr>
      </w:pPr>
    </w:p>
    <w:p w:rsidR="009D4525" w:rsidRPr="00071861" w:rsidRDefault="009D4525" w:rsidP="009D4525">
      <w:pPr>
        <w:snapToGrid w:val="0"/>
        <w:jc w:val="both"/>
        <w:rPr>
          <w:sz w:val="20"/>
          <w:szCs w:val="20"/>
        </w:rPr>
        <w:sectPr w:rsidR="009D4525" w:rsidRPr="00071861" w:rsidSect="00186242">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576"/>
          <w:docGrid w:linePitch="360"/>
        </w:sectPr>
      </w:pPr>
    </w:p>
    <w:p w:rsidR="008365B5" w:rsidRPr="00071861" w:rsidRDefault="00FE1535" w:rsidP="009D4525">
      <w:pPr>
        <w:autoSpaceDE w:val="0"/>
        <w:autoSpaceDN w:val="0"/>
        <w:adjustRightInd w:val="0"/>
        <w:snapToGrid w:val="0"/>
        <w:jc w:val="center"/>
        <w:rPr>
          <w:sz w:val="20"/>
          <w:szCs w:val="20"/>
          <w:lang w:eastAsia="en-GB"/>
        </w:rPr>
      </w:pPr>
      <w:r w:rsidRPr="00071861">
        <w:rPr>
          <w:noProof/>
          <w:sz w:val="20"/>
          <w:szCs w:val="20"/>
          <w:lang w:eastAsia="zh-CN"/>
        </w:rPr>
        <w:lastRenderedPageBreak/>
        <w:drawing>
          <wp:inline distT="0" distB="0" distL="0" distR="0">
            <wp:extent cx="2854518" cy="2122998"/>
            <wp:effectExtent l="0" t="0" r="0" b="0"/>
            <wp:docPr id="1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365B5" w:rsidRPr="00071861" w:rsidRDefault="008365B5" w:rsidP="009D4525">
      <w:pPr>
        <w:snapToGrid w:val="0"/>
        <w:jc w:val="both"/>
        <w:rPr>
          <w:b/>
          <w:sz w:val="20"/>
          <w:szCs w:val="20"/>
        </w:rPr>
      </w:pPr>
      <w:r w:rsidRPr="00071861">
        <w:rPr>
          <w:b/>
          <w:sz w:val="20"/>
          <w:szCs w:val="20"/>
        </w:rPr>
        <w:t>Fig 2</w:t>
      </w:r>
      <w:r w:rsidRPr="00071861">
        <w:rPr>
          <w:sz w:val="20"/>
          <w:szCs w:val="20"/>
        </w:rPr>
        <w:t xml:space="preserve">: </w:t>
      </w:r>
      <w:r w:rsidRPr="00071861">
        <w:rPr>
          <w:b/>
          <w:sz w:val="20"/>
          <w:szCs w:val="20"/>
        </w:rPr>
        <w:t>Scatter plot of Carbon sequestered against DBH</w:t>
      </w:r>
    </w:p>
    <w:p w:rsidR="008365B5" w:rsidRPr="00071861" w:rsidRDefault="008365B5" w:rsidP="009D4525">
      <w:pPr>
        <w:autoSpaceDE w:val="0"/>
        <w:autoSpaceDN w:val="0"/>
        <w:adjustRightInd w:val="0"/>
        <w:snapToGrid w:val="0"/>
        <w:ind w:firstLine="425"/>
        <w:jc w:val="both"/>
        <w:rPr>
          <w:color w:val="000000"/>
          <w:sz w:val="20"/>
          <w:szCs w:val="20"/>
          <w:lang w:eastAsia="zh-CN"/>
        </w:rPr>
      </w:pPr>
    </w:p>
    <w:p w:rsidR="009D4525" w:rsidRPr="00071861" w:rsidRDefault="009D4525" w:rsidP="009D4525">
      <w:pPr>
        <w:autoSpaceDE w:val="0"/>
        <w:autoSpaceDN w:val="0"/>
        <w:adjustRightInd w:val="0"/>
        <w:snapToGrid w:val="0"/>
        <w:ind w:firstLine="425"/>
        <w:jc w:val="both"/>
        <w:rPr>
          <w:color w:val="000000"/>
          <w:sz w:val="20"/>
          <w:szCs w:val="20"/>
        </w:rPr>
      </w:pPr>
      <w:r w:rsidRPr="00071861">
        <w:rPr>
          <w:sz w:val="20"/>
          <w:szCs w:val="20"/>
          <w:lang w:eastAsia="en-GB"/>
        </w:rPr>
        <w:t>One unique independent variable that</w:t>
      </w:r>
      <w:r w:rsidRPr="00071861">
        <w:rPr>
          <w:color w:val="000000"/>
          <w:sz w:val="20"/>
          <w:szCs w:val="20"/>
          <w:lang w:eastAsia="en-GB"/>
        </w:rPr>
        <w:t xml:space="preserve"> </w:t>
      </w:r>
      <w:r w:rsidRPr="00071861">
        <w:rPr>
          <w:sz w:val="20"/>
          <w:szCs w:val="20"/>
          <w:lang w:eastAsia="en-GB"/>
        </w:rPr>
        <w:t>features in all the models is DBH.</w:t>
      </w:r>
      <w:r w:rsidRPr="00071861">
        <w:rPr>
          <w:color w:val="000000"/>
          <w:sz w:val="20"/>
          <w:szCs w:val="20"/>
          <w:lang w:eastAsia="en-GB"/>
        </w:rPr>
        <w:t xml:space="preserve"> </w:t>
      </w:r>
      <w:r w:rsidRPr="00071861">
        <w:rPr>
          <w:sz w:val="20"/>
          <w:szCs w:val="20"/>
        </w:rPr>
        <w:t xml:space="preserve">Regressions of carbon content on DBH, with </w:t>
      </w:r>
      <w:proofErr w:type="spellStart"/>
      <w:r w:rsidRPr="00071861">
        <w:rPr>
          <w:sz w:val="20"/>
          <w:szCs w:val="20"/>
        </w:rPr>
        <w:t>ln</w:t>
      </w:r>
      <w:proofErr w:type="spellEnd"/>
      <w:r w:rsidRPr="00071861">
        <w:rPr>
          <w:sz w:val="20"/>
          <w:szCs w:val="20"/>
        </w:rPr>
        <w:t xml:space="preserve">-transformed data, did an excellent job of predicting the carbon content of individual trees. The work of </w:t>
      </w:r>
      <w:proofErr w:type="spellStart"/>
      <w:r w:rsidRPr="00071861">
        <w:rPr>
          <w:sz w:val="20"/>
          <w:szCs w:val="20"/>
        </w:rPr>
        <w:t>Losi</w:t>
      </w:r>
      <w:proofErr w:type="spellEnd"/>
      <w:r w:rsidRPr="00071861">
        <w:rPr>
          <w:sz w:val="20"/>
          <w:szCs w:val="20"/>
        </w:rPr>
        <w:t xml:space="preserve"> </w:t>
      </w:r>
      <w:r w:rsidRPr="00071861">
        <w:rPr>
          <w:i/>
          <w:sz w:val="20"/>
          <w:szCs w:val="20"/>
        </w:rPr>
        <w:t>et al</w:t>
      </w:r>
      <w:r w:rsidRPr="00071861">
        <w:rPr>
          <w:sz w:val="20"/>
          <w:szCs w:val="20"/>
        </w:rPr>
        <w:t>., (2003), also followed the same trend.</w:t>
      </w:r>
      <w:r w:rsidRPr="00071861">
        <w:rPr>
          <w:color w:val="000000"/>
          <w:sz w:val="20"/>
          <w:szCs w:val="20"/>
          <w:lang w:eastAsia="en-GB"/>
        </w:rPr>
        <w:t xml:space="preserve"> </w:t>
      </w:r>
      <w:r w:rsidRPr="00071861">
        <w:rPr>
          <w:color w:val="000000"/>
          <w:sz w:val="20"/>
          <w:szCs w:val="20"/>
        </w:rPr>
        <w:t>Realizing that tree DBH and tree height are the most commonly used variables to predict carbon sequestration (Wang, 2006), they were used in all the models formed. All the models show strong fit to the carbon sequestered data.</w:t>
      </w:r>
    </w:p>
    <w:p w:rsidR="008365B5" w:rsidRPr="00071861" w:rsidRDefault="008365B5" w:rsidP="009D4525">
      <w:pPr>
        <w:autoSpaceDE w:val="0"/>
        <w:autoSpaceDN w:val="0"/>
        <w:adjustRightInd w:val="0"/>
        <w:snapToGrid w:val="0"/>
        <w:ind w:firstLine="425"/>
        <w:jc w:val="both"/>
        <w:rPr>
          <w:color w:val="000000"/>
          <w:sz w:val="20"/>
          <w:szCs w:val="20"/>
          <w:lang w:eastAsia="en-GB"/>
        </w:rPr>
      </w:pPr>
      <w:r w:rsidRPr="00071861">
        <w:rPr>
          <w:color w:val="000000"/>
          <w:sz w:val="20"/>
          <w:szCs w:val="20"/>
        </w:rPr>
        <w:t>The selected models generally had a high R</w:t>
      </w:r>
      <w:r w:rsidRPr="00071861">
        <w:rPr>
          <w:color w:val="000000"/>
          <w:sz w:val="20"/>
          <w:szCs w:val="20"/>
          <w:vertAlign w:val="superscript"/>
        </w:rPr>
        <w:t>2</w:t>
      </w:r>
      <w:r w:rsidRPr="00071861">
        <w:rPr>
          <w:color w:val="000000"/>
          <w:sz w:val="20"/>
          <w:szCs w:val="20"/>
        </w:rPr>
        <w:t xml:space="preserve"> values that were above 80% with low values of SEE. The values of R</w:t>
      </w:r>
      <w:r w:rsidRPr="00071861">
        <w:rPr>
          <w:color w:val="000000"/>
          <w:sz w:val="20"/>
          <w:szCs w:val="20"/>
          <w:vertAlign w:val="superscript"/>
        </w:rPr>
        <w:t>2</w:t>
      </w:r>
      <w:r w:rsidRPr="00071861">
        <w:rPr>
          <w:color w:val="000000"/>
          <w:sz w:val="20"/>
          <w:szCs w:val="20"/>
        </w:rPr>
        <w:t xml:space="preserve"> ranged between 0.826 to 0.971 while the SEE values ranged between 0.187 to 0.443.</w:t>
      </w:r>
      <w:r w:rsidR="009D4525" w:rsidRPr="00071861">
        <w:rPr>
          <w:color w:val="000000"/>
          <w:sz w:val="20"/>
          <w:szCs w:val="20"/>
        </w:rPr>
        <w:t xml:space="preserve"> </w:t>
      </w:r>
      <w:r w:rsidRPr="00071861">
        <w:rPr>
          <w:color w:val="000000"/>
          <w:sz w:val="20"/>
          <w:szCs w:val="20"/>
        </w:rPr>
        <w:t xml:space="preserve">The </w:t>
      </w:r>
      <w:r w:rsidRPr="00071861">
        <w:rPr>
          <w:color w:val="000000"/>
          <w:sz w:val="20"/>
          <w:szCs w:val="20"/>
        </w:rPr>
        <w:lastRenderedPageBreak/>
        <w:t>observed goodness of fit of the models was in agreement with the previous works on the relationship between Above Ground Biomass and DBH or D</w:t>
      </w:r>
      <w:r w:rsidRPr="00071861">
        <w:rPr>
          <w:color w:val="000000"/>
          <w:sz w:val="20"/>
          <w:szCs w:val="20"/>
          <w:vertAlign w:val="superscript"/>
        </w:rPr>
        <w:t>2</w:t>
      </w:r>
      <w:r w:rsidRPr="00071861">
        <w:rPr>
          <w:color w:val="000000"/>
          <w:sz w:val="20"/>
          <w:szCs w:val="20"/>
        </w:rPr>
        <w:t xml:space="preserve">H (De </w:t>
      </w:r>
      <w:proofErr w:type="spellStart"/>
      <w:r w:rsidRPr="00071861">
        <w:rPr>
          <w:color w:val="000000"/>
          <w:sz w:val="20"/>
          <w:szCs w:val="20"/>
        </w:rPr>
        <w:t>Gier</w:t>
      </w:r>
      <w:proofErr w:type="spellEnd"/>
      <w:r w:rsidRPr="00071861">
        <w:rPr>
          <w:color w:val="000000"/>
          <w:sz w:val="20"/>
          <w:szCs w:val="20"/>
        </w:rPr>
        <w:t xml:space="preserve">, 2003; </w:t>
      </w:r>
      <w:proofErr w:type="spellStart"/>
      <w:r w:rsidRPr="00071861">
        <w:rPr>
          <w:color w:val="000000"/>
          <w:sz w:val="20"/>
          <w:szCs w:val="20"/>
        </w:rPr>
        <w:t>Ketterings</w:t>
      </w:r>
      <w:proofErr w:type="spellEnd"/>
      <w:r w:rsidRPr="00071861">
        <w:rPr>
          <w:color w:val="000000"/>
          <w:sz w:val="20"/>
          <w:szCs w:val="20"/>
        </w:rPr>
        <w:t xml:space="preserve"> </w:t>
      </w:r>
      <w:r w:rsidRPr="00071861">
        <w:rPr>
          <w:i/>
          <w:color w:val="000000"/>
          <w:sz w:val="20"/>
          <w:szCs w:val="20"/>
        </w:rPr>
        <w:t>et al</w:t>
      </w:r>
      <w:r w:rsidRPr="00071861">
        <w:rPr>
          <w:color w:val="000000"/>
          <w:sz w:val="20"/>
          <w:szCs w:val="20"/>
        </w:rPr>
        <w:t xml:space="preserve">., 2001, Wang, 2006). Polynomial models were selected as the best model at the individual tree level. Conventionally second degree polynomials are used for the development of biomass equations (De </w:t>
      </w:r>
      <w:proofErr w:type="spellStart"/>
      <w:r w:rsidRPr="00071861">
        <w:rPr>
          <w:color w:val="000000"/>
          <w:sz w:val="20"/>
          <w:szCs w:val="20"/>
        </w:rPr>
        <w:t>Gier</w:t>
      </w:r>
      <w:proofErr w:type="spellEnd"/>
      <w:r w:rsidRPr="00071861">
        <w:rPr>
          <w:color w:val="000000"/>
          <w:sz w:val="20"/>
          <w:szCs w:val="20"/>
        </w:rPr>
        <w:t xml:space="preserve">, 2003). Brown </w:t>
      </w:r>
      <w:r w:rsidRPr="00071861">
        <w:rPr>
          <w:i/>
          <w:color w:val="000000"/>
          <w:sz w:val="20"/>
          <w:szCs w:val="20"/>
        </w:rPr>
        <w:t>et al</w:t>
      </w:r>
      <w:r w:rsidRPr="00071861">
        <w:rPr>
          <w:color w:val="000000"/>
          <w:sz w:val="20"/>
          <w:szCs w:val="20"/>
        </w:rPr>
        <w:t xml:space="preserve">. (1989) and </w:t>
      </w:r>
      <w:proofErr w:type="spellStart"/>
      <w:r w:rsidRPr="00071861">
        <w:rPr>
          <w:color w:val="000000"/>
          <w:sz w:val="20"/>
          <w:szCs w:val="20"/>
        </w:rPr>
        <w:t>Parresol</w:t>
      </w:r>
      <w:proofErr w:type="spellEnd"/>
      <w:r w:rsidRPr="00071861">
        <w:rPr>
          <w:color w:val="000000"/>
          <w:sz w:val="20"/>
          <w:szCs w:val="20"/>
        </w:rPr>
        <w:t xml:space="preserve"> (1999) have mentioned that linear models, that may be polynomial or combined variable, can achieve as good fit as any non-linear model. The result obtained from the individual tree data set model is in conformity with work done by De </w:t>
      </w:r>
      <w:proofErr w:type="spellStart"/>
      <w:r w:rsidRPr="00071861">
        <w:rPr>
          <w:color w:val="000000"/>
          <w:sz w:val="20"/>
          <w:szCs w:val="20"/>
        </w:rPr>
        <w:t>Gier</w:t>
      </w:r>
      <w:proofErr w:type="spellEnd"/>
      <w:r w:rsidRPr="00071861">
        <w:rPr>
          <w:color w:val="000000"/>
          <w:sz w:val="20"/>
          <w:szCs w:val="20"/>
        </w:rPr>
        <w:t>, 2003.</w:t>
      </w:r>
    </w:p>
    <w:p w:rsidR="009D4525" w:rsidRPr="00071861" w:rsidRDefault="009D4525" w:rsidP="009D4525">
      <w:pPr>
        <w:widowControl w:val="0"/>
        <w:autoSpaceDE w:val="0"/>
        <w:autoSpaceDN w:val="0"/>
        <w:adjustRightInd w:val="0"/>
        <w:snapToGrid w:val="0"/>
        <w:ind w:firstLine="425"/>
        <w:jc w:val="both"/>
        <w:rPr>
          <w:color w:val="000000"/>
          <w:sz w:val="20"/>
          <w:szCs w:val="20"/>
          <w:lang w:eastAsia="zh-CN"/>
        </w:rPr>
      </w:pPr>
      <w:r w:rsidRPr="00071861">
        <w:rPr>
          <w:color w:val="000000"/>
          <w:sz w:val="20"/>
          <w:szCs w:val="20"/>
        </w:rPr>
        <w:t>From the scatter plots of residuals against predicted carbon sequestered by sample trees in the selected model shown in the Figure 3 below, it is clear that the estimates by the selected model are closer to the observed estimates. This finding further emphasizes the efficiency or predicting ability of the models.</w:t>
      </w:r>
    </w:p>
    <w:p w:rsidR="00B81B76" w:rsidRPr="00071861" w:rsidRDefault="009D4525" w:rsidP="009D4525">
      <w:pPr>
        <w:autoSpaceDE w:val="0"/>
        <w:autoSpaceDN w:val="0"/>
        <w:adjustRightInd w:val="0"/>
        <w:snapToGrid w:val="0"/>
        <w:ind w:firstLine="425"/>
        <w:jc w:val="both"/>
        <w:rPr>
          <w:sz w:val="20"/>
          <w:szCs w:val="20"/>
          <w:lang w:eastAsia="en-GB"/>
        </w:rPr>
      </w:pPr>
      <w:r w:rsidRPr="00071861">
        <w:rPr>
          <w:sz w:val="20"/>
          <w:szCs w:val="20"/>
          <w:lang w:eastAsia="en-GB"/>
        </w:rPr>
        <w:t>The polynomial model from the error analysis appeared constant error variance distributed both in the positive and negative region of the x-axis (i.e. the estimated carbon sequestration values). This is desirable for a good model. Based on the evaluation of the error analysis, polynomial models are recommended for predicting carbon sequestered in the stand. They also possess higher R</w:t>
      </w:r>
      <w:r w:rsidRPr="00071861">
        <w:rPr>
          <w:sz w:val="20"/>
          <w:szCs w:val="20"/>
          <w:vertAlign w:val="superscript"/>
          <w:lang w:eastAsia="en-GB"/>
        </w:rPr>
        <w:t>2</w:t>
      </w:r>
      <w:r w:rsidRPr="00071861">
        <w:rPr>
          <w:sz w:val="20"/>
          <w:szCs w:val="20"/>
          <w:lang w:eastAsia="en-GB"/>
        </w:rPr>
        <w:t xml:space="preserve"> values compared to the other models hence; they are more precise in their predictive abilit</w:t>
      </w:r>
      <w:r w:rsidR="00B81B76" w:rsidRPr="00071861">
        <w:rPr>
          <w:sz w:val="20"/>
          <w:szCs w:val="20"/>
          <w:lang w:eastAsia="en-GB"/>
        </w:rPr>
        <w:t>y.</w:t>
      </w:r>
    </w:p>
    <w:p w:rsidR="009D4525" w:rsidRPr="00071861" w:rsidRDefault="009D4525" w:rsidP="009D4525">
      <w:pPr>
        <w:snapToGrid w:val="0"/>
        <w:jc w:val="both"/>
        <w:rPr>
          <w:b/>
          <w:sz w:val="20"/>
          <w:szCs w:val="20"/>
          <w:lang w:eastAsia="zh-CN"/>
        </w:rPr>
        <w:sectPr w:rsidR="009D4525" w:rsidRPr="00071861" w:rsidSect="009D4525">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num="2" w:space="600"/>
          <w:docGrid w:linePitch="360"/>
        </w:sectPr>
      </w:pPr>
    </w:p>
    <w:p w:rsidR="00071861" w:rsidRDefault="00071861" w:rsidP="009D4525">
      <w:pPr>
        <w:snapToGrid w:val="0"/>
        <w:jc w:val="center"/>
        <w:rPr>
          <w:rFonts w:hint="eastAsia"/>
          <w:b/>
          <w:sz w:val="20"/>
          <w:szCs w:val="20"/>
          <w:lang w:eastAsia="zh-CN"/>
        </w:rPr>
      </w:pPr>
    </w:p>
    <w:p w:rsidR="00071861" w:rsidRDefault="00071861" w:rsidP="009D4525">
      <w:pPr>
        <w:snapToGrid w:val="0"/>
        <w:jc w:val="center"/>
        <w:rPr>
          <w:rFonts w:hint="eastAsia"/>
          <w:b/>
          <w:sz w:val="20"/>
          <w:szCs w:val="20"/>
          <w:lang w:eastAsia="zh-CN"/>
        </w:rPr>
      </w:pPr>
    </w:p>
    <w:p w:rsidR="00071861" w:rsidRDefault="00071861" w:rsidP="009D4525">
      <w:pPr>
        <w:snapToGrid w:val="0"/>
        <w:jc w:val="center"/>
        <w:rPr>
          <w:rFonts w:hint="eastAsia"/>
          <w:b/>
          <w:sz w:val="20"/>
          <w:szCs w:val="20"/>
          <w:lang w:eastAsia="zh-CN"/>
        </w:rPr>
      </w:pPr>
    </w:p>
    <w:p w:rsidR="008365B5" w:rsidRPr="00071861" w:rsidRDefault="008365B5" w:rsidP="009D4525">
      <w:pPr>
        <w:snapToGrid w:val="0"/>
        <w:jc w:val="center"/>
        <w:rPr>
          <w:b/>
          <w:sz w:val="20"/>
          <w:szCs w:val="20"/>
        </w:rPr>
      </w:pPr>
      <w:r w:rsidRPr="00071861">
        <w:rPr>
          <w:b/>
          <w:sz w:val="20"/>
          <w:szCs w:val="20"/>
        </w:rPr>
        <w:lastRenderedPageBreak/>
        <w:t>Table 3:</w:t>
      </w:r>
      <w:r w:rsidR="009D4525" w:rsidRPr="00071861">
        <w:rPr>
          <w:b/>
          <w:sz w:val="20"/>
          <w:szCs w:val="20"/>
        </w:rPr>
        <w:t xml:space="preserve"> </w:t>
      </w:r>
      <w:r w:rsidRPr="00071861">
        <w:rPr>
          <w:b/>
          <w:sz w:val="20"/>
          <w:szCs w:val="20"/>
        </w:rPr>
        <w:t>Carbon sequestration models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4738"/>
        <w:gridCol w:w="1511"/>
        <w:gridCol w:w="1007"/>
        <w:gridCol w:w="908"/>
        <w:gridCol w:w="1412"/>
      </w:tblGrid>
      <w:tr w:rsidR="008365B5" w:rsidRPr="00071861" w:rsidTr="00071861">
        <w:trPr>
          <w:jc w:val="center"/>
        </w:trPr>
        <w:tc>
          <w:tcPr>
            <w:tcW w:w="2474" w:type="pct"/>
          </w:tcPr>
          <w:p w:rsidR="008365B5" w:rsidRPr="00071861" w:rsidRDefault="008365B5" w:rsidP="009D4525">
            <w:pPr>
              <w:snapToGrid w:val="0"/>
              <w:jc w:val="both"/>
              <w:rPr>
                <w:b/>
                <w:bCs/>
                <w:color w:val="000000"/>
                <w:sz w:val="20"/>
                <w:szCs w:val="20"/>
              </w:rPr>
            </w:pPr>
            <w:r w:rsidRPr="00071861">
              <w:rPr>
                <w:b/>
                <w:bCs/>
                <w:color w:val="000000"/>
                <w:sz w:val="20"/>
                <w:szCs w:val="20"/>
              </w:rPr>
              <w:t>Model</w:t>
            </w:r>
          </w:p>
        </w:tc>
        <w:tc>
          <w:tcPr>
            <w:tcW w:w="789" w:type="pct"/>
          </w:tcPr>
          <w:p w:rsidR="008365B5" w:rsidRPr="00071861" w:rsidRDefault="008365B5" w:rsidP="009D4525">
            <w:pPr>
              <w:snapToGrid w:val="0"/>
              <w:jc w:val="both"/>
              <w:rPr>
                <w:b/>
                <w:bCs/>
                <w:color w:val="000000"/>
                <w:sz w:val="20"/>
                <w:szCs w:val="20"/>
              </w:rPr>
            </w:pPr>
            <w:r w:rsidRPr="00071861">
              <w:rPr>
                <w:b/>
                <w:bCs/>
                <w:color w:val="000000"/>
                <w:sz w:val="20"/>
                <w:szCs w:val="20"/>
              </w:rPr>
              <w:t>Parameter Estimate</w:t>
            </w:r>
          </w:p>
        </w:tc>
        <w:tc>
          <w:tcPr>
            <w:tcW w:w="526" w:type="pct"/>
          </w:tcPr>
          <w:p w:rsidR="008365B5" w:rsidRPr="00071861" w:rsidRDefault="008365B5" w:rsidP="009D4525">
            <w:pPr>
              <w:snapToGrid w:val="0"/>
              <w:jc w:val="both"/>
              <w:rPr>
                <w:b/>
                <w:bCs/>
                <w:color w:val="000000"/>
                <w:sz w:val="20"/>
                <w:szCs w:val="20"/>
              </w:rPr>
            </w:pPr>
            <w:r w:rsidRPr="00071861">
              <w:rPr>
                <w:b/>
                <w:bCs/>
                <w:color w:val="000000"/>
                <w:sz w:val="20"/>
                <w:szCs w:val="20"/>
              </w:rPr>
              <w:t>R</w:t>
            </w:r>
            <w:r w:rsidRPr="00071861">
              <w:rPr>
                <w:b/>
                <w:bCs/>
                <w:color w:val="000000"/>
                <w:sz w:val="20"/>
                <w:szCs w:val="20"/>
                <w:vertAlign w:val="superscript"/>
              </w:rPr>
              <w:t>2</w:t>
            </w:r>
          </w:p>
        </w:tc>
        <w:tc>
          <w:tcPr>
            <w:tcW w:w="474" w:type="pct"/>
          </w:tcPr>
          <w:p w:rsidR="008365B5" w:rsidRPr="00071861" w:rsidRDefault="008365B5" w:rsidP="009D4525">
            <w:pPr>
              <w:snapToGrid w:val="0"/>
              <w:jc w:val="both"/>
              <w:rPr>
                <w:b/>
                <w:bCs/>
                <w:color w:val="000000"/>
                <w:sz w:val="20"/>
                <w:szCs w:val="20"/>
              </w:rPr>
            </w:pPr>
            <w:r w:rsidRPr="00071861">
              <w:rPr>
                <w:b/>
                <w:bCs/>
                <w:color w:val="000000"/>
                <w:sz w:val="20"/>
                <w:szCs w:val="20"/>
              </w:rPr>
              <w:t>SEE</w:t>
            </w:r>
          </w:p>
        </w:tc>
        <w:tc>
          <w:tcPr>
            <w:tcW w:w="737" w:type="pct"/>
          </w:tcPr>
          <w:p w:rsidR="008365B5" w:rsidRPr="00071861" w:rsidRDefault="008365B5" w:rsidP="009D4525">
            <w:pPr>
              <w:snapToGrid w:val="0"/>
              <w:jc w:val="both"/>
              <w:rPr>
                <w:b/>
                <w:bCs/>
                <w:color w:val="000000"/>
                <w:sz w:val="20"/>
                <w:szCs w:val="20"/>
              </w:rPr>
            </w:pPr>
            <w:r w:rsidRPr="00071861">
              <w:rPr>
                <w:b/>
                <w:bCs/>
                <w:color w:val="000000"/>
                <w:sz w:val="20"/>
                <w:szCs w:val="20"/>
              </w:rPr>
              <w:t>AIC</w:t>
            </w:r>
          </w:p>
        </w:tc>
      </w:tr>
      <w:tr w:rsidR="008365B5" w:rsidRPr="00071861" w:rsidTr="00071861">
        <w:trPr>
          <w:jc w:val="center"/>
        </w:trPr>
        <w:tc>
          <w:tcPr>
            <w:tcW w:w="2474" w:type="pct"/>
          </w:tcPr>
          <w:p w:rsidR="008365B5" w:rsidRPr="00071861" w:rsidRDefault="008365B5" w:rsidP="009D4525">
            <w:pPr>
              <w:snapToGrid w:val="0"/>
              <w:jc w:val="both"/>
              <w:rPr>
                <w:b/>
                <w:color w:val="000000"/>
                <w:sz w:val="20"/>
                <w:szCs w:val="20"/>
              </w:rPr>
            </w:pPr>
            <w:r w:rsidRPr="00071861">
              <w:rPr>
                <w:b/>
                <w:color w:val="000000"/>
                <w:sz w:val="20"/>
                <w:szCs w:val="20"/>
              </w:rPr>
              <w:t>Power</w:t>
            </w:r>
          </w:p>
          <w:p w:rsidR="008365B5" w:rsidRPr="00071861" w:rsidRDefault="008365B5" w:rsidP="009D4525">
            <w:pPr>
              <w:snapToGrid w:val="0"/>
              <w:jc w:val="both"/>
              <w:rPr>
                <w:color w:val="000000"/>
                <w:sz w:val="20"/>
                <w:szCs w:val="20"/>
              </w:rPr>
            </w:pPr>
            <w:r w:rsidRPr="00071861">
              <w:rPr>
                <w:color w:val="000000"/>
                <w:sz w:val="20"/>
                <w:szCs w:val="20"/>
              </w:rPr>
              <w:object w:dxaOrig="1640" w:dyaOrig="380">
                <v:shape id="_x0000_i1039" type="#_x0000_t75" style="width:82pt;height:18.8pt" o:ole="">
                  <v:imagedata r:id="rId57" o:title=""/>
                </v:shape>
                <o:OLEObject Type="Embed" ProgID="Equation.3" ShapeID="_x0000_i1039" DrawAspect="Content" ObjectID="_1550782766" r:id="rId58"/>
              </w:object>
            </w:r>
          </w:p>
        </w:tc>
        <w:tc>
          <w:tcPr>
            <w:tcW w:w="789" w:type="pct"/>
          </w:tcPr>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0 </w:t>
            </w:r>
            <w:r w:rsidRPr="00071861">
              <w:rPr>
                <w:color w:val="000000"/>
                <w:sz w:val="20"/>
                <w:szCs w:val="20"/>
              </w:rPr>
              <w:t>= 6.865</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1 </w:t>
            </w:r>
            <w:r w:rsidRPr="00071861">
              <w:rPr>
                <w:color w:val="000000"/>
                <w:sz w:val="20"/>
                <w:szCs w:val="20"/>
              </w:rPr>
              <w:t>= 0.4</w:t>
            </w:r>
          </w:p>
        </w:tc>
        <w:tc>
          <w:tcPr>
            <w:tcW w:w="526" w:type="pct"/>
          </w:tcPr>
          <w:p w:rsidR="008365B5" w:rsidRPr="00071861" w:rsidRDefault="008365B5" w:rsidP="009D4525">
            <w:pPr>
              <w:snapToGrid w:val="0"/>
              <w:jc w:val="both"/>
              <w:rPr>
                <w:color w:val="000000"/>
                <w:sz w:val="20"/>
                <w:szCs w:val="20"/>
              </w:rPr>
            </w:pPr>
            <w:r w:rsidRPr="00071861">
              <w:rPr>
                <w:color w:val="000000"/>
                <w:sz w:val="20"/>
                <w:szCs w:val="20"/>
              </w:rPr>
              <w:t>0.942</w:t>
            </w:r>
          </w:p>
        </w:tc>
        <w:tc>
          <w:tcPr>
            <w:tcW w:w="474" w:type="pct"/>
          </w:tcPr>
          <w:p w:rsidR="008365B5" w:rsidRPr="00071861" w:rsidRDefault="008365B5" w:rsidP="009D4525">
            <w:pPr>
              <w:snapToGrid w:val="0"/>
              <w:jc w:val="both"/>
              <w:rPr>
                <w:color w:val="000000"/>
                <w:sz w:val="20"/>
                <w:szCs w:val="20"/>
              </w:rPr>
            </w:pPr>
            <w:r w:rsidRPr="00071861">
              <w:rPr>
                <w:color w:val="000000"/>
                <w:sz w:val="20"/>
                <w:szCs w:val="20"/>
              </w:rPr>
              <w:t>0.255</w:t>
            </w:r>
          </w:p>
        </w:tc>
        <w:tc>
          <w:tcPr>
            <w:tcW w:w="737" w:type="pct"/>
          </w:tcPr>
          <w:p w:rsidR="008365B5" w:rsidRPr="00071861" w:rsidRDefault="008365B5" w:rsidP="009D4525">
            <w:pPr>
              <w:snapToGrid w:val="0"/>
              <w:jc w:val="both"/>
              <w:rPr>
                <w:color w:val="000000"/>
                <w:sz w:val="20"/>
                <w:szCs w:val="20"/>
              </w:rPr>
            </w:pPr>
            <w:r w:rsidRPr="00071861">
              <w:rPr>
                <w:color w:val="000000"/>
                <w:sz w:val="20"/>
                <w:szCs w:val="20"/>
              </w:rPr>
              <w:t>-75.39</w:t>
            </w:r>
          </w:p>
        </w:tc>
      </w:tr>
      <w:tr w:rsidR="008365B5" w:rsidRPr="00071861" w:rsidTr="00071861">
        <w:trPr>
          <w:jc w:val="center"/>
        </w:trPr>
        <w:tc>
          <w:tcPr>
            <w:tcW w:w="2474" w:type="pct"/>
          </w:tcPr>
          <w:p w:rsidR="008365B5" w:rsidRPr="00071861" w:rsidRDefault="008365B5" w:rsidP="009D4525">
            <w:pPr>
              <w:snapToGrid w:val="0"/>
              <w:jc w:val="both"/>
              <w:rPr>
                <w:b/>
                <w:color w:val="000000"/>
                <w:sz w:val="20"/>
                <w:szCs w:val="20"/>
              </w:rPr>
            </w:pPr>
            <w:r w:rsidRPr="00071861">
              <w:rPr>
                <w:b/>
                <w:color w:val="000000"/>
                <w:sz w:val="20"/>
                <w:szCs w:val="20"/>
              </w:rPr>
              <w:t>Semi logarithm</w:t>
            </w:r>
          </w:p>
          <w:p w:rsidR="008365B5" w:rsidRPr="00071861" w:rsidRDefault="008365B5" w:rsidP="009D4525">
            <w:pPr>
              <w:snapToGrid w:val="0"/>
              <w:jc w:val="both"/>
              <w:rPr>
                <w:color w:val="000000"/>
                <w:sz w:val="20"/>
                <w:szCs w:val="20"/>
              </w:rPr>
            </w:pPr>
            <w:r w:rsidRPr="00071861">
              <w:rPr>
                <w:color w:val="000000"/>
                <w:sz w:val="20"/>
                <w:szCs w:val="20"/>
              </w:rPr>
              <w:object w:dxaOrig="2760" w:dyaOrig="360">
                <v:shape id="_x0000_i1040" type="#_x0000_t75" style="width:121.45pt;height:15.65pt" o:ole="">
                  <v:imagedata r:id="rId59" o:title=""/>
                </v:shape>
                <o:OLEObject Type="Embed" ProgID="Equation.3" ShapeID="_x0000_i1040" DrawAspect="Content" ObjectID="_1550782767" r:id="rId60"/>
              </w:object>
            </w:r>
          </w:p>
        </w:tc>
        <w:tc>
          <w:tcPr>
            <w:tcW w:w="789" w:type="pct"/>
          </w:tcPr>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0 </w:t>
            </w:r>
            <w:r w:rsidRPr="00071861">
              <w:rPr>
                <w:color w:val="000000"/>
                <w:sz w:val="20"/>
                <w:szCs w:val="20"/>
              </w:rPr>
              <w:t>= 2.10</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1 </w:t>
            </w:r>
            <w:r w:rsidRPr="00071861">
              <w:rPr>
                <w:color w:val="000000"/>
                <w:sz w:val="20"/>
                <w:szCs w:val="20"/>
              </w:rPr>
              <w:t>= 2.547</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2 </w:t>
            </w:r>
            <w:r w:rsidRPr="00071861">
              <w:rPr>
                <w:color w:val="000000"/>
                <w:sz w:val="20"/>
                <w:szCs w:val="20"/>
              </w:rPr>
              <w:t>= 0.094</w:t>
            </w:r>
          </w:p>
        </w:tc>
        <w:tc>
          <w:tcPr>
            <w:tcW w:w="526" w:type="pct"/>
          </w:tcPr>
          <w:p w:rsidR="008365B5" w:rsidRPr="00071861" w:rsidRDefault="008365B5" w:rsidP="009D4525">
            <w:pPr>
              <w:snapToGrid w:val="0"/>
              <w:jc w:val="both"/>
              <w:rPr>
                <w:color w:val="000000"/>
                <w:sz w:val="20"/>
                <w:szCs w:val="20"/>
              </w:rPr>
            </w:pPr>
            <w:r w:rsidRPr="00071861">
              <w:rPr>
                <w:color w:val="000000"/>
                <w:sz w:val="20"/>
                <w:szCs w:val="20"/>
              </w:rPr>
              <w:t>0.931</w:t>
            </w:r>
          </w:p>
        </w:tc>
        <w:tc>
          <w:tcPr>
            <w:tcW w:w="474" w:type="pct"/>
          </w:tcPr>
          <w:p w:rsidR="008365B5" w:rsidRPr="00071861" w:rsidRDefault="008365B5" w:rsidP="009D4525">
            <w:pPr>
              <w:snapToGrid w:val="0"/>
              <w:jc w:val="both"/>
              <w:rPr>
                <w:color w:val="000000"/>
                <w:sz w:val="20"/>
                <w:szCs w:val="20"/>
              </w:rPr>
            </w:pPr>
            <w:r w:rsidRPr="00071861">
              <w:rPr>
                <w:color w:val="000000"/>
                <w:sz w:val="20"/>
                <w:szCs w:val="20"/>
              </w:rPr>
              <w:t>0.284</w:t>
            </w:r>
          </w:p>
        </w:tc>
        <w:tc>
          <w:tcPr>
            <w:tcW w:w="737" w:type="pct"/>
          </w:tcPr>
          <w:p w:rsidR="008365B5" w:rsidRPr="00071861" w:rsidRDefault="008365B5" w:rsidP="009D4525">
            <w:pPr>
              <w:snapToGrid w:val="0"/>
              <w:jc w:val="both"/>
              <w:rPr>
                <w:color w:val="000000"/>
                <w:sz w:val="20"/>
                <w:szCs w:val="20"/>
              </w:rPr>
            </w:pPr>
            <w:r w:rsidRPr="00071861">
              <w:rPr>
                <w:color w:val="000000"/>
                <w:sz w:val="20"/>
                <w:szCs w:val="20"/>
              </w:rPr>
              <w:t>-68.122</w:t>
            </w:r>
          </w:p>
        </w:tc>
      </w:tr>
      <w:tr w:rsidR="008365B5" w:rsidRPr="00071861" w:rsidTr="00071861">
        <w:trPr>
          <w:jc w:val="center"/>
        </w:trPr>
        <w:tc>
          <w:tcPr>
            <w:tcW w:w="2474" w:type="pct"/>
          </w:tcPr>
          <w:p w:rsidR="008365B5" w:rsidRPr="00071861" w:rsidRDefault="008365B5" w:rsidP="009D4525">
            <w:pPr>
              <w:snapToGrid w:val="0"/>
              <w:jc w:val="both"/>
              <w:rPr>
                <w:b/>
                <w:color w:val="000000"/>
                <w:sz w:val="20"/>
                <w:szCs w:val="20"/>
              </w:rPr>
            </w:pPr>
            <w:r w:rsidRPr="00071861">
              <w:rPr>
                <w:b/>
                <w:color w:val="000000"/>
                <w:sz w:val="20"/>
                <w:szCs w:val="20"/>
              </w:rPr>
              <w:t>Double logarithm</w:t>
            </w:r>
          </w:p>
          <w:p w:rsidR="008365B5" w:rsidRPr="00071861" w:rsidRDefault="008365B5" w:rsidP="009D4525">
            <w:pPr>
              <w:snapToGrid w:val="0"/>
              <w:jc w:val="both"/>
              <w:rPr>
                <w:color w:val="000000"/>
                <w:sz w:val="20"/>
                <w:szCs w:val="20"/>
              </w:rPr>
            </w:pPr>
            <w:r w:rsidRPr="00071861">
              <w:rPr>
                <w:color w:val="000000"/>
                <w:sz w:val="20"/>
                <w:szCs w:val="20"/>
              </w:rPr>
              <w:object w:dxaOrig="3260" w:dyaOrig="360">
                <v:shape id="_x0000_i1041" type="#_x0000_t75" style="width:143.35pt;height:15.65pt" o:ole="">
                  <v:imagedata r:id="rId61" o:title=""/>
                </v:shape>
                <o:OLEObject Type="Embed" ProgID="Equation.3" ShapeID="_x0000_i1041" DrawAspect="Content" ObjectID="_1550782768" r:id="rId62"/>
              </w:object>
            </w:r>
          </w:p>
        </w:tc>
        <w:tc>
          <w:tcPr>
            <w:tcW w:w="789" w:type="pct"/>
          </w:tcPr>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0 </w:t>
            </w:r>
            <w:r w:rsidRPr="00071861">
              <w:rPr>
                <w:color w:val="000000"/>
                <w:sz w:val="20"/>
                <w:szCs w:val="20"/>
              </w:rPr>
              <w:t>= 4.278</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1 </w:t>
            </w:r>
            <w:r w:rsidRPr="00071861">
              <w:rPr>
                <w:color w:val="000000"/>
                <w:sz w:val="20"/>
                <w:szCs w:val="20"/>
              </w:rPr>
              <w:t>= 2.364</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2 </w:t>
            </w:r>
            <w:r w:rsidRPr="00071861">
              <w:rPr>
                <w:color w:val="000000"/>
                <w:sz w:val="20"/>
                <w:szCs w:val="20"/>
              </w:rPr>
              <w:t>= 0.845</w:t>
            </w:r>
          </w:p>
        </w:tc>
        <w:tc>
          <w:tcPr>
            <w:tcW w:w="526" w:type="pct"/>
          </w:tcPr>
          <w:p w:rsidR="008365B5" w:rsidRPr="00071861" w:rsidRDefault="008365B5" w:rsidP="009D4525">
            <w:pPr>
              <w:snapToGrid w:val="0"/>
              <w:jc w:val="both"/>
              <w:rPr>
                <w:color w:val="000000"/>
                <w:sz w:val="20"/>
                <w:szCs w:val="20"/>
              </w:rPr>
            </w:pPr>
            <w:r w:rsidRPr="00071861">
              <w:rPr>
                <w:color w:val="000000"/>
                <w:sz w:val="20"/>
                <w:szCs w:val="20"/>
              </w:rPr>
              <w:t>0.961</w:t>
            </w:r>
          </w:p>
        </w:tc>
        <w:tc>
          <w:tcPr>
            <w:tcW w:w="474" w:type="pct"/>
          </w:tcPr>
          <w:p w:rsidR="008365B5" w:rsidRPr="00071861" w:rsidRDefault="008365B5" w:rsidP="009D4525">
            <w:pPr>
              <w:snapToGrid w:val="0"/>
              <w:jc w:val="both"/>
              <w:rPr>
                <w:color w:val="000000"/>
                <w:sz w:val="20"/>
                <w:szCs w:val="20"/>
              </w:rPr>
            </w:pPr>
            <w:r w:rsidRPr="00071861">
              <w:rPr>
                <w:color w:val="000000"/>
                <w:sz w:val="20"/>
                <w:szCs w:val="20"/>
              </w:rPr>
              <w:t>0.284</w:t>
            </w:r>
          </w:p>
        </w:tc>
        <w:tc>
          <w:tcPr>
            <w:tcW w:w="737" w:type="pct"/>
          </w:tcPr>
          <w:p w:rsidR="008365B5" w:rsidRPr="00071861" w:rsidRDefault="008365B5" w:rsidP="009D4525">
            <w:pPr>
              <w:snapToGrid w:val="0"/>
              <w:jc w:val="both"/>
              <w:rPr>
                <w:color w:val="000000"/>
                <w:sz w:val="20"/>
                <w:szCs w:val="20"/>
              </w:rPr>
            </w:pPr>
            <w:r w:rsidRPr="00071861">
              <w:rPr>
                <w:color w:val="000000"/>
                <w:sz w:val="20"/>
                <w:szCs w:val="20"/>
              </w:rPr>
              <w:t>-84.558</w:t>
            </w:r>
          </w:p>
        </w:tc>
      </w:tr>
      <w:tr w:rsidR="008365B5" w:rsidRPr="00071861" w:rsidTr="00071861">
        <w:trPr>
          <w:jc w:val="center"/>
        </w:trPr>
        <w:tc>
          <w:tcPr>
            <w:tcW w:w="2474" w:type="pct"/>
          </w:tcPr>
          <w:p w:rsidR="008365B5" w:rsidRPr="00071861" w:rsidRDefault="008365B5" w:rsidP="009D4525">
            <w:pPr>
              <w:snapToGrid w:val="0"/>
              <w:jc w:val="both"/>
              <w:rPr>
                <w:b/>
                <w:color w:val="000000"/>
                <w:sz w:val="20"/>
                <w:szCs w:val="20"/>
              </w:rPr>
            </w:pPr>
            <w:r w:rsidRPr="00071861">
              <w:rPr>
                <w:b/>
                <w:color w:val="000000"/>
                <w:sz w:val="20"/>
                <w:szCs w:val="20"/>
              </w:rPr>
              <w:t>Combined variable</w:t>
            </w:r>
          </w:p>
          <w:p w:rsidR="008365B5" w:rsidRPr="00071861" w:rsidRDefault="008365B5" w:rsidP="009D4525">
            <w:pPr>
              <w:snapToGrid w:val="0"/>
              <w:jc w:val="both"/>
              <w:rPr>
                <w:color w:val="000000"/>
                <w:sz w:val="20"/>
                <w:szCs w:val="20"/>
              </w:rPr>
            </w:pPr>
            <w:r w:rsidRPr="00071861">
              <w:rPr>
                <w:color w:val="000000"/>
                <w:sz w:val="20"/>
                <w:szCs w:val="20"/>
              </w:rPr>
              <w:object w:dxaOrig="2500" w:dyaOrig="380">
                <v:shape id="_x0000_i1042" type="#_x0000_t75" style="width:124.6pt;height:18.8pt" o:ole="">
                  <v:imagedata r:id="rId63" o:title=""/>
                </v:shape>
                <o:OLEObject Type="Embed" ProgID="Equation.3" ShapeID="_x0000_i1042" DrawAspect="Content" ObjectID="_1550782769" r:id="rId64"/>
              </w:object>
            </w:r>
          </w:p>
        </w:tc>
        <w:tc>
          <w:tcPr>
            <w:tcW w:w="789" w:type="pct"/>
          </w:tcPr>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0 </w:t>
            </w:r>
            <w:r w:rsidRPr="00071861">
              <w:rPr>
                <w:color w:val="000000"/>
                <w:sz w:val="20"/>
                <w:szCs w:val="20"/>
              </w:rPr>
              <w:t>= 5.075</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1 </w:t>
            </w:r>
            <w:r w:rsidRPr="00071861">
              <w:rPr>
                <w:color w:val="000000"/>
                <w:sz w:val="20"/>
                <w:szCs w:val="20"/>
              </w:rPr>
              <w:t>= 0.066</w:t>
            </w:r>
          </w:p>
        </w:tc>
        <w:tc>
          <w:tcPr>
            <w:tcW w:w="526" w:type="pct"/>
          </w:tcPr>
          <w:p w:rsidR="008365B5" w:rsidRPr="00071861" w:rsidRDefault="008365B5" w:rsidP="009D4525">
            <w:pPr>
              <w:snapToGrid w:val="0"/>
              <w:jc w:val="both"/>
              <w:rPr>
                <w:color w:val="000000"/>
                <w:sz w:val="20"/>
                <w:szCs w:val="20"/>
              </w:rPr>
            </w:pPr>
            <w:r w:rsidRPr="00071861">
              <w:rPr>
                <w:color w:val="000000"/>
                <w:sz w:val="20"/>
                <w:szCs w:val="20"/>
              </w:rPr>
              <w:t>0.826</w:t>
            </w:r>
          </w:p>
        </w:tc>
        <w:tc>
          <w:tcPr>
            <w:tcW w:w="474" w:type="pct"/>
          </w:tcPr>
          <w:p w:rsidR="008365B5" w:rsidRPr="00071861" w:rsidRDefault="008365B5" w:rsidP="009D4525">
            <w:pPr>
              <w:snapToGrid w:val="0"/>
              <w:jc w:val="both"/>
              <w:rPr>
                <w:color w:val="000000"/>
                <w:sz w:val="20"/>
                <w:szCs w:val="20"/>
              </w:rPr>
            </w:pPr>
            <w:r w:rsidRPr="00071861">
              <w:rPr>
                <w:color w:val="000000"/>
                <w:sz w:val="20"/>
                <w:szCs w:val="20"/>
              </w:rPr>
              <w:t>0.443</w:t>
            </w:r>
          </w:p>
        </w:tc>
        <w:tc>
          <w:tcPr>
            <w:tcW w:w="737" w:type="pct"/>
          </w:tcPr>
          <w:p w:rsidR="008365B5" w:rsidRPr="00071861" w:rsidRDefault="008365B5" w:rsidP="009D4525">
            <w:pPr>
              <w:snapToGrid w:val="0"/>
              <w:jc w:val="both"/>
              <w:rPr>
                <w:color w:val="000000"/>
                <w:sz w:val="20"/>
                <w:szCs w:val="20"/>
              </w:rPr>
            </w:pPr>
            <w:r w:rsidRPr="00071861">
              <w:rPr>
                <w:color w:val="000000"/>
                <w:sz w:val="20"/>
                <w:szCs w:val="20"/>
              </w:rPr>
              <w:t>-43.277</w:t>
            </w:r>
          </w:p>
        </w:tc>
      </w:tr>
      <w:tr w:rsidR="008365B5" w:rsidRPr="00071861" w:rsidTr="00071861">
        <w:trPr>
          <w:jc w:val="center"/>
        </w:trPr>
        <w:tc>
          <w:tcPr>
            <w:tcW w:w="2474" w:type="pct"/>
          </w:tcPr>
          <w:p w:rsidR="008365B5" w:rsidRPr="00071861" w:rsidRDefault="008365B5" w:rsidP="009D4525">
            <w:pPr>
              <w:snapToGrid w:val="0"/>
              <w:jc w:val="both"/>
              <w:rPr>
                <w:b/>
                <w:color w:val="000000"/>
                <w:sz w:val="20"/>
                <w:szCs w:val="20"/>
              </w:rPr>
            </w:pPr>
            <w:r w:rsidRPr="00071861">
              <w:rPr>
                <w:b/>
                <w:color w:val="000000"/>
                <w:sz w:val="20"/>
                <w:szCs w:val="20"/>
              </w:rPr>
              <w:t>Polynomial</w:t>
            </w:r>
            <w:r w:rsidRPr="00071861">
              <w:rPr>
                <w:color w:val="000000"/>
                <w:sz w:val="20"/>
                <w:szCs w:val="20"/>
              </w:rPr>
              <w:object w:dxaOrig="4099" w:dyaOrig="380">
                <v:shape id="_x0000_i1043" type="#_x0000_t75" style="width:204.75pt;height:18.8pt" o:ole="">
                  <v:imagedata r:id="rId65" o:title=""/>
                </v:shape>
                <o:OLEObject Type="Embed" ProgID="Equation.3" ShapeID="_x0000_i1043" DrawAspect="Content" ObjectID="_1550782770" r:id="rId66"/>
              </w:object>
            </w:r>
          </w:p>
        </w:tc>
        <w:tc>
          <w:tcPr>
            <w:tcW w:w="789" w:type="pct"/>
          </w:tcPr>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0 </w:t>
            </w:r>
            <w:r w:rsidRPr="00071861">
              <w:rPr>
                <w:color w:val="000000"/>
                <w:sz w:val="20"/>
                <w:szCs w:val="20"/>
              </w:rPr>
              <w:t>= 1.356</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1 </w:t>
            </w:r>
            <w:r w:rsidRPr="00071861">
              <w:rPr>
                <w:color w:val="000000"/>
                <w:sz w:val="20"/>
                <w:szCs w:val="20"/>
              </w:rPr>
              <w:t>= 7.961</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2 </w:t>
            </w:r>
            <w:r w:rsidRPr="00071861">
              <w:rPr>
                <w:color w:val="000000"/>
                <w:sz w:val="20"/>
                <w:szCs w:val="20"/>
              </w:rPr>
              <w:t>= -2.551</w:t>
            </w:r>
          </w:p>
          <w:p w:rsidR="008365B5" w:rsidRPr="00071861" w:rsidRDefault="008365B5" w:rsidP="009D4525">
            <w:pPr>
              <w:snapToGrid w:val="0"/>
              <w:jc w:val="both"/>
              <w:rPr>
                <w:color w:val="000000"/>
                <w:sz w:val="20"/>
                <w:szCs w:val="20"/>
              </w:rPr>
            </w:pPr>
            <w:r w:rsidRPr="00071861">
              <w:rPr>
                <w:color w:val="000000"/>
                <w:sz w:val="20"/>
                <w:szCs w:val="20"/>
              </w:rPr>
              <w:t>b</w:t>
            </w:r>
            <w:r w:rsidRPr="00071861">
              <w:rPr>
                <w:color w:val="000000"/>
                <w:sz w:val="20"/>
                <w:szCs w:val="20"/>
                <w:vertAlign w:val="subscript"/>
              </w:rPr>
              <w:t xml:space="preserve">3 </w:t>
            </w:r>
            <w:r w:rsidRPr="00071861">
              <w:rPr>
                <w:color w:val="000000"/>
                <w:sz w:val="20"/>
                <w:szCs w:val="20"/>
              </w:rPr>
              <w:t>= -0.151</w:t>
            </w:r>
          </w:p>
        </w:tc>
        <w:tc>
          <w:tcPr>
            <w:tcW w:w="526" w:type="pct"/>
          </w:tcPr>
          <w:p w:rsidR="008365B5" w:rsidRPr="00071861" w:rsidRDefault="008365B5" w:rsidP="009D4525">
            <w:pPr>
              <w:snapToGrid w:val="0"/>
              <w:jc w:val="both"/>
              <w:rPr>
                <w:color w:val="000000"/>
                <w:sz w:val="20"/>
                <w:szCs w:val="20"/>
              </w:rPr>
            </w:pPr>
            <w:r w:rsidRPr="00071861">
              <w:rPr>
                <w:color w:val="000000"/>
                <w:sz w:val="20"/>
                <w:szCs w:val="20"/>
              </w:rPr>
              <w:t>0.971</w:t>
            </w:r>
          </w:p>
        </w:tc>
        <w:tc>
          <w:tcPr>
            <w:tcW w:w="474" w:type="pct"/>
          </w:tcPr>
          <w:p w:rsidR="008365B5" w:rsidRPr="00071861" w:rsidRDefault="008365B5" w:rsidP="009D4525">
            <w:pPr>
              <w:snapToGrid w:val="0"/>
              <w:jc w:val="both"/>
              <w:rPr>
                <w:color w:val="000000"/>
                <w:sz w:val="20"/>
                <w:szCs w:val="20"/>
              </w:rPr>
            </w:pPr>
            <w:r w:rsidRPr="00071861">
              <w:rPr>
                <w:color w:val="000000"/>
                <w:sz w:val="20"/>
                <w:szCs w:val="20"/>
              </w:rPr>
              <w:t>0.187</w:t>
            </w:r>
          </w:p>
        </w:tc>
        <w:tc>
          <w:tcPr>
            <w:tcW w:w="737" w:type="pct"/>
          </w:tcPr>
          <w:p w:rsidR="008365B5" w:rsidRPr="00071861" w:rsidRDefault="008365B5" w:rsidP="009D4525">
            <w:pPr>
              <w:snapToGrid w:val="0"/>
              <w:jc w:val="both"/>
              <w:rPr>
                <w:color w:val="000000"/>
                <w:sz w:val="20"/>
                <w:szCs w:val="20"/>
              </w:rPr>
            </w:pPr>
            <w:r w:rsidRPr="00071861">
              <w:rPr>
                <w:color w:val="000000"/>
                <w:sz w:val="20"/>
                <w:szCs w:val="20"/>
              </w:rPr>
              <w:t>-94.603</w:t>
            </w:r>
          </w:p>
        </w:tc>
      </w:tr>
    </w:tbl>
    <w:p w:rsidR="009D4525" w:rsidRPr="00071861" w:rsidRDefault="009D4525" w:rsidP="009D4525">
      <w:pPr>
        <w:snapToGrid w:val="0"/>
        <w:ind w:firstLine="425"/>
        <w:jc w:val="both"/>
        <w:rPr>
          <w:sz w:val="20"/>
          <w:szCs w:val="20"/>
        </w:rPr>
      </w:pPr>
    </w:p>
    <w:p w:rsidR="009D4525" w:rsidRPr="00071861" w:rsidRDefault="009D4525" w:rsidP="009D4525">
      <w:pPr>
        <w:snapToGrid w:val="0"/>
        <w:ind w:firstLine="425"/>
        <w:jc w:val="both"/>
        <w:rPr>
          <w:sz w:val="20"/>
          <w:szCs w:val="20"/>
        </w:rPr>
        <w:sectPr w:rsidR="009D4525" w:rsidRPr="00071861" w:rsidSect="00186242">
          <w:headerReference w:type="default" r:id="rId67"/>
          <w:footerReference w:type="even" r:id="rId68"/>
          <w:footerReference w:type="default" r:id="rId69"/>
          <w:footnotePr>
            <w:pos w:val="beneathText"/>
          </w:footnotePr>
          <w:type w:val="continuous"/>
          <w:pgSz w:w="12240" w:h="15840" w:code="1"/>
          <w:pgMar w:top="1440" w:right="1440" w:bottom="1440" w:left="1440" w:header="720" w:footer="720" w:gutter="0"/>
          <w:cols w:space="576"/>
          <w:docGrid w:linePitch="360"/>
        </w:sectPr>
      </w:pPr>
    </w:p>
    <w:p w:rsidR="008365B5" w:rsidRPr="00071861" w:rsidRDefault="00FE1535" w:rsidP="009D4525">
      <w:pPr>
        <w:snapToGrid w:val="0"/>
        <w:jc w:val="center"/>
        <w:rPr>
          <w:b/>
          <w:sz w:val="20"/>
          <w:szCs w:val="20"/>
        </w:rPr>
      </w:pPr>
      <w:r w:rsidRPr="00071861">
        <w:rPr>
          <w:b/>
          <w:noProof/>
          <w:sz w:val="20"/>
          <w:szCs w:val="20"/>
          <w:lang w:eastAsia="zh-CN"/>
        </w:rPr>
        <w:lastRenderedPageBreak/>
        <w:drawing>
          <wp:inline distT="0" distB="0" distL="0" distR="0">
            <wp:extent cx="2743200" cy="2138900"/>
            <wp:effectExtent l="0" t="0" r="0" b="0"/>
            <wp:docPr id="2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8365B5" w:rsidRPr="00071861" w:rsidRDefault="008365B5" w:rsidP="009D4525">
      <w:pPr>
        <w:snapToGrid w:val="0"/>
        <w:jc w:val="both"/>
        <w:rPr>
          <w:b/>
          <w:sz w:val="20"/>
          <w:szCs w:val="20"/>
        </w:rPr>
      </w:pPr>
      <w:r w:rsidRPr="00071861">
        <w:rPr>
          <w:b/>
          <w:sz w:val="20"/>
          <w:szCs w:val="20"/>
        </w:rPr>
        <w:t>Fig 3: Relationship between residual and estimated Carbon sequestered of selected model</w:t>
      </w:r>
    </w:p>
    <w:p w:rsidR="008365B5" w:rsidRPr="00071861" w:rsidRDefault="008365B5" w:rsidP="009D4525">
      <w:pPr>
        <w:snapToGrid w:val="0"/>
        <w:jc w:val="both"/>
        <w:rPr>
          <w:b/>
          <w:sz w:val="20"/>
          <w:szCs w:val="20"/>
        </w:rPr>
      </w:pPr>
    </w:p>
    <w:p w:rsidR="008365B5" w:rsidRPr="00071861" w:rsidRDefault="008365B5" w:rsidP="009D4525">
      <w:pPr>
        <w:snapToGrid w:val="0"/>
        <w:jc w:val="both"/>
        <w:rPr>
          <w:b/>
          <w:sz w:val="20"/>
          <w:szCs w:val="20"/>
        </w:rPr>
      </w:pPr>
      <w:r w:rsidRPr="00071861">
        <w:rPr>
          <w:b/>
          <w:sz w:val="20"/>
          <w:szCs w:val="20"/>
        </w:rPr>
        <w:t>Conclusion</w:t>
      </w:r>
    </w:p>
    <w:p w:rsidR="00B81B76" w:rsidRPr="00071861" w:rsidRDefault="008365B5" w:rsidP="009D4525">
      <w:pPr>
        <w:snapToGrid w:val="0"/>
        <w:ind w:firstLine="425"/>
        <w:jc w:val="both"/>
        <w:rPr>
          <w:sz w:val="20"/>
          <w:szCs w:val="20"/>
          <w:lang w:eastAsia="en-GB"/>
        </w:rPr>
      </w:pPr>
      <w:r w:rsidRPr="00071861">
        <w:rPr>
          <w:sz w:val="20"/>
          <w:szCs w:val="20"/>
          <w:lang w:eastAsia="en-GB"/>
        </w:rPr>
        <w:t xml:space="preserve">Based on the evaluation of the models examined in this study, the polynomial models are recommended as carbon sequestration models for </w:t>
      </w:r>
      <w:proofErr w:type="spellStart"/>
      <w:r w:rsidRPr="00071861">
        <w:rPr>
          <w:i/>
          <w:iCs/>
          <w:sz w:val="20"/>
          <w:szCs w:val="20"/>
          <w:lang w:eastAsia="en-GB"/>
        </w:rPr>
        <w:t>Gmelina</w:t>
      </w:r>
      <w:proofErr w:type="spellEnd"/>
      <w:r w:rsidRPr="00071861">
        <w:rPr>
          <w:i/>
          <w:iCs/>
          <w:sz w:val="20"/>
          <w:szCs w:val="20"/>
          <w:lang w:eastAsia="en-GB"/>
        </w:rPr>
        <w:t xml:space="preserve"> </w:t>
      </w:r>
      <w:proofErr w:type="spellStart"/>
      <w:r w:rsidRPr="00071861">
        <w:rPr>
          <w:i/>
          <w:iCs/>
          <w:sz w:val="20"/>
          <w:szCs w:val="20"/>
          <w:lang w:eastAsia="en-GB"/>
        </w:rPr>
        <w:t>arborea</w:t>
      </w:r>
      <w:proofErr w:type="spellEnd"/>
      <w:r w:rsidRPr="00071861">
        <w:rPr>
          <w:sz w:val="20"/>
          <w:szCs w:val="20"/>
          <w:lang w:eastAsia="en-GB"/>
        </w:rPr>
        <w:t xml:space="preserve"> stand in </w:t>
      </w:r>
      <w:proofErr w:type="spellStart"/>
      <w:r w:rsidRPr="00071861">
        <w:rPr>
          <w:sz w:val="20"/>
          <w:szCs w:val="20"/>
          <w:lang w:eastAsia="en-GB"/>
        </w:rPr>
        <w:t>Omo</w:t>
      </w:r>
      <w:proofErr w:type="spellEnd"/>
      <w:r w:rsidRPr="00071861">
        <w:rPr>
          <w:sz w:val="20"/>
          <w:szCs w:val="20"/>
          <w:lang w:eastAsia="en-GB"/>
        </w:rPr>
        <w:t xml:space="preserve"> Forest Reserve. This model has DBH as its independent variables. It is note worthy that the age range of data used for </w:t>
      </w:r>
      <w:proofErr w:type="spellStart"/>
      <w:r w:rsidRPr="00071861">
        <w:rPr>
          <w:sz w:val="20"/>
          <w:szCs w:val="20"/>
          <w:lang w:eastAsia="en-GB"/>
        </w:rPr>
        <w:t>modelling</w:t>
      </w:r>
      <w:proofErr w:type="spellEnd"/>
      <w:r w:rsidRPr="00071861">
        <w:rPr>
          <w:sz w:val="20"/>
          <w:szCs w:val="20"/>
          <w:lang w:eastAsia="en-GB"/>
        </w:rPr>
        <w:t xml:space="preserve"> was small. As more data become available to cover a wider range of ages, the model can further be investigated through validatio</w:t>
      </w:r>
      <w:r w:rsidR="00B81B76" w:rsidRPr="00071861">
        <w:rPr>
          <w:sz w:val="20"/>
          <w:szCs w:val="20"/>
          <w:lang w:eastAsia="en-GB"/>
        </w:rPr>
        <w:t>n.</w:t>
      </w:r>
    </w:p>
    <w:p w:rsidR="008365B5" w:rsidRPr="00071861" w:rsidRDefault="008365B5" w:rsidP="009D4525">
      <w:pPr>
        <w:snapToGrid w:val="0"/>
        <w:jc w:val="both"/>
        <w:rPr>
          <w:b/>
          <w:sz w:val="20"/>
          <w:szCs w:val="20"/>
        </w:rPr>
      </w:pPr>
    </w:p>
    <w:p w:rsidR="008365B5" w:rsidRPr="00071861" w:rsidRDefault="008365B5" w:rsidP="009D4525">
      <w:pPr>
        <w:snapToGrid w:val="0"/>
        <w:jc w:val="both"/>
        <w:rPr>
          <w:b/>
          <w:sz w:val="20"/>
          <w:szCs w:val="20"/>
        </w:rPr>
      </w:pPr>
      <w:r w:rsidRPr="00071861">
        <w:rPr>
          <w:b/>
          <w:sz w:val="20"/>
          <w:szCs w:val="20"/>
        </w:rPr>
        <w:t>Corresponding Author:</w:t>
      </w:r>
    </w:p>
    <w:p w:rsidR="008365B5" w:rsidRPr="00071861" w:rsidRDefault="008365B5" w:rsidP="009D4525">
      <w:pPr>
        <w:snapToGrid w:val="0"/>
        <w:jc w:val="both"/>
        <w:rPr>
          <w:sz w:val="20"/>
          <w:szCs w:val="20"/>
        </w:rPr>
      </w:pPr>
      <w:r w:rsidRPr="00071861">
        <w:rPr>
          <w:sz w:val="20"/>
          <w:szCs w:val="20"/>
        </w:rPr>
        <w:t xml:space="preserve">Dr. </w:t>
      </w:r>
      <w:proofErr w:type="spellStart"/>
      <w:r w:rsidRPr="00071861">
        <w:rPr>
          <w:sz w:val="20"/>
          <w:szCs w:val="20"/>
        </w:rPr>
        <w:t>Eguakun</w:t>
      </w:r>
      <w:proofErr w:type="spellEnd"/>
      <w:r w:rsidRPr="00071861">
        <w:rPr>
          <w:sz w:val="20"/>
          <w:szCs w:val="20"/>
        </w:rPr>
        <w:t xml:space="preserve"> </w:t>
      </w:r>
      <w:proofErr w:type="spellStart"/>
      <w:r w:rsidRPr="00071861">
        <w:rPr>
          <w:sz w:val="20"/>
          <w:szCs w:val="20"/>
        </w:rPr>
        <w:t>Funmilayo</w:t>
      </w:r>
      <w:proofErr w:type="spellEnd"/>
      <w:r w:rsidRPr="00071861">
        <w:rPr>
          <w:sz w:val="20"/>
          <w:szCs w:val="20"/>
        </w:rPr>
        <w:t xml:space="preserve"> Sarah</w:t>
      </w:r>
    </w:p>
    <w:p w:rsidR="008365B5" w:rsidRPr="00071861" w:rsidRDefault="008365B5" w:rsidP="009D4525">
      <w:pPr>
        <w:snapToGrid w:val="0"/>
        <w:jc w:val="both"/>
        <w:rPr>
          <w:sz w:val="20"/>
          <w:szCs w:val="20"/>
        </w:rPr>
      </w:pPr>
      <w:r w:rsidRPr="00071861">
        <w:rPr>
          <w:sz w:val="20"/>
          <w:szCs w:val="20"/>
        </w:rPr>
        <w:t>Department of Forestry&amp; Wildlife Mgt.</w:t>
      </w:r>
    </w:p>
    <w:p w:rsidR="008365B5" w:rsidRPr="00071861" w:rsidRDefault="008365B5" w:rsidP="009D4525">
      <w:pPr>
        <w:snapToGrid w:val="0"/>
        <w:jc w:val="both"/>
        <w:rPr>
          <w:sz w:val="20"/>
          <w:szCs w:val="20"/>
        </w:rPr>
      </w:pPr>
      <w:r w:rsidRPr="00071861">
        <w:rPr>
          <w:sz w:val="20"/>
          <w:szCs w:val="20"/>
        </w:rPr>
        <w:t>University of Port Harcourt</w:t>
      </w:r>
    </w:p>
    <w:p w:rsidR="008365B5" w:rsidRPr="00071861" w:rsidRDefault="008365B5" w:rsidP="009D4525">
      <w:pPr>
        <w:snapToGrid w:val="0"/>
        <w:jc w:val="both"/>
        <w:rPr>
          <w:sz w:val="20"/>
          <w:szCs w:val="20"/>
          <w:lang w:eastAsia="zh-CN"/>
        </w:rPr>
      </w:pPr>
      <w:r w:rsidRPr="00071861">
        <w:rPr>
          <w:sz w:val="20"/>
          <w:szCs w:val="20"/>
        </w:rPr>
        <w:t>Rivers state, Nigeria</w:t>
      </w:r>
    </w:p>
    <w:p w:rsidR="008365B5" w:rsidRPr="00071861" w:rsidRDefault="008365B5" w:rsidP="009D4525">
      <w:pPr>
        <w:snapToGrid w:val="0"/>
        <w:jc w:val="both"/>
        <w:rPr>
          <w:sz w:val="20"/>
          <w:szCs w:val="20"/>
          <w:lang w:eastAsia="zh-CN"/>
        </w:rPr>
      </w:pPr>
      <w:r w:rsidRPr="00071861">
        <w:rPr>
          <w:rFonts w:hint="eastAsia"/>
          <w:sz w:val="20"/>
          <w:szCs w:val="20"/>
          <w:lang w:eastAsia="zh-CN"/>
        </w:rPr>
        <w:t xml:space="preserve">Telephone: </w:t>
      </w:r>
      <w:r w:rsidRPr="00071861">
        <w:rPr>
          <w:color w:val="000000"/>
          <w:sz w:val="20"/>
          <w:szCs w:val="20"/>
        </w:rPr>
        <w:t>2348038624661</w:t>
      </w:r>
    </w:p>
    <w:p w:rsidR="008365B5" w:rsidRPr="00071861" w:rsidRDefault="008365B5" w:rsidP="009D4525">
      <w:pPr>
        <w:snapToGrid w:val="0"/>
        <w:jc w:val="both"/>
        <w:rPr>
          <w:sz w:val="20"/>
          <w:szCs w:val="20"/>
        </w:rPr>
      </w:pPr>
      <w:r w:rsidRPr="00071861">
        <w:rPr>
          <w:sz w:val="20"/>
          <w:szCs w:val="20"/>
        </w:rPr>
        <w:t xml:space="preserve">E-mail: </w:t>
      </w:r>
      <w:hyperlink r:id="rId71" w:history="1">
        <w:r w:rsidRPr="00071861">
          <w:rPr>
            <w:rStyle w:val="Hyperlink"/>
            <w:sz w:val="20"/>
            <w:szCs w:val="20"/>
          </w:rPr>
          <w:t>funmilayo.popo-ola@uniport.edu.ng</w:t>
        </w:r>
      </w:hyperlink>
    </w:p>
    <w:p w:rsidR="00B81B76" w:rsidRPr="00071861" w:rsidRDefault="00B81B76" w:rsidP="009D4525">
      <w:pPr>
        <w:snapToGrid w:val="0"/>
        <w:jc w:val="both"/>
        <w:rPr>
          <w:b/>
          <w:sz w:val="20"/>
          <w:szCs w:val="20"/>
          <w:lang w:eastAsia="zh-CN"/>
        </w:rPr>
      </w:pPr>
    </w:p>
    <w:p w:rsidR="00471E57" w:rsidRPr="00071861" w:rsidRDefault="00471E57" w:rsidP="009D4525">
      <w:pPr>
        <w:snapToGrid w:val="0"/>
        <w:jc w:val="both"/>
        <w:rPr>
          <w:sz w:val="20"/>
          <w:szCs w:val="20"/>
        </w:rPr>
      </w:pPr>
      <w:r w:rsidRPr="00071861">
        <w:rPr>
          <w:b/>
          <w:sz w:val="20"/>
          <w:szCs w:val="20"/>
        </w:rPr>
        <w:lastRenderedPageBreak/>
        <w:t>References</w:t>
      </w:r>
    </w:p>
    <w:p w:rsidR="00CC3007" w:rsidRPr="00071861" w:rsidRDefault="00CC3007" w:rsidP="009D4525">
      <w:pPr>
        <w:numPr>
          <w:ilvl w:val="0"/>
          <w:numId w:val="4"/>
        </w:numPr>
        <w:tabs>
          <w:tab w:val="clear" w:pos="360"/>
        </w:tabs>
        <w:snapToGrid w:val="0"/>
        <w:ind w:left="425" w:hanging="425"/>
        <w:jc w:val="both"/>
        <w:rPr>
          <w:sz w:val="20"/>
          <w:szCs w:val="20"/>
        </w:rPr>
      </w:pPr>
      <w:proofErr w:type="spellStart"/>
      <w:r w:rsidRPr="00071861">
        <w:rPr>
          <w:sz w:val="20"/>
          <w:szCs w:val="20"/>
        </w:rPr>
        <w:t>Akindele</w:t>
      </w:r>
      <w:proofErr w:type="spellEnd"/>
      <w:r w:rsidRPr="00071861">
        <w:rPr>
          <w:sz w:val="20"/>
          <w:szCs w:val="20"/>
        </w:rPr>
        <w:t xml:space="preserve">, S.O. and </w:t>
      </w:r>
      <w:proofErr w:type="spellStart"/>
      <w:r w:rsidRPr="00071861">
        <w:rPr>
          <w:sz w:val="20"/>
          <w:szCs w:val="20"/>
        </w:rPr>
        <w:t>Abayomi</w:t>
      </w:r>
      <w:proofErr w:type="spellEnd"/>
      <w:r w:rsidRPr="00071861">
        <w:rPr>
          <w:sz w:val="20"/>
          <w:szCs w:val="20"/>
        </w:rPr>
        <w:t xml:space="preserve">, J.O. 1993. Stem diameter distribution in a permanent sample plot of </w:t>
      </w:r>
      <w:proofErr w:type="spellStart"/>
      <w:r w:rsidRPr="00071861">
        <w:rPr>
          <w:i/>
          <w:sz w:val="20"/>
          <w:szCs w:val="20"/>
        </w:rPr>
        <w:t>Nauclea</w:t>
      </w:r>
      <w:proofErr w:type="spellEnd"/>
      <w:r w:rsidRPr="00071861">
        <w:rPr>
          <w:i/>
          <w:sz w:val="20"/>
          <w:szCs w:val="20"/>
        </w:rPr>
        <w:t xml:space="preserve"> </w:t>
      </w:r>
      <w:proofErr w:type="spellStart"/>
      <w:r w:rsidRPr="00071861">
        <w:rPr>
          <w:i/>
          <w:sz w:val="20"/>
          <w:szCs w:val="20"/>
        </w:rPr>
        <w:t>diderichi</w:t>
      </w:r>
      <w:proofErr w:type="spellEnd"/>
      <w:r w:rsidRPr="00071861">
        <w:rPr>
          <w:sz w:val="20"/>
          <w:szCs w:val="20"/>
        </w:rPr>
        <w:t xml:space="preserve"> de wild in Southwestern Nigeria.</w:t>
      </w:r>
      <w:r w:rsidRPr="00071861">
        <w:rPr>
          <w:i/>
          <w:iCs/>
          <w:sz w:val="20"/>
          <w:szCs w:val="20"/>
        </w:rPr>
        <w:t xml:space="preserve"> Proceedings of IUFRO conference held in Copenhagen. 14-17 June.</w:t>
      </w:r>
      <w:r w:rsidRPr="00071861">
        <w:rPr>
          <w:sz w:val="20"/>
          <w:szCs w:val="20"/>
        </w:rPr>
        <w:t xml:space="preserve"> </w:t>
      </w:r>
      <w:proofErr w:type="spellStart"/>
      <w:r w:rsidRPr="00071861">
        <w:rPr>
          <w:sz w:val="20"/>
          <w:szCs w:val="20"/>
        </w:rPr>
        <w:t>Vanclay</w:t>
      </w:r>
      <w:proofErr w:type="spellEnd"/>
      <w:r w:rsidRPr="00071861">
        <w:rPr>
          <w:sz w:val="20"/>
          <w:szCs w:val="20"/>
        </w:rPr>
        <w:t xml:space="preserve">, J.K., </w:t>
      </w:r>
      <w:proofErr w:type="spellStart"/>
      <w:r w:rsidRPr="00071861">
        <w:rPr>
          <w:sz w:val="20"/>
          <w:szCs w:val="20"/>
        </w:rPr>
        <w:t>Skovsgaard</w:t>
      </w:r>
      <w:proofErr w:type="spellEnd"/>
      <w:r w:rsidRPr="00071861">
        <w:rPr>
          <w:sz w:val="20"/>
          <w:szCs w:val="20"/>
        </w:rPr>
        <w:t xml:space="preserve">, J.P and </w:t>
      </w:r>
      <w:proofErr w:type="spellStart"/>
      <w:r w:rsidRPr="00071861">
        <w:rPr>
          <w:sz w:val="20"/>
          <w:szCs w:val="20"/>
        </w:rPr>
        <w:t>Gertner</w:t>
      </w:r>
      <w:proofErr w:type="spellEnd"/>
      <w:r w:rsidRPr="00071861">
        <w:rPr>
          <w:sz w:val="20"/>
          <w:szCs w:val="20"/>
        </w:rPr>
        <w:t>, G.Z Eds. 188-193.</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sz w:val="20"/>
          <w:szCs w:val="20"/>
        </w:rPr>
        <w:t xml:space="preserve">Baker, T. R., Phillips, O. L., </w:t>
      </w:r>
      <w:proofErr w:type="spellStart"/>
      <w:r w:rsidRPr="00071861">
        <w:rPr>
          <w:sz w:val="20"/>
          <w:szCs w:val="20"/>
        </w:rPr>
        <w:t>Malhi</w:t>
      </w:r>
      <w:proofErr w:type="spellEnd"/>
      <w:r w:rsidRPr="00071861">
        <w:rPr>
          <w:sz w:val="20"/>
          <w:szCs w:val="20"/>
        </w:rPr>
        <w:t>, Y., Almeida, S., Arroyo, L., Di Fiore, A., Erwin, T.</w:t>
      </w:r>
      <w:r w:rsidR="00B81B76" w:rsidRPr="00071861">
        <w:rPr>
          <w:sz w:val="20"/>
          <w:szCs w:val="20"/>
        </w:rPr>
        <w:t>, K</w:t>
      </w:r>
      <w:r w:rsidRPr="00071861">
        <w:rPr>
          <w:sz w:val="20"/>
          <w:szCs w:val="20"/>
        </w:rPr>
        <w:t xml:space="preserve">illeen, T. J., </w:t>
      </w:r>
      <w:proofErr w:type="spellStart"/>
      <w:r w:rsidRPr="00071861">
        <w:rPr>
          <w:sz w:val="20"/>
          <w:szCs w:val="20"/>
        </w:rPr>
        <w:t>Laurance</w:t>
      </w:r>
      <w:proofErr w:type="spellEnd"/>
      <w:r w:rsidRPr="00071861">
        <w:rPr>
          <w:sz w:val="20"/>
          <w:szCs w:val="20"/>
        </w:rPr>
        <w:t xml:space="preserve">, S. G., </w:t>
      </w:r>
      <w:proofErr w:type="spellStart"/>
      <w:r w:rsidRPr="00071861">
        <w:rPr>
          <w:sz w:val="20"/>
          <w:szCs w:val="20"/>
        </w:rPr>
        <w:t>Laurance</w:t>
      </w:r>
      <w:proofErr w:type="spellEnd"/>
      <w:r w:rsidRPr="00071861">
        <w:rPr>
          <w:sz w:val="20"/>
          <w:szCs w:val="20"/>
        </w:rPr>
        <w:t xml:space="preserve">, W. F., Lewis, S. L., Lloyd, J., </w:t>
      </w:r>
      <w:proofErr w:type="spellStart"/>
      <w:r w:rsidRPr="00071861">
        <w:rPr>
          <w:sz w:val="20"/>
          <w:szCs w:val="20"/>
        </w:rPr>
        <w:t>Monteagudo</w:t>
      </w:r>
      <w:proofErr w:type="spellEnd"/>
      <w:r w:rsidRPr="00071861">
        <w:rPr>
          <w:sz w:val="20"/>
          <w:szCs w:val="20"/>
        </w:rPr>
        <w:t xml:space="preserve">, A., Neill, D. A., </w:t>
      </w:r>
      <w:proofErr w:type="spellStart"/>
      <w:r w:rsidRPr="00071861">
        <w:rPr>
          <w:sz w:val="20"/>
          <w:szCs w:val="20"/>
        </w:rPr>
        <w:t>Patino</w:t>
      </w:r>
      <w:proofErr w:type="spellEnd"/>
      <w:r w:rsidRPr="00071861">
        <w:rPr>
          <w:sz w:val="20"/>
          <w:szCs w:val="20"/>
        </w:rPr>
        <w:t xml:space="preserve">, S., Pitman, N. C. A., Silva, J. N. M. and Vasquez Martinez, R. 2004. Variation in wood density determines spatial patterns in Amazonian forest biomass. </w:t>
      </w:r>
      <w:r w:rsidRPr="00071861">
        <w:rPr>
          <w:i/>
          <w:iCs/>
          <w:sz w:val="20"/>
          <w:szCs w:val="20"/>
        </w:rPr>
        <w:t xml:space="preserve">Global Change Biology </w:t>
      </w:r>
      <w:r w:rsidRPr="00071861">
        <w:rPr>
          <w:sz w:val="20"/>
          <w:szCs w:val="20"/>
        </w:rPr>
        <w:t>10:545–562.</w:t>
      </w:r>
    </w:p>
    <w:p w:rsidR="00B81B76"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sz w:val="20"/>
          <w:szCs w:val="20"/>
        </w:rPr>
        <w:t>Brown, S., Gillespie, A.J.R. and Lugo, A.E. 1989. Biomass estimation methods for tropical forests with applications to forest inventory data. Forest Science, 35(4): 881-90</w:t>
      </w:r>
      <w:r w:rsidR="00B81B76" w:rsidRPr="00071861">
        <w:rPr>
          <w:sz w:val="20"/>
          <w:szCs w:val="20"/>
        </w:rPr>
        <w:t>2.</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sz w:val="20"/>
          <w:szCs w:val="20"/>
        </w:rPr>
        <w:t xml:space="preserve">Bunker, D.E., </w:t>
      </w:r>
      <w:proofErr w:type="spellStart"/>
      <w:r w:rsidRPr="00071861">
        <w:rPr>
          <w:sz w:val="20"/>
          <w:szCs w:val="20"/>
        </w:rPr>
        <w:t>DeClerck</w:t>
      </w:r>
      <w:proofErr w:type="spellEnd"/>
      <w:r w:rsidRPr="00071861">
        <w:rPr>
          <w:sz w:val="20"/>
          <w:szCs w:val="20"/>
        </w:rPr>
        <w:t xml:space="preserve">, F., Bradford, J.C., Colwell, R.K., Perfecto, I., Phillips, O.L., </w:t>
      </w:r>
      <w:proofErr w:type="spellStart"/>
      <w:r w:rsidRPr="00071861">
        <w:rPr>
          <w:sz w:val="20"/>
          <w:szCs w:val="20"/>
        </w:rPr>
        <w:t>Sankaran</w:t>
      </w:r>
      <w:proofErr w:type="spellEnd"/>
      <w:r w:rsidRPr="00071861">
        <w:rPr>
          <w:sz w:val="20"/>
          <w:szCs w:val="20"/>
        </w:rPr>
        <w:t xml:space="preserve">, M. and </w:t>
      </w:r>
      <w:proofErr w:type="spellStart"/>
      <w:r w:rsidRPr="00071861">
        <w:rPr>
          <w:sz w:val="20"/>
          <w:szCs w:val="20"/>
        </w:rPr>
        <w:t>Naeem</w:t>
      </w:r>
      <w:proofErr w:type="spellEnd"/>
      <w:r w:rsidRPr="00071861">
        <w:rPr>
          <w:sz w:val="20"/>
          <w:szCs w:val="20"/>
        </w:rPr>
        <w:t>, S. 2005</w:t>
      </w:r>
      <w:r w:rsidR="00B81B76" w:rsidRPr="00071861">
        <w:rPr>
          <w:sz w:val="20"/>
          <w:szCs w:val="20"/>
        </w:rPr>
        <w:t>. S</w:t>
      </w:r>
      <w:r w:rsidRPr="00071861">
        <w:rPr>
          <w:sz w:val="20"/>
          <w:szCs w:val="20"/>
        </w:rPr>
        <w:t>pecies loss and aboveground carbon storage in a tropical forest</w:t>
      </w:r>
      <w:r w:rsidR="00B81B76" w:rsidRPr="00071861">
        <w:rPr>
          <w:sz w:val="20"/>
          <w:szCs w:val="20"/>
        </w:rPr>
        <w:t xml:space="preserve">. </w:t>
      </w:r>
      <w:r w:rsidR="00B81B76" w:rsidRPr="00071861">
        <w:rPr>
          <w:i/>
          <w:iCs/>
          <w:sz w:val="20"/>
          <w:szCs w:val="20"/>
        </w:rPr>
        <w:t>S</w:t>
      </w:r>
      <w:r w:rsidRPr="00071861">
        <w:rPr>
          <w:i/>
          <w:iCs/>
          <w:sz w:val="20"/>
          <w:szCs w:val="20"/>
        </w:rPr>
        <w:t>cience</w:t>
      </w:r>
      <w:r w:rsidRPr="00071861">
        <w:rPr>
          <w:sz w:val="20"/>
          <w:szCs w:val="20"/>
        </w:rPr>
        <w:t xml:space="preserve">, </w:t>
      </w:r>
      <w:r w:rsidRPr="00071861">
        <w:rPr>
          <w:bCs/>
          <w:sz w:val="20"/>
          <w:szCs w:val="20"/>
        </w:rPr>
        <w:t>310</w:t>
      </w:r>
      <w:r w:rsidRPr="00071861">
        <w:rPr>
          <w:sz w:val="20"/>
          <w:szCs w:val="20"/>
        </w:rPr>
        <w:t>, 1029–1031.</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sz w:val="20"/>
          <w:szCs w:val="20"/>
        </w:rPr>
        <w:t xml:space="preserve">De </w:t>
      </w:r>
      <w:proofErr w:type="spellStart"/>
      <w:r w:rsidRPr="00071861">
        <w:rPr>
          <w:sz w:val="20"/>
          <w:szCs w:val="20"/>
        </w:rPr>
        <w:t>Gier</w:t>
      </w:r>
      <w:proofErr w:type="spellEnd"/>
      <w:r w:rsidRPr="00071861">
        <w:rPr>
          <w:sz w:val="20"/>
          <w:szCs w:val="20"/>
        </w:rPr>
        <w:t xml:space="preserve">, A., 2003. A new approach to woody biomass assessment in woodlands and Shrub lands. In: P. Roy (Ed), </w:t>
      </w:r>
      <w:proofErr w:type="spellStart"/>
      <w:r w:rsidRPr="00071861">
        <w:rPr>
          <w:i/>
          <w:iCs/>
          <w:sz w:val="20"/>
          <w:szCs w:val="20"/>
        </w:rPr>
        <w:t>Geoinformatics</w:t>
      </w:r>
      <w:proofErr w:type="spellEnd"/>
      <w:r w:rsidRPr="00071861">
        <w:rPr>
          <w:i/>
          <w:iCs/>
          <w:sz w:val="20"/>
          <w:szCs w:val="20"/>
        </w:rPr>
        <w:t xml:space="preserve"> for Tropical Ecosystems</w:t>
      </w:r>
      <w:r w:rsidRPr="00071861">
        <w:rPr>
          <w:sz w:val="20"/>
          <w:szCs w:val="20"/>
        </w:rPr>
        <w:t>, India. 161-198.</w:t>
      </w:r>
    </w:p>
    <w:p w:rsidR="00B81B76" w:rsidRPr="00071861" w:rsidRDefault="00CC3007" w:rsidP="009D4525">
      <w:pPr>
        <w:numPr>
          <w:ilvl w:val="0"/>
          <w:numId w:val="4"/>
        </w:numPr>
        <w:tabs>
          <w:tab w:val="clear" w:pos="360"/>
        </w:tabs>
        <w:suppressAutoHyphens w:val="0"/>
        <w:snapToGrid w:val="0"/>
        <w:ind w:left="425" w:hanging="425"/>
        <w:jc w:val="both"/>
        <w:rPr>
          <w:color w:val="000000"/>
          <w:sz w:val="20"/>
          <w:szCs w:val="20"/>
          <w:lang w:eastAsia="en-GB"/>
        </w:rPr>
      </w:pPr>
      <w:r w:rsidRPr="00071861">
        <w:rPr>
          <w:color w:val="000000"/>
          <w:sz w:val="20"/>
          <w:szCs w:val="20"/>
          <w:lang w:eastAsia="en-GB"/>
        </w:rPr>
        <w:t xml:space="preserve">FAO (Food and Agricultural Organization of the United Nations) 2005 </w:t>
      </w:r>
      <w:r w:rsidRPr="00071861">
        <w:rPr>
          <w:i/>
          <w:iCs/>
          <w:color w:val="000000"/>
          <w:sz w:val="20"/>
          <w:szCs w:val="20"/>
          <w:lang w:eastAsia="en-GB"/>
        </w:rPr>
        <w:t xml:space="preserve">FAO Statistical database 2005 </w:t>
      </w:r>
      <w:r w:rsidRPr="00071861">
        <w:rPr>
          <w:color w:val="000000"/>
          <w:sz w:val="20"/>
          <w:szCs w:val="20"/>
          <w:lang w:eastAsia="en-GB"/>
        </w:rPr>
        <w:t xml:space="preserve">available at </w:t>
      </w:r>
      <w:r w:rsidRPr="00071861">
        <w:rPr>
          <w:color w:val="0000FF"/>
          <w:sz w:val="20"/>
          <w:szCs w:val="20"/>
          <w:lang w:eastAsia="en-GB"/>
        </w:rPr>
        <w:t>http://</w:t>
      </w:r>
      <w:r w:rsidRPr="00071861">
        <w:rPr>
          <w:color w:val="000000"/>
          <w:sz w:val="20"/>
          <w:szCs w:val="20"/>
          <w:lang w:eastAsia="en-GB"/>
        </w:rPr>
        <w:t xml:space="preserve"> </w:t>
      </w:r>
      <w:r w:rsidRPr="00071861">
        <w:rPr>
          <w:color w:val="0000FF"/>
          <w:sz w:val="20"/>
          <w:szCs w:val="20"/>
          <w:lang w:eastAsia="en-GB"/>
        </w:rPr>
        <w:t xml:space="preserve">faostat.fao.org/ </w:t>
      </w:r>
      <w:r w:rsidRPr="00071861">
        <w:rPr>
          <w:color w:val="000000"/>
          <w:sz w:val="20"/>
          <w:szCs w:val="20"/>
          <w:lang w:eastAsia="en-GB"/>
        </w:rPr>
        <w:t>(accessed 2005-09-06</w:t>
      </w:r>
      <w:r w:rsidR="00B81B76" w:rsidRPr="00071861">
        <w:rPr>
          <w:color w:val="000000"/>
          <w:sz w:val="20"/>
          <w:szCs w:val="20"/>
          <w:lang w:eastAsia="en-GB"/>
        </w:rPr>
        <w:t>).</w:t>
      </w:r>
    </w:p>
    <w:p w:rsidR="00B81B76" w:rsidRPr="00071861" w:rsidRDefault="00CC3007" w:rsidP="009D4525">
      <w:pPr>
        <w:numPr>
          <w:ilvl w:val="0"/>
          <w:numId w:val="4"/>
        </w:numPr>
        <w:tabs>
          <w:tab w:val="clear" w:pos="360"/>
        </w:tabs>
        <w:suppressAutoHyphens w:val="0"/>
        <w:snapToGrid w:val="0"/>
        <w:ind w:left="425" w:hanging="425"/>
        <w:jc w:val="both"/>
        <w:rPr>
          <w:color w:val="000000"/>
          <w:sz w:val="20"/>
          <w:szCs w:val="20"/>
        </w:rPr>
      </w:pPr>
      <w:r w:rsidRPr="00071861">
        <w:rPr>
          <w:color w:val="000000"/>
          <w:sz w:val="20"/>
          <w:szCs w:val="20"/>
        </w:rPr>
        <w:t xml:space="preserve">Goers, L., </w:t>
      </w:r>
      <w:proofErr w:type="spellStart"/>
      <w:r w:rsidRPr="00071861">
        <w:rPr>
          <w:color w:val="000000"/>
          <w:sz w:val="20"/>
          <w:szCs w:val="20"/>
        </w:rPr>
        <w:t>Ashon</w:t>
      </w:r>
      <w:proofErr w:type="spellEnd"/>
      <w:r w:rsidRPr="00071861">
        <w:rPr>
          <w:color w:val="000000"/>
          <w:sz w:val="20"/>
          <w:szCs w:val="20"/>
        </w:rPr>
        <w:t xml:space="preserve">, M.S, and Tyrell M.L. 2012. Managing Forest Carbon in a Changing Climate. </w:t>
      </w:r>
      <w:r w:rsidRPr="00071861">
        <w:rPr>
          <w:i/>
          <w:color w:val="000000"/>
          <w:sz w:val="20"/>
          <w:szCs w:val="20"/>
        </w:rPr>
        <w:t>Springer</w:t>
      </w:r>
      <w:r w:rsidRPr="00071861">
        <w:rPr>
          <w:color w:val="000000"/>
          <w:sz w:val="20"/>
          <w:szCs w:val="20"/>
        </w:rPr>
        <w:t>. 1-</w:t>
      </w:r>
      <w:r w:rsidR="00B81B76" w:rsidRPr="00071861">
        <w:rPr>
          <w:color w:val="000000"/>
          <w:sz w:val="20"/>
          <w:szCs w:val="20"/>
        </w:rPr>
        <w:t>4.</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proofErr w:type="spellStart"/>
      <w:r w:rsidRPr="00071861">
        <w:rPr>
          <w:color w:val="000000"/>
          <w:sz w:val="20"/>
          <w:szCs w:val="20"/>
        </w:rPr>
        <w:lastRenderedPageBreak/>
        <w:t>Ketterings</w:t>
      </w:r>
      <w:proofErr w:type="spellEnd"/>
      <w:r w:rsidRPr="00071861">
        <w:rPr>
          <w:color w:val="000000"/>
          <w:sz w:val="20"/>
          <w:szCs w:val="20"/>
        </w:rPr>
        <w:t xml:space="preserve">, Q.M., Coe, R., van </w:t>
      </w:r>
      <w:proofErr w:type="spellStart"/>
      <w:r w:rsidRPr="00071861">
        <w:rPr>
          <w:color w:val="000000"/>
          <w:sz w:val="20"/>
          <w:szCs w:val="20"/>
        </w:rPr>
        <w:t>Noordwijk</w:t>
      </w:r>
      <w:proofErr w:type="spellEnd"/>
      <w:r w:rsidRPr="00071861">
        <w:rPr>
          <w:color w:val="000000"/>
          <w:sz w:val="20"/>
          <w:szCs w:val="20"/>
        </w:rPr>
        <w:t xml:space="preserve">, M., </w:t>
      </w:r>
      <w:proofErr w:type="spellStart"/>
      <w:r w:rsidRPr="00071861">
        <w:rPr>
          <w:color w:val="000000"/>
          <w:sz w:val="20"/>
          <w:szCs w:val="20"/>
        </w:rPr>
        <w:t>Ambagau</w:t>
      </w:r>
      <w:proofErr w:type="spellEnd"/>
      <w:r w:rsidRPr="00071861">
        <w:rPr>
          <w:color w:val="000000"/>
          <w:sz w:val="20"/>
          <w:szCs w:val="20"/>
        </w:rPr>
        <w:t>, Y. and Palm, C.A.,</w:t>
      </w:r>
      <w:r w:rsidR="009D4525" w:rsidRPr="00071861">
        <w:rPr>
          <w:color w:val="000000"/>
          <w:sz w:val="20"/>
          <w:szCs w:val="20"/>
        </w:rPr>
        <w:t xml:space="preserve"> </w:t>
      </w:r>
      <w:r w:rsidRPr="00071861">
        <w:rPr>
          <w:color w:val="000000"/>
          <w:sz w:val="20"/>
          <w:szCs w:val="20"/>
        </w:rPr>
        <w:t xml:space="preserve">2001. Reducing uncertainty in the use of </w:t>
      </w:r>
      <w:proofErr w:type="spellStart"/>
      <w:r w:rsidRPr="00071861">
        <w:rPr>
          <w:color w:val="000000"/>
          <w:sz w:val="20"/>
          <w:szCs w:val="20"/>
        </w:rPr>
        <w:t>allometric</w:t>
      </w:r>
      <w:proofErr w:type="spellEnd"/>
      <w:r w:rsidRPr="00071861">
        <w:rPr>
          <w:color w:val="000000"/>
          <w:sz w:val="20"/>
          <w:szCs w:val="20"/>
        </w:rPr>
        <w:t xml:space="preserve"> biomass equations for predicting above-ground tree biomass in mixed secondary forests. Forest Ecology and Management, 146(1-3): 199-209.</w:t>
      </w:r>
    </w:p>
    <w:p w:rsidR="00B81B76" w:rsidRPr="00071861" w:rsidRDefault="00CC3007" w:rsidP="009D4525">
      <w:pPr>
        <w:numPr>
          <w:ilvl w:val="0"/>
          <w:numId w:val="4"/>
        </w:numPr>
        <w:tabs>
          <w:tab w:val="clear" w:pos="360"/>
        </w:tabs>
        <w:suppressAutoHyphens w:val="0"/>
        <w:snapToGrid w:val="0"/>
        <w:ind w:left="425" w:hanging="425"/>
        <w:jc w:val="both"/>
        <w:rPr>
          <w:sz w:val="20"/>
          <w:szCs w:val="20"/>
        </w:rPr>
      </w:pPr>
      <w:proofErr w:type="spellStart"/>
      <w:r w:rsidRPr="00071861">
        <w:rPr>
          <w:sz w:val="20"/>
          <w:szCs w:val="20"/>
        </w:rPr>
        <w:t>Korner</w:t>
      </w:r>
      <w:proofErr w:type="spellEnd"/>
      <w:r w:rsidRPr="00071861">
        <w:rPr>
          <w:sz w:val="20"/>
          <w:szCs w:val="20"/>
        </w:rPr>
        <w:t xml:space="preserve"> C., </w:t>
      </w:r>
      <w:proofErr w:type="spellStart"/>
      <w:r w:rsidRPr="00071861">
        <w:rPr>
          <w:sz w:val="20"/>
          <w:szCs w:val="20"/>
        </w:rPr>
        <w:t>Asshoff</w:t>
      </w:r>
      <w:proofErr w:type="spellEnd"/>
      <w:r w:rsidRPr="00071861">
        <w:rPr>
          <w:sz w:val="20"/>
          <w:szCs w:val="20"/>
        </w:rPr>
        <w:t xml:space="preserve"> R., </w:t>
      </w:r>
      <w:proofErr w:type="spellStart"/>
      <w:r w:rsidRPr="00071861">
        <w:rPr>
          <w:sz w:val="20"/>
          <w:szCs w:val="20"/>
        </w:rPr>
        <w:t>Bignucolo</w:t>
      </w:r>
      <w:proofErr w:type="spellEnd"/>
      <w:r w:rsidRPr="00071861">
        <w:rPr>
          <w:sz w:val="20"/>
          <w:szCs w:val="20"/>
        </w:rPr>
        <w:t xml:space="preserve"> O., </w:t>
      </w:r>
      <w:proofErr w:type="spellStart"/>
      <w:r w:rsidRPr="00071861">
        <w:rPr>
          <w:sz w:val="20"/>
          <w:szCs w:val="20"/>
        </w:rPr>
        <w:t>Hattenschwiler</w:t>
      </w:r>
      <w:proofErr w:type="spellEnd"/>
      <w:r w:rsidRPr="00071861">
        <w:rPr>
          <w:sz w:val="20"/>
          <w:szCs w:val="20"/>
        </w:rPr>
        <w:t xml:space="preserve"> S., Keel S.G., </w:t>
      </w:r>
      <w:proofErr w:type="spellStart"/>
      <w:r w:rsidRPr="00071861">
        <w:rPr>
          <w:sz w:val="20"/>
          <w:szCs w:val="20"/>
        </w:rPr>
        <w:t>Pelaez-Riedl</w:t>
      </w:r>
      <w:proofErr w:type="spellEnd"/>
      <w:r w:rsidRPr="00071861">
        <w:rPr>
          <w:sz w:val="20"/>
          <w:szCs w:val="20"/>
        </w:rPr>
        <w:t xml:space="preserve"> S., Pepin S., </w:t>
      </w:r>
      <w:proofErr w:type="spellStart"/>
      <w:r w:rsidRPr="00071861">
        <w:rPr>
          <w:sz w:val="20"/>
          <w:szCs w:val="20"/>
        </w:rPr>
        <w:t>Siegwolf</w:t>
      </w:r>
      <w:proofErr w:type="spellEnd"/>
      <w:r w:rsidRPr="00071861">
        <w:rPr>
          <w:sz w:val="20"/>
          <w:szCs w:val="20"/>
        </w:rPr>
        <w:t xml:space="preserve"> R.T.W. and </w:t>
      </w:r>
      <w:proofErr w:type="spellStart"/>
      <w:r w:rsidRPr="00071861">
        <w:rPr>
          <w:sz w:val="20"/>
          <w:szCs w:val="20"/>
        </w:rPr>
        <w:t>Zotz</w:t>
      </w:r>
      <w:proofErr w:type="spellEnd"/>
      <w:r w:rsidRPr="00071861">
        <w:rPr>
          <w:sz w:val="20"/>
          <w:szCs w:val="20"/>
        </w:rPr>
        <w:t xml:space="preserve"> G. 2005. Carbon flux and growth in mature deciduous forest trees exposed to elevated CO</w:t>
      </w:r>
      <w:r w:rsidRPr="00071861">
        <w:rPr>
          <w:sz w:val="20"/>
          <w:szCs w:val="20"/>
          <w:vertAlign w:val="subscript"/>
        </w:rPr>
        <w:t>2</w:t>
      </w:r>
      <w:r w:rsidRPr="00071861">
        <w:rPr>
          <w:sz w:val="20"/>
          <w:szCs w:val="20"/>
        </w:rPr>
        <w:t xml:space="preserve">. </w:t>
      </w:r>
      <w:r w:rsidRPr="00071861">
        <w:rPr>
          <w:i/>
          <w:sz w:val="20"/>
          <w:szCs w:val="20"/>
        </w:rPr>
        <w:t>Science</w:t>
      </w:r>
      <w:r w:rsidRPr="00071861">
        <w:rPr>
          <w:sz w:val="20"/>
          <w:szCs w:val="20"/>
        </w:rPr>
        <w:t>. 309 (5739) 1360-136</w:t>
      </w:r>
      <w:r w:rsidR="00B81B76" w:rsidRPr="00071861">
        <w:rPr>
          <w:sz w:val="20"/>
          <w:szCs w:val="20"/>
        </w:rPr>
        <w:t>2.</w:t>
      </w:r>
    </w:p>
    <w:p w:rsidR="00B81B76" w:rsidRPr="00071861" w:rsidRDefault="00CC3007" w:rsidP="009D4525">
      <w:pPr>
        <w:numPr>
          <w:ilvl w:val="0"/>
          <w:numId w:val="4"/>
        </w:numPr>
        <w:tabs>
          <w:tab w:val="clear" w:pos="360"/>
        </w:tabs>
        <w:suppressAutoHyphens w:val="0"/>
        <w:snapToGrid w:val="0"/>
        <w:ind w:left="425" w:hanging="425"/>
        <w:jc w:val="both"/>
        <w:rPr>
          <w:sz w:val="20"/>
          <w:szCs w:val="20"/>
        </w:rPr>
      </w:pPr>
      <w:proofErr w:type="spellStart"/>
      <w:r w:rsidRPr="00071861">
        <w:rPr>
          <w:color w:val="000000"/>
          <w:sz w:val="20"/>
          <w:szCs w:val="20"/>
        </w:rPr>
        <w:t>Losi</w:t>
      </w:r>
      <w:proofErr w:type="spellEnd"/>
      <w:r w:rsidRPr="00071861">
        <w:rPr>
          <w:color w:val="000000"/>
          <w:sz w:val="20"/>
          <w:szCs w:val="20"/>
        </w:rPr>
        <w:t xml:space="preserve"> Christopher J., Thomas G. </w:t>
      </w:r>
      <w:proofErr w:type="spellStart"/>
      <w:r w:rsidRPr="00071861">
        <w:rPr>
          <w:color w:val="000000"/>
          <w:sz w:val="20"/>
          <w:szCs w:val="20"/>
        </w:rPr>
        <w:t>Siccama</w:t>
      </w:r>
      <w:proofErr w:type="spellEnd"/>
      <w:r w:rsidRPr="00071861">
        <w:rPr>
          <w:color w:val="000000"/>
          <w:sz w:val="20"/>
          <w:szCs w:val="20"/>
        </w:rPr>
        <w:t xml:space="preserve">, Richard Condit, Juan E. Morales. 2003. </w:t>
      </w:r>
      <w:r w:rsidRPr="00071861">
        <w:rPr>
          <w:sz w:val="20"/>
          <w:szCs w:val="20"/>
        </w:rPr>
        <w:t>Analysis of alternative methods for estimating carbon stock in young tropical plantations. Forest Ecology and Management 184. 355–36</w:t>
      </w:r>
      <w:r w:rsidR="00B81B76" w:rsidRPr="00071861">
        <w:rPr>
          <w:sz w:val="20"/>
          <w:szCs w:val="20"/>
        </w:rPr>
        <w:t>8.</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sz w:val="20"/>
          <w:szCs w:val="20"/>
        </w:rPr>
        <w:t xml:space="preserve">Mann, M.E., </w:t>
      </w:r>
      <w:proofErr w:type="spellStart"/>
      <w:r w:rsidRPr="00071861">
        <w:rPr>
          <w:sz w:val="20"/>
          <w:szCs w:val="20"/>
        </w:rPr>
        <w:t>Brafley</w:t>
      </w:r>
      <w:proofErr w:type="spellEnd"/>
      <w:r w:rsidRPr="00071861">
        <w:rPr>
          <w:sz w:val="20"/>
          <w:szCs w:val="20"/>
        </w:rPr>
        <w:t>, R.S., Hughes, M.K. (1998): Global - scale temperature patterns and climate forcing over the past six centuries. – Nature 392: 779-787.</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rFonts w:eastAsia="TimesNewRomanPSMT"/>
          <w:sz w:val="20"/>
          <w:szCs w:val="20"/>
        </w:rPr>
        <w:t xml:space="preserve">Newell R.G., </w:t>
      </w:r>
      <w:proofErr w:type="spellStart"/>
      <w:r w:rsidRPr="00071861">
        <w:rPr>
          <w:rFonts w:eastAsia="TimesNewRomanPSMT"/>
          <w:sz w:val="20"/>
          <w:szCs w:val="20"/>
        </w:rPr>
        <w:t>StaviNS</w:t>
      </w:r>
      <w:proofErr w:type="spellEnd"/>
      <w:r w:rsidRPr="00071861">
        <w:rPr>
          <w:rFonts w:eastAsia="TimesNewRomanPSMT"/>
          <w:sz w:val="20"/>
          <w:szCs w:val="20"/>
        </w:rPr>
        <w:t xml:space="preserve"> R.N. </w:t>
      </w:r>
      <w:r w:rsidRPr="00071861">
        <w:rPr>
          <w:rFonts w:eastAsia="TimesNewRomanPS-BoldMT"/>
          <w:bCs/>
          <w:sz w:val="20"/>
          <w:szCs w:val="20"/>
        </w:rPr>
        <w:t xml:space="preserve">2000. </w:t>
      </w:r>
      <w:r w:rsidRPr="00071861">
        <w:rPr>
          <w:rFonts w:eastAsia="TimesNewRomanPSMT"/>
          <w:sz w:val="20"/>
          <w:szCs w:val="20"/>
        </w:rPr>
        <w:t xml:space="preserve">Climate change and forest sinks: factors affecting the costs of carbon sequestration. </w:t>
      </w:r>
      <w:r w:rsidRPr="00071861">
        <w:rPr>
          <w:rFonts w:eastAsia="TimesNewRomanPSMT"/>
          <w:i/>
          <w:sz w:val="20"/>
          <w:szCs w:val="20"/>
        </w:rPr>
        <w:t>Journal of Environmental Economics and Management</w:t>
      </w:r>
      <w:r w:rsidRPr="00071861">
        <w:rPr>
          <w:rFonts w:eastAsia="TimesNewRomanPSMT"/>
          <w:sz w:val="20"/>
          <w:szCs w:val="20"/>
        </w:rPr>
        <w:t>.</w:t>
      </w:r>
      <w:r w:rsidRPr="00071861">
        <w:rPr>
          <w:rFonts w:eastAsia="TimesNewRomanPS-BoldMT"/>
          <w:bCs/>
          <w:sz w:val="20"/>
          <w:szCs w:val="20"/>
        </w:rPr>
        <w:t>40</w:t>
      </w:r>
      <w:r w:rsidRPr="00071861">
        <w:rPr>
          <w:rFonts w:eastAsia="TimesNewRomanPSMT"/>
          <w:sz w:val="20"/>
          <w:szCs w:val="20"/>
        </w:rPr>
        <w:t>,211.</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proofErr w:type="spellStart"/>
      <w:r w:rsidRPr="00071861">
        <w:rPr>
          <w:sz w:val="20"/>
          <w:szCs w:val="20"/>
        </w:rPr>
        <w:t>Nikolic</w:t>
      </w:r>
      <w:proofErr w:type="spellEnd"/>
      <w:r w:rsidRPr="00071861">
        <w:rPr>
          <w:sz w:val="20"/>
          <w:szCs w:val="20"/>
        </w:rPr>
        <w:t xml:space="preserve">, N., </w:t>
      </w:r>
      <w:proofErr w:type="spellStart"/>
      <w:r w:rsidRPr="00071861">
        <w:rPr>
          <w:sz w:val="20"/>
          <w:szCs w:val="20"/>
        </w:rPr>
        <w:t>Schultze-kraft</w:t>
      </w:r>
      <w:proofErr w:type="spellEnd"/>
      <w:r w:rsidRPr="00071861">
        <w:rPr>
          <w:sz w:val="20"/>
          <w:szCs w:val="20"/>
        </w:rPr>
        <w:t xml:space="preserve">, R., </w:t>
      </w:r>
      <w:proofErr w:type="spellStart"/>
      <w:r w:rsidRPr="00071861">
        <w:rPr>
          <w:sz w:val="20"/>
          <w:szCs w:val="20"/>
        </w:rPr>
        <w:t>Nikolic</w:t>
      </w:r>
      <w:proofErr w:type="spellEnd"/>
      <w:r w:rsidRPr="00071861">
        <w:rPr>
          <w:sz w:val="20"/>
          <w:szCs w:val="20"/>
        </w:rPr>
        <w:t xml:space="preserve">, M., </w:t>
      </w:r>
      <w:proofErr w:type="spellStart"/>
      <w:r w:rsidRPr="00071861">
        <w:rPr>
          <w:sz w:val="20"/>
          <w:szCs w:val="20"/>
        </w:rPr>
        <w:t>Böcker</w:t>
      </w:r>
      <w:proofErr w:type="spellEnd"/>
      <w:r w:rsidRPr="00071861">
        <w:rPr>
          <w:sz w:val="20"/>
          <w:szCs w:val="20"/>
        </w:rPr>
        <w:t xml:space="preserve"> and </w:t>
      </w:r>
      <w:proofErr w:type="spellStart"/>
      <w:r w:rsidRPr="00071861">
        <w:rPr>
          <w:sz w:val="20"/>
          <w:szCs w:val="20"/>
        </w:rPr>
        <w:t>Holzland</w:t>
      </w:r>
      <w:proofErr w:type="spellEnd"/>
      <w:r w:rsidRPr="00071861">
        <w:rPr>
          <w:sz w:val="20"/>
          <w:szCs w:val="20"/>
        </w:rPr>
        <w:t>, I. 2008. Degradation on Barren Hills: A Case Study in Northeast Viet Nam</w:t>
      </w:r>
      <w:r w:rsidR="00B81B76" w:rsidRPr="00071861">
        <w:rPr>
          <w:sz w:val="20"/>
          <w:szCs w:val="20"/>
        </w:rPr>
        <w:t>. E</w:t>
      </w:r>
      <w:r w:rsidRPr="00071861">
        <w:rPr>
          <w:sz w:val="20"/>
          <w:szCs w:val="20"/>
        </w:rPr>
        <w:t>nvironmental Management 42:19–36.</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proofErr w:type="spellStart"/>
      <w:r w:rsidRPr="00071861">
        <w:rPr>
          <w:sz w:val="20"/>
          <w:szCs w:val="20"/>
        </w:rPr>
        <w:lastRenderedPageBreak/>
        <w:t>Parresol</w:t>
      </w:r>
      <w:proofErr w:type="spellEnd"/>
      <w:r w:rsidRPr="00071861">
        <w:rPr>
          <w:sz w:val="20"/>
          <w:szCs w:val="20"/>
        </w:rPr>
        <w:t xml:space="preserve">, R., 1999. Assessing Tree and Stand Biomass: A Review with Examples and Critical Comparisons. </w:t>
      </w:r>
      <w:r w:rsidRPr="00071861">
        <w:rPr>
          <w:i/>
          <w:iCs/>
          <w:sz w:val="20"/>
          <w:szCs w:val="20"/>
        </w:rPr>
        <w:t>Forest Science</w:t>
      </w:r>
      <w:r w:rsidRPr="00071861">
        <w:rPr>
          <w:sz w:val="20"/>
          <w:szCs w:val="20"/>
        </w:rPr>
        <w:t>, 45: 573-593.</w:t>
      </w:r>
    </w:p>
    <w:p w:rsidR="00B81B76" w:rsidRPr="00071861" w:rsidRDefault="00CC3007" w:rsidP="009D4525">
      <w:pPr>
        <w:numPr>
          <w:ilvl w:val="0"/>
          <w:numId w:val="4"/>
        </w:numPr>
        <w:tabs>
          <w:tab w:val="clear" w:pos="360"/>
        </w:tabs>
        <w:suppressAutoHyphens w:val="0"/>
        <w:snapToGrid w:val="0"/>
        <w:ind w:left="425" w:hanging="425"/>
        <w:jc w:val="both"/>
        <w:rPr>
          <w:sz w:val="20"/>
          <w:szCs w:val="20"/>
          <w:lang w:eastAsia="en-GB"/>
        </w:rPr>
      </w:pPr>
      <w:r w:rsidRPr="00071861">
        <w:rPr>
          <w:sz w:val="20"/>
          <w:szCs w:val="20"/>
          <w:lang w:eastAsia="en-GB"/>
        </w:rPr>
        <w:t xml:space="preserve">Saatchi S </w:t>
      </w:r>
      <w:proofErr w:type="spellStart"/>
      <w:r w:rsidRPr="00071861">
        <w:rPr>
          <w:sz w:val="20"/>
          <w:szCs w:val="20"/>
          <w:lang w:eastAsia="en-GB"/>
        </w:rPr>
        <w:t>S</w:t>
      </w:r>
      <w:proofErr w:type="spellEnd"/>
      <w:r w:rsidRPr="00071861">
        <w:rPr>
          <w:sz w:val="20"/>
          <w:szCs w:val="20"/>
          <w:lang w:eastAsia="en-GB"/>
        </w:rPr>
        <w:t xml:space="preserve">, Houghton R A, Dos Santos </w:t>
      </w:r>
      <w:proofErr w:type="spellStart"/>
      <w:r w:rsidRPr="00071861">
        <w:rPr>
          <w:sz w:val="20"/>
          <w:szCs w:val="20"/>
          <w:lang w:eastAsia="en-GB"/>
        </w:rPr>
        <w:t>Alvala</w:t>
      </w:r>
      <w:proofErr w:type="spellEnd"/>
      <w:r w:rsidRPr="00071861">
        <w:rPr>
          <w:sz w:val="20"/>
          <w:szCs w:val="20"/>
          <w:lang w:eastAsia="en-GB"/>
        </w:rPr>
        <w:t xml:space="preserve"> R C, </w:t>
      </w:r>
      <w:proofErr w:type="spellStart"/>
      <w:r w:rsidRPr="00071861">
        <w:rPr>
          <w:sz w:val="20"/>
          <w:szCs w:val="20"/>
          <w:lang w:eastAsia="en-GB"/>
        </w:rPr>
        <w:t>Soares</w:t>
      </w:r>
      <w:proofErr w:type="spellEnd"/>
      <w:r w:rsidRPr="00071861">
        <w:rPr>
          <w:sz w:val="20"/>
          <w:szCs w:val="20"/>
          <w:lang w:eastAsia="en-GB"/>
        </w:rPr>
        <w:t xml:space="preserve"> J V and Yu Y. 2007. Distribution of aboveground live biomass in the Amazon Basin </w:t>
      </w:r>
      <w:r w:rsidRPr="00071861">
        <w:rPr>
          <w:i/>
          <w:iCs/>
          <w:sz w:val="20"/>
          <w:szCs w:val="20"/>
          <w:lang w:eastAsia="en-GB"/>
        </w:rPr>
        <w:t xml:space="preserve">Glob. Change Biol. </w:t>
      </w:r>
      <w:r w:rsidRPr="00071861">
        <w:rPr>
          <w:bCs/>
          <w:sz w:val="20"/>
          <w:szCs w:val="20"/>
          <w:lang w:eastAsia="en-GB"/>
        </w:rPr>
        <w:t xml:space="preserve">13 </w:t>
      </w:r>
      <w:r w:rsidRPr="00071861">
        <w:rPr>
          <w:sz w:val="20"/>
          <w:szCs w:val="20"/>
          <w:lang w:eastAsia="en-GB"/>
        </w:rPr>
        <w:t>816–3</w:t>
      </w:r>
      <w:r w:rsidR="00B81B76" w:rsidRPr="00071861">
        <w:rPr>
          <w:sz w:val="20"/>
          <w:szCs w:val="20"/>
          <w:lang w:eastAsia="en-GB"/>
        </w:rPr>
        <w:t>7.</w:t>
      </w:r>
    </w:p>
    <w:p w:rsidR="00B81B76" w:rsidRPr="00071861" w:rsidRDefault="00CC3007" w:rsidP="009D4525">
      <w:pPr>
        <w:numPr>
          <w:ilvl w:val="0"/>
          <w:numId w:val="4"/>
        </w:numPr>
        <w:tabs>
          <w:tab w:val="clear" w:pos="360"/>
        </w:tabs>
        <w:suppressAutoHyphens w:val="0"/>
        <w:snapToGrid w:val="0"/>
        <w:ind w:left="425" w:hanging="425"/>
        <w:jc w:val="both"/>
        <w:rPr>
          <w:i/>
          <w:iCs/>
          <w:sz w:val="20"/>
          <w:szCs w:val="20"/>
        </w:rPr>
      </w:pPr>
      <w:proofErr w:type="spellStart"/>
      <w:r w:rsidRPr="00071861">
        <w:rPr>
          <w:sz w:val="20"/>
          <w:szCs w:val="20"/>
        </w:rPr>
        <w:t>Stegen</w:t>
      </w:r>
      <w:proofErr w:type="spellEnd"/>
      <w:r w:rsidRPr="00071861">
        <w:rPr>
          <w:sz w:val="20"/>
          <w:szCs w:val="20"/>
        </w:rPr>
        <w:t xml:space="preserve"> James C.,</w:t>
      </w:r>
      <w:r w:rsidR="009D4525" w:rsidRPr="00071861">
        <w:rPr>
          <w:sz w:val="20"/>
          <w:szCs w:val="20"/>
        </w:rPr>
        <w:t xml:space="preserve"> </w:t>
      </w:r>
      <w:r w:rsidRPr="00071861">
        <w:rPr>
          <w:sz w:val="20"/>
          <w:szCs w:val="20"/>
        </w:rPr>
        <w:t>Nathan G. Swenson,</w:t>
      </w:r>
      <w:r w:rsidR="009D4525" w:rsidRPr="00071861">
        <w:rPr>
          <w:sz w:val="20"/>
          <w:szCs w:val="20"/>
        </w:rPr>
        <w:t xml:space="preserve"> </w:t>
      </w:r>
      <w:proofErr w:type="spellStart"/>
      <w:r w:rsidRPr="00071861">
        <w:rPr>
          <w:sz w:val="20"/>
          <w:szCs w:val="20"/>
        </w:rPr>
        <w:t>Renato</w:t>
      </w:r>
      <w:proofErr w:type="spellEnd"/>
      <w:r w:rsidRPr="00071861">
        <w:rPr>
          <w:sz w:val="20"/>
          <w:szCs w:val="20"/>
        </w:rPr>
        <w:t xml:space="preserve"> Valencia, Brian J. </w:t>
      </w:r>
      <w:proofErr w:type="spellStart"/>
      <w:r w:rsidRPr="00071861">
        <w:rPr>
          <w:sz w:val="20"/>
          <w:szCs w:val="20"/>
        </w:rPr>
        <w:t>Enquist</w:t>
      </w:r>
      <w:proofErr w:type="spellEnd"/>
      <w:r w:rsidRPr="00071861">
        <w:rPr>
          <w:sz w:val="20"/>
          <w:szCs w:val="20"/>
        </w:rPr>
        <w:t xml:space="preserve"> and Jill Thompson. 2009. </w:t>
      </w:r>
      <w:r w:rsidRPr="00071861">
        <w:rPr>
          <w:bCs/>
          <w:sz w:val="20"/>
          <w:szCs w:val="20"/>
        </w:rPr>
        <w:t xml:space="preserve">Above-ground forest biomass is not consistently related to wood density in tropical forests. </w:t>
      </w:r>
      <w:r w:rsidRPr="00071861">
        <w:rPr>
          <w:i/>
          <w:iCs/>
          <w:sz w:val="20"/>
          <w:szCs w:val="20"/>
        </w:rPr>
        <w:t>Global Ecology and Biogeography.1-</w:t>
      </w:r>
      <w:r w:rsidR="00B81B76" w:rsidRPr="00071861">
        <w:rPr>
          <w:i/>
          <w:iCs/>
          <w:sz w:val="20"/>
          <w:szCs w:val="20"/>
        </w:rPr>
        <w:t>8.</w:t>
      </w:r>
    </w:p>
    <w:p w:rsidR="00B81B76" w:rsidRPr="00071861" w:rsidRDefault="00CC3007" w:rsidP="009D4525">
      <w:pPr>
        <w:numPr>
          <w:ilvl w:val="0"/>
          <w:numId w:val="4"/>
        </w:numPr>
        <w:tabs>
          <w:tab w:val="clear" w:pos="360"/>
        </w:tabs>
        <w:suppressAutoHyphens w:val="0"/>
        <w:snapToGrid w:val="0"/>
        <w:ind w:left="425" w:hanging="425"/>
        <w:jc w:val="both"/>
        <w:rPr>
          <w:sz w:val="20"/>
          <w:szCs w:val="20"/>
          <w:lang w:eastAsia="en-GB"/>
        </w:rPr>
      </w:pPr>
      <w:r w:rsidRPr="00071861">
        <w:rPr>
          <w:color w:val="000000"/>
          <w:sz w:val="20"/>
          <w:szCs w:val="20"/>
          <w:lang w:eastAsia="en-GB"/>
        </w:rPr>
        <w:t xml:space="preserve">Stephens B S </w:t>
      </w:r>
      <w:r w:rsidRPr="00071861">
        <w:rPr>
          <w:i/>
          <w:iCs/>
          <w:color w:val="000000"/>
          <w:sz w:val="20"/>
          <w:szCs w:val="20"/>
          <w:lang w:eastAsia="en-GB"/>
        </w:rPr>
        <w:t xml:space="preserve">et al </w:t>
      </w:r>
      <w:r w:rsidRPr="00071861">
        <w:rPr>
          <w:color w:val="000000"/>
          <w:sz w:val="20"/>
          <w:szCs w:val="20"/>
          <w:lang w:eastAsia="en-GB"/>
        </w:rPr>
        <w:t>2007 Weak Northern and strong tropical land carbon uptake from vertical profiles of atmospheric CO</w:t>
      </w:r>
      <w:r w:rsidRPr="00071861">
        <w:rPr>
          <w:color w:val="000000"/>
          <w:sz w:val="20"/>
          <w:szCs w:val="20"/>
          <w:vertAlign w:val="subscript"/>
          <w:lang w:eastAsia="en-GB"/>
        </w:rPr>
        <w:t>2</w:t>
      </w:r>
      <w:r w:rsidRPr="00071861">
        <w:rPr>
          <w:color w:val="000000"/>
          <w:sz w:val="20"/>
          <w:szCs w:val="20"/>
          <w:lang w:eastAsia="en-GB"/>
        </w:rPr>
        <w:t xml:space="preserve"> </w:t>
      </w:r>
      <w:r w:rsidRPr="00071861">
        <w:rPr>
          <w:i/>
          <w:iCs/>
          <w:color w:val="000000"/>
          <w:sz w:val="20"/>
          <w:szCs w:val="20"/>
          <w:lang w:eastAsia="en-GB"/>
        </w:rPr>
        <w:t xml:space="preserve">Science </w:t>
      </w:r>
      <w:r w:rsidRPr="00071861">
        <w:rPr>
          <w:bCs/>
          <w:sz w:val="20"/>
          <w:szCs w:val="20"/>
          <w:lang w:eastAsia="en-GB"/>
        </w:rPr>
        <w:t xml:space="preserve">316 </w:t>
      </w:r>
      <w:r w:rsidRPr="00071861">
        <w:rPr>
          <w:sz w:val="20"/>
          <w:szCs w:val="20"/>
          <w:lang w:eastAsia="en-GB"/>
        </w:rPr>
        <w:t>1732–</w:t>
      </w:r>
      <w:r w:rsidR="00B81B76" w:rsidRPr="00071861">
        <w:rPr>
          <w:sz w:val="20"/>
          <w:szCs w:val="20"/>
          <w:lang w:eastAsia="en-GB"/>
        </w:rPr>
        <w:t>5.</w:t>
      </w:r>
    </w:p>
    <w:p w:rsidR="00B81B76" w:rsidRPr="00071861" w:rsidRDefault="00CC3007" w:rsidP="009D4525">
      <w:pPr>
        <w:numPr>
          <w:ilvl w:val="0"/>
          <w:numId w:val="4"/>
        </w:numPr>
        <w:tabs>
          <w:tab w:val="clear" w:pos="360"/>
        </w:tabs>
        <w:suppressAutoHyphens w:val="0"/>
        <w:snapToGrid w:val="0"/>
        <w:ind w:left="425" w:hanging="425"/>
        <w:jc w:val="both"/>
        <w:rPr>
          <w:bCs/>
          <w:sz w:val="20"/>
          <w:szCs w:val="20"/>
        </w:rPr>
      </w:pPr>
      <w:r w:rsidRPr="00071861">
        <w:rPr>
          <w:sz w:val="20"/>
          <w:szCs w:val="20"/>
        </w:rPr>
        <w:t xml:space="preserve">Tagupa1, C., A. Lopez, A., </w:t>
      </w:r>
      <w:proofErr w:type="spellStart"/>
      <w:r w:rsidRPr="00071861">
        <w:rPr>
          <w:sz w:val="20"/>
          <w:szCs w:val="20"/>
        </w:rPr>
        <w:t>Caperida</w:t>
      </w:r>
      <w:proofErr w:type="spellEnd"/>
      <w:r w:rsidRPr="00071861">
        <w:rPr>
          <w:sz w:val="20"/>
          <w:szCs w:val="20"/>
        </w:rPr>
        <w:t xml:space="preserve">, F., </w:t>
      </w:r>
      <w:proofErr w:type="spellStart"/>
      <w:r w:rsidRPr="00071861">
        <w:rPr>
          <w:sz w:val="20"/>
          <w:szCs w:val="20"/>
        </w:rPr>
        <w:t>Pamunag</w:t>
      </w:r>
      <w:proofErr w:type="spellEnd"/>
      <w:r w:rsidRPr="00071861">
        <w:rPr>
          <w:sz w:val="20"/>
          <w:szCs w:val="20"/>
        </w:rPr>
        <w:t xml:space="preserve">, G. and </w:t>
      </w:r>
      <w:proofErr w:type="spellStart"/>
      <w:r w:rsidRPr="00071861">
        <w:rPr>
          <w:sz w:val="20"/>
          <w:szCs w:val="20"/>
        </w:rPr>
        <w:t>Luzada</w:t>
      </w:r>
      <w:proofErr w:type="spellEnd"/>
      <w:r w:rsidRPr="00071861">
        <w:rPr>
          <w:sz w:val="20"/>
          <w:szCs w:val="20"/>
        </w:rPr>
        <w:t xml:space="preserve"> A. 2010</w:t>
      </w:r>
      <w:r w:rsidR="00B81B76" w:rsidRPr="00071861">
        <w:rPr>
          <w:sz w:val="20"/>
          <w:szCs w:val="20"/>
        </w:rPr>
        <w:t xml:space="preserve">. </w:t>
      </w:r>
      <w:r w:rsidR="00B81B76" w:rsidRPr="00071861">
        <w:rPr>
          <w:bCs/>
          <w:sz w:val="20"/>
          <w:szCs w:val="20"/>
        </w:rPr>
        <w:t>C</w:t>
      </w:r>
      <w:r w:rsidRPr="00071861">
        <w:rPr>
          <w:bCs/>
          <w:sz w:val="20"/>
          <w:szCs w:val="20"/>
        </w:rPr>
        <w:t>arbon dioxide (co</w:t>
      </w:r>
      <w:r w:rsidRPr="00071861">
        <w:rPr>
          <w:bCs/>
          <w:sz w:val="20"/>
          <w:szCs w:val="20"/>
          <w:vertAlign w:val="subscript"/>
        </w:rPr>
        <w:t>2</w:t>
      </w:r>
      <w:r w:rsidRPr="00071861">
        <w:rPr>
          <w:bCs/>
          <w:sz w:val="20"/>
          <w:szCs w:val="20"/>
        </w:rPr>
        <w:t xml:space="preserve">) sequestration capacity of </w:t>
      </w:r>
      <w:proofErr w:type="spellStart"/>
      <w:r w:rsidRPr="00071861">
        <w:rPr>
          <w:bCs/>
          <w:sz w:val="20"/>
          <w:szCs w:val="20"/>
        </w:rPr>
        <w:t>Tampilisan</w:t>
      </w:r>
      <w:proofErr w:type="spellEnd"/>
      <w:r w:rsidRPr="00071861">
        <w:rPr>
          <w:bCs/>
          <w:sz w:val="20"/>
          <w:szCs w:val="20"/>
        </w:rPr>
        <w:t xml:space="preserve"> forest. </w:t>
      </w:r>
      <w:r w:rsidRPr="00071861">
        <w:rPr>
          <w:bCs/>
          <w:color w:val="003300"/>
          <w:sz w:val="20"/>
          <w:szCs w:val="20"/>
        </w:rPr>
        <w:t xml:space="preserve">E-International scientific research journal. </w:t>
      </w:r>
      <w:r w:rsidRPr="00071861">
        <w:rPr>
          <w:bCs/>
          <w:sz w:val="20"/>
          <w:szCs w:val="20"/>
        </w:rPr>
        <w:t>ISSN: 2094-1749 volume: 2 issue: 3, 201</w:t>
      </w:r>
      <w:r w:rsidR="00B81B76" w:rsidRPr="00071861">
        <w:rPr>
          <w:bCs/>
          <w:sz w:val="20"/>
          <w:szCs w:val="20"/>
        </w:rPr>
        <w:t>0.</w:t>
      </w:r>
    </w:p>
    <w:p w:rsidR="00CC3007"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color w:val="000000"/>
          <w:sz w:val="20"/>
          <w:szCs w:val="20"/>
        </w:rPr>
        <w:t xml:space="preserve">Tan, K., </w:t>
      </w:r>
      <w:proofErr w:type="spellStart"/>
      <w:r w:rsidRPr="00071861">
        <w:rPr>
          <w:color w:val="000000"/>
          <w:sz w:val="20"/>
          <w:szCs w:val="20"/>
        </w:rPr>
        <w:t>Piao</w:t>
      </w:r>
      <w:proofErr w:type="spellEnd"/>
      <w:r w:rsidRPr="00071861">
        <w:rPr>
          <w:color w:val="000000"/>
          <w:sz w:val="20"/>
          <w:szCs w:val="20"/>
        </w:rPr>
        <w:t xml:space="preserve">, S., </w:t>
      </w:r>
      <w:proofErr w:type="spellStart"/>
      <w:r w:rsidRPr="00071861">
        <w:rPr>
          <w:color w:val="000000"/>
          <w:sz w:val="20"/>
          <w:szCs w:val="20"/>
        </w:rPr>
        <w:t>Peng</w:t>
      </w:r>
      <w:proofErr w:type="spellEnd"/>
      <w:r w:rsidRPr="00071861">
        <w:rPr>
          <w:color w:val="000000"/>
          <w:sz w:val="20"/>
          <w:szCs w:val="20"/>
        </w:rPr>
        <w:t xml:space="preserve">, C. and Fang, J., 2007. Satellite-based estimation of biomass carbon stocks for northeast China's forests between 1982 and 1999. </w:t>
      </w:r>
      <w:r w:rsidRPr="00071861">
        <w:rPr>
          <w:i/>
          <w:color w:val="000000"/>
          <w:sz w:val="20"/>
          <w:szCs w:val="20"/>
        </w:rPr>
        <w:t>Forest Ecology and Management</w:t>
      </w:r>
      <w:r w:rsidRPr="00071861">
        <w:rPr>
          <w:color w:val="000000"/>
          <w:sz w:val="20"/>
          <w:szCs w:val="20"/>
        </w:rPr>
        <w:t>, 240(1-3): 114-121.</w:t>
      </w:r>
    </w:p>
    <w:p w:rsidR="009D4525" w:rsidRPr="00071861" w:rsidRDefault="00CC3007" w:rsidP="009D4525">
      <w:pPr>
        <w:numPr>
          <w:ilvl w:val="0"/>
          <w:numId w:val="4"/>
        </w:numPr>
        <w:tabs>
          <w:tab w:val="clear" w:pos="360"/>
        </w:tabs>
        <w:suppressAutoHyphens w:val="0"/>
        <w:snapToGrid w:val="0"/>
        <w:ind w:left="425" w:hanging="425"/>
        <w:jc w:val="both"/>
        <w:rPr>
          <w:sz w:val="20"/>
          <w:szCs w:val="20"/>
        </w:rPr>
      </w:pPr>
      <w:r w:rsidRPr="00071861">
        <w:rPr>
          <w:color w:val="000000"/>
          <w:sz w:val="20"/>
          <w:szCs w:val="20"/>
        </w:rPr>
        <w:t xml:space="preserve">Wang, C., 2006. Biomass </w:t>
      </w:r>
      <w:proofErr w:type="spellStart"/>
      <w:r w:rsidRPr="00071861">
        <w:rPr>
          <w:color w:val="000000"/>
          <w:sz w:val="20"/>
          <w:szCs w:val="20"/>
        </w:rPr>
        <w:t>allometric</w:t>
      </w:r>
      <w:proofErr w:type="spellEnd"/>
      <w:r w:rsidRPr="00071861">
        <w:rPr>
          <w:color w:val="000000"/>
          <w:sz w:val="20"/>
          <w:szCs w:val="20"/>
        </w:rPr>
        <w:t xml:space="preserve"> equations for 10 co-occurring tree species in</w:t>
      </w:r>
      <w:r w:rsidR="009D4525" w:rsidRPr="00071861">
        <w:rPr>
          <w:color w:val="000000"/>
          <w:sz w:val="20"/>
          <w:szCs w:val="20"/>
        </w:rPr>
        <w:t xml:space="preserve"> </w:t>
      </w:r>
      <w:r w:rsidRPr="00071861">
        <w:rPr>
          <w:color w:val="000000"/>
          <w:sz w:val="20"/>
          <w:szCs w:val="20"/>
        </w:rPr>
        <w:t xml:space="preserve">Chinese temperate forests. </w:t>
      </w:r>
      <w:r w:rsidRPr="00071861">
        <w:rPr>
          <w:i/>
          <w:color w:val="000000"/>
          <w:sz w:val="20"/>
          <w:szCs w:val="20"/>
        </w:rPr>
        <w:t>Forest Ecology and Management</w:t>
      </w:r>
      <w:r w:rsidRPr="00071861">
        <w:rPr>
          <w:color w:val="000000"/>
          <w:sz w:val="20"/>
          <w:szCs w:val="20"/>
        </w:rPr>
        <w:t>, 222(1-3): 9-16.</w:t>
      </w:r>
      <w:r w:rsidR="00071861" w:rsidRPr="00071861">
        <w:rPr>
          <w:rFonts w:hint="eastAsia"/>
          <w:color w:val="000000"/>
          <w:sz w:val="20"/>
          <w:szCs w:val="20"/>
          <w:lang w:eastAsia="zh-CN"/>
        </w:rPr>
        <w:t xml:space="preserve"> </w:t>
      </w:r>
    </w:p>
    <w:p w:rsidR="009D4525" w:rsidRPr="00071861" w:rsidRDefault="009D4525" w:rsidP="009D4525">
      <w:pPr>
        <w:snapToGrid w:val="0"/>
        <w:ind w:left="425" w:hanging="425"/>
        <w:jc w:val="both"/>
        <w:rPr>
          <w:sz w:val="20"/>
          <w:szCs w:val="20"/>
        </w:rPr>
        <w:sectPr w:rsidR="009D4525" w:rsidRPr="00071861" w:rsidSect="009D4525">
          <w:headerReference w:type="default" r:id="rId72"/>
          <w:footerReference w:type="even" r:id="rId73"/>
          <w:footerReference w:type="default" r:id="rId74"/>
          <w:footnotePr>
            <w:pos w:val="beneathText"/>
          </w:footnotePr>
          <w:type w:val="continuous"/>
          <w:pgSz w:w="12240" w:h="15840" w:code="1"/>
          <w:pgMar w:top="1440" w:right="1440" w:bottom="1440" w:left="1440" w:header="720" w:footer="720" w:gutter="0"/>
          <w:cols w:num="2" w:space="600"/>
          <w:docGrid w:linePitch="360"/>
        </w:sectPr>
      </w:pPr>
    </w:p>
    <w:p w:rsidR="002961FD" w:rsidRPr="00071861" w:rsidRDefault="002961FD" w:rsidP="009D4525">
      <w:pPr>
        <w:snapToGrid w:val="0"/>
        <w:ind w:left="425" w:hanging="425"/>
        <w:jc w:val="both"/>
        <w:rPr>
          <w:sz w:val="20"/>
          <w:szCs w:val="20"/>
          <w:lang w:eastAsia="zh-CN"/>
        </w:rPr>
      </w:pPr>
    </w:p>
    <w:p w:rsidR="002961FD" w:rsidRPr="00071861" w:rsidRDefault="002961FD" w:rsidP="009D4525">
      <w:pPr>
        <w:snapToGrid w:val="0"/>
        <w:ind w:left="425" w:hanging="425"/>
        <w:jc w:val="both"/>
        <w:rPr>
          <w:sz w:val="20"/>
          <w:szCs w:val="20"/>
          <w:lang w:eastAsia="zh-CN"/>
        </w:rPr>
      </w:pPr>
    </w:p>
    <w:p w:rsidR="009D4525" w:rsidRPr="00071861" w:rsidRDefault="009D4525" w:rsidP="009D4525">
      <w:pPr>
        <w:snapToGrid w:val="0"/>
        <w:ind w:left="425" w:hanging="425"/>
        <w:jc w:val="both"/>
        <w:rPr>
          <w:sz w:val="20"/>
          <w:szCs w:val="20"/>
        </w:rPr>
      </w:pPr>
    </w:p>
    <w:p w:rsidR="004D0467" w:rsidRPr="00071861" w:rsidRDefault="009D4525" w:rsidP="009D4525">
      <w:pPr>
        <w:snapToGrid w:val="0"/>
        <w:ind w:left="425" w:hanging="425"/>
        <w:jc w:val="both"/>
        <w:rPr>
          <w:sz w:val="20"/>
          <w:szCs w:val="20"/>
        </w:rPr>
      </w:pPr>
      <w:r w:rsidRPr="00071861">
        <w:rPr>
          <w:sz w:val="20"/>
          <w:szCs w:val="20"/>
        </w:rPr>
        <w:t>3/</w:t>
      </w:r>
      <w:r w:rsidR="001601A6" w:rsidRPr="00071861">
        <w:rPr>
          <w:rFonts w:hint="eastAsia"/>
          <w:sz w:val="20"/>
          <w:szCs w:val="20"/>
          <w:lang w:eastAsia="zh-CN"/>
        </w:rPr>
        <w:t>9</w:t>
      </w:r>
      <w:r w:rsidRPr="00071861">
        <w:rPr>
          <w:sz w:val="20"/>
          <w:szCs w:val="20"/>
        </w:rPr>
        <w:t>/2017</w:t>
      </w:r>
    </w:p>
    <w:sectPr w:rsidR="004D0467" w:rsidRPr="00071861" w:rsidSect="00186242">
      <w:headerReference w:type="default" r:id="rId75"/>
      <w:footerReference w:type="even" r:id="rId76"/>
      <w:footerReference w:type="default" r:id="rId7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84" w:rsidRDefault="00C32884">
      <w:r>
        <w:separator/>
      </w:r>
    </w:p>
  </w:endnote>
  <w:endnote w:type="continuationSeparator" w:id="0">
    <w:p w:rsidR="00C32884" w:rsidRDefault="00C32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FranklinGothic-Book">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9D4525">
      <w:rPr>
        <w:noProof/>
        <w:sz w:val="20"/>
      </w:rPr>
      <w:t>5</w:t>
    </w:r>
    <w:r w:rsidRPr="009D452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9D4525">
      <w:rPr>
        <w:noProof/>
        <w:sz w:val="20"/>
      </w:rPr>
      <w:t>5</w:t>
    </w:r>
    <w:r w:rsidRPr="009D4525">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071861">
      <w:rPr>
        <w:noProof/>
        <w:sz w:val="20"/>
      </w:rPr>
      <w:t>27</w:t>
    </w:r>
    <w:r w:rsidRPr="009D4525">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071861">
      <w:rPr>
        <w:noProof/>
        <w:sz w:val="20"/>
      </w:rPr>
      <w:t>28</w:t>
    </w:r>
    <w:r w:rsidRPr="009D4525">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9D4525">
      <w:rPr>
        <w:noProof/>
        <w:sz w:val="20"/>
      </w:rPr>
      <w:t>1</w:t>
    </w:r>
    <w:r w:rsidRPr="009D452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071861">
      <w:rPr>
        <w:noProof/>
        <w:sz w:val="20"/>
      </w:rPr>
      <w:t>23</w:t>
    </w:r>
    <w:r w:rsidRPr="009D452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071861">
      <w:rPr>
        <w:noProof/>
        <w:sz w:val="20"/>
      </w:rPr>
      <w:t>25</w:t>
    </w:r>
    <w:r w:rsidRPr="009D452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9D4525">
      <w:rPr>
        <w:noProof/>
        <w:sz w:val="20"/>
      </w:rPr>
      <w:t>1</w:t>
    </w:r>
    <w:r w:rsidRPr="009D452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32054" w:rsidP="009D4525">
    <w:pPr>
      <w:jc w:val="center"/>
      <w:rPr>
        <w:sz w:val="20"/>
      </w:rPr>
    </w:pPr>
    <w:r w:rsidRPr="009D4525">
      <w:rPr>
        <w:sz w:val="20"/>
      </w:rPr>
      <w:fldChar w:fldCharType="begin"/>
    </w:r>
    <w:r w:rsidR="009D4525" w:rsidRPr="009D4525">
      <w:rPr>
        <w:sz w:val="20"/>
      </w:rPr>
      <w:instrText xml:space="preserve"> page </w:instrText>
    </w:r>
    <w:r w:rsidRPr="009D4525">
      <w:rPr>
        <w:sz w:val="20"/>
      </w:rPr>
      <w:fldChar w:fldCharType="separate"/>
    </w:r>
    <w:r w:rsidR="00071861">
      <w:rPr>
        <w:noProof/>
        <w:sz w:val="20"/>
      </w:rPr>
      <w:t>26</w:t>
    </w:r>
    <w:r w:rsidRPr="009D452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Default="00932054" w:rsidP="00B3167C">
    <w:pPr>
      <w:pStyle w:val="Footer"/>
      <w:framePr w:wrap="around" w:vAnchor="text" w:hAnchor="margin" w:xAlign="center" w:y="1"/>
      <w:rPr>
        <w:rStyle w:val="PageNumber"/>
      </w:rPr>
    </w:pPr>
    <w:r>
      <w:rPr>
        <w:rStyle w:val="PageNumber"/>
      </w:rPr>
      <w:fldChar w:fldCharType="begin"/>
    </w:r>
    <w:r w:rsidR="009D4525">
      <w:rPr>
        <w:rStyle w:val="PageNumber"/>
      </w:rPr>
      <w:instrText xml:space="preserve">PAGE  </w:instrText>
    </w:r>
    <w:r>
      <w:rPr>
        <w:rStyle w:val="PageNumber"/>
      </w:rPr>
      <w:fldChar w:fldCharType="end"/>
    </w:r>
  </w:p>
  <w:p w:rsidR="009D4525" w:rsidRDefault="009D45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84" w:rsidRDefault="00C32884">
      <w:r>
        <w:separator/>
      </w:r>
    </w:p>
  </w:footnote>
  <w:footnote w:type="continuationSeparator" w:id="0">
    <w:p w:rsidR="00C32884" w:rsidRDefault="00C32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25" w:rsidRPr="009D4525" w:rsidRDefault="009D4525" w:rsidP="009D4525">
    <w:pPr>
      <w:pBdr>
        <w:bottom w:val="thinThickMediumGap" w:sz="12" w:space="1" w:color="auto"/>
      </w:pBdr>
      <w:tabs>
        <w:tab w:val="left" w:pos="851"/>
        <w:tab w:val="right" w:pos="8364"/>
      </w:tabs>
      <w:adjustRightInd w:val="0"/>
      <w:snapToGrid w:val="0"/>
      <w:jc w:val="both"/>
      <w:rPr>
        <w:iCs/>
        <w:sz w:val="20"/>
        <w:szCs w:val="20"/>
      </w:rPr>
    </w:pPr>
    <w:r w:rsidRPr="009D4525">
      <w:rPr>
        <w:rFonts w:hint="eastAsia"/>
        <w:iCs/>
        <w:color w:val="000000"/>
        <w:sz w:val="20"/>
        <w:szCs w:val="20"/>
      </w:rPr>
      <w:tab/>
    </w:r>
    <w:r w:rsidRPr="009D4525">
      <w:rPr>
        <w:iCs/>
        <w:color w:val="000000"/>
        <w:sz w:val="20"/>
        <w:szCs w:val="20"/>
      </w:rPr>
      <w:t xml:space="preserve">Researcher </w:t>
    </w:r>
    <w:r w:rsidRPr="009D4525">
      <w:rPr>
        <w:iCs/>
        <w:sz w:val="20"/>
        <w:szCs w:val="20"/>
      </w:rPr>
      <w:t>201</w:t>
    </w:r>
    <w:r w:rsidRPr="009D4525">
      <w:rPr>
        <w:rFonts w:hint="eastAsia"/>
        <w:iCs/>
        <w:sz w:val="20"/>
        <w:szCs w:val="20"/>
      </w:rPr>
      <w:t>7</w:t>
    </w:r>
    <w:r w:rsidRPr="009D4525">
      <w:rPr>
        <w:iCs/>
        <w:sz w:val="20"/>
        <w:szCs w:val="20"/>
      </w:rPr>
      <w:t>;</w:t>
    </w:r>
    <w:r w:rsidRPr="009D4525">
      <w:rPr>
        <w:rFonts w:hint="eastAsia"/>
        <w:iCs/>
        <w:sz w:val="20"/>
        <w:szCs w:val="20"/>
      </w:rPr>
      <w:t>9</w:t>
    </w:r>
    <w:r w:rsidRPr="009D4525">
      <w:rPr>
        <w:iCs/>
        <w:sz w:val="20"/>
        <w:szCs w:val="20"/>
      </w:rPr>
      <w:t>(</w:t>
    </w:r>
    <w:r w:rsidRPr="009D4525">
      <w:rPr>
        <w:rFonts w:hint="eastAsia"/>
        <w:iCs/>
        <w:sz w:val="20"/>
        <w:szCs w:val="20"/>
      </w:rPr>
      <w:t>3</w:t>
    </w:r>
    <w:r w:rsidRPr="009D4525">
      <w:rPr>
        <w:iCs/>
        <w:sz w:val="20"/>
        <w:szCs w:val="20"/>
      </w:rPr>
      <w:t xml:space="preserve">)  </w:t>
    </w:r>
    <w:r w:rsidRPr="009D4525">
      <w:rPr>
        <w:rFonts w:hint="eastAsia"/>
        <w:iCs/>
        <w:sz w:val="20"/>
        <w:szCs w:val="20"/>
      </w:rPr>
      <w:t xml:space="preserve"> </w:t>
    </w:r>
    <w:r w:rsidRPr="009D4525">
      <w:rPr>
        <w:iCs/>
        <w:sz w:val="20"/>
        <w:szCs w:val="20"/>
      </w:rPr>
      <w:t xml:space="preserve"> </w:t>
    </w:r>
    <w:r w:rsidRPr="009D4525">
      <w:rPr>
        <w:rFonts w:hint="eastAsia"/>
        <w:iCs/>
        <w:sz w:val="20"/>
        <w:szCs w:val="20"/>
      </w:rPr>
      <w:tab/>
    </w:r>
    <w:r w:rsidRPr="009D4525">
      <w:rPr>
        <w:iCs/>
        <w:sz w:val="20"/>
        <w:szCs w:val="20"/>
      </w:rPr>
      <w:t xml:space="preserve">    </w:t>
    </w:r>
    <w:r w:rsidRPr="009D4525">
      <w:rPr>
        <w:sz w:val="20"/>
        <w:szCs w:val="20"/>
      </w:rPr>
      <w:t xml:space="preserve"> </w:t>
    </w:r>
    <w:hyperlink r:id="rId1" w:history="1">
      <w:r w:rsidRPr="009D4525">
        <w:rPr>
          <w:rStyle w:val="Hyperlink"/>
          <w:sz w:val="20"/>
          <w:szCs w:val="20"/>
        </w:rPr>
        <w:t>http://www.sciencepub.net/researcher</w:t>
      </w:r>
    </w:hyperlink>
  </w:p>
  <w:p w:rsidR="009D4525" w:rsidRPr="009D4525" w:rsidRDefault="009D4525" w:rsidP="009D452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D92B45"/>
    <w:multiLevelType w:val="hybridMultilevel"/>
    <w:tmpl w:val="6F56A84E"/>
    <w:lvl w:ilvl="0" w:tplc="2DAA33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90B33DE"/>
    <w:multiLevelType w:val="hybridMultilevel"/>
    <w:tmpl w:val="59A0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397F99"/>
    <w:multiLevelType w:val="hybridMultilevel"/>
    <w:tmpl w:val="E64A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D52340"/>
    <w:multiLevelType w:val="hybridMultilevel"/>
    <w:tmpl w:val="D1427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36ED2"/>
    <w:rsid w:val="0006091F"/>
    <w:rsid w:val="00071861"/>
    <w:rsid w:val="00080CE9"/>
    <w:rsid w:val="000827B7"/>
    <w:rsid w:val="000844D7"/>
    <w:rsid w:val="00086790"/>
    <w:rsid w:val="00090A06"/>
    <w:rsid w:val="000915DE"/>
    <w:rsid w:val="000A0250"/>
    <w:rsid w:val="000B46C6"/>
    <w:rsid w:val="000B5F8F"/>
    <w:rsid w:val="001601A6"/>
    <w:rsid w:val="001817C7"/>
    <w:rsid w:val="00183764"/>
    <w:rsid w:val="00186242"/>
    <w:rsid w:val="001964D0"/>
    <w:rsid w:val="001B41B8"/>
    <w:rsid w:val="001B650D"/>
    <w:rsid w:val="001C3D42"/>
    <w:rsid w:val="001F4054"/>
    <w:rsid w:val="00205E97"/>
    <w:rsid w:val="00245C21"/>
    <w:rsid w:val="002721F1"/>
    <w:rsid w:val="00282FA1"/>
    <w:rsid w:val="002961FD"/>
    <w:rsid w:val="002B5613"/>
    <w:rsid w:val="002D3558"/>
    <w:rsid w:val="002D589A"/>
    <w:rsid w:val="002F20CD"/>
    <w:rsid w:val="002F49EF"/>
    <w:rsid w:val="00314F95"/>
    <w:rsid w:val="003169A5"/>
    <w:rsid w:val="00322FAB"/>
    <w:rsid w:val="00345581"/>
    <w:rsid w:val="0034702D"/>
    <w:rsid w:val="003679A0"/>
    <w:rsid w:val="00394B65"/>
    <w:rsid w:val="003A3C6D"/>
    <w:rsid w:val="003A785E"/>
    <w:rsid w:val="003B55FF"/>
    <w:rsid w:val="003B651F"/>
    <w:rsid w:val="003C0116"/>
    <w:rsid w:val="003C4C28"/>
    <w:rsid w:val="003E7FC6"/>
    <w:rsid w:val="004341E8"/>
    <w:rsid w:val="0043645D"/>
    <w:rsid w:val="00454A59"/>
    <w:rsid w:val="00456753"/>
    <w:rsid w:val="00471E57"/>
    <w:rsid w:val="00480715"/>
    <w:rsid w:val="0049143E"/>
    <w:rsid w:val="004C7E2A"/>
    <w:rsid w:val="004D01D3"/>
    <w:rsid w:val="004D0467"/>
    <w:rsid w:val="004F44E7"/>
    <w:rsid w:val="004F4AFB"/>
    <w:rsid w:val="00520D1A"/>
    <w:rsid w:val="0052512B"/>
    <w:rsid w:val="005274A3"/>
    <w:rsid w:val="00553F9B"/>
    <w:rsid w:val="00593132"/>
    <w:rsid w:val="005A21B0"/>
    <w:rsid w:val="005A5E42"/>
    <w:rsid w:val="005C2F35"/>
    <w:rsid w:val="005D1DA6"/>
    <w:rsid w:val="005D3271"/>
    <w:rsid w:val="005F11C2"/>
    <w:rsid w:val="005F5E04"/>
    <w:rsid w:val="00626219"/>
    <w:rsid w:val="0065209A"/>
    <w:rsid w:val="00657995"/>
    <w:rsid w:val="006B5399"/>
    <w:rsid w:val="006D5C2E"/>
    <w:rsid w:val="006E6ACB"/>
    <w:rsid w:val="006E7156"/>
    <w:rsid w:val="006F1706"/>
    <w:rsid w:val="00744442"/>
    <w:rsid w:val="007725E7"/>
    <w:rsid w:val="0078493A"/>
    <w:rsid w:val="0078507E"/>
    <w:rsid w:val="007B01CC"/>
    <w:rsid w:val="007D3D09"/>
    <w:rsid w:val="007D746F"/>
    <w:rsid w:val="007F763B"/>
    <w:rsid w:val="008131CF"/>
    <w:rsid w:val="00814FA7"/>
    <w:rsid w:val="008233D0"/>
    <w:rsid w:val="008365B5"/>
    <w:rsid w:val="0085007D"/>
    <w:rsid w:val="00857809"/>
    <w:rsid w:val="00875C08"/>
    <w:rsid w:val="008A20AC"/>
    <w:rsid w:val="008A67B6"/>
    <w:rsid w:val="0091208A"/>
    <w:rsid w:val="009139C5"/>
    <w:rsid w:val="00914558"/>
    <w:rsid w:val="00932054"/>
    <w:rsid w:val="00935CF7"/>
    <w:rsid w:val="0094140D"/>
    <w:rsid w:val="009459B3"/>
    <w:rsid w:val="00952EB8"/>
    <w:rsid w:val="00997A8E"/>
    <w:rsid w:val="009A3681"/>
    <w:rsid w:val="009D4525"/>
    <w:rsid w:val="00A1557F"/>
    <w:rsid w:val="00A32220"/>
    <w:rsid w:val="00A3476D"/>
    <w:rsid w:val="00A459E4"/>
    <w:rsid w:val="00A67749"/>
    <w:rsid w:val="00B3167C"/>
    <w:rsid w:val="00B36B45"/>
    <w:rsid w:val="00B57D47"/>
    <w:rsid w:val="00B57D92"/>
    <w:rsid w:val="00B60E8D"/>
    <w:rsid w:val="00B74F7D"/>
    <w:rsid w:val="00B80C0E"/>
    <w:rsid w:val="00B81B76"/>
    <w:rsid w:val="00B918AE"/>
    <w:rsid w:val="00B94E19"/>
    <w:rsid w:val="00BD2A8D"/>
    <w:rsid w:val="00BF6579"/>
    <w:rsid w:val="00C0761F"/>
    <w:rsid w:val="00C101C9"/>
    <w:rsid w:val="00C32884"/>
    <w:rsid w:val="00C44596"/>
    <w:rsid w:val="00C60D61"/>
    <w:rsid w:val="00C92003"/>
    <w:rsid w:val="00CA68B9"/>
    <w:rsid w:val="00CC3007"/>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E1535"/>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26219"/>
    <w:pPr>
      <w:keepNext/>
      <w:numPr>
        <w:numId w:val="1"/>
      </w:numPr>
      <w:outlineLvl w:val="0"/>
    </w:pPr>
    <w:rPr>
      <w:b/>
      <w:bCs/>
      <w:sz w:val="32"/>
    </w:rPr>
  </w:style>
  <w:style w:type="paragraph" w:styleId="Heading2">
    <w:name w:val="heading 2"/>
    <w:basedOn w:val="Normal"/>
    <w:next w:val="Normal"/>
    <w:qFormat/>
    <w:rsid w:val="00626219"/>
    <w:pPr>
      <w:keepNext/>
      <w:numPr>
        <w:ilvl w:val="1"/>
        <w:numId w:val="1"/>
      </w:numPr>
      <w:jc w:val="both"/>
      <w:outlineLvl w:val="1"/>
    </w:pPr>
    <w:rPr>
      <w:b/>
      <w:sz w:val="28"/>
    </w:rPr>
  </w:style>
  <w:style w:type="paragraph" w:styleId="Heading3">
    <w:name w:val="heading 3"/>
    <w:basedOn w:val="Normal"/>
    <w:next w:val="Normal"/>
    <w:qFormat/>
    <w:rsid w:val="00626219"/>
    <w:pPr>
      <w:keepNext/>
      <w:numPr>
        <w:ilvl w:val="2"/>
        <w:numId w:val="1"/>
      </w:numPr>
      <w:spacing w:line="360" w:lineRule="auto"/>
      <w:jc w:val="both"/>
      <w:outlineLvl w:val="2"/>
    </w:pPr>
    <w:rPr>
      <w:b/>
      <w:bCs/>
    </w:rPr>
  </w:style>
  <w:style w:type="paragraph" w:styleId="Heading6">
    <w:name w:val="heading 6"/>
    <w:basedOn w:val="Normal"/>
    <w:next w:val="Normal"/>
    <w:qFormat/>
    <w:rsid w:val="0062621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6219"/>
  </w:style>
  <w:style w:type="character" w:customStyle="1" w:styleId="WW-Absatz-Standardschriftart">
    <w:name w:val="WW-Absatz-Standardschriftart"/>
    <w:rsid w:val="00626219"/>
  </w:style>
  <w:style w:type="character" w:customStyle="1" w:styleId="WW-Absatz-Standardschriftart1">
    <w:name w:val="WW-Absatz-Standardschriftart1"/>
    <w:rsid w:val="00626219"/>
  </w:style>
  <w:style w:type="character" w:customStyle="1" w:styleId="WW-Absatz-Standardschriftart11">
    <w:name w:val="WW-Absatz-Standardschriftart11"/>
    <w:rsid w:val="00626219"/>
  </w:style>
  <w:style w:type="character" w:customStyle="1" w:styleId="WW-Absatz-Standardschriftart111">
    <w:name w:val="WW-Absatz-Standardschriftart111"/>
    <w:rsid w:val="00626219"/>
  </w:style>
  <w:style w:type="character" w:customStyle="1" w:styleId="WW-Absatz-Standardschriftart1111">
    <w:name w:val="WW-Absatz-Standardschriftart1111"/>
    <w:rsid w:val="00626219"/>
  </w:style>
  <w:style w:type="character" w:customStyle="1" w:styleId="WW-Absatz-Standardschriftart11111">
    <w:name w:val="WW-Absatz-Standardschriftart11111"/>
    <w:rsid w:val="00626219"/>
  </w:style>
  <w:style w:type="character" w:customStyle="1" w:styleId="WW-Absatz-Standardschriftart111111">
    <w:name w:val="WW-Absatz-Standardschriftart111111"/>
    <w:rsid w:val="00626219"/>
  </w:style>
  <w:style w:type="character" w:customStyle="1" w:styleId="WW-Absatz-Standardschriftart1111111">
    <w:name w:val="WW-Absatz-Standardschriftart1111111"/>
    <w:rsid w:val="00626219"/>
  </w:style>
  <w:style w:type="character" w:customStyle="1" w:styleId="WW-Absatz-Standardschriftart11111111">
    <w:name w:val="WW-Absatz-Standardschriftart11111111"/>
    <w:rsid w:val="00626219"/>
  </w:style>
  <w:style w:type="character" w:customStyle="1" w:styleId="WW-Absatz-Standardschriftart111111111">
    <w:name w:val="WW-Absatz-Standardschriftart111111111"/>
    <w:rsid w:val="00626219"/>
  </w:style>
  <w:style w:type="character" w:customStyle="1" w:styleId="WW-Absatz-Standardschriftart1111111111">
    <w:name w:val="WW-Absatz-Standardschriftart1111111111"/>
    <w:rsid w:val="00626219"/>
  </w:style>
  <w:style w:type="character" w:customStyle="1" w:styleId="WW-Absatz-Standardschriftart11111111111">
    <w:name w:val="WW-Absatz-Standardschriftart11111111111"/>
    <w:rsid w:val="00626219"/>
  </w:style>
  <w:style w:type="character" w:customStyle="1" w:styleId="WW-Absatz-Standardschriftart111111111111">
    <w:name w:val="WW-Absatz-Standardschriftart111111111111"/>
    <w:rsid w:val="00626219"/>
  </w:style>
  <w:style w:type="character" w:customStyle="1" w:styleId="WW-Absatz-Standardschriftart1111111111111">
    <w:name w:val="WW-Absatz-Standardschriftart1111111111111"/>
    <w:rsid w:val="00626219"/>
  </w:style>
  <w:style w:type="character" w:customStyle="1" w:styleId="WW-Absatz-Standardschriftart11111111111111">
    <w:name w:val="WW-Absatz-Standardschriftart11111111111111"/>
    <w:rsid w:val="00626219"/>
  </w:style>
  <w:style w:type="character" w:customStyle="1" w:styleId="WW-Absatz-Standardschriftart111111111111111">
    <w:name w:val="WW-Absatz-Standardschriftart111111111111111"/>
    <w:rsid w:val="00626219"/>
  </w:style>
  <w:style w:type="character" w:customStyle="1" w:styleId="WW-Absatz-Standardschriftart1111111111111111">
    <w:name w:val="WW-Absatz-Standardschriftart1111111111111111"/>
    <w:rsid w:val="00626219"/>
  </w:style>
  <w:style w:type="character" w:customStyle="1" w:styleId="WW8Num1z0">
    <w:name w:val="WW8Num1z0"/>
    <w:rsid w:val="00626219"/>
    <w:rPr>
      <w:rFonts w:ascii="Symbol" w:eastAsia="Times New Roman" w:hAnsi="Symbol" w:cs="Times New Roman"/>
    </w:rPr>
  </w:style>
  <w:style w:type="character" w:customStyle="1" w:styleId="WW8Num1z1">
    <w:name w:val="WW8Num1z1"/>
    <w:rsid w:val="00626219"/>
    <w:rPr>
      <w:rFonts w:ascii="Courier New" w:hAnsi="Courier New" w:cs="Courier New"/>
    </w:rPr>
  </w:style>
  <w:style w:type="character" w:customStyle="1" w:styleId="WW8Num1z2">
    <w:name w:val="WW8Num1z2"/>
    <w:rsid w:val="00626219"/>
    <w:rPr>
      <w:rFonts w:ascii="Wingdings" w:hAnsi="Wingdings"/>
    </w:rPr>
  </w:style>
  <w:style w:type="character" w:customStyle="1" w:styleId="WW8Num1z3">
    <w:name w:val="WW8Num1z3"/>
    <w:rsid w:val="00626219"/>
    <w:rPr>
      <w:rFonts w:ascii="Symbol" w:hAnsi="Symbol"/>
    </w:rPr>
  </w:style>
  <w:style w:type="character" w:styleId="PageNumber">
    <w:name w:val="page number"/>
    <w:basedOn w:val="DefaultParagraphFont"/>
    <w:rsid w:val="00626219"/>
  </w:style>
  <w:style w:type="character" w:styleId="Hyperlink">
    <w:name w:val="Hyperlink"/>
    <w:rsid w:val="00626219"/>
    <w:rPr>
      <w:color w:val="0000FF"/>
      <w:u w:val="single"/>
    </w:rPr>
  </w:style>
  <w:style w:type="character" w:styleId="FollowedHyperlink">
    <w:name w:val="FollowedHyperlink"/>
    <w:rsid w:val="00626219"/>
    <w:rPr>
      <w:color w:val="800080"/>
      <w:u w:val="single"/>
    </w:rPr>
  </w:style>
  <w:style w:type="character" w:customStyle="1" w:styleId="NumberingSymbols">
    <w:name w:val="Numbering Symbols"/>
    <w:rsid w:val="00626219"/>
  </w:style>
  <w:style w:type="paragraph" w:customStyle="1" w:styleId="Heading">
    <w:name w:val="Heading"/>
    <w:basedOn w:val="Normal"/>
    <w:next w:val="BodyText"/>
    <w:rsid w:val="00626219"/>
    <w:pPr>
      <w:keepNext/>
      <w:spacing w:before="240" w:after="120"/>
    </w:pPr>
    <w:rPr>
      <w:rFonts w:ascii="Nimbus Sans L" w:eastAsia="DejaVu Sans" w:hAnsi="Nimbus Sans L" w:cs="DejaVu Sans"/>
      <w:sz w:val="28"/>
      <w:szCs w:val="28"/>
    </w:rPr>
  </w:style>
  <w:style w:type="paragraph" w:styleId="BodyText">
    <w:name w:val="Body Text"/>
    <w:basedOn w:val="Normal"/>
    <w:rsid w:val="00626219"/>
    <w:pPr>
      <w:spacing w:line="360" w:lineRule="auto"/>
    </w:pPr>
  </w:style>
  <w:style w:type="paragraph" w:styleId="List">
    <w:name w:val="List"/>
    <w:basedOn w:val="BodyText"/>
    <w:rsid w:val="00626219"/>
  </w:style>
  <w:style w:type="paragraph" w:styleId="Caption">
    <w:name w:val="caption"/>
    <w:basedOn w:val="Normal"/>
    <w:qFormat/>
    <w:rsid w:val="00626219"/>
    <w:pPr>
      <w:suppressLineNumbers/>
      <w:spacing w:before="120" w:after="120"/>
    </w:pPr>
    <w:rPr>
      <w:i/>
      <w:iCs/>
    </w:rPr>
  </w:style>
  <w:style w:type="paragraph" w:customStyle="1" w:styleId="Index">
    <w:name w:val="Index"/>
    <w:basedOn w:val="Normal"/>
    <w:rsid w:val="00626219"/>
    <w:pPr>
      <w:suppressLineNumbers/>
    </w:pPr>
  </w:style>
  <w:style w:type="paragraph" w:styleId="Header">
    <w:name w:val="header"/>
    <w:basedOn w:val="Normal"/>
    <w:next w:val="Heading1"/>
    <w:link w:val="HeaderChar"/>
    <w:rsid w:val="00626219"/>
    <w:pPr>
      <w:tabs>
        <w:tab w:val="center" w:pos="4320"/>
        <w:tab w:val="right" w:pos="8640"/>
      </w:tabs>
    </w:pPr>
  </w:style>
  <w:style w:type="paragraph" w:styleId="BodyTextIndent3">
    <w:name w:val="Body Text Indent 3"/>
    <w:basedOn w:val="Normal"/>
    <w:rsid w:val="00626219"/>
    <w:pPr>
      <w:spacing w:line="360" w:lineRule="auto"/>
      <w:ind w:firstLine="720"/>
      <w:jc w:val="both"/>
    </w:pPr>
    <w:rPr>
      <w:b/>
      <w:bCs/>
    </w:rPr>
  </w:style>
  <w:style w:type="paragraph" w:styleId="BodyTextIndent">
    <w:name w:val="Body Text Indent"/>
    <w:basedOn w:val="Normal"/>
    <w:rsid w:val="00626219"/>
    <w:pPr>
      <w:ind w:left="540" w:hanging="720"/>
      <w:jc w:val="both"/>
    </w:pPr>
  </w:style>
  <w:style w:type="paragraph" w:styleId="BodyTextIndent2">
    <w:name w:val="Body Text Indent 2"/>
    <w:basedOn w:val="Normal"/>
    <w:rsid w:val="00626219"/>
    <w:pPr>
      <w:spacing w:line="360" w:lineRule="auto"/>
      <w:ind w:firstLine="720"/>
      <w:jc w:val="both"/>
    </w:pPr>
  </w:style>
  <w:style w:type="paragraph" w:styleId="BodyText2">
    <w:name w:val="Body Text 2"/>
    <w:basedOn w:val="Normal"/>
    <w:rsid w:val="00626219"/>
    <w:pPr>
      <w:spacing w:line="360" w:lineRule="auto"/>
      <w:jc w:val="both"/>
    </w:pPr>
  </w:style>
  <w:style w:type="paragraph" w:styleId="Footer">
    <w:name w:val="footer"/>
    <w:basedOn w:val="Normal"/>
    <w:rsid w:val="00626219"/>
    <w:pPr>
      <w:tabs>
        <w:tab w:val="center" w:pos="4320"/>
        <w:tab w:val="right" w:pos="8640"/>
      </w:tabs>
    </w:pPr>
    <w:rPr>
      <w:sz w:val="32"/>
    </w:rPr>
  </w:style>
  <w:style w:type="paragraph" w:customStyle="1" w:styleId="TableContents">
    <w:name w:val="Table Contents"/>
    <w:basedOn w:val="Normal"/>
    <w:rsid w:val="00626219"/>
    <w:pPr>
      <w:suppressLineNumbers/>
    </w:pPr>
  </w:style>
  <w:style w:type="paragraph" w:customStyle="1" w:styleId="TableHeading">
    <w:name w:val="Table Heading"/>
    <w:basedOn w:val="TableContents"/>
    <w:rsid w:val="00626219"/>
    <w:pPr>
      <w:jc w:val="center"/>
    </w:pPr>
    <w:rPr>
      <w:b/>
      <w:bCs/>
    </w:rPr>
  </w:style>
  <w:style w:type="paragraph" w:customStyle="1" w:styleId="Framecontents">
    <w:name w:val="Frame contents"/>
    <w:basedOn w:val="BodyText"/>
    <w:rsid w:val="00626219"/>
  </w:style>
  <w:style w:type="paragraph" w:customStyle="1" w:styleId="Text">
    <w:name w:val="Text"/>
    <w:basedOn w:val="Normal"/>
    <w:rsid w:val="0062621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CA68B9"/>
    <w:pPr>
      <w:suppressAutoHyphens w:val="0"/>
      <w:spacing w:after="200" w:line="276" w:lineRule="auto"/>
      <w:ind w:left="720"/>
      <w:contextualSpacing/>
    </w:pPr>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186242"/>
    <w:rPr>
      <w:sz w:val="18"/>
      <w:szCs w:val="18"/>
    </w:rPr>
  </w:style>
  <w:style w:type="character" w:customStyle="1" w:styleId="BalloonTextChar">
    <w:name w:val="Balloon Text Char"/>
    <w:basedOn w:val="DefaultParagraphFont"/>
    <w:link w:val="BalloonText"/>
    <w:uiPriority w:val="99"/>
    <w:semiHidden/>
    <w:rsid w:val="00186242"/>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footer" Target="footer3.xm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footer" Target="footer11.xml"/><Relationship Id="rId63" Type="http://schemas.openxmlformats.org/officeDocument/2006/relationships/image" Target="media/image18.wmf"/><Relationship Id="rId68" Type="http://schemas.openxmlformats.org/officeDocument/2006/relationships/footer" Target="footer13.xml"/><Relationship Id="rId76" Type="http://schemas.openxmlformats.org/officeDocument/2006/relationships/footer" Target="footer17.xml"/><Relationship Id="rId7" Type="http://schemas.openxmlformats.org/officeDocument/2006/relationships/hyperlink" Target="mailto:funmilayo.popo-ola@uniport.edu.ng" TargetMode="External"/><Relationship Id="rId71" Type="http://schemas.openxmlformats.org/officeDocument/2006/relationships/hyperlink" Target="mailto:funmilayo.popo-ola@uniport.edu.ng"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footer" Target="footer5.xml"/><Relationship Id="rId53" Type="http://schemas.openxmlformats.org/officeDocument/2006/relationships/chart" Target="charts/chart1.xml"/><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footer" Target="footer16.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7.wmf"/><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eader" Target="header3.xml"/><Relationship Id="rId52" Type="http://schemas.openxmlformats.org/officeDocument/2006/relationships/footer" Target="footer10.xml"/><Relationship Id="rId60" Type="http://schemas.openxmlformats.org/officeDocument/2006/relationships/oleObject" Target="embeddings/oleObject16.bin"/><Relationship Id="rId65" Type="http://schemas.openxmlformats.org/officeDocument/2006/relationships/image" Target="media/image19.wmf"/><Relationship Id="rId73" Type="http://schemas.openxmlformats.org/officeDocument/2006/relationships/footer" Target="footer15.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90317.05"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footer" Target="footer4.xml"/><Relationship Id="rId48" Type="http://schemas.openxmlformats.org/officeDocument/2006/relationships/footer" Target="footer7.xml"/><Relationship Id="rId56" Type="http://schemas.openxmlformats.org/officeDocument/2006/relationships/footer" Target="footer12.xml"/><Relationship Id="rId64" Type="http://schemas.openxmlformats.org/officeDocument/2006/relationships/oleObject" Target="embeddings/oleObject18.bin"/><Relationship Id="rId69" Type="http://schemas.openxmlformats.org/officeDocument/2006/relationships/footer" Target="footer14.xml"/><Relationship Id="rId77" Type="http://schemas.openxmlformats.org/officeDocument/2006/relationships/footer" Target="footer18.xml"/><Relationship Id="rId8" Type="http://schemas.openxmlformats.org/officeDocument/2006/relationships/hyperlink" Target="http://www.sciencepub.net/researcher" TargetMode="External"/><Relationship Id="rId51" Type="http://schemas.openxmlformats.org/officeDocument/2006/relationships/footer" Target="footer9.xml"/><Relationship Id="rId72"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footer" Target="footer6.xml"/><Relationship Id="rId59" Type="http://schemas.openxmlformats.org/officeDocument/2006/relationships/image" Target="media/image16.wmf"/><Relationship Id="rId67" Type="http://schemas.openxmlformats.org/officeDocument/2006/relationships/header" Target="header7.xml"/><Relationship Id="rId20" Type="http://schemas.openxmlformats.org/officeDocument/2006/relationships/oleObject" Target="embeddings/oleObject4.bin"/><Relationship Id="rId41" Type="http://schemas.openxmlformats.org/officeDocument/2006/relationships/header" Target="header2.xml"/><Relationship Id="rId54" Type="http://schemas.openxmlformats.org/officeDocument/2006/relationships/header" Target="header6.xml"/><Relationship Id="rId62" Type="http://schemas.openxmlformats.org/officeDocument/2006/relationships/oleObject" Target="embeddings/oleObject17.bin"/><Relationship Id="rId70" Type="http://schemas.openxmlformats.org/officeDocument/2006/relationships/chart" Target="charts/chart2.xml"/><Relationship Id="rId75"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oter" Target="footer8.xml"/><Relationship Id="rId57"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FSP%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9006206577119037"/>
          <c:y val="7.4388741608304026E-2"/>
          <c:w val="0.65685965724872719"/>
          <c:h val="0.73966010816883843"/>
        </c:manualLayout>
      </c:layout>
      <c:scatterChart>
        <c:scatterStyle val="lineMarker"/>
        <c:ser>
          <c:idx val="0"/>
          <c:order val="0"/>
          <c:spPr>
            <a:ln w="28575">
              <a:noFill/>
            </a:ln>
          </c:spPr>
          <c:marker>
            <c:symbol val="diamond"/>
            <c:size val="4"/>
            <c:spPr>
              <a:solidFill>
                <a:schemeClr val="tx1"/>
              </a:solidFill>
            </c:spPr>
          </c:marker>
          <c:xVal>
            <c:numRef>
              <c:f>Sheet2!$AK$3:$AK$92</c:f>
              <c:numCache>
                <c:formatCode>General</c:formatCode>
                <c:ptCount val="90"/>
                <c:pt idx="0">
                  <c:v>1.06</c:v>
                </c:pt>
                <c:pt idx="1">
                  <c:v>0.72800000000000065</c:v>
                </c:pt>
                <c:pt idx="2">
                  <c:v>1.0940000000000001</c:v>
                </c:pt>
                <c:pt idx="3">
                  <c:v>0.61000000000000065</c:v>
                </c:pt>
                <c:pt idx="4">
                  <c:v>1.1900000000000128</c:v>
                </c:pt>
                <c:pt idx="5">
                  <c:v>0.52800000000000002</c:v>
                </c:pt>
                <c:pt idx="6">
                  <c:v>1.145</c:v>
                </c:pt>
                <c:pt idx="7">
                  <c:v>0.59000000000000064</c:v>
                </c:pt>
                <c:pt idx="8">
                  <c:v>1.34</c:v>
                </c:pt>
                <c:pt idx="9">
                  <c:v>0.47000000000000008</c:v>
                </c:pt>
                <c:pt idx="10">
                  <c:v>1.44</c:v>
                </c:pt>
                <c:pt idx="11">
                  <c:v>0.68000000000000282</c:v>
                </c:pt>
                <c:pt idx="12">
                  <c:v>1.0629999999999871</c:v>
                </c:pt>
                <c:pt idx="13">
                  <c:v>0.5</c:v>
                </c:pt>
                <c:pt idx="14">
                  <c:v>0.92</c:v>
                </c:pt>
                <c:pt idx="15">
                  <c:v>0.65000000000000735</c:v>
                </c:pt>
                <c:pt idx="16">
                  <c:v>0.56000000000000005</c:v>
                </c:pt>
                <c:pt idx="17">
                  <c:v>1.46</c:v>
                </c:pt>
                <c:pt idx="18">
                  <c:v>1.01</c:v>
                </c:pt>
                <c:pt idx="19">
                  <c:v>0.69000000000000294</c:v>
                </c:pt>
                <c:pt idx="20">
                  <c:v>1.173</c:v>
                </c:pt>
                <c:pt idx="21">
                  <c:v>0.53200000000000003</c:v>
                </c:pt>
                <c:pt idx="22">
                  <c:v>1</c:v>
                </c:pt>
                <c:pt idx="23">
                  <c:v>0.38300000000000362</c:v>
                </c:pt>
                <c:pt idx="24">
                  <c:v>1.1200000000000001</c:v>
                </c:pt>
                <c:pt idx="25">
                  <c:v>0.46</c:v>
                </c:pt>
                <c:pt idx="26">
                  <c:v>1.1800000000000128</c:v>
                </c:pt>
                <c:pt idx="27">
                  <c:v>0.49000000000000032</c:v>
                </c:pt>
                <c:pt idx="28">
                  <c:v>1.1000000000000001</c:v>
                </c:pt>
                <c:pt idx="29">
                  <c:v>0.46</c:v>
                </c:pt>
                <c:pt idx="30">
                  <c:v>1.032</c:v>
                </c:pt>
                <c:pt idx="31">
                  <c:v>0.47000000000000008</c:v>
                </c:pt>
                <c:pt idx="32">
                  <c:v>0.87600000000000655</c:v>
                </c:pt>
                <c:pt idx="33">
                  <c:v>0.46</c:v>
                </c:pt>
                <c:pt idx="34">
                  <c:v>1.0649999999999871</c:v>
                </c:pt>
                <c:pt idx="35">
                  <c:v>0.52300000000000002</c:v>
                </c:pt>
                <c:pt idx="36">
                  <c:v>1.01</c:v>
                </c:pt>
                <c:pt idx="37">
                  <c:v>0.52300000000000002</c:v>
                </c:pt>
                <c:pt idx="38">
                  <c:v>1.1200000000000001</c:v>
                </c:pt>
                <c:pt idx="39">
                  <c:v>0.53</c:v>
                </c:pt>
                <c:pt idx="40">
                  <c:v>1.0580000000000001</c:v>
                </c:pt>
                <c:pt idx="41">
                  <c:v>0.54</c:v>
                </c:pt>
                <c:pt idx="42">
                  <c:v>1.43</c:v>
                </c:pt>
                <c:pt idx="43">
                  <c:v>0.81</c:v>
                </c:pt>
                <c:pt idx="44">
                  <c:v>1.1800000000000128</c:v>
                </c:pt>
                <c:pt idx="45">
                  <c:v>0.64300000000000723</c:v>
                </c:pt>
                <c:pt idx="46">
                  <c:v>1.4139999999999742</c:v>
                </c:pt>
                <c:pt idx="47">
                  <c:v>0.61000000000000065</c:v>
                </c:pt>
                <c:pt idx="48">
                  <c:v>1.1100000000000001</c:v>
                </c:pt>
                <c:pt idx="49">
                  <c:v>0.57200000000000062</c:v>
                </c:pt>
                <c:pt idx="50">
                  <c:v>0.74200000000000643</c:v>
                </c:pt>
                <c:pt idx="51">
                  <c:v>0.61500000000000365</c:v>
                </c:pt>
                <c:pt idx="52">
                  <c:v>1.012</c:v>
                </c:pt>
                <c:pt idx="53">
                  <c:v>0.56399999999999995</c:v>
                </c:pt>
                <c:pt idx="54">
                  <c:v>0.84000000000000064</c:v>
                </c:pt>
                <c:pt idx="55">
                  <c:v>0.4</c:v>
                </c:pt>
                <c:pt idx="56">
                  <c:v>0.55000000000000004</c:v>
                </c:pt>
                <c:pt idx="57">
                  <c:v>0.89000000000000212</c:v>
                </c:pt>
                <c:pt idx="58">
                  <c:v>0.85000000000000064</c:v>
                </c:pt>
                <c:pt idx="59">
                  <c:v>0.59000000000000064</c:v>
                </c:pt>
                <c:pt idx="60">
                  <c:v>0.96000000000000063</c:v>
                </c:pt>
                <c:pt idx="61">
                  <c:v>0.504</c:v>
                </c:pt>
                <c:pt idx="62">
                  <c:v>0.91500000000000004</c:v>
                </c:pt>
                <c:pt idx="63">
                  <c:v>0.56200000000000061</c:v>
                </c:pt>
                <c:pt idx="64">
                  <c:v>1.2</c:v>
                </c:pt>
                <c:pt idx="65">
                  <c:v>0.58000000000000063</c:v>
                </c:pt>
                <c:pt idx="66">
                  <c:v>0.8</c:v>
                </c:pt>
                <c:pt idx="67">
                  <c:v>0.58500000000000063</c:v>
                </c:pt>
                <c:pt idx="68">
                  <c:v>0.998</c:v>
                </c:pt>
                <c:pt idx="69">
                  <c:v>0.59600000000000064</c:v>
                </c:pt>
                <c:pt idx="70">
                  <c:v>0.66300000000000814</c:v>
                </c:pt>
                <c:pt idx="71">
                  <c:v>0.48200000000000032</c:v>
                </c:pt>
                <c:pt idx="72">
                  <c:v>0.82500000000000062</c:v>
                </c:pt>
                <c:pt idx="73">
                  <c:v>0.42500000000000032</c:v>
                </c:pt>
                <c:pt idx="74">
                  <c:v>0.71000000000000063</c:v>
                </c:pt>
                <c:pt idx="75">
                  <c:v>0.41000000000000031</c:v>
                </c:pt>
                <c:pt idx="76">
                  <c:v>0.97000000000000053</c:v>
                </c:pt>
                <c:pt idx="77">
                  <c:v>0.41000000000000031</c:v>
                </c:pt>
                <c:pt idx="78">
                  <c:v>0.68000000000000282</c:v>
                </c:pt>
                <c:pt idx="79">
                  <c:v>0.42000000000000032</c:v>
                </c:pt>
                <c:pt idx="80">
                  <c:v>0.87000000000000643</c:v>
                </c:pt>
                <c:pt idx="81">
                  <c:v>0.36000000000000032</c:v>
                </c:pt>
                <c:pt idx="82">
                  <c:v>0.68000000000000282</c:v>
                </c:pt>
                <c:pt idx="83">
                  <c:v>0.45400000000000001</c:v>
                </c:pt>
                <c:pt idx="84">
                  <c:v>0.63000000000000711</c:v>
                </c:pt>
                <c:pt idx="85">
                  <c:v>0.48000000000000032</c:v>
                </c:pt>
                <c:pt idx="86">
                  <c:v>0.77000000000000524</c:v>
                </c:pt>
                <c:pt idx="87">
                  <c:v>0.5</c:v>
                </c:pt>
                <c:pt idx="88">
                  <c:v>0.68000000000000282</c:v>
                </c:pt>
                <c:pt idx="89">
                  <c:v>0.49500000000000038</c:v>
                </c:pt>
              </c:numCache>
            </c:numRef>
          </c:xVal>
          <c:yVal>
            <c:numRef>
              <c:f>Sheet2!$AL$3:$AL$92</c:f>
              <c:numCache>
                <c:formatCode>General</c:formatCode>
                <c:ptCount val="90"/>
                <c:pt idx="0">
                  <c:v>797.85294258339877</c:v>
                </c:pt>
                <c:pt idx="1">
                  <c:v>395.87393625174093</c:v>
                </c:pt>
                <c:pt idx="2">
                  <c:v>879.54544451219351</c:v>
                </c:pt>
                <c:pt idx="3">
                  <c:v>221.27044761525067</c:v>
                </c:pt>
                <c:pt idx="4">
                  <c:v>1144.1209267660549</c:v>
                </c:pt>
                <c:pt idx="5">
                  <c:v>172.71371409545179</c:v>
                </c:pt>
                <c:pt idx="6">
                  <c:v>1245.2427981834851</c:v>
                </c:pt>
                <c:pt idx="7">
                  <c:v>128.65757869791665</c:v>
                </c:pt>
                <c:pt idx="8">
                  <c:v>1256.5027057402203</c:v>
                </c:pt>
                <c:pt idx="9">
                  <c:v>89.776557663187504</c:v>
                </c:pt>
                <c:pt idx="10">
                  <c:v>1061.9991461126658</c:v>
                </c:pt>
                <c:pt idx="11">
                  <c:v>208.68190200000001</c:v>
                </c:pt>
                <c:pt idx="12">
                  <c:v>741.96919039866066</c:v>
                </c:pt>
                <c:pt idx="13">
                  <c:v>111.81630193066586</c:v>
                </c:pt>
                <c:pt idx="14">
                  <c:v>521.5555601310474</c:v>
                </c:pt>
                <c:pt idx="15">
                  <c:v>212.24558712499751</c:v>
                </c:pt>
                <c:pt idx="16">
                  <c:v>127.11337405658618</c:v>
                </c:pt>
                <c:pt idx="17">
                  <c:v>1267.8127857188442</c:v>
                </c:pt>
                <c:pt idx="18">
                  <c:v>682.8838824984</c:v>
                </c:pt>
                <c:pt idx="19">
                  <c:v>244.66768681740211</c:v>
                </c:pt>
                <c:pt idx="20">
                  <c:v>748.09240057832267</c:v>
                </c:pt>
                <c:pt idx="21">
                  <c:v>163.92325941092508</c:v>
                </c:pt>
                <c:pt idx="22">
                  <c:v>1003.1641607489361</c:v>
                </c:pt>
                <c:pt idx="23">
                  <c:v>53.245856288336853</c:v>
                </c:pt>
                <c:pt idx="24">
                  <c:v>865.26228045599748</c:v>
                </c:pt>
                <c:pt idx="25">
                  <c:v>73.80828965393259</c:v>
                </c:pt>
                <c:pt idx="26">
                  <c:v>1032.3843752292578</c:v>
                </c:pt>
                <c:pt idx="27">
                  <c:v>85.406971088636382</c:v>
                </c:pt>
                <c:pt idx="28">
                  <c:v>1227.2186678914311</c:v>
                </c:pt>
                <c:pt idx="29">
                  <c:v>102.63680799701331</c:v>
                </c:pt>
                <c:pt idx="30">
                  <c:v>1222.6202413777996</c:v>
                </c:pt>
                <c:pt idx="31">
                  <c:v>87.098109914111092</c:v>
                </c:pt>
                <c:pt idx="32">
                  <c:v>766.3899250495715</c:v>
                </c:pt>
                <c:pt idx="33">
                  <c:v>204.71884177899543</c:v>
                </c:pt>
                <c:pt idx="34">
                  <c:v>1855.2179993912309</c:v>
                </c:pt>
                <c:pt idx="35">
                  <c:v>192.07245227035037</c:v>
                </c:pt>
                <c:pt idx="36">
                  <c:v>1194.3538685617</c:v>
                </c:pt>
                <c:pt idx="37">
                  <c:v>249.63566666138487</c:v>
                </c:pt>
                <c:pt idx="38">
                  <c:v>929.30691604957542</c:v>
                </c:pt>
                <c:pt idx="39">
                  <c:v>252.67764840000001</c:v>
                </c:pt>
                <c:pt idx="40">
                  <c:v>1042.0035129342102</c:v>
                </c:pt>
                <c:pt idx="41">
                  <c:v>134.88250594848665</c:v>
                </c:pt>
                <c:pt idx="42">
                  <c:v>1756.5732542535848</c:v>
                </c:pt>
                <c:pt idx="43">
                  <c:v>1248.8390723030302</c:v>
                </c:pt>
                <c:pt idx="44">
                  <c:v>1945.8901343287996</c:v>
                </c:pt>
                <c:pt idx="45">
                  <c:v>457.16751012137001</c:v>
                </c:pt>
                <c:pt idx="46">
                  <c:v>1848.6361985989529</c:v>
                </c:pt>
                <c:pt idx="47">
                  <c:v>216.85428796604441</c:v>
                </c:pt>
                <c:pt idx="48">
                  <c:v>1843.4553129158928</c:v>
                </c:pt>
                <c:pt idx="49">
                  <c:v>397.68250379084378</c:v>
                </c:pt>
                <c:pt idx="50">
                  <c:v>749.93408068319991</c:v>
                </c:pt>
                <c:pt idx="51">
                  <c:v>353.44609977599669</c:v>
                </c:pt>
                <c:pt idx="52">
                  <c:v>1649.2445727107151</c:v>
                </c:pt>
                <c:pt idx="53">
                  <c:v>292.73298292968724</c:v>
                </c:pt>
                <c:pt idx="54">
                  <c:v>871.24143655684531</c:v>
                </c:pt>
                <c:pt idx="55">
                  <c:v>109.68566089823995</c:v>
                </c:pt>
                <c:pt idx="56">
                  <c:v>259.0986619572837</c:v>
                </c:pt>
                <c:pt idx="57">
                  <c:v>1193.9182707636153</c:v>
                </c:pt>
                <c:pt idx="58">
                  <c:v>980.86293976163256</c:v>
                </c:pt>
                <c:pt idx="59">
                  <c:v>299.59013797131587</c:v>
                </c:pt>
                <c:pt idx="60">
                  <c:v>1284.2831337930002</c:v>
                </c:pt>
                <c:pt idx="61">
                  <c:v>315.92334900956104</c:v>
                </c:pt>
                <c:pt idx="62">
                  <c:v>1557.3761485748057</c:v>
                </c:pt>
                <c:pt idx="63">
                  <c:v>408.59958980265924</c:v>
                </c:pt>
                <c:pt idx="64">
                  <c:v>2025.0321271283656</c:v>
                </c:pt>
                <c:pt idx="65">
                  <c:v>603.82503788600536</c:v>
                </c:pt>
                <c:pt idx="66">
                  <c:v>996.85322291041246</c:v>
                </c:pt>
                <c:pt idx="67">
                  <c:v>482.5460710142188</c:v>
                </c:pt>
                <c:pt idx="68">
                  <c:v>1062.6746991641401</c:v>
                </c:pt>
                <c:pt idx="69">
                  <c:v>439.64857841666674</c:v>
                </c:pt>
                <c:pt idx="70">
                  <c:v>562.88565623888883</c:v>
                </c:pt>
                <c:pt idx="71">
                  <c:v>282.14036038222218</c:v>
                </c:pt>
                <c:pt idx="72">
                  <c:v>903.41119732194147</c:v>
                </c:pt>
                <c:pt idx="73">
                  <c:v>157.17651585726307</c:v>
                </c:pt>
                <c:pt idx="74">
                  <c:v>847.03136426480012</c:v>
                </c:pt>
                <c:pt idx="75">
                  <c:v>291.43114480715985</c:v>
                </c:pt>
                <c:pt idx="76">
                  <c:v>1072.2968023406911</c:v>
                </c:pt>
                <c:pt idx="77">
                  <c:v>203.85219847826343</c:v>
                </c:pt>
                <c:pt idx="78">
                  <c:v>642.86793011905297</c:v>
                </c:pt>
                <c:pt idx="79">
                  <c:v>239.63620449999996</c:v>
                </c:pt>
                <c:pt idx="80">
                  <c:v>819.27526972911255</c:v>
                </c:pt>
                <c:pt idx="81">
                  <c:v>130.20974544961578</c:v>
                </c:pt>
                <c:pt idx="82">
                  <c:v>535.29006365120051</c:v>
                </c:pt>
                <c:pt idx="83">
                  <c:v>305.45547533148147</c:v>
                </c:pt>
                <c:pt idx="84">
                  <c:v>522.11197876859353</c:v>
                </c:pt>
                <c:pt idx="85">
                  <c:v>253.51695547470223</c:v>
                </c:pt>
                <c:pt idx="86">
                  <c:v>854.21895793639919</c:v>
                </c:pt>
                <c:pt idx="87">
                  <c:v>277.93143542606163</c:v>
                </c:pt>
                <c:pt idx="88">
                  <c:v>659.89289079881439</c:v>
                </c:pt>
                <c:pt idx="89">
                  <c:v>379.33459268679246</c:v>
                </c:pt>
              </c:numCache>
            </c:numRef>
          </c:yVal>
        </c:ser>
        <c:axId val="89700992"/>
        <c:axId val="89774336"/>
      </c:scatterChart>
      <c:valAx>
        <c:axId val="89700992"/>
        <c:scaling>
          <c:orientation val="minMax"/>
        </c:scaling>
        <c:axPos val="b"/>
        <c:title>
          <c:tx>
            <c:rich>
              <a:bodyPr/>
              <a:lstStyle/>
              <a:p>
                <a:pPr>
                  <a:defRPr lang="en-US"/>
                </a:pPr>
                <a:r>
                  <a:rPr lang="en-US"/>
                  <a:t>DBH (M)</a:t>
                </a:r>
              </a:p>
            </c:rich>
          </c:tx>
          <c:layout/>
        </c:title>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89774336"/>
        <c:crosses val="autoZero"/>
        <c:crossBetween val="midCat"/>
      </c:valAx>
      <c:valAx>
        <c:axId val="89774336"/>
        <c:scaling>
          <c:orientation val="minMax"/>
        </c:scaling>
        <c:axPos val="l"/>
        <c:title>
          <c:tx>
            <c:rich>
              <a:bodyPr rot="-5400000" vert="horz"/>
              <a:lstStyle/>
              <a:p>
                <a:pPr>
                  <a:defRPr lang="en-US"/>
                </a:pPr>
                <a:r>
                  <a:rPr lang="en-US"/>
                  <a:t>Carbon Sequestered (kg/tree)</a:t>
                </a:r>
              </a:p>
            </c:rich>
          </c:tx>
          <c:layout/>
        </c:title>
        <c:numFmt formatCode="General" sourceLinked="1"/>
        <c:tickLblPos val="nextTo"/>
        <c:txPr>
          <a:bodyPr/>
          <a:lstStyle/>
          <a:p>
            <a:pPr>
              <a:defRPr lang="en-US"/>
            </a:pPr>
            <a:endParaRPr lang="en-US"/>
          </a:p>
        </c:txPr>
        <c:crossAx val="89700992"/>
        <c:crosses val="autoZero"/>
        <c:crossBetween val="midCat"/>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002333041703123"/>
          <c:y val="0.11815886670718591"/>
          <c:w val="0.61571741032371008"/>
          <c:h val="0.71677497779232313"/>
        </c:manualLayout>
      </c:layout>
      <c:scatterChart>
        <c:scatterStyle val="lineMarker"/>
        <c:ser>
          <c:idx val="0"/>
          <c:order val="0"/>
          <c:spPr>
            <a:ln w="28575">
              <a:noFill/>
            </a:ln>
          </c:spPr>
          <c:marker>
            <c:symbol val="diamond"/>
            <c:size val="4"/>
          </c:marker>
          <c:xVal>
            <c:numRef>
              <c:f>Sheet14!$J$3:$J$32</c:f>
              <c:numCache>
                <c:formatCode>General</c:formatCode>
                <c:ptCount val="30"/>
                <c:pt idx="0">
                  <c:v>5.5552391509629997</c:v>
                </c:pt>
                <c:pt idx="1">
                  <c:v>6.7171731401249986</c:v>
                </c:pt>
                <c:pt idx="2">
                  <c:v>6.7939171041629995</c:v>
                </c:pt>
                <c:pt idx="3">
                  <c:v>5.3211810029999755</c:v>
                </c:pt>
                <c:pt idx="4">
                  <c:v>6.9459123538170005</c:v>
                </c:pt>
                <c:pt idx="5">
                  <c:v>5.1339746709999607</c:v>
                </c:pt>
                <c:pt idx="6">
                  <c:v>6.8431106189999653</c:v>
                </c:pt>
                <c:pt idx="7">
                  <c:v>4.9125905526249865</c:v>
                </c:pt>
                <c:pt idx="8">
                  <c:v>4.9876483840000514</c:v>
                </c:pt>
                <c:pt idx="9">
                  <c:v>7.0426562669999635</c:v>
                </c:pt>
                <c:pt idx="10">
                  <c:v>7.0228380086639755</c:v>
                </c:pt>
                <c:pt idx="11">
                  <c:v>6.0112556067509955</c:v>
                </c:pt>
                <c:pt idx="12">
                  <c:v>4.2499018473519845</c:v>
                </c:pt>
                <c:pt idx="13">
                  <c:v>6.638759449000001</c:v>
                </c:pt>
                <c:pt idx="14">
                  <c:v>5.4113841250000014</c:v>
                </c:pt>
                <c:pt idx="15">
                  <c:v>6.3742376789999691</c:v>
                </c:pt>
                <c:pt idx="16">
                  <c:v>5.9786620110000541</c:v>
                </c:pt>
                <c:pt idx="17">
                  <c:v>7.0076311830000124</c:v>
                </c:pt>
                <c:pt idx="18">
                  <c:v>6.7277711249999985</c:v>
                </c:pt>
                <c:pt idx="19">
                  <c:v>5.4556325039999995</c:v>
                </c:pt>
                <c:pt idx="20">
                  <c:v>4.9777135280879845</c:v>
                </c:pt>
                <c:pt idx="21">
                  <c:v>6.8431106189999653</c:v>
                </c:pt>
                <c:pt idx="22">
                  <c:v>4.4855994050560124</c:v>
                </c:pt>
                <c:pt idx="23">
                  <c:v>6.6149999999999745</c:v>
                </c:pt>
                <c:pt idx="24">
                  <c:v>4.5184768269999598</c:v>
                </c:pt>
                <c:pt idx="25">
                  <c:v>6.9224391039999995</c:v>
                </c:pt>
                <c:pt idx="26">
                  <c:v>6.9137296441360014</c:v>
                </c:pt>
                <c:pt idx="27">
                  <c:v>4.1807798289999845</c:v>
                </c:pt>
                <c:pt idx="28">
                  <c:v>6.6619171919999856</c:v>
                </c:pt>
                <c:pt idx="29">
                  <c:v>4.4081126250000002</c:v>
                </c:pt>
              </c:numCache>
            </c:numRef>
          </c:xVal>
          <c:yVal>
            <c:numRef>
              <c:f>Sheet14!$K$3:$K$32</c:f>
              <c:numCache>
                <c:formatCode>General</c:formatCode>
                <c:ptCount val="30"/>
                <c:pt idx="0">
                  <c:v>1.1266851470277761</c:v>
                </c:pt>
                <c:pt idx="1">
                  <c:v>-0.73607732235098244</c:v>
                </c:pt>
                <c:pt idx="2">
                  <c:v>-1.4511870470714783E-2</c:v>
                </c:pt>
                <c:pt idx="3">
                  <c:v>7.8204695217703429E-2</c:v>
                </c:pt>
                <c:pt idx="4">
                  <c:v>9.647951775142348E-2</c:v>
                </c:pt>
                <c:pt idx="5">
                  <c:v>1.7660720932978449E-2</c:v>
                </c:pt>
                <c:pt idx="6">
                  <c:v>0.28397518950642031</c:v>
                </c:pt>
                <c:pt idx="7">
                  <c:v>-5.5436106204304322E-2</c:v>
                </c:pt>
                <c:pt idx="8">
                  <c:v>2.1484391263758384</c:v>
                </c:pt>
                <c:pt idx="9">
                  <c:v>-2.5453323762927642</c:v>
                </c:pt>
                <c:pt idx="10">
                  <c:v>-5.4929610899476795E-2</c:v>
                </c:pt>
                <c:pt idx="11">
                  <c:v>-0.67044451420476581</c:v>
                </c:pt>
                <c:pt idx="12">
                  <c:v>2.3594058725795177</c:v>
                </c:pt>
                <c:pt idx="13">
                  <c:v>-1.9219020855753992</c:v>
                </c:pt>
                <c:pt idx="14">
                  <c:v>0.84543168284752834</c:v>
                </c:pt>
                <c:pt idx="15">
                  <c:v>-1.0164936449551838</c:v>
                </c:pt>
                <c:pt idx="16">
                  <c:v>-1.13358261366221</c:v>
                </c:pt>
                <c:pt idx="17">
                  <c:v>0.13741729576438533</c:v>
                </c:pt>
                <c:pt idx="18">
                  <c:v>-0.20144629086602611</c:v>
                </c:pt>
                <c:pt idx="19">
                  <c:v>4.4268405491119552E-2</c:v>
                </c:pt>
                <c:pt idx="20">
                  <c:v>1.6398129724421633</c:v>
                </c:pt>
                <c:pt idx="21">
                  <c:v>-1.7437122311106077</c:v>
                </c:pt>
                <c:pt idx="22">
                  <c:v>2.4253150392532024</c:v>
                </c:pt>
                <c:pt idx="23">
                  <c:v>-2.6400800146197687</c:v>
                </c:pt>
                <c:pt idx="24">
                  <c:v>2.244555848371701</c:v>
                </c:pt>
                <c:pt idx="25">
                  <c:v>-2.6209680527676302</c:v>
                </c:pt>
                <c:pt idx="26">
                  <c:v>2.5896689178257049E-2</c:v>
                </c:pt>
                <c:pt idx="27">
                  <c:v>0.26664789713564513</c:v>
                </c:pt>
                <c:pt idx="28">
                  <c:v>0.45058845027323091</c:v>
                </c:pt>
                <c:pt idx="29">
                  <c:v>0.22308399580794841</c:v>
                </c:pt>
              </c:numCache>
            </c:numRef>
          </c:yVal>
        </c:ser>
        <c:axId val="44971904"/>
        <c:axId val="44990464"/>
      </c:scatterChart>
      <c:valAx>
        <c:axId val="44971904"/>
        <c:scaling>
          <c:orientation val="minMax"/>
        </c:scaling>
        <c:axPos val="b"/>
        <c:title>
          <c:tx>
            <c:rich>
              <a:bodyPr/>
              <a:lstStyle/>
              <a:p>
                <a:pPr>
                  <a:defRPr lang="en-US"/>
                </a:pPr>
                <a:r>
                  <a:rPr lang="en-US"/>
                  <a:t>Estimated carbon sequestered</a:t>
                </a:r>
              </a:p>
            </c:rich>
          </c:tx>
          <c:layout/>
        </c:title>
        <c:numFmt formatCode="General" sourceLinked="1"/>
        <c:tickLblPos val="nextTo"/>
        <c:txPr>
          <a:bodyPr/>
          <a:lstStyle/>
          <a:p>
            <a:pPr>
              <a:defRPr lang="en-US"/>
            </a:pPr>
            <a:endParaRPr lang="en-US"/>
          </a:p>
        </c:txPr>
        <c:crossAx val="44990464"/>
        <c:crosses val="autoZero"/>
        <c:crossBetween val="midCat"/>
      </c:valAx>
      <c:valAx>
        <c:axId val="44990464"/>
        <c:scaling>
          <c:orientation val="minMax"/>
        </c:scaling>
        <c:axPos val="l"/>
        <c:title>
          <c:tx>
            <c:rich>
              <a:bodyPr rot="-5400000" vert="horz"/>
              <a:lstStyle/>
              <a:p>
                <a:pPr>
                  <a:defRPr lang="en-US"/>
                </a:pPr>
                <a:r>
                  <a:rPr lang="en-US"/>
                  <a:t>Residual</a:t>
                </a:r>
              </a:p>
            </c:rich>
          </c:tx>
          <c:layout/>
        </c:title>
        <c:numFmt formatCode="General" sourceLinked="1"/>
        <c:tickLblPos val="nextTo"/>
        <c:txPr>
          <a:bodyPr/>
          <a:lstStyle/>
          <a:p>
            <a:pPr>
              <a:defRPr lang="en-US"/>
            </a:pPr>
            <a:endParaRPr lang="en-US"/>
          </a:p>
        </c:txPr>
        <c:crossAx val="44971904"/>
        <c:crosses val="autoZero"/>
        <c:crossBetween val="midCat"/>
      </c:valAx>
      <c:spPr>
        <a:noFill/>
        <a:ln>
          <a:noFill/>
        </a:ln>
      </c:spPr>
    </c:plotArea>
    <c:plotVisOnly val="1"/>
  </c:chart>
  <c:spPr>
    <a:noFill/>
    <a:ln>
      <a:noFill/>
    </a:ln>
  </c:spPr>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21533</CharactersWithSpaces>
  <SharedDoc>false</SharedDoc>
  <HLinks>
    <vt:vector size="42" baseType="variant">
      <vt:variant>
        <vt:i4>6488094</vt:i4>
      </vt:variant>
      <vt:variant>
        <vt:i4>66</vt:i4>
      </vt:variant>
      <vt:variant>
        <vt:i4>0</vt:i4>
      </vt:variant>
      <vt:variant>
        <vt:i4>5</vt:i4>
      </vt:variant>
      <vt:variant>
        <vt:lpwstr>mailto:funmilayo.popo-ola@uniport.edu.ng</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6488094</vt:i4>
      </vt:variant>
      <vt:variant>
        <vt:i4>0</vt:i4>
      </vt:variant>
      <vt:variant>
        <vt:i4>0</vt:i4>
      </vt:variant>
      <vt:variant>
        <vt:i4>5</vt:i4>
      </vt:variant>
      <vt:variant>
        <vt:lpwstr>mailto:funmilayo.popo-ola@uniport.edu.ng</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2017-03-11T08:48:00Z</dcterms:created>
  <dcterms:modified xsi:type="dcterms:W3CDTF">2017-03-12T05:13:00Z</dcterms:modified>
  <cp:category>science</cp:category>
</cp:coreProperties>
</file>