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B" w:rsidRPr="001C6FAE" w:rsidRDefault="006F360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Human Heart-Type Fatty Acid Binding Protein as a Biomarker in Patients with Acute Chest Pain</w:t>
      </w:r>
    </w:p>
    <w:p w:rsidR="005914AB" w:rsidRPr="001C6FAE" w:rsidRDefault="005914A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25BF8" w:rsidRPr="001C6FAE" w:rsidRDefault="00925BF8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Saeid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>, M. E. El-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Bawab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, Mohammad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Mohammad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Abolfotoh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Abdelzaher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M.</w:t>
      </w:r>
      <w:r w:rsidR="0028127F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H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Pr="001C6FAE">
        <w:rPr>
          <w:rFonts w:ascii="Times New Roman" w:hAnsi="Times New Roman" w:cs="Times New Roman"/>
          <w:sz w:val="20"/>
          <w:szCs w:val="20"/>
        </w:rPr>
        <w:t xml:space="preserve"> Hussein M.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Eldeeb</w:t>
      </w:r>
      <w:proofErr w:type="spellEnd"/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>Sayed</w:t>
      </w:r>
      <w:proofErr w:type="spellEnd"/>
      <w:r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>Fathy</w:t>
      </w:r>
      <w:proofErr w:type="spellEnd"/>
      <w:r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Ali</w:t>
      </w:r>
    </w:p>
    <w:p w:rsidR="0028127F" w:rsidRPr="001C6FAE" w:rsidRDefault="0028127F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BF8" w:rsidRPr="001C6FAE" w:rsidRDefault="00925BF8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>Department of Biochemistry, Faculty of Medicine, Al-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Assuit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>, Egypt</w:t>
      </w:r>
    </w:p>
    <w:p w:rsidR="005914AB" w:rsidRPr="001C6FAE" w:rsidRDefault="00542AB5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hyperlink r:id="rId8" w:history="1">
        <w:r w:rsidR="00B64D3D" w:rsidRPr="001C6FAE">
          <w:rPr>
            <w:rFonts w:ascii="Times New Roman" w:hAnsi="Times New Roman" w:cs="Times New Roman"/>
            <w:color w:val="0000CC"/>
            <w:sz w:val="20"/>
            <w:szCs w:val="20"/>
          </w:rPr>
          <w:t>elsaeidelbawab@yahoo.com</w:t>
        </w:r>
      </w:hyperlink>
      <w:r w:rsidR="00B64D3D" w:rsidRPr="001C6FAE">
        <w:rPr>
          <w:rFonts w:ascii="Times New Roman" w:hAnsi="Times New Roman" w:cs="Times New Roman"/>
          <w:color w:val="0000CC"/>
          <w:sz w:val="20"/>
          <w:szCs w:val="20"/>
        </w:rPr>
        <w:t xml:space="preserve">, </w:t>
      </w:r>
      <w:hyperlink r:id="rId9" w:history="1">
        <w:r w:rsidR="0096553B" w:rsidRPr="001C6FAE">
          <w:rPr>
            <w:rFonts w:ascii="Times New Roman" w:hAnsi="Times New Roman" w:cs="Times New Roman"/>
            <w:color w:val="0000CC"/>
            <w:sz w:val="20"/>
            <w:szCs w:val="20"/>
          </w:rPr>
          <w:t>drmmmdrmmm@gmail.com</w:t>
        </w:r>
      </w:hyperlink>
      <w:r w:rsidR="0096553B" w:rsidRPr="001C6FAE">
        <w:rPr>
          <w:rFonts w:ascii="Times New Roman" w:hAnsi="Times New Roman" w:cs="Times New Roman"/>
          <w:color w:val="0000CC"/>
          <w:sz w:val="20"/>
          <w:szCs w:val="20"/>
        </w:rPr>
        <w:t xml:space="preserve">, </w:t>
      </w:r>
      <w:hyperlink r:id="rId10" w:history="1">
        <w:r w:rsidR="0096553B" w:rsidRPr="001C6FAE">
          <w:rPr>
            <w:rFonts w:ascii="Times New Roman" w:hAnsi="Times New Roman" w:cs="Times New Roman"/>
            <w:color w:val="0000CC"/>
            <w:sz w:val="20"/>
            <w:szCs w:val="20"/>
          </w:rPr>
          <w:t>abdelzaher_gerga@yahoo.com</w:t>
        </w:r>
      </w:hyperlink>
      <w:r w:rsidR="0096553B" w:rsidRPr="001C6FAE">
        <w:rPr>
          <w:rFonts w:ascii="Times New Roman" w:hAnsi="Times New Roman" w:cs="Times New Roman"/>
          <w:color w:val="0000CC"/>
          <w:sz w:val="20"/>
          <w:szCs w:val="20"/>
        </w:rPr>
        <w:t>,</w:t>
      </w:r>
      <w:r w:rsidR="0028127F" w:rsidRPr="001C6FAE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hyperlink r:id="rId11" w:history="1">
        <w:r w:rsidR="0096553B" w:rsidRPr="001C6FAE">
          <w:rPr>
            <w:rFonts w:ascii="Times New Roman" w:hAnsi="Times New Roman" w:cs="Times New Roman"/>
            <w:color w:val="0000CC"/>
            <w:sz w:val="20"/>
            <w:szCs w:val="20"/>
          </w:rPr>
          <w:t>husseineldeeb@qumed.edu.sa</w:t>
        </w:r>
      </w:hyperlink>
      <w:r w:rsidR="0096553B" w:rsidRPr="001C6FAE">
        <w:rPr>
          <w:rFonts w:ascii="Times New Roman" w:hAnsi="Times New Roman" w:cs="Times New Roman"/>
          <w:color w:val="0000CC"/>
          <w:sz w:val="20"/>
          <w:szCs w:val="20"/>
        </w:rPr>
        <w:t xml:space="preserve">, </w:t>
      </w:r>
      <w:hyperlink r:id="rId12" w:history="1">
        <w:r w:rsidR="005914AB" w:rsidRPr="001C6FAE">
          <w:rPr>
            <w:rStyle w:val="Hyperlink"/>
            <w:rFonts w:ascii="Times New Roman" w:hAnsi="Times New Roman" w:cs="Times New Roman"/>
            <w:color w:val="0000CC"/>
            <w:sz w:val="20"/>
            <w:szCs w:val="20"/>
          </w:rPr>
          <w:t>sayedfathya@gmail.com</w:t>
        </w:r>
      </w:hyperlink>
    </w:p>
    <w:p w:rsidR="005B46A1" w:rsidRPr="001C6FAE" w:rsidRDefault="005B46A1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127F" w:rsidRPr="001C6FAE" w:rsidRDefault="008272E6" w:rsidP="002D12EF">
      <w:pPr>
        <w:pStyle w:val="BodyText"/>
        <w:snapToGrid w:val="0"/>
        <w:spacing w:before="0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t xml:space="preserve">Abstract: </w:t>
      </w:r>
      <w:r w:rsidR="008611E2" w:rsidRPr="001C6FAE">
        <w:rPr>
          <w:rFonts w:cs="Times New Roman"/>
          <w:sz w:val="20"/>
          <w:szCs w:val="20"/>
        </w:rPr>
        <w:t>Human Heart-Type Fatty Acid Binding Protein (</w:t>
      </w:r>
      <w:r w:rsidR="00D94F54" w:rsidRPr="001C6FAE">
        <w:rPr>
          <w:rFonts w:cs="Times New Roman"/>
          <w:color w:val="000000" w:themeColor="text1"/>
          <w:sz w:val="20"/>
          <w:szCs w:val="20"/>
        </w:rPr>
        <w:t>H-FABP</w:t>
      </w:r>
      <w:r w:rsidR="008611E2" w:rsidRPr="001C6FAE">
        <w:rPr>
          <w:rFonts w:cs="Times New Roman"/>
          <w:color w:val="000000" w:themeColor="text1"/>
          <w:sz w:val="20"/>
          <w:szCs w:val="20"/>
        </w:rPr>
        <w:t>)</w:t>
      </w:r>
      <w:r w:rsidR="00D94F54" w:rsidRPr="001C6FAE">
        <w:rPr>
          <w:rFonts w:cs="Times New Roman"/>
          <w:color w:val="000000" w:themeColor="text1"/>
          <w:sz w:val="20"/>
          <w:szCs w:val="20"/>
        </w:rPr>
        <w:t xml:space="preserve">, a small (15kDa) </w:t>
      </w:r>
      <w:proofErr w:type="spellStart"/>
      <w:r w:rsidR="00D94F54" w:rsidRPr="001C6FAE">
        <w:rPr>
          <w:rFonts w:cs="Times New Roman"/>
          <w:color w:val="000000" w:themeColor="text1"/>
          <w:sz w:val="20"/>
          <w:szCs w:val="20"/>
        </w:rPr>
        <w:t>cytoplasmic</w:t>
      </w:r>
      <w:proofErr w:type="spellEnd"/>
      <w:r w:rsidR="00D94F54" w:rsidRPr="001C6FAE">
        <w:rPr>
          <w:rFonts w:cs="Times New Roman"/>
          <w:color w:val="000000" w:themeColor="text1"/>
          <w:sz w:val="20"/>
          <w:szCs w:val="20"/>
        </w:rPr>
        <w:t xml:space="preserve"> tissue specific </w:t>
      </w:r>
      <w:r w:rsidR="008611E2" w:rsidRPr="001C6FAE">
        <w:rPr>
          <w:rFonts w:cs="Times New Roman"/>
          <w:color w:val="000000" w:themeColor="text1"/>
          <w:sz w:val="20"/>
          <w:szCs w:val="20"/>
        </w:rPr>
        <w:t>protein,</w:t>
      </w:r>
      <w:r w:rsidR="00612B36" w:rsidRPr="001C6FAE">
        <w:rPr>
          <w:rFonts w:cs="Times New Roman" w:hint="cs"/>
          <w:color w:val="000000" w:themeColor="text1"/>
          <w:sz w:val="20"/>
          <w:szCs w:val="20"/>
        </w:rPr>
        <w:t xml:space="preserve"> </w:t>
      </w:r>
      <w:r w:rsidR="00D94F54" w:rsidRPr="001C6FAE">
        <w:rPr>
          <w:rFonts w:cs="Times New Roman"/>
          <w:color w:val="000000" w:themeColor="text1"/>
          <w:sz w:val="20"/>
          <w:szCs w:val="20"/>
        </w:rPr>
        <w:t xml:space="preserve">is mainly expressed by </w:t>
      </w:r>
      <w:proofErr w:type="spellStart"/>
      <w:r w:rsidR="00D94F54" w:rsidRPr="001C6FAE">
        <w:rPr>
          <w:rFonts w:cs="Times New Roman"/>
          <w:color w:val="000000" w:themeColor="text1"/>
          <w:sz w:val="20"/>
          <w:szCs w:val="20"/>
        </w:rPr>
        <w:t>myocytes</w:t>
      </w:r>
      <w:proofErr w:type="spellEnd"/>
      <w:r w:rsidR="00D94F54" w:rsidRPr="001C6FAE">
        <w:rPr>
          <w:rFonts w:cs="Times New Roman"/>
          <w:color w:val="000000" w:themeColor="text1"/>
          <w:sz w:val="20"/>
          <w:szCs w:val="20"/>
        </w:rPr>
        <w:t>.</w:t>
      </w:r>
      <w:r w:rsidR="00612B36" w:rsidRPr="001C6FAE">
        <w:rPr>
          <w:rFonts w:cs="Times New Roman" w:hint="cs"/>
          <w:color w:val="000000" w:themeColor="text1"/>
          <w:sz w:val="20"/>
          <w:szCs w:val="20"/>
        </w:rPr>
        <w:t xml:space="preserve"> </w:t>
      </w:r>
      <w:r w:rsidR="001820E9" w:rsidRPr="001C6FAE">
        <w:rPr>
          <w:rFonts w:cs="Times New Roman"/>
          <w:b/>
          <w:bCs/>
          <w:sz w:val="20"/>
          <w:szCs w:val="20"/>
        </w:rPr>
        <w:t>Aim</w:t>
      </w:r>
      <w:r w:rsidR="001820E9" w:rsidRPr="001C6FAE">
        <w:rPr>
          <w:rFonts w:cs="Times New Roman"/>
          <w:sz w:val="20"/>
          <w:szCs w:val="20"/>
        </w:rPr>
        <w:t>:</w:t>
      </w:r>
      <w:r w:rsidR="00612B36" w:rsidRPr="001C6FAE">
        <w:rPr>
          <w:rFonts w:cs="Times New Roman" w:hint="cs"/>
          <w:sz w:val="20"/>
          <w:szCs w:val="20"/>
        </w:rPr>
        <w:t xml:space="preserve"> </w:t>
      </w:r>
      <w:r w:rsidR="00D94F54" w:rsidRPr="001C6FAE">
        <w:rPr>
          <w:rFonts w:cs="Times New Roman"/>
          <w:color w:val="000000" w:themeColor="text1"/>
          <w:sz w:val="20"/>
          <w:szCs w:val="20"/>
        </w:rPr>
        <w:t xml:space="preserve">The aim of this work is to compare </w:t>
      </w:r>
      <w:r w:rsidR="00C561D7" w:rsidRPr="001C6FAE">
        <w:rPr>
          <w:rFonts w:cs="Times New Roman"/>
          <w:color w:val="000000" w:themeColor="text1"/>
          <w:sz w:val="20"/>
          <w:szCs w:val="20"/>
        </w:rPr>
        <w:t>between (</w:t>
      </w:r>
      <w:r w:rsidR="00D94F54" w:rsidRPr="001C6FAE">
        <w:rPr>
          <w:rFonts w:cs="Times New Roman"/>
          <w:color w:val="000000" w:themeColor="text1"/>
          <w:sz w:val="20"/>
          <w:szCs w:val="20"/>
        </w:rPr>
        <w:t>H-FABP) as a sensitive biomarker than other traditional biomarkers for early differential diagnosis of acute chest pain</w:t>
      </w:r>
      <w:r w:rsidR="00D94F54" w:rsidRPr="001C6FAE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>.</w:t>
      </w:r>
      <w:r w:rsidR="00612B36" w:rsidRPr="001C6FAE">
        <w:rPr>
          <w:rFonts w:cs="Times New Roman" w:hint="cs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820E9" w:rsidRPr="001C6FAE">
        <w:rPr>
          <w:rFonts w:cs="Times New Roman"/>
          <w:b/>
          <w:bCs/>
          <w:color w:val="000000" w:themeColor="text1"/>
          <w:sz w:val="20"/>
          <w:szCs w:val="20"/>
        </w:rPr>
        <w:t>Methods:</w:t>
      </w:r>
      <w:r w:rsidR="00612B36" w:rsidRPr="001C6FAE">
        <w:rPr>
          <w:rFonts w:cs="Times New Roman" w:hint="cs"/>
          <w:b/>
          <w:bCs/>
          <w:color w:val="000000" w:themeColor="text1"/>
          <w:sz w:val="20"/>
          <w:szCs w:val="20"/>
        </w:rPr>
        <w:t xml:space="preserve"> 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This study was carried out on 60 subjects </w:t>
      </w:r>
      <w:r w:rsidR="00824DBE" w:rsidRPr="001C6FAE">
        <w:rPr>
          <w:rFonts w:cs="Times New Roman"/>
          <w:sz w:val="20"/>
          <w:szCs w:val="20"/>
        </w:rPr>
        <w:t>and classified into four groups; Control group,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824DBE" w:rsidRPr="001C6FAE">
        <w:rPr>
          <w:rFonts w:cs="Times New Roman"/>
          <w:color w:val="000000" w:themeColor="text1"/>
          <w:sz w:val="20"/>
          <w:szCs w:val="20"/>
        </w:rPr>
        <w:t>Acute</w:t>
      </w:r>
      <w:proofErr w:type="gramEnd"/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myocardial infarction (AMI), Unstable angina (UA) and Non cardiac chest pain (NCCP). </w:t>
      </w:r>
      <w:r w:rsidR="00824DBE" w:rsidRPr="001C6FAE">
        <w:rPr>
          <w:rFonts w:cs="Times New Roman"/>
          <w:sz w:val="20"/>
          <w:szCs w:val="20"/>
        </w:rPr>
        <w:t>We assessed serum levels of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LDH, </w:t>
      </w:r>
      <w:proofErr w:type="spellStart"/>
      <w:r w:rsidR="00824DBE" w:rsidRPr="001C6FAE">
        <w:rPr>
          <w:rFonts w:cs="Times New Roman"/>
          <w:color w:val="000000" w:themeColor="text1"/>
          <w:sz w:val="20"/>
          <w:szCs w:val="20"/>
        </w:rPr>
        <w:t>Tropinine</w:t>
      </w:r>
      <w:proofErr w:type="spellEnd"/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-I, CK-MB, H-FABP and </w:t>
      </w:r>
      <w:proofErr w:type="spellStart"/>
      <w:r w:rsidR="00824DBE" w:rsidRPr="001C6FAE">
        <w:rPr>
          <w:rFonts w:cs="Times New Roman"/>
          <w:color w:val="000000" w:themeColor="text1"/>
          <w:sz w:val="20"/>
          <w:szCs w:val="20"/>
        </w:rPr>
        <w:t>Myoglobin</w:t>
      </w:r>
      <w:proofErr w:type="spellEnd"/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. </w:t>
      </w:r>
      <w:r w:rsidR="001820E9" w:rsidRPr="001C6FAE">
        <w:rPr>
          <w:rFonts w:cs="Times New Roman"/>
          <w:b/>
          <w:bCs/>
          <w:color w:val="000000" w:themeColor="text1"/>
          <w:sz w:val="20"/>
          <w:szCs w:val="20"/>
        </w:rPr>
        <w:t>Results:</w:t>
      </w:r>
      <w:r w:rsidR="00612B36" w:rsidRPr="001C6FAE">
        <w:rPr>
          <w:rFonts w:cs="Times New Roman" w:hint="cs"/>
          <w:b/>
          <w:bCs/>
          <w:color w:val="000000" w:themeColor="text1"/>
          <w:sz w:val="20"/>
          <w:szCs w:val="20"/>
        </w:rPr>
        <w:t xml:space="preserve"> 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We found that Serum H-FABP was significantly higher in AMI and UA in comparison with control and NCCP groups (P&lt;0.05). Serum H-FABP differentiated between AMI group &amp; UA group at cut </w:t>
      </w:r>
      <w:proofErr w:type="gramStart"/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off 22.35 </w:t>
      </w:r>
      <w:proofErr w:type="spellStart"/>
      <w:r w:rsidR="00824DBE" w:rsidRPr="001C6FAE">
        <w:rPr>
          <w:rFonts w:cs="Times New Roman"/>
          <w:color w:val="000000" w:themeColor="text1"/>
          <w:sz w:val="20"/>
          <w:szCs w:val="20"/>
        </w:rPr>
        <w:t>ng</w:t>
      </w:r>
      <w:proofErr w:type="spellEnd"/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/ml with sensitivity 85%, specificity 70 </w:t>
      </w:r>
      <w:r w:rsidR="00612B36" w:rsidRPr="001C6FAE">
        <w:rPr>
          <w:rFonts w:cs="Times New Roman"/>
          <w:color w:val="000000" w:themeColor="text1"/>
          <w:sz w:val="20"/>
          <w:szCs w:val="20"/>
        </w:rPr>
        <w:t>%,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and over all accuracy 81.2%</w:t>
      </w:r>
      <w:proofErr w:type="gramEnd"/>
      <w:r w:rsidR="00727044" w:rsidRPr="001C6FAE">
        <w:rPr>
          <w:rFonts w:cs="Times New Roman"/>
          <w:color w:val="000000" w:themeColor="text1"/>
          <w:sz w:val="20"/>
          <w:szCs w:val="20"/>
        </w:rPr>
        <w:t>.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Serum H-FABP differentiated between AMI group cases of 0 – 3 hours, as it has the highest sensitivity of the studied cardiac markers. </w:t>
      </w:r>
      <w:r w:rsidR="001820E9" w:rsidRPr="001C6FAE">
        <w:rPr>
          <w:rFonts w:cs="Times New Roman"/>
          <w:b/>
          <w:bCs/>
          <w:color w:val="000000" w:themeColor="text1"/>
          <w:sz w:val="20"/>
          <w:szCs w:val="20"/>
        </w:rPr>
        <w:t>Conclusion:</w:t>
      </w:r>
      <w:r w:rsidR="001820E9" w:rsidRPr="001C6FAE">
        <w:rPr>
          <w:rFonts w:cs="Times New Roman"/>
          <w:color w:val="000000" w:themeColor="text1"/>
          <w:sz w:val="20"/>
          <w:szCs w:val="20"/>
        </w:rPr>
        <w:t xml:space="preserve"> This study showed</w:t>
      </w:r>
      <w:r w:rsidR="00824DBE" w:rsidRPr="001C6FAE">
        <w:rPr>
          <w:rFonts w:cs="Times New Roman"/>
          <w:color w:val="000000" w:themeColor="text1"/>
          <w:sz w:val="20"/>
          <w:szCs w:val="20"/>
        </w:rPr>
        <w:t xml:space="preserve"> that Measurement of serum H-FABP can be used in early differential diagnosis of acute chest pain patients.</w:t>
      </w:r>
    </w:p>
    <w:p w:rsidR="002D12EF" w:rsidRPr="001C6FAE" w:rsidRDefault="00612B36" w:rsidP="002D12EF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C6FAE">
        <w:rPr>
          <w:rFonts w:ascii="Times New Roman" w:hAnsi="Times New Roman" w:cs="Times New Roman"/>
          <w:sz w:val="20"/>
          <w:szCs w:val="20"/>
        </w:rPr>
        <w:t>[</w:t>
      </w:r>
      <w:r w:rsidR="0028127F" w:rsidRPr="001C6FAE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Saeid</w:t>
      </w:r>
      <w:proofErr w:type="spellEnd"/>
      <w:r w:rsidR="0028127F" w:rsidRPr="001C6FAE">
        <w:rPr>
          <w:rFonts w:ascii="Times New Roman" w:hAnsi="Times New Roman" w:cs="Times New Roman"/>
          <w:sz w:val="20"/>
          <w:szCs w:val="20"/>
        </w:rPr>
        <w:t>, M. E. El-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Bawab</w:t>
      </w:r>
      <w:proofErr w:type="spellEnd"/>
      <w:r w:rsidR="0028127F" w:rsidRPr="001C6FAE">
        <w:rPr>
          <w:rFonts w:ascii="Times New Roman" w:hAnsi="Times New Roman" w:cs="Times New Roman"/>
          <w:sz w:val="20"/>
          <w:szCs w:val="20"/>
        </w:rPr>
        <w:t xml:space="preserve">, Mohammad 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Mohammad</w:t>
      </w:r>
      <w:proofErr w:type="spellEnd"/>
      <w:r w:rsidR="0028127F" w:rsidRPr="001C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Abolfotoh</w:t>
      </w:r>
      <w:proofErr w:type="spellEnd"/>
      <w:r w:rsidR="0028127F" w:rsidRPr="001C6F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Abdelzaher</w:t>
      </w:r>
      <w:proofErr w:type="spellEnd"/>
      <w:r w:rsidR="0028127F" w:rsidRPr="001C6FAE">
        <w:rPr>
          <w:rFonts w:ascii="Times New Roman" w:hAnsi="Times New Roman" w:cs="Times New Roman"/>
          <w:sz w:val="20"/>
          <w:szCs w:val="20"/>
        </w:rPr>
        <w:t xml:space="preserve"> M. H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28127F" w:rsidRPr="001C6FAE">
        <w:rPr>
          <w:rFonts w:ascii="Times New Roman" w:hAnsi="Times New Roman" w:cs="Times New Roman"/>
          <w:sz w:val="20"/>
          <w:szCs w:val="20"/>
        </w:rPr>
        <w:t xml:space="preserve"> Hussein M. </w:t>
      </w:r>
      <w:proofErr w:type="spellStart"/>
      <w:r w:rsidR="0028127F" w:rsidRPr="001C6FAE">
        <w:rPr>
          <w:rFonts w:ascii="Times New Roman" w:hAnsi="Times New Roman" w:cs="Times New Roman"/>
          <w:sz w:val="20"/>
          <w:szCs w:val="20"/>
        </w:rPr>
        <w:t>Eldeeb</w:t>
      </w:r>
      <w:proofErr w:type="spellEnd"/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="0028127F" w:rsidRPr="001C6FAE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28127F"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>Sayed</w:t>
      </w:r>
      <w:proofErr w:type="spellEnd"/>
      <w:r w:rsidR="0028127F"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8127F"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>Fathy</w:t>
      </w:r>
      <w:proofErr w:type="spellEnd"/>
      <w:r w:rsidR="0028127F"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Ali</w:t>
      </w:r>
      <w:r w:rsidR="002D12EF" w:rsidRPr="001C6FAE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  <w:proofErr w:type="gramEnd"/>
      <w:r w:rsidR="0028127F" w:rsidRPr="001C6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28127F" w:rsidRPr="001C6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Human Heart-Type Fatty Acid Binding Protein as a Biomarker in Patients with Acute Chest Pain</w:t>
      </w:r>
      <w:r w:rsidR="00727044" w:rsidRPr="001C6FAE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2D12EF" w:rsidRPr="001C6FAE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>;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>(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</w:rPr>
        <w:t>3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>):</w:t>
      </w:r>
      <w:r w:rsidR="00800326" w:rsidRPr="001C6FAE">
        <w:rPr>
          <w:rFonts w:ascii="Times New Roman" w:hAnsi="Times New Roman" w:cs="Times New Roman"/>
          <w:noProof/>
          <w:color w:val="000000"/>
          <w:sz w:val="20"/>
          <w:szCs w:val="20"/>
        </w:rPr>
        <w:t>48</w:t>
      </w:r>
      <w:r w:rsidR="002D12EF" w:rsidRPr="001C6FA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00326" w:rsidRPr="001C6FAE"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="001C6FAE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5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 xml:space="preserve">]. </w:t>
      </w:r>
      <w:proofErr w:type="gramStart"/>
      <w:r w:rsidR="002D12EF" w:rsidRPr="001C6FAE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2D12EF" w:rsidRPr="001C6FAE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2D12EF" w:rsidRPr="001C6FAE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3" w:history="1">
        <w:r w:rsidR="002D12EF" w:rsidRPr="001C6FAE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="002D12EF" w:rsidRPr="001C6FAE">
        <w:rPr>
          <w:rFonts w:ascii="Times New Roman" w:hAnsi="Times New Roman" w:cs="Times New Roman"/>
          <w:bCs/>
          <w:sz w:val="20"/>
          <w:szCs w:val="20"/>
        </w:rPr>
        <w:t>.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  <w:r w:rsidR="002D12EF" w:rsidRPr="001C6FAE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proofErr w:type="gramStart"/>
      <w:r w:rsidR="002D12EF" w:rsidRPr="001C6F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2D12EF" w:rsidRPr="001C6F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4" w:history="1">
        <w:r w:rsidR="002D12EF" w:rsidRPr="001C6FA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2D12EF" w:rsidRPr="001C6FA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="002D12EF" w:rsidRPr="001C6FA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="002D12EF" w:rsidRPr="001C6FA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090317.</w:t>
        </w:r>
        <w:r w:rsidR="002D12EF" w:rsidRPr="001C6FA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2D12EF" w:rsidRPr="001C6FA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8</w:t>
        </w:r>
      </w:hyperlink>
      <w:r w:rsidR="002D12EF" w:rsidRPr="001C6F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914AB" w:rsidRPr="001C6FAE" w:rsidRDefault="005914AB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</w:p>
    <w:p w:rsidR="005B1493" w:rsidRPr="001C6FAE" w:rsidRDefault="00612B36" w:rsidP="002D12EF">
      <w:pPr>
        <w:pStyle w:val="BodyText"/>
        <w:snapToGrid w:val="0"/>
        <w:spacing w:before="0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t>Keywords</w:t>
      </w:r>
      <w:r w:rsidRPr="001C6FAE">
        <w:rPr>
          <w:rFonts w:cs="Times New Roman"/>
          <w:color w:val="000000" w:themeColor="text1"/>
          <w:sz w:val="20"/>
          <w:szCs w:val="20"/>
        </w:rPr>
        <w:t>:</w:t>
      </w:r>
      <w:r w:rsidR="005914AB" w:rsidRPr="001C6FAE">
        <w:rPr>
          <w:rFonts w:cs="Times New Roman"/>
          <w:color w:val="000000" w:themeColor="text1"/>
          <w:sz w:val="20"/>
          <w:szCs w:val="20"/>
        </w:rPr>
        <w:t xml:space="preserve"> </w:t>
      </w:r>
      <w:r w:rsidR="00DD2D41" w:rsidRPr="001C6FAE">
        <w:rPr>
          <w:rFonts w:cs="Times New Roman"/>
          <w:color w:val="000000" w:themeColor="text1"/>
          <w:sz w:val="20"/>
          <w:szCs w:val="20"/>
        </w:rPr>
        <w:t xml:space="preserve">Heart Type-Fatty Acid Binding Protein (H-FABP), </w:t>
      </w:r>
      <w:proofErr w:type="gramStart"/>
      <w:r w:rsidR="00DD2D41" w:rsidRPr="001C6FAE">
        <w:rPr>
          <w:rFonts w:cs="Times New Roman"/>
          <w:color w:val="000000" w:themeColor="text1"/>
          <w:sz w:val="20"/>
          <w:szCs w:val="20"/>
        </w:rPr>
        <w:t>Acute</w:t>
      </w:r>
      <w:proofErr w:type="gramEnd"/>
      <w:r w:rsidR="00DD2D41" w:rsidRPr="001C6FAE">
        <w:rPr>
          <w:rFonts w:cs="Times New Roman"/>
          <w:color w:val="000000" w:themeColor="text1"/>
          <w:sz w:val="20"/>
          <w:szCs w:val="20"/>
        </w:rPr>
        <w:t xml:space="preserve"> chest pain</w:t>
      </w:r>
      <w:r w:rsidR="005A597D" w:rsidRPr="001C6FAE">
        <w:rPr>
          <w:rFonts w:cs="Times New Roman"/>
          <w:color w:val="000000" w:themeColor="text1"/>
          <w:sz w:val="20"/>
          <w:szCs w:val="20"/>
        </w:rPr>
        <w:t>, Myocardial infarction</w:t>
      </w:r>
    </w:p>
    <w:p w:rsidR="002D12EF" w:rsidRPr="001C6FAE" w:rsidRDefault="002D12EF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</w:p>
    <w:p w:rsidR="002D12EF" w:rsidRPr="001C6FAE" w:rsidRDefault="002D12EF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  <w:sectPr w:rsidR="002D12EF" w:rsidRPr="001C6FAE" w:rsidSect="00800326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pgNumType w:start="48"/>
          <w:cols w:space="708"/>
          <w:docGrid w:linePitch="360"/>
        </w:sectPr>
      </w:pPr>
    </w:p>
    <w:p w:rsidR="00BA09B5" w:rsidRPr="001C6FAE" w:rsidRDefault="008611E2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lastRenderedPageBreak/>
        <w:t>1. Introduction</w:t>
      </w:r>
    </w:p>
    <w:p w:rsidR="00896436" w:rsidRPr="001C6FAE" w:rsidRDefault="005B1493" w:rsidP="002D12EF">
      <w:pPr>
        <w:pStyle w:val="BodyText"/>
        <w:snapToGrid w:val="0"/>
        <w:spacing w:before="0"/>
        <w:ind w:left="0" w:firstLine="425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Chest pain is the leading symptom that initiates the diagnostic and therapeutic cascade in patients with suspected acute coronary syndromes </w:t>
      </w:r>
      <w:r w:rsidR="00596F07" w:rsidRPr="001C6FAE">
        <w:rPr>
          <w:rFonts w:cs="Times New Roman"/>
          <w:sz w:val="20"/>
          <w:szCs w:val="20"/>
        </w:rPr>
        <w:t>[1]</w:t>
      </w:r>
      <w:r w:rsidRPr="001C6FAE">
        <w:rPr>
          <w:rFonts w:cs="Times New Roman"/>
          <w:sz w:val="20"/>
          <w:szCs w:val="20"/>
        </w:rPr>
        <w:t xml:space="preserve">. Rapid triaging of patients presenting with chest pain is needed to facilitate early initiation of appropriate treatment in patients with acute myocardial </w:t>
      </w:r>
      <w:r w:rsidR="00612B36" w:rsidRPr="001C6FAE">
        <w:rPr>
          <w:rFonts w:cs="Times New Roman"/>
          <w:sz w:val="20"/>
          <w:szCs w:val="20"/>
        </w:rPr>
        <w:t>infarction</w:t>
      </w:r>
      <w:r w:rsidR="00612B36" w:rsidRPr="001C6FAE">
        <w:rPr>
          <w:rFonts w:cs="Times New Roman"/>
          <w:b/>
          <w:bCs/>
          <w:sz w:val="20"/>
          <w:szCs w:val="20"/>
        </w:rPr>
        <w:t xml:space="preserve"> [</w:t>
      </w:r>
      <w:r w:rsidR="00596F07" w:rsidRPr="001C6FAE">
        <w:rPr>
          <w:rFonts w:cs="Times New Roman"/>
          <w:b/>
          <w:bCs/>
          <w:sz w:val="20"/>
          <w:szCs w:val="20"/>
        </w:rPr>
        <w:t>2]</w:t>
      </w:r>
      <w:r w:rsidRPr="001C6FAE">
        <w:rPr>
          <w:rFonts w:cs="Times New Roman"/>
          <w:b/>
          <w:bCs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Cardiac marker tests help physicians to diagnose acute coronary syndromes. They are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, </w:t>
      </w:r>
      <w:proofErr w:type="spellStart"/>
      <w:r w:rsidRPr="001C6FAE">
        <w:rPr>
          <w:rFonts w:cs="Times New Roman"/>
          <w:sz w:val="20"/>
          <w:szCs w:val="20"/>
        </w:rPr>
        <w:t>Creatine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kinase</w:t>
      </w:r>
      <w:proofErr w:type="spellEnd"/>
      <w:r w:rsidRPr="001C6FAE">
        <w:rPr>
          <w:rFonts w:cs="Times New Roman"/>
          <w:sz w:val="20"/>
          <w:szCs w:val="20"/>
        </w:rPr>
        <w:t>-MB (CK-MB)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T (</w:t>
      </w:r>
      <w:proofErr w:type="spellStart"/>
      <w:r w:rsidRPr="001C6FAE">
        <w:rPr>
          <w:rFonts w:cs="Times New Roman"/>
          <w:sz w:val="20"/>
          <w:szCs w:val="20"/>
        </w:rPr>
        <w:t>cTnT</w:t>
      </w:r>
      <w:proofErr w:type="spellEnd"/>
      <w:r w:rsidRPr="001C6FAE">
        <w:rPr>
          <w:rFonts w:cs="Times New Roman"/>
          <w:sz w:val="20"/>
          <w:szCs w:val="20"/>
        </w:rPr>
        <w:t xml:space="preserve">),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gramStart"/>
      <w:r w:rsidRPr="001C6FAE">
        <w:rPr>
          <w:rFonts w:cs="Times New Roman"/>
          <w:sz w:val="20"/>
          <w:szCs w:val="20"/>
        </w:rPr>
        <w:t>I(</w:t>
      </w:r>
      <w:proofErr w:type="spellStart"/>
      <w:proofErr w:type="gramEnd"/>
      <w:r w:rsidRPr="001C6FAE">
        <w:rPr>
          <w:rFonts w:cs="Times New Roman"/>
          <w:sz w:val="20"/>
          <w:szCs w:val="20"/>
        </w:rPr>
        <w:t>cTnI</w:t>
      </w:r>
      <w:proofErr w:type="spellEnd"/>
      <w:r w:rsidRPr="001C6FAE">
        <w:rPr>
          <w:rFonts w:cs="Times New Roman"/>
          <w:sz w:val="20"/>
          <w:szCs w:val="20"/>
        </w:rPr>
        <w:t>) and others</w:t>
      </w:r>
      <w:r w:rsidR="00922291" w:rsidRPr="001C6FAE">
        <w:rPr>
          <w:rFonts w:cs="Times New Roman"/>
          <w:sz w:val="20"/>
          <w:szCs w:val="20"/>
        </w:rPr>
        <w:t>. C</w:t>
      </w:r>
      <w:r w:rsidRPr="001C6FAE">
        <w:rPr>
          <w:rFonts w:cs="Times New Roman"/>
          <w:sz w:val="20"/>
          <w:szCs w:val="20"/>
        </w:rPr>
        <w:t xml:space="preserve">K-MB, </w:t>
      </w:r>
      <w:proofErr w:type="spellStart"/>
      <w:r w:rsidRPr="001C6FAE">
        <w:rPr>
          <w:rFonts w:cs="Times New Roman"/>
          <w:sz w:val="20"/>
          <w:szCs w:val="20"/>
        </w:rPr>
        <w:t>cTnT</w:t>
      </w:r>
      <w:proofErr w:type="spellEnd"/>
      <w:r w:rsidRPr="001C6FAE">
        <w:rPr>
          <w:rFonts w:cs="Times New Roman"/>
          <w:sz w:val="20"/>
          <w:szCs w:val="20"/>
        </w:rPr>
        <w:t xml:space="preserve">, and </w:t>
      </w:r>
      <w:proofErr w:type="spellStart"/>
      <w:r w:rsidRPr="001C6FAE">
        <w:rPr>
          <w:rFonts w:cs="Times New Roman"/>
          <w:sz w:val="20"/>
          <w:szCs w:val="20"/>
        </w:rPr>
        <w:t>cTnI</w:t>
      </w:r>
      <w:proofErr w:type="spellEnd"/>
      <w:r w:rsidRPr="001C6FAE">
        <w:rPr>
          <w:rFonts w:cs="Times New Roman"/>
          <w:sz w:val="20"/>
          <w:szCs w:val="20"/>
        </w:rPr>
        <w:t xml:space="preserve"> may also be used to identify and manage high-risk patients</w:t>
      </w:r>
      <w:r w:rsidR="00922291" w:rsidRPr="001C6FAE">
        <w:rPr>
          <w:rFonts w:cs="Times New Roman"/>
          <w:b/>
          <w:i/>
          <w:sz w:val="20"/>
          <w:szCs w:val="20"/>
        </w:rPr>
        <w:t xml:space="preserve">. </w:t>
      </w:r>
      <w:proofErr w:type="gramStart"/>
      <w:r w:rsidR="00922291" w:rsidRPr="001C6FAE">
        <w:rPr>
          <w:rFonts w:cs="Times New Roman"/>
          <w:sz w:val="20"/>
          <w:szCs w:val="20"/>
        </w:rPr>
        <w:t>T</w:t>
      </w:r>
      <w:r w:rsidRPr="001C6FAE">
        <w:rPr>
          <w:rFonts w:cs="Times New Roman"/>
          <w:sz w:val="20"/>
          <w:szCs w:val="20"/>
        </w:rPr>
        <w:t xml:space="preserve">ill now the ideal marker is not present </w:t>
      </w:r>
      <w:r w:rsidR="00596F07" w:rsidRPr="001C6FAE">
        <w:rPr>
          <w:rFonts w:cs="Times New Roman"/>
          <w:bCs/>
          <w:iCs/>
          <w:sz w:val="20"/>
          <w:szCs w:val="20"/>
        </w:rPr>
        <w:t>[3]</w:t>
      </w:r>
      <w:r w:rsidRPr="001C6FAE">
        <w:rPr>
          <w:rFonts w:cs="Times New Roman"/>
          <w:b/>
          <w:i/>
          <w:sz w:val="20"/>
          <w:szCs w:val="20"/>
        </w:rPr>
        <w:t>.</w:t>
      </w:r>
      <w:proofErr w:type="gramEnd"/>
      <w:r w:rsidR="00A8445E" w:rsidRPr="001C6FAE">
        <w:rPr>
          <w:rFonts w:cs="Times New Roman"/>
          <w:sz w:val="20"/>
          <w:szCs w:val="20"/>
        </w:rPr>
        <w:t xml:space="preserve"> H-FABP,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A8445E" w:rsidRPr="001C6FAE">
        <w:rPr>
          <w:rFonts w:cs="Times New Roman"/>
          <w:sz w:val="20"/>
          <w:szCs w:val="20"/>
        </w:rPr>
        <w:t xml:space="preserve">a small (15kDa) </w:t>
      </w:r>
      <w:proofErr w:type="spellStart"/>
      <w:r w:rsidR="00A8445E" w:rsidRPr="001C6FAE">
        <w:rPr>
          <w:rFonts w:cs="Times New Roman"/>
          <w:sz w:val="20"/>
          <w:szCs w:val="20"/>
        </w:rPr>
        <w:t>cytoplasmic</w:t>
      </w:r>
      <w:proofErr w:type="spellEnd"/>
      <w:r w:rsidR="00A8445E" w:rsidRPr="001C6FAE">
        <w:rPr>
          <w:rFonts w:cs="Times New Roman"/>
          <w:sz w:val="20"/>
          <w:szCs w:val="20"/>
        </w:rPr>
        <w:t xml:space="preserve"> tissue specific </w:t>
      </w:r>
      <w:r w:rsidR="00612B36" w:rsidRPr="001C6FAE">
        <w:rPr>
          <w:rFonts w:cs="Times New Roman"/>
          <w:sz w:val="20"/>
          <w:szCs w:val="20"/>
        </w:rPr>
        <w:t>protein, is</w:t>
      </w:r>
      <w:r w:rsidR="00A8445E" w:rsidRPr="001C6FAE">
        <w:rPr>
          <w:rFonts w:cs="Times New Roman"/>
          <w:sz w:val="20"/>
          <w:szCs w:val="20"/>
        </w:rPr>
        <w:t xml:space="preserve"> mainly expressed by </w:t>
      </w:r>
      <w:proofErr w:type="spellStart"/>
      <w:r w:rsidR="00A8445E" w:rsidRPr="001C6FAE">
        <w:rPr>
          <w:rFonts w:cs="Times New Roman"/>
          <w:sz w:val="20"/>
          <w:szCs w:val="20"/>
        </w:rPr>
        <w:t>myocytes</w:t>
      </w:r>
      <w:proofErr w:type="spellEnd"/>
      <w:r w:rsidR="00A8445E" w:rsidRPr="001C6FAE">
        <w:rPr>
          <w:rFonts w:cs="Times New Roman"/>
          <w:sz w:val="20"/>
          <w:szCs w:val="20"/>
        </w:rPr>
        <w:t>. H-FABP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A8445E" w:rsidRPr="001C6FAE">
        <w:rPr>
          <w:rFonts w:cs="Times New Roman"/>
          <w:sz w:val="20"/>
          <w:szCs w:val="20"/>
        </w:rPr>
        <w:t xml:space="preserve">can be transported from severely damaged </w:t>
      </w:r>
      <w:proofErr w:type="spellStart"/>
      <w:r w:rsidR="00A8445E" w:rsidRPr="001C6FAE">
        <w:rPr>
          <w:rFonts w:cs="Times New Roman"/>
          <w:sz w:val="20"/>
          <w:szCs w:val="20"/>
        </w:rPr>
        <w:t>cardiomyocytes</w:t>
      </w:r>
      <w:proofErr w:type="spellEnd"/>
      <w:r w:rsidR="00A8445E" w:rsidRPr="001C6FAE">
        <w:rPr>
          <w:rFonts w:cs="Times New Roman"/>
          <w:sz w:val="20"/>
          <w:szCs w:val="20"/>
        </w:rPr>
        <w:t xml:space="preserve"> to the blood more rapidly than other markers such as </w:t>
      </w:r>
      <w:proofErr w:type="spellStart"/>
      <w:r w:rsidR="00A8445E" w:rsidRPr="001C6FAE">
        <w:rPr>
          <w:rFonts w:cs="Times New Roman"/>
          <w:sz w:val="20"/>
          <w:szCs w:val="20"/>
        </w:rPr>
        <w:t>cT-nI</w:t>
      </w:r>
      <w:proofErr w:type="spellEnd"/>
      <w:r w:rsidR="00A8445E" w:rsidRPr="001C6FAE">
        <w:rPr>
          <w:rFonts w:cs="Times New Roman"/>
          <w:sz w:val="20"/>
          <w:szCs w:val="20"/>
        </w:rPr>
        <w:t xml:space="preserve"> and CK-MB.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A8445E" w:rsidRPr="001C6FAE">
        <w:rPr>
          <w:rFonts w:cs="Times New Roman"/>
          <w:sz w:val="20"/>
          <w:szCs w:val="20"/>
        </w:rPr>
        <w:t>Recent research suggests that human heart-type fatty acid binding protein (H-FABP</w:t>
      </w:r>
      <w:proofErr w:type="gramStart"/>
      <w:r w:rsidR="00A8445E" w:rsidRPr="001C6FAE">
        <w:rPr>
          <w:rFonts w:cs="Times New Roman"/>
          <w:sz w:val="20"/>
          <w:szCs w:val="20"/>
        </w:rPr>
        <w:t>),</w:t>
      </w:r>
      <w:proofErr w:type="gramEnd"/>
      <w:r w:rsidR="00A8445E" w:rsidRPr="001C6FAE">
        <w:rPr>
          <w:rFonts w:cs="Times New Roman"/>
          <w:sz w:val="20"/>
          <w:szCs w:val="20"/>
        </w:rPr>
        <w:t xml:space="preserve"> might have potential as an early cardiac marker. It appears in plasma 1-3 h. after cardiac damage, and may be the earliest available plasma marker of acute myocardial injury and returns to normal values in 12-24 hours. It may have better diagnostic accuracy than other cardiac markers in the early stages after symptom onset unclear </w:t>
      </w:r>
      <w:r w:rsidR="00596F07" w:rsidRPr="001C6FAE">
        <w:rPr>
          <w:rFonts w:cs="Times New Roman"/>
          <w:bCs/>
          <w:iCs/>
          <w:sz w:val="20"/>
          <w:szCs w:val="20"/>
        </w:rPr>
        <w:t>[4]</w:t>
      </w:r>
      <w:r w:rsidR="00A8445E" w:rsidRPr="001C6FAE">
        <w:rPr>
          <w:rFonts w:cs="Times New Roman"/>
          <w:b/>
          <w:i/>
          <w:sz w:val="20"/>
          <w:szCs w:val="20"/>
        </w:rPr>
        <w:t>.</w:t>
      </w:r>
      <w:r w:rsidR="00896436" w:rsidRPr="001C6FAE">
        <w:rPr>
          <w:rFonts w:cs="Times New Roman"/>
          <w:sz w:val="20"/>
          <w:szCs w:val="20"/>
        </w:rPr>
        <w:t xml:space="preserve"> The aim of this work was to compare between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896436" w:rsidRPr="001C6FAE">
        <w:rPr>
          <w:rFonts w:cs="Times New Roman"/>
          <w:sz w:val="20"/>
          <w:szCs w:val="20"/>
        </w:rPr>
        <w:t>(H-FABP)</w:t>
      </w:r>
      <w:r w:rsidR="001C6FAE" w:rsidRP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896436" w:rsidRPr="001C6FAE">
        <w:rPr>
          <w:rFonts w:cs="Times New Roman"/>
          <w:sz w:val="20"/>
          <w:szCs w:val="20"/>
        </w:rPr>
        <w:t xml:space="preserve">as a sensitive biomarker than other traditional biomarkers </w:t>
      </w:r>
      <w:r w:rsidR="00896436" w:rsidRPr="001C6FAE">
        <w:rPr>
          <w:rFonts w:cs="Times New Roman"/>
          <w:b/>
          <w:bCs/>
          <w:sz w:val="20"/>
          <w:szCs w:val="20"/>
        </w:rPr>
        <w:t>(</w:t>
      </w:r>
      <w:r w:rsidR="00612B36" w:rsidRPr="001C6FAE">
        <w:rPr>
          <w:rFonts w:cs="Times New Roman"/>
          <w:sz w:val="20"/>
          <w:szCs w:val="20"/>
        </w:rPr>
        <w:t xml:space="preserve">CK-MB, </w:t>
      </w:r>
      <w:proofErr w:type="spellStart"/>
      <w:r w:rsidR="00612B36" w:rsidRPr="001C6FAE">
        <w:rPr>
          <w:rFonts w:cs="Times New Roman"/>
          <w:sz w:val="20"/>
          <w:szCs w:val="20"/>
        </w:rPr>
        <w:t>Tropinin</w:t>
      </w:r>
      <w:proofErr w:type="spellEnd"/>
      <w:r w:rsidR="00612B36" w:rsidRPr="001C6FAE">
        <w:rPr>
          <w:rFonts w:cs="Times New Roman"/>
          <w:sz w:val="20"/>
          <w:szCs w:val="20"/>
        </w:rPr>
        <w:t>-I</w:t>
      </w:r>
      <w:r w:rsidR="00896436" w:rsidRPr="001C6FAE">
        <w:rPr>
          <w:rFonts w:cs="Times New Roman"/>
          <w:sz w:val="20"/>
          <w:szCs w:val="20"/>
        </w:rPr>
        <w:t xml:space="preserve">. </w:t>
      </w:r>
      <w:proofErr w:type="gramStart"/>
      <w:r w:rsidR="00896436" w:rsidRPr="001C6FAE">
        <w:rPr>
          <w:rFonts w:cs="Times New Roman"/>
          <w:sz w:val="20"/>
          <w:szCs w:val="20"/>
        </w:rPr>
        <w:t xml:space="preserve">LDH and </w:t>
      </w:r>
      <w:proofErr w:type="spellStart"/>
      <w:r w:rsidR="00896436" w:rsidRPr="001C6FAE">
        <w:rPr>
          <w:rFonts w:cs="Times New Roman"/>
          <w:sz w:val="20"/>
          <w:szCs w:val="20"/>
        </w:rPr>
        <w:t>myoglobin</w:t>
      </w:r>
      <w:proofErr w:type="spellEnd"/>
      <w:r w:rsidR="00896436" w:rsidRPr="001C6FAE">
        <w:rPr>
          <w:rFonts w:cs="Times New Roman"/>
          <w:sz w:val="20"/>
          <w:szCs w:val="20"/>
        </w:rPr>
        <w:t xml:space="preserve">) for early </w:t>
      </w:r>
      <w:r w:rsidR="00896436" w:rsidRPr="001C6FAE">
        <w:rPr>
          <w:rFonts w:cs="Times New Roman"/>
          <w:sz w:val="20"/>
          <w:szCs w:val="20"/>
        </w:rPr>
        <w:lastRenderedPageBreak/>
        <w:t>differential diagnosis of acute chest pain</w:t>
      </w:r>
      <w:r w:rsidR="00896436" w:rsidRPr="001C6FAE">
        <w:rPr>
          <w:rFonts w:cs="Times New Roman"/>
          <w:b/>
          <w:bCs/>
          <w:i/>
          <w:iCs/>
          <w:sz w:val="20"/>
          <w:szCs w:val="20"/>
        </w:rPr>
        <w:t>.</w:t>
      </w:r>
      <w:proofErr w:type="gramEnd"/>
    </w:p>
    <w:p w:rsidR="005914AB" w:rsidRPr="001C6FAE" w:rsidRDefault="005914AB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</w:p>
    <w:p w:rsidR="004E3067" w:rsidRPr="001C6FAE" w:rsidRDefault="004E3067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t>2. Materials and methods</w:t>
      </w:r>
    </w:p>
    <w:p w:rsidR="0028127F" w:rsidRPr="001C6FAE" w:rsidRDefault="004E3067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sz w:val="20"/>
          <w:szCs w:val="20"/>
        </w:rPr>
        <w:t>This study was carried out on 60 subjects: 51 patients and 9 healthy subjects served as controls. The patients were selected from Intensive Care Unit, Cardiology Department</w:t>
      </w:r>
      <w:r w:rsidR="00612B36" w:rsidRPr="001C6FAE">
        <w:rPr>
          <w:rFonts w:ascii="Times New Roman" w:hAnsi="Times New Roman" w:cs="Times New Roman"/>
          <w:sz w:val="20"/>
          <w:szCs w:val="20"/>
        </w:rPr>
        <w:t>,</w:t>
      </w:r>
      <w:r w:rsidR="00612B36" w:rsidRPr="001C6FAE">
        <w:rPr>
          <w:rFonts w:ascii="Times New Roman" w:hAnsi="Times New Roman" w:cs="Times New Roman" w:hint="cs"/>
          <w:sz w:val="20"/>
          <w:szCs w:val="20"/>
        </w:rPr>
        <w:t xml:space="preserve"> </w:t>
      </w:r>
      <w:proofErr w:type="gramStart"/>
      <w:r w:rsidR="00C561D7" w:rsidRPr="001C6FAE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1C6FA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University Hospital.</w:t>
      </w:r>
      <w:r w:rsidR="00AD79DC" w:rsidRPr="001C6FAE">
        <w:rPr>
          <w:rFonts w:ascii="Times New Roman" w:hAnsi="Times New Roman" w:cs="Times New Roman"/>
          <w:sz w:val="20"/>
          <w:szCs w:val="20"/>
        </w:rPr>
        <w:t xml:space="preserve"> The subjects were divided into 4 groups: Group1; included 21 AMI patients: 13 males &amp;8 females. The diagnosis was based on The Joint European Society of Cardiology/American College of Cardiology Committee criteria of AMI (2010</w:t>
      </w:r>
      <w:proofErr w:type="gramStart"/>
      <w:r w:rsidR="00AD79DC" w:rsidRPr="001C6FAE">
        <w:rPr>
          <w:rFonts w:ascii="Times New Roman" w:hAnsi="Times New Roman" w:cs="Times New Roman"/>
          <w:sz w:val="20"/>
          <w:szCs w:val="20"/>
        </w:rPr>
        <w:t>)</w:t>
      </w:r>
      <w:r w:rsidR="00596F07" w:rsidRPr="001C6FAE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="00596F07" w:rsidRPr="001C6FAE">
        <w:rPr>
          <w:rFonts w:ascii="Times New Roman" w:hAnsi="Times New Roman" w:cs="Times New Roman"/>
          <w:sz w:val="20"/>
          <w:szCs w:val="20"/>
        </w:rPr>
        <w:t>5]</w:t>
      </w:r>
      <w:r w:rsidR="008147FE" w:rsidRPr="001C6FAE">
        <w:rPr>
          <w:rFonts w:ascii="Times New Roman" w:hAnsi="Times New Roman" w:cs="Times New Roman"/>
          <w:sz w:val="20"/>
          <w:szCs w:val="20"/>
        </w:rPr>
        <w:t>. Group</w:t>
      </w:r>
      <w:r w:rsidR="001C6FAE" w:rsidRPr="001C6FA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147FE" w:rsidRPr="001C6FAE">
        <w:rPr>
          <w:rFonts w:ascii="Times New Roman" w:hAnsi="Times New Roman" w:cs="Times New Roman"/>
          <w:sz w:val="20"/>
          <w:szCs w:val="20"/>
        </w:rPr>
        <w:t>2; i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ncluded </w:t>
      </w:r>
      <w:r w:rsidR="008147FE" w:rsidRPr="001C6FAE">
        <w:rPr>
          <w:rFonts w:ascii="Times New Roman" w:hAnsi="Times New Roman" w:cs="Times New Roman"/>
          <w:sz w:val="20"/>
          <w:szCs w:val="20"/>
        </w:rPr>
        <w:t xml:space="preserve">19 UA patients (13 males, 6 females). Patients were classified as UA if they experienced new onset angina, angina that came on with less </w:t>
      </w:r>
      <w:r w:rsidR="00847968" w:rsidRPr="001C6FAE">
        <w:rPr>
          <w:rFonts w:ascii="Times New Roman" w:hAnsi="Times New Roman" w:cs="Times New Roman"/>
          <w:sz w:val="20"/>
          <w:szCs w:val="20"/>
        </w:rPr>
        <w:t>exertion</w:t>
      </w:r>
      <w:r w:rsidR="008147FE" w:rsidRPr="001C6FAE">
        <w:rPr>
          <w:rFonts w:ascii="Times New Roman" w:hAnsi="Times New Roman" w:cs="Times New Roman"/>
          <w:sz w:val="20"/>
          <w:szCs w:val="20"/>
        </w:rPr>
        <w:t xml:space="preserve"> or angina that increased in severity, duration or frequency relative to their baselines </w:t>
      </w:r>
      <w:r w:rsidR="00596F07" w:rsidRPr="001C6FAE">
        <w:rPr>
          <w:rFonts w:ascii="Times New Roman" w:hAnsi="Times New Roman" w:cs="Times New Roman"/>
          <w:sz w:val="20"/>
          <w:szCs w:val="20"/>
        </w:rPr>
        <w:t>[6]</w:t>
      </w:r>
      <w:r w:rsidR="008147FE" w:rsidRPr="001C6FAE">
        <w:rPr>
          <w:rFonts w:ascii="Times New Roman" w:hAnsi="Times New Roman" w:cs="Times New Roman"/>
          <w:sz w:val="20"/>
          <w:szCs w:val="20"/>
        </w:rPr>
        <w:t>.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Group</w:t>
      </w:r>
      <w:r w:rsidR="001C6FAE" w:rsidRPr="001C6FA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7968" w:rsidRPr="001C6FAE">
        <w:rPr>
          <w:rFonts w:ascii="Times New Roman" w:hAnsi="Times New Roman" w:cs="Times New Roman"/>
          <w:sz w:val="20"/>
          <w:szCs w:val="20"/>
        </w:rPr>
        <w:t>3; included 11 NCCP patients (6 males, 5 females) NCCP patients included chest wall diseases &amp; trauma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gallstones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gastritis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peptic ulcer, pulmonary embolism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pleurisy, psychic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asthma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mitral valve </w:t>
      </w:r>
      <w:proofErr w:type="spellStart"/>
      <w:r w:rsidR="00847968" w:rsidRPr="001C6FAE">
        <w:rPr>
          <w:rFonts w:ascii="Times New Roman" w:hAnsi="Times New Roman" w:cs="Times New Roman"/>
          <w:sz w:val="20"/>
          <w:szCs w:val="20"/>
        </w:rPr>
        <w:t>proplase</w:t>
      </w:r>
      <w:proofErr w:type="spellEnd"/>
      <w:r w:rsidR="00847968" w:rsidRPr="001C6FAE">
        <w:rPr>
          <w:rFonts w:ascii="Times New Roman" w:hAnsi="Times New Roman" w:cs="Times New Roman"/>
          <w:sz w:val="20"/>
          <w:szCs w:val="20"/>
        </w:rPr>
        <w:t xml:space="preserve"> and reflux </w:t>
      </w:r>
      <w:proofErr w:type="spellStart"/>
      <w:r w:rsidR="00847968" w:rsidRPr="001C6FAE">
        <w:rPr>
          <w:rFonts w:ascii="Times New Roman" w:hAnsi="Times New Roman" w:cs="Times New Roman"/>
          <w:sz w:val="20"/>
          <w:szCs w:val="20"/>
        </w:rPr>
        <w:t>oseophagitis</w:t>
      </w:r>
      <w:proofErr w:type="spellEnd"/>
      <w:r w:rsidR="00847968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="00596F07" w:rsidRPr="001C6FAE">
        <w:rPr>
          <w:rFonts w:ascii="Times New Roman" w:hAnsi="Times New Roman" w:cs="Times New Roman"/>
          <w:sz w:val="20"/>
          <w:szCs w:val="20"/>
        </w:rPr>
        <w:t>[6]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. Group4; included 9 </w:t>
      </w:r>
      <w:proofErr w:type="gramStart"/>
      <w:r w:rsidR="00847968" w:rsidRPr="001C6FAE">
        <w:rPr>
          <w:rFonts w:ascii="Times New Roman" w:hAnsi="Times New Roman" w:cs="Times New Roman"/>
          <w:sz w:val="20"/>
          <w:szCs w:val="20"/>
        </w:rPr>
        <w:t>age</w:t>
      </w:r>
      <w:proofErr w:type="gramEnd"/>
      <w:r w:rsidR="00847968" w:rsidRPr="001C6FAE">
        <w:rPr>
          <w:rFonts w:ascii="Times New Roman" w:hAnsi="Times New Roman" w:cs="Times New Roman"/>
          <w:sz w:val="20"/>
          <w:szCs w:val="20"/>
        </w:rPr>
        <w:t xml:space="preserve"> and gender matched healthy subjects served as controls (6 males, 3 females). They were selected on the basis of healthy condition without cardiovascular diseases, lung and kidney diseases, with normal blood pressure and electrocardiogram</w:t>
      </w:r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="00847968" w:rsidRPr="001C6FAE">
        <w:rPr>
          <w:rFonts w:ascii="Times New Roman" w:hAnsi="Times New Roman" w:cs="Times New Roman"/>
          <w:sz w:val="20"/>
          <w:szCs w:val="20"/>
        </w:rPr>
        <w:t xml:space="preserve"> normal serum lipids and normal blood glucose </w:t>
      </w:r>
      <w:r w:rsidR="00596F07" w:rsidRPr="001C6FAE">
        <w:rPr>
          <w:rFonts w:ascii="Times New Roman" w:hAnsi="Times New Roman" w:cs="Times New Roman"/>
          <w:sz w:val="20"/>
          <w:szCs w:val="20"/>
        </w:rPr>
        <w:t>[6]</w:t>
      </w:r>
      <w:r w:rsidR="00847968" w:rsidRPr="001C6FAE">
        <w:rPr>
          <w:rFonts w:ascii="Times New Roman" w:hAnsi="Times New Roman" w:cs="Times New Roman"/>
          <w:sz w:val="20"/>
          <w:szCs w:val="20"/>
        </w:rPr>
        <w:t>.</w:t>
      </w:r>
    </w:p>
    <w:p w:rsidR="00612B36" w:rsidRPr="001C6FAE" w:rsidRDefault="00612B36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127F" w:rsidRPr="001C6FAE" w:rsidRDefault="00A8677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lastRenderedPageBreak/>
        <w:t>2.1</w:t>
      </w:r>
      <w:r w:rsidR="00612B36" w:rsidRPr="001C6FAE">
        <w:rPr>
          <w:rFonts w:ascii="Times New Roman" w:hAnsi="Times New Roman" w:cs="Times New Roman"/>
          <w:b/>
          <w:bCs/>
          <w:sz w:val="20"/>
          <w:szCs w:val="20"/>
        </w:rPr>
        <w:t>. Exclusion</w:t>
      </w:r>
      <w:r w:rsidR="00185961"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 criteria:</w:t>
      </w:r>
    </w:p>
    <w:p w:rsidR="0028127F" w:rsidRPr="001C6FAE" w:rsidRDefault="00185961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 xml:space="preserve">Patients with one of the following criteria are excluded; arrival to the hospital over 6 h after onset of chest pain, patients who underwent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transluminal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coronary angioplasty or coronary artery bypass grafting within 30days, patients who had prior AMI within 30 days, </w:t>
      </w:r>
      <w:r w:rsidR="000E33B6" w:rsidRPr="001C6FAE">
        <w:rPr>
          <w:rFonts w:ascii="Times New Roman" w:hAnsi="Times New Roman" w:cs="Times New Roman"/>
          <w:sz w:val="20"/>
          <w:szCs w:val="20"/>
        </w:rPr>
        <w:t>patients</w:t>
      </w:r>
      <w:r w:rsidR="001C6FAE" w:rsidRPr="001C6FA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E33B6" w:rsidRPr="001C6FAE">
        <w:rPr>
          <w:rFonts w:ascii="Times New Roman" w:hAnsi="Times New Roman" w:cs="Times New Roman"/>
          <w:sz w:val="20"/>
          <w:szCs w:val="20"/>
        </w:rPr>
        <w:t>h</w:t>
      </w:r>
      <w:r w:rsidRPr="001C6FAE">
        <w:rPr>
          <w:rFonts w:ascii="Times New Roman" w:hAnsi="Times New Roman" w:cs="Times New Roman"/>
          <w:sz w:val="20"/>
          <w:szCs w:val="20"/>
        </w:rPr>
        <w:t>aving chronic muscle disease, patients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receiving direct current (DC) shock, patients with renal insufficiency or any renal disease impairing renal clearance and patients have recent surgery (cardiac &amp;non-cardiac)</w:t>
      </w:r>
      <w:r w:rsidR="00922291" w:rsidRPr="001C6FAE">
        <w:rPr>
          <w:rFonts w:ascii="Times New Roman" w:hAnsi="Times New Roman" w:cs="Times New Roman"/>
          <w:sz w:val="20"/>
          <w:szCs w:val="20"/>
        </w:rPr>
        <w:t>. A</w:t>
      </w:r>
      <w:r w:rsidR="00EA0121" w:rsidRPr="001C6FAE">
        <w:rPr>
          <w:rFonts w:ascii="Times New Roman" w:hAnsi="Times New Roman" w:cs="Times New Roman"/>
          <w:sz w:val="20"/>
          <w:szCs w:val="20"/>
        </w:rPr>
        <w:t>ll studied subjects were submitted to the following: Full history taking, General clinical examination, ECG examination</w:t>
      </w:r>
      <w:r w:rsidR="00343809" w:rsidRPr="001C6FAE">
        <w:rPr>
          <w:rFonts w:ascii="Times New Roman" w:hAnsi="Times New Roman" w:cs="Times New Roman"/>
          <w:sz w:val="20"/>
          <w:szCs w:val="20"/>
        </w:rPr>
        <w:t>.</w:t>
      </w:r>
      <w:r w:rsidR="00EA0121" w:rsidRPr="001C6FAE">
        <w:rPr>
          <w:rFonts w:ascii="Times New Roman" w:hAnsi="Times New Roman" w:cs="Times New Roman"/>
          <w:sz w:val="20"/>
          <w:szCs w:val="20"/>
        </w:rPr>
        <w:t xml:space="preserve"> Blood samples were obtained from the patients at the time of admission to the hospital within 4 hours after the onset of symptoms. 10 ml venous blood sample was withdrawn by sterile </w:t>
      </w:r>
      <w:r w:rsidR="00F31C75" w:rsidRPr="001C6FAE">
        <w:rPr>
          <w:rFonts w:ascii="Times New Roman" w:hAnsi="Times New Roman" w:cs="Times New Roman"/>
          <w:sz w:val="20"/>
          <w:szCs w:val="20"/>
        </w:rPr>
        <w:t>vein</w:t>
      </w:r>
      <w:r w:rsidR="00EA0121" w:rsidRPr="001C6FAE">
        <w:rPr>
          <w:rFonts w:ascii="Times New Roman" w:hAnsi="Times New Roman" w:cs="Times New Roman"/>
          <w:sz w:val="20"/>
          <w:szCs w:val="20"/>
        </w:rPr>
        <w:t xml:space="preserve"> puncture and clean dry syringes from the </w:t>
      </w:r>
      <w:proofErr w:type="spellStart"/>
      <w:r w:rsidR="00EA0121" w:rsidRPr="001C6FAE">
        <w:rPr>
          <w:rFonts w:ascii="Times New Roman" w:hAnsi="Times New Roman" w:cs="Times New Roman"/>
          <w:sz w:val="20"/>
          <w:szCs w:val="20"/>
        </w:rPr>
        <w:t>cubital</w:t>
      </w:r>
      <w:proofErr w:type="spellEnd"/>
      <w:r w:rsidR="00EA0121" w:rsidRPr="001C6FAE">
        <w:rPr>
          <w:rFonts w:ascii="Times New Roman" w:hAnsi="Times New Roman" w:cs="Times New Roman"/>
          <w:sz w:val="20"/>
          <w:szCs w:val="20"/>
        </w:rPr>
        <w:t xml:space="preserve"> vein of every investigated subject into plain tube. Blood was allowed to clot and centrifuged for 3 minutes at 4000 rpm. The clear supernatant serum was separated from the clot and liquated under complete aseptic condition.</w:t>
      </w:r>
      <w:r w:rsidR="00612B36" w:rsidRPr="001C6FAE">
        <w:rPr>
          <w:rFonts w:ascii="Times New Roman" w:hAnsi="Times New Roman" w:cs="Times New Roman" w:hint="cs"/>
          <w:sz w:val="20"/>
          <w:szCs w:val="20"/>
        </w:rPr>
        <w:t xml:space="preserve"> </w:t>
      </w:r>
      <w:r w:rsidR="00EA0121" w:rsidRPr="001C6FAE">
        <w:rPr>
          <w:rFonts w:ascii="Times New Roman" w:hAnsi="Times New Roman" w:cs="Times New Roman"/>
          <w:sz w:val="20"/>
          <w:szCs w:val="20"/>
        </w:rPr>
        <w:t>The serum obtained was kept frozen at - 20 ºC till analysis of LDH</w:t>
      </w:r>
      <w:r w:rsidR="00343809" w:rsidRPr="001C6FA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43809" w:rsidRPr="001C6FAE">
        <w:rPr>
          <w:rFonts w:ascii="Times New Roman" w:hAnsi="Times New Roman" w:cs="Times New Roman"/>
          <w:sz w:val="20"/>
          <w:szCs w:val="20"/>
        </w:rPr>
        <w:t>Spectrophotometric</w:t>
      </w:r>
      <w:proofErr w:type="spellEnd"/>
      <w:r w:rsidR="003304EE" w:rsidRPr="001C6FAE">
        <w:rPr>
          <w:rFonts w:ascii="Times New Roman" w:hAnsi="Times New Roman" w:cs="Times New Roman"/>
          <w:sz w:val="20"/>
          <w:szCs w:val="20"/>
        </w:rPr>
        <w:t xml:space="preserve"> method</w:t>
      </w:r>
      <w:r w:rsidR="00343809" w:rsidRPr="001C6FAE">
        <w:rPr>
          <w:rFonts w:ascii="Times New Roman" w:hAnsi="Times New Roman" w:cs="Times New Roman"/>
          <w:sz w:val="20"/>
          <w:szCs w:val="20"/>
        </w:rPr>
        <w:t>)</w:t>
      </w:r>
      <w:r w:rsidR="00EA0121" w:rsidRPr="001C6F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0121" w:rsidRPr="001C6FAE">
        <w:rPr>
          <w:rFonts w:ascii="Times New Roman" w:hAnsi="Times New Roman" w:cs="Times New Roman"/>
          <w:sz w:val="20"/>
          <w:szCs w:val="20"/>
        </w:rPr>
        <w:t>Tropinine</w:t>
      </w:r>
      <w:proofErr w:type="spellEnd"/>
      <w:r w:rsidR="00EA0121" w:rsidRPr="001C6FAE">
        <w:rPr>
          <w:rFonts w:ascii="Times New Roman" w:hAnsi="Times New Roman" w:cs="Times New Roman"/>
          <w:sz w:val="20"/>
          <w:szCs w:val="20"/>
        </w:rPr>
        <w:t>-I</w:t>
      </w:r>
      <w:r w:rsidR="00343809" w:rsidRPr="001C6FAE">
        <w:rPr>
          <w:rFonts w:ascii="Times New Roman" w:hAnsi="Times New Roman" w:cs="Times New Roman"/>
          <w:sz w:val="20"/>
          <w:szCs w:val="20"/>
        </w:rPr>
        <w:t xml:space="preserve"> (</w:t>
      </w:r>
      <w:r w:rsidR="00C561D7" w:rsidRPr="001C6FAE">
        <w:rPr>
          <w:rFonts w:ascii="Times New Roman" w:hAnsi="Times New Roman" w:cs="Times New Roman"/>
          <w:sz w:val="20"/>
          <w:szCs w:val="20"/>
        </w:rPr>
        <w:t>ELFA method</w:t>
      </w:r>
      <w:r w:rsidR="00343809" w:rsidRPr="001C6FAE">
        <w:rPr>
          <w:rFonts w:ascii="Times New Roman" w:hAnsi="Times New Roman" w:cs="Times New Roman"/>
          <w:sz w:val="20"/>
          <w:szCs w:val="20"/>
        </w:rPr>
        <w:t>)</w:t>
      </w:r>
      <w:r w:rsidR="00EA0121" w:rsidRPr="001C6FAE">
        <w:rPr>
          <w:rFonts w:ascii="Times New Roman" w:hAnsi="Times New Roman" w:cs="Times New Roman"/>
          <w:sz w:val="20"/>
          <w:szCs w:val="20"/>
        </w:rPr>
        <w:t>, CK-MB, H-FABP</w:t>
      </w:r>
      <w:r w:rsidR="00343809" w:rsidRPr="001C6FAE">
        <w:rPr>
          <w:rFonts w:ascii="Times New Roman" w:hAnsi="Times New Roman" w:cs="Times New Roman"/>
          <w:sz w:val="20"/>
          <w:szCs w:val="20"/>
        </w:rPr>
        <w:t xml:space="preserve"> and</w:t>
      </w:r>
      <w:r w:rsidR="00EA0121" w:rsidRPr="001C6F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0121" w:rsidRPr="001C6FAE">
        <w:rPr>
          <w:rFonts w:ascii="Times New Roman" w:hAnsi="Times New Roman" w:cs="Times New Roman"/>
          <w:sz w:val="20"/>
          <w:szCs w:val="20"/>
        </w:rPr>
        <w:t>Myoglobin</w:t>
      </w:r>
      <w:proofErr w:type="spellEnd"/>
      <w:r w:rsidR="00343809" w:rsidRPr="001C6FAE">
        <w:rPr>
          <w:rFonts w:ascii="Times New Roman" w:hAnsi="Times New Roman" w:cs="Times New Roman"/>
          <w:sz w:val="20"/>
          <w:szCs w:val="20"/>
        </w:rPr>
        <w:t xml:space="preserve"> (ELISA</w:t>
      </w:r>
      <w:r w:rsidR="003304EE" w:rsidRPr="001C6FAE">
        <w:rPr>
          <w:rFonts w:ascii="Times New Roman" w:hAnsi="Times New Roman" w:cs="Times New Roman"/>
          <w:sz w:val="20"/>
          <w:szCs w:val="20"/>
        </w:rPr>
        <w:t xml:space="preserve"> method</w:t>
      </w:r>
      <w:r w:rsidR="00343809" w:rsidRPr="001C6FAE">
        <w:rPr>
          <w:rFonts w:ascii="Times New Roman" w:hAnsi="Times New Roman" w:cs="Times New Roman"/>
          <w:sz w:val="20"/>
          <w:szCs w:val="20"/>
        </w:rPr>
        <w:t>)</w:t>
      </w:r>
      <w:r w:rsidR="00F31C75" w:rsidRPr="001C6FAE">
        <w:rPr>
          <w:rFonts w:ascii="Times New Roman" w:hAnsi="Times New Roman" w:cs="Times New Roman"/>
          <w:sz w:val="20"/>
          <w:szCs w:val="20"/>
        </w:rPr>
        <w:t>.</w:t>
      </w:r>
    </w:p>
    <w:p w:rsidR="0028127F" w:rsidRPr="001C6FAE" w:rsidRDefault="00A8677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="0028127F" w:rsidRPr="001C6FAE">
        <w:rPr>
          <w:rFonts w:ascii="Times New Roman" w:hAnsi="Times New Roman" w:cs="Times New Roman" w:hint="cs"/>
          <w:b/>
          <w:bCs/>
          <w:sz w:val="20"/>
          <w:szCs w:val="20"/>
        </w:rPr>
        <w:t xml:space="preserve"> </w:t>
      </w:r>
      <w:r w:rsidR="00717A67" w:rsidRPr="001C6FAE">
        <w:rPr>
          <w:rFonts w:ascii="Times New Roman" w:hAnsi="Times New Roman" w:cs="Times New Roman"/>
          <w:b/>
          <w:bCs/>
          <w:sz w:val="20"/>
          <w:szCs w:val="20"/>
        </w:rPr>
        <w:t>Statistical analysis</w:t>
      </w:r>
      <w:r w:rsidR="0088437E" w:rsidRPr="001C6FAE">
        <w:rPr>
          <w:rFonts w:ascii="Times New Roman" w:hAnsi="Times New Roman" w:cs="Times New Roman"/>
          <w:sz w:val="20"/>
          <w:szCs w:val="20"/>
        </w:rPr>
        <w:t>:</w:t>
      </w:r>
    </w:p>
    <w:p w:rsidR="00717A67" w:rsidRPr="001C6FAE" w:rsidRDefault="00717A67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C6FAE">
        <w:rPr>
          <w:rFonts w:ascii="Times New Roman" w:hAnsi="Times New Roman" w:cs="Times New Roman"/>
          <w:sz w:val="20"/>
          <w:szCs w:val="20"/>
        </w:rPr>
        <w:lastRenderedPageBreak/>
        <w:t>Data were expressed as Mean ± SD. Data comparisons were performed by using student t-test. The levels of significance were accepted with P &lt; 0.05. P</w:t>
      </w:r>
      <w:r w:rsidR="00922291" w:rsidRPr="001C6FAE">
        <w:rPr>
          <w:rFonts w:ascii="Times New Roman" w:hAnsi="Times New Roman" w:cs="Times New Roman"/>
          <w:sz w:val="20"/>
          <w:szCs w:val="20"/>
        </w:rPr>
        <w:t>. v</w:t>
      </w:r>
      <w:r w:rsidRPr="001C6FAE">
        <w:rPr>
          <w:rFonts w:ascii="Times New Roman" w:hAnsi="Times New Roman" w:cs="Times New Roman"/>
          <w:sz w:val="20"/>
          <w:szCs w:val="20"/>
        </w:rPr>
        <w:t>alue considered insignificant if it &gt; 0.05, significant if it ≤ 0.05, highly significant if it ≤0.01 and the results were presented in Tables as mean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sym w:font="Symbol" w:char="00B1"/>
      </w:r>
      <w:r w:rsidRPr="001C6FAE">
        <w:rPr>
          <w:rFonts w:ascii="Times New Roman" w:hAnsi="Times New Roman" w:cs="Times New Roman"/>
          <w:sz w:val="20"/>
          <w:szCs w:val="20"/>
        </w:rPr>
        <w:t xml:space="preserve"> SD. The statistical analysis were done using SPSS version 20.0</w:t>
      </w:r>
      <w:r w:rsidR="00922291" w:rsidRPr="001C6FA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22291" w:rsidRPr="001C6FAE">
        <w:rPr>
          <w:rFonts w:ascii="Times New Roman" w:hAnsi="Times New Roman" w:cs="Times New Roman"/>
          <w:sz w:val="20"/>
          <w:szCs w:val="20"/>
        </w:rPr>
        <w:t>p</w:t>
      </w:r>
      <w:r w:rsidRPr="001C6FAE">
        <w:rPr>
          <w:rFonts w:ascii="Times New Roman" w:hAnsi="Times New Roman" w:cs="Times New Roman"/>
          <w:sz w:val="20"/>
          <w:szCs w:val="20"/>
        </w:rPr>
        <w:t>rogram</w:t>
      </w:r>
      <w:proofErr w:type="gramEnd"/>
      <w:r w:rsidRPr="001C6FAE">
        <w:rPr>
          <w:rFonts w:ascii="Times New Roman" w:hAnsi="Times New Roman" w:cs="Times New Roman"/>
          <w:sz w:val="20"/>
          <w:szCs w:val="20"/>
        </w:rPr>
        <w:t>.</w:t>
      </w:r>
    </w:p>
    <w:p w:rsidR="000D3551" w:rsidRPr="001C6FAE" w:rsidRDefault="000D3551" w:rsidP="000D355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17A67" w:rsidRPr="001C6FAE" w:rsidRDefault="00612B36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6E16BD" w:rsidRPr="001C6FAE" w:rsidRDefault="006E16BD" w:rsidP="002D12E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>The study shows that there is statistically significance difference between group 1 and 4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 xml:space="preserve">as regard to cardiac markers (LDH,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I, CK-MB,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myoglobin</w:t>
      </w:r>
      <w:proofErr w:type="spellEnd"/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Pr="001C6FAE">
        <w:rPr>
          <w:rFonts w:ascii="Times New Roman" w:hAnsi="Times New Roman" w:cs="Times New Roman"/>
          <w:sz w:val="20"/>
          <w:szCs w:val="20"/>
        </w:rPr>
        <w:t xml:space="preserve"> and H-FABP level) with high mean among acute MI cases (p-value &lt;0.05) as presented in table </w:t>
      </w:r>
      <w:r w:rsidR="00C561D7" w:rsidRPr="001C6FAE">
        <w:rPr>
          <w:rFonts w:ascii="Times New Roman" w:hAnsi="Times New Roman" w:cs="Times New Roman"/>
          <w:sz w:val="20"/>
          <w:szCs w:val="20"/>
        </w:rPr>
        <w:t>1</w:t>
      </w:r>
      <w:r w:rsidRPr="001C6FAE">
        <w:rPr>
          <w:rFonts w:ascii="Times New Roman" w:hAnsi="Times New Roman" w:cs="Times New Roman"/>
          <w:sz w:val="20"/>
          <w:szCs w:val="20"/>
        </w:rPr>
        <w:t xml:space="preserve">, figure </w:t>
      </w:r>
      <w:r w:rsidR="00C561D7" w:rsidRPr="001C6FAE">
        <w:rPr>
          <w:rFonts w:ascii="Times New Roman" w:hAnsi="Times New Roman" w:cs="Times New Roman"/>
          <w:sz w:val="20"/>
          <w:szCs w:val="20"/>
        </w:rPr>
        <w:t>1</w:t>
      </w:r>
      <w:r w:rsidRPr="001C6FAE">
        <w:rPr>
          <w:rFonts w:ascii="Times New Roman" w:hAnsi="Times New Roman" w:cs="Times New Roman"/>
          <w:sz w:val="20"/>
          <w:szCs w:val="20"/>
        </w:rPr>
        <w:t xml:space="preserve"> and figure </w:t>
      </w:r>
      <w:r w:rsidR="00C561D7" w:rsidRPr="001C6FAE">
        <w:rPr>
          <w:rFonts w:ascii="Times New Roman" w:hAnsi="Times New Roman" w:cs="Times New Roman"/>
          <w:sz w:val="20"/>
          <w:szCs w:val="20"/>
        </w:rPr>
        <w:t>2</w:t>
      </w:r>
      <w:r w:rsidRPr="001C6FAE">
        <w:rPr>
          <w:rFonts w:ascii="Times New Roman" w:hAnsi="Times New Roman" w:cs="Times New Roman"/>
          <w:sz w:val="20"/>
          <w:szCs w:val="20"/>
        </w:rPr>
        <w:t>.</w:t>
      </w:r>
    </w:p>
    <w:p w:rsidR="00922291" w:rsidRPr="001C6FAE" w:rsidRDefault="005914AB" w:rsidP="002D12E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>As regard to comparison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between group 1 and group 2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that there is statistically significance difference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 xml:space="preserve">in all cardiac markers (LDH,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I, CK-MB,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myoglobin</w:t>
      </w:r>
      <w:proofErr w:type="spellEnd"/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Pr="001C6FAE">
        <w:rPr>
          <w:rFonts w:ascii="Times New Roman" w:hAnsi="Times New Roman" w:cs="Times New Roman"/>
          <w:sz w:val="20"/>
          <w:szCs w:val="20"/>
        </w:rPr>
        <w:t xml:space="preserve"> and H-FABP level) with high mean among acute MI cases (p-value &lt;0.05) as presented in table 2, figure </w:t>
      </w:r>
      <w:r w:rsidR="00922291" w:rsidRPr="001C6FAE">
        <w:rPr>
          <w:rFonts w:ascii="Times New Roman" w:hAnsi="Times New Roman" w:cs="Times New Roman"/>
          <w:sz w:val="20"/>
          <w:szCs w:val="20"/>
        </w:rPr>
        <w:t>3.</w:t>
      </w:r>
    </w:p>
    <w:p w:rsidR="005914AB" w:rsidRPr="001C6FAE" w:rsidRDefault="005914AB" w:rsidP="002D12EF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C6FAE">
        <w:rPr>
          <w:rFonts w:ascii="Times New Roman" w:hAnsi="Times New Roman" w:cs="Times New Roman"/>
          <w:sz w:val="20"/>
          <w:szCs w:val="20"/>
        </w:rPr>
        <w:t>There is statistically significance difference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between group 1 and 3</w:t>
      </w:r>
      <w:r w:rsidR="00727044" w:rsidRPr="001C6FAE">
        <w:rPr>
          <w:rFonts w:ascii="Times New Roman" w:hAnsi="Times New Roman" w:cs="Times New Roman"/>
          <w:sz w:val="20"/>
          <w:szCs w:val="20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 xml:space="preserve">as regard to cardiac markers (LDH,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I, CK-MB,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myoglobin</w:t>
      </w:r>
      <w:proofErr w:type="spellEnd"/>
      <w:r w:rsidR="00727044" w:rsidRPr="001C6FAE">
        <w:rPr>
          <w:rFonts w:ascii="Times New Roman" w:hAnsi="Times New Roman" w:cs="Times New Roman"/>
          <w:sz w:val="20"/>
          <w:szCs w:val="20"/>
        </w:rPr>
        <w:t>,</w:t>
      </w:r>
      <w:r w:rsidRPr="001C6FAE">
        <w:rPr>
          <w:rFonts w:ascii="Times New Roman" w:hAnsi="Times New Roman" w:cs="Times New Roman"/>
          <w:sz w:val="20"/>
          <w:szCs w:val="20"/>
        </w:rPr>
        <w:t xml:space="preserve"> and H-FABP level) with high mean among acute MI cases (p-value &lt;0.05) as shown in</w:t>
      </w:r>
      <w:r w:rsidR="001C6FAE" w:rsidRPr="001C6FA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Table 3, figure 4 and figure 5.</w:t>
      </w:r>
    </w:p>
    <w:p w:rsidR="002D12EF" w:rsidRPr="001C6FAE" w:rsidRDefault="002D12EF" w:rsidP="002D12E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2D12EF" w:rsidRPr="001C6FAE" w:rsidSect="002D12EF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D12EF" w:rsidRPr="001C6FAE" w:rsidRDefault="002D12EF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6E16BD" w:rsidRPr="001C6FAE" w:rsidRDefault="006E16BD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gramStart"/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Table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1</w:t>
      </w: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Comparisons of cardiac markers between group (1) and group (4).</w:t>
      </w:r>
      <w:proofErr w:type="gramEnd"/>
    </w:p>
    <w:tbl>
      <w:tblPr>
        <w:tblStyle w:val="TableGrid"/>
        <w:tblW w:w="4648" w:type="pct"/>
        <w:jc w:val="center"/>
        <w:tblInd w:w="675" w:type="dxa"/>
        <w:tblLook w:val="04A0"/>
      </w:tblPr>
      <w:tblGrid>
        <w:gridCol w:w="2221"/>
        <w:gridCol w:w="1197"/>
        <w:gridCol w:w="969"/>
        <w:gridCol w:w="1197"/>
        <w:gridCol w:w="969"/>
        <w:gridCol w:w="1437"/>
        <w:gridCol w:w="914"/>
      </w:tblGrid>
      <w:tr w:rsidR="006E16BD" w:rsidRPr="001C6FAE" w:rsidTr="002D12EF">
        <w:trPr>
          <w:jc w:val="center"/>
        </w:trPr>
        <w:tc>
          <w:tcPr>
            <w:tcW w:w="1247" w:type="pct"/>
            <w:vMerge w:val="restart"/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1216" w:type="pct"/>
            <w:gridSpan w:val="2"/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 1</w:t>
            </w:r>
          </w:p>
        </w:tc>
        <w:tc>
          <w:tcPr>
            <w:tcW w:w="1216" w:type="pct"/>
            <w:gridSpan w:val="2"/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</w:t>
            </w:r>
            <w:r w:rsidR="00727044"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4</w:t>
            </w:r>
          </w:p>
        </w:tc>
        <w:tc>
          <w:tcPr>
            <w:tcW w:w="807" w:type="pct"/>
            <w:vMerge w:val="restart"/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Sig.</w:t>
            </w: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8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LDH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CK MB</w:t>
            </w:r>
            <w:r w:rsidR="00727044"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Troponin</w:t>
            </w:r>
            <w:proofErr w:type="spellEnd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μg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Myoglobin</w:t>
            </w:r>
            <w:proofErr w:type="spellEnd"/>
            <w:r w:rsidR="001C6FAE"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274.4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6E16BD" w:rsidRPr="001C6FAE" w:rsidTr="002D12EF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H-FABP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bidi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D" w:rsidRPr="001C6FAE" w:rsidRDefault="006E16BD" w:rsidP="002D12EF">
            <w:pPr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</w:tbl>
    <w:p w:rsidR="006E16BD" w:rsidRPr="001C6FAE" w:rsidRDefault="006E16BD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FAE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246162" cy="2509465"/>
            <wp:effectExtent l="57150" t="19050" r="40088" b="513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16BD" w:rsidRPr="001C6FAE" w:rsidRDefault="006E16BD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Figure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1</w:t>
      </w:r>
      <w:r w:rsidR="00922291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="00922291" w:rsidRPr="001C6FAE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omparisons of cardiac markers LDH</w:t>
      </w:r>
      <w:r w:rsidR="00922291"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922291" w:rsidRPr="001C6FAE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yoglobin</w:t>
      </w:r>
      <w:proofErr w:type="spellEnd"/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and H FABP between group (1) and group (4).</w:t>
      </w:r>
    </w:p>
    <w:p w:rsidR="00E24A8B" w:rsidRPr="001C6FAE" w:rsidRDefault="00E24A8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338403" cy="2652588"/>
            <wp:effectExtent l="57150" t="19050" r="43097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4A8B" w:rsidRPr="001C6FAE" w:rsidRDefault="00E24A8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12B36" w:rsidRPr="001C6FA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12B36"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Comparisons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of cardiac </w:t>
      </w:r>
      <w:r w:rsidR="00612B36"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markers </w:t>
      </w:r>
      <w:proofErr w:type="spellStart"/>
      <w:r w:rsidR="00612B36" w:rsidRPr="001C6FAE">
        <w:rPr>
          <w:rFonts w:ascii="Times New Roman" w:hAnsi="Times New Roman" w:cs="Times New Roman"/>
          <w:sz w:val="20"/>
          <w:szCs w:val="20"/>
          <w:lang w:bidi="ar-EG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and CKMB between group (1) and group (4).</w:t>
      </w:r>
    </w:p>
    <w:p w:rsidR="002D12EF" w:rsidRPr="001C6FAE" w:rsidRDefault="002D12EF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63E22" w:rsidRPr="001C6FAE" w:rsidRDefault="00C63E22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proofErr w:type="gramStart"/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Table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2</w:t>
      </w: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Comparisons of cardiac markers between group (1) and group (2).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2449"/>
        <w:gridCol w:w="983"/>
        <w:gridCol w:w="703"/>
        <w:gridCol w:w="983"/>
        <w:gridCol w:w="703"/>
        <w:gridCol w:w="1013"/>
        <w:gridCol w:w="657"/>
      </w:tblGrid>
      <w:tr w:rsidR="00C63E22" w:rsidRPr="001C6FAE" w:rsidTr="00744655">
        <w:trPr>
          <w:trHeight w:val="177"/>
          <w:jc w:val="center"/>
        </w:trPr>
        <w:tc>
          <w:tcPr>
            <w:tcW w:w="2449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1686" w:type="dxa"/>
            <w:gridSpan w:val="2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</w:t>
            </w:r>
            <w:r w:rsidR="00727044"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</w:t>
            </w:r>
          </w:p>
        </w:tc>
        <w:tc>
          <w:tcPr>
            <w:tcW w:w="1686" w:type="dxa"/>
            <w:gridSpan w:val="2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</w:t>
            </w:r>
            <w:r w:rsidR="00727044"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2</w:t>
            </w:r>
          </w:p>
        </w:tc>
        <w:tc>
          <w:tcPr>
            <w:tcW w:w="1013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657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Sig.</w:t>
            </w:r>
          </w:p>
        </w:tc>
      </w:tr>
      <w:tr w:rsidR="00C63E22" w:rsidRPr="001C6FAE" w:rsidTr="00744655">
        <w:trPr>
          <w:trHeight w:val="99"/>
          <w:jc w:val="center"/>
        </w:trPr>
        <w:tc>
          <w:tcPr>
            <w:tcW w:w="24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E22" w:rsidRPr="001C6FAE" w:rsidTr="00744655">
        <w:trPr>
          <w:trHeight w:val="11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LDH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CK MB</w:t>
            </w:r>
            <w:r w:rsidR="00727044"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Troponin</w:t>
            </w:r>
            <w:proofErr w:type="spellEnd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μg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Myoglobin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H-FABP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</w:tbl>
    <w:p w:rsidR="00C63E22" w:rsidRPr="001C6FAE" w:rsidRDefault="00C63E22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4287824" cy="2390195"/>
            <wp:effectExtent l="57150" t="19050" r="36526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63E22" w:rsidRPr="001C6FAE" w:rsidRDefault="00C63E22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1C6FA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Comparisons of cardiac </w:t>
      </w:r>
      <w:r w:rsidR="00612B36" w:rsidRPr="001C6FAE">
        <w:rPr>
          <w:rFonts w:ascii="Times New Roman" w:hAnsi="Times New Roman" w:cs="Times New Roman"/>
          <w:sz w:val="20"/>
          <w:szCs w:val="20"/>
          <w:lang w:bidi="ar-EG"/>
        </w:rPr>
        <w:t>markers LDH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Pr="001C6FAE">
        <w:rPr>
          <w:rFonts w:ascii="Times New Roman" w:hAnsi="Times New Roman" w:cs="Times New Roman"/>
          <w:sz w:val="20"/>
          <w:szCs w:val="20"/>
          <w:lang w:bidi="ar-EG"/>
        </w:rPr>
        <w:t>myoglobin</w:t>
      </w:r>
      <w:proofErr w:type="spellEnd"/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and H FABP between group (1) and group (2).</w:t>
      </w:r>
    </w:p>
    <w:p w:rsidR="005914AB" w:rsidRPr="001C6FAE" w:rsidRDefault="005914AB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C63E22" w:rsidRPr="001C6FAE" w:rsidRDefault="00C63E22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gramStart"/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Table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3</w:t>
      </w: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Comparisons of cardiac markers between group (1) and group (3).</w:t>
      </w:r>
      <w:proofErr w:type="gramEnd"/>
    </w:p>
    <w:tbl>
      <w:tblPr>
        <w:tblStyle w:val="TableGrid"/>
        <w:tblW w:w="8533" w:type="dxa"/>
        <w:jc w:val="center"/>
        <w:tblLook w:val="04A0"/>
      </w:tblPr>
      <w:tblGrid>
        <w:gridCol w:w="2461"/>
        <w:gridCol w:w="1176"/>
        <w:gridCol w:w="1030"/>
        <w:gridCol w:w="958"/>
        <w:gridCol w:w="992"/>
        <w:gridCol w:w="1034"/>
        <w:gridCol w:w="882"/>
      </w:tblGrid>
      <w:tr w:rsidR="00C63E22" w:rsidRPr="001C6FAE" w:rsidTr="00744655">
        <w:trPr>
          <w:trHeight w:val="235"/>
          <w:jc w:val="center"/>
        </w:trPr>
        <w:tc>
          <w:tcPr>
            <w:tcW w:w="2461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2206" w:type="dxa"/>
            <w:gridSpan w:val="2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</w:t>
            </w:r>
            <w:r w:rsidR="00727044"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</w:t>
            </w:r>
            <w:r w:rsidR="00727044"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034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882" w:type="dxa"/>
            <w:vMerge w:val="restart"/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Sig.</w:t>
            </w:r>
          </w:p>
        </w:tc>
      </w:tr>
      <w:tr w:rsidR="00C63E22" w:rsidRPr="001C6FAE" w:rsidTr="00744655">
        <w:trPr>
          <w:trHeight w:val="188"/>
          <w:jc w:val="center"/>
        </w:trPr>
        <w:tc>
          <w:tcPr>
            <w:tcW w:w="246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E22" w:rsidRPr="001C6FAE" w:rsidTr="00744655">
        <w:trPr>
          <w:trHeight w:val="233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LDH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123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CK MB</w:t>
            </w:r>
            <w:r w:rsidR="00727044"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Troponin</w:t>
            </w:r>
            <w:proofErr w:type="spellEnd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μg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Myoglobin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274.4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C63E22" w:rsidRPr="001C6FAE" w:rsidTr="00744655">
        <w:trPr>
          <w:trHeight w:val="64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H-FABP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22" w:rsidRPr="001C6FAE" w:rsidRDefault="00C63E22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</w:tbl>
    <w:p w:rsidR="00C63E22" w:rsidRPr="001C6FAE" w:rsidRDefault="00C63E22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  <w:r w:rsidRPr="001C6FAE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3672012" cy="2668491"/>
            <wp:effectExtent l="57150" t="19050" r="42738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63E22" w:rsidRPr="001C6FAE" w:rsidRDefault="00C63E22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22291"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2291" w:rsidRPr="001C6FAE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omparisons of cardiac markers LDH, </w:t>
      </w:r>
      <w:proofErr w:type="spellStart"/>
      <w:r w:rsidRPr="001C6FAE">
        <w:rPr>
          <w:rFonts w:ascii="Times New Roman" w:hAnsi="Times New Roman" w:cs="Times New Roman"/>
          <w:sz w:val="20"/>
          <w:szCs w:val="20"/>
          <w:lang w:bidi="ar-EG"/>
        </w:rPr>
        <w:t>myoglobin</w:t>
      </w:r>
      <w:proofErr w:type="spellEnd"/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and H FABP</w:t>
      </w:r>
      <w:r w:rsidR="00727044"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between group (1) and group (3).</w:t>
      </w:r>
    </w:p>
    <w:p w:rsidR="002D12EF" w:rsidRPr="001C6FAE" w:rsidRDefault="002D12EF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C63E22" w:rsidRPr="001C6FAE" w:rsidRDefault="00C63E22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3674938" cy="2382244"/>
            <wp:effectExtent l="57150" t="19050" r="39812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3E22" w:rsidRPr="001C6FAE" w:rsidRDefault="00C63E22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731E5" w:rsidRPr="001C6FA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731E5"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Comparisons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of cardiac markers CKMB and </w:t>
      </w:r>
      <w:proofErr w:type="spellStart"/>
      <w:r w:rsidRPr="001C6FAE">
        <w:rPr>
          <w:rFonts w:ascii="Times New Roman" w:hAnsi="Times New Roman" w:cs="Times New Roman"/>
          <w:sz w:val="20"/>
          <w:szCs w:val="20"/>
          <w:lang w:bidi="ar-EG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  <w:lang w:bidi="ar-EG"/>
        </w:rPr>
        <w:t xml:space="preserve"> between group (1) and group (3)</w:t>
      </w: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</w:p>
    <w:p w:rsidR="005914AB" w:rsidRPr="001C6FAE" w:rsidRDefault="005914AB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6C17" w:rsidRPr="001C6FAE" w:rsidRDefault="00B866CD" w:rsidP="002D12EF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gramStart"/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Table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4</w:t>
      </w: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Comparisons of cardiac markers between different patients groups.</w:t>
      </w:r>
      <w:proofErr w:type="gramEnd"/>
    </w:p>
    <w:tbl>
      <w:tblPr>
        <w:tblStyle w:val="TableGrid"/>
        <w:tblW w:w="8872" w:type="dxa"/>
        <w:jc w:val="center"/>
        <w:tblLook w:val="04A0"/>
      </w:tblPr>
      <w:tblGrid>
        <w:gridCol w:w="2332"/>
        <w:gridCol w:w="869"/>
        <w:gridCol w:w="634"/>
        <w:gridCol w:w="869"/>
        <w:gridCol w:w="634"/>
        <w:gridCol w:w="869"/>
        <w:gridCol w:w="753"/>
        <w:gridCol w:w="1035"/>
        <w:gridCol w:w="877"/>
      </w:tblGrid>
      <w:tr w:rsidR="00B66C17" w:rsidRPr="001C6FAE" w:rsidTr="00744655">
        <w:trPr>
          <w:trHeight w:val="257"/>
          <w:jc w:val="center"/>
        </w:trPr>
        <w:tc>
          <w:tcPr>
            <w:tcW w:w="2332" w:type="dxa"/>
            <w:vMerge w:val="restart"/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G1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G2</w:t>
            </w:r>
          </w:p>
        </w:tc>
        <w:tc>
          <w:tcPr>
            <w:tcW w:w="162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G3</w:t>
            </w:r>
          </w:p>
        </w:tc>
        <w:tc>
          <w:tcPr>
            <w:tcW w:w="1035" w:type="dxa"/>
            <w:vMerge w:val="restart"/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877" w:type="dxa"/>
            <w:vMerge w:val="restart"/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Sig.</w:t>
            </w:r>
          </w:p>
        </w:tc>
      </w:tr>
      <w:tr w:rsidR="00B66C17" w:rsidRPr="001C6FAE" w:rsidTr="00744655">
        <w:trPr>
          <w:trHeight w:val="239"/>
          <w:jc w:val="center"/>
        </w:trPr>
        <w:tc>
          <w:tcPr>
            <w:tcW w:w="233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C17" w:rsidRPr="001C6FAE" w:rsidTr="00744655">
        <w:trPr>
          <w:trHeight w:val="1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LDH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B66C17" w:rsidRPr="001C6FAE" w:rsidTr="00744655">
        <w:trPr>
          <w:trHeight w:val="21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CK MB</w:t>
            </w:r>
            <w:r w:rsidR="00727044"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B66C17" w:rsidRPr="001C6FAE" w:rsidTr="00744655">
        <w:trPr>
          <w:trHeight w:val="6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Troponin</w:t>
            </w:r>
            <w:proofErr w:type="spellEnd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μg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B66C17" w:rsidRPr="001C6FAE" w:rsidTr="00744655">
        <w:trPr>
          <w:trHeight w:val="6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Myoglobin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274.4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  <w:tr w:rsidR="00B66C17" w:rsidRPr="001C6FAE" w:rsidTr="00744655">
        <w:trPr>
          <w:trHeight w:val="6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H-FABP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17" w:rsidRPr="001C6FAE" w:rsidRDefault="00B66C17" w:rsidP="002D12EF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HS</w:t>
            </w:r>
          </w:p>
        </w:tc>
      </w:tr>
    </w:tbl>
    <w:p w:rsidR="005914AB" w:rsidRPr="001C6FAE" w:rsidRDefault="005914AB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A76F2" w:rsidRPr="001C6FAE" w:rsidRDefault="004A76F2" w:rsidP="002D12E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C561D7" w:rsidRPr="001C6FA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C6FA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1C6FAE">
        <w:rPr>
          <w:rFonts w:ascii="Times New Roman" w:hAnsi="Times New Roman" w:cs="Times New Roman"/>
          <w:sz w:val="20"/>
          <w:szCs w:val="20"/>
        </w:rPr>
        <w:t>Sensitivity and specificity of different cardiac markers in diagnosis of cardiac cause of chest pain.</w:t>
      </w:r>
      <w:proofErr w:type="gramEnd"/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1531"/>
        <w:gridCol w:w="1393"/>
        <w:gridCol w:w="1576"/>
        <w:gridCol w:w="1765"/>
      </w:tblGrid>
      <w:tr w:rsidR="004A76F2" w:rsidRPr="001C6FAE" w:rsidTr="00437FD1">
        <w:trPr>
          <w:cantSplit/>
          <w:trHeight w:val="395"/>
          <w:tblHeader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6F2" w:rsidRPr="001C6FAE" w:rsidRDefault="004A76F2" w:rsidP="002D12EF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6F2" w:rsidRPr="001C6FAE" w:rsidRDefault="004A76F2" w:rsidP="002D12EF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6F2" w:rsidRPr="001C6FAE" w:rsidRDefault="004A76F2" w:rsidP="002D12EF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6F2" w:rsidRPr="001C6FAE" w:rsidRDefault="004A76F2" w:rsidP="002D12EF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6F2" w:rsidRPr="001C6FAE" w:rsidRDefault="004A76F2" w:rsidP="002D12EF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Cut off point</w:t>
            </w:r>
          </w:p>
        </w:tc>
      </w:tr>
      <w:tr w:rsidR="004A76F2" w:rsidRPr="001C6FAE" w:rsidTr="00744655">
        <w:trPr>
          <w:cantSplit/>
          <w:trHeight w:val="64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pStyle w:val="TableParagraph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CK MB</w:t>
            </w:r>
            <w:r w:rsidR="00727044"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</w:tr>
      <w:tr w:rsidR="004A76F2" w:rsidRPr="001C6FAE" w:rsidTr="00744655">
        <w:trPr>
          <w:cantSplit/>
          <w:trHeight w:val="64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Troponin</w:t>
            </w:r>
            <w:proofErr w:type="spellEnd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μg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93.4%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</w:tr>
      <w:tr w:rsidR="004A76F2" w:rsidRPr="001C6FAE" w:rsidTr="00744655">
        <w:trPr>
          <w:cantSplit/>
          <w:trHeight w:val="64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Myoglobin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</w:tr>
      <w:tr w:rsidR="004A76F2" w:rsidRPr="001C6FAE" w:rsidTr="00744655">
        <w:trPr>
          <w:cantSplit/>
          <w:trHeight w:val="64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H-FABP </w:t>
            </w:r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</w:t>
            </w:r>
            <w:proofErr w:type="spellEnd"/>
            <w:r w:rsidRPr="001C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/ml)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F2" w:rsidRPr="001C6FAE" w:rsidRDefault="004A76F2" w:rsidP="002D12EF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22.35</w:t>
            </w:r>
          </w:p>
        </w:tc>
      </w:tr>
    </w:tbl>
    <w:p w:rsidR="002D12EF" w:rsidRDefault="002D12EF" w:rsidP="002D12E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1C6FAE" w:rsidRPr="001C6FAE" w:rsidRDefault="001C6FAE" w:rsidP="001C6FA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2D12EF" w:rsidRPr="001C6FAE" w:rsidRDefault="002D12EF" w:rsidP="002D12EF">
      <w:pPr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FAE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520177" cy="3578087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rcRect r="8149"/>
                    <a:stretch>
                      <a:fillRect/>
                    </a:stretch>
                  </pic:blipFill>
                  <pic:spPr>
                    <a:xfrm>
                      <a:off x="0" y="0"/>
                      <a:ext cx="4524184" cy="35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EF" w:rsidRPr="001C6FAE" w:rsidRDefault="002D12EF" w:rsidP="002D12E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>Figure 6</w:t>
      </w:r>
      <w:r w:rsidR="00922291" w:rsidRPr="001C6FAE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="00922291" w:rsidRPr="001C6FAE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OC curve</w:t>
      </w:r>
      <w:r w:rsidR="001C6FAE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</w:rPr>
        <w:t>Sensitivity and specificity of different cardiac markers in diagnosis of cardiac cause of chest pain.</w:t>
      </w:r>
    </w:p>
    <w:p w:rsidR="001C6FAE" w:rsidRDefault="001C6FAE" w:rsidP="002D12E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1C6FAE" w:rsidRDefault="001C6FAE" w:rsidP="001C6FA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1C6FAE" w:rsidRDefault="001C6FAE" w:rsidP="001C6FA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1C6FAE" w:rsidSect="001C6FAE">
          <w:headerReference w:type="default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space="550"/>
          <w:docGrid w:linePitch="360"/>
        </w:sectPr>
      </w:pPr>
    </w:p>
    <w:p w:rsidR="001C6FAE" w:rsidRPr="001C6FAE" w:rsidRDefault="001C6FAE" w:rsidP="001C6FA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sz w:val="20"/>
          <w:szCs w:val="20"/>
        </w:rPr>
        <w:lastRenderedPageBreak/>
        <w:t xml:space="preserve">There is statistically significant difference between cases groups as regard to cardiac markers (LDH,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I, CK-MB,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myoglobin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>, and H-FABP level) with high mean among acute MI cases (p-value &lt;0.05</w:t>
      </w:r>
      <w:r w:rsidRPr="001C6FAE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1C6FAE">
        <w:rPr>
          <w:rFonts w:ascii="Times New Roman" w:hAnsi="Times New Roman" w:cs="Times New Roman"/>
          <w:sz w:val="20"/>
          <w:szCs w:val="20"/>
        </w:rPr>
        <w:t xml:space="preserve"> as presented in table 4,</w:t>
      </w:r>
      <w:r w:rsidRPr="001C6FA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diagnostic ability of each marker to distinguish between </w:t>
      </w:r>
      <w:smartTag w:uri="urn:schemas-microsoft-com:office:smarttags" w:element="stockticker">
        <w:r w:rsidRPr="001C6FAE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AMI</w:t>
        </w:r>
      </w:smartTag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non-</w:t>
      </w:r>
      <w:smartTag w:uri="urn:schemas-microsoft-com:office:smarttags" w:element="stockticker">
        <w:r w:rsidRPr="001C6FAE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AMI </w:t>
        </w:r>
      </w:smartTag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>groups was assessed by receiver operating characteristic curve (ROC) analysis</w:t>
      </w:r>
      <w:r w:rsidRPr="001C6FAE">
        <w:rPr>
          <w:rFonts w:ascii="Times New Roman" w:hAnsi="Times New Roman" w:cs="Times New Roman"/>
          <w:sz w:val="20"/>
          <w:szCs w:val="20"/>
        </w:rPr>
        <w:t xml:space="preserve"> figure 6 and table 5</w:t>
      </w:r>
      <w:r w:rsidRPr="001C6F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C6FAE">
        <w:rPr>
          <w:rFonts w:ascii="Times New Roman" w:hAnsi="Times New Roman" w:cs="Times New Roman"/>
          <w:sz w:val="20"/>
          <w:szCs w:val="20"/>
        </w:rPr>
        <w:t xml:space="preserve"> both demonstrate that the H FABP and </w:t>
      </w:r>
      <w:proofErr w:type="spellStart"/>
      <w:r w:rsidRPr="001C6FAE">
        <w:rPr>
          <w:rFonts w:ascii="Times New Roman" w:hAnsi="Times New Roman" w:cs="Times New Roman"/>
          <w:sz w:val="20"/>
          <w:szCs w:val="20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</w:rPr>
        <w:t xml:space="preserve"> had the highest </w:t>
      </w:r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sensitivity (86%) and (84%) respectively than </w:t>
      </w:r>
      <w:proofErr w:type="spellStart"/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>myoglobin</w:t>
      </w:r>
      <w:proofErr w:type="spellEnd"/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CKMB. While the </w:t>
      </w:r>
      <w:proofErr w:type="spellStart"/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>troponin</w:t>
      </w:r>
      <w:proofErr w:type="spellEnd"/>
      <w:r w:rsidRPr="001C6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shows the highest specificity (90%) and H FABP show specificity 70%.</w:t>
      </w:r>
    </w:p>
    <w:p w:rsidR="001C6FAE" w:rsidRPr="001C6FAE" w:rsidRDefault="001C6FAE" w:rsidP="001C6FA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DF174B" w:rsidRPr="001C6FAE" w:rsidRDefault="007731E5" w:rsidP="002D12E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C6FAE">
        <w:rPr>
          <w:rFonts w:ascii="Times New Roman" w:hAnsi="Times New Roman" w:cs="Times New Roman"/>
          <w:b/>
          <w:bCs/>
          <w:sz w:val="20"/>
          <w:szCs w:val="20"/>
        </w:rPr>
        <w:t>4. Discussion</w:t>
      </w:r>
    </w:p>
    <w:p w:rsidR="003B6674" w:rsidRPr="001C6FAE" w:rsidRDefault="00FD494D" w:rsidP="002D12EF">
      <w:pPr>
        <w:pStyle w:val="BodyText"/>
        <w:snapToGrid w:val="0"/>
        <w:spacing w:before="0"/>
        <w:ind w:left="0" w:firstLine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Management</w:t>
      </w:r>
      <w:r w:rsidR="00B72C30" w:rsidRPr="001C6FAE">
        <w:rPr>
          <w:rFonts w:cs="Times New Roman"/>
          <w:sz w:val="20"/>
          <w:szCs w:val="20"/>
        </w:rPr>
        <w:t xml:space="preserve"> or excluding of patients with acute chest pain due to </w:t>
      </w:r>
      <w:r w:rsidRPr="001C6FAE">
        <w:rPr>
          <w:rFonts w:cs="Times New Roman"/>
          <w:sz w:val="20"/>
          <w:szCs w:val="20"/>
        </w:rPr>
        <w:t xml:space="preserve">acute </w:t>
      </w:r>
      <w:proofErr w:type="spellStart"/>
      <w:r w:rsidRPr="001C6FAE">
        <w:rPr>
          <w:rFonts w:cs="Times New Roman"/>
          <w:sz w:val="20"/>
          <w:szCs w:val="20"/>
        </w:rPr>
        <w:t>coronarysyndrome</w:t>
      </w:r>
      <w:proofErr w:type="spellEnd"/>
      <w:r w:rsidRPr="001C6FAE">
        <w:rPr>
          <w:rFonts w:cs="Times New Roman"/>
          <w:sz w:val="20"/>
          <w:szCs w:val="20"/>
        </w:rPr>
        <w:t xml:space="preserve"> (</w:t>
      </w:r>
      <w:r w:rsidR="00B72C30" w:rsidRPr="001C6FAE">
        <w:rPr>
          <w:rFonts w:cs="Times New Roman"/>
          <w:sz w:val="20"/>
          <w:szCs w:val="20"/>
        </w:rPr>
        <w:t xml:space="preserve">ACS) is a common and difficult challenge for emergency </w:t>
      </w:r>
      <w:r w:rsidR="00612B36" w:rsidRPr="001C6FAE">
        <w:rPr>
          <w:rFonts w:cs="Times New Roman"/>
          <w:sz w:val="20"/>
          <w:szCs w:val="20"/>
        </w:rPr>
        <w:t>physicians</w:t>
      </w:r>
      <w:r w:rsidR="00612B36" w:rsidRPr="001C6FAE">
        <w:rPr>
          <w:rFonts w:cs="Times New Roman"/>
          <w:iCs/>
          <w:sz w:val="20"/>
          <w:szCs w:val="20"/>
        </w:rPr>
        <w:t xml:space="preserve"> [</w:t>
      </w:r>
      <w:r w:rsidR="00596F07" w:rsidRPr="001C6FAE">
        <w:rPr>
          <w:rFonts w:cs="Times New Roman"/>
          <w:iCs/>
          <w:sz w:val="20"/>
          <w:szCs w:val="20"/>
        </w:rPr>
        <w:t>7</w:t>
      </w:r>
      <w:r w:rsidR="00612B36" w:rsidRPr="001C6FAE">
        <w:rPr>
          <w:rFonts w:cs="Times New Roman"/>
          <w:iCs/>
          <w:sz w:val="20"/>
          <w:szCs w:val="20"/>
        </w:rPr>
        <w:t>, 8</w:t>
      </w:r>
      <w:r w:rsidR="00596F07" w:rsidRPr="001C6FAE">
        <w:rPr>
          <w:rFonts w:cs="Times New Roman"/>
          <w:iCs/>
          <w:sz w:val="20"/>
          <w:szCs w:val="20"/>
        </w:rPr>
        <w:t>]</w:t>
      </w:r>
      <w:r w:rsidR="00B72C30" w:rsidRPr="001C6FAE">
        <w:rPr>
          <w:rFonts w:cs="Times New Roman"/>
          <w:iCs/>
          <w:sz w:val="20"/>
          <w:szCs w:val="20"/>
        </w:rPr>
        <w:t>.</w:t>
      </w:r>
      <w:r w:rsidR="00B72C30" w:rsidRPr="001C6FAE">
        <w:rPr>
          <w:rFonts w:cs="Times New Roman"/>
          <w:sz w:val="20"/>
          <w:szCs w:val="20"/>
        </w:rPr>
        <w:t xml:space="preserve"> Therefore, rapid triaging of patients presenting with chest pain is needed to facilitate early initiation of appropriate treatment in patients with acute MI. Missing an ACS due to non-specific symptoms and unclear ECG does</w:t>
      </w:r>
      <w:r w:rsidR="00922291" w:rsidRPr="001C6FAE">
        <w:rPr>
          <w:rFonts w:cs="Times New Roman"/>
          <w:sz w:val="20"/>
          <w:szCs w:val="20"/>
        </w:rPr>
        <w:t>, m</w:t>
      </w:r>
      <w:r w:rsidR="00B72C30" w:rsidRPr="001C6FAE">
        <w:rPr>
          <w:rFonts w:cs="Times New Roman"/>
          <w:sz w:val="20"/>
          <w:szCs w:val="20"/>
        </w:rPr>
        <w:t>ay lead to excess morbidity and mortality that could have been prevented with optimal treatment</w:t>
      </w:r>
      <w:r w:rsidR="00727044" w:rsidRPr="001C6FAE">
        <w:rPr>
          <w:rFonts w:cs="Times New Roman"/>
          <w:sz w:val="20"/>
          <w:szCs w:val="20"/>
        </w:rPr>
        <w:t>.</w:t>
      </w:r>
      <w:r w:rsidR="00B72C30" w:rsidRPr="001C6FAE">
        <w:rPr>
          <w:rFonts w:cs="Times New Roman"/>
          <w:sz w:val="20"/>
          <w:szCs w:val="20"/>
        </w:rPr>
        <w:t xml:space="preserve"> H-FABP is released rapidly from the myocardium into the blood stream </w:t>
      </w:r>
      <w:r w:rsidR="00B72C30" w:rsidRPr="001C6FAE">
        <w:rPr>
          <w:rFonts w:cs="Times New Roman"/>
          <w:sz w:val="20"/>
          <w:szCs w:val="20"/>
        </w:rPr>
        <w:lastRenderedPageBreak/>
        <w:t xml:space="preserve">after ischemic </w:t>
      </w:r>
      <w:r w:rsidRPr="001C6FAE">
        <w:rPr>
          <w:rFonts w:cs="Times New Roman"/>
          <w:sz w:val="20"/>
          <w:szCs w:val="20"/>
        </w:rPr>
        <w:t xml:space="preserve">injury. </w:t>
      </w:r>
      <w:r w:rsidR="00B72C30" w:rsidRPr="001C6FAE">
        <w:rPr>
          <w:rFonts w:cs="Times New Roman"/>
          <w:sz w:val="20"/>
          <w:szCs w:val="20"/>
        </w:rPr>
        <w:t xml:space="preserve">Since H-FABP is a smaller molecule than </w:t>
      </w:r>
      <w:proofErr w:type="spellStart"/>
      <w:r w:rsidR="00B72C30" w:rsidRPr="001C6FAE">
        <w:rPr>
          <w:rFonts w:cs="Times New Roman"/>
          <w:sz w:val="20"/>
          <w:szCs w:val="20"/>
        </w:rPr>
        <w:t>myoglobin</w:t>
      </w:r>
      <w:proofErr w:type="spellEnd"/>
      <w:r w:rsidR="00B72C30" w:rsidRPr="001C6FAE">
        <w:rPr>
          <w:rFonts w:cs="Times New Roman"/>
          <w:sz w:val="20"/>
          <w:szCs w:val="20"/>
        </w:rPr>
        <w:t xml:space="preserve">, </w:t>
      </w:r>
      <w:proofErr w:type="spellStart"/>
      <w:r w:rsidR="00B72C30" w:rsidRPr="001C6FAE">
        <w:rPr>
          <w:rFonts w:cs="Times New Roman"/>
          <w:sz w:val="20"/>
          <w:szCs w:val="20"/>
        </w:rPr>
        <w:t>cTnI</w:t>
      </w:r>
      <w:proofErr w:type="spellEnd"/>
      <w:r w:rsidR="00B72C30" w:rsidRPr="001C6FAE">
        <w:rPr>
          <w:rFonts w:cs="Times New Roman"/>
          <w:sz w:val="20"/>
          <w:szCs w:val="20"/>
        </w:rPr>
        <w:t xml:space="preserve">, and CK-MB, it peaks earlier than these other molecules when there is </w:t>
      </w:r>
      <w:proofErr w:type="spellStart"/>
      <w:r w:rsidR="00B72C30" w:rsidRPr="001C6FAE">
        <w:rPr>
          <w:rFonts w:cs="Times New Roman"/>
          <w:sz w:val="20"/>
          <w:szCs w:val="20"/>
        </w:rPr>
        <w:t>cardiomyocyte</w:t>
      </w:r>
      <w:proofErr w:type="spellEnd"/>
      <w:r w:rsidR="00B72C30" w:rsidRPr="001C6FAE">
        <w:rPr>
          <w:rFonts w:cs="Times New Roman"/>
          <w:sz w:val="20"/>
          <w:szCs w:val="20"/>
        </w:rPr>
        <w:t xml:space="preserve"> </w:t>
      </w:r>
      <w:r w:rsidR="00612B36" w:rsidRPr="001C6FAE">
        <w:rPr>
          <w:rFonts w:cs="Times New Roman"/>
          <w:sz w:val="20"/>
          <w:szCs w:val="20"/>
        </w:rPr>
        <w:t>damage [</w:t>
      </w:r>
      <w:r w:rsidR="00596F07" w:rsidRPr="001C6FAE">
        <w:rPr>
          <w:rFonts w:cs="Times New Roman"/>
          <w:sz w:val="20"/>
          <w:szCs w:val="20"/>
        </w:rPr>
        <w:t>9]</w:t>
      </w:r>
      <w:r w:rsidR="00B72C30" w:rsidRPr="001C6FAE">
        <w:rPr>
          <w:rFonts w:cs="Times New Roman"/>
          <w:sz w:val="20"/>
          <w:szCs w:val="20"/>
        </w:rPr>
        <w:t xml:space="preserve">. In an attempt to investigate whether studied cardiac markers can differentiate between AMI and UA </w:t>
      </w:r>
      <w:r w:rsidRPr="001C6FAE">
        <w:rPr>
          <w:rFonts w:cs="Times New Roman"/>
          <w:sz w:val="20"/>
          <w:szCs w:val="20"/>
        </w:rPr>
        <w:t>groups,</w:t>
      </w:r>
      <w:r w:rsidR="00B72C30" w:rsidRPr="001C6FAE">
        <w:rPr>
          <w:rFonts w:cs="Times New Roman"/>
          <w:sz w:val="20"/>
          <w:szCs w:val="20"/>
        </w:rPr>
        <w:t xml:space="preserve"> this study found a cutoff value for serum H-</w:t>
      </w:r>
      <w:r w:rsidRPr="001C6FAE">
        <w:rPr>
          <w:rFonts w:cs="Times New Roman"/>
          <w:sz w:val="20"/>
          <w:szCs w:val="20"/>
        </w:rPr>
        <w:t>FABP of</w:t>
      </w:r>
      <w:r w:rsidR="00B72C30" w:rsidRPr="001C6FAE">
        <w:rPr>
          <w:rFonts w:cs="Times New Roman"/>
          <w:sz w:val="20"/>
          <w:szCs w:val="20"/>
        </w:rPr>
        <w:t xml:space="preserve"> 22.3ng/ml gives a sensitivity of 86% and a specificity of 80% for differentiation between AMI and UA groups.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="00B72C30" w:rsidRPr="001C6FAE">
        <w:rPr>
          <w:rFonts w:cs="Times New Roman"/>
          <w:sz w:val="20"/>
          <w:szCs w:val="20"/>
        </w:rPr>
        <w:t>Myoglobin</w:t>
      </w:r>
      <w:proofErr w:type="spellEnd"/>
      <w:r w:rsidR="00B72C30" w:rsidRPr="001C6FAE">
        <w:rPr>
          <w:rFonts w:cs="Times New Roman"/>
          <w:sz w:val="20"/>
          <w:szCs w:val="20"/>
        </w:rPr>
        <w:t xml:space="preserve"> &amp; H-FABP have been relied on particularly for their negative predictive </w:t>
      </w:r>
      <w:r w:rsidRPr="001C6FAE">
        <w:rPr>
          <w:rFonts w:cs="Times New Roman"/>
          <w:sz w:val="20"/>
          <w:szCs w:val="20"/>
        </w:rPr>
        <w:t xml:space="preserve">value. </w:t>
      </w:r>
      <w:r w:rsidR="00B72C30" w:rsidRPr="001C6FAE">
        <w:rPr>
          <w:rFonts w:cs="Times New Roman"/>
          <w:sz w:val="20"/>
          <w:szCs w:val="20"/>
        </w:rPr>
        <w:t xml:space="preserve">Recent data suggest that with modern contemporary sensitive assays and sensitive cutoffs for </w:t>
      </w:r>
      <w:proofErr w:type="spellStart"/>
      <w:r w:rsidR="00B72C30" w:rsidRPr="001C6FAE">
        <w:rPr>
          <w:rFonts w:cs="Times New Roman"/>
          <w:sz w:val="20"/>
          <w:szCs w:val="20"/>
        </w:rPr>
        <w:t>cTnI</w:t>
      </w:r>
      <w:proofErr w:type="spellEnd"/>
      <w:r w:rsidR="00727044" w:rsidRPr="001C6FAE">
        <w:rPr>
          <w:rFonts w:cs="Times New Roman"/>
          <w:sz w:val="20"/>
          <w:szCs w:val="20"/>
        </w:rPr>
        <w:t>,</w:t>
      </w:r>
      <w:r w:rsidR="00B72C30" w:rsidRPr="001C6FAE">
        <w:rPr>
          <w:rFonts w:cs="Times New Roman"/>
          <w:sz w:val="20"/>
          <w:szCs w:val="20"/>
        </w:rPr>
        <w:t xml:space="preserve"> </w:t>
      </w:r>
      <w:proofErr w:type="spellStart"/>
      <w:r w:rsidR="00B72C30" w:rsidRPr="001C6FAE">
        <w:rPr>
          <w:rFonts w:cs="Times New Roman"/>
          <w:sz w:val="20"/>
          <w:szCs w:val="20"/>
        </w:rPr>
        <w:t>cTnI</w:t>
      </w:r>
      <w:proofErr w:type="spellEnd"/>
      <w:r w:rsidR="00B72C30" w:rsidRPr="001C6FAE">
        <w:rPr>
          <w:rFonts w:cs="Times New Roman"/>
          <w:sz w:val="20"/>
          <w:szCs w:val="20"/>
        </w:rPr>
        <w:t xml:space="preserve"> can assume this role </w:t>
      </w:r>
      <w:r w:rsidR="00596F07" w:rsidRPr="001C6FAE">
        <w:rPr>
          <w:rFonts w:cs="Times New Roman"/>
          <w:sz w:val="20"/>
          <w:szCs w:val="20"/>
        </w:rPr>
        <w:t>[10]</w:t>
      </w:r>
      <w:r w:rsidR="00922291" w:rsidRPr="001C6FAE">
        <w:rPr>
          <w:rFonts w:cs="Times New Roman"/>
          <w:sz w:val="20"/>
          <w:szCs w:val="20"/>
        </w:rPr>
        <w:t>. T</w:t>
      </w:r>
      <w:r w:rsidR="00B72C30" w:rsidRPr="001C6FAE">
        <w:rPr>
          <w:rFonts w:cs="Times New Roman"/>
          <w:sz w:val="20"/>
          <w:szCs w:val="20"/>
        </w:rPr>
        <w:t xml:space="preserve">his is confirmed by this study. </w:t>
      </w:r>
      <w:r w:rsidR="00B72C30" w:rsidRPr="001C6FAE">
        <w:rPr>
          <w:rFonts w:cs="Times New Roman"/>
          <w:i/>
          <w:sz w:val="20"/>
          <w:szCs w:val="20"/>
        </w:rPr>
        <w:t>Newby 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B72C30" w:rsidRPr="001C6FAE">
        <w:rPr>
          <w:rFonts w:cs="Times New Roman"/>
          <w:i/>
          <w:sz w:val="20"/>
          <w:szCs w:val="20"/>
        </w:rPr>
        <w:t>(2006</w:t>
      </w:r>
      <w:proofErr w:type="gramStart"/>
      <w:r w:rsidR="00B72C30" w:rsidRPr="001C6FAE">
        <w:rPr>
          <w:rFonts w:cs="Times New Roman"/>
          <w:i/>
          <w:sz w:val="20"/>
          <w:szCs w:val="20"/>
        </w:rPr>
        <w:t>)</w:t>
      </w:r>
      <w:r w:rsidR="00596F07" w:rsidRPr="001C6FAE">
        <w:rPr>
          <w:rFonts w:cs="Times New Roman"/>
          <w:iCs/>
          <w:sz w:val="20"/>
          <w:szCs w:val="20"/>
        </w:rPr>
        <w:t>[</w:t>
      </w:r>
      <w:proofErr w:type="gramEnd"/>
      <w:r w:rsidR="00596F07" w:rsidRPr="001C6FAE">
        <w:rPr>
          <w:rFonts w:cs="Times New Roman"/>
          <w:iCs/>
          <w:sz w:val="20"/>
          <w:szCs w:val="20"/>
        </w:rPr>
        <w:t>11]</w:t>
      </w:r>
      <w:r w:rsidR="001C6FAE">
        <w:rPr>
          <w:rFonts w:eastAsiaTheme="minorEastAsia" w:cs="Times New Roman" w:hint="eastAsia"/>
          <w:iCs/>
          <w:sz w:val="20"/>
          <w:szCs w:val="20"/>
          <w:lang w:eastAsia="zh-CN"/>
        </w:rPr>
        <w:t xml:space="preserve"> </w:t>
      </w:r>
      <w:r w:rsidR="00B72C30" w:rsidRPr="001C6FAE">
        <w:rPr>
          <w:rFonts w:cs="Times New Roman"/>
          <w:sz w:val="20"/>
          <w:szCs w:val="20"/>
        </w:rPr>
        <w:t>reported that</w:t>
      </w:r>
      <w:r w:rsidR="00727044" w:rsidRPr="001C6FAE">
        <w:rPr>
          <w:rFonts w:cs="Times New Roman"/>
          <w:sz w:val="20"/>
          <w:szCs w:val="20"/>
        </w:rPr>
        <w:t>,</w:t>
      </w:r>
      <w:r w:rsidR="00B72C30" w:rsidRPr="001C6FAE">
        <w:rPr>
          <w:rFonts w:cs="Times New Roman"/>
          <w:sz w:val="20"/>
          <w:szCs w:val="20"/>
        </w:rPr>
        <w:t xml:space="preserve"> the cardio</w:t>
      </w:r>
      <w:r w:rsidR="00E07D05" w:rsidRPr="001C6FAE">
        <w:rPr>
          <w:rFonts w:cs="Times New Roman"/>
          <w:sz w:val="20"/>
          <w:szCs w:val="20"/>
        </w:rPr>
        <w:t>-</w:t>
      </w:r>
      <w:r w:rsidR="00B72C30" w:rsidRPr="001C6FAE">
        <w:rPr>
          <w:rFonts w:cs="Times New Roman"/>
          <w:sz w:val="20"/>
          <w:szCs w:val="20"/>
        </w:rPr>
        <w:t>specificity of CK-MB is not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B72C30" w:rsidRPr="001C6FAE">
        <w:rPr>
          <w:rFonts w:cs="Times New Roman"/>
          <w:sz w:val="20"/>
          <w:szCs w:val="20"/>
        </w:rPr>
        <w:t xml:space="preserve">100%. False-positive elevations occur in a number of clinical settings, including trauma, heavy exertion, and </w:t>
      </w:r>
      <w:proofErr w:type="spellStart"/>
      <w:r w:rsidR="00B72C30" w:rsidRPr="001C6FAE">
        <w:rPr>
          <w:rFonts w:cs="Times New Roman"/>
          <w:sz w:val="20"/>
          <w:szCs w:val="20"/>
        </w:rPr>
        <w:t>myopathy</w:t>
      </w:r>
      <w:proofErr w:type="spellEnd"/>
      <w:r w:rsidR="00B72C30" w:rsidRPr="001C6FAE">
        <w:rPr>
          <w:rFonts w:cs="Times New Roman"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 In this study,</w:t>
      </w:r>
      <w:r w:rsidR="00612B36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for differentiation between UA group &amp; NCCP </w:t>
      </w:r>
      <w:r w:rsidR="00612B36" w:rsidRPr="001C6FAE">
        <w:rPr>
          <w:rFonts w:cs="Times New Roman"/>
          <w:sz w:val="20"/>
          <w:szCs w:val="20"/>
        </w:rPr>
        <w:t>group,</w:t>
      </w:r>
      <w:r w:rsidR="003B6674" w:rsidRPr="001C6FAE">
        <w:rPr>
          <w:rFonts w:cs="Times New Roman"/>
          <w:sz w:val="20"/>
          <w:szCs w:val="20"/>
        </w:rPr>
        <w:t xml:space="preserve"> the reported cutoff values of the studied cardiac markers demonstrate that </w:t>
      </w:r>
      <w:proofErr w:type="spellStart"/>
      <w:r w:rsidR="003B6674" w:rsidRPr="001C6FAE">
        <w:rPr>
          <w:rFonts w:cs="Times New Roman"/>
          <w:sz w:val="20"/>
          <w:szCs w:val="20"/>
        </w:rPr>
        <w:t>cTn</w:t>
      </w:r>
      <w:proofErr w:type="spellEnd"/>
      <w:r w:rsidR="003B6674" w:rsidRPr="001C6FAE">
        <w:rPr>
          <w:rFonts w:cs="Times New Roman"/>
          <w:sz w:val="20"/>
          <w:szCs w:val="20"/>
        </w:rPr>
        <w:t>-I has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the highest </w:t>
      </w:r>
      <w:r w:rsidR="00612B36" w:rsidRPr="001C6FAE">
        <w:rPr>
          <w:rFonts w:cs="Times New Roman"/>
          <w:sz w:val="20"/>
          <w:szCs w:val="20"/>
        </w:rPr>
        <w:t>specificity,</w:t>
      </w:r>
      <w:r w:rsidR="003B6674" w:rsidRPr="001C6FAE">
        <w:rPr>
          <w:rFonts w:cs="Times New Roman"/>
          <w:sz w:val="20"/>
          <w:szCs w:val="20"/>
        </w:rPr>
        <w:t xml:space="preserve"> PPV, NPV and accuracy while has the same sensitivity as H</w:t>
      </w:r>
      <w:r w:rsidR="00E07D05" w:rsidRPr="001C6FAE">
        <w:rPr>
          <w:rFonts w:cs="Times New Roman"/>
          <w:sz w:val="20"/>
          <w:szCs w:val="20"/>
        </w:rPr>
        <w:t>-</w:t>
      </w:r>
      <w:r w:rsidR="00612B36" w:rsidRPr="001C6FAE">
        <w:rPr>
          <w:rFonts w:cs="Times New Roman"/>
          <w:sz w:val="20"/>
          <w:szCs w:val="20"/>
        </w:rPr>
        <w:t xml:space="preserve">FABP. </w:t>
      </w:r>
      <w:r w:rsidR="003B6674" w:rsidRPr="001C6FAE">
        <w:rPr>
          <w:rFonts w:cs="Times New Roman"/>
          <w:sz w:val="20"/>
          <w:szCs w:val="20"/>
        </w:rPr>
        <w:t xml:space="preserve">It was found that H-FABP perform better than or similar to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r w:rsidR="00596F07" w:rsidRPr="001C6FAE">
        <w:rPr>
          <w:rFonts w:cs="Times New Roman"/>
          <w:sz w:val="20"/>
          <w:szCs w:val="20"/>
        </w:rPr>
        <w:t>[12]</w:t>
      </w:r>
      <w:r w:rsidR="003B6674" w:rsidRPr="001C6FAE">
        <w:rPr>
          <w:rFonts w:cs="Times New Roman"/>
          <w:sz w:val="20"/>
          <w:szCs w:val="20"/>
        </w:rPr>
        <w:t>.</w:t>
      </w:r>
      <w:r w:rsidR="003B6674" w:rsidRPr="001C6FAE">
        <w:rPr>
          <w:rFonts w:cs="Times New Roman"/>
          <w:i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Alansari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and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Croal</w:t>
      </w:r>
      <w:proofErr w:type="spellEnd"/>
      <w:r w:rsidR="003B6674" w:rsidRPr="001C6FAE">
        <w:rPr>
          <w:rFonts w:cs="Times New Roman"/>
          <w:i/>
          <w:sz w:val="20"/>
          <w:szCs w:val="20"/>
        </w:rPr>
        <w:t>,</w:t>
      </w:r>
      <w:r w:rsidR="00612B36" w:rsidRPr="001C6FAE">
        <w:rPr>
          <w:rFonts w:cs="Times New Roman" w:hint="cs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(2004</w:t>
      </w:r>
      <w:proofErr w:type="gramStart"/>
      <w:r w:rsidR="003B6674" w:rsidRPr="001C6FAE">
        <w:rPr>
          <w:rFonts w:cs="Times New Roman"/>
          <w:i/>
          <w:sz w:val="20"/>
          <w:szCs w:val="20"/>
        </w:rPr>
        <w:t>)</w:t>
      </w:r>
      <w:r w:rsidR="00AA55BB" w:rsidRPr="001C6FAE">
        <w:rPr>
          <w:rFonts w:cs="Times New Roman"/>
          <w:iCs/>
          <w:sz w:val="20"/>
          <w:szCs w:val="20"/>
        </w:rPr>
        <w:t>[</w:t>
      </w:r>
      <w:proofErr w:type="gramEnd"/>
      <w:r w:rsidR="00AA55BB" w:rsidRPr="001C6FAE">
        <w:rPr>
          <w:rFonts w:cs="Times New Roman"/>
          <w:iCs/>
          <w:sz w:val="20"/>
          <w:szCs w:val="20"/>
        </w:rPr>
        <w:t>13]</w:t>
      </w:r>
      <w:r w:rsidR="001C6FAE">
        <w:rPr>
          <w:rFonts w:eastAsiaTheme="minorEastAsia" w:cs="Times New Roman" w:hint="eastAsia"/>
          <w:iCs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suggested that H-FABP and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provide little clinical value, </w:t>
      </w:r>
      <w:r w:rsidR="003B6674" w:rsidRPr="001C6FAE">
        <w:rPr>
          <w:rFonts w:cs="Times New Roman"/>
          <w:sz w:val="20"/>
          <w:szCs w:val="20"/>
        </w:rPr>
        <w:lastRenderedPageBreak/>
        <w:t xml:space="preserve">compared to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>, when measured at presentation in patients presenting with chest pain (3-12 h). For differentiation between AMI cases of 0 – 3 hours onset and non</w:t>
      </w:r>
      <w:r w:rsidR="00E07D05" w:rsidRPr="001C6FAE">
        <w:rPr>
          <w:rFonts w:cs="Times New Roman"/>
          <w:sz w:val="20"/>
          <w:szCs w:val="20"/>
        </w:rPr>
        <w:t>-</w:t>
      </w:r>
      <w:r w:rsidR="003B6674" w:rsidRPr="001C6FAE">
        <w:rPr>
          <w:rFonts w:cs="Times New Roman"/>
          <w:sz w:val="20"/>
          <w:szCs w:val="20"/>
        </w:rPr>
        <w:t xml:space="preserve">AMI cases of 0-4 </w:t>
      </w:r>
      <w:proofErr w:type="gramStart"/>
      <w:r w:rsidR="003B6674" w:rsidRPr="001C6FAE">
        <w:rPr>
          <w:rFonts w:cs="Times New Roman"/>
          <w:sz w:val="20"/>
          <w:szCs w:val="20"/>
        </w:rPr>
        <w:t>hours</w:t>
      </w:r>
      <w:proofErr w:type="gramEnd"/>
      <w:r w:rsidR="003B6674" w:rsidRPr="001C6FAE">
        <w:rPr>
          <w:rFonts w:cs="Times New Roman"/>
          <w:sz w:val="20"/>
          <w:szCs w:val="20"/>
        </w:rPr>
        <w:t xml:space="preserve"> onset, the reported cutoff values of the studied cardiac markers demonstrate that H-FABP has the same sensitivity as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&amp; CK-MB but has higher sensitivity than </w:t>
      </w:r>
      <w:proofErr w:type="spellStart"/>
      <w:r w:rsidR="007731E5" w:rsidRPr="001C6FAE">
        <w:rPr>
          <w:rFonts w:cs="Times New Roman"/>
          <w:sz w:val="20"/>
          <w:szCs w:val="20"/>
        </w:rPr>
        <w:t>myoglobin</w:t>
      </w:r>
      <w:proofErr w:type="spellEnd"/>
      <w:r w:rsidR="007731E5" w:rsidRPr="001C6FAE">
        <w:rPr>
          <w:rFonts w:cs="Times New Roman"/>
          <w:sz w:val="20"/>
          <w:szCs w:val="20"/>
        </w:rPr>
        <w:t xml:space="preserve"> while</w:t>
      </w:r>
      <w:r w:rsidR="003B6674" w:rsidRPr="001C6FAE">
        <w:rPr>
          <w:rFonts w:cs="Times New Roman"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has the highest </w:t>
      </w:r>
      <w:r w:rsidR="007731E5" w:rsidRPr="001C6FAE">
        <w:rPr>
          <w:rFonts w:cs="Times New Roman"/>
          <w:sz w:val="20"/>
          <w:szCs w:val="20"/>
        </w:rPr>
        <w:t>specificity,</w:t>
      </w:r>
      <w:r w:rsidR="003B6674" w:rsidRPr="001C6FAE">
        <w:rPr>
          <w:rFonts w:cs="Times New Roman"/>
          <w:sz w:val="20"/>
          <w:szCs w:val="20"/>
        </w:rPr>
        <w:t xml:space="preserve"> PPV, NPV and accuracy.</w:t>
      </w:r>
      <w:r w:rsidR="00612B36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This study showed that the cut off value of H-FABP for the diagnosis of AMI from cases of acute chest pain within 3 hours of onset was </w:t>
      </w:r>
      <w:proofErr w:type="gramStart"/>
      <w:r w:rsidR="003B6674" w:rsidRPr="001C6FAE">
        <w:rPr>
          <w:rFonts w:cs="Times New Roman"/>
          <w:sz w:val="20"/>
          <w:szCs w:val="20"/>
        </w:rPr>
        <w:t xml:space="preserve">22.35 </w:t>
      </w:r>
      <w:proofErr w:type="spellStart"/>
      <w:r w:rsidR="003B6674" w:rsidRPr="001C6FAE">
        <w:rPr>
          <w:rFonts w:cs="Times New Roman"/>
          <w:sz w:val="20"/>
          <w:szCs w:val="20"/>
        </w:rPr>
        <w:t>ng</w:t>
      </w:r>
      <w:proofErr w:type="spellEnd"/>
      <w:r w:rsidR="003B6674" w:rsidRPr="001C6FAE">
        <w:rPr>
          <w:rFonts w:cs="Times New Roman"/>
          <w:sz w:val="20"/>
          <w:szCs w:val="20"/>
        </w:rPr>
        <w:t>/</w:t>
      </w:r>
      <w:r w:rsidR="0028127F" w:rsidRPr="001C6FAE">
        <w:rPr>
          <w:rFonts w:cs="Times New Roman"/>
          <w:sz w:val="20"/>
          <w:szCs w:val="20"/>
        </w:rPr>
        <w:t>ml</w:t>
      </w:r>
      <w:proofErr w:type="gramEnd"/>
      <w:r w:rsidR="0028127F" w:rsidRPr="001C6FAE">
        <w:rPr>
          <w:rFonts w:cs="Times New Roman"/>
          <w:sz w:val="20"/>
          <w:szCs w:val="20"/>
        </w:rPr>
        <w:t xml:space="preserve">. </w:t>
      </w:r>
      <w:r w:rsidR="003B6674" w:rsidRPr="001C6FAE">
        <w:rPr>
          <w:rFonts w:cs="Times New Roman"/>
          <w:sz w:val="20"/>
          <w:szCs w:val="20"/>
        </w:rPr>
        <w:t xml:space="preserve">At this cut off value the sensitivity of H-FABP is equal to that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and CK-MB and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superior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to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that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of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similar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to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that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reported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by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Cavus</w:t>
      </w:r>
      <w:proofErr w:type="spellEnd"/>
      <w:r w:rsidR="0028127F" w:rsidRPr="001C6FAE">
        <w:rPr>
          <w:rFonts w:cs="Times New Roman" w:hint="cs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et</w:t>
      </w:r>
      <w:r w:rsidR="0028127F" w:rsidRPr="001C6FAE">
        <w:rPr>
          <w:rFonts w:cs="Times New Roman" w:hint="cs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al.,</w:t>
      </w:r>
      <w:r w:rsidR="0028127F" w:rsidRPr="001C6FAE">
        <w:rPr>
          <w:rFonts w:cs="Times New Roman" w:hint="cs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(2006</w:t>
      </w:r>
      <w:r w:rsidR="00AA55BB" w:rsidRPr="001C6FAE">
        <w:rPr>
          <w:rFonts w:cs="Times New Roman"/>
          <w:i/>
          <w:sz w:val="20"/>
          <w:szCs w:val="20"/>
        </w:rPr>
        <w:t xml:space="preserve">) </w:t>
      </w:r>
      <w:r w:rsidR="00AA55BB" w:rsidRPr="001C6FAE">
        <w:rPr>
          <w:rFonts w:cs="Times New Roman"/>
          <w:iCs/>
          <w:sz w:val="20"/>
          <w:szCs w:val="20"/>
        </w:rPr>
        <w:t>[14]</w:t>
      </w:r>
      <w:r w:rsidR="003B6674" w:rsidRPr="001C6FAE">
        <w:rPr>
          <w:rFonts w:cs="Times New Roman"/>
          <w:i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 The present study showed that within the 0-3 hours of acute chest pain H- FABP has specificity more than CK-MB. This comes in line with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Cavus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 al.</w:t>
      </w:r>
      <w:r w:rsidR="00727044" w:rsidRPr="001C6FAE">
        <w:rPr>
          <w:rFonts w:cs="Times New Roman"/>
          <w:i/>
          <w:sz w:val="20"/>
          <w:szCs w:val="20"/>
        </w:rPr>
        <w:t>,</w:t>
      </w:r>
      <w:r w:rsidR="003B6674" w:rsidRPr="001C6FAE">
        <w:rPr>
          <w:rFonts w:cs="Times New Roman"/>
          <w:i/>
          <w:sz w:val="20"/>
          <w:szCs w:val="20"/>
        </w:rPr>
        <w:t xml:space="preserve"> (2006)</w:t>
      </w:r>
      <w:r w:rsidR="00F15C50" w:rsidRPr="001C6FAE">
        <w:rPr>
          <w:rFonts w:cs="Times New Roman"/>
          <w:iCs/>
          <w:sz w:val="20"/>
          <w:szCs w:val="20"/>
        </w:rPr>
        <w:t xml:space="preserve"> [14]</w:t>
      </w:r>
      <w:r w:rsidR="00922291" w:rsidRPr="001C6FAE">
        <w:rPr>
          <w:rFonts w:cs="Times New Roman"/>
          <w:i/>
          <w:sz w:val="20"/>
          <w:szCs w:val="20"/>
        </w:rPr>
        <w:t xml:space="preserve">. </w:t>
      </w:r>
      <w:r w:rsidR="00922291" w:rsidRPr="001C6FAE">
        <w:rPr>
          <w:rFonts w:cs="Times New Roman"/>
          <w:sz w:val="20"/>
          <w:szCs w:val="20"/>
        </w:rPr>
        <w:t>W</w:t>
      </w:r>
      <w:r w:rsidR="003B6674" w:rsidRPr="001C6FAE">
        <w:rPr>
          <w:rFonts w:cs="Times New Roman"/>
          <w:sz w:val="20"/>
          <w:szCs w:val="20"/>
        </w:rPr>
        <w:t xml:space="preserve">hereas the specificity of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was superior to that of H-FABP similar to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Pasaoglu</w:t>
      </w:r>
      <w:proofErr w:type="spellEnd"/>
      <w:r w:rsidR="00727044" w:rsidRPr="001C6FAE">
        <w:rPr>
          <w:rFonts w:cs="Times New Roman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(2007</w:t>
      </w:r>
      <w:proofErr w:type="gramStart"/>
      <w:r w:rsidR="003B6674" w:rsidRPr="001C6FAE">
        <w:rPr>
          <w:rFonts w:cs="Times New Roman"/>
          <w:i/>
          <w:sz w:val="20"/>
          <w:szCs w:val="20"/>
        </w:rPr>
        <w:t>)</w:t>
      </w:r>
      <w:r w:rsidR="00F15C50" w:rsidRPr="001C6FAE">
        <w:rPr>
          <w:rFonts w:cs="Times New Roman"/>
          <w:iCs/>
          <w:sz w:val="20"/>
          <w:szCs w:val="20"/>
        </w:rPr>
        <w:t>[</w:t>
      </w:r>
      <w:proofErr w:type="gramEnd"/>
      <w:r w:rsidR="00F15C50" w:rsidRPr="001C6FAE">
        <w:rPr>
          <w:rFonts w:cs="Times New Roman"/>
          <w:iCs/>
          <w:sz w:val="20"/>
          <w:szCs w:val="20"/>
        </w:rPr>
        <w:t>9]</w:t>
      </w:r>
      <w:r w:rsidR="003B6674" w:rsidRPr="001C6FAE">
        <w:rPr>
          <w:rFonts w:cs="Times New Roman"/>
          <w:i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 In another study</w:t>
      </w:r>
      <w:r w:rsidR="00922291" w:rsidRPr="001C6FAE">
        <w:rPr>
          <w:rFonts w:cs="Times New Roman"/>
          <w:sz w:val="20"/>
          <w:szCs w:val="20"/>
        </w:rPr>
        <w:t>, i</w:t>
      </w:r>
      <w:r w:rsidR="003B6674" w:rsidRPr="001C6FAE">
        <w:rPr>
          <w:rFonts w:cs="Times New Roman"/>
          <w:sz w:val="20"/>
          <w:szCs w:val="20"/>
        </w:rPr>
        <w:t>n patients within 3 hours of symptom onset, sensitivity level for H-FABP was 100%</w:t>
      </w:r>
      <w:r w:rsidR="00727044" w:rsidRPr="001C6FAE">
        <w:rPr>
          <w:rFonts w:cs="Times New Roman"/>
          <w:sz w:val="20"/>
          <w:szCs w:val="20"/>
        </w:rPr>
        <w:t>,</w:t>
      </w:r>
      <w:r w:rsidR="003B6674" w:rsidRPr="001C6FAE">
        <w:rPr>
          <w:rFonts w:cs="Times New Roman"/>
          <w:sz w:val="20"/>
          <w:szCs w:val="20"/>
        </w:rPr>
        <w:t xml:space="preserve"> specificity level was 63%</w:t>
      </w:r>
      <w:r w:rsidR="00727044" w:rsidRPr="001C6FAE">
        <w:rPr>
          <w:rFonts w:cs="Times New Roman"/>
          <w:sz w:val="20"/>
          <w:szCs w:val="20"/>
        </w:rPr>
        <w:t>,</w:t>
      </w:r>
      <w:r w:rsidR="003B6674" w:rsidRPr="001C6FAE">
        <w:rPr>
          <w:rFonts w:cs="Times New Roman"/>
          <w:sz w:val="20"/>
          <w:szCs w:val="20"/>
        </w:rPr>
        <w:t xml:space="preserve"> and negative predictive value was 100</w:t>
      </w:r>
      <w:proofErr w:type="gramStart"/>
      <w:r w:rsidR="003B6674" w:rsidRPr="001C6FAE">
        <w:rPr>
          <w:rFonts w:cs="Times New Roman"/>
          <w:sz w:val="20"/>
          <w:szCs w:val="20"/>
        </w:rPr>
        <w:t>%</w:t>
      </w:r>
      <w:r w:rsidR="005A64F2" w:rsidRPr="001C6FAE">
        <w:rPr>
          <w:rFonts w:cs="Times New Roman"/>
          <w:sz w:val="20"/>
          <w:szCs w:val="20"/>
        </w:rPr>
        <w:t>[</w:t>
      </w:r>
      <w:proofErr w:type="gramEnd"/>
      <w:r w:rsidR="005A64F2" w:rsidRPr="001C6FAE">
        <w:rPr>
          <w:rFonts w:cs="Times New Roman"/>
          <w:sz w:val="20"/>
          <w:szCs w:val="20"/>
        </w:rPr>
        <w:t>15]</w:t>
      </w:r>
      <w:r w:rsidR="003B6674" w:rsidRPr="001C6FAE">
        <w:rPr>
          <w:rFonts w:cs="Times New Roman"/>
          <w:sz w:val="20"/>
          <w:szCs w:val="20"/>
        </w:rPr>
        <w:t xml:space="preserve">. The multicenter EUROCARDI trial revealed a more pronounced superiority of H-FABP to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in patients admitting to hospital early after symptom onset (0-3 hours) </w:t>
      </w:r>
      <w:r w:rsidR="005A64F2" w:rsidRPr="001C6FAE">
        <w:rPr>
          <w:rFonts w:cs="Times New Roman"/>
          <w:sz w:val="20"/>
          <w:szCs w:val="20"/>
        </w:rPr>
        <w:t>[16].</w:t>
      </w:r>
      <w:r w:rsidR="003B6674" w:rsidRPr="001C6FAE">
        <w:rPr>
          <w:rFonts w:cs="Times New Roman"/>
          <w:sz w:val="20"/>
          <w:szCs w:val="20"/>
        </w:rPr>
        <w:t xml:space="preserve"> This study showed that within 3 hours of acute chest pain the areas under the ROC curve for H-FABP and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in the AMI group was highly significant than in the non-AMI group</w:t>
      </w:r>
      <w:r w:rsidR="00E07D05" w:rsidRPr="001C6FAE">
        <w:rPr>
          <w:rFonts w:cs="Times New Roman"/>
          <w:sz w:val="20"/>
          <w:szCs w:val="20"/>
        </w:rPr>
        <w:t>s</w:t>
      </w:r>
      <w:r w:rsidR="003B6674" w:rsidRPr="001C6FAE">
        <w:rPr>
          <w:rFonts w:cs="Times New Roman"/>
          <w:sz w:val="20"/>
          <w:szCs w:val="20"/>
        </w:rPr>
        <w:t xml:space="preserve"> similar to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Pasaoglu</w:t>
      </w:r>
      <w:proofErr w:type="spellEnd"/>
      <w:r w:rsidR="00727044" w:rsidRPr="001C6FAE">
        <w:rPr>
          <w:rFonts w:cs="Times New Roman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et al.,(2007)</w:t>
      </w:r>
      <w:r w:rsidR="005A64F2" w:rsidRPr="001C6FAE">
        <w:rPr>
          <w:rFonts w:cs="Times New Roman"/>
          <w:iCs/>
          <w:sz w:val="20"/>
          <w:szCs w:val="20"/>
        </w:rPr>
        <w:t>[9]</w:t>
      </w:r>
      <w:r w:rsidR="003B6674" w:rsidRPr="001C6FAE">
        <w:rPr>
          <w:rFonts w:cs="Times New Roman"/>
          <w:i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 The current study found that within the 0-3 hours of acute chest pain the specificity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within 3 hours was superior to that of H-FABP. These results agree with that reported by </w:t>
      </w:r>
      <w:r w:rsidR="003B6674" w:rsidRPr="001C6FAE">
        <w:rPr>
          <w:rFonts w:cs="Times New Roman"/>
          <w:i/>
          <w:sz w:val="20"/>
          <w:szCs w:val="20"/>
        </w:rPr>
        <w:t>Seino et al.</w:t>
      </w:r>
      <w:proofErr w:type="gramStart"/>
      <w:r w:rsidR="00727044" w:rsidRPr="001C6FAE">
        <w:rPr>
          <w:rFonts w:cs="Times New Roman"/>
          <w:i/>
          <w:sz w:val="20"/>
          <w:szCs w:val="20"/>
        </w:rPr>
        <w:t>,</w:t>
      </w:r>
      <w:r w:rsidR="003B6674" w:rsidRPr="001C6FAE">
        <w:rPr>
          <w:rFonts w:cs="Times New Roman"/>
          <w:i/>
          <w:sz w:val="20"/>
          <w:szCs w:val="20"/>
        </w:rPr>
        <w:t>(</w:t>
      </w:r>
      <w:proofErr w:type="gramEnd"/>
      <w:r w:rsidR="003B6674" w:rsidRPr="001C6FAE">
        <w:rPr>
          <w:rFonts w:cs="Times New Roman"/>
          <w:i/>
          <w:sz w:val="20"/>
          <w:szCs w:val="20"/>
        </w:rPr>
        <w:t>2003)</w:t>
      </w:r>
      <w:r w:rsidR="005A64F2" w:rsidRPr="001C6FAE">
        <w:rPr>
          <w:rFonts w:cs="Times New Roman"/>
          <w:iCs/>
          <w:sz w:val="20"/>
          <w:szCs w:val="20"/>
        </w:rPr>
        <w:t xml:space="preserve"> [17]</w:t>
      </w:r>
      <w:r w:rsidR="00922291" w:rsidRPr="001C6FAE">
        <w:rPr>
          <w:rFonts w:cs="Times New Roman"/>
          <w:i/>
          <w:sz w:val="20"/>
          <w:szCs w:val="20"/>
        </w:rPr>
        <w:t xml:space="preserve">. </w:t>
      </w:r>
      <w:r w:rsidR="00922291" w:rsidRPr="001C6FAE">
        <w:rPr>
          <w:rFonts w:cs="Times New Roman"/>
          <w:sz w:val="20"/>
          <w:szCs w:val="20"/>
        </w:rPr>
        <w:t>A</w:t>
      </w:r>
      <w:r w:rsidR="005A64F2" w:rsidRPr="001C6FAE">
        <w:rPr>
          <w:rFonts w:cs="Times New Roman"/>
          <w:sz w:val="20"/>
          <w:szCs w:val="20"/>
        </w:rPr>
        <w:t xml:space="preserve">nother </w:t>
      </w:r>
      <w:r w:rsidR="0028127F" w:rsidRPr="001C6FAE">
        <w:rPr>
          <w:rFonts w:cs="Times New Roman"/>
          <w:sz w:val="20"/>
          <w:szCs w:val="20"/>
        </w:rPr>
        <w:t>study reported</w:t>
      </w:r>
      <w:r w:rsidR="003B6674" w:rsidRPr="001C6FAE">
        <w:rPr>
          <w:rFonts w:cs="Times New Roman"/>
          <w:sz w:val="20"/>
          <w:szCs w:val="20"/>
        </w:rPr>
        <w:t xml:space="preserve"> that patients with non-AMI myocardial damage associated with unstable angina showed positive H-FABP test results so affected the </w:t>
      </w:r>
      <w:proofErr w:type="gramStart"/>
      <w:r w:rsidR="003B6674" w:rsidRPr="001C6FAE">
        <w:rPr>
          <w:rFonts w:cs="Times New Roman"/>
          <w:sz w:val="20"/>
          <w:szCs w:val="20"/>
        </w:rPr>
        <w:t>specificity</w:t>
      </w:r>
      <w:r w:rsidR="005A64F2" w:rsidRPr="001C6FAE">
        <w:rPr>
          <w:rFonts w:cs="Times New Roman"/>
          <w:sz w:val="20"/>
          <w:szCs w:val="20"/>
        </w:rPr>
        <w:t>[</w:t>
      </w:r>
      <w:proofErr w:type="gramEnd"/>
      <w:r w:rsidR="0083637D" w:rsidRPr="001C6FAE">
        <w:rPr>
          <w:rFonts w:cs="Times New Roman"/>
          <w:sz w:val="20"/>
          <w:szCs w:val="20"/>
        </w:rPr>
        <w:t>15</w:t>
      </w:r>
      <w:r w:rsidR="005A64F2" w:rsidRPr="001C6FAE">
        <w:rPr>
          <w:rFonts w:cs="Times New Roman"/>
          <w:sz w:val="20"/>
          <w:szCs w:val="20"/>
        </w:rPr>
        <w:t>]</w:t>
      </w:r>
      <w:r w:rsidR="003B6674" w:rsidRPr="001C6FAE">
        <w:rPr>
          <w:rFonts w:cs="Times New Roman"/>
          <w:sz w:val="20"/>
          <w:szCs w:val="20"/>
        </w:rPr>
        <w:t>. This study showed that within the 0-3 hours of acute chest pain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the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specificity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is 90% close to the percentage 87.6% that reported by </w:t>
      </w:r>
      <w:r w:rsidR="003B6674" w:rsidRPr="001C6FAE">
        <w:rPr>
          <w:rFonts w:cs="Times New Roman"/>
          <w:i/>
          <w:sz w:val="20"/>
          <w:szCs w:val="20"/>
        </w:rPr>
        <w:t>McCord et al.,(2001)</w:t>
      </w:r>
      <w:r w:rsidR="00C6525F" w:rsidRPr="001C6FAE">
        <w:rPr>
          <w:rFonts w:cs="Times New Roman"/>
          <w:iCs/>
          <w:sz w:val="20"/>
          <w:szCs w:val="20"/>
        </w:rPr>
        <w:t>[18]</w:t>
      </w:r>
      <w:r w:rsidR="003B6674" w:rsidRPr="001C6FAE">
        <w:rPr>
          <w:rFonts w:cs="Times New Roman"/>
          <w:sz w:val="20"/>
          <w:szCs w:val="20"/>
        </w:rPr>
        <w:t>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The AUC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was 93.4% close to the percentage 86% that reported by </w:t>
      </w:r>
      <w:r w:rsidR="003B6674" w:rsidRPr="001C6FAE">
        <w:rPr>
          <w:rFonts w:cs="Times New Roman"/>
          <w:i/>
          <w:sz w:val="20"/>
          <w:szCs w:val="20"/>
        </w:rPr>
        <w:t>McCord 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(2001)</w:t>
      </w:r>
      <w:r w:rsidR="008B73BC" w:rsidRPr="001C6FAE">
        <w:rPr>
          <w:rFonts w:cs="Times New Roman"/>
          <w:iCs/>
          <w:sz w:val="20"/>
          <w:szCs w:val="20"/>
        </w:rPr>
        <w:t xml:space="preserve"> [18]</w:t>
      </w:r>
      <w:r w:rsidR="003B6674" w:rsidRPr="001C6FAE">
        <w:rPr>
          <w:rFonts w:cs="Times New Roman"/>
          <w:sz w:val="20"/>
          <w:szCs w:val="20"/>
        </w:rPr>
        <w:t xml:space="preserve">. </w:t>
      </w:r>
      <w:r w:rsidR="00E07D05" w:rsidRPr="001C6FAE">
        <w:rPr>
          <w:rFonts w:cs="Times New Roman"/>
          <w:sz w:val="20"/>
          <w:szCs w:val="20"/>
        </w:rPr>
        <w:t>Positive predictive value (</w:t>
      </w:r>
      <w:r w:rsidR="003B6674" w:rsidRPr="001C6FAE">
        <w:rPr>
          <w:rFonts w:cs="Times New Roman"/>
          <w:sz w:val="20"/>
          <w:szCs w:val="20"/>
        </w:rPr>
        <w:t>PPV</w:t>
      </w:r>
      <w:r w:rsidR="00E07D05" w:rsidRPr="001C6FAE">
        <w:rPr>
          <w:rFonts w:cs="Times New Roman"/>
          <w:sz w:val="20"/>
          <w:szCs w:val="20"/>
        </w:rPr>
        <w:t>)</w:t>
      </w:r>
      <w:r w:rsidR="003B6674" w:rsidRPr="001C6FAE">
        <w:rPr>
          <w:rFonts w:cs="Times New Roman"/>
          <w:sz w:val="20"/>
          <w:szCs w:val="20"/>
        </w:rPr>
        <w:t xml:space="preserve">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is 81.8% close to the percentage 78.6%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Melanson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</w:t>
      </w:r>
      <w:r w:rsidR="00612B36" w:rsidRPr="001C6FAE">
        <w:rPr>
          <w:rFonts w:cs="Times New Roman" w:hint="cs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al.</w:t>
      </w:r>
      <w:r w:rsidR="00612B36" w:rsidRPr="001C6FAE">
        <w:rPr>
          <w:rFonts w:cs="Times New Roman"/>
          <w:i/>
          <w:sz w:val="20"/>
          <w:szCs w:val="20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(2004</w:t>
      </w:r>
      <w:proofErr w:type="gramStart"/>
      <w:r w:rsidR="003B6674" w:rsidRPr="001C6FAE">
        <w:rPr>
          <w:rFonts w:cs="Times New Roman"/>
          <w:i/>
          <w:sz w:val="20"/>
          <w:szCs w:val="20"/>
        </w:rPr>
        <w:t>)</w:t>
      </w:r>
      <w:r w:rsidR="00C37DE8" w:rsidRPr="001C6FAE">
        <w:rPr>
          <w:rFonts w:cs="Times New Roman"/>
          <w:sz w:val="20"/>
          <w:szCs w:val="20"/>
        </w:rPr>
        <w:t>[</w:t>
      </w:r>
      <w:proofErr w:type="gramEnd"/>
      <w:r w:rsidR="00C37DE8" w:rsidRPr="001C6FAE">
        <w:rPr>
          <w:rFonts w:cs="Times New Roman"/>
          <w:sz w:val="20"/>
          <w:szCs w:val="20"/>
        </w:rPr>
        <w:t>19]</w:t>
      </w:r>
      <w:r w:rsidR="003B6674" w:rsidRPr="001C6FAE">
        <w:rPr>
          <w:rFonts w:cs="Times New Roman"/>
          <w:sz w:val="20"/>
          <w:szCs w:val="20"/>
        </w:rPr>
        <w:t xml:space="preserve">. This study showed that within the 0-3 hours of acute chest pain the sensitivity of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was 75.% close to the percentage 69.7% that reported by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Melanson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(2004)</w:t>
      </w:r>
      <w:r w:rsidR="00C37DE8" w:rsidRPr="001C6FAE">
        <w:rPr>
          <w:rFonts w:cs="Times New Roman"/>
          <w:sz w:val="20"/>
          <w:szCs w:val="20"/>
        </w:rPr>
        <w:t xml:space="preserve"> [19]</w:t>
      </w:r>
      <w:r w:rsidR="003B6674" w:rsidRPr="001C6FAE">
        <w:rPr>
          <w:rFonts w:cs="Times New Roman"/>
          <w:sz w:val="20"/>
          <w:szCs w:val="20"/>
        </w:rPr>
        <w:t>, and the percentage 70.8% (at admission) that reported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by </w:t>
      </w:r>
      <w:r w:rsidR="003B6674" w:rsidRPr="001C6FAE">
        <w:rPr>
          <w:rFonts w:cs="Times New Roman"/>
          <w:i/>
          <w:sz w:val="20"/>
          <w:szCs w:val="20"/>
        </w:rPr>
        <w:t>McCord et al.,(2001)</w:t>
      </w:r>
      <w:r w:rsidR="00C37DE8" w:rsidRPr="001C6FAE">
        <w:rPr>
          <w:rFonts w:cs="Times New Roman"/>
          <w:iCs/>
          <w:sz w:val="20"/>
          <w:szCs w:val="20"/>
        </w:rPr>
        <w:t xml:space="preserve"> [18]</w:t>
      </w:r>
      <w:r w:rsidR="00922291" w:rsidRPr="001C6FAE">
        <w:rPr>
          <w:rFonts w:cs="Times New Roman"/>
          <w:sz w:val="20"/>
          <w:szCs w:val="20"/>
        </w:rPr>
        <w:t>. N</w:t>
      </w:r>
      <w:r w:rsidR="00E07D05" w:rsidRPr="001C6FAE">
        <w:rPr>
          <w:rFonts w:cs="Times New Roman"/>
          <w:sz w:val="20"/>
          <w:szCs w:val="20"/>
        </w:rPr>
        <w:t>egative predictive value (</w:t>
      </w:r>
      <w:r w:rsidR="003B6674" w:rsidRPr="001C6FAE">
        <w:rPr>
          <w:rFonts w:cs="Times New Roman"/>
          <w:sz w:val="20"/>
          <w:szCs w:val="20"/>
        </w:rPr>
        <w:t>NPV</w:t>
      </w:r>
      <w:r w:rsidR="00E07D05" w:rsidRPr="001C6FAE">
        <w:rPr>
          <w:rFonts w:cs="Times New Roman"/>
          <w:sz w:val="20"/>
          <w:szCs w:val="20"/>
        </w:rPr>
        <w:t>)</w:t>
      </w:r>
      <w:r w:rsidR="003B6674" w:rsidRPr="001C6FAE">
        <w:rPr>
          <w:rFonts w:cs="Times New Roman"/>
          <w:sz w:val="20"/>
          <w:szCs w:val="20"/>
        </w:rPr>
        <w:t xml:space="preserve"> (for exclusion of AMI) of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was 83.3% similar to the percentage 83% that reported by </w:t>
      </w:r>
      <w:r w:rsidR="003B6674" w:rsidRPr="001C6FAE">
        <w:rPr>
          <w:rFonts w:cs="Times New Roman"/>
          <w:i/>
          <w:sz w:val="20"/>
          <w:szCs w:val="20"/>
        </w:rPr>
        <w:t xml:space="preserve">Montague &amp;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Kircher</w:t>
      </w:r>
      <w:proofErr w:type="spellEnd"/>
      <w:r w:rsidR="003B6674" w:rsidRPr="001C6FAE">
        <w:rPr>
          <w:rFonts w:cs="Times New Roman"/>
          <w:i/>
          <w:sz w:val="20"/>
          <w:szCs w:val="20"/>
        </w:rPr>
        <w:t>., (1995)</w:t>
      </w:r>
      <w:r w:rsidR="00C37DE8" w:rsidRPr="001C6FAE">
        <w:rPr>
          <w:rFonts w:cs="Times New Roman"/>
          <w:iCs/>
          <w:sz w:val="20"/>
          <w:szCs w:val="20"/>
        </w:rPr>
        <w:t xml:space="preserve"> [20]</w:t>
      </w:r>
      <w:r w:rsidR="00C37DE8" w:rsidRPr="001C6FAE">
        <w:rPr>
          <w:rFonts w:cs="Times New Roman"/>
          <w:i/>
          <w:sz w:val="20"/>
          <w:szCs w:val="20"/>
        </w:rPr>
        <w:t xml:space="preserve">. </w:t>
      </w:r>
      <w:r w:rsidR="003B6674" w:rsidRPr="001C6FAE">
        <w:rPr>
          <w:rFonts w:cs="Times New Roman"/>
          <w:sz w:val="20"/>
          <w:szCs w:val="20"/>
        </w:rPr>
        <w:t xml:space="preserve">AUC of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was 86</w:t>
      </w:r>
      <w:r w:rsidR="00E07D05" w:rsidRPr="001C6FAE">
        <w:rPr>
          <w:rFonts w:cs="Times New Roman"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6% similar to the </w:t>
      </w:r>
      <w:r w:rsidR="003B6674" w:rsidRPr="001C6FAE">
        <w:rPr>
          <w:rFonts w:cs="Times New Roman"/>
          <w:sz w:val="20"/>
          <w:szCs w:val="20"/>
        </w:rPr>
        <w:lastRenderedPageBreak/>
        <w:t xml:space="preserve">percentage 82% that reported by </w:t>
      </w:r>
      <w:r w:rsidR="003B6674" w:rsidRPr="001C6FAE">
        <w:rPr>
          <w:rFonts w:cs="Times New Roman"/>
          <w:i/>
          <w:sz w:val="20"/>
          <w:szCs w:val="20"/>
        </w:rPr>
        <w:t>McCord et al.,(2001)</w:t>
      </w:r>
      <w:r w:rsidR="00897504" w:rsidRPr="001C6FAE">
        <w:rPr>
          <w:rFonts w:cs="Times New Roman"/>
          <w:iCs/>
          <w:sz w:val="20"/>
          <w:szCs w:val="20"/>
        </w:rPr>
        <w:t xml:space="preserve"> [18]</w:t>
      </w:r>
      <w:r w:rsidR="003B6674" w:rsidRPr="001C6FAE">
        <w:rPr>
          <w:rFonts w:cs="Times New Roman"/>
          <w:sz w:val="20"/>
          <w:szCs w:val="20"/>
        </w:rPr>
        <w:t xml:space="preserve">, PPV of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is 81.8% close to the percentage 78.6%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Melanson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(2004)</w:t>
      </w:r>
      <w:r w:rsidR="00897504" w:rsidRPr="001C6FAE">
        <w:rPr>
          <w:rFonts w:cs="Times New Roman"/>
          <w:sz w:val="20"/>
          <w:szCs w:val="20"/>
        </w:rPr>
        <w:t xml:space="preserve"> [19]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proofErr w:type="spellStart"/>
      <w:r w:rsidR="003B6674" w:rsidRPr="001C6FAE">
        <w:rPr>
          <w:rFonts w:cs="Times New Roman"/>
          <w:sz w:val="20"/>
          <w:szCs w:val="20"/>
        </w:rPr>
        <w:t>i.e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sz w:val="20"/>
          <w:szCs w:val="20"/>
        </w:rPr>
        <w:t>cTnI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had a higher PPV than either</w:t>
      </w:r>
      <w:r w:rsidR="00612B36" w:rsidRPr="001C6FAE">
        <w:rPr>
          <w:rFonts w:cs="Times New Roman" w:hint="cs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CK-MB or </w:t>
      </w:r>
      <w:proofErr w:type="spellStart"/>
      <w:r w:rsidR="003B6674" w:rsidRPr="001C6FAE">
        <w:rPr>
          <w:rFonts w:cs="Times New Roman"/>
          <w:sz w:val="20"/>
          <w:szCs w:val="20"/>
        </w:rPr>
        <w:t>myoglobin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similar to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Melanson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 al., (2004)</w:t>
      </w:r>
      <w:r w:rsidR="00897504" w:rsidRPr="001C6FAE">
        <w:rPr>
          <w:rFonts w:cs="Times New Roman"/>
          <w:sz w:val="20"/>
          <w:szCs w:val="20"/>
        </w:rPr>
        <w:t xml:space="preserve"> [19]</w:t>
      </w:r>
      <w:r w:rsidR="00922291" w:rsidRPr="001C6FAE">
        <w:rPr>
          <w:rFonts w:cs="Times New Roman"/>
          <w:sz w:val="20"/>
          <w:szCs w:val="20"/>
        </w:rPr>
        <w:t>. S</w:t>
      </w:r>
      <w:r w:rsidR="003B6674" w:rsidRPr="001C6FAE">
        <w:rPr>
          <w:rFonts w:cs="Times New Roman"/>
          <w:sz w:val="20"/>
          <w:szCs w:val="20"/>
        </w:rPr>
        <w:t>keletal muscle injury can reduce the specificity of CK-</w:t>
      </w:r>
      <w:proofErr w:type="gramStart"/>
      <w:r w:rsidR="003B6674" w:rsidRPr="001C6FAE">
        <w:rPr>
          <w:rFonts w:cs="Times New Roman"/>
          <w:sz w:val="20"/>
          <w:szCs w:val="20"/>
        </w:rPr>
        <w:t>MB</w:t>
      </w:r>
      <w:r w:rsidR="00897504" w:rsidRPr="001C6FAE">
        <w:rPr>
          <w:rFonts w:cs="Times New Roman"/>
          <w:iCs/>
          <w:sz w:val="20"/>
          <w:szCs w:val="20"/>
        </w:rPr>
        <w:t>[</w:t>
      </w:r>
      <w:proofErr w:type="gramEnd"/>
      <w:r w:rsidR="00897504" w:rsidRPr="001C6FAE">
        <w:rPr>
          <w:rFonts w:cs="Times New Roman"/>
          <w:iCs/>
          <w:sz w:val="20"/>
          <w:szCs w:val="20"/>
        </w:rPr>
        <w:t>21]</w:t>
      </w:r>
      <w:r w:rsidR="003B6674" w:rsidRPr="001C6FAE">
        <w:rPr>
          <w:rFonts w:cs="Times New Roman"/>
          <w:i/>
          <w:sz w:val="20"/>
          <w:szCs w:val="20"/>
        </w:rPr>
        <w:t>.</w:t>
      </w:r>
      <w:r w:rsidR="003B6674" w:rsidRPr="001C6FAE">
        <w:rPr>
          <w:rFonts w:cs="Times New Roman"/>
          <w:sz w:val="20"/>
          <w:szCs w:val="20"/>
        </w:rPr>
        <w:t xml:space="preserve"> The present study observed that the cut off value of H-FABP for the diagnosis of AMI from cases of acute chest pain within 0-3 hours of </w:t>
      </w:r>
      <w:r w:rsidR="00241C39" w:rsidRPr="001C6FAE">
        <w:rPr>
          <w:rFonts w:cs="Times New Roman"/>
          <w:sz w:val="20"/>
          <w:szCs w:val="20"/>
        </w:rPr>
        <w:t>onset</w:t>
      </w:r>
      <w:r w:rsidR="003B6674" w:rsidRPr="001C6FAE">
        <w:rPr>
          <w:rFonts w:cs="Times New Roman"/>
          <w:sz w:val="20"/>
          <w:szCs w:val="20"/>
        </w:rPr>
        <w:t xml:space="preserve"> was </w:t>
      </w:r>
      <w:proofErr w:type="gramStart"/>
      <w:r w:rsidR="003B6674" w:rsidRPr="001C6FAE">
        <w:rPr>
          <w:rFonts w:cs="Times New Roman"/>
          <w:sz w:val="20"/>
          <w:szCs w:val="20"/>
        </w:rPr>
        <w:t xml:space="preserve">22.35 </w:t>
      </w:r>
      <w:proofErr w:type="spellStart"/>
      <w:r w:rsidR="003B6674" w:rsidRPr="001C6FAE">
        <w:rPr>
          <w:rFonts w:cs="Times New Roman"/>
          <w:sz w:val="20"/>
          <w:szCs w:val="20"/>
        </w:rPr>
        <w:t>ng</w:t>
      </w:r>
      <w:proofErr w:type="spellEnd"/>
      <w:r w:rsidR="003B6674" w:rsidRPr="001C6FAE">
        <w:rPr>
          <w:rFonts w:cs="Times New Roman"/>
          <w:sz w:val="20"/>
          <w:szCs w:val="20"/>
        </w:rPr>
        <w:t>/ml</w:t>
      </w:r>
      <w:proofErr w:type="gramEnd"/>
      <w:r w:rsidR="003B6674" w:rsidRPr="001C6FAE">
        <w:rPr>
          <w:rFonts w:cs="Times New Roman"/>
          <w:sz w:val="20"/>
          <w:szCs w:val="20"/>
        </w:rPr>
        <w:t>. At this cut off value the sensitivity was 86% close to the percentage 88.8% that reported by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proofErr w:type="spellStart"/>
      <w:r w:rsidR="003B6674" w:rsidRPr="001C6FAE">
        <w:rPr>
          <w:rFonts w:cs="Times New Roman"/>
          <w:sz w:val="20"/>
          <w:szCs w:val="20"/>
        </w:rPr>
        <w:t>Willemsen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et al.</w:t>
      </w:r>
      <w:r w:rsidR="00241C39" w:rsidRPr="001C6FAE">
        <w:rPr>
          <w:rFonts w:cs="Times New Roman"/>
          <w:sz w:val="20"/>
          <w:szCs w:val="20"/>
        </w:rPr>
        <w:t>,</w:t>
      </w:r>
      <w:r w:rsidR="003B6674" w:rsidRPr="001C6FAE">
        <w:rPr>
          <w:rFonts w:cs="Times New Roman"/>
          <w:sz w:val="20"/>
          <w:szCs w:val="20"/>
        </w:rPr>
        <w:t xml:space="preserve"> 2015</w:t>
      </w:r>
      <w:r w:rsidR="00897504" w:rsidRPr="001C6FAE">
        <w:rPr>
          <w:rFonts w:cs="Times New Roman"/>
          <w:sz w:val="20"/>
          <w:szCs w:val="20"/>
        </w:rPr>
        <w:t>[22]</w:t>
      </w:r>
      <w:r w:rsidR="003B6674" w:rsidRPr="001C6FAE">
        <w:rPr>
          <w:rFonts w:cs="Times New Roman"/>
          <w:sz w:val="20"/>
          <w:szCs w:val="20"/>
        </w:rPr>
        <w:t>.</w:t>
      </w:r>
      <w:r w:rsidR="00241C39" w:rsidRPr="001C6FAE">
        <w:rPr>
          <w:rFonts w:cs="Times New Roman"/>
          <w:sz w:val="20"/>
          <w:szCs w:val="20"/>
        </w:rPr>
        <w:t xml:space="preserve"> T</w:t>
      </w:r>
      <w:r w:rsidR="003B6674" w:rsidRPr="001C6FAE">
        <w:rPr>
          <w:rFonts w:cs="Times New Roman"/>
          <w:sz w:val="20"/>
          <w:szCs w:val="20"/>
        </w:rPr>
        <w:t>he specificity was 70% lower than the percentage 86.4% as that reported by</w:t>
      </w:r>
      <w:r w:rsidR="0028127F" w:rsidRPr="001C6FAE">
        <w:rPr>
          <w:rFonts w:cs="Times New Roman" w:hint="cs"/>
          <w:sz w:val="20"/>
          <w:szCs w:val="20"/>
        </w:rPr>
        <w:t xml:space="preserve"> </w:t>
      </w:r>
      <w:proofErr w:type="spellStart"/>
      <w:r w:rsidR="003B6674" w:rsidRPr="001C6FAE">
        <w:rPr>
          <w:rFonts w:cs="Times New Roman"/>
          <w:sz w:val="20"/>
          <w:szCs w:val="20"/>
        </w:rPr>
        <w:t>Willemsen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et al.</w:t>
      </w:r>
      <w:r w:rsidR="00241C39" w:rsidRPr="001C6FAE">
        <w:rPr>
          <w:rFonts w:cs="Times New Roman"/>
          <w:sz w:val="20"/>
          <w:szCs w:val="20"/>
        </w:rPr>
        <w:t>,</w:t>
      </w:r>
      <w:r w:rsidR="003B6674" w:rsidRPr="001C6FAE">
        <w:rPr>
          <w:rFonts w:cs="Times New Roman"/>
          <w:sz w:val="20"/>
          <w:szCs w:val="20"/>
        </w:rPr>
        <w:t xml:space="preserve"> 2015</w:t>
      </w:r>
      <w:r w:rsidR="00897504" w:rsidRPr="001C6FAE">
        <w:rPr>
          <w:rFonts w:cs="Times New Roman"/>
          <w:sz w:val="20"/>
          <w:szCs w:val="20"/>
        </w:rPr>
        <w:t>[22]</w:t>
      </w:r>
      <w:r w:rsidR="003B6674" w:rsidRPr="001C6FAE">
        <w:rPr>
          <w:rFonts w:cs="Times New Roman"/>
          <w:sz w:val="20"/>
          <w:szCs w:val="20"/>
        </w:rPr>
        <w:t xml:space="preserve">. </w:t>
      </w:r>
      <w:r w:rsidR="00241C39" w:rsidRPr="001C6FAE">
        <w:rPr>
          <w:rFonts w:cs="Times New Roman"/>
          <w:sz w:val="20"/>
          <w:szCs w:val="20"/>
        </w:rPr>
        <w:t>T</w:t>
      </w:r>
      <w:r w:rsidR="003B6674" w:rsidRPr="001C6FAE">
        <w:rPr>
          <w:rFonts w:cs="Times New Roman"/>
          <w:sz w:val="20"/>
          <w:szCs w:val="20"/>
        </w:rPr>
        <w:t>he present study cannot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exactly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explain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why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there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were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more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than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a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few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patients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with non</w:t>
      </w:r>
      <w:r w:rsidR="00241C39" w:rsidRPr="001C6FAE">
        <w:rPr>
          <w:rFonts w:cs="Times New Roman"/>
          <w:sz w:val="20"/>
          <w:szCs w:val="20"/>
        </w:rPr>
        <w:t>-</w:t>
      </w:r>
      <w:r w:rsidR="003B6674" w:rsidRPr="001C6FAE">
        <w:rPr>
          <w:rFonts w:cs="Times New Roman"/>
          <w:sz w:val="20"/>
          <w:szCs w:val="20"/>
        </w:rPr>
        <w:t>cardiovascular etiology who showed positive test results, but it may be related to contamination by skeletal muscle damage or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diminished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>renal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3B6674" w:rsidRPr="001C6FAE">
        <w:rPr>
          <w:rFonts w:cs="Times New Roman"/>
          <w:sz w:val="20"/>
          <w:szCs w:val="20"/>
        </w:rPr>
        <w:t xml:space="preserve">clearance similar to that reported by </w:t>
      </w:r>
      <w:r w:rsidR="003B6674" w:rsidRPr="001C6FAE">
        <w:rPr>
          <w:rFonts w:cs="Times New Roman"/>
          <w:i/>
          <w:sz w:val="20"/>
          <w:szCs w:val="20"/>
        </w:rPr>
        <w:t>Seino et al.</w:t>
      </w:r>
      <w:proofErr w:type="gramStart"/>
      <w:r w:rsidR="003B6674" w:rsidRPr="001C6FAE">
        <w:rPr>
          <w:rFonts w:cs="Times New Roman"/>
          <w:i/>
          <w:sz w:val="20"/>
          <w:szCs w:val="20"/>
        </w:rPr>
        <w:t>,(</w:t>
      </w:r>
      <w:proofErr w:type="gramEnd"/>
      <w:r w:rsidR="003B6674" w:rsidRPr="001C6FAE">
        <w:rPr>
          <w:rFonts w:cs="Times New Roman"/>
          <w:i/>
          <w:sz w:val="20"/>
          <w:szCs w:val="20"/>
        </w:rPr>
        <w:t>2004)</w:t>
      </w:r>
      <w:r w:rsidR="00631463" w:rsidRPr="001C6FAE">
        <w:rPr>
          <w:rFonts w:cs="Times New Roman"/>
          <w:iCs/>
          <w:sz w:val="20"/>
          <w:szCs w:val="20"/>
        </w:rPr>
        <w:t>[15]</w:t>
      </w:r>
      <w:r w:rsidR="003B6674" w:rsidRPr="001C6FAE">
        <w:rPr>
          <w:rFonts w:cs="Times New Roman"/>
          <w:i/>
          <w:sz w:val="20"/>
          <w:szCs w:val="20"/>
        </w:rPr>
        <w:t xml:space="preserve">&amp;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Setsuta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 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(2002)</w:t>
      </w:r>
      <w:r w:rsidR="00631463" w:rsidRPr="001C6FAE">
        <w:rPr>
          <w:rFonts w:cs="Times New Roman"/>
          <w:iCs/>
          <w:sz w:val="20"/>
          <w:szCs w:val="20"/>
        </w:rPr>
        <w:t>[23]</w:t>
      </w:r>
      <w:r w:rsidR="00922291" w:rsidRPr="001C6FAE">
        <w:rPr>
          <w:rFonts w:cs="Times New Roman"/>
          <w:sz w:val="20"/>
          <w:szCs w:val="20"/>
        </w:rPr>
        <w:t>, a</w:t>
      </w:r>
      <w:r w:rsidR="003B6674" w:rsidRPr="001C6FAE">
        <w:rPr>
          <w:rFonts w:cs="Times New Roman"/>
          <w:sz w:val="20"/>
          <w:szCs w:val="20"/>
        </w:rPr>
        <w:t xml:space="preserve">lso may be due to the presence of cases of traumatic chest wall cases with elevated H-FABP level ). Sensitivity of H-FABP is higher than CK-MB similar to that reported by </w:t>
      </w:r>
      <w:proofErr w:type="spellStart"/>
      <w:r w:rsidR="003B6674" w:rsidRPr="001C6FAE">
        <w:rPr>
          <w:rFonts w:cs="Times New Roman"/>
          <w:i/>
          <w:sz w:val="20"/>
          <w:szCs w:val="20"/>
        </w:rPr>
        <w:t>Ruzgar</w:t>
      </w:r>
      <w:proofErr w:type="spellEnd"/>
      <w:r w:rsidR="003B6674" w:rsidRPr="001C6FAE">
        <w:rPr>
          <w:rFonts w:cs="Times New Roman"/>
          <w:i/>
          <w:sz w:val="20"/>
          <w:szCs w:val="20"/>
        </w:rPr>
        <w:t xml:space="preserve"> et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3B6674" w:rsidRPr="001C6FAE">
        <w:rPr>
          <w:rFonts w:cs="Times New Roman"/>
          <w:i/>
          <w:sz w:val="20"/>
          <w:szCs w:val="20"/>
        </w:rPr>
        <w:t>al.,</w:t>
      </w:r>
      <w:r w:rsidR="001C6FAE">
        <w:rPr>
          <w:rFonts w:eastAsiaTheme="minorEastAsia" w:cs="Times New Roman" w:hint="eastAsia"/>
          <w:i/>
          <w:sz w:val="20"/>
          <w:szCs w:val="20"/>
          <w:lang w:eastAsia="zh-CN"/>
        </w:rPr>
        <w:t xml:space="preserve"> </w:t>
      </w:r>
      <w:r w:rsidR="00631463" w:rsidRPr="001C6FAE">
        <w:rPr>
          <w:rFonts w:cs="Times New Roman"/>
          <w:i/>
          <w:sz w:val="20"/>
          <w:szCs w:val="20"/>
        </w:rPr>
        <w:t>(</w:t>
      </w:r>
      <w:r w:rsidR="003B6674" w:rsidRPr="001C6FAE">
        <w:rPr>
          <w:rFonts w:cs="Times New Roman"/>
          <w:i/>
          <w:sz w:val="20"/>
          <w:szCs w:val="20"/>
        </w:rPr>
        <w:t>2006</w:t>
      </w:r>
      <w:proofErr w:type="gramStart"/>
      <w:r w:rsidR="00631463" w:rsidRPr="001C6FAE">
        <w:rPr>
          <w:rFonts w:cs="Times New Roman"/>
          <w:i/>
          <w:sz w:val="20"/>
          <w:szCs w:val="20"/>
        </w:rPr>
        <w:t>)</w:t>
      </w:r>
      <w:r w:rsidR="00631463" w:rsidRPr="001C6FAE">
        <w:rPr>
          <w:rFonts w:cs="Times New Roman"/>
          <w:iCs/>
          <w:sz w:val="20"/>
          <w:szCs w:val="20"/>
        </w:rPr>
        <w:t>[</w:t>
      </w:r>
      <w:proofErr w:type="gramEnd"/>
      <w:r w:rsidR="00631463" w:rsidRPr="001C6FAE">
        <w:rPr>
          <w:rFonts w:cs="Times New Roman"/>
          <w:iCs/>
          <w:sz w:val="20"/>
          <w:szCs w:val="20"/>
        </w:rPr>
        <w:t>24]</w:t>
      </w:r>
      <w:r w:rsidR="003B6674" w:rsidRPr="001C6FAE">
        <w:rPr>
          <w:rFonts w:cs="Times New Roman"/>
          <w:sz w:val="20"/>
          <w:szCs w:val="20"/>
        </w:rPr>
        <w:t>. It was concluded by Carroll et al.</w:t>
      </w:r>
      <w:r w:rsidR="00241C39" w:rsidRPr="001C6FAE">
        <w:rPr>
          <w:rFonts w:cs="Times New Roman"/>
          <w:sz w:val="20"/>
          <w:szCs w:val="20"/>
        </w:rPr>
        <w:t>,</w:t>
      </w:r>
      <w:r w:rsidR="003B6674" w:rsidRPr="001C6FAE">
        <w:rPr>
          <w:rFonts w:cs="Times New Roman"/>
          <w:sz w:val="20"/>
          <w:szCs w:val="20"/>
        </w:rPr>
        <w:t xml:space="preserve"> (2012</w:t>
      </w:r>
      <w:proofErr w:type="gramStart"/>
      <w:r w:rsidR="003B6674" w:rsidRPr="001C6FAE">
        <w:rPr>
          <w:rFonts w:cs="Times New Roman"/>
          <w:sz w:val="20"/>
          <w:szCs w:val="20"/>
        </w:rPr>
        <w:t>)</w:t>
      </w:r>
      <w:r w:rsidR="00631463" w:rsidRPr="001C6FAE">
        <w:rPr>
          <w:rFonts w:cs="Times New Roman"/>
          <w:sz w:val="20"/>
          <w:szCs w:val="20"/>
        </w:rPr>
        <w:t>[</w:t>
      </w:r>
      <w:proofErr w:type="gramEnd"/>
      <w:r w:rsidR="00631463" w:rsidRPr="001C6FAE">
        <w:rPr>
          <w:rFonts w:cs="Times New Roman"/>
          <w:sz w:val="20"/>
          <w:szCs w:val="20"/>
        </w:rPr>
        <w:t>25]</w:t>
      </w:r>
      <w:r w:rsidR="003B6674" w:rsidRPr="001C6FAE">
        <w:rPr>
          <w:rFonts w:cs="Times New Roman"/>
          <w:sz w:val="20"/>
          <w:szCs w:val="20"/>
        </w:rPr>
        <w:t xml:space="preserve"> that the combining H-FABP and cardiac-specific </w:t>
      </w:r>
      <w:proofErr w:type="spellStart"/>
      <w:r w:rsidR="003B6674" w:rsidRPr="001C6FAE">
        <w:rPr>
          <w:rFonts w:cs="Times New Roman"/>
          <w:sz w:val="20"/>
          <w:szCs w:val="20"/>
        </w:rPr>
        <w:t>troponin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(</w:t>
      </w:r>
      <w:proofErr w:type="spellStart"/>
      <w:r w:rsidR="003B6674" w:rsidRPr="001C6FAE">
        <w:rPr>
          <w:rFonts w:cs="Times New Roman"/>
          <w:sz w:val="20"/>
          <w:szCs w:val="20"/>
        </w:rPr>
        <w:t>cTn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) significantly improves the diagnostic sensitivity assays. Also a systematic review by quality specifications of these assays have recently been produced on four clinical studies (total of 1,598 patients) on combinations of quantitatively assessed H-FABP and </w:t>
      </w:r>
      <w:proofErr w:type="spellStart"/>
      <w:r w:rsidR="003B6674" w:rsidRPr="001C6FAE">
        <w:rPr>
          <w:rFonts w:cs="Times New Roman"/>
          <w:sz w:val="20"/>
          <w:szCs w:val="20"/>
        </w:rPr>
        <w:t>cTn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versus </w:t>
      </w:r>
      <w:proofErr w:type="spellStart"/>
      <w:r w:rsidR="003B6674" w:rsidRPr="001C6FAE">
        <w:rPr>
          <w:rFonts w:cs="Times New Roman"/>
          <w:sz w:val="20"/>
          <w:szCs w:val="20"/>
        </w:rPr>
        <w:t>cTn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alone at </w:t>
      </w:r>
      <w:r w:rsidR="00612B36" w:rsidRPr="001C6FAE">
        <w:rPr>
          <w:rFonts w:cs="Times New Roman"/>
          <w:sz w:val="20"/>
          <w:szCs w:val="20"/>
        </w:rPr>
        <w:t>presentation revealed</w:t>
      </w:r>
      <w:r w:rsidR="003B6674" w:rsidRPr="001C6FAE">
        <w:rPr>
          <w:rFonts w:cs="Times New Roman"/>
          <w:sz w:val="20"/>
          <w:szCs w:val="20"/>
        </w:rPr>
        <w:t xml:space="preserve"> that the addition of H-FABP to </w:t>
      </w:r>
      <w:proofErr w:type="spellStart"/>
      <w:r w:rsidR="003B6674" w:rsidRPr="001C6FAE">
        <w:rPr>
          <w:rFonts w:cs="Times New Roman"/>
          <w:sz w:val="20"/>
          <w:szCs w:val="20"/>
        </w:rPr>
        <w:t>cTn</w:t>
      </w:r>
      <w:proofErr w:type="spellEnd"/>
      <w:r w:rsidR="003B6674" w:rsidRPr="001C6FAE">
        <w:rPr>
          <w:rFonts w:cs="Times New Roman"/>
          <w:sz w:val="20"/>
          <w:szCs w:val="20"/>
        </w:rPr>
        <w:t xml:space="preserve"> increased sensitivity from 42–75 % to 76–97 % but decreased specificity from 95–100 % to 65–93 %</w:t>
      </w:r>
      <w:r w:rsidR="00631463" w:rsidRPr="001C6FAE">
        <w:rPr>
          <w:rFonts w:cs="Times New Roman"/>
          <w:sz w:val="20"/>
          <w:szCs w:val="20"/>
        </w:rPr>
        <w:t xml:space="preserve"> [26]</w:t>
      </w:r>
      <w:r w:rsidR="003B6674" w:rsidRPr="001C6FAE">
        <w:rPr>
          <w:rFonts w:cs="Times New Roman"/>
          <w:sz w:val="20"/>
          <w:szCs w:val="20"/>
        </w:rPr>
        <w:t>.</w:t>
      </w:r>
    </w:p>
    <w:p w:rsidR="00612B36" w:rsidRPr="001C6FAE" w:rsidRDefault="00612B36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</w:p>
    <w:p w:rsidR="00B72C30" w:rsidRPr="001C6FAE" w:rsidRDefault="00143754" w:rsidP="002D12EF">
      <w:pPr>
        <w:pStyle w:val="BodyText"/>
        <w:snapToGrid w:val="0"/>
        <w:spacing w:before="0"/>
        <w:ind w:left="0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t>5</w:t>
      </w:r>
      <w:r w:rsidR="00C253A3" w:rsidRPr="001C6FAE">
        <w:rPr>
          <w:rFonts w:cs="Times New Roman"/>
          <w:b/>
          <w:bCs/>
          <w:sz w:val="20"/>
          <w:szCs w:val="20"/>
        </w:rPr>
        <w:t>. Conclusion</w:t>
      </w:r>
    </w:p>
    <w:p w:rsidR="005914AB" w:rsidRPr="001C6FAE" w:rsidRDefault="0089006C" w:rsidP="002D12EF">
      <w:pPr>
        <w:pStyle w:val="BodyText"/>
        <w:snapToGrid w:val="0"/>
        <w:spacing w:before="0"/>
        <w:ind w:left="0" w:firstLine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At 0 – 3 hours of acute chest pain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for differentiation between AMI cases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and non-AMI cases, the reported cutoff values of the studied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cardiac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markers demonstrate that H-FABP has the same sensitivity as </w:t>
      </w:r>
      <w:proofErr w:type="spellStart"/>
      <w:r w:rsidRPr="001C6FAE">
        <w:rPr>
          <w:rFonts w:cs="Times New Roman"/>
          <w:sz w:val="20"/>
          <w:szCs w:val="20"/>
        </w:rPr>
        <w:t>cTn</w:t>
      </w:r>
      <w:proofErr w:type="spellEnd"/>
      <w:r w:rsidRPr="001C6FAE">
        <w:rPr>
          <w:rFonts w:cs="Times New Roman"/>
          <w:sz w:val="20"/>
          <w:szCs w:val="20"/>
        </w:rPr>
        <w:t xml:space="preserve">-I but has higher sensitivity than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&amp; CK- MB while </w:t>
      </w:r>
      <w:proofErr w:type="spellStart"/>
      <w:r w:rsidRPr="001C6FAE">
        <w:rPr>
          <w:rFonts w:cs="Times New Roman"/>
          <w:sz w:val="20"/>
          <w:szCs w:val="20"/>
        </w:rPr>
        <w:t>cTn</w:t>
      </w:r>
      <w:proofErr w:type="spellEnd"/>
      <w:r w:rsidRPr="001C6FAE">
        <w:rPr>
          <w:rFonts w:cs="Times New Roman"/>
          <w:sz w:val="20"/>
          <w:szCs w:val="20"/>
        </w:rPr>
        <w:t>-I has the highest specificity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PPV, NPV and accuracy.</w:t>
      </w:r>
      <w:r w:rsidR="0077395A" w:rsidRPr="001C6FAE">
        <w:rPr>
          <w:rFonts w:cs="Times New Roman"/>
          <w:sz w:val="20"/>
          <w:szCs w:val="20"/>
        </w:rPr>
        <w:t xml:space="preserve"> It is preferred to use the combination of a highly sensitive marker that appears early e.g</w:t>
      </w:r>
      <w:r w:rsidR="00241C39" w:rsidRPr="001C6FAE">
        <w:rPr>
          <w:rFonts w:cs="Times New Roman"/>
          <w:sz w:val="20"/>
          <w:szCs w:val="20"/>
        </w:rPr>
        <w:t>.</w:t>
      </w:r>
      <w:r w:rsidR="0077395A" w:rsidRPr="001C6FAE">
        <w:rPr>
          <w:rFonts w:cs="Times New Roman"/>
          <w:sz w:val="20"/>
          <w:szCs w:val="20"/>
        </w:rPr>
        <w:t xml:space="preserve"> H-FABP and more specific marker as </w:t>
      </w:r>
      <w:proofErr w:type="spellStart"/>
      <w:r w:rsidR="0077395A" w:rsidRPr="001C6FAE">
        <w:rPr>
          <w:rFonts w:cs="Times New Roman"/>
          <w:sz w:val="20"/>
          <w:szCs w:val="20"/>
        </w:rPr>
        <w:t>cTnI</w:t>
      </w:r>
      <w:proofErr w:type="spellEnd"/>
      <w:r w:rsidR="0077395A" w:rsidRPr="001C6FAE">
        <w:rPr>
          <w:rFonts w:cs="Times New Roman"/>
          <w:sz w:val="20"/>
          <w:szCs w:val="20"/>
        </w:rPr>
        <w:t xml:space="preserve"> to facilitate true rapid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77395A" w:rsidRPr="001C6FAE">
        <w:rPr>
          <w:rFonts w:cs="Times New Roman"/>
          <w:sz w:val="20"/>
          <w:szCs w:val="20"/>
        </w:rPr>
        <w:t>exclusion of AMI (i.e. eliminate false-positives) and enable discharge of patients who do not require prolonged observation.</w:t>
      </w:r>
    </w:p>
    <w:p w:rsidR="002D12EF" w:rsidRPr="001C6FAE" w:rsidRDefault="002D12EF" w:rsidP="002D12EF">
      <w:pPr>
        <w:pStyle w:val="BodyText"/>
        <w:snapToGrid w:val="0"/>
        <w:spacing w:before="0"/>
        <w:ind w:left="0"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2D12EF" w:rsidRPr="001C6FAE" w:rsidRDefault="005914AB" w:rsidP="002D12EF">
      <w:pPr>
        <w:pStyle w:val="BodyText"/>
        <w:snapToGrid w:val="0"/>
        <w:spacing w:before="0"/>
        <w:ind w:left="0"/>
        <w:jc w:val="both"/>
        <w:rPr>
          <w:rFonts w:eastAsiaTheme="minorEastAsia" w:cs="Times New Roman"/>
          <w:b/>
          <w:sz w:val="20"/>
          <w:szCs w:val="20"/>
          <w:lang w:eastAsia="zh-CN"/>
        </w:rPr>
      </w:pPr>
      <w:r w:rsidRPr="001C6FAE">
        <w:rPr>
          <w:rFonts w:cs="Times New Roman"/>
          <w:b/>
          <w:sz w:val="20"/>
          <w:szCs w:val="20"/>
        </w:rPr>
        <w:t>*Corresponding author</w:t>
      </w:r>
      <w:r w:rsidR="002D12EF" w:rsidRPr="001C6FAE">
        <w:rPr>
          <w:rFonts w:eastAsiaTheme="minorEastAsia" w:cs="Times New Roman" w:hint="eastAsia"/>
          <w:b/>
          <w:sz w:val="20"/>
          <w:szCs w:val="20"/>
          <w:lang w:eastAsia="zh-CN"/>
        </w:rPr>
        <w:t>:</w:t>
      </w:r>
    </w:p>
    <w:p w:rsidR="002D12EF" w:rsidRPr="001C6FAE" w:rsidRDefault="005914AB" w:rsidP="000D3551">
      <w:pPr>
        <w:pStyle w:val="BodyText"/>
        <w:snapToGrid w:val="0"/>
        <w:spacing w:before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1C6FAE">
        <w:rPr>
          <w:rFonts w:cs="Times New Roman"/>
          <w:sz w:val="20"/>
          <w:szCs w:val="20"/>
        </w:rPr>
        <w:t xml:space="preserve">Dr. </w:t>
      </w:r>
      <w:proofErr w:type="spellStart"/>
      <w:r w:rsidRPr="001C6FAE">
        <w:rPr>
          <w:rFonts w:cs="Times New Roman"/>
          <w:sz w:val="20"/>
          <w:szCs w:val="20"/>
        </w:rPr>
        <w:t>Abdelzaher</w:t>
      </w:r>
      <w:proofErr w:type="spellEnd"/>
      <w:r w:rsidRPr="001C6FAE">
        <w:rPr>
          <w:rFonts w:cs="Times New Roman"/>
          <w:sz w:val="20"/>
          <w:szCs w:val="20"/>
        </w:rPr>
        <w:t xml:space="preserve"> M.H, </w:t>
      </w:r>
    </w:p>
    <w:p w:rsidR="005914AB" w:rsidRPr="001C6FAE" w:rsidRDefault="005914AB" w:rsidP="000D3551">
      <w:pPr>
        <w:pStyle w:val="BodyText"/>
        <w:snapToGrid w:val="0"/>
        <w:spacing w:before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  <w:proofErr w:type="gramStart"/>
      <w:r w:rsidRPr="001C6FAE">
        <w:rPr>
          <w:rFonts w:cs="Times New Roman"/>
          <w:sz w:val="20"/>
          <w:szCs w:val="20"/>
        </w:rPr>
        <w:t>Department of Biochemistry, Faculty of Medicine, Al-</w:t>
      </w:r>
      <w:proofErr w:type="spellStart"/>
      <w:r w:rsidRPr="001C6FAE">
        <w:rPr>
          <w:rFonts w:cs="Times New Roman"/>
          <w:sz w:val="20"/>
          <w:szCs w:val="20"/>
        </w:rPr>
        <w:t>Azhar</w:t>
      </w:r>
      <w:proofErr w:type="spellEnd"/>
      <w:r w:rsidRPr="001C6FAE">
        <w:rPr>
          <w:rFonts w:cs="Times New Roman"/>
          <w:sz w:val="20"/>
          <w:szCs w:val="20"/>
        </w:rPr>
        <w:t xml:space="preserve"> University, </w:t>
      </w:r>
      <w:proofErr w:type="spellStart"/>
      <w:r w:rsidRPr="001C6FAE">
        <w:rPr>
          <w:rFonts w:cs="Times New Roman"/>
          <w:sz w:val="20"/>
          <w:szCs w:val="20"/>
        </w:rPr>
        <w:t>Assuit</w:t>
      </w:r>
      <w:proofErr w:type="spellEnd"/>
      <w:r w:rsidRPr="001C6FAE">
        <w:rPr>
          <w:rFonts w:cs="Times New Roman"/>
          <w:sz w:val="20"/>
          <w:szCs w:val="20"/>
        </w:rPr>
        <w:t>, Egypt.</w:t>
      </w:r>
      <w:proofErr w:type="gramEnd"/>
    </w:p>
    <w:p w:rsidR="000D3551" w:rsidRPr="001C6FAE" w:rsidRDefault="000D3551" w:rsidP="000D3551">
      <w:pPr>
        <w:pStyle w:val="BodyText"/>
        <w:snapToGrid w:val="0"/>
        <w:spacing w:before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1C6FAE">
        <w:rPr>
          <w:rFonts w:cs="Times New Roman"/>
          <w:sz w:val="20"/>
          <w:szCs w:val="20"/>
        </w:rPr>
        <w:t xml:space="preserve">E-mail: </w:t>
      </w:r>
      <w:hyperlink r:id="rId27" w:history="1">
        <w:r w:rsidRPr="001C6FAE">
          <w:rPr>
            <w:rFonts w:cs="Times New Roman"/>
            <w:sz w:val="20"/>
            <w:szCs w:val="20"/>
          </w:rPr>
          <w:t>abdelzaher_gerga@yahoo.com</w:t>
        </w:r>
      </w:hyperlink>
    </w:p>
    <w:p w:rsidR="00154358" w:rsidRPr="001C6FAE" w:rsidRDefault="00154358" w:rsidP="002D12EF">
      <w:pPr>
        <w:pStyle w:val="BodyText"/>
        <w:snapToGrid w:val="0"/>
        <w:spacing w:before="0"/>
        <w:ind w:left="0"/>
        <w:jc w:val="both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p w:rsidR="0089006C" w:rsidRPr="001C6FAE" w:rsidRDefault="00C049C0" w:rsidP="002D12EF">
      <w:pPr>
        <w:pStyle w:val="BodyText"/>
        <w:snapToGrid w:val="0"/>
        <w:spacing w:before="0"/>
        <w:ind w:left="0"/>
        <w:jc w:val="both"/>
        <w:rPr>
          <w:rFonts w:cs="Times New Roman"/>
          <w:b/>
          <w:bCs/>
          <w:sz w:val="20"/>
          <w:szCs w:val="20"/>
        </w:rPr>
      </w:pPr>
      <w:r w:rsidRPr="001C6FAE">
        <w:rPr>
          <w:rFonts w:cs="Times New Roman"/>
          <w:b/>
          <w:bCs/>
          <w:sz w:val="20"/>
          <w:szCs w:val="20"/>
        </w:rPr>
        <w:lastRenderedPageBreak/>
        <w:t>References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Steg</w:t>
      </w:r>
      <w:proofErr w:type="spellEnd"/>
      <w:r w:rsidRPr="001C6FAE">
        <w:rPr>
          <w:rFonts w:cs="Times New Roman"/>
          <w:sz w:val="20"/>
          <w:szCs w:val="20"/>
        </w:rPr>
        <w:t xml:space="preserve"> PG, James SK, </w:t>
      </w:r>
      <w:proofErr w:type="spellStart"/>
      <w:r w:rsidRPr="001C6FAE">
        <w:rPr>
          <w:rFonts w:cs="Times New Roman"/>
          <w:sz w:val="20"/>
          <w:szCs w:val="20"/>
        </w:rPr>
        <w:t>Atar</w:t>
      </w:r>
      <w:proofErr w:type="spellEnd"/>
      <w:r w:rsidRPr="001C6FAE">
        <w:rPr>
          <w:rFonts w:cs="Times New Roman"/>
          <w:sz w:val="20"/>
          <w:szCs w:val="20"/>
        </w:rPr>
        <w:t xml:space="preserve"> D, </w:t>
      </w:r>
      <w:proofErr w:type="spellStart"/>
      <w:r w:rsidRPr="001C6FAE">
        <w:rPr>
          <w:rFonts w:cs="Times New Roman"/>
          <w:sz w:val="20"/>
          <w:szCs w:val="20"/>
        </w:rPr>
        <w:t>Badano</w:t>
      </w:r>
      <w:proofErr w:type="spellEnd"/>
      <w:r w:rsidRPr="001C6FAE">
        <w:rPr>
          <w:rFonts w:cs="Times New Roman"/>
          <w:sz w:val="20"/>
          <w:szCs w:val="20"/>
        </w:rPr>
        <w:t xml:space="preserve"> LP, </w:t>
      </w:r>
      <w:proofErr w:type="spellStart"/>
      <w:r w:rsidRPr="001C6FAE">
        <w:rPr>
          <w:rFonts w:cs="Times New Roman"/>
          <w:sz w:val="20"/>
          <w:szCs w:val="20"/>
        </w:rPr>
        <w:t>Blomstrom-Lundqvist</w:t>
      </w:r>
      <w:proofErr w:type="spellEnd"/>
      <w:r w:rsidRPr="001C6FAE">
        <w:rPr>
          <w:rFonts w:cs="Times New Roman"/>
          <w:sz w:val="20"/>
          <w:szCs w:val="20"/>
        </w:rPr>
        <w:t xml:space="preserve"> C and Borger MA (2012) ESC guidelines for the management of acute myocardial infarction in patients presenting with ST-segment elevation. </w:t>
      </w:r>
      <w:proofErr w:type="spellStart"/>
      <w:r w:rsidRPr="001C6FAE">
        <w:rPr>
          <w:rFonts w:cs="Times New Roman"/>
          <w:sz w:val="20"/>
          <w:szCs w:val="20"/>
        </w:rPr>
        <w:t>Eur</w:t>
      </w:r>
      <w:proofErr w:type="spellEnd"/>
      <w:r w:rsidRPr="001C6FAE">
        <w:rPr>
          <w:rFonts w:cs="Times New Roman"/>
          <w:sz w:val="20"/>
          <w:szCs w:val="20"/>
        </w:rPr>
        <w:t xml:space="preserve"> Heart J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33:2569–2619.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Goodacre</w:t>
      </w:r>
      <w:proofErr w:type="spellEnd"/>
      <w:r w:rsidRPr="001C6FAE">
        <w:rPr>
          <w:rFonts w:cs="Times New Roman"/>
          <w:sz w:val="20"/>
          <w:szCs w:val="20"/>
        </w:rPr>
        <w:t xml:space="preserve"> S, </w:t>
      </w:r>
      <w:proofErr w:type="spellStart"/>
      <w:r w:rsidRPr="001C6FAE">
        <w:rPr>
          <w:rFonts w:cs="Times New Roman"/>
          <w:sz w:val="20"/>
          <w:szCs w:val="20"/>
        </w:rPr>
        <w:t>Thokala</w:t>
      </w:r>
      <w:proofErr w:type="spellEnd"/>
      <w:r w:rsidRPr="001C6FAE">
        <w:rPr>
          <w:rFonts w:cs="Times New Roman"/>
          <w:sz w:val="20"/>
          <w:szCs w:val="20"/>
        </w:rPr>
        <w:t xml:space="preserve"> P and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Carroll </w:t>
      </w:r>
      <w:proofErr w:type="gramStart"/>
      <w:r w:rsidRPr="001C6FAE">
        <w:rPr>
          <w:rFonts w:cs="Times New Roman"/>
          <w:sz w:val="20"/>
          <w:szCs w:val="20"/>
        </w:rPr>
        <w:t>C(</w:t>
      </w:r>
      <w:proofErr w:type="gramEnd"/>
      <w:r w:rsidRPr="001C6FAE">
        <w:rPr>
          <w:rFonts w:cs="Times New Roman"/>
          <w:sz w:val="20"/>
          <w:szCs w:val="20"/>
        </w:rPr>
        <w:t xml:space="preserve">2013) Systematic review, meta-analysis and economic </w:t>
      </w:r>
      <w:proofErr w:type="spellStart"/>
      <w:r w:rsidRPr="001C6FAE">
        <w:rPr>
          <w:rFonts w:cs="Times New Roman"/>
          <w:sz w:val="20"/>
          <w:szCs w:val="20"/>
        </w:rPr>
        <w:t>modeling`of</w:t>
      </w:r>
      <w:proofErr w:type="spellEnd"/>
      <w:r w:rsidRPr="001C6FAE">
        <w:rPr>
          <w:rFonts w:cs="Times New Roman"/>
          <w:sz w:val="20"/>
          <w:szCs w:val="20"/>
        </w:rPr>
        <w:t xml:space="preserve"> diagnostic strategies for suspected acute coronary syndrome. Health </w:t>
      </w:r>
      <w:proofErr w:type="spellStart"/>
      <w:r w:rsidRPr="001C6FAE">
        <w:rPr>
          <w:rFonts w:cs="Times New Roman"/>
          <w:sz w:val="20"/>
          <w:szCs w:val="20"/>
        </w:rPr>
        <w:t>Technol</w:t>
      </w:r>
      <w:proofErr w:type="spellEnd"/>
      <w:r w:rsidRPr="001C6FAE">
        <w:rPr>
          <w:rFonts w:cs="Times New Roman"/>
          <w:sz w:val="20"/>
          <w:szCs w:val="20"/>
        </w:rPr>
        <w:t xml:space="preserve"> Assess J.17:1–188.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Henry JB (2001)</w:t>
      </w:r>
      <w:r w:rsidR="00922291" w:rsidRPr="001C6FAE">
        <w:rPr>
          <w:rFonts w:cs="Times New Roman"/>
          <w:sz w:val="20"/>
          <w:szCs w:val="20"/>
        </w:rPr>
        <w:t>: C</w:t>
      </w:r>
      <w:r w:rsidRPr="001C6FAE">
        <w:rPr>
          <w:rFonts w:cs="Times New Roman"/>
          <w:sz w:val="20"/>
          <w:szCs w:val="20"/>
        </w:rPr>
        <w:t>linical Diagnosis and Management by Laboratory Methods.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John Bernard Henry (editor). 20th ed. Philadelphia: W.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B.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="00612B36" w:rsidRPr="001C6FAE">
        <w:rPr>
          <w:rFonts w:cs="Times New Roman"/>
          <w:sz w:val="20"/>
          <w:szCs w:val="20"/>
        </w:rPr>
        <w:t>Saunders Co</w:t>
      </w:r>
      <w:r w:rsidRPr="001C6FAE">
        <w:rPr>
          <w:rFonts w:cs="Times New Roman"/>
          <w:sz w:val="20"/>
          <w:szCs w:val="20"/>
        </w:rPr>
        <w:t>, 1996.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Mad P, </w:t>
      </w:r>
      <w:proofErr w:type="spellStart"/>
      <w:r w:rsidRPr="001C6FAE">
        <w:rPr>
          <w:rFonts w:cs="Times New Roman"/>
          <w:sz w:val="20"/>
          <w:szCs w:val="20"/>
        </w:rPr>
        <w:t>Domanovits</w:t>
      </w:r>
      <w:proofErr w:type="spellEnd"/>
      <w:r w:rsidRPr="001C6FAE">
        <w:rPr>
          <w:rFonts w:cs="Times New Roman"/>
          <w:sz w:val="20"/>
          <w:szCs w:val="20"/>
        </w:rPr>
        <w:t xml:space="preserve"> H, </w:t>
      </w:r>
      <w:proofErr w:type="spellStart"/>
      <w:r w:rsidRPr="001C6FAE">
        <w:rPr>
          <w:rFonts w:cs="Times New Roman"/>
          <w:sz w:val="20"/>
          <w:szCs w:val="20"/>
        </w:rPr>
        <w:t>Fazelnia</w:t>
      </w:r>
      <w:proofErr w:type="spellEnd"/>
      <w:r w:rsidRPr="001C6FAE">
        <w:rPr>
          <w:rFonts w:cs="Times New Roman"/>
          <w:sz w:val="20"/>
          <w:szCs w:val="20"/>
        </w:rPr>
        <w:t xml:space="preserve"> C, et al., (2007) Human heart-type fatty-acid-binding protein as a point-of-care test in the early diagnosis of acute myocardial infarction. Q J Med. 2007</w:t>
      </w:r>
      <w:proofErr w:type="gramStart"/>
      <w:r w:rsidRPr="001C6FAE">
        <w:rPr>
          <w:rFonts w:cs="Times New Roman"/>
          <w:sz w:val="20"/>
          <w:szCs w:val="20"/>
        </w:rPr>
        <w:t>;100:203</w:t>
      </w:r>
      <w:proofErr w:type="gramEnd"/>
      <w:r w:rsidRPr="001C6FAE">
        <w:rPr>
          <w:rFonts w:cs="Times New Roman"/>
          <w:sz w:val="20"/>
          <w:szCs w:val="20"/>
        </w:rPr>
        <w:t>–10.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The Joint European Society of Cardiology/ American College of Cardiology Committee (2000</w:t>
      </w:r>
      <w:r w:rsidR="00612B36" w:rsidRPr="001C6FAE">
        <w:rPr>
          <w:rFonts w:cs="Times New Roman"/>
          <w:sz w:val="20"/>
          <w:szCs w:val="20"/>
        </w:rPr>
        <w:t>) Myocardial</w:t>
      </w:r>
      <w:r w:rsidRPr="001C6FAE">
        <w:rPr>
          <w:rFonts w:cs="Times New Roman"/>
          <w:sz w:val="20"/>
          <w:szCs w:val="20"/>
        </w:rPr>
        <w:t xml:space="preserve"> Infarction Redefined – A consensus document of the joint European Society of Cardiology/American College of Cardiology Committee for the redefinition of myocardial infarction. J Am </w:t>
      </w:r>
      <w:proofErr w:type="spellStart"/>
      <w:r w:rsidRPr="001C6FAE">
        <w:rPr>
          <w:rFonts w:cs="Times New Roman"/>
          <w:sz w:val="20"/>
          <w:szCs w:val="20"/>
        </w:rPr>
        <w:t>Coll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Cardiol</w:t>
      </w:r>
      <w:proofErr w:type="spellEnd"/>
      <w:r w:rsidR="00612B36" w:rsidRPr="001C6FAE">
        <w:rPr>
          <w:rFonts w:cs="Times New Roman" w:hint="cs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(JACC)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36:959-69.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Chen </w:t>
      </w:r>
      <w:r w:rsidR="00612B36" w:rsidRPr="001C6FAE">
        <w:rPr>
          <w:rFonts w:cs="Times New Roman"/>
          <w:sz w:val="20"/>
          <w:szCs w:val="20"/>
        </w:rPr>
        <w:t>L,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Guo</w:t>
      </w:r>
      <w:proofErr w:type="spellEnd"/>
      <w:r w:rsidRPr="001C6FAE">
        <w:rPr>
          <w:rFonts w:cs="Times New Roman"/>
          <w:sz w:val="20"/>
          <w:szCs w:val="20"/>
        </w:rPr>
        <w:t xml:space="preserve"> X </w:t>
      </w:r>
      <w:r w:rsidR="00612B36" w:rsidRPr="001C6FAE">
        <w:rPr>
          <w:rFonts w:cs="Times New Roman"/>
          <w:sz w:val="20"/>
          <w:szCs w:val="20"/>
        </w:rPr>
        <w:t>and Yang</w:t>
      </w:r>
      <w:r w:rsidRPr="001C6FAE">
        <w:rPr>
          <w:rFonts w:cs="Times New Roman"/>
          <w:sz w:val="20"/>
          <w:szCs w:val="20"/>
        </w:rPr>
        <w:t xml:space="preserve"> F (2004). Role of Heart-Type </w:t>
      </w:r>
      <w:r w:rsidR="00612B36" w:rsidRPr="001C6FAE">
        <w:rPr>
          <w:rFonts w:cs="Times New Roman"/>
          <w:sz w:val="20"/>
          <w:szCs w:val="20"/>
        </w:rPr>
        <w:t>Fatty Acid Binding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Protein in Early Detection of Acute Myocardial Infarction in Comparison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with </w:t>
      </w:r>
      <w:proofErr w:type="spellStart"/>
      <w:r w:rsidRPr="001C6FAE">
        <w:rPr>
          <w:rFonts w:cs="Times New Roman"/>
          <w:sz w:val="20"/>
          <w:szCs w:val="20"/>
        </w:rPr>
        <w:t>cTnI</w:t>
      </w:r>
      <w:proofErr w:type="spellEnd"/>
      <w:r w:rsidRPr="001C6FAE">
        <w:rPr>
          <w:rFonts w:cs="Times New Roman"/>
          <w:sz w:val="20"/>
          <w:szCs w:val="20"/>
        </w:rPr>
        <w:t xml:space="preserve">, CK-MB and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Journal of </w:t>
      </w:r>
      <w:proofErr w:type="spellStart"/>
      <w:r w:rsidRPr="001C6FAE">
        <w:rPr>
          <w:rFonts w:cs="Times New Roman"/>
          <w:sz w:val="20"/>
          <w:szCs w:val="20"/>
        </w:rPr>
        <w:t>Huazhong</w:t>
      </w:r>
      <w:proofErr w:type="spellEnd"/>
      <w:r w:rsidRPr="001C6FAE">
        <w:rPr>
          <w:rFonts w:cs="Times New Roman"/>
          <w:sz w:val="20"/>
          <w:szCs w:val="20"/>
        </w:rPr>
        <w:t xml:space="preserve"> University of </w:t>
      </w:r>
      <w:r w:rsidR="00612B36" w:rsidRPr="001C6FAE">
        <w:rPr>
          <w:rFonts w:cs="Times New Roman"/>
          <w:sz w:val="20"/>
          <w:szCs w:val="20"/>
        </w:rPr>
        <w:t>Science and</w:t>
      </w:r>
      <w:r w:rsidRPr="001C6FAE">
        <w:rPr>
          <w:rFonts w:cs="Times New Roman"/>
          <w:sz w:val="20"/>
          <w:szCs w:val="20"/>
        </w:rPr>
        <w:t xml:space="preserve"> Technology</w:t>
      </w:r>
      <w:r w:rsidR="00727044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>24</w:t>
      </w:r>
      <w:r w:rsidR="00727044" w:rsidRPr="001C6FAE">
        <w:rPr>
          <w:rFonts w:cs="Times New Roman"/>
          <w:sz w:val="20"/>
          <w:szCs w:val="20"/>
        </w:rPr>
        <w:t xml:space="preserve">: </w:t>
      </w:r>
      <w:r w:rsidRPr="001C6FAE">
        <w:rPr>
          <w:rFonts w:cs="Times New Roman"/>
          <w:sz w:val="20"/>
          <w:szCs w:val="20"/>
        </w:rPr>
        <w:t>449-451.459.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Alhashemi</w:t>
      </w:r>
      <w:proofErr w:type="spellEnd"/>
      <w:r w:rsidRPr="001C6FAE">
        <w:rPr>
          <w:rFonts w:cs="Times New Roman"/>
          <w:sz w:val="20"/>
          <w:szCs w:val="20"/>
        </w:rPr>
        <w:t xml:space="preserve"> JA (2006). Diagnostic accuracy of a bedside qualitative </w:t>
      </w:r>
      <w:proofErr w:type="spellStart"/>
      <w:r w:rsidRPr="001C6FAE">
        <w:rPr>
          <w:rFonts w:cs="Times New Roman"/>
          <w:sz w:val="20"/>
          <w:szCs w:val="20"/>
        </w:rPr>
        <w:t>immunochromatographic</w:t>
      </w:r>
      <w:proofErr w:type="spellEnd"/>
      <w:r w:rsidRPr="001C6FAE">
        <w:rPr>
          <w:rFonts w:cs="Times New Roman"/>
          <w:sz w:val="20"/>
          <w:szCs w:val="20"/>
        </w:rPr>
        <w:t xml:space="preserve"> test for acute myocardial infarction. American Journal of Emergency Medicine.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24:149–155.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Bassand</w:t>
      </w:r>
      <w:proofErr w:type="spellEnd"/>
      <w:r w:rsidRPr="001C6FAE">
        <w:rPr>
          <w:rFonts w:cs="Times New Roman"/>
          <w:sz w:val="20"/>
          <w:szCs w:val="20"/>
        </w:rPr>
        <w:t xml:space="preserve"> JP, Hamm CW, </w:t>
      </w:r>
      <w:proofErr w:type="spellStart"/>
      <w:r w:rsidRPr="001C6FAE">
        <w:rPr>
          <w:rFonts w:cs="Times New Roman"/>
          <w:sz w:val="20"/>
          <w:szCs w:val="20"/>
        </w:rPr>
        <w:t>Ardissino</w:t>
      </w:r>
      <w:proofErr w:type="spellEnd"/>
      <w:r w:rsidRPr="001C6FAE">
        <w:rPr>
          <w:rFonts w:cs="Times New Roman"/>
          <w:sz w:val="20"/>
          <w:szCs w:val="20"/>
        </w:rPr>
        <w:t xml:space="preserve"> D, </w:t>
      </w:r>
      <w:proofErr w:type="spellStart"/>
      <w:r w:rsidRPr="001C6FAE">
        <w:rPr>
          <w:rFonts w:cs="Times New Roman"/>
          <w:sz w:val="20"/>
          <w:szCs w:val="20"/>
        </w:rPr>
        <w:t>Boersma</w:t>
      </w:r>
      <w:proofErr w:type="spellEnd"/>
      <w:r w:rsidRPr="001C6FAE">
        <w:rPr>
          <w:rFonts w:cs="Times New Roman"/>
          <w:sz w:val="20"/>
          <w:szCs w:val="20"/>
        </w:rPr>
        <w:t xml:space="preserve"> E, </w:t>
      </w:r>
      <w:proofErr w:type="spellStart"/>
      <w:r w:rsidRPr="001C6FAE">
        <w:rPr>
          <w:rFonts w:cs="Times New Roman"/>
          <w:sz w:val="20"/>
          <w:szCs w:val="20"/>
        </w:rPr>
        <w:t>Budaj</w:t>
      </w:r>
      <w:proofErr w:type="spellEnd"/>
      <w:r w:rsidRPr="001C6FAE">
        <w:rPr>
          <w:rFonts w:cs="Times New Roman"/>
          <w:sz w:val="20"/>
          <w:szCs w:val="20"/>
        </w:rPr>
        <w:t xml:space="preserve"> A, Fernandez Aviles F, et al., (2007)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>Guidelines for the diagnosis and treatment of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non-ST-segment elevation acute coronary syndromes: The Task Force for the Diagnosis and Treatment of Non-ST-Segment Elevation Acute Coronary Syndromes of the European Society of Cardiology. </w:t>
      </w:r>
      <w:proofErr w:type="spellStart"/>
      <w:r w:rsidRPr="001C6FAE">
        <w:rPr>
          <w:rFonts w:cs="Times New Roman"/>
          <w:sz w:val="20"/>
          <w:szCs w:val="20"/>
        </w:rPr>
        <w:t>Eur</w:t>
      </w:r>
      <w:proofErr w:type="spellEnd"/>
      <w:r w:rsidRPr="001C6FAE">
        <w:rPr>
          <w:rFonts w:cs="Times New Roman"/>
          <w:sz w:val="20"/>
          <w:szCs w:val="20"/>
        </w:rPr>
        <w:t xml:space="preserve"> Heart J. 28:1598- 1660.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Pasaoglu</w:t>
      </w:r>
      <w:proofErr w:type="spellEnd"/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H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Ofluoglu</w:t>
      </w:r>
      <w:proofErr w:type="spellEnd"/>
      <w:r w:rsidRPr="001C6FAE">
        <w:rPr>
          <w:rFonts w:cs="Times New Roman"/>
          <w:sz w:val="20"/>
          <w:szCs w:val="20"/>
        </w:rPr>
        <w:t xml:space="preserve"> E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Ilhan</w:t>
      </w:r>
      <w:proofErr w:type="spellEnd"/>
      <w:r w:rsidRPr="001C6FAE">
        <w:rPr>
          <w:rFonts w:cs="Times New Roman"/>
          <w:sz w:val="20"/>
          <w:szCs w:val="20"/>
        </w:rPr>
        <w:t xml:space="preserve"> M.N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Cengel</w:t>
      </w:r>
      <w:proofErr w:type="spellEnd"/>
      <w:r w:rsidRPr="001C6FAE">
        <w:rPr>
          <w:rFonts w:cs="Times New Roman"/>
          <w:sz w:val="20"/>
          <w:szCs w:val="20"/>
        </w:rPr>
        <w:t xml:space="preserve"> A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Ozdemir</w:t>
      </w:r>
      <w:proofErr w:type="spellEnd"/>
      <w:r w:rsidRPr="001C6FAE">
        <w:rPr>
          <w:rFonts w:cs="Times New Roman"/>
          <w:sz w:val="20"/>
          <w:szCs w:val="20"/>
        </w:rPr>
        <w:t xml:space="preserve"> M</w:t>
      </w:r>
      <w:r w:rsidR="00727044" w:rsidRPr="001C6FAE">
        <w:rPr>
          <w:rFonts w:cs="Times New Roman"/>
          <w:sz w:val="20"/>
          <w:szCs w:val="20"/>
        </w:rPr>
        <w:t>,</w:t>
      </w:r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Durakoglugil</w:t>
      </w:r>
      <w:proofErr w:type="spellEnd"/>
      <w:r w:rsidRPr="001C6FAE">
        <w:rPr>
          <w:rFonts w:cs="Times New Roman"/>
          <w:sz w:val="20"/>
          <w:szCs w:val="20"/>
        </w:rPr>
        <w:t xml:space="preserve"> 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and </w:t>
      </w:r>
      <w:proofErr w:type="spellStart"/>
      <w:r w:rsidRPr="001C6FAE">
        <w:rPr>
          <w:rFonts w:cs="Times New Roman"/>
          <w:sz w:val="20"/>
          <w:szCs w:val="20"/>
        </w:rPr>
        <w:t>Erden</w:t>
      </w:r>
      <w:proofErr w:type="spellEnd"/>
      <w:r w:rsidRPr="001C6FAE">
        <w:rPr>
          <w:rFonts w:cs="Times New Roman"/>
          <w:sz w:val="20"/>
          <w:szCs w:val="20"/>
        </w:rPr>
        <w:t xml:space="preserve"> M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(2007)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>The Role of Heart-Type Fatty Acid-Binding Protein (H- FABP) in Acute Myocardial Infarction (AMI) Compared to Conventional Cardiac Biochemical Markers. Turk J Med Sci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37</w:t>
      </w:r>
      <w:r w:rsidR="00727044" w:rsidRPr="001C6FAE">
        <w:rPr>
          <w:rFonts w:cs="Times New Roman"/>
          <w:sz w:val="20"/>
          <w:szCs w:val="20"/>
        </w:rPr>
        <w:t>:</w:t>
      </w:r>
      <w:r w:rsidRPr="001C6FAE">
        <w:rPr>
          <w:rFonts w:cs="Times New Roman"/>
          <w:sz w:val="20"/>
          <w:szCs w:val="20"/>
        </w:rPr>
        <w:t>61-67.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Eggers KM, </w:t>
      </w:r>
      <w:proofErr w:type="spellStart"/>
      <w:r w:rsidRPr="001C6FAE">
        <w:rPr>
          <w:rFonts w:cs="Times New Roman"/>
          <w:sz w:val="20"/>
          <w:szCs w:val="20"/>
        </w:rPr>
        <w:t>Oldgren</w:t>
      </w:r>
      <w:proofErr w:type="spellEnd"/>
      <w:r w:rsidRPr="001C6FAE">
        <w:rPr>
          <w:rFonts w:cs="Times New Roman"/>
          <w:sz w:val="20"/>
          <w:szCs w:val="20"/>
        </w:rPr>
        <w:t xml:space="preserve"> J, Nordenskjold A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and </w:t>
      </w:r>
      <w:proofErr w:type="spellStart"/>
      <w:r w:rsidRPr="001C6FAE">
        <w:rPr>
          <w:rFonts w:cs="Times New Roman"/>
          <w:sz w:val="20"/>
          <w:szCs w:val="20"/>
        </w:rPr>
        <w:lastRenderedPageBreak/>
        <w:t>Lindahl</w:t>
      </w:r>
      <w:proofErr w:type="spellEnd"/>
      <w:r w:rsidRPr="001C6FAE">
        <w:rPr>
          <w:rFonts w:cs="Times New Roman"/>
          <w:sz w:val="20"/>
          <w:szCs w:val="20"/>
        </w:rPr>
        <w:t xml:space="preserve"> B (2004)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Diagnostic value of serial measurement of cardiac markers in patients with chest pain: limited value of adding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 to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I for exclusion of myocardial infarction. Am </w:t>
      </w:r>
      <w:r w:rsidR="00612B36" w:rsidRPr="001C6FAE">
        <w:rPr>
          <w:rFonts w:cs="Times New Roman"/>
          <w:sz w:val="20"/>
          <w:szCs w:val="20"/>
        </w:rPr>
        <w:t>Heart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148:574-81.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Newby LK, Roe MT, Chen AY, </w:t>
      </w:r>
      <w:proofErr w:type="spellStart"/>
      <w:r w:rsidRPr="001C6FAE">
        <w:rPr>
          <w:rFonts w:cs="Times New Roman"/>
          <w:sz w:val="20"/>
          <w:szCs w:val="20"/>
        </w:rPr>
        <w:t>Ohman</w:t>
      </w:r>
      <w:proofErr w:type="spellEnd"/>
      <w:r w:rsidRPr="001C6FAE">
        <w:rPr>
          <w:rFonts w:cs="Times New Roman"/>
          <w:sz w:val="20"/>
          <w:szCs w:val="20"/>
        </w:rPr>
        <w:t xml:space="preserve"> EM, Christenson RH; Pollack CV, Hoekstra JW, Peacock WF, Harrington RA, Jesse RL, </w:t>
      </w:r>
      <w:proofErr w:type="spellStart"/>
      <w:r w:rsidRPr="001C6FAE">
        <w:rPr>
          <w:rFonts w:cs="Times New Roman"/>
          <w:sz w:val="20"/>
          <w:szCs w:val="20"/>
        </w:rPr>
        <w:t>Gibler</w:t>
      </w:r>
      <w:proofErr w:type="spellEnd"/>
      <w:r w:rsidRPr="001C6FAE">
        <w:rPr>
          <w:rFonts w:cs="Times New Roman"/>
          <w:sz w:val="20"/>
          <w:szCs w:val="20"/>
        </w:rPr>
        <w:t xml:space="preserve"> WB and Peterson ED (2006)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Frequency and clinical implications of discordant </w:t>
      </w:r>
      <w:proofErr w:type="spellStart"/>
      <w:r w:rsidRPr="001C6FAE">
        <w:rPr>
          <w:rFonts w:cs="Times New Roman"/>
          <w:sz w:val="20"/>
          <w:szCs w:val="20"/>
        </w:rPr>
        <w:t>creatine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kinase</w:t>
      </w:r>
      <w:proofErr w:type="spellEnd"/>
      <w:r w:rsidRPr="001C6FAE">
        <w:rPr>
          <w:rFonts w:cs="Times New Roman"/>
          <w:sz w:val="20"/>
          <w:szCs w:val="20"/>
        </w:rPr>
        <w:t xml:space="preserve">-MB and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measurements in acute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coronary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syndromes. J Am </w:t>
      </w:r>
      <w:proofErr w:type="spellStart"/>
      <w:r w:rsidRPr="001C6FAE">
        <w:rPr>
          <w:rFonts w:cs="Times New Roman"/>
          <w:sz w:val="20"/>
          <w:szCs w:val="20"/>
        </w:rPr>
        <w:t>Coll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Cardiol</w:t>
      </w:r>
      <w:proofErr w:type="spellEnd"/>
      <w:r w:rsidR="00727044" w:rsidRPr="001C6FAE">
        <w:rPr>
          <w:rFonts w:cs="Times New Roman"/>
          <w:sz w:val="20"/>
          <w:szCs w:val="20"/>
        </w:rPr>
        <w:t>.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47:312-8.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Pelsers</w:t>
      </w:r>
      <w:proofErr w:type="spellEnd"/>
      <w:r w:rsidRPr="001C6FAE">
        <w:rPr>
          <w:rFonts w:cs="Times New Roman"/>
          <w:sz w:val="20"/>
          <w:szCs w:val="20"/>
        </w:rPr>
        <w:t xml:space="preserve"> MM, </w:t>
      </w:r>
      <w:proofErr w:type="spellStart"/>
      <w:r w:rsidRPr="001C6FAE">
        <w:rPr>
          <w:rFonts w:cs="Times New Roman"/>
          <w:sz w:val="20"/>
          <w:szCs w:val="20"/>
        </w:rPr>
        <w:t>Hermens</w:t>
      </w:r>
      <w:proofErr w:type="spellEnd"/>
      <w:r w:rsidRPr="001C6FAE">
        <w:rPr>
          <w:rFonts w:cs="Times New Roman"/>
          <w:sz w:val="20"/>
          <w:szCs w:val="20"/>
        </w:rPr>
        <w:t xml:space="preserve"> WT and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Glatz</w:t>
      </w:r>
      <w:proofErr w:type="spellEnd"/>
      <w:r w:rsidRPr="001C6FAE">
        <w:rPr>
          <w:rFonts w:cs="Times New Roman"/>
          <w:sz w:val="20"/>
          <w:szCs w:val="20"/>
        </w:rPr>
        <w:t xml:space="preserve"> JF (2005)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Fatty acid-binding proteins as plasma markers of tissue injury.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Chim</w:t>
      </w:r>
      <w:proofErr w:type="spellEnd"/>
      <w:r w:rsidRPr="001C6FAE">
        <w:rPr>
          <w:rFonts w:cs="Times New Roman"/>
          <w:sz w:val="20"/>
          <w:szCs w:val="20"/>
        </w:rPr>
        <w:t xml:space="preserve"> Acta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352:15–35.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Alansari</w:t>
      </w:r>
      <w:proofErr w:type="spellEnd"/>
      <w:r w:rsidRPr="001C6FAE">
        <w:rPr>
          <w:rFonts w:cs="Times New Roman"/>
          <w:sz w:val="20"/>
          <w:szCs w:val="20"/>
        </w:rPr>
        <w:t xml:space="preserve"> SE and </w:t>
      </w:r>
      <w:proofErr w:type="spellStart"/>
      <w:r w:rsidRPr="001C6FAE">
        <w:rPr>
          <w:rFonts w:cs="Times New Roman"/>
          <w:sz w:val="20"/>
          <w:szCs w:val="20"/>
        </w:rPr>
        <w:t>Croal</w:t>
      </w:r>
      <w:proofErr w:type="spellEnd"/>
      <w:r w:rsidRPr="001C6FAE">
        <w:rPr>
          <w:rFonts w:cs="Times New Roman"/>
          <w:sz w:val="20"/>
          <w:szCs w:val="20"/>
        </w:rPr>
        <w:t xml:space="preserve"> BL (2004)</w:t>
      </w:r>
      <w:r w:rsidR="00727044" w:rsidRPr="001C6FAE">
        <w:rPr>
          <w:rFonts w:cs="Times New Roman"/>
          <w:sz w:val="20"/>
          <w:szCs w:val="20"/>
        </w:rPr>
        <w:t>. D</w:t>
      </w:r>
      <w:r w:rsidRPr="001C6FAE">
        <w:rPr>
          <w:rFonts w:cs="Times New Roman"/>
          <w:sz w:val="20"/>
          <w:szCs w:val="20"/>
        </w:rPr>
        <w:t>iagnostic value of heart fatty acid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binding protein and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 in patients admitted with chest pain. Ann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Biochem</w:t>
      </w:r>
      <w:proofErr w:type="spellEnd"/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41:391-96.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Cavus</w:t>
      </w:r>
      <w:proofErr w:type="spellEnd"/>
      <w:r w:rsidRPr="001C6FAE">
        <w:rPr>
          <w:rFonts w:cs="Times New Roman"/>
          <w:sz w:val="20"/>
          <w:szCs w:val="20"/>
        </w:rPr>
        <w:t xml:space="preserve"> U, </w:t>
      </w:r>
      <w:proofErr w:type="spellStart"/>
      <w:r w:rsidRPr="001C6FAE">
        <w:rPr>
          <w:rFonts w:cs="Times New Roman"/>
          <w:sz w:val="20"/>
          <w:szCs w:val="20"/>
        </w:rPr>
        <w:t>Coskun</w:t>
      </w:r>
      <w:proofErr w:type="spellEnd"/>
      <w:r w:rsidRPr="001C6FAE">
        <w:rPr>
          <w:rFonts w:cs="Times New Roman"/>
          <w:sz w:val="20"/>
          <w:szCs w:val="20"/>
        </w:rPr>
        <w:t xml:space="preserve"> F, </w:t>
      </w:r>
      <w:proofErr w:type="spellStart"/>
      <w:r w:rsidRPr="001C6FAE">
        <w:rPr>
          <w:rFonts w:cs="Times New Roman"/>
          <w:sz w:val="20"/>
          <w:szCs w:val="20"/>
        </w:rPr>
        <w:t>Yavuz</w:t>
      </w:r>
      <w:proofErr w:type="spellEnd"/>
      <w:r w:rsidRPr="001C6FAE">
        <w:rPr>
          <w:rFonts w:cs="Times New Roman"/>
          <w:sz w:val="20"/>
          <w:szCs w:val="20"/>
        </w:rPr>
        <w:t xml:space="preserve"> B, </w:t>
      </w:r>
      <w:proofErr w:type="spellStart"/>
      <w:r w:rsidRPr="001C6FAE">
        <w:rPr>
          <w:rFonts w:cs="Times New Roman"/>
          <w:sz w:val="20"/>
          <w:szCs w:val="20"/>
        </w:rPr>
        <w:t>Ciftci</w:t>
      </w:r>
      <w:proofErr w:type="spellEnd"/>
      <w:r w:rsidRPr="001C6FAE">
        <w:rPr>
          <w:rFonts w:cs="Times New Roman"/>
          <w:sz w:val="20"/>
          <w:szCs w:val="20"/>
        </w:rPr>
        <w:t xml:space="preserve"> O, </w:t>
      </w:r>
      <w:proofErr w:type="spellStart"/>
      <w:r w:rsidRPr="001C6FAE">
        <w:rPr>
          <w:rFonts w:cs="Times New Roman"/>
          <w:sz w:val="20"/>
          <w:szCs w:val="20"/>
        </w:rPr>
        <w:t>Sahiner</w:t>
      </w:r>
      <w:proofErr w:type="spellEnd"/>
      <w:r w:rsidRPr="001C6FAE">
        <w:rPr>
          <w:rFonts w:cs="Times New Roman"/>
          <w:sz w:val="20"/>
          <w:szCs w:val="20"/>
        </w:rPr>
        <w:t xml:space="preserve"> L, </w:t>
      </w:r>
      <w:proofErr w:type="spellStart"/>
      <w:r w:rsidRPr="001C6FAE">
        <w:rPr>
          <w:rFonts w:cs="Times New Roman"/>
          <w:sz w:val="20"/>
          <w:szCs w:val="20"/>
        </w:rPr>
        <w:t>Aksoy</w:t>
      </w:r>
      <w:proofErr w:type="spellEnd"/>
      <w:r w:rsidRPr="001C6FAE">
        <w:rPr>
          <w:rFonts w:cs="Times New Roman"/>
          <w:sz w:val="20"/>
          <w:szCs w:val="20"/>
        </w:rPr>
        <w:t xml:space="preserve"> H, </w:t>
      </w:r>
      <w:proofErr w:type="spellStart"/>
      <w:r w:rsidRPr="001C6FAE">
        <w:rPr>
          <w:rFonts w:cs="Times New Roman"/>
          <w:sz w:val="20"/>
          <w:szCs w:val="20"/>
        </w:rPr>
        <w:t>Deniz</w:t>
      </w:r>
      <w:proofErr w:type="spellEnd"/>
      <w:r w:rsidRPr="001C6FAE">
        <w:rPr>
          <w:rFonts w:cs="Times New Roman"/>
          <w:sz w:val="20"/>
          <w:szCs w:val="20"/>
        </w:rPr>
        <w:t xml:space="preserve"> A, </w:t>
      </w:r>
      <w:proofErr w:type="spellStart"/>
      <w:r w:rsidRPr="001C6FAE">
        <w:rPr>
          <w:rFonts w:cs="Times New Roman"/>
          <w:sz w:val="20"/>
          <w:szCs w:val="20"/>
        </w:rPr>
        <w:t>Ozakin</w:t>
      </w:r>
      <w:proofErr w:type="spellEnd"/>
      <w:r w:rsidRPr="001C6FAE">
        <w:rPr>
          <w:rFonts w:cs="Times New Roman"/>
          <w:sz w:val="20"/>
          <w:szCs w:val="20"/>
        </w:rPr>
        <w:t xml:space="preserve"> E, </w:t>
      </w:r>
      <w:proofErr w:type="spellStart"/>
      <w:r w:rsidRPr="001C6FAE">
        <w:rPr>
          <w:rFonts w:cs="Times New Roman"/>
          <w:sz w:val="20"/>
          <w:szCs w:val="20"/>
        </w:rPr>
        <w:t>Aytemir</w:t>
      </w:r>
      <w:proofErr w:type="spellEnd"/>
      <w:r w:rsidRPr="001C6FAE">
        <w:rPr>
          <w:rFonts w:cs="Times New Roman"/>
          <w:sz w:val="20"/>
          <w:szCs w:val="20"/>
        </w:rPr>
        <w:t xml:space="preserve"> K, </w:t>
      </w:r>
      <w:proofErr w:type="spellStart"/>
      <w:r w:rsidRPr="001C6FAE">
        <w:rPr>
          <w:rFonts w:cs="Times New Roman"/>
          <w:sz w:val="20"/>
          <w:szCs w:val="20"/>
        </w:rPr>
        <w:t>Tokgozoglu</w:t>
      </w:r>
      <w:proofErr w:type="spellEnd"/>
      <w:r w:rsidRPr="001C6FAE">
        <w:rPr>
          <w:rFonts w:cs="Times New Roman"/>
          <w:sz w:val="20"/>
          <w:szCs w:val="20"/>
        </w:rPr>
        <w:t xml:space="preserve"> L and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Kabakci</w:t>
      </w:r>
      <w:proofErr w:type="spellEnd"/>
      <w:r w:rsidRPr="001C6FAE">
        <w:rPr>
          <w:rFonts w:cs="Times New Roman"/>
          <w:sz w:val="20"/>
          <w:szCs w:val="20"/>
        </w:rPr>
        <w:t xml:space="preserve"> G(2006)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>Heart-type, fatty-</w:t>
      </w:r>
      <w:r w:rsidR="00612B36" w:rsidRPr="001C6FAE">
        <w:rPr>
          <w:rFonts w:cs="Times New Roman"/>
          <w:sz w:val="20"/>
          <w:szCs w:val="20"/>
        </w:rPr>
        <w:t>acid binding</w:t>
      </w:r>
      <w:r w:rsidRPr="001C6FAE">
        <w:rPr>
          <w:rFonts w:cs="Times New Roman"/>
          <w:sz w:val="20"/>
          <w:szCs w:val="20"/>
        </w:rPr>
        <w:t xml:space="preserve"> protein can be a diagnostic marker in acute coronary syndromes. J </w:t>
      </w:r>
      <w:proofErr w:type="spellStart"/>
      <w:r w:rsidRPr="001C6FAE">
        <w:rPr>
          <w:rFonts w:cs="Times New Roman"/>
          <w:sz w:val="20"/>
          <w:szCs w:val="20"/>
        </w:rPr>
        <w:t>Natl</w:t>
      </w:r>
      <w:proofErr w:type="spellEnd"/>
      <w:r w:rsidRPr="001C6FAE">
        <w:rPr>
          <w:rFonts w:cs="Times New Roman"/>
          <w:sz w:val="20"/>
          <w:szCs w:val="20"/>
        </w:rPr>
        <w:t xml:space="preserve"> Med Assoc. 98:1067-70.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  <w:lang w:val="fr-FR"/>
        </w:rPr>
        <w:t>Seino</w:t>
      </w:r>
      <w:proofErr w:type="spellEnd"/>
      <w:r w:rsidRPr="001C6FAE">
        <w:rPr>
          <w:rFonts w:cs="Times New Roman"/>
          <w:sz w:val="20"/>
          <w:szCs w:val="20"/>
          <w:lang w:val="fr-FR"/>
        </w:rPr>
        <w:t xml:space="preserve"> </w:t>
      </w:r>
      <w:r w:rsidR="00612B36" w:rsidRPr="001C6FAE">
        <w:rPr>
          <w:rFonts w:cs="Times New Roman"/>
          <w:sz w:val="20"/>
          <w:szCs w:val="20"/>
          <w:lang w:val="fr-FR"/>
        </w:rPr>
        <w:t>Y,</w:t>
      </w:r>
      <w:r w:rsidRPr="001C6FAE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1C6FAE">
        <w:rPr>
          <w:rFonts w:cs="Times New Roman"/>
          <w:sz w:val="20"/>
          <w:szCs w:val="20"/>
          <w:lang w:val="fr-FR"/>
        </w:rPr>
        <w:t>Tomita</w:t>
      </w:r>
      <w:proofErr w:type="spellEnd"/>
      <w:r w:rsidRPr="001C6FAE">
        <w:rPr>
          <w:rFonts w:cs="Times New Roman"/>
          <w:sz w:val="20"/>
          <w:szCs w:val="20"/>
          <w:lang w:val="fr-FR"/>
        </w:rPr>
        <w:t xml:space="preserve"> Y</w:t>
      </w:r>
      <w:r w:rsidR="00727044" w:rsidRPr="001C6FAE">
        <w:rPr>
          <w:rFonts w:cs="Times New Roman"/>
          <w:sz w:val="20"/>
          <w:szCs w:val="20"/>
          <w:lang w:val="fr-FR"/>
        </w:rPr>
        <w:t>,</w:t>
      </w:r>
      <w:r w:rsidRPr="001C6FAE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1C6FAE">
        <w:rPr>
          <w:rFonts w:cs="Times New Roman"/>
          <w:sz w:val="20"/>
          <w:szCs w:val="20"/>
          <w:lang w:val="fr-FR"/>
        </w:rPr>
        <w:t>Takano</w:t>
      </w:r>
      <w:proofErr w:type="spellEnd"/>
      <w:r w:rsidRPr="001C6FAE">
        <w:rPr>
          <w:rFonts w:cs="Times New Roman"/>
          <w:sz w:val="20"/>
          <w:szCs w:val="20"/>
          <w:lang w:val="fr-FR"/>
        </w:rPr>
        <w:t xml:space="preserve"> T and</w:t>
      </w:r>
      <w:r w:rsidR="00727044" w:rsidRPr="001C6FAE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1C6FAE">
        <w:rPr>
          <w:rFonts w:cs="Times New Roman"/>
          <w:sz w:val="20"/>
          <w:szCs w:val="20"/>
          <w:lang w:val="fr-FR"/>
        </w:rPr>
        <w:t>Ohbayashi</w:t>
      </w:r>
      <w:proofErr w:type="spellEnd"/>
      <w:r w:rsidRPr="001C6FAE">
        <w:rPr>
          <w:rFonts w:cs="Times New Roman"/>
          <w:sz w:val="20"/>
          <w:szCs w:val="20"/>
          <w:lang w:val="fr-FR"/>
        </w:rPr>
        <w:t xml:space="preserve"> K (2004)</w:t>
      </w:r>
      <w:r w:rsidR="001A0E59" w:rsidRPr="001C6FAE">
        <w:rPr>
          <w:rFonts w:cs="Times New Roman"/>
          <w:sz w:val="20"/>
          <w:szCs w:val="20"/>
          <w:lang w:val="fr-FR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Office Cardiologists Cooperative Study on Whole Blood Rapid Panel Tests in Patients With Suspicious Acute Myocardial </w:t>
      </w:r>
      <w:r w:rsidR="00612B36" w:rsidRPr="001C6FAE">
        <w:rPr>
          <w:rFonts w:cs="Times New Roman"/>
          <w:sz w:val="20"/>
          <w:szCs w:val="20"/>
        </w:rPr>
        <w:t xml:space="preserve">Infarction. </w:t>
      </w:r>
      <w:r w:rsidRPr="001C6FAE">
        <w:rPr>
          <w:rFonts w:cs="Times New Roman"/>
          <w:sz w:val="20"/>
          <w:szCs w:val="20"/>
        </w:rPr>
        <w:t xml:space="preserve">Comparison </w:t>
      </w:r>
      <w:proofErr w:type="gramStart"/>
      <w:r w:rsidRPr="001C6FAE">
        <w:rPr>
          <w:rFonts w:cs="Times New Roman"/>
          <w:sz w:val="20"/>
          <w:szCs w:val="20"/>
        </w:rPr>
        <w:t>Between</w:t>
      </w:r>
      <w:proofErr w:type="gramEnd"/>
      <w:r w:rsidRPr="001C6FAE">
        <w:rPr>
          <w:rFonts w:cs="Times New Roman"/>
          <w:sz w:val="20"/>
          <w:szCs w:val="20"/>
        </w:rPr>
        <w:t xml:space="preserve"> Heart-Type Fatty Acid-Binding</w:t>
      </w:r>
      <w:r w:rsidR="00922291" w:rsidRP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Protein and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T Tests. Circ </w:t>
      </w:r>
      <w:r w:rsidR="00612B36" w:rsidRPr="001C6FAE">
        <w:rPr>
          <w:rFonts w:cs="Times New Roman"/>
          <w:sz w:val="20"/>
          <w:szCs w:val="20"/>
        </w:rPr>
        <w:t xml:space="preserve">J. </w:t>
      </w:r>
      <w:r w:rsidRPr="001C6FAE">
        <w:rPr>
          <w:rFonts w:cs="Times New Roman"/>
          <w:sz w:val="20"/>
          <w:szCs w:val="20"/>
        </w:rPr>
        <w:t>68:144–148.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Sanders GT, Schouten Y </w:t>
      </w:r>
      <w:r w:rsidR="00612B36" w:rsidRPr="001C6FAE">
        <w:rPr>
          <w:rFonts w:cs="Times New Roman"/>
          <w:sz w:val="20"/>
          <w:szCs w:val="20"/>
        </w:rPr>
        <w:t>and De</w:t>
      </w:r>
      <w:r w:rsidRPr="001C6FAE">
        <w:rPr>
          <w:rFonts w:cs="Times New Roman"/>
          <w:sz w:val="20"/>
          <w:szCs w:val="20"/>
        </w:rPr>
        <w:t xml:space="preserve"> Winter RJ (1998)</w:t>
      </w:r>
      <w:r w:rsidR="001A0E59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Evaluation of human heart type fatty acid binding protein assay for early detection of myocardial infarction.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Pr="001C6FAE">
        <w:rPr>
          <w:rFonts w:cs="Times New Roman"/>
          <w:sz w:val="20"/>
          <w:szCs w:val="20"/>
        </w:rPr>
        <w:t xml:space="preserve"> Chem. 44:132-166.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Seino Y, Ogata K, Takano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T,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Ishii J, </w:t>
      </w:r>
      <w:proofErr w:type="spellStart"/>
      <w:r w:rsidRPr="001C6FAE">
        <w:rPr>
          <w:rFonts w:cs="Times New Roman"/>
          <w:sz w:val="20"/>
          <w:szCs w:val="20"/>
        </w:rPr>
        <w:t>Hishida</w:t>
      </w:r>
      <w:proofErr w:type="spellEnd"/>
      <w:r w:rsidRPr="001C6FAE">
        <w:rPr>
          <w:rFonts w:cs="Times New Roman"/>
          <w:sz w:val="20"/>
          <w:szCs w:val="20"/>
        </w:rPr>
        <w:t xml:space="preserve"> H,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Morita H, </w:t>
      </w:r>
      <w:proofErr w:type="spellStart"/>
      <w:r w:rsidRPr="001C6FAE">
        <w:rPr>
          <w:rFonts w:cs="Times New Roman"/>
          <w:sz w:val="20"/>
          <w:szCs w:val="20"/>
        </w:rPr>
        <w:t>Takeshita</w:t>
      </w:r>
      <w:proofErr w:type="spellEnd"/>
      <w:r w:rsidRPr="001C6FAE">
        <w:rPr>
          <w:rFonts w:cs="Times New Roman"/>
          <w:sz w:val="20"/>
          <w:szCs w:val="20"/>
        </w:rPr>
        <w:t xml:space="preserve"> H,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Takagi Y, Sugiyama H, Tanaka T and </w:t>
      </w:r>
      <w:proofErr w:type="spellStart"/>
      <w:r w:rsidRPr="001C6FAE">
        <w:rPr>
          <w:rFonts w:cs="Times New Roman"/>
          <w:sz w:val="20"/>
          <w:szCs w:val="20"/>
        </w:rPr>
        <w:t>Kitaura</w:t>
      </w:r>
      <w:proofErr w:type="spellEnd"/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Y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(2003)</w:t>
      </w:r>
      <w:r w:rsidR="00727044" w:rsidRPr="001C6FAE">
        <w:rPr>
          <w:rFonts w:cs="Times New Roman"/>
          <w:sz w:val="20"/>
          <w:szCs w:val="20"/>
        </w:rPr>
        <w:t>. U</w:t>
      </w:r>
      <w:r w:rsidRPr="001C6FAE">
        <w:rPr>
          <w:rFonts w:cs="Times New Roman"/>
          <w:sz w:val="20"/>
          <w:szCs w:val="20"/>
        </w:rPr>
        <w:t xml:space="preserve">se of a Whole Blood Rapid Panel Test for heart-type fatty acid–binding protein in patients with acute chest pain: comparison with Rapid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I and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Tests</w:t>
      </w:r>
      <w:r w:rsidR="00727044" w:rsidRPr="001C6FAE">
        <w:rPr>
          <w:rFonts w:cs="Times New Roman"/>
          <w:sz w:val="20"/>
          <w:szCs w:val="20"/>
        </w:rPr>
        <w:t>. A</w:t>
      </w:r>
      <w:r w:rsidRPr="001C6FAE">
        <w:rPr>
          <w:rFonts w:cs="Times New Roman"/>
          <w:sz w:val="20"/>
          <w:szCs w:val="20"/>
        </w:rPr>
        <w:t>m J Med.115:185-90.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McCord J, Nowak RM, McCullough PA, </w:t>
      </w:r>
      <w:proofErr w:type="spellStart"/>
      <w:r w:rsidRPr="001C6FAE">
        <w:rPr>
          <w:rFonts w:cs="Times New Roman"/>
          <w:sz w:val="20"/>
          <w:szCs w:val="20"/>
        </w:rPr>
        <w:t>Foreback</w:t>
      </w:r>
      <w:proofErr w:type="spellEnd"/>
      <w:r w:rsidRPr="001C6FAE">
        <w:rPr>
          <w:rFonts w:cs="Times New Roman"/>
          <w:sz w:val="20"/>
          <w:szCs w:val="20"/>
        </w:rPr>
        <w:t xml:space="preserve"> C, </w:t>
      </w:r>
      <w:proofErr w:type="spellStart"/>
      <w:r w:rsidRPr="001C6FAE">
        <w:rPr>
          <w:rFonts w:cs="Times New Roman"/>
          <w:sz w:val="20"/>
          <w:szCs w:val="20"/>
        </w:rPr>
        <w:t>Borzak</w:t>
      </w:r>
      <w:proofErr w:type="spellEnd"/>
      <w:r w:rsidRPr="001C6FAE">
        <w:rPr>
          <w:rFonts w:cs="Times New Roman"/>
          <w:sz w:val="20"/>
          <w:szCs w:val="20"/>
        </w:rPr>
        <w:t xml:space="preserve"> S, </w:t>
      </w:r>
      <w:proofErr w:type="spellStart"/>
      <w:r w:rsidRPr="001C6FAE">
        <w:rPr>
          <w:rFonts w:cs="Times New Roman"/>
          <w:sz w:val="20"/>
          <w:szCs w:val="20"/>
        </w:rPr>
        <w:t>Tokarski</w:t>
      </w:r>
      <w:proofErr w:type="spellEnd"/>
      <w:r w:rsidRPr="001C6FAE">
        <w:rPr>
          <w:rFonts w:cs="Times New Roman"/>
          <w:sz w:val="20"/>
          <w:szCs w:val="20"/>
        </w:rPr>
        <w:t xml:space="preserve"> G, </w:t>
      </w:r>
      <w:proofErr w:type="spellStart"/>
      <w:r w:rsidRPr="001C6FAE">
        <w:rPr>
          <w:rFonts w:cs="Times New Roman"/>
          <w:sz w:val="20"/>
          <w:szCs w:val="20"/>
        </w:rPr>
        <w:t>Tomlanovich</w:t>
      </w:r>
      <w:proofErr w:type="spellEnd"/>
      <w:r w:rsidRPr="001C6FAE">
        <w:rPr>
          <w:rFonts w:cs="Times New Roman"/>
          <w:sz w:val="20"/>
          <w:szCs w:val="20"/>
        </w:rPr>
        <w:t xml:space="preserve"> MC, Jacobsen G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and Weaver WD (2001)</w:t>
      </w:r>
      <w:r w:rsidR="009C09F2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Ninety-minute exclusion of acute myocardial infarction by use of quantitative point-of-care testing of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 and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I. Circulation</w:t>
      </w:r>
      <w:r w:rsidR="00727044" w:rsidRPr="001C6FAE">
        <w:rPr>
          <w:rFonts w:cs="Times New Roman"/>
          <w:sz w:val="20"/>
          <w:szCs w:val="20"/>
        </w:rPr>
        <w:t>.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104:1483-8.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Melanson</w:t>
      </w:r>
      <w:proofErr w:type="spellEnd"/>
      <w:r w:rsidRPr="001C6FAE">
        <w:rPr>
          <w:rFonts w:cs="Times New Roman"/>
          <w:sz w:val="20"/>
          <w:szCs w:val="20"/>
        </w:rPr>
        <w:t xml:space="preserve"> SF, </w:t>
      </w:r>
      <w:proofErr w:type="spellStart"/>
      <w:r w:rsidRPr="001C6FAE">
        <w:rPr>
          <w:rFonts w:cs="Times New Roman"/>
          <w:sz w:val="20"/>
          <w:szCs w:val="20"/>
        </w:rPr>
        <w:t>Lewandrowski</w:t>
      </w:r>
      <w:proofErr w:type="spellEnd"/>
      <w:r w:rsidRPr="001C6FAE">
        <w:rPr>
          <w:rFonts w:cs="Times New Roman"/>
          <w:sz w:val="20"/>
          <w:szCs w:val="20"/>
        </w:rPr>
        <w:t xml:space="preserve"> EL, </w:t>
      </w:r>
      <w:proofErr w:type="spellStart"/>
      <w:r w:rsidRPr="001C6FAE">
        <w:rPr>
          <w:rFonts w:cs="Times New Roman"/>
          <w:sz w:val="20"/>
          <w:szCs w:val="20"/>
        </w:rPr>
        <w:t>Januzzi</w:t>
      </w:r>
      <w:proofErr w:type="spellEnd"/>
      <w:r w:rsidRPr="001C6FAE">
        <w:rPr>
          <w:rFonts w:cs="Times New Roman"/>
          <w:sz w:val="20"/>
          <w:szCs w:val="20"/>
        </w:rPr>
        <w:t xml:space="preserve"> JL and </w:t>
      </w:r>
      <w:proofErr w:type="spellStart"/>
      <w:r w:rsidRPr="001C6FAE">
        <w:rPr>
          <w:rFonts w:cs="Times New Roman"/>
          <w:sz w:val="20"/>
          <w:szCs w:val="20"/>
        </w:rPr>
        <w:t>Lewandrowski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r w:rsidR="00612B36" w:rsidRPr="001C6FAE">
        <w:rPr>
          <w:rFonts w:cs="Times New Roman"/>
          <w:sz w:val="20"/>
          <w:szCs w:val="20"/>
        </w:rPr>
        <w:t>KB (</w:t>
      </w:r>
      <w:r w:rsidRPr="001C6FAE">
        <w:rPr>
          <w:rFonts w:cs="Times New Roman"/>
          <w:sz w:val="20"/>
          <w:szCs w:val="20"/>
        </w:rPr>
        <w:t>2004)</w:t>
      </w:r>
      <w:r w:rsidR="009C09F2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Reevaluation of </w:t>
      </w:r>
      <w:proofErr w:type="spellStart"/>
      <w:r w:rsidRPr="001C6FAE">
        <w:rPr>
          <w:rFonts w:cs="Times New Roman"/>
          <w:sz w:val="20"/>
          <w:szCs w:val="20"/>
        </w:rPr>
        <w:t>myoglobin</w:t>
      </w:r>
      <w:proofErr w:type="spellEnd"/>
      <w:r w:rsidRPr="001C6FAE">
        <w:rPr>
          <w:rFonts w:cs="Times New Roman"/>
          <w:sz w:val="20"/>
          <w:szCs w:val="20"/>
        </w:rPr>
        <w:t xml:space="preserve"> for acute chest pain evaluation: would false- positive results on "first-draw" specimens lead to increased hospital admissions? Am J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lastRenderedPageBreak/>
        <w:t>Pathol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121:804-8.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Montague C and </w:t>
      </w:r>
      <w:proofErr w:type="spellStart"/>
      <w:r w:rsidRPr="001C6FAE">
        <w:rPr>
          <w:rFonts w:cs="Times New Roman"/>
          <w:sz w:val="20"/>
          <w:szCs w:val="20"/>
        </w:rPr>
        <w:t>Kircher</w:t>
      </w:r>
      <w:proofErr w:type="spellEnd"/>
      <w:r w:rsidRPr="001C6FAE">
        <w:rPr>
          <w:rFonts w:cs="Times New Roman"/>
          <w:sz w:val="20"/>
          <w:szCs w:val="20"/>
        </w:rPr>
        <w:t xml:space="preserve"> T (1995)</w:t>
      </w:r>
      <w:r w:rsidR="00727044" w:rsidRPr="001C6FAE">
        <w:rPr>
          <w:rFonts w:cs="Times New Roman"/>
          <w:sz w:val="20"/>
          <w:szCs w:val="20"/>
        </w:rPr>
        <w:t xml:space="preserve">. </w:t>
      </w:r>
      <w:proofErr w:type="spellStart"/>
      <w:r w:rsidR="00727044" w:rsidRPr="001C6FAE">
        <w:rPr>
          <w:rFonts w:cs="Times New Roman"/>
          <w:sz w:val="20"/>
          <w:szCs w:val="20"/>
        </w:rPr>
        <w:t>M</w:t>
      </w:r>
      <w:r w:rsidRPr="001C6FAE">
        <w:rPr>
          <w:rFonts w:cs="Times New Roman"/>
          <w:sz w:val="20"/>
          <w:szCs w:val="20"/>
        </w:rPr>
        <w:t>yoglobin</w:t>
      </w:r>
      <w:proofErr w:type="spellEnd"/>
      <w:r w:rsidRPr="001C6FAE">
        <w:rPr>
          <w:rFonts w:cs="Times New Roman"/>
          <w:sz w:val="20"/>
          <w:szCs w:val="20"/>
        </w:rPr>
        <w:t xml:space="preserve"> in the early evaluation of acute chest pain. Am J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Pathol</w:t>
      </w:r>
      <w:proofErr w:type="spellEnd"/>
      <w:r w:rsidRPr="001C6FAE">
        <w:rPr>
          <w:rFonts w:cs="Times New Roman"/>
          <w:sz w:val="20"/>
          <w:szCs w:val="20"/>
        </w:rPr>
        <w:t>.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104:472-6.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Brogan GX (2007)</w:t>
      </w:r>
      <w:r w:rsidR="00816523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Risk </w:t>
      </w:r>
      <w:r w:rsidR="00816523" w:rsidRPr="001C6FAE">
        <w:rPr>
          <w:rFonts w:cs="Times New Roman"/>
          <w:sz w:val="20"/>
          <w:szCs w:val="20"/>
        </w:rPr>
        <w:t>stratification</w:t>
      </w:r>
      <w:r w:rsidRPr="001C6FAE">
        <w:rPr>
          <w:rFonts w:cs="Times New Roman"/>
          <w:sz w:val="20"/>
          <w:szCs w:val="20"/>
        </w:rPr>
        <w:t xml:space="preserve"> for patients with non-ST-segment elevation acute coronary syndromes in the emergency department. Emergency Medicine Cardiac Research and Education Group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(EMCREG)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6:1-11.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Willemsen</w:t>
      </w:r>
      <w:proofErr w:type="spellEnd"/>
      <w:r w:rsidRPr="001C6FAE">
        <w:rPr>
          <w:rFonts w:cs="Times New Roman"/>
          <w:sz w:val="20"/>
          <w:szCs w:val="20"/>
        </w:rPr>
        <w:t xml:space="preserve"> R, Van </w:t>
      </w:r>
      <w:proofErr w:type="spellStart"/>
      <w:r w:rsidRPr="001C6FAE">
        <w:rPr>
          <w:rFonts w:cs="Times New Roman"/>
          <w:sz w:val="20"/>
          <w:szCs w:val="20"/>
        </w:rPr>
        <w:t>Severen</w:t>
      </w:r>
      <w:proofErr w:type="spellEnd"/>
      <w:r w:rsidRPr="001C6FAE">
        <w:rPr>
          <w:rFonts w:cs="Times New Roman"/>
          <w:sz w:val="20"/>
          <w:szCs w:val="20"/>
        </w:rPr>
        <w:t xml:space="preserve"> E and </w:t>
      </w:r>
      <w:proofErr w:type="spellStart"/>
      <w:r w:rsidRPr="001C6FAE">
        <w:rPr>
          <w:rFonts w:cs="Times New Roman"/>
          <w:sz w:val="20"/>
          <w:szCs w:val="20"/>
        </w:rPr>
        <w:t>Vandervoort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r w:rsidR="00612B36" w:rsidRPr="001C6FAE">
        <w:rPr>
          <w:rFonts w:cs="Times New Roman"/>
          <w:sz w:val="20"/>
          <w:szCs w:val="20"/>
        </w:rPr>
        <w:t>PM (</w:t>
      </w:r>
      <w:r w:rsidRPr="001C6FAE">
        <w:rPr>
          <w:rFonts w:cs="Times New Roman"/>
          <w:sz w:val="20"/>
          <w:szCs w:val="20"/>
        </w:rPr>
        <w:t>2015)</w:t>
      </w:r>
      <w:r w:rsidR="00816523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Heart-type fatty acid binding protein (H-FABP) in patients in an emergency department setting, suspected of acute coronary syndrome: optimal cut-off point, diagnostic value and future opportunities in primary care. Compared to high-sensitive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 T for early exclusion of acute myocardial infarction. </w:t>
      </w:r>
      <w:proofErr w:type="spellStart"/>
      <w:r w:rsidRPr="001C6FAE">
        <w:rPr>
          <w:rFonts w:cs="Times New Roman"/>
          <w:sz w:val="20"/>
          <w:szCs w:val="20"/>
        </w:rPr>
        <w:t>Eur</w:t>
      </w:r>
      <w:proofErr w:type="spellEnd"/>
      <w:r w:rsidRPr="001C6FAE">
        <w:rPr>
          <w:rFonts w:cs="Times New Roman"/>
          <w:sz w:val="20"/>
          <w:szCs w:val="20"/>
        </w:rPr>
        <w:t xml:space="preserve"> J Gen </w:t>
      </w:r>
      <w:proofErr w:type="spellStart"/>
      <w:r w:rsidRPr="001C6FAE">
        <w:rPr>
          <w:rFonts w:cs="Times New Roman"/>
          <w:sz w:val="20"/>
          <w:szCs w:val="20"/>
        </w:rPr>
        <w:t>Pract</w:t>
      </w:r>
      <w:proofErr w:type="spellEnd"/>
      <w:r w:rsidRPr="001C6FAE">
        <w:rPr>
          <w:rFonts w:cs="Times New Roman"/>
          <w:sz w:val="20"/>
          <w:szCs w:val="20"/>
        </w:rPr>
        <w:t>. 21:156–63.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Setsuta</w:t>
      </w:r>
      <w:proofErr w:type="spellEnd"/>
      <w:r w:rsidRPr="001C6FAE">
        <w:rPr>
          <w:rFonts w:cs="Times New Roman"/>
          <w:sz w:val="20"/>
          <w:szCs w:val="20"/>
        </w:rPr>
        <w:t xml:space="preserve"> K, Seino Y, Ogawa T, </w:t>
      </w:r>
      <w:proofErr w:type="spellStart"/>
      <w:r w:rsidRPr="001C6FAE">
        <w:rPr>
          <w:rFonts w:cs="Times New Roman"/>
          <w:sz w:val="20"/>
          <w:szCs w:val="20"/>
        </w:rPr>
        <w:t>Arao</w:t>
      </w:r>
      <w:proofErr w:type="spellEnd"/>
      <w:r w:rsidRPr="001C6FAE">
        <w:rPr>
          <w:rFonts w:cs="Times New Roman"/>
          <w:sz w:val="20"/>
          <w:szCs w:val="20"/>
        </w:rPr>
        <w:t xml:space="preserve"> M, </w:t>
      </w:r>
      <w:proofErr w:type="spellStart"/>
      <w:r w:rsidRPr="001C6FAE">
        <w:rPr>
          <w:rFonts w:cs="Times New Roman"/>
          <w:sz w:val="20"/>
          <w:szCs w:val="20"/>
        </w:rPr>
        <w:t>Miyatake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r w:rsidR="00612B36" w:rsidRPr="001C6FAE">
        <w:rPr>
          <w:rFonts w:cs="Times New Roman"/>
          <w:sz w:val="20"/>
          <w:szCs w:val="20"/>
        </w:rPr>
        <w:t>Y and</w:t>
      </w:r>
      <w:r w:rsidRPr="001C6FAE">
        <w:rPr>
          <w:rFonts w:cs="Times New Roman"/>
          <w:sz w:val="20"/>
          <w:szCs w:val="20"/>
        </w:rPr>
        <w:t xml:space="preserve"> Takano T. (2002)</w:t>
      </w:r>
      <w:r w:rsidR="00816523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Use of </w:t>
      </w:r>
      <w:proofErr w:type="spellStart"/>
      <w:r w:rsidRPr="001C6FAE">
        <w:rPr>
          <w:rFonts w:cs="Times New Roman"/>
          <w:sz w:val="20"/>
          <w:szCs w:val="20"/>
        </w:rPr>
        <w:t>cytosolic</w:t>
      </w:r>
      <w:proofErr w:type="spellEnd"/>
      <w:r w:rsidRPr="001C6FAE">
        <w:rPr>
          <w:rFonts w:cs="Times New Roman"/>
          <w:sz w:val="20"/>
          <w:szCs w:val="20"/>
        </w:rPr>
        <w:t xml:space="preserve"> and myofibril markers in the detection of ongoing </w:t>
      </w:r>
      <w:r w:rsidRPr="001C6FAE">
        <w:rPr>
          <w:rFonts w:cs="Times New Roman"/>
          <w:sz w:val="20"/>
          <w:szCs w:val="20"/>
        </w:rPr>
        <w:lastRenderedPageBreak/>
        <w:t>myocardial damage in patients with chronic heart failure. Am J Med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113:717–22.</w:t>
      </w:r>
    </w:p>
    <w:p w:rsidR="003B2826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1C6FAE">
        <w:rPr>
          <w:rFonts w:cs="Times New Roman"/>
          <w:sz w:val="20"/>
          <w:szCs w:val="20"/>
        </w:rPr>
        <w:t>Ruzgar</w:t>
      </w:r>
      <w:proofErr w:type="spellEnd"/>
      <w:r w:rsidRPr="001C6FAE">
        <w:rPr>
          <w:rFonts w:cs="Times New Roman"/>
          <w:sz w:val="20"/>
          <w:szCs w:val="20"/>
        </w:rPr>
        <w:t xml:space="preserve"> O, Bilge AK, </w:t>
      </w:r>
      <w:proofErr w:type="spellStart"/>
      <w:r w:rsidRPr="001C6FAE">
        <w:rPr>
          <w:rFonts w:cs="Times New Roman"/>
          <w:sz w:val="20"/>
          <w:szCs w:val="20"/>
        </w:rPr>
        <w:t>Bugra</w:t>
      </w:r>
      <w:proofErr w:type="spellEnd"/>
      <w:r w:rsidRPr="001C6FAE">
        <w:rPr>
          <w:rFonts w:cs="Times New Roman"/>
          <w:sz w:val="20"/>
          <w:szCs w:val="20"/>
        </w:rPr>
        <w:t xml:space="preserve"> Z, </w:t>
      </w:r>
      <w:proofErr w:type="spellStart"/>
      <w:r w:rsidRPr="001C6FAE">
        <w:rPr>
          <w:rFonts w:cs="Times New Roman"/>
          <w:sz w:val="20"/>
          <w:szCs w:val="20"/>
        </w:rPr>
        <w:t>Umman</w:t>
      </w:r>
      <w:proofErr w:type="spellEnd"/>
      <w:r w:rsidRPr="001C6FAE">
        <w:rPr>
          <w:rFonts w:cs="Times New Roman"/>
          <w:sz w:val="20"/>
          <w:szCs w:val="20"/>
        </w:rPr>
        <w:t xml:space="preserve"> S, </w:t>
      </w:r>
      <w:proofErr w:type="spellStart"/>
      <w:r w:rsidRPr="001C6FAE">
        <w:rPr>
          <w:rFonts w:cs="Times New Roman"/>
          <w:sz w:val="20"/>
          <w:szCs w:val="20"/>
        </w:rPr>
        <w:t>Yilmaz</w:t>
      </w:r>
      <w:proofErr w:type="spellEnd"/>
      <w:r w:rsidRPr="001C6FAE">
        <w:rPr>
          <w:rFonts w:cs="Times New Roman"/>
          <w:sz w:val="20"/>
          <w:szCs w:val="20"/>
        </w:rPr>
        <w:t xml:space="preserve"> E, </w:t>
      </w:r>
      <w:proofErr w:type="spellStart"/>
      <w:r w:rsidRPr="001C6FAE">
        <w:rPr>
          <w:rFonts w:cs="Times New Roman"/>
          <w:sz w:val="20"/>
          <w:szCs w:val="20"/>
        </w:rPr>
        <w:t>Ozben</w:t>
      </w:r>
      <w:proofErr w:type="spellEnd"/>
      <w:r w:rsidRPr="001C6FAE">
        <w:rPr>
          <w:rFonts w:cs="Times New Roman"/>
          <w:sz w:val="20"/>
          <w:szCs w:val="20"/>
        </w:rPr>
        <w:t xml:space="preserve"> B, </w:t>
      </w:r>
      <w:proofErr w:type="spellStart"/>
      <w:r w:rsidRPr="001C6FAE">
        <w:rPr>
          <w:rFonts w:cs="Times New Roman"/>
          <w:sz w:val="20"/>
          <w:szCs w:val="20"/>
        </w:rPr>
        <w:t>Umman</w:t>
      </w:r>
      <w:proofErr w:type="spellEnd"/>
      <w:r w:rsidRPr="001C6FAE">
        <w:rPr>
          <w:rFonts w:cs="Times New Roman"/>
          <w:sz w:val="20"/>
          <w:szCs w:val="20"/>
        </w:rPr>
        <w:t xml:space="preserve"> B and </w:t>
      </w:r>
      <w:proofErr w:type="spellStart"/>
      <w:r w:rsidRPr="001C6FAE">
        <w:rPr>
          <w:rFonts w:cs="Times New Roman"/>
          <w:sz w:val="20"/>
          <w:szCs w:val="20"/>
        </w:rPr>
        <w:t>Meric</w:t>
      </w:r>
      <w:proofErr w:type="spellEnd"/>
      <w:r w:rsidRPr="001C6FAE">
        <w:rPr>
          <w:rFonts w:cs="Times New Roman"/>
          <w:sz w:val="20"/>
          <w:szCs w:val="20"/>
        </w:rPr>
        <w:t xml:space="preserve"> M.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(2006)</w:t>
      </w:r>
      <w:r w:rsidR="00816523" w:rsidRPr="001C6FAE">
        <w:rPr>
          <w:rFonts w:cs="Times New Roman"/>
          <w:sz w:val="20"/>
          <w:szCs w:val="20"/>
        </w:rPr>
        <w:t xml:space="preserve">. </w:t>
      </w:r>
      <w:r w:rsidRPr="001C6FAE">
        <w:rPr>
          <w:rFonts w:cs="Times New Roman"/>
          <w:sz w:val="20"/>
          <w:szCs w:val="20"/>
        </w:rPr>
        <w:t xml:space="preserve">The use of human heart-type fatty acid-binding protein as an early diagnostic biochemical marker of myocardial necrosis in patients with acute coronary syndrome, and its comparison with </w:t>
      </w:r>
      <w:proofErr w:type="spellStart"/>
      <w:r w:rsidRPr="001C6FAE">
        <w:rPr>
          <w:rFonts w:cs="Times New Roman"/>
          <w:sz w:val="20"/>
          <w:szCs w:val="20"/>
        </w:rPr>
        <w:t>troponin</w:t>
      </w:r>
      <w:proofErr w:type="spellEnd"/>
      <w:r w:rsidRPr="001C6FAE">
        <w:rPr>
          <w:rFonts w:cs="Times New Roman"/>
          <w:sz w:val="20"/>
          <w:szCs w:val="20"/>
        </w:rPr>
        <w:t xml:space="preserve">-T and </w:t>
      </w:r>
      <w:proofErr w:type="spellStart"/>
      <w:r w:rsidRPr="001C6FAE">
        <w:rPr>
          <w:rFonts w:cs="Times New Roman"/>
          <w:sz w:val="20"/>
          <w:szCs w:val="20"/>
        </w:rPr>
        <w:t>creatine</w:t>
      </w:r>
      <w:proofErr w:type="spellEnd"/>
      <w:r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kinase</w:t>
      </w:r>
      <w:proofErr w:type="spellEnd"/>
      <w:r w:rsidRPr="001C6FAE">
        <w:rPr>
          <w:rFonts w:cs="Times New Roman"/>
          <w:sz w:val="20"/>
          <w:szCs w:val="20"/>
        </w:rPr>
        <w:t>- myocardial band. Heart Vessels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>21:309-14.</w:t>
      </w:r>
    </w:p>
    <w:p w:rsidR="00922291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Carroll C, al </w:t>
      </w:r>
      <w:proofErr w:type="spellStart"/>
      <w:r w:rsidRPr="001C6FAE">
        <w:rPr>
          <w:rFonts w:cs="Times New Roman"/>
          <w:sz w:val="20"/>
          <w:szCs w:val="20"/>
        </w:rPr>
        <w:t>Khalif</w:t>
      </w:r>
      <w:proofErr w:type="spellEnd"/>
      <w:r w:rsidRPr="001C6FAE">
        <w:rPr>
          <w:rFonts w:cs="Times New Roman"/>
          <w:sz w:val="20"/>
          <w:szCs w:val="20"/>
        </w:rPr>
        <w:t xml:space="preserve"> M, Stevens J, </w:t>
      </w:r>
      <w:proofErr w:type="spellStart"/>
      <w:r w:rsidRPr="001C6FAE">
        <w:rPr>
          <w:rFonts w:cs="Times New Roman"/>
          <w:sz w:val="20"/>
          <w:szCs w:val="20"/>
        </w:rPr>
        <w:t>Leaviss</w:t>
      </w:r>
      <w:proofErr w:type="spellEnd"/>
      <w:r w:rsidRPr="001C6FAE">
        <w:rPr>
          <w:rFonts w:cs="Times New Roman"/>
          <w:sz w:val="20"/>
          <w:szCs w:val="20"/>
        </w:rPr>
        <w:t xml:space="preserve"> J, </w:t>
      </w:r>
      <w:proofErr w:type="spellStart"/>
      <w:r w:rsidRPr="001C6FAE">
        <w:rPr>
          <w:rFonts w:cs="Times New Roman"/>
          <w:sz w:val="20"/>
          <w:szCs w:val="20"/>
        </w:rPr>
        <w:t>Goodacre</w:t>
      </w:r>
      <w:proofErr w:type="spellEnd"/>
      <w:r w:rsidRPr="001C6FAE">
        <w:rPr>
          <w:rFonts w:cs="Times New Roman"/>
          <w:sz w:val="20"/>
          <w:szCs w:val="20"/>
        </w:rPr>
        <w:t xml:space="preserve"> S and </w:t>
      </w:r>
      <w:proofErr w:type="spellStart"/>
      <w:r w:rsidRPr="001C6FAE">
        <w:rPr>
          <w:rFonts w:cs="Times New Roman"/>
          <w:sz w:val="20"/>
          <w:szCs w:val="20"/>
        </w:rPr>
        <w:t>Collinson</w:t>
      </w:r>
      <w:proofErr w:type="spellEnd"/>
      <w:r w:rsidRPr="001C6FAE">
        <w:rPr>
          <w:rFonts w:cs="Times New Roman"/>
          <w:sz w:val="20"/>
          <w:szCs w:val="20"/>
        </w:rPr>
        <w:t xml:space="preserve"> P</w:t>
      </w:r>
      <w:r w:rsid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1C6FAE">
        <w:rPr>
          <w:rFonts w:cs="Times New Roman"/>
          <w:sz w:val="20"/>
          <w:szCs w:val="20"/>
        </w:rPr>
        <w:t>(2012)</w:t>
      </w:r>
      <w:r w:rsidR="00727044" w:rsidRPr="001C6FAE">
        <w:rPr>
          <w:rFonts w:cs="Times New Roman"/>
          <w:sz w:val="20"/>
          <w:szCs w:val="20"/>
        </w:rPr>
        <w:t>. H</w:t>
      </w:r>
      <w:r w:rsidRPr="001C6FAE">
        <w:rPr>
          <w:rFonts w:cs="Times New Roman"/>
          <w:sz w:val="20"/>
          <w:szCs w:val="20"/>
        </w:rPr>
        <w:t>eart-type fatty acid binding protein as an early marker for myocardial infarction: Systematic review and meta-analysis</w:t>
      </w:r>
      <w:r w:rsidR="00816523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Emergency Medicine Journal; 10.1136-20117</w:t>
      </w:r>
      <w:r w:rsidR="00922291" w:rsidRPr="001C6FAE">
        <w:rPr>
          <w:rFonts w:cs="Times New Roman"/>
          <w:sz w:val="20"/>
          <w:szCs w:val="20"/>
        </w:rPr>
        <w:t>4.</w:t>
      </w:r>
    </w:p>
    <w:p w:rsidR="002D12EF" w:rsidRPr="001C6FAE" w:rsidRDefault="003B2826" w:rsidP="002D12EF">
      <w:pPr>
        <w:pStyle w:val="BodyText"/>
        <w:numPr>
          <w:ilvl w:val="0"/>
          <w:numId w:val="5"/>
        </w:numPr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 xml:space="preserve">Apple FS, </w:t>
      </w:r>
      <w:proofErr w:type="spellStart"/>
      <w:r w:rsidRPr="001C6FAE">
        <w:rPr>
          <w:rFonts w:cs="Times New Roman"/>
          <w:sz w:val="20"/>
          <w:szCs w:val="20"/>
        </w:rPr>
        <w:t>Panteghini</w:t>
      </w:r>
      <w:proofErr w:type="spellEnd"/>
      <w:r w:rsidRPr="001C6FAE">
        <w:rPr>
          <w:rFonts w:cs="Times New Roman"/>
          <w:sz w:val="20"/>
          <w:szCs w:val="20"/>
        </w:rPr>
        <w:t xml:space="preserve"> M, </w:t>
      </w:r>
      <w:proofErr w:type="spellStart"/>
      <w:r w:rsidRPr="001C6FAE">
        <w:rPr>
          <w:rFonts w:cs="Times New Roman"/>
          <w:sz w:val="20"/>
          <w:szCs w:val="20"/>
        </w:rPr>
        <w:t>Ravkilde</w:t>
      </w:r>
      <w:proofErr w:type="spellEnd"/>
      <w:r w:rsidRPr="001C6FAE">
        <w:rPr>
          <w:rFonts w:cs="Times New Roman"/>
          <w:sz w:val="20"/>
          <w:szCs w:val="20"/>
        </w:rPr>
        <w:t xml:space="preserve"> J, </w:t>
      </w:r>
      <w:proofErr w:type="spellStart"/>
      <w:r w:rsidRPr="001C6FAE">
        <w:rPr>
          <w:rFonts w:cs="Times New Roman"/>
          <w:sz w:val="20"/>
          <w:szCs w:val="20"/>
        </w:rPr>
        <w:t>Mair</w:t>
      </w:r>
      <w:proofErr w:type="spellEnd"/>
      <w:r w:rsidRPr="001C6FAE">
        <w:rPr>
          <w:rFonts w:cs="Times New Roman"/>
          <w:sz w:val="20"/>
          <w:szCs w:val="20"/>
        </w:rPr>
        <w:t xml:space="preserve"> J, Wu AH, Tate J, </w:t>
      </w:r>
      <w:proofErr w:type="spellStart"/>
      <w:r w:rsidRPr="001C6FAE">
        <w:rPr>
          <w:rFonts w:cs="Times New Roman"/>
          <w:sz w:val="20"/>
          <w:szCs w:val="20"/>
        </w:rPr>
        <w:t>Pagani</w:t>
      </w:r>
      <w:proofErr w:type="spellEnd"/>
      <w:r w:rsidRPr="001C6FAE">
        <w:rPr>
          <w:rFonts w:cs="Times New Roman"/>
          <w:sz w:val="20"/>
          <w:szCs w:val="20"/>
        </w:rPr>
        <w:t xml:space="preserve"> F, Christenson RH and Jaffe AS</w:t>
      </w:r>
      <w:r w:rsidR="00612B36" w:rsidRPr="001C6FAE">
        <w:rPr>
          <w:rFonts w:cs="Times New Roman" w:hint="cs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(2005)</w:t>
      </w:r>
      <w:r w:rsidR="00727044" w:rsidRPr="001C6FAE">
        <w:rPr>
          <w:rFonts w:cs="Times New Roman"/>
          <w:sz w:val="20"/>
          <w:szCs w:val="20"/>
        </w:rPr>
        <w:t>. C</w:t>
      </w:r>
      <w:r w:rsidRPr="001C6FAE">
        <w:rPr>
          <w:rFonts w:cs="Times New Roman"/>
          <w:sz w:val="20"/>
          <w:szCs w:val="20"/>
        </w:rPr>
        <w:t>ommittee on Standardization of Markers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of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Cardiac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Damage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of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the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 xml:space="preserve">IFCC: Quality specifications for B- type </w:t>
      </w:r>
      <w:proofErr w:type="spellStart"/>
      <w:r w:rsidRPr="001C6FAE">
        <w:rPr>
          <w:rFonts w:cs="Times New Roman"/>
          <w:sz w:val="20"/>
          <w:szCs w:val="20"/>
        </w:rPr>
        <w:t>natriuretic</w:t>
      </w:r>
      <w:proofErr w:type="spellEnd"/>
      <w:r w:rsidRPr="001C6FAE">
        <w:rPr>
          <w:rFonts w:cs="Times New Roman"/>
          <w:sz w:val="20"/>
          <w:szCs w:val="20"/>
        </w:rPr>
        <w:t xml:space="preserve"> peptide</w:t>
      </w:r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assays.</w:t>
      </w:r>
      <w:r w:rsidR="00727044" w:rsidRPr="001C6FAE">
        <w:rPr>
          <w:rFonts w:cs="Times New Roman"/>
          <w:sz w:val="20"/>
          <w:szCs w:val="20"/>
        </w:rPr>
        <w:t xml:space="preserve"> </w:t>
      </w:r>
      <w:proofErr w:type="spellStart"/>
      <w:r w:rsidRPr="001C6FAE">
        <w:rPr>
          <w:rFonts w:cs="Times New Roman"/>
          <w:sz w:val="20"/>
          <w:szCs w:val="20"/>
        </w:rPr>
        <w:t>Clin</w:t>
      </w:r>
      <w:proofErr w:type="spellEnd"/>
      <w:r w:rsidR="00727044" w:rsidRPr="001C6FAE">
        <w:rPr>
          <w:rFonts w:cs="Times New Roman"/>
          <w:sz w:val="20"/>
          <w:szCs w:val="20"/>
        </w:rPr>
        <w:t xml:space="preserve"> </w:t>
      </w:r>
      <w:r w:rsidRPr="001C6FAE">
        <w:rPr>
          <w:rFonts w:cs="Times New Roman"/>
          <w:sz w:val="20"/>
          <w:szCs w:val="20"/>
        </w:rPr>
        <w:t>Chem</w:t>
      </w:r>
      <w:r w:rsidR="00727044" w:rsidRPr="001C6FAE">
        <w:rPr>
          <w:rFonts w:cs="Times New Roman"/>
          <w:sz w:val="20"/>
          <w:szCs w:val="20"/>
        </w:rPr>
        <w:t>.</w:t>
      </w:r>
      <w:r w:rsidRPr="001C6FAE">
        <w:rPr>
          <w:rFonts w:cs="Times New Roman"/>
          <w:sz w:val="20"/>
          <w:szCs w:val="20"/>
        </w:rPr>
        <w:t xml:space="preserve"> 51:486–493.</w:t>
      </w:r>
      <w:r w:rsidR="001C6FAE" w:rsidRPr="001C6FAE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</w:p>
    <w:p w:rsidR="002D12EF" w:rsidRPr="001C6FAE" w:rsidRDefault="002D12EF" w:rsidP="002D12EF">
      <w:pPr>
        <w:pStyle w:val="BodyText"/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  <w:sectPr w:rsidR="002D12EF" w:rsidRPr="001C6FAE" w:rsidSect="002D12E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D12EF" w:rsidRPr="001C6FAE" w:rsidRDefault="002D12EF" w:rsidP="002D12EF">
      <w:pPr>
        <w:pStyle w:val="BodyText"/>
        <w:snapToGrid w:val="0"/>
        <w:spacing w:before="0"/>
        <w:ind w:left="425" w:hanging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2D12EF" w:rsidRPr="001C6FAE" w:rsidRDefault="002D12EF" w:rsidP="002D12EF">
      <w:pPr>
        <w:pStyle w:val="BodyText"/>
        <w:snapToGrid w:val="0"/>
        <w:spacing w:before="0"/>
        <w:ind w:left="425" w:hanging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2D12EF" w:rsidRPr="001C6FAE" w:rsidRDefault="002D12EF" w:rsidP="002D12EF">
      <w:pPr>
        <w:pStyle w:val="BodyText"/>
        <w:snapToGrid w:val="0"/>
        <w:spacing w:before="0"/>
        <w:ind w:left="425" w:hanging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744655" w:rsidRPr="001C6FAE" w:rsidRDefault="002D12EF" w:rsidP="002D12EF">
      <w:pPr>
        <w:pStyle w:val="BodyText"/>
        <w:snapToGrid w:val="0"/>
        <w:spacing w:before="0"/>
        <w:ind w:left="425" w:hanging="425"/>
        <w:jc w:val="both"/>
        <w:rPr>
          <w:rFonts w:cs="Times New Roman"/>
          <w:sz w:val="20"/>
          <w:szCs w:val="20"/>
        </w:rPr>
      </w:pPr>
      <w:r w:rsidRPr="001C6FAE">
        <w:rPr>
          <w:rFonts w:cs="Times New Roman"/>
          <w:sz w:val="20"/>
          <w:szCs w:val="20"/>
        </w:rPr>
        <w:t>3/19/2017</w:t>
      </w:r>
    </w:p>
    <w:sectPr w:rsidR="00744655" w:rsidRPr="001C6FAE" w:rsidSect="001F0875">
      <w:headerReference w:type="default" r:id="rId28"/>
      <w:footerReference w:type="default" r:id="rId29"/>
      <w:type w:val="continuous"/>
      <w:pgSz w:w="12242" w:h="15842" w:code="1"/>
      <w:pgMar w:top="1440" w:right="1440" w:bottom="1440" w:left="1440" w:header="720" w:footer="720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59357C" w15:done="0"/>
  <w15:commentEx w15:paraId="3965BF66" w15:done="0"/>
  <w15:commentEx w15:paraId="4DD2DC79" w15:done="0"/>
  <w15:commentEx w15:paraId="2D60DD02" w15:done="0"/>
  <w15:commentEx w15:paraId="67A497CA" w15:done="0"/>
  <w15:commentEx w15:paraId="6EBE5A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4C" w:rsidRDefault="00911A4C" w:rsidP="007731E5">
      <w:pPr>
        <w:spacing w:after="0" w:line="240" w:lineRule="auto"/>
      </w:pPr>
      <w:r>
        <w:separator/>
      </w:r>
    </w:p>
  </w:endnote>
  <w:endnote w:type="continuationSeparator" w:id="0">
    <w:p w:rsidR="00911A4C" w:rsidRDefault="00911A4C" w:rsidP="007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542AB5" w:rsidP="002D12E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D12EF">
      <w:rPr>
        <w:rFonts w:ascii="Times New Roman" w:hAnsi="Times New Roman" w:cs="Times New Roman"/>
        <w:sz w:val="20"/>
      </w:rPr>
      <w:fldChar w:fldCharType="begin"/>
    </w:r>
    <w:r w:rsidR="00727044" w:rsidRPr="002D12EF">
      <w:rPr>
        <w:rFonts w:ascii="Times New Roman" w:hAnsi="Times New Roman" w:cs="Times New Roman"/>
        <w:sz w:val="20"/>
      </w:rPr>
      <w:instrText xml:space="preserve"> page </w:instrText>
    </w:r>
    <w:r w:rsidRPr="002D12EF">
      <w:rPr>
        <w:rFonts w:ascii="Times New Roman" w:hAnsi="Times New Roman" w:cs="Times New Roman"/>
        <w:sz w:val="20"/>
      </w:rPr>
      <w:fldChar w:fldCharType="separate"/>
    </w:r>
    <w:r w:rsidR="001C6FAE">
      <w:rPr>
        <w:rFonts w:ascii="Times New Roman" w:hAnsi="Times New Roman" w:cs="Times New Roman"/>
        <w:noProof/>
        <w:sz w:val="20"/>
      </w:rPr>
      <w:t>48</w:t>
    </w:r>
    <w:r w:rsidRPr="002D12EF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542AB5" w:rsidP="002D12E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D12EF">
      <w:rPr>
        <w:rFonts w:ascii="Times New Roman" w:hAnsi="Times New Roman" w:cs="Times New Roman"/>
        <w:sz w:val="20"/>
      </w:rPr>
      <w:fldChar w:fldCharType="begin"/>
    </w:r>
    <w:r w:rsidR="00727044" w:rsidRPr="002D12EF">
      <w:rPr>
        <w:rFonts w:ascii="Times New Roman" w:hAnsi="Times New Roman" w:cs="Times New Roman"/>
        <w:sz w:val="20"/>
      </w:rPr>
      <w:instrText xml:space="preserve"> page </w:instrText>
    </w:r>
    <w:r w:rsidRPr="002D12EF">
      <w:rPr>
        <w:rFonts w:ascii="Times New Roman" w:hAnsi="Times New Roman" w:cs="Times New Roman"/>
        <w:sz w:val="20"/>
      </w:rPr>
      <w:fldChar w:fldCharType="separate"/>
    </w:r>
    <w:r w:rsidR="001C6FAE">
      <w:rPr>
        <w:rFonts w:ascii="Times New Roman" w:hAnsi="Times New Roman" w:cs="Times New Roman"/>
        <w:noProof/>
        <w:sz w:val="20"/>
      </w:rPr>
      <w:t>49</w:t>
    </w:r>
    <w:r w:rsidRPr="002D12EF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542AB5" w:rsidP="002D12E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D12EF">
      <w:rPr>
        <w:rFonts w:ascii="Times New Roman" w:hAnsi="Times New Roman" w:cs="Times New Roman"/>
        <w:sz w:val="20"/>
      </w:rPr>
      <w:fldChar w:fldCharType="begin"/>
    </w:r>
    <w:r w:rsidR="00727044" w:rsidRPr="002D12EF">
      <w:rPr>
        <w:rFonts w:ascii="Times New Roman" w:hAnsi="Times New Roman" w:cs="Times New Roman"/>
        <w:sz w:val="20"/>
      </w:rPr>
      <w:instrText xml:space="preserve"> page </w:instrText>
    </w:r>
    <w:r w:rsidRPr="002D12EF">
      <w:rPr>
        <w:rFonts w:ascii="Times New Roman" w:hAnsi="Times New Roman" w:cs="Times New Roman"/>
        <w:sz w:val="20"/>
      </w:rPr>
      <w:fldChar w:fldCharType="separate"/>
    </w:r>
    <w:r w:rsidR="001C6FAE">
      <w:rPr>
        <w:rFonts w:ascii="Times New Roman" w:hAnsi="Times New Roman" w:cs="Times New Roman"/>
        <w:noProof/>
        <w:sz w:val="20"/>
      </w:rPr>
      <w:t>50</w:t>
    </w:r>
    <w:r w:rsidRPr="002D12EF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542AB5" w:rsidP="002D12EF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D12EF">
      <w:rPr>
        <w:rFonts w:ascii="Times New Roman" w:hAnsi="Times New Roman" w:cs="Times New Roman"/>
        <w:sz w:val="20"/>
      </w:rPr>
      <w:fldChar w:fldCharType="begin"/>
    </w:r>
    <w:r w:rsidR="00727044" w:rsidRPr="002D12EF">
      <w:rPr>
        <w:rFonts w:ascii="Times New Roman" w:hAnsi="Times New Roman" w:cs="Times New Roman"/>
        <w:sz w:val="20"/>
      </w:rPr>
      <w:instrText xml:space="preserve"> page </w:instrText>
    </w:r>
    <w:r w:rsidRPr="002D12EF">
      <w:rPr>
        <w:rFonts w:ascii="Times New Roman" w:hAnsi="Times New Roman" w:cs="Times New Roman"/>
        <w:sz w:val="20"/>
      </w:rPr>
      <w:fldChar w:fldCharType="separate"/>
    </w:r>
    <w:r w:rsidR="001C6FAE">
      <w:rPr>
        <w:rFonts w:ascii="Times New Roman" w:hAnsi="Times New Roman" w:cs="Times New Roman"/>
        <w:noProof/>
        <w:sz w:val="20"/>
      </w:rPr>
      <w:t>55</w:t>
    </w:r>
    <w:r w:rsidRPr="002D12E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4C" w:rsidRDefault="00911A4C" w:rsidP="007731E5">
      <w:pPr>
        <w:spacing w:after="0" w:line="240" w:lineRule="auto"/>
      </w:pPr>
      <w:r>
        <w:separator/>
      </w:r>
    </w:p>
  </w:footnote>
  <w:footnote w:type="continuationSeparator" w:id="0">
    <w:p w:rsidR="00911A4C" w:rsidRDefault="00911A4C" w:rsidP="0077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727044" w:rsidP="002D12E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D12E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2D12E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2D12EF">
      <w:rPr>
        <w:rFonts w:ascii="Times New Roman" w:hAnsi="Times New Roman" w:cs="Times New Roman"/>
        <w:iCs/>
        <w:sz w:val="20"/>
        <w:szCs w:val="20"/>
      </w:rPr>
      <w:t>201</w:t>
    </w:r>
    <w:r w:rsidRPr="002D12EF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2D12EF">
      <w:rPr>
        <w:rFonts w:ascii="Times New Roman" w:hAnsi="Times New Roman" w:cs="Times New Roman"/>
        <w:iCs/>
        <w:sz w:val="20"/>
        <w:szCs w:val="20"/>
      </w:rPr>
      <w:t>;</w:t>
    </w:r>
    <w:r w:rsidRPr="002D12EF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2D12EF">
      <w:rPr>
        <w:rFonts w:ascii="Times New Roman" w:hAnsi="Times New Roman" w:cs="Times New Roman"/>
        <w:iCs/>
        <w:sz w:val="20"/>
        <w:szCs w:val="20"/>
      </w:rPr>
      <w:t>(</w:t>
    </w:r>
    <w:r w:rsidRPr="002D12EF">
      <w:rPr>
        <w:rFonts w:ascii="Times New Roman" w:hAnsi="Times New Roman" w:cs="Times New Roman" w:hint="eastAsia"/>
        <w:iCs/>
        <w:sz w:val="20"/>
        <w:szCs w:val="20"/>
      </w:rPr>
      <w:t>3</w:t>
    </w:r>
    <w:r w:rsidRPr="002D12EF">
      <w:rPr>
        <w:rFonts w:ascii="Times New Roman" w:hAnsi="Times New Roman" w:cs="Times New Roman"/>
        <w:iCs/>
        <w:sz w:val="20"/>
        <w:szCs w:val="20"/>
      </w:rPr>
      <w:t xml:space="preserve">)  </w:t>
    </w:r>
    <w:r w:rsidRPr="002D1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 w:hint="eastAsia"/>
        <w:iCs/>
        <w:sz w:val="20"/>
        <w:szCs w:val="20"/>
      </w:rPr>
      <w:tab/>
    </w:r>
    <w:r w:rsidRPr="002D12EF">
      <w:rPr>
        <w:rFonts w:ascii="Times New Roman" w:hAnsi="Times New Roman" w:cs="Times New Roman"/>
        <w:iCs/>
        <w:sz w:val="20"/>
        <w:szCs w:val="20"/>
      </w:rPr>
      <w:t xml:space="preserve">    </w:t>
    </w:r>
    <w:r w:rsidRPr="002D12E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D12E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727044" w:rsidRPr="002D12EF" w:rsidRDefault="00727044" w:rsidP="002D12E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727044" w:rsidP="002D12E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D12E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2D12E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2D12EF">
      <w:rPr>
        <w:rFonts w:ascii="Times New Roman" w:hAnsi="Times New Roman" w:cs="Times New Roman"/>
        <w:iCs/>
        <w:sz w:val="20"/>
        <w:szCs w:val="20"/>
      </w:rPr>
      <w:t>201</w:t>
    </w:r>
    <w:r w:rsidRPr="002D12EF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2D12EF">
      <w:rPr>
        <w:rFonts w:ascii="Times New Roman" w:hAnsi="Times New Roman" w:cs="Times New Roman"/>
        <w:iCs/>
        <w:sz w:val="20"/>
        <w:szCs w:val="20"/>
      </w:rPr>
      <w:t>;</w:t>
    </w:r>
    <w:r w:rsidRPr="002D12EF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2D12EF">
      <w:rPr>
        <w:rFonts w:ascii="Times New Roman" w:hAnsi="Times New Roman" w:cs="Times New Roman"/>
        <w:iCs/>
        <w:sz w:val="20"/>
        <w:szCs w:val="20"/>
      </w:rPr>
      <w:t>(</w:t>
    </w:r>
    <w:r w:rsidRPr="002D12EF">
      <w:rPr>
        <w:rFonts w:ascii="Times New Roman" w:hAnsi="Times New Roman" w:cs="Times New Roman" w:hint="eastAsia"/>
        <w:iCs/>
        <w:sz w:val="20"/>
        <w:szCs w:val="20"/>
      </w:rPr>
      <w:t>3</w:t>
    </w:r>
    <w:r w:rsidRPr="002D12EF">
      <w:rPr>
        <w:rFonts w:ascii="Times New Roman" w:hAnsi="Times New Roman" w:cs="Times New Roman"/>
        <w:iCs/>
        <w:sz w:val="20"/>
        <w:szCs w:val="20"/>
      </w:rPr>
      <w:t xml:space="preserve">)  </w:t>
    </w:r>
    <w:r w:rsidRPr="002D1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 w:hint="eastAsia"/>
        <w:iCs/>
        <w:sz w:val="20"/>
        <w:szCs w:val="20"/>
      </w:rPr>
      <w:tab/>
    </w:r>
    <w:r w:rsidRPr="002D12EF">
      <w:rPr>
        <w:rFonts w:ascii="Times New Roman" w:hAnsi="Times New Roman" w:cs="Times New Roman"/>
        <w:iCs/>
        <w:sz w:val="20"/>
        <w:szCs w:val="20"/>
      </w:rPr>
      <w:t xml:space="preserve">    </w:t>
    </w:r>
    <w:r w:rsidRPr="002D12E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D12E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727044" w:rsidRPr="002D12EF" w:rsidRDefault="00727044" w:rsidP="002D12E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727044" w:rsidP="002D12E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D12E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2D12E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2D12EF">
      <w:rPr>
        <w:rFonts w:ascii="Times New Roman" w:hAnsi="Times New Roman" w:cs="Times New Roman"/>
        <w:iCs/>
        <w:sz w:val="20"/>
        <w:szCs w:val="20"/>
      </w:rPr>
      <w:t>201</w:t>
    </w:r>
    <w:r w:rsidRPr="002D12EF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2D12EF">
      <w:rPr>
        <w:rFonts w:ascii="Times New Roman" w:hAnsi="Times New Roman" w:cs="Times New Roman"/>
        <w:iCs/>
        <w:sz w:val="20"/>
        <w:szCs w:val="20"/>
      </w:rPr>
      <w:t>;</w:t>
    </w:r>
    <w:r w:rsidRPr="002D12EF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2D12EF">
      <w:rPr>
        <w:rFonts w:ascii="Times New Roman" w:hAnsi="Times New Roman" w:cs="Times New Roman"/>
        <w:iCs/>
        <w:sz w:val="20"/>
        <w:szCs w:val="20"/>
      </w:rPr>
      <w:t>(</w:t>
    </w:r>
    <w:r w:rsidRPr="002D12EF">
      <w:rPr>
        <w:rFonts w:ascii="Times New Roman" w:hAnsi="Times New Roman" w:cs="Times New Roman" w:hint="eastAsia"/>
        <w:iCs/>
        <w:sz w:val="20"/>
        <w:szCs w:val="20"/>
      </w:rPr>
      <w:t>3</w:t>
    </w:r>
    <w:r w:rsidRPr="002D12EF">
      <w:rPr>
        <w:rFonts w:ascii="Times New Roman" w:hAnsi="Times New Roman" w:cs="Times New Roman"/>
        <w:iCs/>
        <w:sz w:val="20"/>
        <w:szCs w:val="20"/>
      </w:rPr>
      <w:t xml:space="preserve">)  </w:t>
    </w:r>
    <w:r w:rsidRPr="002D1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 w:hint="eastAsia"/>
        <w:iCs/>
        <w:sz w:val="20"/>
        <w:szCs w:val="20"/>
      </w:rPr>
      <w:tab/>
    </w:r>
    <w:r w:rsidRPr="002D12EF">
      <w:rPr>
        <w:rFonts w:ascii="Times New Roman" w:hAnsi="Times New Roman" w:cs="Times New Roman"/>
        <w:iCs/>
        <w:sz w:val="20"/>
        <w:szCs w:val="20"/>
      </w:rPr>
      <w:t xml:space="preserve">    </w:t>
    </w:r>
    <w:r w:rsidRPr="002D12E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D12E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727044" w:rsidRPr="002D12EF" w:rsidRDefault="00727044" w:rsidP="002D12E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4" w:rsidRPr="002D12EF" w:rsidRDefault="00727044" w:rsidP="002D12EF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D12E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2D12E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2D12EF">
      <w:rPr>
        <w:rFonts w:ascii="Times New Roman" w:hAnsi="Times New Roman" w:cs="Times New Roman"/>
        <w:iCs/>
        <w:sz w:val="20"/>
        <w:szCs w:val="20"/>
      </w:rPr>
      <w:t>201</w:t>
    </w:r>
    <w:r w:rsidRPr="002D12EF">
      <w:rPr>
        <w:rFonts w:ascii="Times New Roman" w:hAnsi="Times New Roman" w:cs="Times New Roman" w:hint="eastAsia"/>
        <w:iCs/>
        <w:sz w:val="20"/>
        <w:szCs w:val="20"/>
      </w:rPr>
      <w:t>7</w:t>
    </w:r>
    <w:proofErr w:type="gramStart"/>
    <w:r w:rsidRPr="002D12EF">
      <w:rPr>
        <w:rFonts w:ascii="Times New Roman" w:hAnsi="Times New Roman" w:cs="Times New Roman"/>
        <w:iCs/>
        <w:sz w:val="20"/>
        <w:szCs w:val="20"/>
      </w:rPr>
      <w:t>;</w:t>
    </w:r>
    <w:r w:rsidRPr="002D12EF">
      <w:rPr>
        <w:rFonts w:ascii="Times New Roman" w:hAnsi="Times New Roman" w:cs="Times New Roman" w:hint="eastAsia"/>
        <w:iCs/>
        <w:sz w:val="20"/>
        <w:szCs w:val="20"/>
      </w:rPr>
      <w:t>9</w:t>
    </w:r>
    <w:proofErr w:type="gramEnd"/>
    <w:r w:rsidRPr="002D12EF">
      <w:rPr>
        <w:rFonts w:ascii="Times New Roman" w:hAnsi="Times New Roman" w:cs="Times New Roman"/>
        <w:iCs/>
        <w:sz w:val="20"/>
        <w:szCs w:val="20"/>
      </w:rPr>
      <w:t>(</w:t>
    </w:r>
    <w:r w:rsidRPr="002D12EF">
      <w:rPr>
        <w:rFonts w:ascii="Times New Roman" w:hAnsi="Times New Roman" w:cs="Times New Roman" w:hint="eastAsia"/>
        <w:iCs/>
        <w:sz w:val="20"/>
        <w:szCs w:val="20"/>
      </w:rPr>
      <w:t>3</w:t>
    </w:r>
    <w:r w:rsidRPr="002D12EF">
      <w:rPr>
        <w:rFonts w:ascii="Times New Roman" w:hAnsi="Times New Roman" w:cs="Times New Roman"/>
        <w:iCs/>
        <w:sz w:val="20"/>
        <w:szCs w:val="20"/>
      </w:rPr>
      <w:t xml:space="preserve">)  </w:t>
    </w:r>
    <w:r w:rsidRPr="002D1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/>
        <w:iCs/>
        <w:sz w:val="20"/>
        <w:szCs w:val="20"/>
      </w:rPr>
      <w:t xml:space="preserve"> </w:t>
    </w:r>
    <w:r w:rsidRPr="002D12EF">
      <w:rPr>
        <w:rFonts w:ascii="Times New Roman" w:hAnsi="Times New Roman" w:cs="Times New Roman" w:hint="eastAsia"/>
        <w:iCs/>
        <w:sz w:val="20"/>
        <w:szCs w:val="20"/>
      </w:rPr>
      <w:tab/>
    </w:r>
    <w:r w:rsidRPr="002D12EF">
      <w:rPr>
        <w:rFonts w:ascii="Times New Roman" w:hAnsi="Times New Roman" w:cs="Times New Roman"/>
        <w:iCs/>
        <w:sz w:val="20"/>
        <w:szCs w:val="20"/>
      </w:rPr>
      <w:t xml:space="preserve">    </w:t>
    </w:r>
    <w:r w:rsidRPr="002D12E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D12E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727044" w:rsidRPr="002D12EF" w:rsidRDefault="00727044" w:rsidP="002D12EF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D08"/>
    <w:multiLevelType w:val="hybridMultilevel"/>
    <w:tmpl w:val="9D80E218"/>
    <w:lvl w:ilvl="0" w:tplc="6E84608A">
      <w:start w:val="5"/>
      <w:numFmt w:val="decimal"/>
      <w:lvlText w:val="%1-"/>
      <w:lvlJc w:val="left"/>
      <w:pPr>
        <w:ind w:left="377" w:hanging="350"/>
      </w:pPr>
      <w:rPr>
        <w:rFonts w:ascii="Times New Roman" w:eastAsia="Times New Roman" w:hAnsi="Times New Roman" w:hint="default"/>
        <w:spacing w:val="-1"/>
        <w:w w:val="100"/>
        <w:sz w:val="27"/>
        <w:szCs w:val="27"/>
      </w:rPr>
    </w:lvl>
    <w:lvl w:ilvl="1" w:tplc="E7E4B68A">
      <w:start w:val="1"/>
      <w:numFmt w:val="bullet"/>
      <w:lvlText w:val="•"/>
      <w:lvlJc w:val="left"/>
      <w:pPr>
        <w:ind w:left="1274" w:hanging="350"/>
      </w:pPr>
      <w:rPr>
        <w:rFonts w:hint="default"/>
      </w:rPr>
    </w:lvl>
    <w:lvl w:ilvl="2" w:tplc="5A38A8A2">
      <w:start w:val="1"/>
      <w:numFmt w:val="bullet"/>
      <w:lvlText w:val="•"/>
      <w:lvlJc w:val="left"/>
      <w:pPr>
        <w:ind w:left="2168" w:hanging="350"/>
      </w:pPr>
      <w:rPr>
        <w:rFonts w:hint="default"/>
      </w:rPr>
    </w:lvl>
    <w:lvl w:ilvl="3" w:tplc="EECC9386">
      <w:start w:val="1"/>
      <w:numFmt w:val="bullet"/>
      <w:lvlText w:val="•"/>
      <w:lvlJc w:val="left"/>
      <w:pPr>
        <w:ind w:left="3063" w:hanging="350"/>
      </w:pPr>
      <w:rPr>
        <w:rFonts w:hint="default"/>
      </w:rPr>
    </w:lvl>
    <w:lvl w:ilvl="4" w:tplc="E458855E">
      <w:start w:val="1"/>
      <w:numFmt w:val="bullet"/>
      <w:lvlText w:val="•"/>
      <w:lvlJc w:val="left"/>
      <w:pPr>
        <w:ind w:left="3957" w:hanging="350"/>
      </w:pPr>
      <w:rPr>
        <w:rFonts w:hint="default"/>
      </w:rPr>
    </w:lvl>
    <w:lvl w:ilvl="5" w:tplc="D8E09FB2">
      <w:start w:val="1"/>
      <w:numFmt w:val="bullet"/>
      <w:lvlText w:val="•"/>
      <w:lvlJc w:val="left"/>
      <w:pPr>
        <w:ind w:left="4852" w:hanging="350"/>
      </w:pPr>
      <w:rPr>
        <w:rFonts w:hint="default"/>
      </w:rPr>
    </w:lvl>
    <w:lvl w:ilvl="6" w:tplc="D7C8D062">
      <w:start w:val="1"/>
      <w:numFmt w:val="bullet"/>
      <w:lvlText w:val="•"/>
      <w:lvlJc w:val="left"/>
      <w:pPr>
        <w:ind w:left="5746" w:hanging="350"/>
      </w:pPr>
      <w:rPr>
        <w:rFonts w:hint="default"/>
      </w:rPr>
    </w:lvl>
    <w:lvl w:ilvl="7" w:tplc="D68AFEF4">
      <w:start w:val="1"/>
      <w:numFmt w:val="bullet"/>
      <w:lvlText w:val="•"/>
      <w:lvlJc w:val="left"/>
      <w:pPr>
        <w:ind w:left="6641" w:hanging="350"/>
      </w:pPr>
      <w:rPr>
        <w:rFonts w:hint="default"/>
      </w:rPr>
    </w:lvl>
    <w:lvl w:ilvl="8" w:tplc="97FC20E0">
      <w:start w:val="1"/>
      <w:numFmt w:val="bullet"/>
      <w:lvlText w:val="•"/>
      <w:lvlJc w:val="left"/>
      <w:pPr>
        <w:ind w:left="7535" w:hanging="350"/>
      </w:pPr>
      <w:rPr>
        <w:rFonts w:hint="default"/>
      </w:rPr>
    </w:lvl>
  </w:abstractNum>
  <w:abstractNum w:abstractNumId="1">
    <w:nsid w:val="4DFA4519"/>
    <w:multiLevelType w:val="hybridMultilevel"/>
    <w:tmpl w:val="0526E89E"/>
    <w:lvl w:ilvl="0" w:tplc="88D4CB70">
      <w:start w:val="1"/>
      <w:numFmt w:val="decimal"/>
      <w:lvlText w:val="%1."/>
      <w:lvlJc w:val="left"/>
      <w:pPr>
        <w:ind w:left="801" w:hanging="351"/>
      </w:pPr>
      <w:rPr>
        <w:rFonts w:ascii="Times New Roman" w:eastAsia="Times New Roman" w:hAnsi="Times New Roman" w:hint="default"/>
        <w:w w:val="100"/>
        <w:sz w:val="27"/>
        <w:szCs w:val="27"/>
      </w:rPr>
    </w:lvl>
    <w:lvl w:ilvl="1" w:tplc="435CAE2C">
      <w:start w:val="1"/>
      <w:numFmt w:val="bullet"/>
      <w:lvlText w:val=""/>
      <w:lvlJc w:val="left"/>
      <w:pPr>
        <w:ind w:left="1150" w:hanging="348"/>
      </w:pPr>
      <w:rPr>
        <w:rFonts w:ascii="Symbol" w:eastAsia="Symbol" w:hAnsi="Symbol" w:hint="default"/>
        <w:w w:val="100"/>
        <w:sz w:val="27"/>
        <w:szCs w:val="27"/>
      </w:rPr>
    </w:lvl>
    <w:lvl w:ilvl="2" w:tplc="8484546C">
      <w:start w:val="1"/>
      <w:numFmt w:val="bullet"/>
      <w:lvlText w:val="•"/>
      <w:lvlJc w:val="left"/>
      <w:pPr>
        <w:ind w:left="2067" w:hanging="348"/>
      </w:pPr>
      <w:rPr>
        <w:rFonts w:hint="default"/>
      </w:rPr>
    </w:lvl>
    <w:lvl w:ilvl="3" w:tplc="2D7656C4">
      <w:start w:val="1"/>
      <w:numFmt w:val="bullet"/>
      <w:lvlText w:val="•"/>
      <w:lvlJc w:val="left"/>
      <w:pPr>
        <w:ind w:left="2974" w:hanging="348"/>
      </w:pPr>
      <w:rPr>
        <w:rFonts w:hint="default"/>
      </w:rPr>
    </w:lvl>
    <w:lvl w:ilvl="4" w:tplc="3342F8EC">
      <w:start w:val="1"/>
      <w:numFmt w:val="bullet"/>
      <w:lvlText w:val="•"/>
      <w:lvlJc w:val="left"/>
      <w:pPr>
        <w:ind w:left="3881" w:hanging="348"/>
      </w:pPr>
      <w:rPr>
        <w:rFonts w:hint="default"/>
      </w:rPr>
    </w:lvl>
    <w:lvl w:ilvl="5" w:tplc="259AE3E0">
      <w:start w:val="1"/>
      <w:numFmt w:val="bullet"/>
      <w:lvlText w:val="•"/>
      <w:lvlJc w:val="left"/>
      <w:pPr>
        <w:ind w:left="4788" w:hanging="348"/>
      </w:pPr>
      <w:rPr>
        <w:rFonts w:hint="default"/>
      </w:rPr>
    </w:lvl>
    <w:lvl w:ilvl="6" w:tplc="C1600BA4">
      <w:start w:val="1"/>
      <w:numFmt w:val="bullet"/>
      <w:lvlText w:val="•"/>
      <w:lvlJc w:val="left"/>
      <w:pPr>
        <w:ind w:left="5695" w:hanging="348"/>
      </w:pPr>
      <w:rPr>
        <w:rFonts w:hint="default"/>
      </w:rPr>
    </w:lvl>
    <w:lvl w:ilvl="7" w:tplc="02F854B8">
      <w:start w:val="1"/>
      <w:numFmt w:val="bullet"/>
      <w:lvlText w:val="•"/>
      <w:lvlJc w:val="left"/>
      <w:pPr>
        <w:ind w:left="6602" w:hanging="348"/>
      </w:pPr>
      <w:rPr>
        <w:rFonts w:hint="default"/>
      </w:rPr>
    </w:lvl>
    <w:lvl w:ilvl="8" w:tplc="AE64A12E">
      <w:start w:val="1"/>
      <w:numFmt w:val="bullet"/>
      <w:lvlText w:val="•"/>
      <w:lvlJc w:val="left"/>
      <w:pPr>
        <w:ind w:left="7510" w:hanging="348"/>
      </w:pPr>
      <w:rPr>
        <w:rFonts w:hint="default"/>
      </w:rPr>
    </w:lvl>
  </w:abstractNum>
  <w:abstractNum w:abstractNumId="2">
    <w:nsid w:val="597946E5"/>
    <w:multiLevelType w:val="hybridMultilevel"/>
    <w:tmpl w:val="ED86F018"/>
    <w:lvl w:ilvl="0" w:tplc="6596A896">
      <w:start w:val="2"/>
      <w:numFmt w:val="decimal"/>
      <w:lvlText w:val="%1-"/>
      <w:lvlJc w:val="left"/>
      <w:pPr>
        <w:ind w:left="726" w:hanging="350"/>
      </w:pPr>
      <w:rPr>
        <w:rFonts w:ascii="Times New Roman" w:eastAsia="Times New Roman" w:hAnsi="Times New Roman" w:hint="default"/>
        <w:spacing w:val="-1"/>
        <w:w w:val="100"/>
        <w:sz w:val="27"/>
        <w:szCs w:val="27"/>
      </w:rPr>
    </w:lvl>
    <w:lvl w:ilvl="1" w:tplc="1A4E9572">
      <w:start w:val="1"/>
      <w:numFmt w:val="bullet"/>
      <w:lvlText w:val="•"/>
      <w:lvlJc w:val="left"/>
      <w:pPr>
        <w:ind w:left="1580" w:hanging="350"/>
      </w:pPr>
      <w:rPr>
        <w:rFonts w:hint="default"/>
      </w:rPr>
    </w:lvl>
    <w:lvl w:ilvl="2" w:tplc="D376EBD2">
      <w:start w:val="1"/>
      <w:numFmt w:val="bullet"/>
      <w:lvlText w:val="•"/>
      <w:lvlJc w:val="left"/>
      <w:pPr>
        <w:ind w:left="2440" w:hanging="350"/>
      </w:pPr>
      <w:rPr>
        <w:rFonts w:hint="default"/>
      </w:rPr>
    </w:lvl>
    <w:lvl w:ilvl="3" w:tplc="9E7A39C4">
      <w:start w:val="1"/>
      <w:numFmt w:val="bullet"/>
      <w:lvlText w:val="•"/>
      <w:lvlJc w:val="left"/>
      <w:pPr>
        <w:ind w:left="3301" w:hanging="350"/>
      </w:pPr>
      <w:rPr>
        <w:rFonts w:hint="default"/>
      </w:rPr>
    </w:lvl>
    <w:lvl w:ilvl="4" w:tplc="8C3E9E58">
      <w:start w:val="1"/>
      <w:numFmt w:val="bullet"/>
      <w:lvlText w:val="•"/>
      <w:lvlJc w:val="left"/>
      <w:pPr>
        <w:ind w:left="4161" w:hanging="350"/>
      </w:pPr>
      <w:rPr>
        <w:rFonts w:hint="default"/>
      </w:rPr>
    </w:lvl>
    <w:lvl w:ilvl="5" w:tplc="0DF830CE">
      <w:start w:val="1"/>
      <w:numFmt w:val="bullet"/>
      <w:lvlText w:val="•"/>
      <w:lvlJc w:val="left"/>
      <w:pPr>
        <w:ind w:left="5022" w:hanging="350"/>
      </w:pPr>
      <w:rPr>
        <w:rFonts w:hint="default"/>
      </w:rPr>
    </w:lvl>
    <w:lvl w:ilvl="6" w:tplc="DFEE5EEC">
      <w:start w:val="1"/>
      <w:numFmt w:val="bullet"/>
      <w:lvlText w:val="•"/>
      <w:lvlJc w:val="left"/>
      <w:pPr>
        <w:ind w:left="5882" w:hanging="350"/>
      </w:pPr>
      <w:rPr>
        <w:rFonts w:hint="default"/>
      </w:rPr>
    </w:lvl>
    <w:lvl w:ilvl="7" w:tplc="F6D86788">
      <w:start w:val="1"/>
      <w:numFmt w:val="bullet"/>
      <w:lvlText w:val="•"/>
      <w:lvlJc w:val="left"/>
      <w:pPr>
        <w:ind w:left="6743" w:hanging="350"/>
      </w:pPr>
      <w:rPr>
        <w:rFonts w:hint="default"/>
      </w:rPr>
    </w:lvl>
    <w:lvl w:ilvl="8" w:tplc="4A2E4980">
      <w:start w:val="1"/>
      <w:numFmt w:val="bullet"/>
      <w:lvlText w:val="•"/>
      <w:lvlJc w:val="left"/>
      <w:pPr>
        <w:ind w:left="7603" w:hanging="350"/>
      </w:pPr>
      <w:rPr>
        <w:rFonts w:hint="default"/>
      </w:rPr>
    </w:lvl>
  </w:abstractNum>
  <w:abstractNum w:abstractNumId="3">
    <w:nsid w:val="5C526C9F"/>
    <w:multiLevelType w:val="hybridMultilevel"/>
    <w:tmpl w:val="DBA4A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6D4C85"/>
    <w:multiLevelType w:val="hybridMultilevel"/>
    <w:tmpl w:val="953EFB78"/>
    <w:lvl w:ilvl="0" w:tplc="C2748C6A">
      <w:start w:val="1"/>
      <w:numFmt w:val="bullet"/>
      <w:lvlText w:val=""/>
      <w:lvlJc w:val="left"/>
      <w:pPr>
        <w:ind w:left="461" w:hanging="213"/>
      </w:pPr>
      <w:rPr>
        <w:rFonts w:ascii="Symbol" w:eastAsia="Symbol" w:hAnsi="Symbol" w:hint="default"/>
        <w:w w:val="100"/>
      </w:rPr>
    </w:lvl>
    <w:lvl w:ilvl="1" w:tplc="2D06C062">
      <w:start w:val="1"/>
      <w:numFmt w:val="bullet"/>
      <w:lvlText w:val="•"/>
      <w:lvlJc w:val="left"/>
      <w:pPr>
        <w:ind w:left="1368" w:hanging="213"/>
      </w:pPr>
      <w:rPr>
        <w:rFonts w:hint="default"/>
      </w:rPr>
    </w:lvl>
    <w:lvl w:ilvl="2" w:tplc="E9AE6856">
      <w:start w:val="1"/>
      <w:numFmt w:val="bullet"/>
      <w:lvlText w:val="•"/>
      <w:lvlJc w:val="left"/>
      <w:pPr>
        <w:ind w:left="2276" w:hanging="213"/>
      </w:pPr>
      <w:rPr>
        <w:rFonts w:hint="default"/>
      </w:rPr>
    </w:lvl>
    <w:lvl w:ilvl="3" w:tplc="36500190">
      <w:start w:val="1"/>
      <w:numFmt w:val="bullet"/>
      <w:lvlText w:val="•"/>
      <w:lvlJc w:val="left"/>
      <w:pPr>
        <w:ind w:left="3185" w:hanging="213"/>
      </w:pPr>
      <w:rPr>
        <w:rFonts w:hint="default"/>
      </w:rPr>
    </w:lvl>
    <w:lvl w:ilvl="4" w:tplc="4230A254">
      <w:start w:val="1"/>
      <w:numFmt w:val="bullet"/>
      <w:lvlText w:val="•"/>
      <w:lvlJc w:val="left"/>
      <w:pPr>
        <w:ind w:left="4093" w:hanging="213"/>
      </w:pPr>
      <w:rPr>
        <w:rFonts w:hint="default"/>
      </w:rPr>
    </w:lvl>
    <w:lvl w:ilvl="5" w:tplc="D9F87DF4">
      <w:start w:val="1"/>
      <w:numFmt w:val="bullet"/>
      <w:lvlText w:val="•"/>
      <w:lvlJc w:val="left"/>
      <w:pPr>
        <w:ind w:left="5002" w:hanging="213"/>
      </w:pPr>
      <w:rPr>
        <w:rFonts w:hint="default"/>
      </w:rPr>
    </w:lvl>
    <w:lvl w:ilvl="6" w:tplc="5B96FD82">
      <w:start w:val="1"/>
      <w:numFmt w:val="bullet"/>
      <w:lvlText w:val="•"/>
      <w:lvlJc w:val="left"/>
      <w:pPr>
        <w:ind w:left="5910" w:hanging="213"/>
      </w:pPr>
      <w:rPr>
        <w:rFonts w:hint="default"/>
      </w:rPr>
    </w:lvl>
    <w:lvl w:ilvl="7" w:tplc="085C210A">
      <w:start w:val="1"/>
      <w:numFmt w:val="bullet"/>
      <w:lvlText w:val="•"/>
      <w:lvlJc w:val="left"/>
      <w:pPr>
        <w:ind w:left="6819" w:hanging="213"/>
      </w:pPr>
      <w:rPr>
        <w:rFonts w:hint="default"/>
      </w:rPr>
    </w:lvl>
    <w:lvl w:ilvl="8" w:tplc="E4B0DA28">
      <w:start w:val="1"/>
      <w:numFmt w:val="bullet"/>
      <w:lvlText w:val="•"/>
      <w:lvlJc w:val="left"/>
      <w:pPr>
        <w:ind w:left="7727" w:hanging="21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360B"/>
    <w:rsid w:val="000074C9"/>
    <w:rsid w:val="00023D19"/>
    <w:rsid w:val="00070FFE"/>
    <w:rsid w:val="00073FF2"/>
    <w:rsid w:val="00080C81"/>
    <w:rsid w:val="00091AA3"/>
    <w:rsid w:val="00093470"/>
    <w:rsid w:val="00095A7E"/>
    <w:rsid w:val="000D3551"/>
    <w:rsid w:val="000E33B6"/>
    <w:rsid w:val="00116B5E"/>
    <w:rsid w:val="001234C0"/>
    <w:rsid w:val="00135546"/>
    <w:rsid w:val="00140315"/>
    <w:rsid w:val="00143754"/>
    <w:rsid w:val="00147BC8"/>
    <w:rsid w:val="00154358"/>
    <w:rsid w:val="00176BFB"/>
    <w:rsid w:val="001820E9"/>
    <w:rsid w:val="00185961"/>
    <w:rsid w:val="001A0E59"/>
    <w:rsid w:val="001C6FAE"/>
    <w:rsid w:val="001F0875"/>
    <w:rsid w:val="00241C39"/>
    <w:rsid w:val="0028127F"/>
    <w:rsid w:val="002D12EF"/>
    <w:rsid w:val="002D632F"/>
    <w:rsid w:val="002E553F"/>
    <w:rsid w:val="002F3189"/>
    <w:rsid w:val="00312DD0"/>
    <w:rsid w:val="00316CB0"/>
    <w:rsid w:val="003304EE"/>
    <w:rsid w:val="00343809"/>
    <w:rsid w:val="00384836"/>
    <w:rsid w:val="003B2826"/>
    <w:rsid w:val="003B6674"/>
    <w:rsid w:val="003C0BED"/>
    <w:rsid w:val="003D488C"/>
    <w:rsid w:val="00437FD1"/>
    <w:rsid w:val="00445CA8"/>
    <w:rsid w:val="00446823"/>
    <w:rsid w:val="00463ECD"/>
    <w:rsid w:val="004A76F2"/>
    <w:rsid w:val="004B67D9"/>
    <w:rsid w:val="004E3067"/>
    <w:rsid w:val="00536405"/>
    <w:rsid w:val="00542AB5"/>
    <w:rsid w:val="005914AB"/>
    <w:rsid w:val="00592321"/>
    <w:rsid w:val="00596F07"/>
    <w:rsid w:val="005A597D"/>
    <w:rsid w:val="005A64F2"/>
    <w:rsid w:val="005B1493"/>
    <w:rsid w:val="005B2929"/>
    <w:rsid w:val="005B46A1"/>
    <w:rsid w:val="005E50E2"/>
    <w:rsid w:val="005E5605"/>
    <w:rsid w:val="005E684D"/>
    <w:rsid w:val="00612B36"/>
    <w:rsid w:val="00631463"/>
    <w:rsid w:val="00636FED"/>
    <w:rsid w:val="006655A2"/>
    <w:rsid w:val="006A6020"/>
    <w:rsid w:val="006B35AE"/>
    <w:rsid w:val="006E16BD"/>
    <w:rsid w:val="006E3A23"/>
    <w:rsid w:val="006E51F5"/>
    <w:rsid w:val="006F360B"/>
    <w:rsid w:val="006F607D"/>
    <w:rsid w:val="007131ED"/>
    <w:rsid w:val="00717A67"/>
    <w:rsid w:val="00727044"/>
    <w:rsid w:val="00731903"/>
    <w:rsid w:val="00744655"/>
    <w:rsid w:val="007731E5"/>
    <w:rsid w:val="0077395A"/>
    <w:rsid w:val="007866D1"/>
    <w:rsid w:val="007E4778"/>
    <w:rsid w:val="00800326"/>
    <w:rsid w:val="008147FE"/>
    <w:rsid w:val="00816523"/>
    <w:rsid w:val="00824DBE"/>
    <w:rsid w:val="008272E6"/>
    <w:rsid w:val="0083637D"/>
    <w:rsid w:val="00841E92"/>
    <w:rsid w:val="008422BD"/>
    <w:rsid w:val="00847968"/>
    <w:rsid w:val="008611E2"/>
    <w:rsid w:val="0088437E"/>
    <w:rsid w:val="00885EA8"/>
    <w:rsid w:val="0089006C"/>
    <w:rsid w:val="00896436"/>
    <w:rsid w:val="00897504"/>
    <w:rsid w:val="008A3CFA"/>
    <w:rsid w:val="008B73BC"/>
    <w:rsid w:val="00911A4C"/>
    <w:rsid w:val="0091212B"/>
    <w:rsid w:val="00916E2F"/>
    <w:rsid w:val="00922291"/>
    <w:rsid w:val="00925BF8"/>
    <w:rsid w:val="0096553B"/>
    <w:rsid w:val="009C09F2"/>
    <w:rsid w:val="00A70C59"/>
    <w:rsid w:val="00A73F61"/>
    <w:rsid w:val="00A8445E"/>
    <w:rsid w:val="00A8677B"/>
    <w:rsid w:val="00AA4FE4"/>
    <w:rsid w:val="00AA55BB"/>
    <w:rsid w:val="00AC0A7E"/>
    <w:rsid w:val="00AC5A03"/>
    <w:rsid w:val="00AD79DC"/>
    <w:rsid w:val="00B06A55"/>
    <w:rsid w:val="00B64D3D"/>
    <w:rsid w:val="00B66C17"/>
    <w:rsid w:val="00B72C30"/>
    <w:rsid w:val="00B866CD"/>
    <w:rsid w:val="00BA0191"/>
    <w:rsid w:val="00BA09B5"/>
    <w:rsid w:val="00BC182B"/>
    <w:rsid w:val="00C049C0"/>
    <w:rsid w:val="00C117D2"/>
    <w:rsid w:val="00C253A3"/>
    <w:rsid w:val="00C37DE8"/>
    <w:rsid w:val="00C561D7"/>
    <w:rsid w:val="00C63E22"/>
    <w:rsid w:val="00C6525F"/>
    <w:rsid w:val="00C8386E"/>
    <w:rsid w:val="00CD1DF6"/>
    <w:rsid w:val="00CD7CD4"/>
    <w:rsid w:val="00D65AB0"/>
    <w:rsid w:val="00D72D4C"/>
    <w:rsid w:val="00D73B6D"/>
    <w:rsid w:val="00D94F54"/>
    <w:rsid w:val="00DD27CA"/>
    <w:rsid w:val="00DD2D41"/>
    <w:rsid w:val="00DD7632"/>
    <w:rsid w:val="00DE01E4"/>
    <w:rsid w:val="00DF174B"/>
    <w:rsid w:val="00E07D05"/>
    <w:rsid w:val="00E24A8B"/>
    <w:rsid w:val="00E41008"/>
    <w:rsid w:val="00E90A08"/>
    <w:rsid w:val="00EA0121"/>
    <w:rsid w:val="00ED079E"/>
    <w:rsid w:val="00F15C50"/>
    <w:rsid w:val="00F31C75"/>
    <w:rsid w:val="00F52981"/>
    <w:rsid w:val="00F61DE7"/>
    <w:rsid w:val="00F97404"/>
    <w:rsid w:val="00FD494D"/>
    <w:rsid w:val="00FE1CAC"/>
    <w:rsid w:val="00FE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81"/>
    <w:pPr>
      <w:bidi/>
    </w:pPr>
  </w:style>
  <w:style w:type="paragraph" w:styleId="Heading7">
    <w:name w:val="heading 7"/>
    <w:basedOn w:val="Normal"/>
    <w:link w:val="Heading7Char"/>
    <w:uiPriority w:val="1"/>
    <w:qFormat/>
    <w:rsid w:val="00AD79DC"/>
    <w:pPr>
      <w:widowControl w:val="0"/>
      <w:bidi w:val="0"/>
      <w:spacing w:after="0" w:line="240" w:lineRule="auto"/>
      <w:ind w:left="100"/>
      <w:outlineLvl w:val="6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8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4F54"/>
    <w:pPr>
      <w:widowControl w:val="0"/>
      <w:bidi w:val="0"/>
      <w:spacing w:before="66" w:after="0" w:line="240" w:lineRule="auto"/>
      <w:ind w:left="100"/>
    </w:pPr>
    <w:rPr>
      <w:rFonts w:ascii="Times New Roman" w:eastAsia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D94F54"/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AC0A7E"/>
    <w:pPr>
      <w:widowControl w:val="0"/>
      <w:bidi w:val="0"/>
      <w:spacing w:after="0" w:line="240" w:lineRule="auto"/>
    </w:pPr>
    <w:rPr>
      <w:rFonts w:eastAsiaTheme="minorHAnsi"/>
    </w:rPr>
  </w:style>
  <w:style w:type="character" w:customStyle="1" w:styleId="Heading7Char">
    <w:name w:val="Heading 7 Char"/>
    <w:basedOn w:val="DefaultParagraphFont"/>
    <w:link w:val="Heading7"/>
    <w:uiPriority w:val="1"/>
    <w:rsid w:val="00AD79D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E16BD"/>
    <w:pPr>
      <w:widowControl w:val="0"/>
      <w:bidi w:val="0"/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6E16B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BD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8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73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1E5"/>
  </w:style>
  <w:style w:type="paragraph" w:styleId="Footer">
    <w:name w:val="footer"/>
    <w:basedOn w:val="Normal"/>
    <w:link w:val="FooterChar"/>
    <w:uiPriority w:val="99"/>
    <w:unhideWhenUsed/>
    <w:rsid w:val="00773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1E5"/>
  </w:style>
  <w:style w:type="character" w:styleId="Hyperlink">
    <w:name w:val="Hyperlink"/>
    <w:basedOn w:val="DefaultParagraphFont"/>
    <w:uiPriority w:val="99"/>
    <w:unhideWhenUsed/>
    <w:rsid w:val="00B64D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3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eidelbawab@yahoo.com" TargetMode="External"/><Relationship Id="rId13" Type="http://schemas.openxmlformats.org/officeDocument/2006/relationships/hyperlink" Target="http://www.sciencepub.net/researcher" TargetMode="Externa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sayedfathya@gmail.com" TargetMode="Externa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sseineldeeb@qumed.edu.sa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5.xml"/><Relationship Id="rId28" Type="http://schemas.openxmlformats.org/officeDocument/2006/relationships/header" Target="header4.xml"/><Relationship Id="rId10" Type="http://schemas.openxmlformats.org/officeDocument/2006/relationships/hyperlink" Target="mailto:abdelzaher_gerga@yahoo.com" TargetMode="External"/><Relationship Id="rId19" Type="http://schemas.openxmlformats.org/officeDocument/2006/relationships/chart" Target="charts/char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mmmdrmmm@gmail.com" TargetMode="External"/><Relationship Id="rId14" Type="http://schemas.openxmlformats.org/officeDocument/2006/relationships/hyperlink" Target="http://www.dx.doi.org/10.7537/marsrsj090317.08" TargetMode="External"/><Relationship Id="rId22" Type="http://schemas.openxmlformats.org/officeDocument/2006/relationships/chart" Target="charts/chart4.xml"/><Relationship Id="rId27" Type="http://schemas.openxmlformats.org/officeDocument/2006/relationships/hyperlink" Target="mailto:abdelzaher_gerga@yahoo.com" TargetMode="External"/><Relationship Id="rId30" Type="http://schemas.openxmlformats.org/officeDocument/2006/relationships/fontTable" Target="fontTable.xml"/><Relationship Id="rId35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591;&#1576;\&#1585;&#1587;&#1575;&#1574;&#1604;%20&#1575;&#1581;&#1589;&#1575;&#1569;%20&#1586;&#1605;&#1604;&#1575;&#1569;\dr%20sayed%20fathy%20bio\final%20sayed%20b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591;&#1576;\&#1585;&#1587;&#1575;&#1574;&#1604;%20&#1575;&#1581;&#1589;&#1575;&#1569;%20&#1586;&#1605;&#1604;&#1575;&#1569;\dr%20sayed%20fathy%20bio\final%20sayed%20b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591;&#1576;\&#1585;&#1587;&#1575;&#1574;&#1604;%20&#1575;&#1581;&#1589;&#1575;&#1569;%20&#1586;&#1605;&#1604;&#1575;&#1569;\dr%20sayed%20fathy%20bio\final%20sayed%20b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591;&#1576;\&#1585;&#1587;&#1575;&#1574;&#1604;%20&#1575;&#1581;&#1589;&#1575;&#1569;%20&#1586;&#1605;&#1604;&#1575;&#1569;\dr%20sayed%20fathy%20bio\final%20sayed%20b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591;&#1576;\&#1585;&#1587;&#1575;&#1574;&#1604;%20&#1575;&#1581;&#1589;&#1575;&#1569;%20&#1586;&#1605;&#1604;&#1575;&#1569;\dr%20sayed%20fathy%20bio\final%20sayed%20b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5"/>
      <c:rotY val="359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Sheet2!$B$17</c:f>
              <c:strCache>
                <c:ptCount val="1"/>
                <c:pt idx="0">
                  <c:v>G1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Sheet2!$A$18:$A$20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Sheet2!$B$18:$B$20</c:f>
              <c:numCache>
                <c:formatCode>General</c:formatCode>
                <c:ptCount val="3"/>
                <c:pt idx="0">
                  <c:v>258.10000000000002</c:v>
                </c:pt>
                <c:pt idx="1">
                  <c:v>274.39999999999969</c:v>
                </c:pt>
                <c:pt idx="2">
                  <c:v>56.3</c:v>
                </c:pt>
              </c:numCache>
            </c:numRef>
          </c:val>
        </c:ser>
        <c:ser>
          <c:idx val="1"/>
          <c:order val="1"/>
          <c:tx>
            <c:strRef>
              <c:f>Sheet2!$C$17</c:f>
              <c:strCache>
                <c:ptCount val="1"/>
                <c:pt idx="0">
                  <c:v>G4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Sheet2!$A$18:$A$20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Sheet2!$C$18:$C$20</c:f>
              <c:numCache>
                <c:formatCode>General</c:formatCode>
                <c:ptCount val="3"/>
                <c:pt idx="0">
                  <c:v>184.7</c:v>
                </c:pt>
                <c:pt idx="1">
                  <c:v>22.9</c:v>
                </c:pt>
                <c:pt idx="2">
                  <c:v>17.5</c:v>
                </c:pt>
              </c:numCache>
            </c:numRef>
          </c:val>
        </c:ser>
        <c:shape val="box"/>
        <c:axId val="70512000"/>
        <c:axId val="70587520"/>
        <c:axId val="0"/>
      </c:bar3DChart>
      <c:catAx>
        <c:axId val="70512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ar-EG" sz="900" b="1"/>
            </a:pPr>
            <a:endParaRPr lang="en-US"/>
          </a:p>
        </c:txPr>
        <c:crossAx val="70587520"/>
        <c:crosses val="autoZero"/>
        <c:auto val="1"/>
        <c:lblAlgn val="ctr"/>
        <c:lblOffset val="100"/>
      </c:catAx>
      <c:valAx>
        <c:axId val="7058752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en-US"/>
          </a:p>
        </c:txPr>
        <c:crossAx val="70512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481523180288297"/>
          <c:y val="0.80062086488390261"/>
          <c:w val="0.59033176608319771"/>
          <c:h val="9.4923811606882763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5"/>
      <c:rotY val="359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Sheet2!$B$24</c:f>
              <c:strCache>
                <c:ptCount val="1"/>
                <c:pt idx="0">
                  <c:v>G1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Sheet2!$A$25:$A$26</c:f>
              <c:strCache>
                <c:ptCount val="2"/>
                <c:pt idx="0">
                  <c:v>CK MB  (ng/ml)</c:v>
                </c:pt>
                <c:pt idx="1">
                  <c:v>Troponin I (μg/l)</c:v>
                </c:pt>
              </c:strCache>
            </c:strRef>
          </c:cat>
          <c:val>
            <c:numRef>
              <c:f>Sheet2!$B$25:$B$26</c:f>
              <c:numCache>
                <c:formatCode>General</c:formatCode>
                <c:ptCount val="2"/>
                <c:pt idx="0">
                  <c:v>8.0400000000000009</c:v>
                </c:pt>
                <c:pt idx="1">
                  <c:v>3.29</c:v>
                </c:pt>
              </c:numCache>
            </c:numRef>
          </c:val>
        </c:ser>
        <c:ser>
          <c:idx val="1"/>
          <c:order val="1"/>
          <c:tx>
            <c:strRef>
              <c:f>Sheet2!$C$24</c:f>
              <c:strCache>
                <c:ptCount val="1"/>
                <c:pt idx="0">
                  <c:v>G4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Sheet2!$A$25:$A$26</c:f>
              <c:strCache>
                <c:ptCount val="2"/>
                <c:pt idx="0">
                  <c:v>CK MB  (ng/ml)</c:v>
                </c:pt>
                <c:pt idx="1">
                  <c:v>Troponin I (μg/l)</c:v>
                </c:pt>
              </c:strCache>
            </c:strRef>
          </c:cat>
          <c:val>
            <c:numRef>
              <c:f>Sheet2!$C$25:$C$26</c:f>
              <c:numCache>
                <c:formatCode>General</c:formatCode>
                <c:ptCount val="2"/>
                <c:pt idx="0">
                  <c:v>1.2</c:v>
                </c:pt>
                <c:pt idx="1">
                  <c:v>2.4E-2</c:v>
                </c:pt>
              </c:numCache>
            </c:numRef>
          </c:val>
        </c:ser>
        <c:shape val="box"/>
        <c:axId val="70613632"/>
        <c:axId val="70623616"/>
        <c:axId val="0"/>
      </c:bar3DChart>
      <c:catAx>
        <c:axId val="706136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ar-EG" sz="1100" b="1"/>
            </a:pPr>
            <a:endParaRPr lang="en-US"/>
          </a:p>
        </c:txPr>
        <c:crossAx val="70623616"/>
        <c:crosses val="autoZero"/>
        <c:auto val="1"/>
        <c:lblAlgn val="ctr"/>
        <c:lblOffset val="100"/>
      </c:catAx>
      <c:valAx>
        <c:axId val="7062361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0613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83891312147234"/>
          <c:y val="0.87729841061534575"/>
          <c:w val="0.5903317660831966"/>
          <c:h val="9.4923811606882527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5"/>
      <c:rotY val="359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Sheet2!$B$56</c:f>
              <c:strCache>
                <c:ptCount val="1"/>
                <c:pt idx="0">
                  <c:v>G1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Sheet2!$A$57:$A$59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Sheet2!$B$57:$B$59</c:f>
              <c:numCache>
                <c:formatCode>General</c:formatCode>
                <c:ptCount val="3"/>
                <c:pt idx="0">
                  <c:v>258.10000000000002</c:v>
                </c:pt>
                <c:pt idx="1">
                  <c:v>274.39999999999969</c:v>
                </c:pt>
                <c:pt idx="2">
                  <c:v>56.3</c:v>
                </c:pt>
              </c:numCache>
            </c:numRef>
          </c:val>
        </c:ser>
        <c:ser>
          <c:idx val="1"/>
          <c:order val="1"/>
          <c:tx>
            <c:strRef>
              <c:f>Sheet2!$C$56</c:f>
              <c:strCache>
                <c:ptCount val="1"/>
                <c:pt idx="0">
                  <c:v>G2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Sheet2!$A$57:$A$59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Sheet2!$C$57:$C$59</c:f>
              <c:numCache>
                <c:formatCode>General</c:formatCode>
                <c:ptCount val="3"/>
                <c:pt idx="0">
                  <c:v>191.5</c:v>
                </c:pt>
                <c:pt idx="1">
                  <c:v>40.200000000000003</c:v>
                </c:pt>
                <c:pt idx="2">
                  <c:v>23.4</c:v>
                </c:pt>
              </c:numCache>
            </c:numRef>
          </c:val>
        </c:ser>
        <c:shape val="box"/>
        <c:axId val="72959488"/>
        <c:axId val="72961024"/>
        <c:axId val="0"/>
      </c:bar3DChart>
      <c:catAx>
        <c:axId val="729594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ar-EG" sz="1100" b="1"/>
            </a:pPr>
            <a:endParaRPr lang="en-US"/>
          </a:p>
        </c:txPr>
        <c:crossAx val="72961024"/>
        <c:crosses val="autoZero"/>
        <c:auto val="1"/>
        <c:lblAlgn val="ctr"/>
        <c:lblOffset val="100"/>
      </c:catAx>
      <c:valAx>
        <c:axId val="7296102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2959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83891312147234"/>
          <c:y val="0.87729841061534575"/>
          <c:w val="0.5903317660831966"/>
          <c:h val="9.4923811606882527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5"/>
      <c:rotY val="359"/>
      <c:rAngAx val="1"/>
    </c:view3D>
    <c:plotArea>
      <c:layout>
        <c:manualLayout>
          <c:layoutTarget val="inner"/>
          <c:xMode val="edge"/>
          <c:yMode val="edge"/>
          <c:x val="9.4055248185463611E-2"/>
          <c:y val="9.1397347789443611E-2"/>
          <c:w val="0.85502626922921088"/>
          <c:h val="0.62159400200338011"/>
        </c:manualLayout>
      </c:layout>
      <c:bar3DChart>
        <c:barDir val="col"/>
        <c:grouping val="clustered"/>
        <c:ser>
          <c:idx val="0"/>
          <c:order val="0"/>
          <c:tx>
            <c:strRef>
              <c:f>Sheet2!$B$71</c:f>
              <c:strCache>
                <c:ptCount val="1"/>
                <c:pt idx="0">
                  <c:v>G1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Sheet2!$A$72:$A$74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Sheet2!$B$72:$B$74</c:f>
              <c:numCache>
                <c:formatCode>General</c:formatCode>
                <c:ptCount val="3"/>
                <c:pt idx="0">
                  <c:v>258.10000000000002</c:v>
                </c:pt>
                <c:pt idx="1">
                  <c:v>274.39999999999969</c:v>
                </c:pt>
                <c:pt idx="2">
                  <c:v>56.3</c:v>
                </c:pt>
              </c:numCache>
            </c:numRef>
          </c:val>
        </c:ser>
        <c:ser>
          <c:idx val="1"/>
          <c:order val="1"/>
          <c:tx>
            <c:strRef>
              <c:f>Sheet2!$C$71</c:f>
              <c:strCache>
                <c:ptCount val="1"/>
                <c:pt idx="0">
                  <c:v>G3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Sheet2!$A$72:$A$74</c:f>
              <c:strCache>
                <c:ptCount val="3"/>
                <c:pt idx="0">
                  <c:v>LDH </c:v>
                </c:pt>
                <c:pt idx="1">
                  <c:v>Myoglobin (ng/ml)</c:v>
                </c:pt>
                <c:pt idx="2">
                  <c:v>H-FABP  (ng/ml)</c:v>
                </c:pt>
              </c:strCache>
            </c:strRef>
          </c:cat>
          <c:val>
            <c:numRef>
              <c:f>Sheet2!$C$72:$C$74</c:f>
              <c:numCache>
                <c:formatCode>General</c:formatCode>
                <c:ptCount val="3"/>
                <c:pt idx="0">
                  <c:v>165.5</c:v>
                </c:pt>
                <c:pt idx="1">
                  <c:v>28.9</c:v>
                </c:pt>
                <c:pt idx="2">
                  <c:v>20.399999999999999</c:v>
                </c:pt>
              </c:numCache>
            </c:numRef>
          </c:val>
        </c:ser>
        <c:shape val="box"/>
        <c:axId val="72995200"/>
        <c:axId val="72996736"/>
        <c:axId val="0"/>
      </c:bar3DChart>
      <c:catAx>
        <c:axId val="729952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ar-EG" sz="800" b="1"/>
            </a:pPr>
            <a:endParaRPr lang="en-US"/>
          </a:p>
        </c:txPr>
        <c:crossAx val="72996736"/>
        <c:crosses val="autoZero"/>
        <c:auto val="1"/>
        <c:lblAlgn val="ctr"/>
        <c:lblOffset val="100"/>
      </c:catAx>
      <c:valAx>
        <c:axId val="7299673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72995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83891312147234"/>
          <c:y val="0.87729841061534575"/>
          <c:w val="0.5903317660831966"/>
          <c:h val="9.4923811606882527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5"/>
      <c:rotY val="359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Sheet2!$B$80</c:f>
              <c:strCache>
                <c:ptCount val="1"/>
                <c:pt idx="0">
                  <c:v>G1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Sheet2!$A$81:$A$82</c:f>
              <c:strCache>
                <c:ptCount val="2"/>
                <c:pt idx="0">
                  <c:v>CK MB  (ng/ml)</c:v>
                </c:pt>
                <c:pt idx="1">
                  <c:v>Troponin I (μg/l)</c:v>
                </c:pt>
              </c:strCache>
            </c:strRef>
          </c:cat>
          <c:val>
            <c:numRef>
              <c:f>Sheet2!$B$81:$B$82</c:f>
              <c:numCache>
                <c:formatCode>General</c:formatCode>
                <c:ptCount val="2"/>
                <c:pt idx="0">
                  <c:v>8.0400000000000009</c:v>
                </c:pt>
                <c:pt idx="1">
                  <c:v>3.29</c:v>
                </c:pt>
              </c:numCache>
            </c:numRef>
          </c:val>
        </c:ser>
        <c:ser>
          <c:idx val="1"/>
          <c:order val="1"/>
          <c:tx>
            <c:strRef>
              <c:f>Sheet2!$C$80</c:f>
              <c:strCache>
                <c:ptCount val="1"/>
                <c:pt idx="0">
                  <c:v>G3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Sheet2!$A$81:$A$82</c:f>
              <c:strCache>
                <c:ptCount val="2"/>
                <c:pt idx="0">
                  <c:v>CK MB  (ng/ml)</c:v>
                </c:pt>
                <c:pt idx="1">
                  <c:v>Troponin I (μg/l)</c:v>
                </c:pt>
              </c:strCache>
            </c:strRef>
          </c:cat>
          <c:val>
            <c:numRef>
              <c:f>Sheet2!$C$81:$C$82</c:f>
              <c:numCache>
                <c:formatCode>General</c:formatCode>
                <c:ptCount val="2"/>
                <c:pt idx="0">
                  <c:v>1.9800000000000073</c:v>
                </c:pt>
                <c:pt idx="1">
                  <c:v>2.5000000000000001E-2</c:v>
                </c:pt>
              </c:numCache>
            </c:numRef>
          </c:val>
        </c:ser>
        <c:shape val="box"/>
        <c:axId val="70671360"/>
        <c:axId val="70689536"/>
        <c:axId val="0"/>
      </c:bar3DChart>
      <c:catAx>
        <c:axId val="706713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ar-EG" sz="1100" b="1"/>
            </a:pPr>
            <a:endParaRPr lang="en-US"/>
          </a:p>
        </c:txPr>
        <c:crossAx val="70689536"/>
        <c:crosses val="autoZero"/>
        <c:auto val="1"/>
        <c:lblAlgn val="ctr"/>
        <c:lblOffset val="100"/>
      </c:catAx>
      <c:valAx>
        <c:axId val="7068953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0671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83891312147234"/>
          <c:y val="0.87729841061534575"/>
          <c:w val="0.5903317660831966"/>
          <c:h val="9.4923811606882527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scene3d>
      <a:camera prst="orthographicFront"/>
      <a:lightRig rig="threePt" dir="t"/>
    </a:scene3d>
    <a:sp3d>
      <a:bevelT/>
    </a:sp3d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6F24-8DE7-46BE-BB7A-2224B69C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bedoo</dc:creator>
  <cp:lastModifiedBy>Administrator</cp:lastModifiedBy>
  <cp:revision>3</cp:revision>
  <cp:lastPrinted>2017-02-23T11:35:00Z</cp:lastPrinted>
  <dcterms:created xsi:type="dcterms:W3CDTF">2017-03-21T13:33:00Z</dcterms:created>
  <dcterms:modified xsi:type="dcterms:W3CDTF">2017-03-20T03:01:00Z</dcterms:modified>
</cp:coreProperties>
</file>